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color w:val="000000" w:themeColor="text1"/>
          <w:w w:val="120"/>
          <w:sz w:val="52"/>
          <w:szCs w:val="52"/>
          <w14:textFill>
            <w14:solidFill>
              <w14:schemeClr w14:val="tx1"/>
            </w14:solidFill>
          </w14:textFill>
        </w:rPr>
      </w:pPr>
    </w:p>
    <w:p>
      <w:pPr>
        <w:jc w:val="center"/>
        <w:rPr>
          <w:color w:val="000000" w:themeColor="text1"/>
          <w:w w:val="120"/>
          <w:sz w:val="52"/>
          <w:szCs w:val="52"/>
          <w14:textFill>
            <w14:solidFill>
              <w14:schemeClr w14:val="tx1"/>
            </w14:solidFill>
          </w14:textFill>
        </w:rPr>
      </w:pPr>
      <w:r>
        <w:rPr>
          <w:rFonts w:hint="eastAsia"/>
          <w:color w:val="000000" w:themeColor="text1"/>
          <w:w w:val="120"/>
          <w:sz w:val="52"/>
          <w:szCs w:val="52"/>
          <w14:textFill>
            <w14:solidFill>
              <w14:schemeClr w14:val="tx1"/>
            </w14:solidFill>
          </w14:textFill>
        </w:rPr>
        <w:t>阳新县县级政府采购</w:t>
      </w:r>
    </w:p>
    <w:p>
      <w:pPr>
        <w:pStyle w:val="17"/>
      </w:pPr>
    </w:p>
    <w:p>
      <w:pPr>
        <w:pStyle w:val="11"/>
        <w:adjustRightInd w:val="0"/>
        <w:snapToGrid w:val="0"/>
        <w:spacing w:line="720" w:lineRule="auto"/>
        <w:jc w:val="center"/>
        <w:rPr>
          <w:rFonts w:ascii="黑体" w:hAnsi="黑体" w:eastAsia="黑体" w:cs="Times New Roman"/>
          <w:b/>
          <w:bCs/>
          <w:sz w:val="36"/>
          <w:szCs w:val="24"/>
        </w:rPr>
      </w:pPr>
      <w:r>
        <w:rPr>
          <w:rFonts w:hint="eastAsia" w:ascii="Times New Roman" w:hAnsi="Times New Roman" w:eastAsia="宋体" w:cs="Times New Roman"/>
          <w:snapToGrid w:val="0"/>
          <w:kern w:val="10"/>
          <w:sz w:val="144"/>
          <w:szCs w:val="144"/>
        </w:rPr>
        <w:t>招 标 文 件</w:t>
      </w:r>
    </w:p>
    <w:p>
      <w:pPr>
        <w:spacing w:line="480" w:lineRule="auto"/>
        <w:ind w:firstLine="960" w:firstLineChars="300"/>
        <w:rPr>
          <w:rFonts w:hint="default"/>
          <w:bCs/>
          <w:color w:val="000000" w:themeColor="text1"/>
          <w:sz w:val="32"/>
          <w:szCs w:val="32"/>
          <w:lang w:val="en-US" w:eastAsia="zh-CN"/>
          <w14:textFill>
            <w14:solidFill>
              <w14:schemeClr w14:val="tx1"/>
            </w14:solidFill>
          </w14:textFill>
        </w:rPr>
      </w:pPr>
      <w:r>
        <w:rPr>
          <w:rFonts w:hint="eastAsia"/>
          <w:bCs/>
          <w:color w:val="000000" w:themeColor="text1"/>
          <w:sz w:val="32"/>
          <w:szCs w:val="32"/>
          <w14:textFill>
            <w14:solidFill>
              <w14:schemeClr w14:val="tx1"/>
            </w14:solidFill>
          </w14:textFill>
        </w:rPr>
        <w:t>项目编号：</w:t>
      </w:r>
      <w:r>
        <w:rPr>
          <w:rFonts w:hint="eastAsia"/>
          <w:bCs/>
          <w:color w:val="000000" w:themeColor="text1"/>
          <w:sz w:val="32"/>
          <w:szCs w:val="32"/>
          <w:lang w:eastAsia="zh-CN"/>
          <w14:textFill>
            <w14:solidFill>
              <w14:schemeClr w14:val="tx1"/>
            </w14:solidFill>
          </w14:textFill>
        </w:rPr>
        <w:t>131-2022CG-</w:t>
      </w:r>
      <w:r>
        <w:rPr>
          <w:rFonts w:hint="eastAsia"/>
          <w:bCs/>
          <w:color w:val="000000" w:themeColor="text1"/>
          <w:sz w:val="32"/>
          <w:szCs w:val="32"/>
          <w:lang w:val="en-US" w:eastAsia="zh-CN"/>
          <w14:textFill>
            <w14:solidFill>
              <w14:schemeClr w14:val="tx1"/>
            </w14:solidFill>
          </w14:textFill>
        </w:rPr>
        <w:t>029</w:t>
      </w:r>
    </w:p>
    <w:p>
      <w:pPr>
        <w:spacing w:line="480" w:lineRule="auto"/>
        <w:ind w:firstLine="960" w:firstLineChars="300"/>
        <w:rPr>
          <w:rFonts w:hint="eastAsia"/>
          <w:bCs/>
          <w:color w:val="000000" w:themeColor="text1"/>
          <w:sz w:val="32"/>
          <w:szCs w:val="32"/>
          <w:lang w:eastAsia="zh-CN"/>
          <w14:textFill>
            <w14:solidFill>
              <w14:schemeClr w14:val="tx1"/>
            </w14:solidFill>
          </w14:textFill>
        </w:rPr>
      </w:pPr>
      <w:r>
        <w:rPr>
          <w:rFonts w:hint="eastAsia"/>
          <w:bCs/>
          <w:color w:val="000000" w:themeColor="text1"/>
          <w:sz w:val="32"/>
          <w:szCs w:val="32"/>
          <w14:textFill>
            <w14:solidFill>
              <w14:schemeClr w14:val="tx1"/>
            </w14:solidFill>
          </w14:textFill>
        </w:rPr>
        <w:t>采 购 人：</w:t>
      </w:r>
      <w:r>
        <w:rPr>
          <w:rFonts w:hint="eastAsia"/>
          <w:bCs/>
          <w:color w:val="000000" w:themeColor="text1"/>
          <w:sz w:val="32"/>
          <w:szCs w:val="32"/>
          <w:lang w:eastAsia="zh-CN"/>
          <w14:textFill>
            <w14:solidFill>
              <w14:schemeClr w14:val="tx1"/>
            </w14:solidFill>
          </w14:textFill>
        </w:rPr>
        <w:t>阳新县血吸虫病防治所</w:t>
      </w:r>
    </w:p>
    <w:p>
      <w:pPr>
        <w:spacing w:line="480" w:lineRule="auto"/>
        <w:ind w:firstLine="960" w:firstLineChars="300"/>
        <w:rPr>
          <w:rFonts w:hint="eastAsia"/>
          <w:bCs/>
          <w:color w:val="000000" w:themeColor="text1"/>
          <w:sz w:val="32"/>
          <w:szCs w:val="32"/>
          <w:lang w:eastAsia="zh-CN"/>
          <w14:textFill>
            <w14:solidFill>
              <w14:schemeClr w14:val="tx1"/>
            </w14:solidFill>
          </w14:textFill>
        </w:rPr>
      </w:pPr>
      <w:r>
        <w:rPr>
          <w:rFonts w:hint="eastAsia"/>
          <w:bCs/>
          <w:color w:val="000000" w:themeColor="text1"/>
          <w:sz w:val="32"/>
          <w:szCs w:val="32"/>
          <w14:textFill>
            <w14:solidFill>
              <w14:schemeClr w14:val="tx1"/>
            </w14:solidFill>
          </w14:textFill>
        </w:rPr>
        <w:t>项目名称：</w:t>
      </w:r>
      <w:r>
        <w:rPr>
          <w:rFonts w:hint="eastAsia"/>
          <w:bCs/>
          <w:color w:val="000000" w:themeColor="text1"/>
          <w:sz w:val="32"/>
          <w:szCs w:val="32"/>
          <w:lang w:eastAsia="zh-CN"/>
          <w14:textFill>
            <w14:solidFill>
              <w14:schemeClr w14:val="tx1"/>
            </w14:solidFill>
          </w14:textFill>
        </w:rPr>
        <w:t>阳新县2022年灭螺与防治药品采购项目</w:t>
      </w:r>
    </w:p>
    <w:p>
      <w:pPr>
        <w:spacing w:line="480" w:lineRule="auto"/>
        <w:ind w:firstLine="960" w:firstLineChars="300"/>
        <w:rPr>
          <w:rFonts w:hint="eastAsia" w:eastAsiaTheme="minorEastAsia"/>
          <w:bCs/>
          <w:color w:val="000000" w:themeColor="text1"/>
          <w:sz w:val="30"/>
          <w:szCs w:val="30"/>
          <w:lang w:eastAsia="zh-CN"/>
          <w14:textFill>
            <w14:solidFill>
              <w14:schemeClr w14:val="tx1"/>
            </w14:solidFill>
          </w14:textFill>
        </w:rPr>
      </w:pPr>
      <w:r>
        <w:rPr>
          <w:rFonts w:hint="eastAsia"/>
          <w:bCs/>
          <w:color w:val="000000" w:themeColor="text1"/>
          <w:sz w:val="32"/>
          <w:szCs w:val="32"/>
          <w14:textFill>
            <w14:solidFill>
              <w14:schemeClr w14:val="tx1"/>
            </w14:solidFill>
          </w14:textFill>
        </w:rPr>
        <w:t>采购内容：</w:t>
      </w:r>
      <w:r>
        <w:rPr>
          <w:rFonts w:hint="eastAsia"/>
          <w:bCs/>
          <w:color w:val="000000" w:themeColor="text1"/>
          <w:sz w:val="32"/>
          <w:szCs w:val="32"/>
          <w:lang w:eastAsia="zh-CN"/>
          <w14:textFill>
            <w14:solidFill>
              <w14:schemeClr w14:val="tx1"/>
            </w14:solidFill>
          </w14:textFill>
        </w:rPr>
        <w:t>灭螺与防治药品</w:t>
      </w:r>
    </w:p>
    <w:p>
      <w:pPr>
        <w:spacing w:line="480" w:lineRule="auto"/>
        <w:ind w:firstLine="960" w:firstLineChars="300"/>
        <w:jc w:val="center"/>
        <w:rPr>
          <w:rFonts w:hint="eastAsia" w:eastAsiaTheme="minorEastAsia"/>
          <w:bCs/>
          <w:color w:val="000000" w:themeColor="text1"/>
          <w:sz w:val="32"/>
          <w:szCs w:val="32"/>
          <w:u w:val="single"/>
          <w:lang w:eastAsia="zh-CN"/>
          <w14:textFill>
            <w14:solidFill>
              <w14:schemeClr w14:val="tx1"/>
            </w14:solidFill>
          </w14:textFill>
        </w:rPr>
      </w:pPr>
    </w:p>
    <w:p>
      <w:pPr>
        <w:pStyle w:val="2"/>
        <w:rPr>
          <w:rFonts w:hint="eastAsia"/>
          <w:lang w:eastAsia="zh-CN"/>
        </w:rPr>
      </w:pPr>
    </w:p>
    <w:p>
      <w:pPr>
        <w:adjustRightInd w:val="0"/>
        <w:snapToGrid w:val="0"/>
        <w:jc w:val="center"/>
        <w:rPr>
          <w:rFonts w:hint="default"/>
          <w:bCs/>
          <w:snapToGrid w:val="0"/>
          <w:color w:val="000000" w:themeColor="text1"/>
          <w:kern w:val="0"/>
          <w:position w:val="-98"/>
          <w:sz w:val="56"/>
          <w:szCs w:val="56"/>
          <w:lang w:val="en-US" w:eastAsia="zh-CN"/>
          <w14:textFill>
            <w14:solidFill>
              <w14:schemeClr w14:val="tx1"/>
            </w14:solidFill>
          </w14:textFill>
        </w:rPr>
      </w:pPr>
      <w:r>
        <w:rPr>
          <w:rFonts w:hint="eastAsia"/>
          <w:bCs/>
          <w:snapToGrid w:val="0"/>
          <w:color w:val="000000" w:themeColor="text1"/>
          <w:kern w:val="0"/>
          <w:position w:val="-98"/>
          <w:sz w:val="56"/>
          <w:szCs w:val="56"/>
          <w:lang w:eastAsia="zh-CN"/>
          <w14:textFill>
            <w14:solidFill>
              <w14:schemeClr w14:val="tx1"/>
            </w14:solidFill>
          </w14:textFill>
        </w:rPr>
        <w:t xml:space="preserve">至诚工程咨询有限公司 </w:t>
      </w:r>
    </w:p>
    <w:p>
      <w:pPr>
        <w:adjustRightInd w:val="0"/>
        <w:snapToGrid w:val="0"/>
        <w:jc w:val="center"/>
        <w:rPr>
          <w:bCs/>
          <w:snapToGrid w:val="0"/>
          <w:color w:val="000000" w:themeColor="text1"/>
          <w:kern w:val="0"/>
          <w:position w:val="-98"/>
          <w:sz w:val="56"/>
          <w:szCs w:val="56"/>
          <w14:textFill>
            <w14:solidFill>
              <w14:schemeClr w14:val="tx1"/>
            </w14:solidFill>
          </w14:textFill>
        </w:rPr>
        <w:sectPr>
          <w:headerReference r:id="rId3" w:type="default"/>
          <w:footerReference r:id="rId5" w:type="default"/>
          <w:headerReference r:id="rId4" w:type="even"/>
          <w:footerReference r:id="rId6" w:type="even"/>
          <w:pgSz w:w="11906" w:h="16838"/>
          <w:pgMar w:top="1417" w:right="1701" w:bottom="1417" w:left="1701" w:header="680" w:footer="680" w:gutter="0"/>
          <w:cols w:space="425" w:num="1"/>
          <w:docGrid w:type="lines" w:linePitch="312" w:charSpace="0"/>
        </w:sectPr>
      </w:pPr>
      <w:r>
        <w:rPr>
          <w:rFonts w:hint="eastAsia"/>
          <w:bCs/>
          <w:snapToGrid w:val="0"/>
          <w:color w:val="000000" w:themeColor="text1"/>
          <w:kern w:val="0"/>
          <w:position w:val="-98"/>
          <w:sz w:val="48"/>
          <w:szCs w:val="48"/>
          <w14:textFill>
            <w14:solidFill>
              <w14:schemeClr w14:val="tx1"/>
            </w14:solidFill>
          </w14:textFill>
        </w:rPr>
        <w:t>202</w:t>
      </w:r>
      <w:r>
        <w:rPr>
          <w:rFonts w:hint="eastAsia"/>
          <w:bCs/>
          <w:snapToGrid w:val="0"/>
          <w:color w:val="000000" w:themeColor="text1"/>
          <w:kern w:val="0"/>
          <w:position w:val="-98"/>
          <w:sz w:val="48"/>
          <w:szCs w:val="48"/>
          <w:lang w:val="en-US" w:eastAsia="zh-CN"/>
          <w14:textFill>
            <w14:solidFill>
              <w14:schemeClr w14:val="tx1"/>
            </w14:solidFill>
          </w14:textFill>
        </w:rPr>
        <w:t>2</w:t>
      </w:r>
      <w:r>
        <w:rPr>
          <w:rFonts w:hint="eastAsia"/>
          <w:bCs/>
          <w:snapToGrid w:val="0"/>
          <w:color w:val="000000" w:themeColor="text1"/>
          <w:kern w:val="0"/>
          <w:position w:val="-98"/>
          <w:sz w:val="48"/>
          <w:szCs w:val="48"/>
          <w14:textFill>
            <w14:solidFill>
              <w14:schemeClr w14:val="tx1"/>
            </w14:solidFill>
          </w14:textFill>
        </w:rPr>
        <w:t>年</w:t>
      </w:r>
      <w:r>
        <w:rPr>
          <w:rFonts w:hint="eastAsia"/>
          <w:bCs/>
          <w:snapToGrid w:val="0"/>
          <w:color w:val="000000" w:themeColor="text1"/>
          <w:kern w:val="0"/>
          <w:position w:val="-98"/>
          <w:sz w:val="48"/>
          <w:szCs w:val="48"/>
          <w:lang w:val="en-US" w:eastAsia="zh-CN"/>
          <w14:textFill>
            <w14:solidFill>
              <w14:schemeClr w14:val="tx1"/>
            </w14:solidFill>
          </w14:textFill>
        </w:rPr>
        <w:t>3</w:t>
      </w:r>
      <w:r>
        <w:rPr>
          <w:rFonts w:hint="eastAsia"/>
          <w:bCs/>
          <w:snapToGrid w:val="0"/>
          <w:color w:val="000000" w:themeColor="text1"/>
          <w:kern w:val="0"/>
          <w:position w:val="-98"/>
          <w:sz w:val="48"/>
          <w:szCs w:val="48"/>
          <w14:textFill>
            <w14:solidFill>
              <w14:schemeClr w14:val="tx1"/>
            </w14:solidFill>
          </w14:textFill>
        </w:rPr>
        <w:t>月</w:t>
      </w:r>
    </w:p>
    <w:sdt>
      <w:sdtPr>
        <w:rPr>
          <w:rFonts w:ascii="宋体" w:hAnsi="宋体" w:eastAsia="宋体" w:cstheme="minorBidi"/>
          <w:kern w:val="2"/>
          <w:sz w:val="21"/>
          <w:szCs w:val="22"/>
          <w:lang w:val="en-US" w:eastAsia="zh-CN" w:bidi="ar-SA"/>
        </w:rPr>
        <w:id w:val="147459259"/>
        <w15:color w:val="DBDBDB"/>
        <w:docPartObj>
          <w:docPartGallery w:val="Table of Contents"/>
          <w:docPartUnique/>
        </w:docPartObj>
      </w:sdtPr>
      <w:sdtEndPr>
        <w:rPr>
          <w:rFonts w:hint="eastAsia" w:ascii="黑体" w:hAnsi="黑体" w:eastAsia="黑体" w:cstheme="minorBidi"/>
          <w:kern w:val="2"/>
          <w:sz w:val="21"/>
          <w:szCs w:val="44"/>
          <w:lang w:val="en-US" w:eastAsia="zh-CN" w:bidi="ar-SA"/>
        </w:rPr>
      </w:sdtEndPr>
      <w:sdtContent>
        <w:sdt>
          <w:sdtPr>
            <w:rPr>
              <w:rFonts w:ascii="宋体" w:hAnsi="宋体" w:eastAsia="宋体" w:cstheme="minorBidi"/>
              <w:kern w:val="2"/>
              <w:sz w:val="21"/>
              <w:szCs w:val="22"/>
              <w:lang w:val="en-US" w:eastAsia="zh-CN" w:bidi="ar-SA"/>
            </w:rPr>
            <w:id w:val="147459259"/>
            <w15:color w:val="DBDBDB"/>
            <w:docPartObj>
              <w:docPartGallery w:val="Table of Contents"/>
              <w:docPartUnique/>
            </w:docPartObj>
          </w:sdtPr>
          <w:sdtEndPr>
            <w:rPr>
              <w:rFonts w:hint="eastAsia" w:ascii="黑体" w:hAnsi="黑体" w:eastAsia="黑体" w:cstheme="minorBidi"/>
              <w:kern w:val="2"/>
              <w:sz w:val="21"/>
              <w:szCs w:val="44"/>
              <w:lang w:val="en-US" w:eastAsia="zh-CN" w:bidi="ar-SA"/>
            </w:rPr>
          </w:sdtEndPr>
          <w:sdtContent>
            <w:p>
              <w:pPr>
                <w:spacing w:beforeLines="100"/>
                <w:jc w:val="center"/>
              </w:pPr>
              <w:r>
                <w:rPr>
                  <w:rFonts w:hint="eastAsia" w:ascii="黑体" w:hAnsi="黑体" w:eastAsia="黑体"/>
                  <w:sz w:val="44"/>
                  <w:szCs w:val="44"/>
                </w:rPr>
                <w:t>目   录</w:t>
              </w:r>
            </w:p>
            <w:p>
              <w:pPr>
                <w:pStyle w:val="17"/>
                <w:tabs>
                  <w:tab w:val="right" w:leader="dot" w:pos="8504"/>
                </w:tabs>
              </w:pPr>
              <w:r>
                <w:rPr>
                  <w:rFonts w:hint="eastAsia" w:ascii="黑体" w:hAnsi="黑体" w:eastAsia="黑体"/>
                  <w:sz w:val="44"/>
                  <w:szCs w:val="44"/>
                </w:rPr>
                <w:fldChar w:fldCharType="begin"/>
              </w:r>
              <w:r>
                <w:rPr>
                  <w:rFonts w:hint="eastAsia" w:ascii="黑体" w:hAnsi="黑体" w:eastAsia="黑体"/>
                  <w:sz w:val="44"/>
                  <w:szCs w:val="44"/>
                </w:rPr>
                <w:instrText xml:space="preserve">TOC \o "1-3" \h \u </w:instrText>
              </w:r>
              <w:r>
                <w:rPr>
                  <w:rFonts w:hint="eastAsia" w:ascii="黑体" w:hAnsi="黑体" w:eastAsia="黑体"/>
                  <w:sz w:val="44"/>
                  <w:szCs w:val="44"/>
                </w:rPr>
                <w:fldChar w:fldCharType="separate"/>
              </w:r>
              <w:r>
                <w:rPr>
                  <w:rFonts w:hint="eastAsia" w:ascii="黑体" w:hAnsi="黑体" w:eastAsia="黑体"/>
                  <w:szCs w:val="44"/>
                </w:rPr>
                <w:fldChar w:fldCharType="begin"/>
              </w:r>
              <w:r>
                <w:rPr>
                  <w:rFonts w:hint="eastAsia" w:ascii="黑体" w:hAnsi="黑体" w:eastAsia="黑体"/>
                  <w:szCs w:val="44"/>
                </w:rPr>
                <w:instrText xml:space="preserve"> HYPERLINK \l _Toc9228 </w:instrText>
              </w:r>
              <w:r>
                <w:rPr>
                  <w:rFonts w:hint="eastAsia" w:ascii="黑体" w:hAnsi="黑体" w:eastAsia="黑体"/>
                  <w:szCs w:val="44"/>
                </w:rPr>
                <w:fldChar w:fldCharType="separate"/>
              </w:r>
              <w:r>
                <w:rPr>
                  <w:rFonts w:hint="eastAsia" w:ascii="黑体" w:hAnsi="黑体" w:eastAsia="黑体"/>
                </w:rPr>
                <w:t>第一章 投标邀请书</w:t>
              </w:r>
              <w:r>
                <w:tab/>
              </w:r>
              <w:r>
                <w:fldChar w:fldCharType="begin"/>
              </w:r>
              <w:r>
                <w:instrText xml:space="preserve"> PAGEREF _Toc9228 </w:instrText>
              </w:r>
              <w:r>
                <w:fldChar w:fldCharType="separate"/>
              </w:r>
              <w:r>
                <w:t>4</w:t>
              </w:r>
              <w:r>
                <w:fldChar w:fldCharType="end"/>
              </w:r>
              <w:r>
                <w:rPr>
                  <w:rFonts w:hint="eastAsia" w:ascii="黑体" w:hAnsi="黑体" w:eastAsia="黑体"/>
                  <w:szCs w:val="44"/>
                </w:rPr>
                <w:fldChar w:fldCharType="end"/>
              </w:r>
            </w:p>
            <w:p>
              <w:pPr>
                <w:pStyle w:val="17"/>
                <w:tabs>
                  <w:tab w:val="right" w:leader="dot" w:pos="8504"/>
                </w:tabs>
              </w:pPr>
              <w:r>
                <w:rPr>
                  <w:rFonts w:hint="eastAsia" w:ascii="黑体" w:hAnsi="黑体" w:eastAsia="黑体"/>
                  <w:szCs w:val="44"/>
                </w:rPr>
                <w:fldChar w:fldCharType="begin"/>
              </w:r>
              <w:r>
                <w:rPr>
                  <w:rFonts w:hint="eastAsia" w:ascii="黑体" w:hAnsi="黑体" w:eastAsia="黑体"/>
                  <w:szCs w:val="44"/>
                </w:rPr>
                <w:instrText xml:space="preserve"> HYPERLINK \l _Toc19187 </w:instrText>
              </w:r>
              <w:r>
                <w:rPr>
                  <w:rFonts w:hint="eastAsia" w:ascii="黑体" w:hAnsi="黑体" w:eastAsia="黑体"/>
                  <w:szCs w:val="44"/>
                </w:rPr>
                <w:fldChar w:fldCharType="separate"/>
              </w:r>
              <w:r>
                <w:rPr>
                  <w:rFonts w:hint="eastAsia" w:ascii="黑体" w:hAnsi="黑体" w:eastAsia="黑体"/>
                </w:rPr>
                <w:t>第二章 投标人须知</w:t>
              </w:r>
              <w:r>
                <w:tab/>
              </w:r>
              <w:r>
                <w:fldChar w:fldCharType="begin"/>
              </w:r>
              <w:r>
                <w:instrText xml:space="preserve"> PAGEREF _Toc19187 </w:instrText>
              </w:r>
              <w:r>
                <w:fldChar w:fldCharType="separate"/>
              </w:r>
              <w:r>
                <w:t>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_Toc31472 </w:instrText>
              </w:r>
              <w:r>
                <w:rPr>
                  <w:rFonts w:hint="eastAsia" w:ascii="黑体" w:hAnsi="黑体" w:eastAsia="黑体"/>
                  <w:szCs w:val="44"/>
                </w:rPr>
                <w:fldChar w:fldCharType="separate"/>
              </w:r>
              <w:r>
                <w:rPr>
                  <w:rFonts w:cs="Times New Roman" w:asciiTheme="majorEastAsia" w:hAnsiTheme="majorEastAsia" w:eastAsiaTheme="majorEastAsia"/>
                  <w:bCs/>
                  <w:szCs w:val="32"/>
                  <w:lang w:val="zh-CN"/>
                </w:rPr>
                <w:t>投标须知前附表</w:t>
              </w:r>
              <w:r>
                <w:tab/>
              </w:r>
              <w:r>
                <w:fldChar w:fldCharType="begin"/>
              </w:r>
              <w:r>
                <w:instrText xml:space="preserve"> PAGEREF _Toc31472 </w:instrText>
              </w:r>
              <w:r>
                <w:fldChar w:fldCharType="separate"/>
              </w:r>
              <w:r>
                <w:t>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_Toc28635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一、 </w:t>
              </w:r>
              <w:r>
                <w:rPr>
                  <w:rFonts w:hint="eastAsia" w:cs="Times New Roman" w:asciiTheme="majorEastAsia" w:hAnsiTheme="majorEastAsia"/>
                  <w:bCs w:val="0"/>
                  <w:lang w:val="zh-CN"/>
                </w:rPr>
                <w:t>说  明</w:t>
              </w:r>
              <w:r>
                <w:tab/>
              </w:r>
              <w:r>
                <w:fldChar w:fldCharType="begin"/>
              </w:r>
              <w:r>
                <w:instrText xml:space="preserve"> PAGEREF _Toc28635 </w:instrText>
              </w:r>
              <w:r>
                <w:fldChar w:fldCharType="separate"/>
              </w:r>
              <w:r>
                <w:t>8</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_Toc31147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二、 </w:t>
              </w:r>
              <w:r>
                <w:rPr>
                  <w:rFonts w:hint="eastAsia" w:cs="Times New Roman" w:asciiTheme="majorEastAsia" w:hAnsiTheme="majorEastAsia"/>
                  <w:bCs w:val="0"/>
                  <w:lang w:val="zh-CN"/>
                </w:rPr>
                <w:t>招标文件</w:t>
              </w:r>
              <w:r>
                <w:tab/>
              </w:r>
              <w:r>
                <w:fldChar w:fldCharType="begin"/>
              </w:r>
              <w:r>
                <w:instrText xml:space="preserve"> PAGEREF _Toc31147 </w:instrText>
              </w:r>
              <w:r>
                <w:fldChar w:fldCharType="separate"/>
              </w:r>
              <w:r>
                <w:t>9</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_Toc3214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三、 </w:t>
              </w:r>
              <w:r>
                <w:rPr>
                  <w:rFonts w:hint="eastAsia" w:cs="Times New Roman" w:asciiTheme="majorEastAsia" w:hAnsiTheme="majorEastAsia"/>
                  <w:bCs w:val="0"/>
                  <w:lang w:val="zh-CN"/>
                </w:rPr>
                <w:t>投标文件</w:t>
              </w:r>
              <w:r>
                <w:tab/>
              </w:r>
              <w:r>
                <w:fldChar w:fldCharType="begin"/>
              </w:r>
              <w:r>
                <w:instrText xml:space="preserve"> PAGEREF _Toc3214 </w:instrText>
              </w:r>
              <w:r>
                <w:fldChar w:fldCharType="separate"/>
              </w:r>
              <w:r>
                <w:t>10</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_Toc21534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四、 </w:t>
              </w:r>
              <w:r>
                <w:rPr>
                  <w:rFonts w:hint="eastAsia" w:cs="Times New Roman" w:asciiTheme="majorEastAsia" w:hAnsiTheme="majorEastAsia"/>
                  <w:bCs w:val="0"/>
                  <w:lang w:val="zh-CN"/>
                </w:rPr>
                <w:t>开标与评标</w:t>
              </w:r>
              <w:r>
                <w:tab/>
              </w:r>
              <w:r>
                <w:fldChar w:fldCharType="begin"/>
              </w:r>
              <w:r>
                <w:instrText xml:space="preserve"> PAGEREF _Toc21534 </w:instrText>
              </w:r>
              <w:r>
                <w:fldChar w:fldCharType="separate"/>
              </w:r>
              <w:r>
                <w:t>15</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_Toc2356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五、 </w:t>
              </w:r>
              <w:r>
                <w:rPr>
                  <w:rFonts w:hint="eastAsia" w:cs="Times New Roman" w:asciiTheme="majorEastAsia" w:hAnsiTheme="majorEastAsia"/>
                  <w:bCs w:val="0"/>
                  <w:lang w:val="zh-CN"/>
                </w:rPr>
                <w:t>投标人信用信息及查询</w:t>
              </w:r>
              <w:r>
                <w:tab/>
              </w:r>
              <w:r>
                <w:fldChar w:fldCharType="begin"/>
              </w:r>
              <w:r>
                <w:instrText xml:space="preserve"> PAGEREF _Toc2356 </w:instrText>
              </w:r>
              <w:r>
                <w:fldChar w:fldCharType="separate"/>
              </w:r>
              <w:r>
                <w:t>17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_Toc24911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六、 </w:t>
              </w:r>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r>
                <w:tab/>
              </w:r>
              <w:r>
                <w:fldChar w:fldCharType="begin"/>
              </w:r>
              <w:r>
                <w:instrText xml:space="preserve"> PAGEREF _Toc24911 </w:instrText>
              </w:r>
              <w:r>
                <w:fldChar w:fldCharType="separate"/>
              </w:r>
              <w:r>
                <w:t>17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_Toc25307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七、 </w:t>
              </w:r>
              <w:r>
                <w:rPr>
                  <w:rFonts w:hint="eastAsia" w:cs="Times New Roman" w:asciiTheme="majorEastAsia" w:hAnsiTheme="majorEastAsia"/>
                  <w:bCs w:val="0"/>
                  <w:lang w:val="zh-CN"/>
                </w:rPr>
                <w:t>采购信息公告</w:t>
              </w:r>
              <w:r>
                <w:tab/>
              </w:r>
              <w:r>
                <w:fldChar w:fldCharType="begin"/>
              </w:r>
              <w:r>
                <w:instrText xml:space="preserve"> PAGEREF _Toc25307 </w:instrText>
              </w:r>
              <w:r>
                <w:fldChar w:fldCharType="separate"/>
              </w:r>
              <w:r>
                <w:t>19</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_Toc12492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八、 </w:t>
              </w:r>
              <w:r>
                <w:rPr>
                  <w:rFonts w:hint="eastAsia" w:cs="Times New Roman" w:asciiTheme="majorEastAsia" w:hAnsiTheme="majorEastAsia"/>
                  <w:bCs w:val="0"/>
                  <w:lang w:val="zh-CN"/>
                </w:rPr>
                <w:t>质疑及提交</w:t>
              </w:r>
              <w:r>
                <w:tab/>
              </w:r>
              <w:r>
                <w:fldChar w:fldCharType="begin"/>
              </w:r>
              <w:r>
                <w:instrText xml:space="preserve"> PAGEREF _Toc12492 </w:instrText>
              </w:r>
              <w:r>
                <w:fldChar w:fldCharType="separate"/>
              </w:r>
              <w:r>
                <w:t>19</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_Toc16042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九、 </w:t>
              </w:r>
              <w:r>
                <w:rPr>
                  <w:rFonts w:hint="eastAsia" w:cs="Times New Roman" w:asciiTheme="majorEastAsia" w:hAnsiTheme="majorEastAsia"/>
                  <w:bCs w:val="0"/>
                  <w:lang w:val="zh-CN"/>
                </w:rPr>
                <w:t>相关条文解读</w:t>
              </w:r>
              <w:r>
                <w:tab/>
              </w:r>
              <w:r>
                <w:fldChar w:fldCharType="begin"/>
              </w:r>
              <w:r>
                <w:instrText xml:space="preserve"> PAGEREF _Toc16042 </w:instrText>
              </w:r>
              <w:r>
                <w:fldChar w:fldCharType="separate"/>
              </w:r>
              <w:r>
                <w:t>20</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_Toc8111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十、 </w:t>
              </w:r>
              <w:r>
                <w:rPr>
                  <w:rFonts w:hint="eastAsia" w:cs="Times New Roman" w:asciiTheme="majorEastAsia" w:hAnsiTheme="majorEastAsia"/>
                  <w:bCs w:val="0"/>
                  <w:lang w:val="zh-CN"/>
                </w:rPr>
                <w:t>其他注意事项</w:t>
              </w:r>
              <w:r>
                <w:tab/>
              </w:r>
              <w:r>
                <w:fldChar w:fldCharType="begin"/>
              </w:r>
              <w:r>
                <w:instrText xml:space="preserve"> PAGEREF _Toc8111 </w:instrText>
              </w:r>
              <w:r>
                <w:fldChar w:fldCharType="separate"/>
              </w:r>
              <w:r>
                <w:t>20</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_Toc18358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十一、 </w:t>
              </w:r>
              <w:r>
                <w:rPr>
                  <w:rFonts w:hint="eastAsia" w:cs="Times New Roman" w:asciiTheme="majorEastAsia" w:hAnsiTheme="majorEastAsia"/>
                  <w:bCs w:val="0"/>
                  <w:lang w:val="zh-CN"/>
                </w:rPr>
                <w:t>适用法律</w:t>
              </w:r>
              <w:r>
                <w:tab/>
              </w:r>
              <w:r>
                <w:fldChar w:fldCharType="begin"/>
              </w:r>
              <w:r>
                <w:instrText xml:space="preserve"> PAGEREF _Toc18358 </w:instrText>
              </w:r>
              <w:r>
                <w:fldChar w:fldCharType="separate"/>
              </w:r>
              <w:r>
                <w:t>20</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_Toc28045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 xml:space="preserve">十二、 </w:t>
              </w:r>
              <w:r>
                <w:rPr>
                  <w:rFonts w:hint="eastAsia" w:cs="Times New Roman" w:asciiTheme="majorEastAsia" w:hAnsiTheme="majorEastAsia"/>
                  <w:bCs w:val="0"/>
                  <w:lang w:val="zh-CN"/>
                </w:rPr>
                <w:t>招标文件的解释权</w:t>
              </w:r>
              <w:r>
                <w:tab/>
              </w:r>
              <w:r>
                <w:fldChar w:fldCharType="begin"/>
              </w:r>
              <w:r>
                <w:instrText xml:space="preserve"> PAGEREF _Toc28045 </w:instrText>
              </w:r>
              <w:r>
                <w:fldChar w:fldCharType="separate"/>
              </w:r>
              <w:r>
                <w:t>21</w:t>
              </w:r>
              <w:r>
                <w:fldChar w:fldCharType="end"/>
              </w:r>
              <w:r>
                <w:rPr>
                  <w:rFonts w:hint="eastAsia" w:ascii="黑体" w:hAnsi="黑体" w:eastAsia="黑体"/>
                  <w:szCs w:val="44"/>
                </w:rPr>
                <w:fldChar w:fldCharType="end"/>
              </w:r>
            </w:p>
            <w:p>
              <w:pPr>
                <w:pStyle w:val="17"/>
                <w:tabs>
                  <w:tab w:val="right" w:leader="dot" w:pos="8504"/>
                </w:tabs>
              </w:pPr>
              <w:r>
                <w:rPr>
                  <w:rFonts w:hint="eastAsia" w:ascii="黑体" w:hAnsi="黑体" w:eastAsia="黑体"/>
                  <w:szCs w:val="44"/>
                </w:rPr>
                <w:fldChar w:fldCharType="begin"/>
              </w:r>
              <w:r>
                <w:rPr>
                  <w:rFonts w:hint="eastAsia" w:ascii="黑体" w:hAnsi="黑体" w:eastAsia="黑体"/>
                  <w:szCs w:val="44"/>
                </w:rPr>
                <w:instrText xml:space="preserve"> HYPERLINK \l _Toc25774 </w:instrText>
              </w:r>
              <w:r>
                <w:rPr>
                  <w:rFonts w:hint="eastAsia" w:ascii="黑体" w:hAnsi="黑体" w:eastAsia="黑体"/>
                  <w:szCs w:val="44"/>
                </w:rPr>
                <w:fldChar w:fldCharType="separate"/>
              </w:r>
              <w:r>
                <w:rPr>
                  <w:rFonts w:hint="eastAsia" w:ascii="黑体" w:hAnsi="黑体" w:eastAsia="黑体"/>
                </w:rPr>
                <w:t>第三章 项目技术、服务及商务要求</w:t>
              </w:r>
              <w:r>
                <w:tab/>
              </w:r>
              <w:r>
                <w:fldChar w:fldCharType="begin"/>
              </w:r>
              <w:r>
                <w:instrText xml:space="preserve"> PAGEREF _Toc25774 </w:instrText>
              </w:r>
              <w:r>
                <w:fldChar w:fldCharType="separate"/>
              </w:r>
              <w:r>
                <w:t>22</w:t>
              </w:r>
              <w:r>
                <w:fldChar w:fldCharType="end"/>
              </w:r>
              <w:r>
                <w:rPr>
                  <w:rFonts w:hint="eastAsia" w:ascii="黑体" w:hAnsi="黑体" w:eastAsia="黑体"/>
                  <w:szCs w:val="44"/>
                </w:rPr>
                <w:fldChar w:fldCharType="end"/>
              </w:r>
            </w:p>
            <w:p>
              <w:pPr>
                <w:pStyle w:val="17"/>
                <w:tabs>
                  <w:tab w:val="right" w:leader="dot" w:pos="8504"/>
                </w:tabs>
              </w:pPr>
              <w:r>
                <w:rPr>
                  <w:rFonts w:hint="eastAsia" w:ascii="黑体" w:hAnsi="黑体" w:eastAsia="黑体"/>
                  <w:szCs w:val="44"/>
                </w:rPr>
                <w:fldChar w:fldCharType="begin"/>
              </w:r>
              <w:r>
                <w:rPr>
                  <w:rFonts w:hint="eastAsia" w:ascii="黑体" w:hAnsi="黑体" w:eastAsia="黑体"/>
                  <w:szCs w:val="44"/>
                </w:rPr>
                <w:instrText xml:space="preserve"> HYPERLINK \l _Toc15881 </w:instrText>
              </w:r>
              <w:r>
                <w:rPr>
                  <w:rFonts w:hint="eastAsia" w:ascii="黑体" w:hAnsi="黑体" w:eastAsia="黑体"/>
                  <w:szCs w:val="44"/>
                </w:rPr>
                <w:fldChar w:fldCharType="separate"/>
              </w:r>
              <w:r>
                <w:rPr>
                  <w:rFonts w:hint="eastAsia" w:ascii="黑体" w:hAnsi="黑体" w:eastAsia="黑体"/>
                </w:rPr>
                <w:t>第四章 资格审查方法及标准</w:t>
              </w:r>
              <w:r>
                <w:tab/>
              </w:r>
              <w:r>
                <w:fldChar w:fldCharType="begin"/>
              </w:r>
              <w:r>
                <w:instrText xml:space="preserve"> PAGEREF _Toc15881 </w:instrText>
              </w:r>
              <w:r>
                <w:fldChar w:fldCharType="separate"/>
              </w:r>
              <w:r>
                <w:t>25</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_Toc19379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一、 资格审查方法</w:t>
              </w:r>
              <w:r>
                <w:tab/>
              </w:r>
              <w:r>
                <w:fldChar w:fldCharType="begin"/>
              </w:r>
              <w:r>
                <w:instrText xml:space="preserve"> PAGEREF _Toc19379 </w:instrText>
              </w:r>
              <w:r>
                <w:fldChar w:fldCharType="separate"/>
              </w:r>
              <w:r>
                <w:t>25</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_Toc5048 </w:instrText>
              </w:r>
              <w:r>
                <w:rPr>
                  <w:rFonts w:hint="eastAsia" w:ascii="黑体" w:hAnsi="黑体" w:eastAsia="黑体"/>
                  <w:szCs w:val="44"/>
                </w:rPr>
                <w:fldChar w:fldCharType="separate"/>
              </w:r>
              <w:r>
                <w:rPr>
                  <w:rFonts w:hint="eastAsia" w:cs="Times New Roman" w:asciiTheme="majorEastAsia" w:hAnsiTheme="majorEastAsia"/>
                  <w:bCs w:val="0"/>
                  <w:szCs w:val="30"/>
                  <w:lang w:val="zh-CN"/>
                </w:rPr>
                <w:t>二、 资格审查标准</w:t>
              </w:r>
              <w:r>
                <w:tab/>
              </w:r>
              <w:r>
                <w:fldChar w:fldCharType="begin"/>
              </w:r>
              <w:r>
                <w:instrText xml:space="preserve"> PAGEREF _Toc5048 </w:instrText>
              </w:r>
              <w:r>
                <w:fldChar w:fldCharType="separate"/>
              </w:r>
              <w:r>
                <w:t>25</w:t>
              </w:r>
              <w:r>
                <w:fldChar w:fldCharType="end"/>
              </w:r>
              <w:r>
                <w:rPr>
                  <w:rFonts w:hint="eastAsia" w:ascii="黑体" w:hAnsi="黑体" w:eastAsia="黑体"/>
                  <w:szCs w:val="44"/>
                </w:rPr>
                <w:fldChar w:fldCharType="end"/>
              </w:r>
            </w:p>
            <w:p>
              <w:pPr>
                <w:pStyle w:val="17"/>
                <w:tabs>
                  <w:tab w:val="right" w:leader="dot" w:pos="8504"/>
                </w:tabs>
              </w:pPr>
              <w:r>
                <w:rPr>
                  <w:rFonts w:hint="eastAsia" w:ascii="黑体" w:hAnsi="黑体" w:eastAsia="黑体"/>
                  <w:szCs w:val="44"/>
                </w:rPr>
                <w:fldChar w:fldCharType="begin"/>
              </w:r>
              <w:r>
                <w:rPr>
                  <w:rFonts w:hint="eastAsia" w:ascii="黑体" w:hAnsi="黑体" w:eastAsia="黑体"/>
                  <w:szCs w:val="44"/>
                </w:rPr>
                <w:instrText xml:space="preserve"> HYPERLINK \l _Toc28176 </w:instrText>
              </w:r>
              <w:r>
                <w:rPr>
                  <w:rFonts w:hint="eastAsia" w:ascii="黑体" w:hAnsi="黑体" w:eastAsia="黑体"/>
                  <w:szCs w:val="44"/>
                </w:rPr>
                <w:fldChar w:fldCharType="separate"/>
              </w:r>
              <w:r>
                <w:rPr>
                  <w:rFonts w:hint="eastAsia" w:ascii="黑体" w:hAnsi="黑体" w:eastAsia="黑体"/>
                </w:rPr>
                <w:t>第五章 评标方法、程序及标准</w:t>
              </w:r>
              <w:r>
                <w:tab/>
              </w:r>
              <w:r>
                <w:fldChar w:fldCharType="begin"/>
              </w:r>
              <w:r>
                <w:instrText xml:space="preserve"> PAGEREF _Toc28176 </w:instrText>
              </w:r>
              <w:r>
                <w:fldChar w:fldCharType="separate"/>
              </w:r>
              <w:r>
                <w:t>27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_Toc30591 </w:instrText>
              </w:r>
              <w:r>
                <w:rPr>
                  <w:rFonts w:hint="eastAsia" w:ascii="黑体" w:hAnsi="黑体" w:eastAsia="黑体"/>
                  <w:szCs w:val="44"/>
                </w:rPr>
                <w:fldChar w:fldCharType="separate"/>
              </w:r>
              <w:r>
                <w:rPr>
                  <w:rFonts w:hint="eastAsia" w:cs="Times New Roman" w:asciiTheme="majorEastAsia" w:hAnsiTheme="majorEastAsia"/>
                  <w:bCs w:val="0"/>
                  <w:szCs w:val="30"/>
                  <w:lang w:val="zh-CN" w:eastAsia="zh-CN"/>
                </w:rPr>
                <w:t>一、 评标方法</w:t>
              </w:r>
              <w:r>
                <w:tab/>
              </w:r>
              <w:r>
                <w:fldChar w:fldCharType="begin"/>
              </w:r>
              <w:r>
                <w:instrText xml:space="preserve"> PAGEREF _Toc30591 </w:instrText>
              </w:r>
              <w:r>
                <w:fldChar w:fldCharType="separate"/>
              </w:r>
              <w:r>
                <w:t>27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_Toc17085 </w:instrText>
              </w:r>
              <w:r>
                <w:rPr>
                  <w:rFonts w:hint="eastAsia" w:ascii="黑体" w:hAnsi="黑体" w:eastAsia="黑体"/>
                  <w:szCs w:val="44"/>
                </w:rPr>
                <w:fldChar w:fldCharType="separate"/>
              </w:r>
              <w:r>
                <w:rPr>
                  <w:rFonts w:hint="eastAsia" w:cs="Times New Roman" w:asciiTheme="majorEastAsia" w:hAnsiTheme="majorEastAsia"/>
                  <w:bCs w:val="0"/>
                  <w:szCs w:val="30"/>
                  <w:lang w:val="zh-CN" w:eastAsia="zh-CN"/>
                </w:rPr>
                <w:t>二、 评标程序及标准</w:t>
              </w:r>
              <w:r>
                <w:tab/>
              </w:r>
              <w:r>
                <w:fldChar w:fldCharType="begin"/>
              </w:r>
              <w:r>
                <w:instrText xml:space="preserve"> PAGEREF _Toc17085 </w:instrText>
              </w:r>
              <w:r>
                <w:fldChar w:fldCharType="separate"/>
              </w:r>
              <w:r>
                <w:t>27</w:t>
              </w:r>
              <w:r>
                <w:fldChar w:fldCharType="end"/>
              </w:r>
              <w:r>
                <w:rPr>
                  <w:rFonts w:hint="eastAsia" w:ascii="黑体" w:hAnsi="黑体" w:eastAsia="黑体"/>
                  <w:szCs w:val="44"/>
                </w:rPr>
                <w:fldChar w:fldCharType="end"/>
              </w:r>
            </w:p>
            <w:p>
              <w:pPr>
                <w:pStyle w:val="17"/>
                <w:tabs>
                  <w:tab w:val="right" w:leader="dot" w:pos="8504"/>
                </w:tabs>
              </w:pPr>
              <w:r>
                <w:rPr>
                  <w:rFonts w:hint="eastAsia" w:ascii="黑体" w:hAnsi="黑体" w:eastAsia="黑体"/>
                  <w:szCs w:val="44"/>
                </w:rPr>
                <w:fldChar w:fldCharType="begin"/>
              </w:r>
              <w:r>
                <w:rPr>
                  <w:rFonts w:hint="eastAsia" w:ascii="黑体" w:hAnsi="黑体" w:eastAsia="黑体"/>
                  <w:szCs w:val="44"/>
                </w:rPr>
                <w:instrText xml:space="preserve"> HYPERLINK \l _Toc22421 </w:instrText>
              </w:r>
              <w:r>
                <w:rPr>
                  <w:rFonts w:hint="eastAsia" w:ascii="黑体" w:hAnsi="黑体" w:eastAsia="黑体"/>
                  <w:szCs w:val="44"/>
                </w:rPr>
                <w:fldChar w:fldCharType="separate"/>
              </w:r>
              <w:r>
                <w:rPr>
                  <w:rFonts w:hint="eastAsia" w:ascii="黑体" w:hAnsi="黑体" w:eastAsia="黑体"/>
                </w:rPr>
                <w:t>第六章 合同书格式（参考）</w:t>
              </w:r>
              <w:r>
                <w:tab/>
              </w:r>
              <w:r>
                <w:fldChar w:fldCharType="begin"/>
              </w:r>
              <w:r>
                <w:instrText xml:space="preserve"> PAGEREF _Toc22421 </w:instrText>
              </w:r>
              <w:r>
                <w:fldChar w:fldCharType="separate"/>
              </w:r>
              <w:r>
                <w:t>31</w:t>
              </w:r>
              <w:r>
                <w:fldChar w:fldCharType="end"/>
              </w:r>
              <w:r>
                <w:rPr>
                  <w:rFonts w:hint="eastAsia" w:ascii="黑体" w:hAnsi="黑体" w:eastAsia="黑体"/>
                  <w:szCs w:val="44"/>
                </w:rPr>
                <w:fldChar w:fldCharType="end"/>
              </w:r>
            </w:p>
            <w:p>
              <w:pPr>
                <w:pStyle w:val="17"/>
                <w:tabs>
                  <w:tab w:val="right" w:leader="dot" w:pos="8504"/>
                </w:tabs>
              </w:pPr>
              <w:r>
                <w:rPr>
                  <w:rFonts w:hint="eastAsia" w:ascii="黑体" w:hAnsi="黑体" w:eastAsia="黑体"/>
                  <w:szCs w:val="44"/>
                </w:rPr>
                <w:fldChar w:fldCharType="begin"/>
              </w:r>
              <w:r>
                <w:rPr>
                  <w:rFonts w:hint="eastAsia" w:ascii="黑体" w:hAnsi="黑体" w:eastAsia="黑体"/>
                  <w:szCs w:val="44"/>
                </w:rPr>
                <w:instrText xml:space="preserve"> HYPERLINK \l _Toc28099 </w:instrText>
              </w:r>
              <w:r>
                <w:rPr>
                  <w:rFonts w:hint="eastAsia" w:ascii="黑体" w:hAnsi="黑体" w:eastAsia="黑体"/>
                  <w:szCs w:val="44"/>
                </w:rPr>
                <w:fldChar w:fldCharType="separate"/>
              </w:r>
              <w:r>
                <w:rPr>
                  <w:rFonts w:hint="eastAsia" w:ascii="黑体" w:hAnsi="黑体" w:eastAsia="黑体"/>
                </w:rPr>
                <w:t>第七章 投标文件格式（参考）</w:t>
              </w:r>
              <w:r>
                <w:tab/>
              </w:r>
              <w:r>
                <w:fldChar w:fldCharType="begin"/>
              </w:r>
              <w:r>
                <w:instrText xml:space="preserve"> PAGEREF _Toc28099 </w:instrText>
              </w:r>
              <w:r>
                <w:fldChar w:fldCharType="separate"/>
              </w:r>
              <w:r>
                <w:t>33</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_Toc17351 </w:instrText>
              </w:r>
              <w:r>
                <w:rPr>
                  <w:rFonts w:hint="eastAsia" w:ascii="黑体" w:hAnsi="黑体" w:eastAsia="黑体"/>
                  <w:szCs w:val="44"/>
                </w:rPr>
                <w:fldChar w:fldCharType="separate"/>
              </w:r>
              <w:r>
                <w:rPr>
                  <w:rFonts w:hint="eastAsia" w:cs="Times New Roman" w:asciiTheme="majorEastAsia" w:hAnsiTheme="majorEastAsia"/>
                  <w:bCs w:val="0"/>
                  <w:szCs w:val="44"/>
                  <w:lang w:val="zh-CN"/>
                </w:rPr>
                <w:t>第一部分 资格证明文件</w:t>
              </w:r>
              <w:r>
                <w:tab/>
              </w:r>
              <w:r>
                <w:fldChar w:fldCharType="begin"/>
              </w:r>
              <w:r>
                <w:instrText xml:space="preserve"> PAGEREF _Toc17351 </w:instrText>
              </w:r>
              <w:r>
                <w:fldChar w:fldCharType="separate"/>
              </w:r>
              <w:r>
                <w:t>33</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_Toc29696 </w:instrText>
              </w:r>
              <w:r>
                <w:rPr>
                  <w:rFonts w:hint="eastAsia" w:ascii="黑体" w:hAnsi="黑体" w:eastAsia="黑体"/>
                  <w:szCs w:val="44"/>
                </w:rPr>
                <w:fldChar w:fldCharType="separate"/>
              </w:r>
              <w:r>
                <w:rPr>
                  <w:rFonts w:hint="eastAsia" w:cs="Times New Roman" w:asciiTheme="majorEastAsia" w:hAnsiTheme="majorEastAsia"/>
                  <w:bCs w:val="0"/>
                  <w:szCs w:val="44"/>
                  <w:lang w:val="zh-CN"/>
                </w:rPr>
                <w:t>第二部分 商务文件</w:t>
              </w:r>
              <w:r>
                <w:tab/>
              </w:r>
              <w:r>
                <w:fldChar w:fldCharType="begin"/>
              </w:r>
              <w:r>
                <w:instrText xml:space="preserve"> PAGEREF _Toc29696 </w:instrText>
              </w:r>
              <w:r>
                <w:fldChar w:fldCharType="separate"/>
              </w:r>
              <w:r>
                <w:t>35</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_Toc6327 </w:instrText>
              </w:r>
              <w:r>
                <w:rPr>
                  <w:rFonts w:hint="eastAsia" w:ascii="黑体" w:hAnsi="黑体" w:eastAsia="黑体"/>
                  <w:szCs w:val="44"/>
                </w:rPr>
                <w:fldChar w:fldCharType="separate"/>
              </w:r>
              <w:r>
                <w:rPr>
                  <w:rFonts w:hint="eastAsia" w:cs="Times New Roman" w:asciiTheme="majorEastAsia" w:hAnsiTheme="majorEastAsia"/>
                  <w:bCs w:val="0"/>
                  <w:szCs w:val="44"/>
                  <w:lang w:val="zh-CN"/>
                </w:rPr>
                <w:t>第三部分 技术、服务文件</w:t>
              </w:r>
              <w:r>
                <w:tab/>
              </w:r>
              <w:r>
                <w:fldChar w:fldCharType="begin"/>
              </w:r>
              <w:r>
                <w:instrText xml:space="preserve"> PAGEREF _Toc6327 </w:instrText>
              </w:r>
              <w:r>
                <w:fldChar w:fldCharType="separate"/>
              </w:r>
              <w:r>
                <w:t>37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_Toc26081 </w:instrText>
              </w:r>
              <w:r>
                <w:rPr>
                  <w:rFonts w:hint="eastAsia" w:ascii="黑体" w:hAnsi="黑体" w:eastAsia="黑体"/>
                  <w:szCs w:val="44"/>
                </w:rPr>
                <w:fldChar w:fldCharType="separate"/>
              </w:r>
              <w:r>
                <w:rPr>
                  <w:rFonts w:hint="eastAsia" w:ascii="宋体" w:hAnsi="宋体" w:eastAsia="宋体"/>
                  <w:i w:val="0"/>
                </w:rPr>
                <w:t xml:space="preserve">附件一、 </w:t>
              </w:r>
              <w:r>
                <w:rPr>
                  <w:rFonts w:hint="eastAsia" w:ascii="宋体" w:hAnsi="宋体" w:eastAsia="宋体"/>
                </w:rPr>
                <w:t>投标书</w:t>
              </w:r>
              <w:r>
                <w:tab/>
              </w:r>
              <w:r>
                <w:fldChar w:fldCharType="begin"/>
              </w:r>
              <w:r>
                <w:instrText xml:space="preserve"> PAGEREF _Toc26081 </w:instrText>
              </w:r>
              <w:r>
                <w:fldChar w:fldCharType="separate"/>
              </w:r>
              <w:r>
                <w:t>39</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_Toc31269 </w:instrText>
              </w:r>
              <w:r>
                <w:rPr>
                  <w:rFonts w:hint="eastAsia" w:ascii="黑体" w:hAnsi="黑体" w:eastAsia="黑体"/>
                  <w:szCs w:val="44"/>
                </w:rPr>
                <w:fldChar w:fldCharType="separate"/>
              </w:r>
              <w:r>
                <w:rPr>
                  <w:rFonts w:hint="eastAsia" w:ascii="宋体" w:hAnsi="宋体" w:eastAsia="宋体"/>
                  <w:i w:val="0"/>
                </w:rPr>
                <w:t xml:space="preserve">附件二、 </w:t>
              </w:r>
              <w:r>
                <w:rPr>
                  <w:rFonts w:hint="eastAsia" w:ascii="宋体" w:hAnsi="宋体" w:eastAsia="宋体"/>
                </w:rPr>
                <w:t>制造商中小企业声明函</w:t>
              </w:r>
              <w:r>
                <w:tab/>
              </w:r>
              <w:r>
                <w:fldChar w:fldCharType="begin"/>
              </w:r>
              <w:r>
                <w:instrText xml:space="preserve"> PAGEREF _Toc31269 </w:instrText>
              </w:r>
              <w:r>
                <w:fldChar w:fldCharType="separate"/>
              </w:r>
              <w:r>
                <w:t>40</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_Toc262 </w:instrText>
              </w:r>
              <w:r>
                <w:rPr>
                  <w:rFonts w:hint="eastAsia" w:ascii="黑体" w:hAnsi="黑体" w:eastAsia="黑体"/>
                  <w:szCs w:val="44"/>
                </w:rPr>
                <w:fldChar w:fldCharType="separate"/>
              </w:r>
              <w:r>
                <w:rPr>
                  <w:rFonts w:hint="eastAsia" w:ascii="宋体" w:hAnsi="宋体" w:eastAsia="宋体"/>
                  <w:i w:val="0"/>
                </w:rPr>
                <w:t xml:space="preserve">附件三、 </w:t>
              </w:r>
              <w:r>
                <w:rPr>
                  <w:rFonts w:hint="eastAsia" w:ascii="宋体" w:hAnsi="宋体" w:eastAsia="宋体"/>
                </w:rPr>
                <w:t>中小企业声明函</w:t>
              </w:r>
              <w:r>
                <w:tab/>
              </w:r>
              <w:r>
                <w:fldChar w:fldCharType="begin"/>
              </w:r>
              <w:r>
                <w:instrText xml:space="preserve"> PAGEREF _Toc262 </w:instrText>
              </w:r>
              <w:r>
                <w:fldChar w:fldCharType="separate"/>
              </w:r>
              <w:r>
                <w:t>41</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_Toc15500 </w:instrText>
              </w:r>
              <w:r>
                <w:rPr>
                  <w:rFonts w:hint="eastAsia" w:ascii="黑体" w:hAnsi="黑体" w:eastAsia="黑体"/>
                  <w:szCs w:val="44"/>
                </w:rPr>
                <w:fldChar w:fldCharType="separate"/>
              </w:r>
              <w:r>
                <w:rPr>
                  <w:rFonts w:hint="eastAsia" w:ascii="宋体" w:hAnsi="宋体" w:eastAsia="宋体"/>
                  <w:i w:val="0"/>
                </w:rPr>
                <w:t xml:space="preserve">附件四、 </w:t>
              </w:r>
              <w:r>
                <w:rPr>
                  <w:rFonts w:hint="eastAsia" w:ascii="宋体" w:hAnsi="宋体" w:eastAsia="宋体"/>
                </w:rPr>
                <w:t>残疾人福利性单位声明函</w:t>
              </w:r>
              <w:r>
                <w:tab/>
              </w:r>
              <w:r>
                <w:fldChar w:fldCharType="begin"/>
              </w:r>
              <w:r>
                <w:instrText xml:space="preserve"> PAGEREF _Toc15500 </w:instrText>
              </w:r>
              <w:r>
                <w:fldChar w:fldCharType="separate"/>
              </w:r>
              <w:r>
                <w:t>43</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_Toc2030 </w:instrText>
              </w:r>
              <w:r>
                <w:rPr>
                  <w:rFonts w:hint="eastAsia" w:ascii="黑体" w:hAnsi="黑体" w:eastAsia="黑体"/>
                  <w:szCs w:val="44"/>
                </w:rPr>
                <w:fldChar w:fldCharType="separate"/>
              </w:r>
              <w:r>
                <w:rPr>
                  <w:rFonts w:hint="eastAsia" w:ascii="宋体" w:hAnsi="宋体" w:eastAsia="宋体"/>
                  <w:i w:val="0"/>
                </w:rPr>
                <w:t xml:space="preserve">附件五、 </w:t>
              </w:r>
              <w:r>
                <w:rPr>
                  <w:rFonts w:hint="eastAsia" w:ascii="宋体" w:hAnsi="宋体" w:eastAsia="宋体"/>
                </w:rPr>
                <w:t>开标一览表</w:t>
              </w:r>
              <w:r>
                <w:tab/>
              </w:r>
              <w:r>
                <w:fldChar w:fldCharType="begin"/>
              </w:r>
              <w:r>
                <w:instrText xml:space="preserve"> PAGEREF _Toc2030 </w:instrText>
              </w:r>
              <w:r>
                <w:fldChar w:fldCharType="separate"/>
              </w:r>
              <w:r>
                <w:t>46</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_Toc8342 </w:instrText>
              </w:r>
              <w:r>
                <w:rPr>
                  <w:rFonts w:hint="eastAsia" w:ascii="黑体" w:hAnsi="黑体" w:eastAsia="黑体"/>
                  <w:szCs w:val="44"/>
                </w:rPr>
                <w:fldChar w:fldCharType="separate"/>
              </w:r>
              <w:r>
                <w:rPr>
                  <w:rFonts w:hint="eastAsia" w:ascii="宋体" w:hAnsi="宋体" w:eastAsia="宋体"/>
                  <w:i w:val="0"/>
                </w:rPr>
                <w:t xml:space="preserve">附件六、 </w:t>
              </w:r>
              <w:r>
                <w:rPr>
                  <w:rFonts w:hint="eastAsia" w:ascii="宋体" w:hAnsi="宋体" w:eastAsia="宋体"/>
                </w:rPr>
                <w:t>投标报价明细表</w:t>
              </w:r>
              <w:r>
                <w:tab/>
              </w:r>
              <w:r>
                <w:fldChar w:fldCharType="begin"/>
              </w:r>
              <w:r>
                <w:instrText xml:space="preserve"> PAGEREF _Toc8342 </w:instrText>
              </w:r>
              <w:r>
                <w:fldChar w:fldCharType="separate"/>
              </w:r>
              <w:r>
                <w:t>47</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_Toc18463 </w:instrText>
              </w:r>
              <w:r>
                <w:rPr>
                  <w:rFonts w:hint="eastAsia" w:ascii="黑体" w:hAnsi="黑体" w:eastAsia="黑体"/>
                  <w:szCs w:val="44"/>
                </w:rPr>
                <w:fldChar w:fldCharType="separate"/>
              </w:r>
              <w:r>
                <w:rPr>
                  <w:rFonts w:hint="eastAsia" w:ascii="宋体" w:hAnsi="宋体" w:eastAsia="宋体"/>
                  <w:i w:val="0"/>
                  <w:szCs w:val="31"/>
                </w:rPr>
                <w:t xml:space="preserve">附件七、 </w:t>
              </w:r>
              <w:r>
                <w:rPr>
                  <w:rFonts w:hint="eastAsia" w:ascii="宋体" w:hAnsi="宋体" w:eastAsia="宋体"/>
                  <w:szCs w:val="31"/>
                </w:rPr>
                <w:t>小型和微型企业、监狱企业、残疾人福利性单位货物汇总表</w:t>
              </w:r>
              <w:r>
                <w:tab/>
              </w:r>
              <w:r>
                <w:fldChar w:fldCharType="begin"/>
              </w:r>
              <w:r>
                <w:instrText xml:space="preserve"> PAGEREF _Toc18463 </w:instrText>
              </w:r>
              <w:r>
                <w:fldChar w:fldCharType="separate"/>
              </w:r>
              <w:r>
                <w:t>48</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_Toc5938 </w:instrText>
              </w:r>
              <w:r>
                <w:rPr>
                  <w:rFonts w:hint="eastAsia" w:ascii="黑体" w:hAnsi="黑体" w:eastAsia="黑体"/>
                  <w:szCs w:val="44"/>
                </w:rPr>
                <w:fldChar w:fldCharType="separate"/>
              </w:r>
              <w:r>
                <w:rPr>
                  <w:rFonts w:hint="eastAsia" w:ascii="宋体" w:hAnsi="宋体" w:eastAsia="宋体"/>
                  <w:i w:val="0"/>
                </w:rPr>
                <w:t xml:space="preserve">附件八、 </w:t>
              </w:r>
              <w:r>
                <w:rPr>
                  <w:rFonts w:hint="eastAsia" w:ascii="宋体" w:hAnsi="宋体" w:eastAsia="宋体"/>
                </w:rPr>
                <w:t>投标货物（工程或服务）清单</w:t>
              </w:r>
              <w:r>
                <w:tab/>
              </w:r>
              <w:r>
                <w:fldChar w:fldCharType="begin"/>
              </w:r>
              <w:r>
                <w:instrText xml:space="preserve"> PAGEREF _Toc5938 </w:instrText>
              </w:r>
              <w:r>
                <w:fldChar w:fldCharType="separate"/>
              </w:r>
              <w:r>
                <w:t>49</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_Toc19041 </w:instrText>
              </w:r>
              <w:r>
                <w:rPr>
                  <w:rFonts w:hint="eastAsia" w:ascii="黑体" w:hAnsi="黑体" w:eastAsia="黑体"/>
                  <w:szCs w:val="44"/>
                </w:rPr>
                <w:fldChar w:fldCharType="separate"/>
              </w:r>
              <w:r>
                <w:rPr>
                  <w:rFonts w:hint="eastAsia" w:ascii="宋体" w:hAnsi="宋体" w:eastAsia="宋体"/>
                  <w:i w:val="0"/>
                </w:rPr>
                <w:t xml:space="preserve">附件九、 </w:t>
              </w:r>
              <w:r>
                <w:rPr>
                  <w:rFonts w:hint="eastAsia" w:ascii="宋体" w:hAnsi="宋体" w:eastAsia="宋体"/>
                </w:rPr>
                <w:t>法定代表人授权书</w:t>
              </w:r>
              <w:r>
                <w:tab/>
              </w:r>
              <w:r>
                <w:fldChar w:fldCharType="begin"/>
              </w:r>
              <w:r>
                <w:instrText xml:space="preserve"> PAGEREF _Toc19041 </w:instrText>
              </w:r>
              <w:r>
                <w:fldChar w:fldCharType="separate"/>
              </w:r>
              <w:r>
                <w:t>50</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_Toc15182 </w:instrText>
              </w:r>
              <w:r>
                <w:rPr>
                  <w:rFonts w:hint="eastAsia" w:ascii="黑体" w:hAnsi="黑体" w:eastAsia="黑体"/>
                  <w:szCs w:val="44"/>
                </w:rPr>
                <w:fldChar w:fldCharType="separate"/>
              </w:r>
              <w:r>
                <w:rPr>
                  <w:rFonts w:hint="eastAsia" w:ascii="宋体" w:hAnsi="宋体" w:eastAsia="宋体"/>
                  <w:i w:val="0"/>
                </w:rPr>
                <w:t xml:space="preserve">附件十、 </w:t>
              </w:r>
              <w:r>
                <w:rPr>
                  <w:rFonts w:hint="eastAsia" w:ascii="宋体" w:hAnsi="宋体" w:eastAsia="宋体"/>
                </w:rPr>
                <w:t>投标人的资格声明</w:t>
              </w:r>
              <w:r>
                <w:tab/>
              </w:r>
              <w:r>
                <w:fldChar w:fldCharType="begin"/>
              </w:r>
              <w:r>
                <w:instrText xml:space="preserve"> PAGEREF _Toc15182 </w:instrText>
              </w:r>
              <w:r>
                <w:fldChar w:fldCharType="separate"/>
              </w:r>
              <w:r>
                <w:t>51</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_Toc17927 </w:instrText>
              </w:r>
              <w:r>
                <w:rPr>
                  <w:rFonts w:hint="eastAsia" w:ascii="黑体" w:hAnsi="黑体" w:eastAsia="黑体"/>
                  <w:szCs w:val="44"/>
                </w:rPr>
                <w:fldChar w:fldCharType="separate"/>
              </w:r>
              <w:r>
                <w:rPr>
                  <w:rFonts w:hint="eastAsia" w:ascii="宋体" w:hAnsi="宋体" w:eastAsia="宋体"/>
                  <w:i w:val="0"/>
                </w:rPr>
                <w:t xml:space="preserve">附件十一、 </w:t>
              </w:r>
              <w:r>
                <w:rPr>
                  <w:rFonts w:hint="eastAsia" w:ascii="宋体" w:hAnsi="宋体" w:eastAsia="宋体"/>
                </w:rPr>
                <w:t>项目负责人、技术负责人简历表</w:t>
              </w:r>
              <w:r>
                <w:tab/>
              </w:r>
              <w:r>
                <w:fldChar w:fldCharType="begin"/>
              </w:r>
              <w:r>
                <w:instrText xml:space="preserve"> PAGEREF _Toc17927 </w:instrText>
              </w:r>
              <w:r>
                <w:fldChar w:fldCharType="separate"/>
              </w:r>
              <w:r>
                <w:t>52</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_Toc22156 </w:instrText>
              </w:r>
              <w:r>
                <w:rPr>
                  <w:rFonts w:hint="eastAsia" w:ascii="黑体" w:hAnsi="黑体" w:eastAsia="黑体"/>
                  <w:szCs w:val="44"/>
                </w:rPr>
                <w:fldChar w:fldCharType="separate"/>
              </w:r>
              <w:r>
                <w:rPr>
                  <w:rFonts w:hint="eastAsia" w:ascii="宋体" w:hAnsi="宋体" w:eastAsia="宋体"/>
                  <w:i w:val="0"/>
                </w:rPr>
                <w:t xml:space="preserve">附件十二、 </w:t>
              </w:r>
              <w:r>
                <w:rPr>
                  <w:rFonts w:hint="eastAsia" w:ascii="宋体" w:hAnsi="宋体" w:eastAsia="宋体"/>
                </w:rPr>
                <w:t>项目班子成员情况表</w:t>
              </w:r>
              <w:r>
                <w:tab/>
              </w:r>
              <w:r>
                <w:fldChar w:fldCharType="begin"/>
              </w:r>
              <w:r>
                <w:instrText xml:space="preserve"> PAGEREF _Toc22156 </w:instrText>
              </w:r>
              <w:r>
                <w:fldChar w:fldCharType="separate"/>
              </w:r>
              <w:r>
                <w:t>53</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_Toc30560 </w:instrText>
              </w:r>
              <w:r>
                <w:rPr>
                  <w:rFonts w:hint="eastAsia" w:ascii="黑体" w:hAnsi="黑体" w:eastAsia="黑体"/>
                  <w:szCs w:val="44"/>
                </w:rPr>
                <w:fldChar w:fldCharType="separate"/>
              </w:r>
              <w:r>
                <w:rPr>
                  <w:rFonts w:hint="eastAsia" w:ascii="宋体" w:hAnsi="宋体" w:eastAsia="宋体"/>
                  <w:i w:val="0"/>
                </w:rPr>
                <w:t xml:space="preserve">附件十三、 </w:t>
              </w:r>
              <w:r>
                <w:rPr>
                  <w:rFonts w:hint="eastAsia" w:ascii="宋体" w:hAnsi="宋体" w:eastAsia="宋体"/>
                </w:rPr>
                <w:t>投标人类似项目业绩表</w:t>
              </w:r>
              <w:r>
                <w:tab/>
              </w:r>
              <w:r>
                <w:fldChar w:fldCharType="begin"/>
              </w:r>
              <w:r>
                <w:instrText xml:space="preserve"> PAGEREF _Toc30560 </w:instrText>
              </w:r>
              <w:r>
                <w:fldChar w:fldCharType="separate"/>
              </w:r>
              <w:r>
                <w:t>54</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_Toc12389 </w:instrText>
              </w:r>
              <w:r>
                <w:rPr>
                  <w:rFonts w:hint="eastAsia" w:ascii="黑体" w:hAnsi="黑体" w:eastAsia="黑体"/>
                  <w:szCs w:val="44"/>
                </w:rPr>
                <w:fldChar w:fldCharType="separate"/>
              </w:r>
              <w:r>
                <w:rPr>
                  <w:rFonts w:hint="eastAsia" w:ascii="宋体" w:hAnsi="宋体" w:eastAsia="宋体"/>
                  <w:i w:val="0"/>
                </w:rPr>
                <w:t xml:space="preserve">附件十四、 </w:t>
              </w:r>
              <w:r>
                <w:rPr>
                  <w:rFonts w:hint="eastAsia" w:ascii="宋体" w:hAnsi="宋体" w:eastAsia="宋体"/>
                </w:rPr>
                <w:t>符合性审查对照表</w:t>
              </w:r>
              <w:r>
                <w:tab/>
              </w:r>
              <w:r>
                <w:fldChar w:fldCharType="begin"/>
              </w:r>
              <w:r>
                <w:instrText xml:space="preserve"> PAGEREF _Toc12389 </w:instrText>
              </w:r>
              <w:r>
                <w:fldChar w:fldCharType="separate"/>
              </w:r>
              <w:r>
                <w:t>55</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_Toc15043 </w:instrText>
              </w:r>
              <w:r>
                <w:rPr>
                  <w:rFonts w:hint="eastAsia" w:ascii="黑体" w:hAnsi="黑体" w:eastAsia="黑体"/>
                  <w:szCs w:val="44"/>
                </w:rPr>
                <w:fldChar w:fldCharType="separate"/>
              </w:r>
              <w:r>
                <w:rPr>
                  <w:rFonts w:hint="eastAsia" w:ascii="宋体" w:hAnsi="宋体" w:eastAsia="宋体"/>
                  <w:i w:val="0"/>
                </w:rPr>
                <w:t xml:space="preserve">附件十五、 </w:t>
              </w:r>
              <w:r>
                <w:rPr>
                  <w:rFonts w:hint="eastAsia" w:ascii="宋体" w:hAnsi="宋体" w:eastAsia="宋体"/>
                </w:rPr>
                <w:t>商务要求响应、偏离说明表</w:t>
              </w:r>
              <w:r>
                <w:tab/>
              </w:r>
              <w:r>
                <w:fldChar w:fldCharType="begin"/>
              </w:r>
              <w:r>
                <w:instrText xml:space="preserve"> PAGEREF _Toc15043 </w:instrText>
              </w:r>
              <w:r>
                <w:fldChar w:fldCharType="separate"/>
              </w:r>
              <w:r>
                <w:t>56</w:t>
              </w:r>
              <w:r>
                <w:fldChar w:fldCharType="end"/>
              </w:r>
              <w:r>
                <w:rPr>
                  <w:rFonts w:hint="eastAsia" w:ascii="黑体" w:hAnsi="黑体" w:eastAsia="黑体"/>
                  <w:szCs w:val="44"/>
                </w:rPr>
                <w:fldChar w:fldCharType="end"/>
              </w:r>
            </w:p>
            <w:p>
              <w:pPr>
                <w:pStyle w:val="18"/>
                <w:tabs>
                  <w:tab w:val="right" w:leader="dot" w:pos="8504"/>
                  <w:tab w:val="clear" w:pos="756"/>
                  <w:tab w:val="clear" w:pos="966"/>
                  <w:tab w:val="clear" w:pos="1204"/>
                  <w:tab w:val="clear" w:pos="1442"/>
                  <w:tab w:val="clear" w:pos="9514"/>
                </w:tabs>
              </w:pPr>
              <w:r>
                <w:rPr>
                  <w:rFonts w:hint="eastAsia" w:ascii="黑体" w:hAnsi="黑体" w:eastAsia="黑体"/>
                  <w:szCs w:val="44"/>
                </w:rPr>
                <w:fldChar w:fldCharType="begin"/>
              </w:r>
              <w:r>
                <w:rPr>
                  <w:rFonts w:hint="eastAsia" w:ascii="黑体" w:hAnsi="黑体" w:eastAsia="黑体"/>
                  <w:szCs w:val="44"/>
                </w:rPr>
                <w:instrText xml:space="preserve"> HYPERLINK \l _Toc9110 </w:instrText>
              </w:r>
              <w:r>
                <w:rPr>
                  <w:rFonts w:hint="eastAsia" w:ascii="黑体" w:hAnsi="黑体" w:eastAsia="黑体"/>
                  <w:szCs w:val="44"/>
                </w:rPr>
                <w:fldChar w:fldCharType="separate"/>
              </w:r>
              <w:r>
                <w:rPr>
                  <w:rFonts w:hint="eastAsia" w:ascii="宋体" w:hAnsi="宋体" w:eastAsia="宋体"/>
                  <w:i w:val="0"/>
                </w:rPr>
                <w:t xml:space="preserve">附件十六、 </w:t>
              </w:r>
              <w:r>
                <w:rPr>
                  <w:rFonts w:hint="eastAsia" w:ascii="宋体" w:hAnsi="宋体" w:eastAsia="宋体"/>
                </w:rPr>
                <w:t>技术、服务要求响应、偏离说明表</w:t>
              </w:r>
              <w:r>
                <w:tab/>
              </w:r>
              <w:r>
                <w:fldChar w:fldCharType="begin"/>
              </w:r>
              <w:r>
                <w:instrText xml:space="preserve"> PAGEREF _Toc9110 </w:instrText>
              </w:r>
              <w:r>
                <w:fldChar w:fldCharType="separate"/>
              </w:r>
              <w:r>
                <w:t>57</w:t>
              </w:r>
              <w:r>
                <w:fldChar w:fldCharType="end"/>
              </w:r>
              <w:r>
                <w:rPr>
                  <w:rFonts w:hint="eastAsia" w:ascii="黑体" w:hAnsi="黑体" w:eastAsia="黑体"/>
                  <w:szCs w:val="44"/>
                </w:rPr>
                <w:fldChar w:fldCharType="end"/>
              </w:r>
            </w:p>
            <w:p>
              <w:pPr>
                <w:pStyle w:val="17"/>
                <w:tabs>
                  <w:tab w:val="left" w:pos="1260"/>
                  <w:tab w:val="right" w:leader="dot" w:pos="9514"/>
                </w:tabs>
                <w:rPr>
                  <w:rFonts w:hint="eastAsia" w:ascii="黑体" w:hAnsi="黑体" w:eastAsia="黑体" w:cstheme="minorBidi"/>
                  <w:kern w:val="2"/>
                  <w:sz w:val="21"/>
                  <w:szCs w:val="44"/>
                  <w:lang w:val="en-US" w:eastAsia="zh-CN" w:bidi="ar-SA"/>
                </w:rPr>
              </w:pPr>
              <w:r>
                <w:rPr>
                  <w:rFonts w:hint="eastAsia" w:ascii="黑体" w:hAnsi="黑体" w:eastAsia="黑体"/>
                  <w:szCs w:val="44"/>
                </w:rPr>
                <w:fldChar w:fldCharType="end"/>
              </w:r>
            </w:p>
          </w:sdtContent>
        </w:sdt>
      </w:sdtContent>
    </w:sdt>
    <w:sdt>
      <w:sdtPr>
        <w:rPr>
          <w:lang w:val="zh-CN"/>
        </w:rPr>
        <w:id w:val="1482579200"/>
      </w:sdtPr>
      <w:sdtEndPr>
        <w:rPr>
          <w:b w:val="0"/>
          <w:bCs/>
          <w:lang w:val="zh-CN"/>
        </w:rPr>
      </w:sdtEndPr>
      <w:sdtContent>
        <w:p>
          <w:pPr>
            <w:pStyle w:val="17"/>
            <w:tabs>
              <w:tab w:val="left" w:pos="1260"/>
              <w:tab w:val="right" w:leader="dot" w:pos="9514"/>
            </w:tabs>
          </w:pPr>
        </w:p>
      </w:sdtContent>
    </w:sdt>
    <w:p>
      <w:r>
        <w:br w:type="page"/>
      </w:r>
    </w:p>
    <w:p>
      <w:pPr>
        <w:pStyle w:val="3"/>
        <w:pageBreakBefore w:val="0"/>
        <w:numPr>
          <w:ilvl w:val="0"/>
          <w:numId w:val="1"/>
        </w:numPr>
        <w:kinsoku/>
        <w:wordWrap/>
        <w:overflowPunct/>
        <w:topLinePunct w:val="0"/>
        <w:autoSpaceDE/>
        <w:autoSpaceDN/>
        <w:bidi w:val="0"/>
        <w:adjustRightInd/>
        <w:snapToGrid/>
        <w:spacing w:before="0" w:after="0" w:line="480" w:lineRule="exact"/>
        <w:ind w:left="883" w:right="0" w:rightChars="0" w:hanging="880" w:hangingChars="200"/>
        <w:jc w:val="center"/>
        <w:textAlignment w:val="auto"/>
        <w:rPr>
          <w:rFonts w:ascii="黑体" w:hAnsi="黑体" w:eastAsia="黑体"/>
        </w:rPr>
      </w:pPr>
      <w:bookmarkStart w:id="0" w:name="_Toc9228"/>
      <w:bookmarkStart w:id="1" w:name="_Toc495861517"/>
      <w:r>
        <w:rPr>
          <w:rFonts w:hint="eastAsia" w:ascii="黑体" w:hAnsi="黑体" w:eastAsia="黑体"/>
        </w:rPr>
        <w:t>投标邀请书</w:t>
      </w:r>
      <w:bookmarkEnd w:id="0"/>
      <w:bookmarkEnd w:id="1"/>
    </w:p>
    <w:p>
      <w:pPr>
        <w:pStyle w:val="20"/>
        <w:pageBreakBefore w:val="0"/>
        <w:widowControl/>
        <w:pBdr>
          <w:top w:val="single" w:color="auto" w:sz="6" w:space="0"/>
          <w:left w:val="single" w:color="auto" w:sz="6" w:space="3"/>
          <w:bottom w:val="single" w:color="auto" w:sz="6" w:space="0"/>
          <w:right w:val="single" w:color="auto" w:sz="6" w:space="3"/>
        </w:pBdr>
        <w:kinsoku/>
        <w:wordWrap/>
        <w:overflowPunct/>
        <w:topLinePunct w:val="0"/>
        <w:autoSpaceDE/>
        <w:autoSpaceDN/>
        <w:bidi w:val="0"/>
        <w:adjustRightInd/>
        <w:snapToGrid/>
        <w:spacing w:beforeAutospacing="0" w:afterAutospacing="0" w:line="480" w:lineRule="exact"/>
        <w:ind w:right="0" w:rightChars="0" w:firstLine="720"/>
        <w:textAlignment w:val="auto"/>
      </w:pPr>
      <w:bookmarkStart w:id="2" w:name="_Toc495861518"/>
      <w:r>
        <w:rPr>
          <w:rFonts w:hint="eastAsia" w:ascii="宋体" w:hAnsi="宋体" w:eastAsia="宋体" w:cs="宋体"/>
          <w:sz w:val="24"/>
          <w:szCs w:val="24"/>
          <w:shd w:val="clear" w:color="auto" w:fill="FFFFFF"/>
          <w:lang w:eastAsia="zh-CN"/>
        </w:rPr>
        <w:t>阳新县2022年灭螺与防治药品采购项目</w:t>
      </w:r>
      <w:r>
        <w:rPr>
          <w:rFonts w:hint="eastAsia" w:ascii="宋体" w:hAnsi="宋体" w:eastAsia="宋体" w:cs="宋体"/>
          <w:szCs w:val="24"/>
          <w:shd w:val="clear" w:color="auto" w:fill="FFFFFF"/>
        </w:rPr>
        <w:t>的潜在投标人应在“湖北省政府采购网”、“黄石市公共资源交易信息网”及“阳新县人民政府网”获取招标文件，并于</w:t>
      </w:r>
      <w:r>
        <w:rPr>
          <w:rFonts w:hint="eastAsia" w:ascii="宋体" w:hAnsi="宋体" w:eastAsia="宋体" w:cs="宋体"/>
          <w:color w:val="FF0000"/>
          <w:szCs w:val="24"/>
          <w:shd w:val="clear" w:color="auto" w:fill="FFFFFF"/>
          <w:lang w:val="en-US" w:eastAsia="zh-CN"/>
        </w:rPr>
        <w:t>2022</w:t>
      </w:r>
      <w:r>
        <w:rPr>
          <w:rFonts w:hint="eastAsia" w:ascii="宋体" w:hAnsi="宋体" w:eastAsia="宋体" w:cs="宋体"/>
          <w:color w:val="FF0000"/>
          <w:szCs w:val="24"/>
          <w:shd w:val="clear" w:color="auto" w:fill="FFFFFF"/>
        </w:rPr>
        <w:t>年</w:t>
      </w:r>
      <w:r>
        <w:rPr>
          <w:rFonts w:hint="eastAsia" w:ascii="宋体" w:hAnsi="宋体" w:eastAsia="宋体" w:cs="宋体"/>
          <w:color w:val="FF0000"/>
          <w:szCs w:val="24"/>
          <w:shd w:val="clear" w:color="auto" w:fill="FFFFFF"/>
          <w:lang w:val="en-US" w:eastAsia="zh-CN"/>
        </w:rPr>
        <w:t>4</w:t>
      </w:r>
      <w:r>
        <w:rPr>
          <w:rFonts w:hint="eastAsia" w:ascii="宋体" w:hAnsi="宋体" w:eastAsia="宋体" w:cs="宋体"/>
          <w:color w:val="FF0000"/>
          <w:szCs w:val="24"/>
          <w:shd w:val="clear" w:color="auto" w:fill="FFFFFF"/>
        </w:rPr>
        <w:t>月</w:t>
      </w:r>
      <w:r>
        <w:rPr>
          <w:rFonts w:hint="eastAsia" w:ascii="宋体" w:hAnsi="宋体" w:eastAsia="宋体" w:cs="宋体"/>
          <w:color w:val="FF0000"/>
          <w:szCs w:val="24"/>
          <w:shd w:val="clear" w:color="auto" w:fill="FFFFFF"/>
          <w:lang w:val="en-US" w:eastAsia="zh-CN"/>
        </w:rPr>
        <w:t>8</w:t>
      </w:r>
      <w:r>
        <w:rPr>
          <w:rFonts w:hint="eastAsia" w:ascii="宋体" w:hAnsi="宋体" w:eastAsia="宋体" w:cs="宋体"/>
          <w:color w:val="FF0000"/>
          <w:szCs w:val="24"/>
          <w:shd w:val="clear" w:color="auto" w:fill="FFFFFF"/>
        </w:rPr>
        <w:t>日</w:t>
      </w:r>
      <w:r>
        <w:rPr>
          <w:rFonts w:hint="eastAsia" w:ascii="宋体" w:hAnsi="宋体" w:eastAsia="宋体" w:cs="宋体"/>
          <w:color w:val="FF0000"/>
          <w:szCs w:val="24"/>
          <w:shd w:val="clear" w:color="auto" w:fill="FFFFFF"/>
          <w:lang w:val="en-US" w:eastAsia="zh-CN"/>
        </w:rPr>
        <w:t>9</w:t>
      </w:r>
      <w:r>
        <w:rPr>
          <w:rFonts w:hint="eastAsia" w:ascii="宋体" w:hAnsi="宋体" w:eastAsia="宋体" w:cs="宋体"/>
          <w:color w:val="FF0000"/>
          <w:szCs w:val="24"/>
          <w:shd w:val="clear" w:color="auto" w:fill="FFFFFF"/>
        </w:rPr>
        <w:t>时</w:t>
      </w:r>
      <w:r>
        <w:rPr>
          <w:rFonts w:hint="eastAsia" w:ascii="宋体" w:hAnsi="宋体" w:eastAsia="宋体" w:cs="宋体"/>
          <w:color w:val="FF0000"/>
          <w:szCs w:val="24"/>
          <w:shd w:val="clear" w:color="auto" w:fill="FFFFFF"/>
          <w:lang w:val="en-US" w:eastAsia="zh-CN"/>
        </w:rPr>
        <w:t>00</w:t>
      </w:r>
      <w:r>
        <w:rPr>
          <w:rFonts w:hint="eastAsia" w:ascii="宋体" w:hAnsi="宋体" w:eastAsia="宋体" w:cs="宋体"/>
          <w:color w:val="auto"/>
          <w:szCs w:val="24"/>
          <w:shd w:val="clear" w:color="auto" w:fill="FFFFFF"/>
        </w:rPr>
        <w:t>分(</w:t>
      </w:r>
      <w:r>
        <w:rPr>
          <w:rFonts w:hint="eastAsia" w:ascii="宋体" w:hAnsi="宋体" w:eastAsia="宋体" w:cs="宋体"/>
          <w:szCs w:val="24"/>
          <w:shd w:val="clear" w:color="auto" w:fill="FFFFFF"/>
        </w:rPr>
        <w:t>北京时间）前递交投标文件。</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20"/>
        <w:textAlignment w:val="auto"/>
      </w:pPr>
      <w:r>
        <w:rPr>
          <w:rStyle w:val="25"/>
          <w:rFonts w:hint="eastAsia" w:ascii="宋体" w:hAnsi="宋体" w:eastAsia="宋体" w:cs="宋体"/>
          <w:szCs w:val="24"/>
          <w:shd w:val="clear" w:color="auto" w:fill="FFFFFF"/>
        </w:rPr>
        <w:t>一、项目基本情况</w:t>
      </w:r>
    </w:p>
    <w:p>
      <w:pPr>
        <w:keepNext w:val="0"/>
        <w:keepLines w:val="0"/>
        <w:pageBreakBefore w:val="0"/>
        <w:kinsoku/>
        <w:wordWrap/>
        <w:overflowPunct/>
        <w:topLinePunct w:val="0"/>
        <w:autoSpaceDE/>
        <w:autoSpaceDN/>
        <w:bidi w:val="0"/>
        <w:adjustRightInd/>
        <w:snapToGrid/>
        <w:spacing w:line="440" w:lineRule="atLeast"/>
        <w:ind w:right="0" w:rightChars="0" w:firstLine="480" w:firstLineChars="200"/>
        <w:textAlignment w:val="auto"/>
        <w:rPr>
          <w:rFonts w:eastAsia="宋体"/>
          <w:color w:val="FF0000"/>
          <w:sz w:val="24"/>
          <w:szCs w:val="24"/>
        </w:rPr>
      </w:pPr>
      <w:r>
        <w:rPr>
          <w:rFonts w:hint="eastAsia" w:ascii="宋体" w:hAnsi="宋体" w:eastAsia="宋体" w:cs="宋体"/>
          <w:sz w:val="24"/>
          <w:szCs w:val="24"/>
          <w:shd w:val="clear" w:color="auto" w:fill="FFFFFF"/>
        </w:rPr>
        <w:t>项目编号：</w:t>
      </w:r>
      <w:r>
        <w:rPr>
          <w:rFonts w:hint="eastAsia" w:ascii="宋体" w:hAnsi="宋体" w:eastAsia="宋体" w:cs="宋体"/>
          <w:color w:val="auto"/>
          <w:sz w:val="24"/>
          <w:szCs w:val="24"/>
          <w:shd w:val="clear" w:color="auto" w:fill="FFFFFF"/>
          <w:lang w:eastAsia="zh-CN"/>
        </w:rPr>
        <w:t>131-2022CG-</w:t>
      </w:r>
      <w:r>
        <w:rPr>
          <w:rFonts w:hint="eastAsia" w:ascii="宋体" w:hAnsi="宋体" w:eastAsia="宋体" w:cs="宋体"/>
          <w:color w:val="auto"/>
          <w:sz w:val="24"/>
          <w:szCs w:val="24"/>
          <w:shd w:val="clear" w:color="auto" w:fill="FFFFFF"/>
          <w:lang w:val="en-US" w:eastAsia="zh-CN"/>
        </w:rPr>
        <w:t>029</w:t>
      </w:r>
      <w:r>
        <w:rPr>
          <w:rFonts w:hint="eastAsia" w:ascii="宋体" w:hAnsi="宋体" w:eastAsia="宋体" w:cs="宋体"/>
          <w:color w:val="auto"/>
          <w:kern w:val="0"/>
          <w:sz w:val="24"/>
          <w:szCs w:val="24"/>
          <w:shd w:val="clear" w:color="auto" w:fill="FFFFFF"/>
        </w:rPr>
        <w:t>（政府采购备案号：阳财采计</w:t>
      </w:r>
      <w:r>
        <w:rPr>
          <w:rFonts w:hint="eastAsia" w:ascii="宋体" w:hAnsi="宋体" w:eastAsia="宋体" w:cs="宋体"/>
          <w:color w:val="auto"/>
          <w:kern w:val="0"/>
          <w:sz w:val="24"/>
          <w:szCs w:val="24"/>
          <w:highlight w:val="none"/>
          <w:shd w:val="clear" w:color="auto" w:fill="FFFFFF"/>
        </w:rPr>
        <w:t>备[202</w:t>
      </w:r>
      <w:r>
        <w:rPr>
          <w:rFonts w:hint="eastAsia" w:ascii="宋体" w:hAnsi="宋体" w:eastAsia="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A0301号</w:t>
      </w:r>
      <w:r>
        <w:rPr>
          <w:rFonts w:hint="eastAsia" w:ascii="宋体" w:hAnsi="宋体" w:eastAsia="宋体" w:cs="宋体"/>
          <w:color w:val="auto"/>
          <w:kern w:val="0"/>
          <w:sz w:val="24"/>
          <w:szCs w:val="24"/>
          <w:highlight w:val="none"/>
          <w:shd w:val="clear" w:color="auto" w:fill="FFFFFF"/>
        </w:rPr>
        <w:t>）</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项目名称：</w:t>
      </w:r>
      <w:r>
        <w:rPr>
          <w:rFonts w:hint="eastAsia" w:ascii="宋体" w:hAnsi="宋体" w:eastAsia="宋体" w:cs="宋体"/>
          <w:sz w:val="24"/>
          <w:szCs w:val="24"/>
          <w:shd w:val="clear" w:color="auto" w:fill="FFFFFF"/>
          <w:lang w:eastAsia="zh-CN"/>
        </w:rPr>
        <w:t>阳新县2022年灭螺与防治药品采购项目</w:t>
      </w:r>
      <w:bookmarkStart w:id="286" w:name="_GoBack"/>
      <w:bookmarkEnd w:id="286"/>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rPr>
          <w:rFonts w:hint="eastAsia" w:ascii="宋体" w:hAnsi="宋体" w:eastAsia="宋体" w:cs="宋体"/>
          <w:spacing w:val="-11"/>
          <w:sz w:val="24"/>
          <w:szCs w:val="24"/>
          <w:shd w:val="clear" w:color="auto" w:fill="FFFFFF"/>
          <w:lang w:val="en-US" w:eastAsia="zh-CN"/>
        </w:rPr>
      </w:pPr>
      <w:r>
        <w:rPr>
          <w:rFonts w:hint="eastAsia" w:ascii="宋体" w:hAnsi="宋体" w:eastAsia="宋体" w:cs="宋体"/>
          <w:sz w:val="24"/>
          <w:szCs w:val="24"/>
          <w:shd w:val="clear" w:color="auto" w:fill="FFFFFF"/>
        </w:rPr>
        <w:t>预算金额：</w:t>
      </w:r>
      <w:r>
        <w:rPr>
          <w:rFonts w:hint="eastAsia" w:ascii="宋体" w:hAnsi="宋体" w:eastAsia="宋体" w:cs="宋体"/>
          <w:sz w:val="24"/>
          <w:szCs w:val="24"/>
          <w:shd w:val="clear" w:color="auto" w:fill="FFFFFF"/>
          <w:lang w:val="en-US" w:eastAsia="zh-CN"/>
        </w:rPr>
        <w:t>181.72</w:t>
      </w:r>
      <w:r>
        <w:rPr>
          <w:rFonts w:hint="eastAsia" w:ascii="宋体" w:hAnsi="宋体" w:eastAsia="宋体" w:cs="宋体"/>
          <w:spacing w:val="-11"/>
          <w:sz w:val="24"/>
          <w:szCs w:val="24"/>
          <w:shd w:val="clear" w:color="auto" w:fill="FFFFFF"/>
          <w:lang w:val="en-US" w:eastAsia="zh-CN"/>
        </w:rPr>
        <w:t>万元</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最高限价：181.72万元</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rPr>
          <w:rFonts w:hint="eastAsia" w:ascii="宋体" w:hAnsi="宋体" w:eastAsia="宋体" w:cs="宋体"/>
          <w:szCs w:val="24"/>
          <w:shd w:val="clear" w:color="auto" w:fill="FFFFFF"/>
          <w:lang w:eastAsia="zh-CN"/>
        </w:rPr>
      </w:pPr>
      <w:r>
        <w:rPr>
          <w:rFonts w:hint="eastAsia" w:ascii="宋体" w:hAnsi="宋体" w:eastAsia="宋体" w:cs="宋体"/>
          <w:sz w:val="24"/>
          <w:szCs w:val="24"/>
          <w:shd w:val="clear" w:color="auto" w:fill="FFFFFF"/>
        </w:rPr>
        <w:t>采购需求：</w:t>
      </w:r>
      <w:r>
        <w:rPr>
          <w:rFonts w:hint="eastAsia" w:ascii="宋体" w:hAnsi="宋体" w:eastAsia="宋体" w:cs="宋体"/>
          <w:szCs w:val="24"/>
          <w:shd w:val="clear" w:color="auto" w:fill="FFFFFF"/>
        </w:rPr>
        <w:t>为满足我县年度血防工作目标任务，现对我县</w:t>
      </w:r>
      <w:r>
        <w:rPr>
          <w:rFonts w:hint="eastAsia" w:ascii="宋体" w:hAnsi="宋体" w:eastAsia="宋体" w:cs="宋体"/>
          <w:szCs w:val="24"/>
          <w:shd w:val="clear" w:color="auto" w:fill="FFFFFF"/>
          <w:lang w:eastAsia="zh-CN"/>
        </w:rPr>
        <w:t>灭螺与防治药品</w:t>
      </w:r>
      <w:r>
        <w:rPr>
          <w:rFonts w:hint="eastAsia" w:ascii="宋体" w:hAnsi="宋体" w:eastAsia="宋体" w:cs="宋体"/>
          <w:szCs w:val="24"/>
          <w:shd w:val="clear" w:color="auto" w:fill="FFFFFF"/>
        </w:rPr>
        <w:t>实行政府采购。本项目采购分</w:t>
      </w:r>
      <w:r>
        <w:rPr>
          <w:rFonts w:hint="eastAsia" w:ascii="宋体" w:hAnsi="宋体" w:eastAsia="宋体" w:cs="宋体"/>
          <w:szCs w:val="24"/>
          <w:shd w:val="clear" w:color="auto" w:fill="FFFFFF"/>
          <w:lang w:eastAsia="zh-CN"/>
        </w:rPr>
        <w:t>三</w:t>
      </w:r>
      <w:r>
        <w:rPr>
          <w:rFonts w:hint="eastAsia" w:ascii="宋体" w:hAnsi="宋体" w:eastAsia="宋体" w:cs="宋体"/>
          <w:szCs w:val="24"/>
          <w:shd w:val="clear" w:color="auto" w:fill="FFFFFF"/>
        </w:rPr>
        <w:t>个标包，具体为</w:t>
      </w:r>
      <w:r>
        <w:rPr>
          <w:rFonts w:hint="eastAsia" w:ascii="宋体" w:hAnsi="宋体" w:eastAsia="宋体" w:cs="宋体"/>
          <w:szCs w:val="24"/>
          <w:shd w:val="clear" w:color="auto" w:fill="FFFFFF"/>
          <w:lang w:eastAsia="zh-CN"/>
        </w:rPr>
        <w:t>（详见招标文件第三章）。</w:t>
      </w:r>
    </w:p>
    <w:tbl>
      <w:tblPr>
        <w:tblStyle w:val="23"/>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093"/>
        <w:gridCol w:w="1098"/>
        <w:gridCol w:w="805"/>
        <w:gridCol w:w="805"/>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标包号</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货物名称</w:t>
            </w:r>
          </w:p>
        </w:tc>
        <w:tc>
          <w:tcPr>
            <w:tcW w:w="1098"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规格</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单位</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数量</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合价</w:t>
            </w:r>
            <w:r>
              <w:rPr>
                <w:rFonts w:hint="eastAsia" w:ascii="宋体" w:hAnsi="宋体" w:eastAsia="宋体" w:cs="宋体"/>
                <w:szCs w:val="24"/>
                <w:shd w:val="clear" w:color="auto" w:fill="FFFFFF"/>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第</w:t>
            </w:r>
            <w:r>
              <w:rPr>
                <w:rFonts w:hint="eastAsia" w:ascii="宋体" w:hAnsi="宋体" w:eastAsia="宋体" w:cs="宋体"/>
                <w:szCs w:val="24"/>
                <w:shd w:val="clear" w:color="auto" w:fill="FFFFFF"/>
                <w:vertAlign w:val="baseline"/>
                <w:lang w:val="en-US" w:eastAsia="zh-CN"/>
              </w:rPr>
              <w:t>1包</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rPr>
              <w:t>50%杀螺胺乙醇胺盐可湿性粉剂</w:t>
            </w:r>
          </w:p>
        </w:tc>
        <w:tc>
          <w:tcPr>
            <w:tcW w:w="1098" w:type="dxa"/>
            <w:vAlign w:val="center"/>
          </w:tcPr>
          <w:p>
            <w:pPr>
              <w:spacing w:line="500" w:lineRule="exact"/>
              <w:jc w:val="center"/>
              <w:rPr>
                <w:rFonts w:hint="eastAsia" w:ascii="宋体" w:hAnsi="宋体" w:eastAsia="宋体" w:cs="宋体"/>
                <w:szCs w:val="24"/>
                <w:shd w:val="clear" w:color="auto" w:fill="FFFFFF"/>
                <w:vertAlign w:val="baseline"/>
                <w:lang w:eastAsia="zh-CN"/>
              </w:rPr>
            </w:pPr>
            <w:r>
              <w:rPr>
                <w:rFonts w:hint="eastAsia" w:ascii="宋体" w:hAnsi="宋体"/>
                <w:b w:val="0"/>
                <w:bCs/>
                <w:szCs w:val="21"/>
              </w:rPr>
              <w:t>10kg/袋</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lang w:eastAsia="zh-CN"/>
              </w:rPr>
              <w:t>吨</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lang w:val="en-US" w:eastAsia="zh-CN"/>
              </w:rPr>
              <w:t>10</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第</w:t>
            </w:r>
            <w:r>
              <w:rPr>
                <w:rFonts w:hint="eastAsia" w:ascii="宋体" w:hAnsi="宋体" w:eastAsia="宋体" w:cs="宋体"/>
                <w:szCs w:val="24"/>
                <w:shd w:val="clear" w:color="auto" w:fill="FFFFFF"/>
                <w:vertAlign w:val="baseline"/>
                <w:lang w:val="en-US" w:eastAsia="zh-CN"/>
              </w:rPr>
              <w:t>2包</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rPr>
              <w:t>26%四聚·杀螺胺乙醇胺盐悬浮剂</w:t>
            </w:r>
          </w:p>
        </w:tc>
        <w:tc>
          <w:tcPr>
            <w:tcW w:w="1098" w:type="dxa"/>
            <w:vAlign w:val="center"/>
          </w:tcPr>
          <w:p>
            <w:pPr>
              <w:spacing w:line="500" w:lineRule="exact"/>
              <w:jc w:val="center"/>
              <w:rPr>
                <w:rFonts w:hint="eastAsia" w:ascii="宋体" w:hAnsi="宋体" w:eastAsia="宋体" w:cs="宋体"/>
                <w:szCs w:val="24"/>
                <w:shd w:val="clear" w:color="auto" w:fill="FFFFFF"/>
                <w:vertAlign w:val="baseline"/>
                <w:lang w:eastAsia="zh-CN"/>
              </w:rPr>
            </w:pPr>
            <w:r>
              <w:rPr>
                <w:rFonts w:hint="eastAsia" w:ascii="宋体" w:hAnsi="宋体"/>
                <w:b w:val="0"/>
                <w:bCs/>
                <w:szCs w:val="21"/>
              </w:rPr>
              <w:t>10kg/桶</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lang w:eastAsia="zh-CN"/>
              </w:rPr>
              <w:t>吨</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szCs w:val="21"/>
                <w:lang w:val="en-US" w:eastAsia="zh-CN"/>
              </w:rPr>
              <w:t>10</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3包</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szCs w:val="21"/>
              </w:rPr>
            </w:pPr>
            <w:r>
              <w:rPr>
                <w:rFonts w:hint="eastAsia" w:ascii="宋体" w:hAnsi="宋体"/>
                <w:szCs w:val="21"/>
              </w:rPr>
              <w:t>吡喹酮</w:t>
            </w:r>
          </w:p>
        </w:tc>
        <w:tc>
          <w:tcPr>
            <w:tcW w:w="1098"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szCs w:val="21"/>
              </w:rPr>
            </w:pPr>
            <w:r>
              <w:rPr>
                <w:rFonts w:hint="eastAsia" w:ascii="宋体" w:hAnsi="宋体" w:eastAsiaTheme="minorEastAsia" w:cstheme="minorBidi"/>
                <w:b w:val="0"/>
                <w:bCs/>
                <w:kern w:val="2"/>
                <w:sz w:val="21"/>
                <w:szCs w:val="21"/>
                <w:lang w:val="en-US" w:eastAsia="zh-CN" w:bidi="ar-SA"/>
              </w:rPr>
              <w:t>0.2g/片</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szCs w:val="21"/>
                <w:lang w:eastAsia="zh-CN"/>
              </w:rPr>
            </w:pPr>
            <w:r>
              <w:rPr>
                <w:rFonts w:hint="eastAsia" w:ascii="宋体" w:hAnsi="宋体"/>
                <w:szCs w:val="21"/>
                <w:lang w:eastAsia="zh-CN"/>
              </w:rPr>
              <w:t>万片</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szCs w:val="21"/>
                <w:lang w:val="en-US" w:eastAsia="zh-CN"/>
              </w:rPr>
            </w:pPr>
            <w:r>
              <w:rPr>
                <w:rFonts w:hint="eastAsia" w:ascii="宋体" w:hAnsi="宋体"/>
                <w:szCs w:val="21"/>
                <w:lang w:val="en-US" w:eastAsia="zh-CN"/>
              </w:rPr>
              <w:t>20</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szCs w:val="21"/>
                <w:lang w:val="en-US" w:eastAsia="zh-CN"/>
              </w:rPr>
            </w:pPr>
            <w:r>
              <w:rPr>
                <w:rFonts w:hint="eastAsia" w:ascii="宋体" w:hAnsi="宋体"/>
                <w:szCs w:val="21"/>
                <w:lang w:val="en-US" w:eastAsia="zh-CN"/>
              </w:rPr>
              <w:t>101.72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204" w:type="dxa"/>
            <w:gridSpan w:val="2"/>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合计</w:t>
            </w:r>
          </w:p>
        </w:tc>
        <w:tc>
          <w:tcPr>
            <w:tcW w:w="1098"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val="en-US" w:eastAsia="zh-CN"/>
              </w:rPr>
              <w:t>181.72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18" w:type="dxa"/>
            <w:gridSpan w:val="6"/>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left"/>
              <w:textAlignment w:val="auto"/>
              <w:rPr>
                <w:rFonts w:hint="eastAsia"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注：第 1 包和第 2 包规格为参考指标，按 t 结算，可根据各供应商实际情况调整。</w:t>
            </w:r>
          </w:p>
        </w:tc>
      </w:tr>
    </w:tbl>
    <w:p>
      <w:pPr>
        <w:pStyle w:val="20"/>
        <w:keepNext w:val="0"/>
        <w:keepLines w:val="0"/>
        <w:pageBreakBefore w:val="0"/>
        <w:widowControl/>
        <w:kinsoku/>
        <w:wordWrap/>
        <w:overflowPunct/>
        <w:topLinePunct w:val="0"/>
        <w:autoSpaceDE/>
        <w:autoSpaceDN/>
        <w:bidi w:val="0"/>
        <w:adjustRightInd/>
        <w:snapToGrid/>
        <w:spacing w:beforeAutospacing="0" w:afterAutospacing="0" w:line="520" w:lineRule="exact"/>
        <w:ind w:right="0" w:rightChars="0" w:firstLine="480"/>
        <w:textAlignment w:val="auto"/>
        <w:rPr>
          <w:rFonts w:eastAsia="宋体"/>
          <w:sz w:val="24"/>
          <w:szCs w:val="24"/>
        </w:rPr>
      </w:pPr>
      <w:r>
        <w:rPr>
          <w:rFonts w:hint="eastAsia" w:ascii="宋体" w:hAnsi="宋体" w:eastAsia="宋体" w:cs="宋体"/>
          <w:sz w:val="24"/>
          <w:szCs w:val="24"/>
          <w:shd w:val="clear" w:color="auto" w:fill="FFFFFF"/>
        </w:rPr>
        <w:t>合同履行期限：</w:t>
      </w:r>
      <w:r>
        <w:rPr>
          <w:rFonts w:hint="eastAsia" w:ascii="宋体" w:hAnsi="宋体" w:eastAsia="宋体" w:cs="宋体"/>
          <w:sz w:val="24"/>
          <w:szCs w:val="24"/>
          <w:shd w:val="clear" w:color="auto" w:fill="FFFFFF"/>
          <w:lang w:eastAsia="zh-CN"/>
        </w:rPr>
        <w:t>签订合同后</w:t>
      </w:r>
      <w:r>
        <w:rPr>
          <w:rFonts w:hint="eastAsia" w:ascii="宋体" w:hAnsi="宋体" w:eastAsia="宋体" w:cs="宋体"/>
          <w:sz w:val="24"/>
          <w:szCs w:val="24"/>
          <w:shd w:val="clear" w:color="auto" w:fill="FFFFFF"/>
          <w:lang w:val="en-US" w:eastAsia="zh-CN"/>
        </w:rPr>
        <w:t>30个工作日</w:t>
      </w:r>
    </w:p>
    <w:p>
      <w:pPr>
        <w:pStyle w:val="20"/>
        <w:keepNext w:val="0"/>
        <w:keepLines w:val="0"/>
        <w:pageBreakBefore w:val="0"/>
        <w:widowControl/>
        <w:kinsoku/>
        <w:wordWrap/>
        <w:overflowPunct/>
        <w:topLinePunct w:val="0"/>
        <w:autoSpaceDE/>
        <w:autoSpaceDN/>
        <w:bidi w:val="0"/>
        <w:adjustRightInd/>
        <w:snapToGrid/>
        <w:spacing w:beforeAutospacing="0" w:afterAutospacing="0" w:line="520" w:lineRule="exact"/>
        <w:ind w:right="0" w:rightChars="0" w:firstLine="420"/>
        <w:textAlignment w:val="auto"/>
        <w:rPr>
          <w:sz w:val="24"/>
          <w:szCs w:val="24"/>
        </w:rPr>
      </w:pPr>
      <w:r>
        <w:rPr>
          <w:rStyle w:val="25"/>
          <w:rFonts w:hint="eastAsia" w:ascii="宋体" w:hAnsi="宋体" w:eastAsia="宋体" w:cs="宋体"/>
          <w:sz w:val="24"/>
          <w:szCs w:val="24"/>
          <w:shd w:val="clear" w:color="auto" w:fill="FFFFFF"/>
        </w:rPr>
        <w:t>二、申请人的资格要求：</w:t>
      </w:r>
    </w:p>
    <w:p>
      <w:pPr>
        <w:pStyle w:val="20"/>
        <w:keepNext w:val="0"/>
        <w:keepLines w:val="0"/>
        <w:pageBreakBefore w:val="0"/>
        <w:widowControl/>
        <w:kinsoku/>
        <w:wordWrap/>
        <w:overflowPunct/>
        <w:topLinePunct w:val="0"/>
        <w:autoSpaceDE/>
        <w:autoSpaceDN/>
        <w:bidi w:val="0"/>
        <w:adjustRightInd/>
        <w:snapToGrid/>
        <w:spacing w:beforeAutospacing="0" w:afterAutospacing="0" w:line="520" w:lineRule="exact"/>
        <w:ind w:right="0" w:rightChars="0" w:firstLine="480"/>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1、应具备《政府采购法》第二十二条</w:t>
      </w:r>
      <w:r>
        <w:rPr>
          <w:rFonts w:hint="eastAsia" w:ascii="宋体" w:hAnsi="宋体" w:eastAsia="宋体" w:cs="宋体"/>
          <w:sz w:val="24"/>
          <w:szCs w:val="24"/>
          <w:shd w:val="clear" w:color="auto" w:fill="FFFFFF"/>
          <w:lang w:eastAsia="zh-CN"/>
        </w:rPr>
        <w:t>第一款</w:t>
      </w:r>
      <w:r>
        <w:rPr>
          <w:rFonts w:hint="eastAsia" w:ascii="宋体" w:hAnsi="宋体" w:eastAsia="宋体" w:cs="宋体"/>
          <w:sz w:val="24"/>
          <w:szCs w:val="24"/>
          <w:shd w:val="clear" w:color="auto" w:fill="FFFFFF"/>
        </w:rPr>
        <w:t>规定的条件</w:t>
      </w:r>
      <w:r>
        <w:rPr>
          <w:rFonts w:hint="eastAsia" w:ascii="宋体" w:hAnsi="宋体" w:eastAsia="宋体" w:cs="宋体"/>
          <w:sz w:val="24"/>
          <w:szCs w:val="24"/>
          <w:shd w:val="clear" w:color="auto" w:fill="FFFFFF"/>
          <w:lang w:eastAsia="zh-CN"/>
        </w:rPr>
        <w:t>，提供下列材料：</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sz w:val="24"/>
          <w:szCs w:val="24"/>
          <w:lang w:val="hr-HR"/>
        </w:rPr>
      </w:pPr>
      <w:r>
        <w:rPr>
          <w:rFonts w:hint="eastAsia" w:ascii="宋体" w:hAnsi="宋体" w:eastAsia="宋体" w:cs="宋体"/>
          <w:kern w:val="0"/>
          <w:sz w:val="24"/>
          <w:szCs w:val="24"/>
          <w:shd w:val="clear" w:color="auto" w:fill="FFFFFF"/>
          <w:lang w:val="en-US" w:eastAsia="zh-CN" w:bidi="ar-SA"/>
        </w:rPr>
        <w:t>(1)</w:t>
      </w:r>
      <w:r>
        <w:rPr>
          <w:rFonts w:hint="eastAsia" w:ascii="宋体" w:hAnsi="宋体"/>
          <w:sz w:val="24"/>
          <w:szCs w:val="24"/>
          <w:lang w:val="hr-HR"/>
        </w:rPr>
        <w:t>具有独立承担民事责任的能力</w:t>
      </w:r>
      <w:r>
        <w:rPr>
          <w:rFonts w:hint="eastAsia" w:ascii="宋体" w:hAnsi="宋体" w:cs="宋体"/>
          <w:kern w:val="0"/>
          <w:sz w:val="24"/>
          <w:szCs w:val="24"/>
        </w:rPr>
        <w:t>(</w:t>
      </w:r>
      <w:r>
        <w:rPr>
          <w:rFonts w:hint="eastAsia" w:ascii="宋体" w:hAnsi="宋体"/>
          <w:sz w:val="24"/>
          <w:szCs w:val="24"/>
        </w:rPr>
        <w:t>提供法人或者其他组织的营业执照等证明文件，自然人的身份证明</w:t>
      </w:r>
      <w:r>
        <w:rPr>
          <w:rFonts w:hint="eastAsia" w:ascii="宋体" w:hAnsi="宋体" w:cs="宋体"/>
          <w:kern w:val="0"/>
          <w:sz w:val="24"/>
          <w:szCs w:val="24"/>
        </w:rPr>
        <w:t>)</w:t>
      </w:r>
      <w:r>
        <w:rPr>
          <w:rFonts w:hint="eastAsia" w:ascii="宋体" w:hAnsi="宋体"/>
          <w:sz w:val="24"/>
          <w:szCs w:val="24"/>
          <w:lang w:val="hr-HR"/>
        </w:rPr>
        <w:t xml:space="preserve">； </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sz w:val="24"/>
          <w:szCs w:val="24"/>
          <w:lang w:val="hr-HR"/>
        </w:rPr>
      </w:pPr>
      <w:r>
        <w:rPr>
          <w:rFonts w:hint="eastAsia" w:ascii="宋体" w:hAnsi="宋体" w:eastAsia="宋体" w:cs="宋体"/>
          <w:kern w:val="0"/>
          <w:sz w:val="24"/>
          <w:szCs w:val="24"/>
          <w:shd w:val="clear" w:color="auto" w:fill="FFFFFF"/>
          <w:lang w:val="en-US" w:eastAsia="zh-CN" w:bidi="ar-SA"/>
        </w:rPr>
        <w:t>(2)</w:t>
      </w:r>
      <w:r>
        <w:rPr>
          <w:rFonts w:hint="eastAsia" w:ascii="宋体" w:hAnsi="宋体"/>
          <w:sz w:val="24"/>
          <w:szCs w:val="24"/>
          <w:lang w:val="hr-HR"/>
        </w:rPr>
        <w:t>具有良好的商业信誉和健全的财务会计制度</w:t>
      </w:r>
      <w:r>
        <w:rPr>
          <w:rFonts w:hint="eastAsia" w:ascii="宋体" w:hAnsi="宋体" w:cs="宋体"/>
          <w:kern w:val="0"/>
          <w:sz w:val="24"/>
          <w:szCs w:val="24"/>
        </w:rPr>
        <w:t>（提供</w:t>
      </w:r>
      <w:r>
        <w:rPr>
          <w:rFonts w:hint="eastAsia" w:ascii="宋体" w:hAnsi="宋体" w:cs="宋体"/>
          <w:kern w:val="0"/>
          <w:sz w:val="24"/>
          <w:szCs w:val="24"/>
          <w:lang w:eastAsia="zh-CN"/>
        </w:rPr>
        <w:t>近一年</w:t>
      </w:r>
      <w:r>
        <w:rPr>
          <w:rFonts w:hint="eastAsia" w:ascii="宋体" w:hAnsi="宋体" w:cs="宋体"/>
          <w:kern w:val="0"/>
          <w:sz w:val="24"/>
          <w:szCs w:val="24"/>
        </w:rPr>
        <w:t>度审计报告）</w:t>
      </w:r>
      <w:r>
        <w:rPr>
          <w:rFonts w:hint="eastAsia" w:ascii="宋体" w:hAnsi="宋体"/>
          <w:sz w:val="24"/>
          <w:szCs w:val="24"/>
          <w:lang w:val="hr-HR"/>
        </w:rPr>
        <w:t xml:space="preserve">； </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sz w:val="24"/>
          <w:szCs w:val="24"/>
          <w:lang w:val="hr-HR"/>
        </w:rPr>
      </w:pPr>
      <w:r>
        <w:rPr>
          <w:rFonts w:hint="eastAsia" w:ascii="宋体" w:hAnsi="宋体" w:eastAsia="宋体" w:cs="宋体"/>
          <w:kern w:val="0"/>
          <w:sz w:val="24"/>
          <w:szCs w:val="24"/>
          <w:shd w:val="clear" w:color="auto" w:fill="FFFFFF"/>
          <w:lang w:val="en-US" w:eastAsia="zh-CN" w:bidi="ar-SA"/>
        </w:rPr>
        <w:t>(3)</w:t>
      </w:r>
      <w:r>
        <w:rPr>
          <w:rFonts w:hint="eastAsia" w:ascii="宋体" w:hAnsi="宋体"/>
          <w:sz w:val="24"/>
          <w:szCs w:val="24"/>
          <w:lang w:val="hr-HR"/>
        </w:rPr>
        <w:t>具有履行合同所必需的设备和专业技术能力</w:t>
      </w:r>
      <w:r>
        <w:rPr>
          <w:rFonts w:hint="eastAsia" w:ascii="宋体" w:hAnsi="宋体" w:cs="宋体"/>
          <w:kern w:val="0"/>
          <w:sz w:val="24"/>
          <w:szCs w:val="24"/>
        </w:rPr>
        <w:t>（提供证明材料）</w:t>
      </w:r>
      <w:r>
        <w:rPr>
          <w:rFonts w:hint="eastAsia" w:ascii="宋体" w:hAnsi="宋体"/>
          <w:sz w:val="24"/>
          <w:szCs w:val="24"/>
          <w:lang w:val="hr-HR"/>
        </w:rPr>
        <w:t xml:space="preserve">； </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sz w:val="24"/>
          <w:szCs w:val="24"/>
          <w:lang w:val="hr-HR"/>
        </w:rPr>
      </w:pPr>
      <w:r>
        <w:rPr>
          <w:rFonts w:hint="eastAsia" w:ascii="宋体" w:hAnsi="宋体" w:eastAsia="宋体" w:cs="宋体"/>
          <w:kern w:val="0"/>
          <w:sz w:val="24"/>
          <w:szCs w:val="24"/>
          <w:shd w:val="clear" w:color="auto" w:fill="FFFFFF"/>
          <w:lang w:val="en-US" w:eastAsia="zh-CN" w:bidi="ar-SA"/>
        </w:rPr>
        <w:t>(4)</w:t>
      </w:r>
      <w:r>
        <w:rPr>
          <w:rFonts w:hint="eastAsia" w:ascii="宋体" w:hAnsi="宋体"/>
          <w:sz w:val="24"/>
          <w:szCs w:val="24"/>
          <w:lang w:val="hr-HR"/>
        </w:rPr>
        <w:t>有依法缴纳税收和社会保障资金的良好记录</w:t>
      </w:r>
      <w:r>
        <w:rPr>
          <w:rFonts w:hint="eastAsia" w:ascii="宋体" w:hAnsi="宋体" w:cs="宋体"/>
          <w:kern w:val="0"/>
          <w:sz w:val="24"/>
          <w:szCs w:val="24"/>
        </w:rPr>
        <w:t>（提供近六个月内纳税凭证、近六个月内社保中心回执或社保缴费凭证）</w:t>
      </w:r>
      <w:r>
        <w:rPr>
          <w:rFonts w:hint="eastAsia" w:ascii="宋体" w:hAnsi="宋体"/>
          <w:sz w:val="24"/>
          <w:szCs w:val="24"/>
          <w:lang w:val="hr-HR"/>
        </w:rPr>
        <w:t xml:space="preserve">； </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ascii="宋体" w:hAnsi="宋体"/>
          <w:sz w:val="24"/>
          <w:szCs w:val="24"/>
          <w:lang w:val="hr-HR"/>
        </w:rPr>
      </w:pPr>
      <w:r>
        <w:rPr>
          <w:rFonts w:hint="eastAsia" w:ascii="宋体" w:hAnsi="宋体" w:eastAsia="宋体" w:cs="宋体"/>
          <w:kern w:val="0"/>
          <w:sz w:val="24"/>
          <w:szCs w:val="24"/>
          <w:shd w:val="clear" w:color="auto" w:fill="FFFFFF"/>
          <w:lang w:val="en-US" w:eastAsia="zh-CN" w:bidi="ar-SA"/>
        </w:rPr>
        <w:t>(5)</w:t>
      </w:r>
      <w:r>
        <w:rPr>
          <w:rFonts w:hint="eastAsia" w:ascii="宋体" w:hAnsi="宋体"/>
          <w:sz w:val="24"/>
          <w:szCs w:val="24"/>
          <w:lang w:val="hr-HR"/>
        </w:rPr>
        <w:t>参加政府采购活动前三年内，在经营活动中没有重大违法记录</w:t>
      </w:r>
      <w:r>
        <w:rPr>
          <w:rFonts w:hint="eastAsia" w:ascii="宋体" w:hAnsi="宋体" w:cs="宋体"/>
          <w:kern w:val="0"/>
          <w:sz w:val="24"/>
          <w:szCs w:val="24"/>
        </w:rPr>
        <w:t>（提供声明函）</w:t>
      </w:r>
      <w:r>
        <w:rPr>
          <w:rFonts w:hint="eastAsia" w:ascii="宋体" w:hAnsi="宋体"/>
          <w:sz w:val="24"/>
          <w:szCs w:val="24"/>
          <w:lang w:val="hr-HR"/>
        </w:rPr>
        <w:t xml:space="preserve">； </w:t>
      </w:r>
    </w:p>
    <w:p>
      <w:pPr>
        <w:keepNext w:val="0"/>
        <w:keepLines w:val="0"/>
        <w:pageBreakBefore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shd w:val="clear" w:color="auto" w:fill="FFFFFF"/>
        </w:rPr>
      </w:pPr>
      <w:r>
        <w:rPr>
          <w:rFonts w:hint="eastAsia" w:ascii="宋体" w:hAnsi="宋体" w:eastAsia="宋体" w:cs="宋体"/>
          <w:kern w:val="0"/>
          <w:sz w:val="24"/>
          <w:szCs w:val="24"/>
          <w:shd w:val="clear" w:color="auto" w:fill="FFFFFF"/>
          <w:lang w:val="en-US" w:eastAsia="zh-CN" w:bidi="ar-SA"/>
        </w:rPr>
        <w:t>(6)</w:t>
      </w:r>
      <w:r>
        <w:rPr>
          <w:rFonts w:hint="eastAsia" w:ascii="宋体" w:hAnsi="宋体"/>
          <w:sz w:val="24"/>
          <w:szCs w:val="24"/>
          <w:lang w:val="hr-HR"/>
        </w:rPr>
        <w:t>法律、行政法规规定的其他条件。</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2、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keepNext w:val="0"/>
        <w:keepLines w:val="0"/>
        <w:pageBreakBefore w:val="0"/>
        <w:widowControl w:val="0"/>
        <w:tabs>
          <w:tab w:val="left" w:pos="896"/>
        </w:tabs>
        <w:kinsoku/>
        <w:wordWrap/>
        <w:overflowPunct/>
        <w:topLinePunct w:val="0"/>
        <w:autoSpaceDE/>
        <w:autoSpaceDN/>
        <w:bidi w:val="0"/>
        <w:adjustRightInd/>
        <w:snapToGrid/>
        <w:spacing w:line="440" w:lineRule="atLeast"/>
        <w:ind w:left="482" w:right="0" w:rightChars="0"/>
        <w:textAlignment w:val="auto"/>
        <w:rPr>
          <w:rFonts w:hint="eastAsia"/>
          <w:sz w:val="24"/>
          <w:szCs w:val="24"/>
          <w:lang w:val="en-US" w:eastAsia="zh-CN"/>
        </w:rPr>
      </w:pPr>
      <w:r>
        <w:rPr>
          <w:rFonts w:hint="eastAsia" w:ascii="宋体" w:hAnsi="宋体" w:eastAsia="宋体" w:cs="宋体"/>
          <w:kern w:val="0"/>
          <w:sz w:val="24"/>
          <w:szCs w:val="24"/>
          <w:shd w:val="clear" w:color="auto" w:fill="FFFFFF"/>
          <w:lang w:val="en-US" w:eastAsia="zh-CN" w:bidi="ar-SA"/>
        </w:rPr>
        <w:t>3、特定条件：</w:t>
      </w:r>
    </w:p>
    <w:p>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kern w:val="0"/>
          <w:sz w:val="24"/>
          <w:szCs w:val="24"/>
          <w:shd w:val="clear" w:color="auto" w:fill="FFFFFF"/>
          <w:lang w:val="hr-HR" w:eastAsia="zh-CN" w:bidi="ar-SA"/>
        </w:rPr>
      </w:pPr>
      <w:r>
        <w:rPr>
          <w:rFonts w:hint="eastAsia" w:ascii="宋体" w:hAnsi="宋体" w:eastAsia="宋体" w:cs="宋体"/>
          <w:kern w:val="0"/>
          <w:sz w:val="24"/>
          <w:szCs w:val="24"/>
          <w:shd w:val="clear" w:color="auto" w:fill="FFFFFF"/>
          <w:lang w:val="en-US" w:eastAsia="zh-CN" w:bidi="ar-SA"/>
        </w:rPr>
        <w:t>(1)第1包、第2包</w:t>
      </w:r>
      <w:r>
        <w:rPr>
          <w:rFonts w:hint="eastAsia" w:ascii="宋体" w:hAnsi="宋体" w:eastAsia="宋体" w:cs="宋体"/>
          <w:kern w:val="0"/>
          <w:sz w:val="24"/>
          <w:szCs w:val="24"/>
          <w:shd w:val="clear" w:color="auto" w:fill="FFFFFF"/>
          <w:lang w:val="hr-HR" w:eastAsia="zh-CN" w:bidi="ar-SA"/>
        </w:rPr>
        <w:t>供应商</w:t>
      </w:r>
      <w:r>
        <w:rPr>
          <w:rFonts w:hint="eastAsia" w:ascii="宋体" w:hAnsi="宋体" w:eastAsia="宋体" w:cs="宋体"/>
          <w:kern w:val="0"/>
          <w:sz w:val="24"/>
          <w:szCs w:val="24"/>
          <w:shd w:val="clear" w:color="auto" w:fill="FFFFFF"/>
          <w:lang w:val="en-US" w:eastAsia="zh-CN" w:bidi="ar-SA"/>
        </w:rPr>
        <w:t>须是合格的生产商、代理商或经销商，投标人应具有有效的《农药生产许可证》或《农药经营许可证》且在有效期内。第3包</w:t>
      </w:r>
      <w:r>
        <w:rPr>
          <w:rFonts w:hint="eastAsia" w:ascii="宋体" w:hAnsi="宋体" w:eastAsia="宋体" w:cs="宋体"/>
          <w:b w:val="0"/>
          <w:bCs/>
          <w:color w:val="auto"/>
          <w:sz w:val="24"/>
          <w:szCs w:val="24"/>
          <w:shd w:val="clear" w:color="auto" w:fill="FFFFFF"/>
          <w:lang w:val="hr-HR" w:eastAsia="zh-CN"/>
        </w:rPr>
        <w:t>供应商须是合格的生产商、代理商或经销商，应具《药品生产许可证》或《药品经营许可证》</w:t>
      </w:r>
      <w:r>
        <w:rPr>
          <w:rFonts w:hint="eastAsia" w:ascii="宋体" w:hAnsi="宋体" w:eastAsia="宋体" w:cs="宋体"/>
          <w:b w:val="0"/>
          <w:bCs/>
          <w:color w:val="auto"/>
          <w:sz w:val="24"/>
          <w:szCs w:val="24"/>
          <w:shd w:val="clear" w:color="auto" w:fill="FFFFFF"/>
          <w:lang w:eastAsia="zh-CN"/>
        </w:rPr>
        <w:t>，</w:t>
      </w:r>
      <w:r>
        <w:rPr>
          <w:rFonts w:hint="eastAsia" w:ascii="宋体" w:hAnsi="宋体" w:eastAsia="宋体" w:cs="宋体"/>
          <w:b w:val="0"/>
          <w:bCs/>
          <w:color w:val="auto"/>
          <w:sz w:val="24"/>
          <w:szCs w:val="24"/>
          <w:shd w:val="clear" w:color="auto" w:fill="FFFFFF"/>
          <w:lang w:val="hr-HR" w:eastAsia="zh-CN"/>
        </w:rPr>
        <w:t>供应商所投产品应符合国家药典标准。</w:t>
      </w:r>
    </w:p>
    <w:p>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kern w:val="0"/>
          <w:sz w:val="24"/>
          <w:szCs w:val="24"/>
          <w:shd w:val="clear" w:color="auto" w:fill="FFFFFF"/>
          <w:lang w:val="hr-HR" w:eastAsia="zh-CN" w:bidi="ar-SA"/>
        </w:rPr>
      </w:pPr>
      <w:r>
        <w:rPr>
          <w:rFonts w:hint="eastAsia" w:ascii="宋体" w:hAnsi="宋体" w:eastAsia="宋体" w:cs="宋体"/>
          <w:kern w:val="0"/>
          <w:sz w:val="24"/>
          <w:szCs w:val="24"/>
          <w:shd w:val="clear" w:color="auto" w:fill="FFFFFF"/>
          <w:lang w:val="en-US" w:eastAsia="zh-CN" w:bidi="ar-SA"/>
        </w:rPr>
        <w:t>(2)</w:t>
      </w:r>
      <w:r>
        <w:rPr>
          <w:rFonts w:hint="eastAsia" w:ascii="宋体" w:hAnsi="宋体" w:eastAsia="宋体" w:cs="宋体"/>
          <w:kern w:val="0"/>
          <w:sz w:val="24"/>
          <w:szCs w:val="24"/>
          <w:shd w:val="clear" w:color="auto" w:fill="FFFFFF"/>
          <w:lang w:val="hr-HR" w:eastAsia="zh-CN" w:bidi="ar-SA"/>
        </w:rPr>
        <w:t>供应商必须提供药品生产批件，药品说明书。</w:t>
      </w:r>
    </w:p>
    <w:p>
      <w:pPr>
        <w:keepNext w:val="0"/>
        <w:keepLines w:val="0"/>
        <w:pageBreakBefore w:val="0"/>
        <w:kinsoku/>
        <w:wordWrap/>
        <w:overflowPunct/>
        <w:topLinePunct w:val="0"/>
        <w:autoSpaceDE/>
        <w:autoSpaceDN/>
        <w:bidi w:val="0"/>
        <w:adjustRightInd w:val="0"/>
        <w:snapToGrid w:val="0"/>
        <w:spacing w:line="440" w:lineRule="atLeast"/>
        <w:ind w:firstLine="480" w:firstLineChars="200"/>
        <w:textAlignment w:val="auto"/>
        <w:rPr>
          <w:rFonts w:hint="eastAsia" w:ascii="宋体" w:hAnsi="宋体" w:eastAsia="宋体" w:cs="宋体"/>
          <w:kern w:val="0"/>
          <w:sz w:val="24"/>
          <w:szCs w:val="24"/>
          <w:shd w:val="clear" w:color="auto" w:fill="FFFFFF"/>
          <w:lang w:val="hr-HR" w:eastAsia="zh-CN" w:bidi="ar-SA"/>
        </w:rPr>
      </w:pPr>
      <w:r>
        <w:rPr>
          <w:rFonts w:hint="eastAsia" w:ascii="宋体" w:hAnsi="宋体" w:eastAsia="宋体" w:cs="宋体"/>
          <w:kern w:val="0"/>
          <w:sz w:val="24"/>
          <w:szCs w:val="24"/>
          <w:shd w:val="clear" w:color="auto" w:fill="FFFFFF"/>
          <w:lang w:val="en-US" w:eastAsia="zh-CN" w:bidi="ar-SA"/>
        </w:rPr>
        <w:t>(3)</w:t>
      </w:r>
      <w:r>
        <w:rPr>
          <w:rFonts w:hint="eastAsia" w:ascii="宋体" w:hAnsi="宋体" w:eastAsia="宋体" w:cs="宋体"/>
          <w:kern w:val="0"/>
          <w:sz w:val="24"/>
          <w:szCs w:val="24"/>
          <w:shd w:val="clear" w:color="auto" w:fill="FFFFFF"/>
          <w:lang w:val="hr-HR" w:eastAsia="zh-CN" w:bidi="ar-SA"/>
        </w:rPr>
        <w:t>供应商</w:t>
      </w:r>
      <w:r>
        <w:rPr>
          <w:rFonts w:hint="eastAsia" w:ascii="宋体" w:hAnsi="宋体" w:eastAsia="宋体" w:cs="宋体"/>
          <w:kern w:val="0"/>
          <w:sz w:val="24"/>
          <w:szCs w:val="24"/>
          <w:shd w:val="clear" w:color="auto" w:fill="FFFFFF"/>
          <w:lang w:val="en-US" w:eastAsia="zh-CN" w:bidi="ar-SA"/>
        </w:rPr>
        <w:t>所投药品必须具有法定机构或权威机构出具的全检报告。</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rPr>
          <w:rStyle w:val="25"/>
          <w:rFonts w:hint="eastAsia" w:ascii="宋体" w:hAnsi="宋体" w:eastAsia="宋体" w:cs="宋体"/>
          <w:sz w:val="24"/>
          <w:szCs w:val="24"/>
          <w:shd w:val="clear" w:color="auto" w:fill="FFFFFF"/>
        </w:rPr>
      </w:pPr>
      <w:r>
        <w:rPr>
          <w:rFonts w:hint="eastAsia" w:ascii="宋体" w:hAnsi="宋体" w:eastAsia="宋体" w:cs="宋体"/>
          <w:kern w:val="0"/>
          <w:sz w:val="24"/>
          <w:szCs w:val="24"/>
          <w:shd w:val="clear" w:color="auto" w:fill="FFFFFF"/>
          <w:lang w:val="en-US" w:eastAsia="zh-CN" w:bidi="ar-SA"/>
        </w:rPr>
        <w:t>4、本项目不接受联合体形式的投标。</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20"/>
        <w:textAlignment w:val="auto"/>
        <w:rPr>
          <w:sz w:val="24"/>
          <w:szCs w:val="24"/>
        </w:rPr>
      </w:pPr>
      <w:r>
        <w:rPr>
          <w:rStyle w:val="25"/>
          <w:rFonts w:hint="eastAsia" w:ascii="宋体" w:hAnsi="宋体" w:eastAsia="宋体" w:cs="宋体"/>
          <w:sz w:val="24"/>
          <w:szCs w:val="24"/>
          <w:shd w:val="clear" w:color="auto" w:fill="FFFFFF"/>
        </w:rPr>
        <w:t>三、获取招标文件</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pPr>
      <w:r>
        <w:rPr>
          <w:rFonts w:hint="eastAsia" w:ascii="宋体" w:hAnsi="宋体" w:eastAsia="宋体" w:cs="宋体"/>
          <w:szCs w:val="24"/>
          <w:shd w:val="clear" w:color="auto" w:fill="FFFFFF"/>
        </w:rPr>
        <w:t>时间：</w:t>
      </w:r>
      <w:r>
        <w:rPr>
          <w:rFonts w:hint="eastAsia" w:ascii="宋体" w:hAnsi="宋体" w:eastAsia="宋体" w:cs="宋体"/>
          <w:color w:val="FF0000"/>
          <w:szCs w:val="24"/>
          <w:shd w:val="clear" w:color="auto" w:fill="FFFFFF"/>
          <w:lang w:eastAsia="zh-CN"/>
        </w:rPr>
        <w:t>2022年</w:t>
      </w:r>
      <w:r>
        <w:rPr>
          <w:rFonts w:hint="eastAsia" w:ascii="宋体" w:hAnsi="宋体" w:eastAsia="宋体" w:cs="宋体"/>
          <w:color w:val="FF0000"/>
          <w:szCs w:val="24"/>
          <w:shd w:val="clear" w:color="auto" w:fill="FFFFFF"/>
          <w:lang w:val="en-US" w:eastAsia="zh-CN"/>
        </w:rPr>
        <w:t>3</w:t>
      </w:r>
      <w:r>
        <w:rPr>
          <w:rFonts w:hint="eastAsia" w:ascii="宋体" w:hAnsi="宋体" w:eastAsia="宋体" w:cs="宋体"/>
          <w:color w:val="FF0000"/>
          <w:szCs w:val="24"/>
          <w:shd w:val="clear" w:color="auto" w:fill="FFFFFF"/>
          <w:lang w:eastAsia="zh-CN"/>
        </w:rPr>
        <w:t>月</w:t>
      </w:r>
      <w:r>
        <w:rPr>
          <w:rFonts w:hint="eastAsia" w:ascii="宋体" w:hAnsi="宋体" w:eastAsia="宋体" w:cs="宋体"/>
          <w:color w:val="FF0000"/>
          <w:szCs w:val="24"/>
          <w:shd w:val="clear" w:color="auto" w:fill="FFFFFF"/>
          <w:lang w:val="en-US" w:eastAsia="zh-CN"/>
        </w:rPr>
        <w:t>15</w:t>
      </w:r>
      <w:r>
        <w:rPr>
          <w:rFonts w:hint="eastAsia" w:ascii="宋体" w:hAnsi="宋体" w:eastAsia="宋体" w:cs="宋体"/>
          <w:color w:val="FF0000"/>
          <w:szCs w:val="24"/>
          <w:shd w:val="clear" w:color="auto" w:fill="FFFFFF"/>
          <w:lang w:eastAsia="zh-CN"/>
        </w:rPr>
        <w:t>日</w:t>
      </w:r>
      <w:r>
        <w:rPr>
          <w:rFonts w:hint="eastAsia" w:ascii="宋体" w:hAnsi="宋体" w:eastAsia="宋体" w:cs="宋体"/>
          <w:color w:val="FF0000"/>
          <w:szCs w:val="24"/>
          <w:shd w:val="clear" w:color="auto" w:fill="FFFFFF"/>
        </w:rPr>
        <w:t>至</w:t>
      </w:r>
      <w:r>
        <w:rPr>
          <w:rFonts w:hint="eastAsia" w:ascii="宋体" w:hAnsi="宋体" w:eastAsia="宋体" w:cs="宋体"/>
          <w:color w:val="FF0000"/>
          <w:szCs w:val="24"/>
          <w:shd w:val="clear" w:color="auto" w:fill="FFFFFF"/>
          <w:lang w:eastAsia="zh-CN"/>
        </w:rPr>
        <w:t>2022年</w:t>
      </w:r>
      <w:r>
        <w:rPr>
          <w:rFonts w:hint="eastAsia" w:ascii="宋体" w:hAnsi="宋体" w:eastAsia="宋体" w:cs="宋体"/>
          <w:color w:val="FF0000"/>
          <w:szCs w:val="24"/>
          <w:shd w:val="clear" w:color="auto" w:fill="FFFFFF"/>
          <w:lang w:val="en-US" w:eastAsia="zh-CN"/>
        </w:rPr>
        <w:t>3</w:t>
      </w:r>
      <w:r>
        <w:rPr>
          <w:rFonts w:hint="eastAsia" w:ascii="宋体" w:hAnsi="宋体" w:eastAsia="宋体" w:cs="宋体"/>
          <w:color w:val="FF0000"/>
          <w:szCs w:val="24"/>
          <w:shd w:val="clear" w:color="auto" w:fill="FFFFFF"/>
          <w:lang w:eastAsia="zh-CN"/>
        </w:rPr>
        <w:t>月</w:t>
      </w:r>
      <w:r>
        <w:rPr>
          <w:rFonts w:hint="eastAsia" w:ascii="宋体" w:hAnsi="宋体" w:eastAsia="宋体" w:cs="宋体"/>
          <w:color w:val="FF0000"/>
          <w:szCs w:val="24"/>
          <w:shd w:val="clear" w:color="auto" w:fill="FFFFFF"/>
          <w:lang w:val="en-US" w:eastAsia="zh-CN"/>
        </w:rPr>
        <w:t>22</w:t>
      </w:r>
      <w:r>
        <w:rPr>
          <w:rFonts w:hint="eastAsia" w:ascii="宋体" w:hAnsi="宋体" w:eastAsia="宋体" w:cs="宋体"/>
          <w:color w:val="FF0000"/>
          <w:szCs w:val="24"/>
          <w:shd w:val="clear" w:color="auto" w:fill="FFFFFF"/>
          <w:lang w:eastAsia="zh-CN"/>
        </w:rPr>
        <w:t>日</w:t>
      </w:r>
      <w:r>
        <w:rPr>
          <w:rFonts w:hint="eastAsia" w:ascii="宋体" w:hAnsi="宋体" w:eastAsia="宋体" w:cs="宋体"/>
          <w:color w:val="FF0000"/>
          <w:szCs w:val="24"/>
          <w:shd w:val="clear" w:color="auto" w:fill="FFFFFF"/>
        </w:rPr>
        <w:t>17:30(</w:t>
      </w:r>
      <w:r>
        <w:rPr>
          <w:rFonts w:hint="eastAsia" w:ascii="宋体" w:hAnsi="宋体" w:eastAsia="宋体" w:cs="宋体"/>
          <w:szCs w:val="24"/>
          <w:shd w:val="clear" w:color="auto" w:fill="FFFFFF"/>
        </w:rPr>
        <w:t>北京时间)</w:t>
      </w:r>
    </w:p>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firstLine="480"/>
        <w:textAlignment w:val="auto"/>
      </w:pPr>
      <w:r>
        <w:rPr>
          <w:rFonts w:hint="eastAsia" w:ascii="宋体" w:hAnsi="宋体" w:eastAsia="宋体" w:cs="宋体"/>
          <w:szCs w:val="24"/>
          <w:shd w:val="clear" w:color="auto" w:fill="FFFFFF"/>
        </w:rPr>
        <w:t>招标文件下载：见附件</w:t>
      </w:r>
    </w:p>
    <w:p>
      <w:pPr>
        <w:pStyle w:val="20"/>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40" w:lineRule="atLeast"/>
        <w:ind w:right="0" w:rightChars="0" w:firstLine="420"/>
        <w:textAlignment w:val="auto"/>
        <w:rPr>
          <w:rStyle w:val="25"/>
          <w:rFonts w:ascii="宋体" w:hAnsi="宋体" w:eastAsia="宋体" w:cs="宋体"/>
          <w:szCs w:val="24"/>
          <w:shd w:val="clear" w:color="auto" w:fill="FFFFFF"/>
        </w:rPr>
      </w:pPr>
      <w:r>
        <w:rPr>
          <w:rStyle w:val="25"/>
          <w:rFonts w:hint="eastAsia" w:ascii="宋体" w:hAnsi="宋体" w:eastAsia="宋体" w:cs="宋体"/>
          <w:szCs w:val="24"/>
          <w:shd w:val="clear" w:color="auto" w:fill="FFFFFF"/>
        </w:rPr>
        <w:t>提交投标文件截止时间、开标时间和地点</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textAlignment w:val="auto"/>
        <w:rPr>
          <w:rFonts w:ascii="宋体" w:hAnsi="宋体" w:eastAsia="宋体" w:cs="宋体"/>
          <w:szCs w:val="24"/>
          <w:shd w:val="clear" w:color="auto" w:fill="FFFFFF"/>
        </w:rPr>
      </w:pPr>
      <w:r>
        <w:rPr>
          <w:rFonts w:hint="eastAsia" w:ascii="宋体" w:hAnsi="宋体" w:eastAsia="宋体" w:cs="宋体"/>
          <w:szCs w:val="24"/>
        </w:rPr>
        <w:t>提交投标文件截止时间、开标时间</w:t>
      </w:r>
      <w:r>
        <w:rPr>
          <w:rFonts w:hint="eastAsia" w:ascii="宋体" w:hAnsi="宋体" w:eastAsia="宋体" w:cs="宋体"/>
          <w:szCs w:val="24"/>
          <w:shd w:val="clear" w:color="auto" w:fill="FFFFFF"/>
        </w:rPr>
        <w:t>：</w:t>
      </w:r>
      <w:r>
        <w:rPr>
          <w:rFonts w:hint="eastAsia" w:ascii="宋体" w:hAnsi="宋体" w:eastAsia="宋体" w:cs="宋体"/>
          <w:color w:val="auto"/>
          <w:szCs w:val="24"/>
          <w:shd w:val="clear" w:color="auto" w:fill="FFFFFF"/>
          <w:lang w:val="en-US" w:eastAsia="zh-CN"/>
        </w:rPr>
        <w:t>2022年4月8日</w:t>
      </w:r>
      <w:r>
        <w:rPr>
          <w:rFonts w:hint="eastAsia" w:ascii="宋体" w:hAnsi="宋体" w:eastAsia="宋体" w:cs="宋体"/>
          <w:color w:val="FF0000"/>
          <w:szCs w:val="24"/>
          <w:shd w:val="clear" w:color="auto" w:fill="FFFFFF"/>
          <w:lang w:val="en-US" w:eastAsia="zh-CN"/>
        </w:rPr>
        <w:t>9</w:t>
      </w:r>
      <w:r>
        <w:rPr>
          <w:rFonts w:hint="eastAsia" w:ascii="宋体" w:hAnsi="宋体" w:eastAsia="宋体" w:cs="宋体"/>
          <w:color w:val="FF0000"/>
          <w:szCs w:val="24"/>
          <w:shd w:val="clear" w:color="auto" w:fill="FFFFFF"/>
        </w:rPr>
        <w:t>时</w:t>
      </w:r>
      <w:r>
        <w:rPr>
          <w:rFonts w:hint="eastAsia" w:ascii="宋体" w:hAnsi="宋体" w:eastAsia="宋体" w:cs="宋体"/>
          <w:color w:val="FF0000"/>
          <w:szCs w:val="24"/>
          <w:shd w:val="clear" w:color="auto" w:fill="FFFFFF"/>
          <w:lang w:val="en-US" w:eastAsia="zh-CN"/>
        </w:rPr>
        <w:t>00</w:t>
      </w:r>
      <w:r>
        <w:rPr>
          <w:rFonts w:hint="eastAsia" w:ascii="宋体" w:hAnsi="宋体" w:eastAsia="宋体" w:cs="宋体"/>
          <w:color w:val="auto"/>
          <w:szCs w:val="24"/>
          <w:shd w:val="clear" w:color="auto" w:fill="FFFFFF"/>
        </w:rPr>
        <w:t>分</w:t>
      </w:r>
      <w:r>
        <w:rPr>
          <w:rFonts w:hint="eastAsia" w:ascii="宋体" w:hAnsi="宋体" w:eastAsia="宋体" w:cs="宋体"/>
          <w:szCs w:val="24"/>
          <w:shd w:val="clear" w:color="auto" w:fill="FFFFFF"/>
        </w:rPr>
        <w:t>（</w:t>
      </w:r>
      <w:r>
        <w:rPr>
          <w:rFonts w:hint="eastAsia" w:ascii="宋体" w:hAnsi="宋体" w:cs="宋体"/>
          <w:szCs w:val="24"/>
          <w:shd w:val="clear" w:color="auto" w:fill="FFFFFF"/>
        </w:rPr>
        <w:t>提前半小时</w:t>
      </w:r>
      <w:r>
        <w:rPr>
          <w:rFonts w:hint="eastAsia" w:ascii="宋体" w:hAnsi="宋体" w:eastAsia="宋体" w:cs="宋体"/>
          <w:szCs w:val="24"/>
          <w:shd w:val="clear" w:color="auto" w:fill="FFFFFF"/>
        </w:rPr>
        <w:t>开始接收投标文件，拒收逾期送达或者未按招标文件要求密封的投标文件）</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textAlignment w:val="auto"/>
      </w:pPr>
      <w:r>
        <w:rPr>
          <w:rFonts w:hint="eastAsia" w:ascii="宋体" w:hAnsi="宋体" w:eastAsia="宋体" w:cs="宋体"/>
          <w:szCs w:val="24"/>
        </w:rPr>
        <w:t>提交投标文件地点</w:t>
      </w:r>
      <w:r>
        <w:rPr>
          <w:rFonts w:hint="eastAsia" w:ascii="宋体" w:hAnsi="宋体" w:eastAsia="宋体" w:cs="宋体"/>
          <w:szCs w:val="24"/>
          <w:shd w:val="clear" w:color="auto" w:fill="FFFFFF"/>
        </w:rPr>
        <w:t>：阳新县公共资源交易中</w:t>
      </w:r>
      <w:r>
        <w:rPr>
          <w:rFonts w:hint="eastAsia" w:ascii="宋体" w:hAnsi="宋体" w:eastAsia="宋体" w:cs="宋体"/>
          <w:szCs w:val="24"/>
          <w:highlight w:val="none"/>
          <w:shd w:val="clear" w:color="auto" w:fill="FFFFFF"/>
        </w:rPr>
        <w:t>心</w:t>
      </w:r>
      <w:r>
        <w:rPr>
          <w:rFonts w:hint="eastAsia" w:ascii="宋体" w:hAnsi="宋体" w:eastAsia="宋体" w:cs="宋体"/>
          <w:color w:val="FF0000"/>
          <w:szCs w:val="24"/>
          <w:highlight w:val="none"/>
          <w:u w:val="none"/>
          <w:shd w:val="clear" w:color="auto" w:fill="FFFFFF"/>
          <w:lang w:val="en-US" w:eastAsia="zh-CN"/>
        </w:rPr>
        <w:t>二</w:t>
      </w:r>
      <w:r>
        <w:rPr>
          <w:rFonts w:hint="eastAsia" w:ascii="宋体" w:hAnsi="宋体" w:eastAsia="宋体" w:cs="宋体"/>
          <w:color w:val="FF0000"/>
          <w:szCs w:val="24"/>
          <w:highlight w:val="none"/>
          <w:u w:val="none"/>
          <w:shd w:val="clear" w:color="auto" w:fill="FFFFFF"/>
        </w:rPr>
        <w:t>楼开标</w:t>
      </w:r>
      <w:r>
        <w:rPr>
          <w:rFonts w:hint="eastAsia" w:ascii="宋体" w:hAnsi="宋体" w:eastAsia="宋体" w:cs="宋体"/>
          <w:color w:val="FF0000"/>
          <w:szCs w:val="24"/>
          <w:highlight w:val="none"/>
          <w:u w:val="none"/>
          <w:shd w:val="clear" w:color="auto" w:fill="FFFFFF"/>
          <w:lang w:val="en-US" w:eastAsia="zh-CN"/>
        </w:rPr>
        <w:t>二</w:t>
      </w:r>
      <w:r>
        <w:rPr>
          <w:rFonts w:hint="eastAsia" w:ascii="宋体" w:hAnsi="宋体" w:eastAsia="宋体" w:cs="宋体"/>
          <w:szCs w:val="24"/>
          <w:highlight w:val="none"/>
          <w:shd w:val="clear" w:color="auto" w:fill="FFFFFF"/>
        </w:rPr>
        <w:t>厅</w:t>
      </w:r>
      <w:r>
        <w:rPr>
          <w:rFonts w:hint="eastAsia" w:ascii="宋体" w:hAnsi="宋体" w:eastAsia="宋体" w:cs="宋体"/>
          <w:szCs w:val="24"/>
          <w:shd w:val="clear" w:color="auto" w:fill="FFFFFF"/>
        </w:rPr>
        <w:t>（阳新县熊家垴安置小区东侧）</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20"/>
        <w:textAlignment w:val="auto"/>
      </w:pPr>
      <w:r>
        <w:rPr>
          <w:rStyle w:val="25"/>
          <w:rFonts w:hint="eastAsia" w:ascii="宋体" w:hAnsi="宋体" w:eastAsia="宋体" w:cs="宋体"/>
          <w:szCs w:val="24"/>
          <w:shd w:val="clear" w:color="auto" w:fill="FFFFFF"/>
        </w:rPr>
        <w:t>五、公告期限</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textAlignment w:val="auto"/>
      </w:pPr>
      <w:r>
        <w:rPr>
          <w:rFonts w:hint="eastAsia" w:ascii="宋体" w:hAnsi="宋体" w:eastAsia="宋体" w:cs="宋体"/>
          <w:szCs w:val="24"/>
          <w:shd w:val="clear" w:color="auto" w:fill="FFFFFF"/>
        </w:rPr>
        <w:t>自本公告发布之日起5个工作日。</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20"/>
        <w:textAlignment w:val="auto"/>
      </w:pPr>
      <w:r>
        <w:rPr>
          <w:rStyle w:val="25"/>
          <w:rFonts w:hint="eastAsia" w:ascii="宋体" w:hAnsi="宋体" w:eastAsia="宋体" w:cs="宋体"/>
          <w:szCs w:val="24"/>
          <w:shd w:val="clear" w:color="auto" w:fill="FFFFFF"/>
        </w:rPr>
        <w:t>六、其他补充事宜</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textAlignment w:val="auto"/>
      </w:pPr>
      <w:r>
        <w:rPr>
          <w:rFonts w:hint="eastAsia" w:ascii="宋体" w:hAnsi="宋体" w:eastAsia="宋体" w:cs="宋体"/>
          <w:szCs w:val="24"/>
          <w:shd w:val="clear" w:color="auto" w:fill="FFFFFF"/>
        </w:rPr>
        <w:t>1、落实政府采购强制、优先采购节能产品政策；政府采购优先采购环保产品政策；政府采购促进中小企业发展（监狱企业、残疾人福利性单位视同小微企业）等政策。</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textAlignment w:val="auto"/>
        <w:rPr>
          <w:rFonts w:ascii="宋体" w:hAnsi="宋体" w:eastAsia="宋体" w:cs="宋体"/>
          <w:szCs w:val="24"/>
          <w:shd w:val="clear" w:color="auto" w:fill="FFFFFF"/>
        </w:rPr>
      </w:pPr>
      <w:r>
        <w:rPr>
          <w:rFonts w:hint="eastAsia" w:ascii="宋体" w:hAnsi="宋体" w:eastAsia="宋体" w:cs="宋体"/>
          <w:szCs w:val="24"/>
          <w:shd w:val="clear" w:color="auto" w:fill="FFFFFF"/>
        </w:rPr>
        <w:t>2、是否专门面向中小企业、监狱企业、残疾人福利性单位：</w:t>
      </w:r>
      <w:r>
        <w:rPr>
          <w:rFonts w:hint="eastAsia" w:ascii="宋体" w:hAnsi="宋体" w:eastAsia="宋体" w:cs="宋体"/>
          <w:szCs w:val="24"/>
          <w:shd w:val="clear" w:color="auto" w:fill="FFFFFF"/>
          <w:lang w:eastAsia="zh-CN"/>
        </w:rPr>
        <w:t>否</w:t>
      </w:r>
      <w:r>
        <w:rPr>
          <w:rFonts w:hint="eastAsia" w:ascii="宋体" w:hAnsi="宋体" w:eastAsia="宋体" w:cs="宋体"/>
          <w:szCs w:val="24"/>
          <w:shd w:val="clear" w:color="auto" w:fill="FFFFFF"/>
        </w:rPr>
        <w:t>。</w:t>
      </w:r>
    </w:p>
    <w:p>
      <w:pPr>
        <w:pageBreakBefore w:val="0"/>
        <w:kinsoku/>
        <w:wordWrap/>
        <w:overflowPunct/>
        <w:topLinePunct w:val="0"/>
        <w:autoSpaceDE/>
        <w:autoSpaceDN/>
        <w:bidi w:val="0"/>
        <w:adjustRightInd/>
        <w:snapToGrid/>
        <w:spacing w:line="480" w:lineRule="exact"/>
        <w:ind w:right="0" w:rightChars="0"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zh-CN"/>
        </w:rPr>
        <w:t>投标人认为招标文件、招标过程和中标结果使自己的权益受到损害的，可以在知道或者应知其权益受到损害之日起7个工作日内，向采购人或代理公司提出质疑。</w:t>
      </w:r>
      <w:r>
        <w:rPr>
          <w:rFonts w:hint="eastAsia" w:ascii="宋体" w:hAnsi="宋体" w:eastAsia="宋体" w:cs="宋体"/>
          <w:kern w:val="0"/>
          <w:sz w:val="24"/>
          <w:szCs w:val="24"/>
        </w:rPr>
        <w:t>质疑时请提交书面质疑函一份（法人代表签字、加盖单位公章。具体要求详见本招标文件“第二章 投标人须知”中的第八条之规定），并附相关证据材料。</w:t>
      </w: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20"/>
        <w:textAlignment w:val="auto"/>
      </w:pPr>
      <w:r>
        <w:rPr>
          <w:rStyle w:val="25"/>
          <w:rFonts w:hint="eastAsia" w:ascii="宋体" w:hAnsi="宋体" w:eastAsia="宋体" w:cs="宋体"/>
          <w:szCs w:val="24"/>
          <w:shd w:val="clear" w:color="auto" w:fill="FFFFFF"/>
        </w:rPr>
        <w:t>七、对本次招标提出询问，请按以下方式联系。</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pPr>
      <w:r>
        <w:rPr>
          <w:rFonts w:hint="eastAsia" w:ascii="宋体" w:hAnsi="宋体" w:eastAsia="宋体" w:cs="宋体"/>
          <w:szCs w:val="24"/>
          <w:shd w:val="clear" w:color="auto" w:fill="FFFFFF"/>
        </w:rPr>
        <w:t>1.采购人信息</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eastAsia" w:eastAsia="宋体"/>
          <w:lang w:eastAsia="zh-CN"/>
        </w:rPr>
      </w:pPr>
      <w:r>
        <w:rPr>
          <w:rFonts w:hint="eastAsia" w:ascii="宋体" w:hAnsi="宋体" w:eastAsia="宋体" w:cs="宋体"/>
          <w:szCs w:val="24"/>
          <w:shd w:val="clear" w:color="auto" w:fill="FFFFFF"/>
        </w:rPr>
        <w:t xml:space="preserve">名 </w:t>
      </w:r>
      <w:r>
        <w:rPr>
          <w:rFonts w:hint="eastAsia" w:ascii="宋体" w:hAnsi="宋体" w:eastAsia="宋体" w:cs="宋体"/>
          <w:szCs w:val="24"/>
          <w:shd w:val="clear" w:color="auto" w:fill="FFFFFF"/>
          <w:lang w:val="en-US" w:eastAsia="zh-CN"/>
        </w:rPr>
        <w:t xml:space="preserve">  </w:t>
      </w:r>
      <w:r>
        <w:rPr>
          <w:rFonts w:hint="eastAsia" w:ascii="宋体" w:hAnsi="宋体" w:eastAsia="宋体" w:cs="宋体"/>
          <w:szCs w:val="24"/>
          <w:shd w:val="clear" w:color="auto" w:fill="FFFFFF"/>
        </w:rPr>
        <w:t xml:space="preserve"> 称：</w:t>
      </w:r>
      <w:r>
        <w:rPr>
          <w:rFonts w:hint="eastAsia" w:ascii="宋体" w:hAnsi="宋体" w:eastAsia="宋体" w:cs="宋体"/>
          <w:color w:val="000000"/>
          <w:szCs w:val="24"/>
          <w:lang w:eastAsia="zh-CN"/>
        </w:rPr>
        <w:t>阳新县血吸虫病防治所</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eastAsia" w:ascii="宋体" w:hAnsi="宋体" w:eastAsia="宋体" w:cs="宋体"/>
          <w:bCs/>
          <w:color w:val="auto"/>
          <w:lang w:val="en-US" w:eastAsia="zh-CN"/>
        </w:rPr>
      </w:pPr>
      <w:r>
        <w:rPr>
          <w:rFonts w:hint="eastAsia" w:ascii="宋体" w:hAnsi="宋体" w:eastAsia="宋体" w:cs="宋体"/>
          <w:szCs w:val="24"/>
          <w:shd w:val="clear" w:color="auto" w:fill="FFFFFF"/>
        </w:rPr>
        <w:t xml:space="preserve">地 </w:t>
      </w:r>
      <w:r>
        <w:rPr>
          <w:rFonts w:hint="eastAsia" w:ascii="宋体" w:hAnsi="宋体" w:eastAsia="宋体" w:cs="宋体"/>
          <w:szCs w:val="24"/>
          <w:shd w:val="clear" w:color="auto" w:fill="FFFFFF"/>
          <w:lang w:val="en-US" w:eastAsia="zh-CN"/>
        </w:rPr>
        <w:t xml:space="preserve">  </w:t>
      </w:r>
      <w:r>
        <w:rPr>
          <w:rFonts w:hint="eastAsia" w:ascii="宋体" w:hAnsi="宋体" w:eastAsia="宋体" w:cs="宋体"/>
          <w:szCs w:val="24"/>
          <w:shd w:val="clear" w:color="auto" w:fill="FFFFFF"/>
        </w:rPr>
        <w:t xml:space="preserve"> 址：</w:t>
      </w:r>
      <w:r>
        <w:rPr>
          <w:rFonts w:hint="eastAsia" w:ascii="宋体" w:hAnsi="宋体" w:eastAsia="宋体" w:cs="宋体"/>
          <w:bCs/>
          <w:color w:val="auto"/>
          <w:lang w:eastAsia="zh-CN"/>
        </w:rPr>
        <w:t>阳新县兴国大道</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eastAsia" w:ascii="宋体" w:hAnsi="宋体" w:eastAsia="宋体" w:cs="宋体"/>
          <w:bCs/>
          <w:lang w:val="en-US" w:eastAsia="zh-CN"/>
        </w:rPr>
      </w:pPr>
      <w:r>
        <w:rPr>
          <w:rFonts w:hint="eastAsia" w:ascii="宋体" w:hAnsi="宋体" w:eastAsia="宋体" w:cs="宋体"/>
          <w:bCs/>
          <w:lang w:val="en-US" w:eastAsia="zh-CN"/>
        </w:rPr>
        <w:t>联 系 人：程良满</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default" w:ascii="宋体" w:hAnsi="宋体" w:eastAsia="宋体" w:cs="宋体"/>
          <w:szCs w:val="24"/>
          <w:shd w:val="clear" w:color="auto" w:fill="FFFFFF"/>
          <w:lang w:val="en-US" w:eastAsia="zh-CN"/>
        </w:rPr>
      </w:pPr>
      <w:r>
        <w:rPr>
          <w:rFonts w:hint="eastAsia" w:ascii="宋体" w:hAnsi="宋体" w:eastAsia="宋体" w:cs="宋体"/>
          <w:szCs w:val="24"/>
          <w:shd w:val="clear" w:color="auto" w:fill="FFFFFF"/>
        </w:rPr>
        <w:t>联系方式：</w:t>
      </w:r>
      <w:r>
        <w:rPr>
          <w:rFonts w:hint="eastAsia" w:ascii="宋体" w:hAnsi="宋体" w:eastAsia="宋体" w:cs="宋体"/>
          <w:szCs w:val="24"/>
          <w:shd w:val="clear" w:color="auto" w:fill="FFFFFF"/>
          <w:lang w:val="en-US" w:eastAsia="zh-CN"/>
        </w:rPr>
        <w:t>17386237966</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pPr>
      <w:r>
        <w:rPr>
          <w:rFonts w:hint="eastAsia" w:ascii="宋体" w:hAnsi="宋体" w:eastAsia="宋体" w:cs="宋体"/>
          <w:szCs w:val="24"/>
          <w:shd w:val="clear" w:color="auto" w:fill="FFFFFF"/>
        </w:rPr>
        <w:t>2.采购代理机构信息</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eastAsia" w:ascii="宋体" w:hAnsi="宋体" w:eastAsia="宋体" w:cs="宋体"/>
          <w:color w:val="000000"/>
          <w:szCs w:val="24"/>
          <w:lang w:eastAsia="zh-CN"/>
        </w:rPr>
      </w:pPr>
      <w:r>
        <w:rPr>
          <w:rFonts w:hint="eastAsia" w:ascii="宋体" w:hAnsi="宋体" w:eastAsia="宋体" w:cs="宋体"/>
          <w:szCs w:val="24"/>
          <w:shd w:val="clear" w:color="auto" w:fill="FFFFFF"/>
        </w:rPr>
        <w:t xml:space="preserve">名 </w:t>
      </w:r>
      <w:r>
        <w:rPr>
          <w:rFonts w:hint="eastAsia" w:ascii="宋体" w:hAnsi="宋体" w:eastAsia="宋体" w:cs="宋体"/>
          <w:szCs w:val="24"/>
          <w:shd w:val="clear" w:color="auto" w:fill="FFFFFF"/>
          <w:lang w:val="en-US" w:eastAsia="zh-CN"/>
        </w:rPr>
        <w:t xml:space="preserve">  </w:t>
      </w:r>
      <w:r>
        <w:rPr>
          <w:rFonts w:hint="eastAsia" w:ascii="宋体" w:hAnsi="宋体" w:eastAsia="宋体" w:cs="宋体"/>
          <w:szCs w:val="24"/>
          <w:shd w:val="clear" w:color="auto" w:fill="FFFFFF"/>
        </w:rPr>
        <w:t xml:space="preserve"> 称：</w:t>
      </w:r>
      <w:r>
        <w:rPr>
          <w:rFonts w:hint="eastAsia" w:ascii="宋体" w:hAnsi="宋体" w:eastAsia="宋体" w:cs="宋体"/>
          <w:color w:val="000000"/>
          <w:szCs w:val="24"/>
          <w:lang w:eastAsia="zh-CN"/>
        </w:rPr>
        <w:t xml:space="preserve">至诚工程咨询有限公司 </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default" w:ascii="宋体" w:hAnsi="宋体" w:eastAsia="宋体" w:cs="宋体"/>
          <w:color w:val="auto"/>
          <w:szCs w:val="24"/>
          <w:shd w:val="clear" w:color="auto" w:fill="FFFFFF"/>
          <w:lang w:val="en-US" w:eastAsia="zh-CN"/>
        </w:rPr>
      </w:pPr>
      <w:r>
        <w:rPr>
          <w:rFonts w:hint="eastAsia" w:ascii="宋体" w:hAnsi="宋体" w:eastAsia="宋体" w:cs="宋体"/>
          <w:szCs w:val="24"/>
          <w:shd w:val="clear" w:color="auto" w:fill="FFFFFF"/>
        </w:rPr>
        <w:t xml:space="preserve">地 </w:t>
      </w:r>
      <w:r>
        <w:rPr>
          <w:rFonts w:hint="eastAsia" w:ascii="宋体" w:hAnsi="宋体" w:eastAsia="宋体" w:cs="宋体"/>
          <w:szCs w:val="24"/>
          <w:shd w:val="clear" w:color="auto" w:fill="FFFFFF"/>
          <w:lang w:val="en-US" w:eastAsia="zh-CN"/>
        </w:rPr>
        <w:t xml:space="preserve">  </w:t>
      </w:r>
      <w:r>
        <w:rPr>
          <w:rFonts w:hint="eastAsia" w:ascii="宋体" w:hAnsi="宋体" w:eastAsia="宋体" w:cs="宋体"/>
          <w:szCs w:val="24"/>
          <w:shd w:val="clear" w:color="auto" w:fill="FFFFFF"/>
        </w:rPr>
        <w:t xml:space="preserve"> 址：</w:t>
      </w:r>
      <w:r>
        <w:rPr>
          <w:rFonts w:hint="eastAsia" w:ascii="宋体" w:hAnsi="宋体" w:eastAsia="宋体" w:cs="宋体"/>
          <w:color w:val="auto"/>
          <w:szCs w:val="24"/>
          <w:shd w:val="clear" w:color="auto" w:fill="FFFFFF"/>
          <w:lang w:val="en-US" w:eastAsia="zh-CN"/>
        </w:rPr>
        <w:t>阳新县财政局隔壁（中国平安后面二单元301室）</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default" w:eastAsia="宋体"/>
          <w:lang w:val="en-US" w:eastAsia="zh-CN"/>
        </w:rPr>
      </w:pPr>
      <w:r>
        <w:rPr>
          <w:rFonts w:hint="eastAsia" w:ascii="宋体" w:hAnsi="宋体" w:eastAsia="宋体" w:cs="宋体"/>
          <w:szCs w:val="24"/>
          <w:shd w:val="clear" w:color="auto" w:fill="FFFFFF"/>
        </w:rPr>
        <w:t>联系方式：</w:t>
      </w:r>
      <w:r>
        <w:rPr>
          <w:rFonts w:hint="eastAsia" w:cs="Times New Roman"/>
          <w:color w:val="auto"/>
          <w:sz w:val="24"/>
          <w:szCs w:val="22"/>
          <w:lang w:val="en-US" w:eastAsia="zh-CN" w:bidi="ar-SA"/>
        </w:rPr>
        <w:t>15347299507</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pPr>
      <w:r>
        <w:rPr>
          <w:rFonts w:hint="eastAsia" w:ascii="宋体" w:hAnsi="宋体" w:eastAsia="宋体" w:cs="宋体"/>
          <w:szCs w:val="24"/>
          <w:shd w:val="clear" w:color="auto" w:fill="FFFFFF"/>
        </w:rPr>
        <w:t>3.项目联系方式</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eastAsia" w:ascii="宋体" w:hAnsi="宋体" w:eastAsia="宋体" w:cs="宋体"/>
          <w:color w:val="auto"/>
          <w:szCs w:val="24"/>
          <w:shd w:val="clear" w:color="auto" w:fill="FFFFFF"/>
        </w:rPr>
      </w:pPr>
      <w:r>
        <w:rPr>
          <w:rFonts w:hint="eastAsia" w:ascii="宋体" w:hAnsi="宋体" w:eastAsia="宋体" w:cs="宋体"/>
          <w:szCs w:val="24"/>
          <w:shd w:val="clear" w:color="auto" w:fill="FFFFFF"/>
        </w:rPr>
        <w:t>项目联系人：</w:t>
      </w:r>
      <w:r>
        <w:rPr>
          <w:rFonts w:hint="eastAsia" w:ascii="宋体" w:hAnsi="宋体" w:eastAsia="宋体" w:cs="宋体"/>
          <w:bCs/>
          <w:color w:val="auto"/>
          <w:szCs w:val="24"/>
          <w:shd w:val="clear" w:color="auto" w:fill="FFFFFF"/>
          <w:lang w:val="en-US" w:eastAsia="zh-CN"/>
        </w:rPr>
        <w:t>李红云</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firstLine="482"/>
        <w:textAlignment w:val="auto"/>
        <w:rPr>
          <w:rFonts w:hint="default" w:eastAsia="宋体"/>
          <w:lang w:val="en-US" w:eastAsia="zh-CN"/>
        </w:rPr>
      </w:pPr>
      <w:r>
        <w:rPr>
          <w:rFonts w:hint="eastAsia" w:ascii="宋体" w:hAnsi="宋体" w:eastAsia="宋体" w:cs="宋体"/>
          <w:szCs w:val="24"/>
          <w:shd w:val="clear" w:color="auto" w:fill="FFFFFF"/>
        </w:rPr>
        <w:t>电　　话：</w:t>
      </w:r>
      <w:r>
        <w:rPr>
          <w:rFonts w:hint="eastAsia" w:cs="Times New Roman"/>
          <w:color w:val="auto"/>
          <w:sz w:val="24"/>
          <w:szCs w:val="22"/>
          <w:lang w:val="en-US" w:eastAsia="zh-CN" w:bidi="ar-SA"/>
        </w:rPr>
        <w:t>15347299507</w:t>
      </w: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jc w:val="right"/>
        <w:textAlignment w:val="auto"/>
        <w:rPr>
          <w:rFonts w:hint="eastAsia" w:ascii="宋体" w:hAnsi="宋体" w:eastAsia="宋体" w:cs="宋体"/>
          <w:color w:val="000000"/>
          <w:szCs w:val="24"/>
          <w:lang w:eastAsia="zh-CN"/>
        </w:rPr>
      </w:pP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jc w:val="right"/>
        <w:textAlignment w:val="auto"/>
        <w:rPr>
          <w:rFonts w:hint="eastAsia" w:ascii="宋体" w:hAnsi="宋体" w:eastAsia="宋体" w:cs="宋体"/>
          <w:color w:val="000000"/>
          <w:szCs w:val="24"/>
          <w:lang w:eastAsia="zh-CN"/>
        </w:rPr>
      </w:pP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jc w:val="right"/>
        <w:textAlignment w:val="auto"/>
        <w:rPr>
          <w:rFonts w:hint="eastAsia" w:ascii="宋体" w:hAnsi="宋体" w:eastAsia="宋体" w:cs="宋体"/>
          <w:color w:val="000000"/>
          <w:szCs w:val="24"/>
          <w:lang w:eastAsia="zh-CN"/>
        </w:rPr>
      </w:pPr>
    </w:p>
    <w:p>
      <w:pPr>
        <w:pStyle w:val="20"/>
        <w:keepNext w:val="0"/>
        <w:keepLines w:val="0"/>
        <w:pageBreakBefore w:val="0"/>
        <w:widowControl/>
        <w:kinsoku/>
        <w:wordWrap/>
        <w:overflowPunct/>
        <w:topLinePunct w:val="0"/>
        <w:autoSpaceDE/>
        <w:autoSpaceDN/>
        <w:bidi w:val="0"/>
        <w:adjustRightInd/>
        <w:snapToGrid/>
        <w:spacing w:beforeAutospacing="0" w:afterAutospacing="0" w:line="480" w:lineRule="exact"/>
        <w:ind w:right="0" w:rightChars="0"/>
        <w:jc w:val="right"/>
        <w:textAlignment w:val="auto"/>
        <w:rPr>
          <w:rFonts w:hint="eastAsia" w:ascii="宋体" w:hAnsi="宋体" w:eastAsia="宋体" w:cs="宋体"/>
          <w:color w:val="000000"/>
          <w:szCs w:val="24"/>
          <w:lang w:eastAsia="zh-CN"/>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20"/>
        <w:pageBreakBefore w:val="0"/>
        <w:widowControl/>
        <w:kinsoku/>
        <w:wordWrap/>
        <w:overflowPunct/>
        <w:topLinePunct w:val="0"/>
        <w:autoSpaceDE/>
        <w:autoSpaceDN/>
        <w:bidi w:val="0"/>
        <w:adjustRightInd/>
        <w:snapToGrid/>
        <w:spacing w:beforeAutospacing="0" w:afterAutospacing="0" w:line="480" w:lineRule="exact"/>
        <w:ind w:right="0" w:rightChars="0" w:firstLine="480"/>
        <w:jc w:val="right"/>
        <w:textAlignment w:val="auto"/>
        <w:rPr>
          <w:rFonts w:hint="eastAsia" w:ascii="宋体" w:hAnsi="宋体" w:eastAsia="宋体" w:cs="宋体"/>
          <w:szCs w:val="24"/>
          <w:shd w:val="clear" w:color="auto" w:fill="FFFFFF"/>
        </w:rPr>
      </w:pPr>
    </w:p>
    <w:p>
      <w:pPr>
        <w:pStyle w:val="3"/>
        <w:numPr>
          <w:ilvl w:val="0"/>
          <w:numId w:val="1"/>
        </w:numPr>
        <w:spacing w:before="240" w:after="120"/>
        <w:ind w:left="883" w:hanging="880" w:hangingChars="200"/>
        <w:jc w:val="center"/>
        <w:rPr>
          <w:rFonts w:ascii="黑体" w:hAnsi="黑体" w:eastAsia="黑体"/>
        </w:rPr>
      </w:pPr>
      <w:bookmarkStart w:id="3" w:name="_Toc19187"/>
      <w:r>
        <w:rPr>
          <w:rFonts w:hint="eastAsia" w:ascii="黑体" w:hAnsi="黑体" w:eastAsia="黑体"/>
        </w:rPr>
        <w:t>投标人须知</w:t>
      </w:r>
      <w:bookmarkEnd w:id="2"/>
      <w:bookmarkEnd w:id="3"/>
    </w:p>
    <w:p>
      <w:pPr>
        <w:keepNext/>
        <w:keepLines/>
        <w:spacing w:line="360" w:lineRule="auto"/>
        <w:jc w:val="center"/>
        <w:outlineLvl w:val="1"/>
        <w:rPr>
          <w:rFonts w:cs="Times New Roman" w:asciiTheme="majorEastAsia" w:hAnsiTheme="majorEastAsia" w:eastAsiaTheme="majorEastAsia"/>
          <w:b/>
          <w:bCs/>
          <w:sz w:val="32"/>
          <w:szCs w:val="32"/>
          <w:lang w:val="zh-CN"/>
        </w:rPr>
      </w:pPr>
      <w:bookmarkStart w:id="4" w:name="_Toc31472"/>
      <w:bookmarkStart w:id="5" w:name="_Toc495861519"/>
      <w:bookmarkStart w:id="6" w:name="_Toc494561937"/>
      <w:r>
        <w:rPr>
          <w:rFonts w:cs="Times New Roman" w:asciiTheme="majorEastAsia" w:hAnsiTheme="majorEastAsia" w:eastAsiaTheme="majorEastAsia"/>
          <w:b/>
          <w:bCs/>
          <w:sz w:val="32"/>
          <w:szCs w:val="32"/>
          <w:lang w:val="zh-CN"/>
        </w:rPr>
        <w:t>投标须知前附表</w:t>
      </w:r>
      <w:bookmarkEnd w:id="4"/>
      <w:bookmarkEnd w:id="5"/>
      <w:bookmarkEnd w:id="6"/>
    </w:p>
    <w:tbl>
      <w:tblPr>
        <w:tblStyle w:val="22"/>
        <w:tblW w:w="93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6"/>
        <w:gridCol w:w="2208"/>
        <w:gridCol w:w="64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76" w:type="dxa"/>
            <w:tcBorders>
              <w:top w:val="single" w:color="auto" w:sz="4" w:space="0"/>
              <w:bottom w:val="single" w:color="auto" w:sz="4" w:space="0"/>
              <w:right w:val="single" w:color="auto" w:sz="4" w:space="0"/>
            </w:tcBorders>
            <w:vAlign w:val="center"/>
          </w:tcPr>
          <w:p>
            <w:pPr>
              <w:spacing w:line="276" w:lineRule="auto"/>
              <w:ind w:left="-52" w:leftChars="-25" w:right="-27" w:rightChars="-13"/>
              <w:jc w:val="center"/>
              <w:rPr>
                <w:rFonts w:ascii="宋体" w:hAnsi="宋体" w:eastAsia="宋体" w:cs="Times New Roman"/>
                <w:b/>
                <w:sz w:val="24"/>
                <w:szCs w:val="24"/>
              </w:rPr>
            </w:pPr>
            <w:r>
              <w:rPr>
                <w:rFonts w:ascii="宋体" w:hAnsi="宋体" w:eastAsia="宋体" w:cs="Times New Roman"/>
                <w:b/>
                <w:sz w:val="24"/>
                <w:szCs w:val="24"/>
              </w:rPr>
              <w:t>序号</w:t>
            </w:r>
          </w:p>
        </w:tc>
        <w:tc>
          <w:tcPr>
            <w:tcW w:w="2208" w:type="dxa"/>
            <w:tcBorders>
              <w:top w:val="single" w:color="auto" w:sz="4" w:space="0"/>
              <w:left w:val="single" w:color="auto" w:sz="4" w:space="0"/>
              <w:bottom w:val="single" w:color="auto" w:sz="4" w:space="0"/>
              <w:right w:val="single" w:color="auto" w:sz="4" w:space="0"/>
            </w:tcBorders>
            <w:vAlign w:val="center"/>
          </w:tcPr>
          <w:p>
            <w:pPr>
              <w:spacing w:line="276" w:lineRule="auto"/>
              <w:ind w:right="-11"/>
              <w:jc w:val="center"/>
              <w:rPr>
                <w:rFonts w:ascii="Times New Roman" w:hAnsi="Times New Roman" w:eastAsia="宋体" w:cs="Times New Roman"/>
                <w:b/>
                <w:sz w:val="24"/>
                <w:szCs w:val="24"/>
              </w:rPr>
            </w:pPr>
            <w:r>
              <w:rPr>
                <w:rFonts w:hint="eastAsia" w:ascii="Times New Roman" w:hAnsi="宋体" w:eastAsia="宋体" w:cs="Times New Roman"/>
                <w:b/>
                <w:sz w:val="24"/>
                <w:szCs w:val="24"/>
              </w:rPr>
              <w:t>名  称</w:t>
            </w:r>
          </w:p>
        </w:tc>
        <w:tc>
          <w:tcPr>
            <w:tcW w:w="6470" w:type="dxa"/>
            <w:tcBorders>
              <w:top w:val="single" w:color="auto" w:sz="4" w:space="0"/>
              <w:left w:val="single" w:color="auto" w:sz="4" w:space="0"/>
              <w:bottom w:val="single" w:color="auto" w:sz="4" w:space="0"/>
            </w:tcBorders>
            <w:vAlign w:val="center"/>
          </w:tcPr>
          <w:p>
            <w:pPr>
              <w:spacing w:line="276" w:lineRule="auto"/>
              <w:ind w:left="57" w:right="57" w:firstLine="482" w:firstLineChars="201"/>
              <w:jc w:val="center"/>
              <w:rPr>
                <w:rFonts w:ascii="Times New Roman" w:hAnsi="Times New Roman" w:eastAsia="宋体" w:cs="Times New Roman"/>
                <w:b/>
                <w:sz w:val="24"/>
                <w:szCs w:val="24"/>
              </w:rPr>
            </w:pPr>
            <w:r>
              <w:rPr>
                <w:rFonts w:ascii="Times New Roman" w:hAnsi="宋体" w:eastAsia="宋体" w:cs="Times New Roman"/>
                <w:b/>
                <w:sz w:val="24"/>
                <w:szCs w:val="24"/>
              </w:rPr>
              <w:t>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项目编号</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sz w:val="24"/>
                <w:szCs w:val="24"/>
                <w:lang w:val="en-US"/>
              </w:rPr>
            </w:pPr>
            <w:r>
              <w:rPr>
                <w:rFonts w:hint="eastAsia" w:ascii="Times New Roman" w:hAnsi="Times New Roman" w:eastAsia="宋体" w:cs="Times New Roman"/>
                <w:color w:val="auto"/>
                <w:sz w:val="24"/>
                <w:szCs w:val="24"/>
                <w:lang w:eastAsia="zh-CN"/>
              </w:rPr>
              <w:t>131-2022CG-</w:t>
            </w:r>
            <w:r>
              <w:rPr>
                <w:rFonts w:hint="eastAsia" w:ascii="Times New Roman" w:hAnsi="Times New Roman" w:eastAsia="宋体" w:cs="Times New Roman"/>
                <w:color w:val="auto"/>
                <w:sz w:val="24"/>
                <w:szCs w:val="24"/>
                <w:lang w:val="en-US" w:eastAsia="zh-CN"/>
              </w:rPr>
              <w:t>029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项目名称</w:t>
            </w:r>
          </w:p>
        </w:tc>
        <w:tc>
          <w:tcPr>
            <w:tcW w:w="6470" w:type="dxa"/>
            <w:tcBorders>
              <w:top w:val="single" w:color="auto" w:sz="4" w:space="0"/>
              <w:left w:val="single" w:color="auto" w:sz="4" w:space="0"/>
              <w:bottom w:val="single" w:color="auto" w:sz="4" w:space="0"/>
            </w:tcBorders>
            <w:vAlign w:val="center"/>
          </w:tcPr>
          <w:p>
            <w:pPr>
              <w:rPr>
                <w:rFonts w:hint="eastAsia" w:ascii="Times New Roman" w:hAnsi="Times New Roman" w:eastAsia="宋体" w:cs="Times New Roman"/>
                <w:color w:val="FF0000"/>
                <w:sz w:val="24"/>
                <w:szCs w:val="24"/>
                <w:lang w:eastAsia="zh-CN"/>
              </w:rPr>
            </w:pPr>
            <w:r>
              <w:rPr>
                <w:rFonts w:hint="eastAsia" w:ascii="Times New Roman" w:hAnsi="Times New Roman" w:eastAsia="宋体" w:cs="Times New Roman"/>
                <w:sz w:val="24"/>
                <w:szCs w:val="24"/>
                <w:lang w:eastAsia="zh-CN"/>
              </w:rPr>
              <w:t>阳新县2022年灭螺与防治药品采购项目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0D0D0D"/>
                <w:sz w:val="24"/>
                <w:szCs w:val="24"/>
              </w:rPr>
            </w:pPr>
            <w:r>
              <w:rPr>
                <w:rFonts w:hint="eastAsia" w:ascii="Times New Roman" w:hAnsi="宋体" w:eastAsia="宋体" w:cs="Times New Roman"/>
                <w:color w:val="0D0D0D"/>
                <w:sz w:val="24"/>
                <w:szCs w:val="24"/>
              </w:rPr>
              <w:t>项目属性</w:t>
            </w:r>
          </w:p>
        </w:tc>
        <w:tc>
          <w:tcPr>
            <w:tcW w:w="647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0D0D0D"/>
                <w:kern w:val="0"/>
                <w:sz w:val="24"/>
                <w:szCs w:val="24"/>
                <w:lang w:eastAsia="zh-CN"/>
              </w:rPr>
            </w:pPr>
            <w:r>
              <w:rPr>
                <w:rFonts w:hint="eastAsia" w:ascii="宋体" w:hAnsi="宋体" w:eastAsia="宋体" w:cs="宋体"/>
                <w:color w:val="0D0D0D"/>
                <w:kern w:val="0"/>
                <w:sz w:val="24"/>
                <w:szCs w:val="24"/>
                <w:lang w:val="en-US" w:eastAsia="zh-CN"/>
              </w:rPr>
              <w:t>货物类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采购人</w:t>
            </w:r>
          </w:p>
        </w:tc>
        <w:tc>
          <w:tcPr>
            <w:tcW w:w="6470" w:type="dxa"/>
            <w:tcBorders>
              <w:top w:val="single" w:color="auto" w:sz="4" w:space="0"/>
              <w:left w:val="single" w:color="auto" w:sz="4" w:space="0"/>
              <w:bottom w:val="single" w:color="auto" w:sz="4" w:space="0"/>
            </w:tcBorders>
            <w:vAlign w:val="center"/>
          </w:tcPr>
          <w:p>
            <w:pPr>
              <w:rPr>
                <w:rFonts w:hint="eastAsia" w:ascii="宋体" w:hAnsi="宋体" w:eastAsia="宋体" w:cs="宋体"/>
                <w:color w:val="FF0000"/>
                <w:kern w:val="0"/>
                <w:sz w:val="24"/>
                <w:szCs w:val="24"/>
                <w:lang w:eastAsia="zh-CN"/>
              </w:rPr>
            </w:pPr>
            <w:r>
              <w:rPr>
                <w:rFonts w:hint="eastAsia" w:ascii="宋体" w:hAnsi="宋体" w:eastAsia="宋体" w:cs="宋体"/>
                <w:bCs/>
                <w:kern w:val="0"/>
                <w:sz w:val="24"/>
                <w:szCs w:val="24"/>
                <w:lang w:eastAsia="zh-CN"/>
              </w:rPr>
              <w:t>阳新县血吸虫病防治所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投标保证金</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color w:val="FF0000"/>
                <w:kern w:val="0"/>
                <w:sz w:val="24"/>
                <w:szCs w:val="24"/>
              </w:rPr>
            </w:pPr>
            <w:r>
              <w:rPr>
                <w:rFonts w:hint="eastAsia" w:ascii="Times New Roman" w:hAnsi="宋体"/>
                <w:b/>
                <w:bCs/>
                <w:color w:val="000000"/>
                <w:sz w:val="24"/>
                <w:szCs w:val="24"/>
              </w:rPr>
              <w:t>本项目无须递交投标保证金，该文件涉及投标保证金的部分都将不作任何要求。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ascii="Times New Roman" w:hAnsi="宋体" w:eastAsia="宋体" w:cs="Times New Roman"/>
                <w:sz w:val="24"/>
                <w:szCs w:val="24"/>
              </w:rPr>
              <w:t>保证金</w:t>
            </w:r>
            <w:r>
              <w:rPr>
                <w:rFonts w:hint="eastAsia" w:ascii="Times New Roman" w:hAnsi="宋体" w:eastAsia="宋体" w:cs="Times New Roman"/>
                <w:sz w:val="24"/>
                <w:szCs w:val="24"/>
              </w:rPr>
              <w:t>账户信息</w:t>
            </w:r>
          </w:p>
        </w:tc>
        <w:tc>
          <w:tcPr>
            <w:tcW w:w="6470" w:type="dxa"/>
            <w:tcBorders>
              <w:top w:val="single" w:color="auto" w:sz="4" w:space="0"/>
              <w:left w:val="single" w:color="auto" w:sz="4" w:space="0"/>
              <w:bottom w:val="single" w:color="auto" w:sz="4" w:space="0"/>
            </w:tcBorders>
            <w:vAlign w:val="center"/>
          </w:tcPr>
          <w:p>
            <w:pPr>
              <w:rPr>
                <w:rFonts w:ascii="宋体" w:hAnsi="宋体" w:eastAsia="宋体" w:cs="宋体"/>
                <w:kern w:val="0"/>
                <w:sz w:val="24"/>
                <w:szCs w:val="24"/>
              </w:rPr>
            </w:pPr>
            <w:r>
              <w:rPr>
                <w:rFonts w:hint="eastAsia" w:ascii="宋体" w:hAnsi="宋体" w:eastAsia="宋体" w:cs="宋体"/>
                <w:color w:val="0D0D0D" w:themeColor="text1" w:themeTint="F2"/>
                <w:kern w:val="0"/>
                <w:sz w:val="24"/>
                <w:szCs w:val="24"/>
                <w14:textFill>
                  <w14:solidFill>
                    <w14:schemeClr w14:val="tx1">
                      <w14:lumMod w14:val="95000"/>
                      <w14:lumOff w14:val="5000"/>
                    </w14:schemeClr>
                  </w14:solidFill>
                </w14:textFill>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投标文件份数</w:t>
            </w:r>
          </w:p>
        </w:tc>
        <w:tc>
          <w:tcPr>
            <w:tcW w:w="6470" w:type="dxa"/>
            <w:tcBorders>
              <w:top w:val="single" w:color="auto" w:sz="4" w:space="0"/>
              <w:left w:val="single" w:color="auto" w:sz="4" w:space="0"/>
              <w:bottom w:val="single" w:color="auto" w:sz="4" w:space="0"/>
            </w:tcBorders>
            <w:vAlign w:val="center"/>
          </w:tcPr>
          <w:p>
            <w:pPr>
              <w:rPr>
                <w:rFonts w:hint="default" w:ascii="Times New Roman" w:hAnsi="Times New Roman" w:eastAsia="宋体" w:cs="Times New Roman"/>
                <w:color w:val="0D0D0D"/>
                <w:sz w:val="24"/>
                <w:szCs w:val="24"/>
                <w:lang w:val="en-US" w:eastAsia="zh-CN"/>
              </w:rPr>
            </w:pPr>
            <w:r>
              <w:rPr>
                <w:rFonts w:ascii="Times New Roman" w:hAnsi="Times New Roman" w:eastAsia="宋体" w:cs="Times New Roman"/>
                <w:color w:val="0D0D0D"/>
                <w:sz w:val="24"/>
                <w:szCs w:val="24"/>
              </w:rPr>
              <w:t>正本</w:t>
            </w:r>
            <w:r>
              <w:rPr>
                <w:rFonts w:hint="eastAsia" w:ascii="Times New Roman" w:hAnsi="Times New Roman" w:eastAsia="宋体" w:cs="Times New Roman"/>
                <w:color w:val="0D0D0D"/>
                <w:sz w:val="24"/>
                <w:szCs w:val="24"/>
              </w:rPr>
              <w:t>一</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rPr>
              <w:t>，</w:t>
            </w:r>
            <w:r>
              <w:rPr>
                <w:rFonts w:ascii="Times New Roman" w:hAnsi="Times New Roman" w:eastAsia="宋体" w:cs="Times New Roman"/>
                <w:color w:val="0D0D0D"/>
                <w:sz w:val="24"/>
                <w:szCs w:val="24"/>
              </w:rPr>
              <w:t>副本</w:t>
            </w:r>
            <w:r>
              <w:rPr>
                <w:rFonts w:hint="eastAsia" w:ascii="Times New Roman" w:hAnsi="Times New Roman" w:eastAsia="宋体" w:cs="Times New Roman"/>
                <w:color w:val="0D0D0D"/>
                <w:sz w:val="24"/>
                <w:szCs w:val="24"/>
              </w:rPr>
              <w:t>四</w:t>
            </w:r>
            <w:r>
              <w:rPr>
                <w:rFonts w:ascii="Times New Roman" w:hAnsi="Times New Roman" w:eastAsia="宋体" w:cs="Times New Roman"/>
                <w:color w:val="0D0D0D"/>
                <w:sz w:val="24"/>
                <w:szCs w:val="24"/>
              </w:rPr>
              <w:t>份</w:t>
            </w:r>
            <w:r>
              <w:rPr>
                <w:rFonts w:hint="eastAsia" w:ascii="Times New Roman" w:hAnsi="Times New Roman" w:eastAsia="宋体" w:cs="Times New Roman"/>
                <w:color w:val="0D0D0D"/>
                <w:sz w:val="24"/>
                <w:szCs w:val="24"/>
                <w:lang w:val="en-US" w:eastAsia="zh-CN"/>
              </w:rPr>
              <w:t>(电子U盘一份)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投标有效期</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宋体" w:hAnsi="宋体" w:eastAsia="宋体" w:cs="宋体"/>
                <w:color w:val="0D0D0D"/>
                <w:kern w:val="0"/>
                <w:sz w:val="24"/>
                <w:szCs w:val="24"/>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130"/>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资格预审</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投标文件递交时间</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sz w:val="24"/>
                <w:szCs w:val="24"/>
              </w:rPr>
            </w:pPr>
            <w:r>
              <w:rPr>
                <w:rFonts w:ascii="Times New Roman" w:hAnsi="宋体" w:eastAsia="宋体" w:cs="Times New Roman"/>
                <w:sz w:val="24"/>
                <w:szCs w:val="24"/>
              </w:rPr>
              <w:t>开标时间</w:t>
            </w:r>
            <w:r>
              <w:rPr>
                <w:rFonts w:hint="eastAsia" w:ascii="Times New Roman" w:hAnsi="宋体" w:eastAsia="宋体" w:cs="Times New Roman"/>
                <w:sz w:val="24"/>
                <w:szCs w:val="24"/>
              </w:rPr>
              <w:t>、地点</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备选方案</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不允许</w:t>
            </w:r>
          </w:p>
          <w:p>
            <w:pPr>
              <w:rPr>
                <w:rFonts w:ascii="Times New Roman" w:hAnsi="Times New Roman" w:eastAsia="宋体" w:cs="Times New Roman"/>
                <w:color w:val="0D0D0D"/>
                <w:sz w:val="24"/>
                <w:szCs w:val="24"/>
              </w:rPr>
            </w:pPr>
            <w:r>
              <w:rPr>
                <w:rFonts w:hint="eastAsia" w:ascii="Times New Roman" w:hAnsi="Times New Roman" w:eastAsia="宋体" w:cs="Times New Roman"/>
                <w:color w:val="0D0D0D"/>
                <w:sz w:val="24"/>
                <w:szCs w:val="24"/>
              </w:rPr>
              <w:t>详见第三章“</w:t>
            </w:r>
            <w:r>
              <w:rPr>
                <w:rFonts w:hint="eastAsia" w:ascii="宋体" w:hAnsi="宋体" w:eastAsia="宋体" w:cs="Times New Roman"/>
                <w:color w:val="0D0D0D"/>
                <w:sz w:val="24"/>
                <w:szCs w:val="24"/>
              </w:rPr>
              <w:t>项目技术、服务及商务要求</w:t>
            </w:r>
            <w:r>
              <w:rPr>
                <w:rFonts w:hint="eastAsia" w:ascii="Times New Roman" w:hAnsi="Times New Roman" w:eastAsia="宋体" w:cs="Times New Roman"/>
                <w:color w:val="0D0D0D"/>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宋体" w:cs="Times New Roman"/>
                <w:color w:val="auto"/>
                <w:sz w:val="24"/>
                <w:szCs w:val="24"/>
              </w:rPr>
            </w:pPr>
            <w:r>
              <w:rPr>
                <w:rFonts w:ascii="Times New Roman" w:hAnsi="宋体" w:eastAsia="宋体" w:cs="Times New Roman"/>
                <w:color w:val="auto"/>
                <w:sz w:val="24"/>
                <w:szCs w:val="24"/>
              </w:rPr>
              <w:t>实物样品</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不提交</w:t>
            </w: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详见第三章“</w:t>
            </w:r>
            <w:r>
              <w:rPr>
                <w:rFonts w:hint="eastAsia" w:ascii="宋体" w:hAnsi="宋体" w:eastAsia="宋体" w:cs="Times New Roman"/>
                <w:color w:val="auto"/>
                <w:sz w:val="24"/>
                <w:szCs w:val="24"/>
              </w:rPr>
              <w:t>项目技术、服务及商务要求</w:t>
            </w:r>
            <w:r>
              <w:rPr>
                <w:rFonts w:hint="eastAsia" w:ascii="Times New Roman" w:hAnsi="Times New Roman" w:eastAsia="宋体"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rPr>
            </w:pPr>
            <w:r>
              <w:rPr>
                <w:rFonts w:hint="eastAsia" w:ascii="宋体" w:hAnsi="宋体" w:eastAsia="宋体" w:cs="宋体"/>
                <w:color w:val="auto"/>
                <w:sz w:val="24"/>
                <w:szCs w:val="24"/>
              </w:rPr>
              <w:t>现场考察</w:t>
            </w:r>
          </w:p>
        </w:tc>
        <w:tc>
          <w:tcPr>
            <w:tcW w:w="6470" w:type="dxa"/>
            <w:tcBorders>
              <w:top w:val="single" w:color="auto" w:sz="4" w:space="0"/>
              <w:left w:val="single" w:color="auto" w:sz="4" w:space="0"/>
              <w:bottom w:val="single" w:color="auto" w:sz="4" w:space="0"/>
            </w:tcBorders>
            <w:vAlign w:val="center"/>
          </w:tcPr>
          <w:p>
            <w:pPr>
              <w:ind w:right="-105" w:rightChars="-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不组织</w:t>
            </w:r>
          </w:p>
          <w:p>
            <w:pPr>
              <w:ind w:right="-105" w:rightChars="-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详见第三章“</w:t>
            </w:r>
            <w:r>
              <w:rPr>
                <w:rFonts w:hint="eastAsia" w:ascii="宋体" w:hAnsi="宋体" w:eastAsia="宋体" w:cs="Times New Roman"/>
                <w:color w:val="auto"/>
                <w:sz w:val="24"/>
                <w:szCs w:val="24"/>
              </w:rPr>
              <w:t>项目技术、服务及商务要求</w:t>
            </w:r>
            <w:r>
              <w:rPr>
                <w:rFonts w:hint="eastAsia" w:ascii="Times New Roman" w:hAnsi="Times New Roman" w:eastAsia="宋体"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中标后分包</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不允许</w:t>
            </w:r>
          </w:p>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详见第三章“</w:t>
            </w:r>
            <w:r>
              <w:rPr>
                <w:rFonts w:hint="eastAsia" w:ascii="宋体" w:hAnsi="宋体" w:eastAsia="宋体" w:cs="Times New Roman"/>
                <w:color w:val="auto"/>
                <w:sz w:val="24"/>
                <w:szCs w:val="24"/>
              </w:rPr>
              <w:t>项目技术、服务及商务要求</w:t>
            </w:r>
            <w:r>
              <w:rPr>
                <w:rFonts w:hint="eastAsia" w:ascii="Times New Roman" w:hAnsi="Times New Roman" w:eastAsia="宋体" w:cs="Times New Roman"/>
                <w:color w:val="auto"/>
                <w:sz w:val="24"/>
                <w:szCs w:val="24"/>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rPr>
            </w:pPr>
            <w:r>
              <w:rPr>
                <w:rFonts w:ascii="Times New Roman" w:hAnsi="宋体" w:eastAsia="宋体" w:cs="Times New Roman"/>
                <w:color w:val="auto"/>
                <w:sz w:val="24"/>
                <w:szCs w:val="24"/>
              </w:rPr>
              <w:t>评标办法</w:t>
            </w:r>
          </w:p>
        </w:tc>
        <w:tc>
          <w:tcPr>
            <w:tcW w:w="6470"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color w:val="FF0000"/>
                <w:sz w:val="24"/>
                <w:szCs w:val="24"/>
              </w:rPr>
            </w:pPr>
            <w:r>
              <w:rPr>
                <w:rFonts w:hint="eastAsia" w:ascii="宋体" w:hAnsi="宋体" w:eastAsia="宋体" w:cs="Times New Roman"/>
                <w:bCs/>
                <w:color w:val="FF0000"/>
                <w:sz w:val="24"/>
                <w:szCs w:val="20"/>
                <w:lang w:val="zh-CN"/>
              </w:rPr>
              <w:t>最低评标价法</w:t>
            </w:r>
          </w:p>
          <w:p>
            <w:pPr>
              <w:rPr>
                <w:rFonts w:ascii="Times New Roman" w:hAnsi="Times New Roman" w:eastAsia="宋体" w:cs="Times New Roman"/>
                <w:color w:val="auto"/>
                <w:sz w:val="24"/>
                <w:szCs w:val="24"/>
                <w:lang w:val="zh-CN"/>
              </w:rPr>
            </w:pPr>
            <w:r>
              <w:rPr>
                <w:rFonts w:hint="eastAsia" w:ascii="Times New Roman" w:hAnsi="Times New Roman" w:eastAsia="宋体" w:cs="Times New Roman"/>
                <w:color w:val="auto"/>
                <w:sz w:val="24"/>
                <w:szCs w:val="24"/>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中小企业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监狱企业</w:t>
            </w:r>
          </w:p>
        </w:tc>
        <w:tc>
          <w:tcPr>
            <w:tcW w:w="6470" w:type="dxa"/>
            <w:tcBorders>
              <w:top w:val="single" w:color="auto" w:sz="4" w:space="0"/>
              <w:left w:val="single" w:color="auto" w:sz="4" w:space="0"/>
              <w:bottom w:val="single" w:color="auto" w:sz="4" w:space="0"/>
            </w:tcBorders>
            <w:vAlign w:val="center"/>
          </w:tcPr>
          <w:p>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76" w:type="dxa"/>
            <w:tcBorders>
              <w:top w:val="single" w:color="auto" w:sz="4" w:space="0"/>
              <w:bottom w:val="single" w:color="auto" w:sz="4" w:space="0"/>
              <w:right w:val="single" w:color="auto" w:sz="4" w:space="0"/>
            </w:tcBorders>
            <w:vAlign w:val="center"/>
          </w:tcPr>
          <w:p>
            <w:pPr>
              <w:numPr>
                <w:ilvl w:val="0"/>
                <w:numId w:val="3"/>
              </w:numPr>
              <w:tabs>
                <w:tab w:val="left" w:pos="242"/>
              </w:tabs>
              <w:ind w:right="57"/>
              <w:jc w:val="center"/>
              <w:rPr>
                <w:rFonts w:ascii="宋体" w:hAnsi="宋体" w:eastAsia="宋体" w:cs="Times New Roman"/>
                <w:b/>
                <w:sz w:val="24"/>
                <w:szCs w:val="24"/>
              </w:rPr>
            </w:pPr>
          </w:p>
        </w:tc>
        <w:tc>
          <w:tcPr>
            <w:tcW w:w="220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宋体" w:eastAsia="宋体" w:cs="Times New Roman"/>
                <w:sz w:val="24"/>
                <w:szCs w:val="24"/>
              </w:rPr>
            </w:pPr>
            <w:r>
              <w:rPr>
                <w:rFonts w:hint="eastAsia" w:ascii="Times New Roman" w:hAnsi="宋体" w:eastAsia="宋体" w:cs="Times New Roman"/>
                <w:sz w:val="24"/>
                <w:szCs w:val="24"/>
              </w:rPr>
              <w:t>质疑及提交</w:t>
            </w:r>
          </w:p>
        </w:tc>
        <w:tc>
          <w:tcPr>
            <w:tcW w:w="6470" w:type="dxa"/>
            <w:tcBorders>
              <w:top w:val="single" w:color="auto" w:sz="4" w:space="0"/>
              <w:left w:val="single" w:color="auto" w:sz="4" w:space="0"/>
              <w:bottom w:val="single" w:color="auto" w:sz="4" w:space="0"/>
            </w:tcBorders>
            <w:vAlign w:val="center"/>
          </w:tcPr>
          <w:p>
            <w:pPr>
              <w:rPr>
                <w:rFonts w:cs="Times New Roman" w:asciiTheme="minorEastAsia" w:hAnsiTheme="minorEastAsia"/>
                <w:color w:val="0D0D0D"/>
                <w:sz w:val="24"/>
                <w:szCs w:val="24"/>
              </w:rPr>
            </w:pPr>
            <w:r>
              <w:rPr>
                <w:rFonts w:hint="eastAsia" w:cs="Times New Roman" w:asciiTheme="minorEastAsia" w:hAnsiTheme="minorEastAsia"/>
                <w:color w:val="0D0D0D"/>
                <w:sz w:val="24"/>
                <w:szCs w:val="24"/>
              </w:rPr>
              <w:t>详见本章“质疑及提交”要求</w:t>
            </w:r>
          </w:p>
        </w:tc>
      </w:tr>
    </w:tbl>
    <w:p>
      <w:pPr>
        <w:keepNext/>
        <w:keepLines/>
        <w:numPr>
          <w:ilvl w:val="0"/>
          <w:numId w:val="4"/>
        </w:numPr>
        <w:spacing w:before="100" w:beforeAutospacing="1" w:after="100" w:afterAutospacing="1" w:line="360" w:lineRule="auto"/>
        <w:ind w:left="482" w:hanging="480" w:hangingChars="150"/>
        <w:outlineLvl w:val="1"/>
        <w:rPr>
          <w:rFonts w:ascii="黑体" w:hAnsi="黑体" w:eastAsia="黑体" w:cs="Times New Roman"/>
          <w:b/>
          <w:bCs/>
          <w:sz w:val="32"/>
          <w:szCs w:val="32"/>
          <w:lang w:val="zh-CN"/>
        </w:rPr>
      </w:pPr>
      <w:bookmarkStart w:id="7" w:name="_Toc494561938"/>
      <w:r>
        <w:rPr>
          <w:rFonts w:ascii="黑体" w:hAnsi="黑体" w:eastAsia="黑体" w:cs="Times New Roman"/>
          <w:b/>
          <w:bCs/>
          <w:sz w:val="32"/>
          <w:szCs w:val="32"/>
          <w:lang w:val="zh-CN"/>
        </w:rPr>
        <w:br w:type="page"/>
      </w:r>
      <w:bookmarkStart w:id="8" w:name="_Toc17722"/>
      <w:bookmarkEnd w:id="8"/>
      <w:bookmarkStart w:id="9" w:name="_Toc3622"/>
      <w:bookmarkEnd w:id="9"/>
      <w:bookmarkStart w:id="10" w:name="_Toc21029"/>
      <w:bookmarkEnd w:id="10"/>
      <w:bookmarkStart w:id="11" w:name="_Toc24335"/>
      <w:bookmarkEnd w:id="11"/>
      <w:bookmarkStart w:id="12" w:name="_Toc28608"/>
      <w:bookmarkEnd w:id="12"/>
    </w:p>
    <w:p>
      <w:pPr>
        <w:pStyle w:val="4"/>
        <w:numPr>
          <w:ilvl w:val="0"/>
          <w:numId w:val="5"/>
        </w:numPr>
        <w:spacing w:before="120" w:after="40" w:line="360" w:lineRule="auto"/>
        <w:ind w:left="658" w:hanging="658"/>
        <w:jc w:val="left"/>
        <w:rPr>
          <w:rFonts w:cs="Times New Roman" w:asciiTheme="majorEastAsia" w:hAnsiTheme="majorEastAsia"/>
          <w:bCs w:val="0"/>
          <w:lang w:val="zh-CN"/>
        </w:rPr>
      </w:pPr>
      <w:bookmarkStart w:id="13" w:name="_Toc28635"/>
      <w:bookmarkStart w:id="14" w:name="_Toc495861520"/>
      <w:r>
        <w:rPr>
          <w:rFonts w:hint="eastAsia" w:cs="Times New Roman" w:asciiTheme="majorEastAsia" w:hAnsiTheme="majorEastAsia"/>
          <w:bCs w:val="0"/>
          <w:lang w:val="zh-CN"/>
        </w:rPr>
        <w:t>说  明</w:t>
      </w:r>
      <w:bookmarkEnd w:id="7"/>
      <w:bookmarkEnd w:id="13"/>
      <w:bookmarkEnd w:id="14"/>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适用范围</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招标文件仅适用于第一章“投标邀请书”中所述项目的货物、工程及服务的采购。</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当事人定义</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“采购人”是指：</w:t>
      </w:r>
      <w:r>
        <w:rPr>
          <w:rFonts w:hint="eastAsia" w:cs="Times New Roman" w:asciiTheme="minorEastAsia" w:hAnsiTheme="minorEastAsia"/>
          <w:sz w:val="24"/>
          <w:szCs w:val="24"/>
          <w:lang w:val="zh-CN"/>
        </w:rPr>
        <w:t>详见第一章“投标邀请书”。</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“监管部门”是指：</w:t>
      </w:r>
      <w:r>
        <w:rPr>
          <w:rFonts w:hint="eastAsia" w:cs="Times New Roman" w:asciiTheme="minorEastAsia" w:hAnsiTheme="minorEastAsia"/>
          <w:sz w:val="24"/>
          <w:szCs w:val="24"/>
          <w:lang w:val="zh-CN"/>
        </w:rPr>
        <w:t>阳新县政府采购办公室、阳新县公共资源交易监督管理局。</w:t>
      </w:r>
    </w:p>
    <w:p>
      <w:pPr>
        <w:numPr>
          <w:ilvl w:val="0"/>
          <w:numId w:val="7"/>
        </w:numPr>
        <w:spacing w:line="360" w:lineRule="auto"/>
        <w:ind w:left="476" w:hanging="476"/>
        <w:rPr>
          <w:rFonts w:hint="eastAsia" w:cs="Times New Roman" w:asciiTheme="minorEastAsia" w:hAnsiTheme="minorEastAsia"/>
          <w:sz w:val="24"/>
          <w:szCs w:val="24"/>
          <w:lang w:val="zh-CN"/>
        </w:rPr>
      </w:pPr>
      <w:r>
        <w:rPr>
          <w:rFonts w:hint="eastAsia" w:cs="Times New Roman" w:asciiTheme="minorEastAsia" w:hAnsiTheme="minorEastAsia"/>
          <w:b/>
          <w:sz w:val="24"/>
          <w:szCs w:val="24"/>
          <w:lang w:val="zh-CN"/>
        </w:rPr>
        <w:t>“采购代理机构”是指：</w:t>
      </w:r>
      <w:r>
        <w:rPr>
          <w:rFonts w:hint="eastAsia" w:cs="Times New Roman" w:asciiTheme="minorEastAsia" w:hAnsiTheme="minorEastAsia"/>
          <w:color w:val="auto"/>
          <w:sz w:val="24"/>
          <w:szCs w:val="24"/>
          <w:lang w:val="zh-CN"/>
        </w:rPr>
        <w:t>至诚工程咨询有限公司。</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“投标人”是指：</w:t>
      </w:r>
      <w:r>
        <w:rPr>
          <w:rFonts w:cs="Helvetica" w:asciiTheme="minorEastAsia" w:hAnsiTheme="minorEastAsia"/>
          <w:kern w:val="0"/>
          <w:sz w:val="24"/>
          <w:szCs w:val="24"/>
          <w:lang w:val="zh-CN"/>
        </w:rPr>
        <w:t>响应招标、参加投标竞争的法人、其他组织或者自然人。</w:t>
      </w:r>
    </w:p>
    <w:p>
      <w:pPr>
        <w:numPr>
          <w:ilvl w:val="0"/>
          <w:numId w:val="7"/>
        </w:numPr>
        <w:spacing w:line="360" w:lineRule="auto"/>
        <w:ind w:left="476" w:hanging="476"/>
        <w:rPr>
          <w:rFonts w:cs="Helvetica" w:asciiTheme="minorEastAsia" w:hAnsiTheme="minorEastAsia"/>
          <w:kern w:val="0"/>
          <w:sz w:val="24"/>
          <w:szCs w:val="24"/>
          <w:lang w:val="zh-CN"/>
        </w:rPr>
      </w:pPr>
      <w:r>
        <w:rPr>
          <w:rFonts w:hint="eastAsia" w:cs="Times New Roman" w:asciiTheme="minorEastAsia" w:hAnsiTheme="minorEastAsia"/>
          <w:b/>
          <w:sz w:val="24"/>
          <w:szCs w:val="24"/>
          <w:lang w:val="zh-CN"/>
        </w:rPr>
        <w:t>“合格的投标人”是指：</w:t>
      </w:r>
      <w:r>
        <w:rPr>
          <w:rFonts w:hint="eastAsia" w:cs="Helvetica" w:asciiTheme="minorEastAsia" w:hAnsiTheme="minorEastAsia"/>
          <w:kern w:val="0"/>
          <w:sz w:val="24"/>
          <w:szCs w:val="24"/>
          <w:lang w:val="zh-CN"/>
        </w:rPr>
        <w:t>资格审查和符合性审查合格的投标人。</w:t>
      </w:r>
    </w:p>
    <w:p>
      <w:pPr>
        <w:numPr>
          <w:ilvl w:val="0"/>
          <w:numId w:val="7"/>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“中标人”是指：</w:t>
      </w:r>
      <w:r>
        <w:rPr>
          <w:rFonts w:hint="eastAsia" w:cs="Times New Roman" w:asciiTheme="minorEastAsia" w:hAnsiTheme="minorEastAsia"/>
          <w:sz w:val="24"/>
          <w:szCs w:val="24"/>
          <w:lang w:val="zh-CN"/>
        </w:rPr>
        <w:t>经评标委员会评审，授予合同的投标人。</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项目属性及定义</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“货物”是指</w:t>
      </w:r>
      <w:r>
        <w:rPr>
          <w:rFonts w:hint="eastAsia" w:cs="Times New Roman" w:asciiTheme="minorEastAsia" w:hAnsiTheme="minorEastAsia"/>
          <w:sz w:val="24"/>
          <w:szCs w:val="24"/>
          <w:lang w:val="zh-CN"/>
        </w:rPr>
        <w:t>：各种形态和种类的物品，包括原材料、燃料、设备、产品等。</w:t>
      </w:r>
    </w:p>
    <w:p>
      <w:pPr>
        <w:numPr>
          <w:ilvl w:val="0"/>
          <w:numId w:val="9"/>
        </w:numPr>
        <w:spacing w:line="360" w:lineRule="auto"/>
        <w:ind w:left="854"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招标文件中没有提及招标货物来源地的，根据《政府采购法》及相关规定均应是本国货物，另有规定的除外。</w:t>
      </w:r>
    </w:p>
    <w:p>
      <w:pPr>
        <w:numPr>
          <w:ilvl w:val="0"/>
          <w:numId w:val="9"/>
        </w:numPr>
        <w:spacing w:line="360" w:lineRule="auto"/>
        <w:ind w:left="854"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投标的货物应是合法生产的符合国家有关标准要求的货物，并能够按照合同规定的品牌、产地、质量、价格和有效期等履约。</w:t>
      </w:r>
    </w:p>
    <w:p>
      <w:pPr>
        <w:numPr>
          <w:ilvl w:val="0"/>
          <w:numId w:val="8"/>
        </w:numPr>
        <w:spacing w:line="360" w:lineRule="auto"/>
        <w:ind w:left="476" w:hanging="476"/>
        <w:rPr>
          <w:rFonts w:cs="Times New Roman" w:asciiTheme="minorEastAsia" w:hAnsiTheme="minorEastAsia"/>
          <w:b/>
          <w:color w:val="0D0D0D"/>
          <w:sz w:val="24"/>
          <w:szCs w:val="24"/>
          <w:lang w:val="zh-CN"/>
        </w:rPr>
      </w:pPr>
      <w:r>
        <w:rPr>
          <w:rFonts w:hint="eastAsia" w:cs="Times New Roman" w:asciiTheme="minorEastAsia" w:hAnsiTheme="minorEastAsia"/>
          <w:b/>
          <w:color w:val="0D0D0D"/>
          <w:sz w:val="24"/>
          <w:szCs w:val="24"/>
          <w:lang w:val="zh-CN"/>
        </w:rPr>
        <w:t>“工程”是指</w:t>
      </w:r>
      <w:r>
        <w:rPr>
          <w:rFonts w:hint="eastAsia" w:cs="Times New Roman" w:asciiTheme="minorEastAsia" w:hAnsiTheme="minorEastAsia"/>
          <w:color w:val="0D0D0D"/>
          <w:sz w:val="24"/>
          <w:szCs w:val="24"/>
          <w:lang w:val="zh-CN"/>
        </w:rPr>
        <w:t>：与建筑物和构筑物的新建、改建、扩建及其相关的装修、拆除、修缮无关的工程。</w:t>
      </w:r>
    </w:p>
    <w:p>
      <w:pPr>
        <w:numPr>
          <w:ilvl w:val="0"/>
          <w:numId w:val="8"/>
        </w:numPr>
        <w:spacing w:line="360" w:lineRule="auto"/>
        <w:ind w:left="476" w:hanging="476"/>
        <w:rPr>
          <w:rFonts w:cs="Times New Roman" w:asciiTheme="minorEastAsia" w:hAnsiTheme="minorEastAsia"/>
          <w:sz w:val="24"/>
          <w:szCs w:val="24"/>
          <w:lang w:val="zh-CN"/>
        </w:rPr>
      </w:pPr>
      <w:r>
        <w:rPr>
          <w:rFonts w:hint="eastAsia" w:cs="Times New Roman" w:asciiTheme="minorEastAsia" w:hAnsiTheme="minorEastAsia"/>
          <w:b/>
          <w:sz w:val="24"/>
          <w:szCs w:val="24"/>
          <w:lang w:val="zh-CN"/>
        </w:rPr>
        <w:t>“服务”</w:t>
      </w:r>
      <w:r>
        <w:rPr>
          <w:rFonts w:hint="eastAsia" w:cs="Times New Roman" w:asciiTheme="minorEastAsia" w:hAnsiTheme="minorEastAsia"/>
          <w:b/>
          <w:color w:val="0D0D0D" w:themeColor="text1" w:themeTint="F2"/>
          <w:sz w:val="24"/>
          <w:szCs w:val="24"/>
          <w:lang w:val="zh-CN"/>
          <w14:textFill>
            <w14:solidFill>
              <w14:schemeClr w14:val="tx1">
                <w14:lumMod w14:val="95000"/>
                <w14:lumOff w14:val="5000"/>
              </w14:schemeClr>
            </w14:solidFill>
          </w14:textFill>
        </w:rPr>
        <w:t>是指：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除货物和工程（含本章3.2条所述工程及《招标投标法》所定义工程）以外的其他政府采购对象,包括政府自身需要的服务和政府向社会公众提供的公共服务。</w:t>
      </w:r>
    </w:p>
    <w:p>
      <w:pPr>
        <w:numPr>
          <w:ilvl w:val="0"/>
          <w:numId w:val="8"/>
        </w:numPr>
        <w:spacing w:line="360" w:lineRule="auto"/>
        <w:ind w:left="476" w:hanging="476"/>
        <w:rPr>
          <w:rFonts w:cs="Times New Roman" w:asciiTheme="minorEastAsia" w:hAnsiTheme="minorEastAsia"/>
          <w:sz w:val="24"/>
          <w:szCs w:val="24"/>
          <w:lang w:val="zh-CN"/>
        </w:rPr>
      </w:pPr>
      <w:r>
        <w:rPr>
          <w:rFonts w:cs="Times New Roman" w:asciiTheme="minorEastAsia" w:hAnsiTheme="minorEastAsia"/>
          <w:sz w:val="24"/>
          <w:szCs w:val="24"/>
          <w:lang w:val="zh-CN"/>
        </w:rPr>
        <w:t>采购人应当按照财政部制定的《政府采购品目分类目录》确定采购项目属性</w:t>
      </w:r>
      <w:r>
        <w:rPr>
          <w:rFonts w:hint="eastAsia" w:cs="Times New Roman" w:asciiTheme="minorEastAsia" w:hAnsiTheme="minorEastAsia"/>
          <w:sz w:val="24"/>
          <w:szCs w:val="24"/>
          <w:lang w:val="zh-CN"/>
        </w:rPr>
        <w:t>。</w:t>
      </w:r>
      <w:r>
        <w:rPr>
          <w:rFonts w:cs="Times New Roman" w:asciiTheme="minorEastAsia" w:hAnsiTheme="minorEastAsia"/>
          <w:sz w:val="24"/>
          <w:szCs w:val="24"/>
          <w:lang w:val="zh-CN"/>
        </w:rPr>
        <w:t>按照《政府采购品目分类目录》无法确定的，按照有利于采购项目实施的原则确定。</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投标费用</w:t>
      </w:r>
    </w:p>
    <w:p>
      <w:pPr>
        <w:numPr>
          <w:ilvl w:val="0"/>
          <w:numId w:val="10"/>
        </w:numPr>
        <w:spacing w:line="440" w:lineRule="exact"/>
        <w:ind w:left="476" w:hanging="47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投标人应承担所有与准备和参加投标有关的费用。不论投标的结果如何，采购代理机构和采购人均无义务和责任承担这些费用。</w:t>
      </w:r>
    </w:p>
    <w:p>
      <w:pPr>
        <w:pStyle w:val="45"/>
        <w:numPr>
          <w:ilvl w:val="0"/>
          <w:numId w:val="10"/>
        </w:numPr>
        <w:adjustRightInd w:val="0"/>
        <w:snapToGrid w:val="0"/>
        <w:spacing w:line="440" w:lineRule="exact"/>
        <w:ind w:firstLineChars="0"/>
        <w:rPr>
          <w:rFonts w:ascii="宋体" w:hAnsi="宋体"/>
          <w:bCs/>
          <w:sz w:val="24"/>
          <w:szCs w:val="24"/>
        </w:rPr>
      </w:pPr>
      <w:r>
        <w:rPr>
          <w:rFonts w:hint="eastAsia" w:ascii="宋体" w:hAnsi="宋体"/>
          <w:sz w:val="24"/>
          <w:szCs w:val="24"/>
        </w:rPr>
        <w:t>采购代理服务费</w:t>
      </w:r>
    </w:p>
    <w:p>
      <w:pPr>
        <w:pStyle w:val="45"/>
        <w:spacing w:line="440" w:lineRule="exact"/>
        <w:ind w:firstLine="0" w:firstLineChars="0"/>
        <w:rPr>
          <w:rFonts w:ascii="宋体" w:hAnsi="宋体"/>
          <w:b/>
          <w:sz w:val="24"/>
          <w:szCs w:val="24"/>
        </w:rPr>
      </w:pPr>
      <w:r>
        <w:rPr>
          <w:rFonts w:hint="eastAsia" w:ascii="宋体" w:hAnsi="宋体"/>
          <w:b/>
          <w:sz w:val="24"/>
          <w:szCs w:val="24"/>
        </w:rPr>
        <w:t>4.2.1经过采购代理机构与采购人协议，规定由中标单位支付。采购代理服务费收费标准如下：</w:t>
      </w:r>
    </w:p>
    <w:p>
      <w:pPr>
        <w:pStyle w:val="45"/>
        <w:spacing w:line="440" w:lineRule="exact"/>
        <w:ind w:firstLine="0" w:firstLineChars="0"/>
        <w:rPr>
          <w:rFonts w:ascii="宋体" w:hAnsi="宋体"/>
          <w:b/>
          <w:sz w:val="24"/>
          <w:szCs w:val="24"/>
        </w:rPr>
      </w:pPr>
    </w:p>
    <w:tbl>
      <w:tblPr>
        <w:tblStyle w:val="22"/>
        <w:tblW w:w="9465"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2385"/>
        <w:gridCol w:w="217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625" w:type="dxa"/>
          </w:tcPr>
          <w:p>
            <w:pPr>
              <w:spacing w:line="300" w:lineRule="auto"/>
              <w:ind w:firstLine="998" w:firstLineChars="416"/>
              <w:rPr>
                <w:rFonts w:ascii="宋体" w:hAnsi="宋体" w:cs="宋体"/>
                <w:sz w:val="24"/>
                <w:szCs w:val="24"/>
              </w:rPr>
            </w:pPr>
            <w:r>
              <w:rPr>
                <w:rFonts w:ascii="宋体" w:hAnsi="宋体" w:cs="宋体"/>
                <w:sz w:val="24"/>
                <w:szCs w:val="24"/>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7620</wp:posOffset>
                      </wp:positionV>
                      <wp:extent cx="1657350" cy="400050"/>
                      <wp:effectExtent l="1270" t="4445" r="17780" b="14605"/>
                      <wp:wrapNone/>
                      <wp:docPr id="3" name="Line 17"/>
                      <wp:cNvGraphicFramePr/>
                      <a:graphic xmlns:a="http://schemas.openxmlformats.org/drawingml/2006/main">
                        <a:graphicData uri="http://schemas.microsoft.com/office/word/2010/wordprocessingShape">
                          <wps:wsp>
                            <wps:cNvCnPr/>
                            <wps:spPr>
                              <a:xfrm flipH="1" flipV="1">
                                <a:off x="0" y="0"/>
                                <a:ext cx="1657350" cy="400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7" o:spid="_x0000_s1026" o:spt="20" style="position:absolute;left:0pt;flip:x y;margin-left:-3.55pt;margin-top:0.6pt;height:31.5pt;width:130.5pt;z-index:251661312;mso-width-relative:page;mso-height-relative:page;" filled="f" stroked="t" coordsize="21600,21600" o:gfxdata="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yR3L9MA&#10;AAAHAQAADwAAAAAAAAABACAAAAAiAAAAZHJzL2Rvd25yZXYueG1sUEsBAhQAFAAAAAgAh07iQFQA&#10;wXHrAQAA8wMAAA4AAAAAAAAAAQAgAAAAIgEAAGRycy9lMm9Eb2MueG1sUEsFBgAAAAAGAAYAWQEA&#10;AH8FA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-64135</wp:posOffset>
                      </wp:positionH>
                      <wp:positionV relativeFrom="paragraph">
                        <wp:posOffset>17145</wp:posOffset>
                      </wp:positionV>
                      <wp:extent cx="1652905" cy="977900"/>
                      <wp:effectExtent l="2540" t="3810" r="20955" b="8890"/>
                      <wp:wrapNone/>
                      <wp:docPr id="2" name="Line 16"/>
                      <wp:cNvGraphicFramePr/>
                      <a:graphic xmlns:a="http://schemas.openxmlformats.org/drawingml/2006/main">
                        <a:graphicData uri="http://schemas.microsoft.com/office/word/2010/wordprocessingShape">
                          <wps:wsp>
                            <wps:cNvCnPr/>
                            <wps:spPr>
                              <a:xfrm flipH="1" flipV="1">
                                <a:off x="0" y="0"/>
                                <a:ext cx="1652905" cy="9779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6" o:spid="_x0000_s1026" o:spt="20" style="position:absolute;left:0pt;flip:x y;margin-left:-5.05pt;margin-top:1.35pt;height:77pt;width:130.15pt;z-index:251660288;mso-width-relative:page;mso-height-relative:page;" filled="f" stroked="t" coordsize="21600,21600" o:gfxdata="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vd/5e&#10;1AAAAAkBAAAPAAAAAAAAAAEAIAAAACIAAABkcnMvZG93bnJldi54bWxQSwECFAAUAAAACACHTuJA&#10;XqxjHOwBAADzAwAADgAAAAAAAAABACAAAAAjAQAAZHJzL2Uyb0RvYy54bWxQSwUGAAAAAAYABgBZ&#10;AQAAgQUAAAAA&#10;">
                      <v:fill on="f" focussize="0,0"/>
                      <v:stroke color="#000000" joinstyle="round"/>
                      <v:imagedata o:title=""/>
                      <o:lock v:ext="edit" aspectratio="f"/>
                    </v:line>
                  </w:pict>
                </mc:Fallback>
              </mc:AlternateContent>
            </w:r>
            <w:r>
              <w:rPr>
                <w:rFonts w:ascii="宋体" w:hAnsi="宋体" w:cs="宋体"/>
                <w:sz w:val="24"/>
                <w:szCs w:val="24"/>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1" name="Line 1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5"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uR037VAAAACQEAAA8AAAAAAAAAAQAg&#10;AAAAIgAAAGRycy9kb3ducmV2LnhtbFBLAQIUABQAAAAIAIdO4kDNgef12AEAANYDAAAOAAAAAAAA&#10;AAEAIAAAACQBAABkcnMvZTJvRG9jLnhtbFBLBQYAAAAABgAGAFkBAABuBQAAAAA=&#10;">
                      <v:fill on="f" focussize="0,0"/>
                      <v:stroke color="#000000" joinstyle="round"/>
                      <v:imagedata o:title=""/>
                      <o:lock v:ext="edit" aspectratio="f"/>
                    </v:line>
                  </w:pict>
                </mc:Fallback>
              </mc:AlternateContent>
            </w:r>
            <w:r>
              <w:rPr>
                <w:rFonts w:hint="eastAsia" w:ascii="宋体" w:hAnsi="宋体" w:cs="宋体"/>
                <w:sz w:val="24"/>
                <w:szCs w:val="24"/>
              </w:rPr>
              <w:t>招标类型　　　</w:t>
            </w:r>
          </w:p>
          <w:p>
            <w:pPr>
              <w:spacing w:line="300" w:lineRule="auto"/>
              <w:ind w:firstLine="998" w:firstLineChars="416"/>
              <w:rPr>
                <w:rFonts w:ascii="宋体" w:hAnsi="宋体" w:cs="宋体"/>
                <w:sz w:val="24"/>
                <w:szCs w:val="24"/>
              </w:rPr>
            </w:pPr>
            <w:r>
              <w:rPr>
                <w:rFonts w:hint="eastAsia" w:ascii="宋体" w:hAnsi="宋体" w:cs="宋体"/>
                <w:bCs/>
                <w:sz w:val="24"/>
                <w:szCs w:val="24"/>
              </w:rPr>
              <w:t>中标</w:t>
            </w:r>
            <w:r>
              <w:rPr>
                <w:rFonts w:hint="eastAsia" w:ascii="宋体" w:hAnsi="宋体" w:cs="宋体"/>
                <w:sz w:val="24"/>
                <w:szCs w:val="24"/>
              </w:rPr>
              <w:t xml:space="preserve">　　　 </w:t>
            </w:r>
          </w:p>
          <w:p>
            <w:pPr>
              <w:spacing w:line="300" w:lineRule="auto"/>
              <w:ind w:firstLine="1504" w:firstLineChars="627"/>
              <w:rPr>
                <w:rFonts w:ascii="宋体" w:hAnsi="宋体" w:cs="宋体"/>
                <w:bCs/>
                <w:sz w:val="24"/>
                <w:szCs w:val="24"/>
              </w:rPr>
            </w:pPr>
            <w:r>
              <w:rPr>
                <w:rFonts w:hint="eastAsia" w:ascii="宋体" w:hAnsi="宋体" w:cs="宋体"/>
                <w:bCs/>
                <w:sz w:val="24"/>
                <w:szCs w:val="24"/>
              </w:rPr>
              <w:t>费率</w:t>
            </w:r>
          </w:p>
          <w:p>
            <w:pPr>
              <w:spacing w:line="300" w:lineRule="auto"/>
              <w:rPr>
                <w:rFonts w:ascii="宋体" w:hAnsi="宋体" w:cs="宋体"/>
                <w:sz w:val="24"/>
                <w:szCs w:val="24"/>
              </w:rPr>
            </w:pPr>
            <w:r>
              <w:rPr>
                <w:rFonts w:hint="eastAsia" w:ascii="宋体" w:hAnsi="宋体" w:cs="宋体"/>
                <w:sz w:val="24"/>
                <w:szCs w:val="24"/>
              </w:rPr>
              <w:t>金额（万元）</w:t>
            </w:r>
          </w:p>
        </w:tc>
        <w:tc>
          <w:tcPr>
            <w:tcW w:w="2385" w:type="dxa"/>
            <w:vAlign w:val="center"/>
          </w:tcPr>
          <w:p>
            <w:pPr>
              <w:spacing w:line="300" w:lineRule="auto"/>
              <w:jc w:val="center"/>
              <w:rPr>
                <w:rFonts w:ascii="宋体" w:hAnsi="宋体" w:cs="宋体"/>
                <w:sz w:val="24"/>
                <w:szCs w:val="24"/>
              </w:rPr>
            </w:pPr>
            <w:r>
              <w:rPr>
                <w:rFonts w:hint="eastAsia" w:ascii="宋体" w:hAnsi="宋体" w:cs="宋体"/>
                <w:sz w:val="24"/>
                <w:szCs w:val="24"/>
              </w:rPr>
              <w:t>货物招标</w:t>
            </w:r>
          </w:p>
        </w:tc>
        <w:tc>
          <w:tcPr>
            <w:tcW w:w="2175" w:type="dxa"/>
            <w:vAlign w:val="center"/>
          </w:tcPr>
          <w:p>
            <w:pPr>
              <w:spacing w:line="300" w:lineRule="auto"/>
              <w:jc w:val="center"/>
              <w:rPr>
                <w:rFonts w:ascii="宋体" w:hAnsi="宋体" w:cs="宋体"/>
                <w:sz w:val="24"/>
                <w:szCs w:val="24"/>
              </w:rPr>
            </w:pPr>
            <w:r>
              <w:rPr>
                <w:rFonts w:hint="eastAsia" w:ascii="宋体" w:hAnsi="宋体" w:cs="宋体"/>
                <w:sz w:val="24"/>
                <w:szCs w:val="24"/>
              </w:rPr>
              <w:t>服务招标</w:t>
            </w:r>
          </w:p>
        </w:tc>
        <w:tc>
          <w:tcPr>
            <w:tcW w:w="2280" w:type="dxa"/>
            <w:vAlign w:val="center"/>
          </w:tcPr>
          <w:p>
            <w:pPr>
              <w:spacing w:line="300" w:lineRule="auto"/>
              <w:jc w:val="center"/>
              <w:rPr>
                <w:rFonts w:ascii="宋体" w:hAnsi="宋体" w:cs="宋体"/>
                <w:sz w:val="24"/>
                <w:szCs w:val="24"/>
              </w:rPr>
            </w:pPr>
            <w:r>
              <w:rPr>
                <w:rFonts w:hint="eastAsia" w:ascii="宋体" w:hAnsi="宋体" w:cs="宋体"/>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625" w:type="dxa"/>
          </w:tcPr>
          <w:p>
            <w:pPr>
              <w:spacing w:line="300" w:lineRule="auto"/>
              <w:jc w:val="center"/>
              <w:rPr>
                <w:rFonts w:ascii="宋体" w:hAnsi="宋体" w:cs="宋体"/>
                <w:sz w:val="24"/>
                <w:szCs w:val="24"/>
              </w:rPr>
            </w:pPr>
            <w:r>
              <w:rPr>
                <w:rFonts w:hint="eastAsia" w:ascii="宋体" w:hAnsi="宋体" w:cs="宋体"/>
                <w:sz w:val="24"/>
                <w:szCs w:val="24"/>
              </w:rPr>
              <w:t>100以下</w:t>
            </w:r>
          </w:p>
        </w:tc>
        <w:tc>
          <w:tcPr>
            <w:tcW w:w="2385"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175" w:type="dxa"/>
          </w:tcPr>
          <w:p>
            <w:pPr>
              <w:spacing w:line="300" w:lineRule="auto"/>
              <w:jc w:val="center"/>
              <w:rPr>
                <w:rFonts w:ascii="宋体" w:hAnsi="宋体" w:cs="宋体"/>
                <w:sz w:val="24"/>
                <w:szCs w:val="24"/>
              </w:rPr>
            </w:pPr>
            <w:r>
              <w:rPr>
                <w:rFonts w:hint="eastAsia" w:ascii="宋体" w:hAnsi="宋体" w:cs="宋体"/>
                <w:sz w:val="24"/>
                <w:szCs w:val="24"/>
              </w:rPr>
              <w:t>1.5%</w:t>
            </w:r>
          </w:p>
        </w:tc>
        <w:tc>
          <w:tcPr>
            <w:tcW w:w="2280" w:type="dxa"/>
          </w:tcPr>
          <w:p>
            <w:pPr>
              <w:spacing w:line="300" w:lineRule="auto"/>
              <w:jc w:val="center"/>
              <w:rPr>
                <w:rFonts w:ascii="宋体" w:hAnsi="宋体" w:cs="宋体"/>
                <w:sz w:val="24"/>
                <w:szCs w:val="24"/>
              </w:rPr>
            </w:pPr>
            <w:r>
              <w:rPr>
                <w:rFonts w:hint="eastAsia" w:ascii="宋体" w:hAnsi="宋体" w:cs="宋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25" w:type="dxa"/>
          </w:tcPr>
          <w:p>
            <w:pPr>
              <w:spacing w:line="300" w:lineRule="auto"/>
              <w:jc w:val="center"/>
              <w:rPr>
                <w:rFonts w:ascii="宋体" w:hAnsi="宋体" w:cs="宋体"/>
                <w:sz w:val="24"/>
                <w:szCs w:val="24"/>
              </w:rPr>
            </w:pPr>
            <w:r>
              <w:rPr>
                <w:rFonts w:hint="eastAsia" w:ascii="宋体" w:hAnsi="宋体" w:cs="宋体"/>
                <w:sz w:val="24"/>
                <w:szCs w:val="24"/>
              </w:rPr>
              <w:t>100-500</w:t>
            </w:r>
          </w:p>
        </w:tc>
        <w:tc>
          <w:tcPr>
            <w:tcW w:w="2385" w:type="dxa"/>
          </w:tcPr>
          <w:p>
            <w:pPr>
              <w:spacing w:line="300" w:lineRule="auto"/>
              <w:jc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w:t>
            </w:r>
            <w:r>
              <w:rPr>
                <w:rFonts w:hint="eastAsia" w:ascii="宋体" w:hAnsi="宋体" w:cs="宋体"/>
                <w:sz w:val="24"/>
                <w:szCs w:val="24"/>
              </w:rPr>
              <w:t>%</w:t>
            </w:r>
          </w:p>
        </w:tc>
        <w:tc>
          <w:tcPr>
            <w:tcW w:w="2175" w:type="dxa"/>
          </w:tcPr>
          <w:p>
            <w:pPr>
              <w:spacing w:line="300" w:lineRule="auto"/>
              <w:jc w:val="center"/>
              <w:rPr>
                <w:rFonts w:ascii="宋体" w:hAnsi="宋体" w:cs="宋体"/>
                <w:sz w:val="24"/>
                <w:szCs w:val="24"/>
              </w:rPr>
            </w:pPr>
            <w:r>
              <w:rPr>
                <w:rFonts w:hint="eastAsia" w:ascii="宋体" w:hAnsi="宋体" w:cs="宋体"/>
                <w:sz w:val="24"/>
                <w:szCs w:val="24"/>
              </w:rPr>
              <w:t>0.8%</w:t>
            </w:r>
          </w:p>
        </w:tc>
        <w:tc>
          <w:tcPr>
            <w:tcW w:w="2280" w:type="dxa"/>
          </w:tcPr>
          <w:p>
            <w:pPr>
              <w:spacing w:line="300" w:lineRule="auto"/>
              <w:jc w:val="center"/>
              <w:rPr>
                <w:rFonts w:ascii="宋体" w:hAnsi="宋体" w:cs="宋体"/>
                <w:sz w:val="24"/>
                <w:szCs w:val="24"/>
              </w:rPr>
            </w:pPr>
            <w:r>
              <w:rPr>
                <w:rFonts w:hint="eastAsia" w:ascii="宋体" w:hAnsi="宋体" w:cs="宋体"/>
                <w:sz w:val="24"/>
                <w:szCs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625" w:type="dxa"/>
          </w:tcPr>
          <w:p>
            <w:pPr>
              <w:spacing w:line="300" w:lineRule="auto"/>
              <w:jc w:val="center"/>
              <w:rPr>
                <w:rFonts w:ascii="宋体" w:hAnsi="宋体" w:cs="宋体"/>
                <w:sz w:val="24"/>
                <w:szCs w:val="24"/>
              </w:rPr>
            </w:pPr>
            <w:r>
              <w:rPr>
                <w:rFonts w:hint="eastAsia" w:ascii="宋体" w:hAnsi="宋体" w:cs="宋体"/>
                <w:sz w:val="24"/>
                <w:szCs w:val="24"/>
              </w:rPr>
              <w:t>500-1000</w:t>
            </w:r>
          </w:p>
        </w:tc>
        <w:tc>
          <w:tcPr>
            <w:tcW w:w="2385" w:type="dxa"/>
          </w:tcPr>
          <w:p>
            <w:pPr>
              <w:spacing w:line="300" w:lineRule="auto"/>
              <w:jc w:val="center"/>
              <w:rPr>
                <w:rFonts w:ascii="宋体" w:hAnsi="宋体" w:cs="宋体"/>
                <w:sz w:val="24"/>
                <w:szCs w:val="24"/>
              </w:rPr>
            </w:pPr>
            <w:r>
              <w:rPr>
                <w:rFonts w:hint="eastAsia" w:ascii="宋体" w:hAnsi="宋体" w:cs="宋体"/>
                <w:sz w:val="24"/>
                <w:szCs w:val="24"/>
              </w:rPr>
              <w:t>0.96%</w:t>
            </w:r>
          </w:p>
        </w:tc>
        <w:tc>
          <w:tcPr>
            <w:tcW w:w="2175" w:type="dxa"/>
          </w:tcPr>
          <w:p>
            <w:pPr>
              <w:spacing w:line="300" w:lineRule="auto"/>
              <w:jc w:val="center"/>
              <w:rPr>
                <w:rFonts w:ascii="宋体" w:hAnsi="宋体" w:cs="宋体"/>
                <w:sz w:val="24"/>
                <w:szCs w:val="24"/>
              </w:rPr>
            </w:pPr>
            <w:r>
              <w:rPr>
                <w:rFonts w:hint="eastAsia" w:ascii="宋体" w:hAnsi="宋体" w:cs="宋体"/>
                <w:sz w:val="24"/>
                <w:szCs w:val="24"/>
              </w:rPr>
              <w:t>0.45%</w:t>
            </w:r>
          </w:p>
        </w:tc>
        <w:tc>
          <w:tcPr>
            <w:tcW w:w="2280" w:type="dxa"/>
          </w:tcPr>
          <w:p>
            <w:pPr>
              <w:spacing w:line="300" w:lineRule="auto"/>
              <w:jc w:val="center"/>
              <w:rPr>
                <w:rFonts w:ascii="宋体" w:hAnsi="宋体" w:cs="宋体"/>
                <w:sz w:val="24"/>
                <w:szCs w:val="24"/>
              </w:rPr>
            </w:pPr>
            <w:r>
              <w:rPr>
                <w:rFonts w:hint="eastAsia" w:ascii="宋体" w:hAnsi="宋体" w:cs="宋体"/>
                <w:sz w:val="24"/>
                <w:szCs w:val="24"/>
              </w:rPr>
              <w:t>0.55％</w:t>
            </w:r>
          </w:p>
        </w:tc>
      </w:tr>
    </w:tbl>
    <w:p>
      <w:pPr>
        <w:pStyle w:val="45"/>
        <w:adjustRightInd w:val="0"/>
        <w:snapToGrid w:val="0"/>
        <w:spacing w:line="300" w:lineRule="auto"/>
        <w:ind w:left="420" w:firstLine="0" w:firstLineChars="0"/>
        <w:rPr>
          <w:rFonts w:ascii="宋体" w:hAnsi="宋体"/>
          <w:b/>
          <w:sz w:val="24"/>
          <w:szCs w:val="24"/>
        </w:rPr>
      </w:pPr>
    </w:p>
    <w:p>
      <w:pPr>
        <w:pStyle w:val="45"/>
        <w:spacing w:line="440" w:lineRule="exact"/>
        <w:ind w:firstLine="0" w:firstLineChars="0"/>
        <w:rPr>
          <w:rFonts w:ascii="宋体" w:hAnsi="宋体"/>
          <w:b/>
          <w:sz w:val="24"/>
          <w:szCs w:val="24"/>
        </w:rPr>
      </w:pPr>
      <w:r>
        <w:rPr>
          <w:rFonts w:hint="eastAsia" w:ascii="宋体" w:hAnsi="宋体"/>
          <w:b/>
          <w:sz w:val="24"/>
          <w:szCs w:val="24"/>
        </w:rPr>
        <w:t>4.2.2</w:t>
      </w:r>
      <w:r>
        <w:rPr>
          <w:rFonts w:ascii="宋体" w:hAnsi="宋体"/>
          <w:b/>
          <w:sz w:val="24"/>
          <w:szCs w:val="24"/>
        </w:rPr>
        <w:t>公共资源交易平台信息服务费由公共资源交易经办机构向中标人收取。公共资源交易平台信息费收费标准参照湖北省物价局和湖北省公共资源交易监督管理局联合下发的《关于降低公共资源交易平台信息服务收费标准的通知》（鄂价工服[2017]61号）文件执行。</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15" w:name="_Toc495861521"/>
      <w:bookmarkStart w:id="16" w:name="_Toc31147"/>
      <w:bookmarkStart w:id="17" w:name="_Toc272247695"/>
      <w:bookmarkStart w:id="18" w:name="_Toc278891592"/>
      <w:bookmarkStart w:id="19" w:name="_Toc494561939"/>
      <w:r>
        <w:rPr>
          <w:rFonts w:hint="eastAsia" w:cs="Times New Roman" w:asciiTheme="majorEastAsia" w:hAnsiTheme="majorEastAsia"/>
          <w:bCs w:val="0"/>
          <w:lang w:val="zh-CN"/>
        </w:rPr>
        <w:t>招标文件</w:t>
      </w:r>
      <w:bookmarkEnd w:id="15"/>
      <w:bookmarkEnd w:id="16"/>
      <w:bookmarkEnd w:id="17"/>
      <w:bookmarkEnd w:id="18"/>
      <w:bookmarkEnd w:id="19"/>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招标文件的构成</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第一章 投标邀请书</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第二章 投标人须知</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第三章 项目技术、服务及商务要求</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第四章 资格审查方法及标准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第五章 评标方法、程序及标准</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第六章 合同书格式（参考）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第七章 投标文件格式（参考）</w:t>
      </w:r>
    </w:p>
    <w:p>
      <w:pPr>
        <w:tabs>
          <w:tab w:val="left" w:pos="476"/>
        </w:tabs>
        <w:spacing w:line="360" w:lineRule="auto"/>
        <w:ind w:left="476"/>
        <w:rPr>
          <w:rFonts w:ascii="宋体" w:hAnsi="宋体" w:eastAsia="宋体" w:cs="Times New Roman"/>
          <w:sz w:val="24"/>
          <w:szCs w:val="20"/>
          <w:lang w:val="zh-CN"/>
        </w:rPr>
      </w:pPr>
      <w:r>
        <w:rPr>
          <w:rFonts w:hint="eastAsia" w:ascii="宋体" w:hAnsi="宋体" w:eastAsia="宋体" w:cs="Times New Roman"/>
          <w:sz w:val="24"/>
          <w:szCs w:val="20"/>
          <w:lang w:val="zh-CN"/>
        </w:rPr>
        <w:t>其 他  在招标过程中由采购代理机构发出的修正和补充文件等</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招标文件疑问的提交</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潜在投标人对招标文件有疑问的，可以向采购代理机构提出询问，或在6.2规定的时间前以书面的形式向采购代理机构提交疑问函。</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潜在投标人在项目招标公告期限届满之日起7个工作日内未对招标文件提出疑问的，采购代理机构将视其认同招标文件，在规定的时间后就招标文件内容提出的疑问将不予受理。</w:t>
      </w:r>
    </w:p>
    <w:p>
      <w:pPr>
        <w:numPr>
          <w:ilvl w:val="0"/>
          <w:numId w:val="11"/>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招标文件的澄清、修改</w:t>
      </w:r>
    </w:p>
    <w:p>
      <w:pPr>
        <w:numPr>
          <w:ilvl w:val="0"/>
          <w:numId w:val="12"/>
        </w:numPr>
        <w:spacing w:line="360" w:lineRule="auto"/>
        <w:ind w:left="476" w:hanging="476"/>
        <w:rPr>
          <w:rFonts w:ascii="Helvetica" w:hAnsi="Helvetica" w:eastAsia="宋体" w:cs="Helvetica"/>
          <w:kern w:val="0"/>
          <w:sz w:val="24"/>
          <w:szCs w:val="24"/>
          <w:lang w:val="zh-CN"/>
        </w:rPr>
      </w:pPr>
      <w:r>
        <w:rPr>
          <w:rFonts w:hint="eastAsia" w:ascii="宋体" w:hAnsi="宋体" w:eastAsia="宋体" w:cs="Times New Roman"/>
          <w:sz w:val="24"/>
          <w:szCs w:val="20"/>
          <w:lang w:val="zh-CN"/>
        </w:rPr>
        <w:t>采购代理机构和采购人可以对已发出的招标文件进行必要的澄清或者修改。</w:t>
      </w:r>
      <w:r>
        <w:rPr>
          <w:rFonts w:hint="eastAsia" w:ascii="Helvetica" w:hAnsi="Helvetica" w:eastAsia="宋体" w:cs="Helvetica"/>
          <w:kern w:val="0"/>
          <w:sz w:val="24"/>
          <w:szCs w:val="24"/>
          <w:lang w:val="zh-CN"/>
        </w:rPr>
        <w:t>澄清或者修改将在原公告发布媒体上发布澄清公告。澄清或者修改的内容可能影响投标文件编制的，</w:t>
      </w:r>
      <w:r>
        <w:rPr>
          <w:rFonts w:hint="eastAsia" w:ascii="宋体" w:hAnsi="宋体" w:eastAsia="宋体" w:cs="Times New Roman"/>
          <w:sz w:val="24"/>
          <w:szCs w:val="20"/>
          <w:lang w:val="zh-CN"/>
        </w:rPr>
        <w:t>采购代理机构</w:t>
      </w:r>
      <w:r>
        <w:rPr>
          <w:rFonts w:hint="eastAsia" w:ascii="Helvetica" w:hAnsi="Helvetica" w:eastAsia="宋体" w:cs="Helvetica"/>
          <w:kern w:val="0"/>
          <w:sz w:val="24"/>
          <w:szCs w:val="24"/>
          <w:lang w:val="zh-CN"/>
        </w:rPr>
        <w:t>和采购人将在投标截止时间至少</w:t>
      </w:r>
      <w:r>
        <w:rPr>
          <w:rFonts w:hint="eastAsia" w:ascii="宋体" w:hAnsi="宋体" w:eastAsia="宋体" w:cs="Times New Roman"/>
          <w:sz w:val="24"/>
          <w:szCs w:val="20"/>
          <w:lang w:val="zh-CN"/>
        </w:rPr>
        <w:t>15</w:t>
      </w:r>
      <w:r>
        <w:rPr>
          <w:rFonts w:hint="eastAsia" w:ascii="Helvetica" w:hAnsi="Helvetica" w:eastAsia="宋体" w:cs="Helvetica"/>
          <w:kern w:val="0"/>
          <w:sz w:val="24"/>
          <w:szCs w:val="24"/>
          <w:lang w:val="zh-CN"/>
        </w:rPr>
        <w:t>日前，以书面</w:t>
      </w:r>
      <w:r>
        <w:rPr>
          <w:rFonts w:hint="eastAsia" w:ascii="宋体" w:hAnsi="宋体" w:eastAsia="宋体" w:cs="Times New Roman"/>
          <w:sz w:val="24"/>
          <w:szCs w:val="20"/>
          <w:lang w:val="zh-CN"/>
        </w:rPr>
        <w:t>（或网上公告）</w:t>
      </w:r>
      <w:r>
        <w:rPr>
          <w:rFonts w:hint="eastAsia" w:ascii="Helvetica" w:hAnsi="Helvetica" w:eastAsia="宋体" w:cs="Helvetica"/>
          <w:kern w:val="0"/>
          <w:sz w:val="24"/>
          <w:szCs w:val="24"/>
          <w:lang w:val="zh-CN"/>
        </w:rPr>
        <w:t>形式通知所有获取招标文件的潜在投标人。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pPr>
        <w:numPr>
          <w:ilvl w:val="0"/>
          <w:numId w:val="12"/>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澄清或者修改的内容为招标文件的组成部分，并对潜在投标人具有约束力。</w:t>
      </w:r>
    </w:p>
    <w:p>
      <w:pPr>
        <w:numPr>
          <w:ilvl w:val="0"/>
          <w:numId w:val="6"/>
        </w:numPr>
        <w:spacing w:line="360" w:lineRule="auto"/>
        <w:rPr>
          <w:rFonts w:ascii="宋体" w:hAnsi="宋体" w:eastAsia="宋体" w:cs="Times New Roman"/>
          <w:b/>
          <w:sz w:val="24"/>
          <w:szCs w:val="20"/>
          <w:lang w:val="zh-CN"/>
        </w:rPr>
      </w:pPr>
      <w:r>
        <w:rPr>
          <w:rFonts w:hint="eastAsia" w:ascii="宋体" w:hAnsi="宋体" w:eastAsia="宋体" w:cs="Times New Roman"/>
          <w:b/>
          <w:sz w:val="24"/>
          <w:szCs w:val="20"/>
          <w:lang w:val="zh-CN"/>
        </w:rPr>
        <w:t>现场考察</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采购人向潜在投标人提供有关现场的数据和资料。是采购人现有的能被潜在投标人利用的客观资料，采购人对潜在投标人依此作出的任何推论、理解和结论均不负责任。</w:t>
      </w:r>
    </w:p>
    <w:p>
      <w:pPr>
        <w:numPr>
          <w:ilvl w:val="0"/>
          <w:numId w:val="13"/>
        </w:numPr>
        <w:spacing w:line="360" w:lineRule="auto"/>
        <w:ind w:left="476" w:hanging="476"/>
        <w:rPr>
          <w:rFonts w:ascii="宋体" w:hAnsi="宋体" w:eastAsia="宋体" w:cs="Times New Roman"/>
          <w:sz w:val="24"/>
          <w:szCs w:val="20"/>
          <w:lang w:val="zh-CN"/>
        </w:rPr>
      </w:pPr>
      <w:r>
        <w:rPr>
          <w:rFonts w:hint="eastAsia" w:ascii="宋体" w:hAnsi="宋体" w:eastAsia="宋体" w:cs="Times New Roman"/>
          <w:sz w:val="24"/>
          <w:szCs w:val="20"/>
          <w:lang w:val="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0" w:name="_Toc272247696"/>
      <w:bookmarkStart w:id="21" w:name="_Toc494561940"/>
      <w:bookmarkStart w:id="22" w:name="_Toc278891593"/>
      <w:bookmarkStart w:id="23" w:name="_Toc495861522"/>
      <w:bookmarkStart w:id="24" w:name="_Toc3214"/>
      <w:r>
        <w:rPr>
          <w:rFonts w:hint="eastAsia" w:cs="Times New Roman" w:asciiTheme="majorEastAsia" w:hAnsiTheme="majorEastAsia"/>
          <w:bCs w:val="0"/>
          <w:lang w:val="zh-CN"/>
        </w:rPr>
        <w:t>投标文件</w:t>
      </w:r>
      <w:bookmarkEnd w:id="20"/>
      <w:bookmarkEnd w:id="21"/>
      <w:bookmarkEnd w:id="22"/>
      <w:bookmarkEnd w:id="23"/>
      <w:bookmarkEnd w:id="24"/>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投标的语言</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投标人提交的投标文件以及投标人与</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6"/>
        </w:numPr>
        <w:spacing w:line="360" w:lineRule="auto"/>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投标人编制的投标文件应包括但不限于下列内容：</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第一部分  资格证明文件（详见第七章“投标文件格式”中资格证明文件组成）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第二部分  商务文件（详见第七章“投标文件格式”中商务文件组成）</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第三部分  技术、服务文件（详见第七章“投标文件格式”中技术、服务文件组成）</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投标文件编制</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招标文件有分包要求，投标人对招标文件中多个包进行投标的，其投标文件的编制应按每包要求分别装订和封装，并注明对应包号。</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投标人应当对投标文件进行装订，对未经装订的投标书可能发生的文件散落或缺损，由此产生的后果及责任由投标人自行承担。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投标人应按照招标文件第七章“投标文件格式”提供的《投标书》、《开标一览表》、《投标报价明细表》、《法定代表人授权书》等格式、要求、规定来编制投标文件。</w:t>
      </w:r>
    </w:p>
    <w:p>
      <w:pPr>
        <w:numPr>
          <w:ilvl w:val="0"/>
          <w:numId w:val="14"/>
        </w:numPr>
        <w:spacing w:line="360" w:lineRule="auto"/>
        <w:ind w:left="616" w:hanging="616"/>
        <w:rPr>
          <w:rFonts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投标人应对投标文件中所提供资料的真实性负责，</w:t>
      </w:r>
      <w:r>
        <w:rPr>
          <w:rFonts w:hint="eastAsia" w:cs="Times New Roman" w:asciiTheme="minorEastAsia" w:hAnsiTheme="minorEastAsia"/>
          <w:sz w:val="24"/>
          <w:szCs w:val="24"/>
          <w:lang w:val="zh-CN"/>
        </w:rPr>
        <w:t>若有虚假</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，将依法承担相应责任。投标人应自觉接受采购代理机构对其中任何资料进一步核实的要求。</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因投标人投标文件填报的内容不详，或没有提供招标文件中所要求的全部资料及数据等，由此产生的后果及责任由投标人自行承担。</w:t>
      </w:r>
    </w:p>
    <w:p>
      <w:pPr>
        <w:numPr>
          <w:ilvl w:val="0"/>
          <w:numId w:val="14"/>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投标文件用纸应统一为A4规格（图纸除外）。</w:t>
      </w:r>
    </w:p>
    <w:p>
      <w:pPr>
        <w:spacing w:line="360" w:lineRule="auto"/>
        <w:ind w:left="566" w:hanging="564" w:hangingChars="235"/>
        <w:rPr>
          <w:rFonts w:ascii="宋体" w:hAnsi="宋体" w:eastAsia="宋体" w:cs="Times New Roman"/>
          <w:b/>
          <w:sz w:val="24"/>
          <w:szCs w:val="20"/>
        </w:rPr>
      </w:pPr>
      <w:r>
        <w:rPr>
          <w:rFonts w:hint="eastAsia" w:cs="Times New Roman" w:asciiTheme="minorEastAsia" w:hAnsiTheme="minorEastAsia"/>
          <w:b/>
          <w:sz w:val="24"/>
          <w:szCs w:val="24"/>
        </w:rPr>
        <w:t>11.7</w:t>
      </w:r>
      <w:r>
        <w:rPr>
          <w:rFonts w:hint="eastAsia" w:cs="Times New Roman" w:asciiTheme="minorEastAsia" w:hAnsiTheme="minorEastAsia"/>
          <w:b/>
          <w:sz w:val="24"/>
          <w:szCs w:val="24"/>
          <w:lang w:val="zh-CN"/>
        </w:rPr>
        <w:t>投标人应将投标文件第一部分资格证明文件、第二部分商务文件、第三部分技术、服务文件分册编制装订，分别逐页连续标注页码，建立目录索引。</w:t>
      </w:r>
      <w:r>
        <w:rPr>
          <w:rFonts w:hint="eastAsia" w:ascii="宋体" w:hAnsi="宋体" w:eastAsia="宋体" w:cs="Times New Roman"/>
          <w:b/>
          <w:sz w:val="24"/>
          <w:szCs w:val="20"/>
          <w:lang w:val="zh-CN"/>
        </w:rPr>
        <w:t>各部分文件及内容详见第七章“投标文件格式”要求。</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投标报价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投标人所提供的货物（工程或服务）均以人民币计价。</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《投标报价明细表》填写时应响应下列要求：</w:t>
      </w:r>
    </w:p>
    <w:p>
      <w:pPr>
        <w:numPr>
          <w:ilvl w:val="0"/>
          <w:numId w:val="16"/>
        </w:numPr>
        <w:spacing w:line="360" w:lineRule="auto"/>
        <w:ind w:left="980" w:hanging="854"/>
        <w:rPr>
          <w:rFonts w:cs="Times New Roman" w:asciiTheme="minorEastAsia" w:hAnsiTheme="minorEastAsia"/>
          <w:sz w:val="24"/>
          <w:szCs w:val="24"/>
          <w:lang w:val="zh-CN"/>
        </w:rPr>
      </w:pPr>
      <w:r>
        <w:rPr>
          <w:rFonts w:hint="eastAsia" w:ascii="宋体" w:hAnsi="宋体"/>
          <w:sz w:val="24"/>
        </w:rPr>
        <w:t>应包括所有根据合同或其他原因由投标人支付的款项、费用</w:t>
      </w:r>
      <w:r>
        <w:rPr>
          <w:rFonts w:hint="eastAsia" w:cs="Times New Roman" w:asciiTheme="minorEastAsia" w:hAnsiTheme="minorEastAsia"/>
          <w:sz w:val="24"/>
          <w:szCs w:val="24"/>
          <w:lang w:val="zh-CN"/>
        </w:rPr>
        <w:t>；</w:t>
      </w:r>
    </w:p>
    <w:p>
      <w:pPr>
        <w:numPr>
          <w:ilvl w:val="0"/>
          <w:numId w:val="16"/>
        </w:numPr>
        <w:spacing w:line="360" w:lineRule="auto"/>
        <w:ind w:left="980" w:hanging="854"/>
        <w:rPr>
          <w:rFonts w:cs="Times New Roman" w:asciiTheme="minorEastAsia" w:hAnsiTheme="minorEastAsia"/>
          <w:sz w:val="24"/>
          <w:szCs w:val="24"/>
          <w:lang w:val="zh-CN"/>
        </w:rPr>
      </w:pPr>
      <w:r>
        <w:rPr>
          <w:rFonts w:hint="eastAsia" w:cs="Times New Roman" w:asciiTheme="minorEastAsia" w:hAnsiTheme="minorEastAsia"/>
          <w:sz w:val="24"/>
          <w:szCs w:val="24"/>
          <w:lang w:val="zh-CN"/>
        </w:rPr>
        <w:t>应包含货物运至最终目的地的运输、保险和伴随货物（工程或服务）的有关费用；</w:t>
      </w:r>
    </w:p>
    <w:p>
      <w:pPr>
        <w:numPr>
          <w:ilvl w:val="0"/>
          <w:numId w:val="16"/>
        </w:numPr>
        <w:spacing w:line="360" w:lineRule="auto"/>
        <w:ind w:left="980" w:hanging="854"/>
        <w:rPr>
          <w:rFonts w:cs="Courier New" w:asciiTheme="minorEastAsia" w:hAnsiTheme="minorEastAsia"/>
          <w:sz w:val="24"/>
          <w:szCs w:val="24"/>
          <w:lang w:val="zh-CN"/>
        </w:rPr>
      </w:pPr>
      <w:r>
        <w:rPr>
          <w:rFonts w:hint="eastAsia" w:cs="Times New Roman" w:asciiTheme="minorEastAsia" w:hAnsiTheme="minorEastAsia"/>
          <w:sz w:val="24"/>
          <w:szCs w:val="24"/>
          <w:lang w:val="zh-CN"/>
        </w:rPr>
        <w:t>应详细提供《投标报价明细表》和《投标货物、服务清单》等内容，否则按照</w:t>
      </w:r>
      <w:r>
        <w:rPr>
          <w:rFonts w:hint="eastAsia" w:cs="Times New Roman" w:asciiTheme="minorEastAsia" w:hAnsiTheme="minorEastAsia"/>
          <w:b/>
          <w:sz w:val="24"/>
          <w:szCs w:val="24"/>
          <w:lang w:val="zh-CN"/>
        </w:rPr>
        <w:t>无效投标处理。</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每一种规格的货物（工程或服务）只允许有一个报价，否则按照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5"/>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投标人应对项目招标范围内的全部内容进行报价，不得缺、漏项或只投其中的部分内容的，否则按照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备选方案</w:t>
      </w:r>
    </w:p>
    <w:p>
      <w:pPr>
        <w:spacing w:line="360" w:lineRule="auto"/>
        <w:ind w:firstLine="480" w:firstLineChars="200"/>
        <w:rPr>
          <w:rFonts w:cs="Times New Roman" w:asciiTheme="minorEastAsia" w:hAnsiTheme="minorEastAsia"/>
          <w:sz w:val="24"/>
          <w:szCs w:val="24"/>
          <w:lang w:val="zh-CN"/>
        </w:rPr>
      </w:pPr>
      <w:r>
        <w:rPr>
          <w:rFonts w:hint="eastAsia" w:cs="Times New Roman" w:asciiTheme="minorEastAsia" w:hAnsiTheme="minorEastAsia"/>
          <w:sz w:val="24"/>
          <w:szCs w:val="24"/>
          <w:lang w:val="zh-CN"/>
        </w:rPr>
        <w:t>只允许投标人提供一个投标方案（招标文件中要求提供备选方案的除外），否则按照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中标后分包</w:t>
      </w:r>
    </w:p>
    <w:p>
      <w:pPr>
        <w:spacing w:line="360" w:lineRule="auto"/>
        <w:ind w:firstLine="480" w:firstLineChars="200"/>
        <w:rPr>
          <w:rFonts w:cs="Times New Roman" w:asciiTheme="minorEastAsia" w:hAnsiTheme="minorEastAsia"/>
          <w:sz w:val="24"/>
          <w:szCs w:val="24"/>
          <w:lang w:val="zh-CN"/>
        </w:rPr>
      </w:pPr>
      <w:r>
        <w:rPr>
          <w:rFonts w:cs="Times New Roman" w:asciiTheme="minorEastAsia" w:hAnsiTheme="minorEastAsia"/>
          <w:sz w:val="24"/>
          <w:szCs w:val="24"/>
          <w:lang w:val="zh-CN"/>
        </w:rPr>
        <w:t>招标文件规定</w:t>
      </w:r>
      <w:r>
        <w:rPr>
          <w:rFonts w:hint="eastAsia" w:cs="Times New Roman" w:asciiTheme="minorEastAsia" w:hAnsiTheme="minorEastAsia"/>
          <w:sz w:val="24"/>
          <w:szCs w:val="24"/>
          <w:lang w:val="zh-CN"/>
        </w:rPr>
        <w:t>项目非主体、非关键性工作中标后可以分包</w:t>
      </w:r>
      <w:r>
        <w:rPr>
          <w:rFonts w:cs="Times New Roman" w:asciiTheme="minorEastAsia" w:hAnsiTheme="minorEastAsia"/>
          <w:sz w:val="24"/>
          <w:szCs w:val="24"/>
          <w:lang w:val="zh-CN"/>
        </w:rPr>
        <w:t>的，投标人拟在中标后将项目的非主体、非关键性工作分包，应当在投标文件中载明</w:t>
      </w:r>
      <w:r>
        <w:rPr>
          <w:rFonts w:hint="eastAsia" w:cs="Times New Roman" w:asciiTheme="minorEastAsia" w:hAnsiTheme="minorEastAsia"/>
          <w:sz w:val="24"/>
          <w:szCs w:val="24"/>
          <w:lang w:val="zh-CN"/>
        </w:rPr>
        <w:t>具备相应资质条件的</w:t>
      </w:r>
      <w:r>
        <w:rPr>
          <w:rFonts w:cs="Times New Roman" w:asciiTheme="minorEastAsia" w:hAnsiTheme="minorEastAsia"/>
          <w:sz w:val="24"/>
          <w:szCs w:val="24"/>
          <w:lang w:val="zh-CN"/>
        </w:rPr>
        <w:t>分包承担主体，分包承担主体不得再次分包。</w:t>
      </w:r>
      <w:r>
        <w:rPr>
          <w:rFonts w:hint="eastAsia" w:cs="Times New Roman" w:asciiTheme="minorEastAsia" w:hAnsiTheme="minorEastAsia"/>
          <w:sz w:val="24"/>
          <w:szCs w:val="24"/>
          <w:lang w:val="zh-CN"/>
        </w:rPr>
        <w:t>否则中标后不允许分包。</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联合体投标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两个及以上投标人可以组成一个联合体，以一个投标人的身份共同参与投标。</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采取联合体形式投标的，联合体各方均应当符合政府采购法第二十二条第一款规定的条件。联合体的主体应完全满足项目投标人资格要求。</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联合体各方之间应签订联合投标协议，明确约定联合体主体及各方承担的工作和相应的责任，其投标文件中应提供联合投标协议。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以联合体形式参加政府采购活动的，联合体各方不得再单独参加或者与其他投标人另外组成联合体参加同一合同项下的政府采购活动。</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采取联合体形式投标的，其投标文件应由联合体所有成员或其各自正式书面授权的代表签署（盖章），以便对所有成员作为整体及作为个体均具有法律约束力。</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采取联合体形式投标的，项目评审时只对联合体主体进行评议。</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联合体中标的，联合体各方应当共同与采购人</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签订采购合同，</w:t>
      </w:r>
      <w:r>
        <w:rPr>
          <w:rFonts w:hint="eastAsia" w:ascii="宋体" w:hAnsi="宋体"/>
          <w:color w:val="0D0D0D" w:themeColor="text1" w:themeTint="F2"/>
          <w:sz w:val="24"/>
          <w14:textFill>
            <w14:solidFill>
              <w14:schemeClr w14:val="tx1">
                <w14:lumMod w14:val="95000"/>
                <w14:lumOff w14:val="5000"/>
              </w14:schemeClr>
            </w14:solidFill>
          </w14:textFill>
        </w:rPr>
        <w:t>就采购合同约定的事项对采购人承担连带责任，</w:t>
      </w:r>
      <w:r>
        <w:rPr>
          <w:rFonts w:hint="eastAsia" w:cs="Times New Roman" w:asciiTheme="minorEastAsia" w:hAnsiTheme="minorEastAsia"/>
          <w:color w:val="0D0D0D" w:themeColor="text1" w:themeTint="F2"/>
          <w:sz w:val="24"/>
          <w:szCs w:val="24"/>
          <w:lang w:val="zh-CN"/>
          <w14:textFill>
            <w14:solidFill>
              <w14:schemeClr w14:val="tx1">
                <w14:lumMod w14:val="95000"/>
                <w14:lumOff w14:val="5000"/>
              </w14:schemeClr>
            </w14:solidFill>
          </w14:textFill>
        </w:rPr>
        <w:t>联合体主体单位负主要</w:t>
      </w:r>
      <w:r>
        <w:rPr>
          <w:rFonts w:hint="eastAsia" w:cs="Times New Roman" w:asciiTheme="minorEastAsia" w:hAnsiTheme="minorEastAsia"/>
          <w:sz w:val="24"/>
          <w:szCs w:val="24"/>
          <w:lang w:val="zh-CN"/>
        </w:rPr>
        <w:t>责任。</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联合体中有同类资质的投标人按照联合体分工承担相同工作的，应当按照资质等级较低的投标人确定资质等级。</w:t>
      </w:r>
    </w:p>
    <w:p>
      <w:pPr>
        <w:numPr>
          <w:ilvl w:val="0"/>
          <w:numId w:val="17"/>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招标文件第一章“投标人资格要求”中</w:t>
      </w:r>
      <w:r>
        <w:rPr>
          <w:rFonts w:cs="Times New Roman" w:asciiTheme="minorEastAsia" w:hAnsiTheme="minorEastAsia"/>
          <w:sz w:val="24"/>
          <w:szCs w:val="24"/>
          <w:lang w:val="zh-CN"/>
        </w:rPr>
        <w:t>未载明</w:t>
      </w:r>
      <w:r>
        <w:rPr>
          <w:rFonts w:hint="eastAsia" w:cs="Times New Roman" w:asciiTheme="minorEastAsia" w:hAnsiTheme="minorEastAsia"/>
          <w:sz w:val="24"/>
          <w:szCs w:val="24"/>
          <w:lang w:val="zh-CN"/>
        </w:rPr>
        <w:t>是否接受联合体投标的</w:t>
      </w:r>
      <w:r>
        <w:rPr>
          <w:rFonts w:cs="Times New Roman" w:asciiTheme="minorEastAsia" w:hAnsiTheme="minorEastAsia"/>
          <w:sz w:val="24"/>
          <w:szCs w:val="24"/>
          <w:lang w:val="zh-CN"/>
        </w:rPr>
        <w:t>，</w:t>
      </w:r>
      <w:r>
        <w:rPr>
          <w:rFonts w:hint="eastAsia" w:cs="Times New Roman" w:asciiTheme="minorEastAsia" w:hAnsiTheme="minorEastAsia"/>
          <w:sz w:val="24"/>
          <w:szCs w:val="24"/>
          <w:lang w:val="zh-CN"/>
        </w:rPr>
        <w:t>视同接受</w:t>
      </w:r>
      <w:r>
        <w:rPr>
          <w:rFonts w:cs="Times New Roman" w:asciiTheme="minorEastAsia" w:hAnsiTheme="minorEastAsia"/>
          <w:sz w:val="24"/>
          <w:szCs w:val="24"/>
          <w:lang w:val="zh-CN"/>
        </w:rPr>
        <w:t>。</w:t>
      </w:r>
    </w:p>
    <w:p>
      <w:pPr>
        <w:numPr>
          <w:ilvl w:val="0"/>
          <w:numId w:val="17"/>
        </w:numPr>
        <w:spacing w:line="360" w:lineRule="auto"/>
        <w:ind w:left="728" w:hanging="728"/>
        <w:rPr>
          <w:rFonts w:cs="Times New Roman" w:asciiTheme="minorEastAsia" w:hAnsiTheme="minorEastAsia"/>
          <w:sz w:val="24"/>
          <w:szCs w:val="24"/>
          <w:lang w:val="zh-CN"/>
        </w:rPr>
      </w:pPr>
      <w:r>
        <w:rPr>
          <w:rFonts w:hint="eastAsia" w:cs="Times New Roman" w:asciiTheme="minorEastAsia" w:hAnsiTheme="minorEastAsia"/>
          <w:sz w:val="24"/>
          <w:szCs w:val="24"/>
          <w:lang w:val="zh-CN"/>
        </w:rPr>
        <w:t>以联合体形式参与投标的，其价格扣除相关规定详见第五章“评标方法、程序及标准”。</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资格证明文件</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投标人应按本节及第四章“资格审查方法及标准”的要求，提供足以证明其符合项目“投标人资格要求”且中标后有能力履行合同的文件，并作为其投标文件的组成部分。</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资格证明文件应真实、合法，并就此承担相应法律责任。</w:t>
      </w:r>
    </w:p>
    <w:p>
      <w:pPr>
        <w:numPr>
          <w:ilvl w:val="0"/>
          <w:numId w:val="18"/>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资格证明文件正本应为清晰彩色打印件且加盖单位公章，否则按照</w:t>
      </w:r>
      <w:r>
        <w:rPr>
          <w:rFonts w:hint="eastAsia" w:cs="Times New Roman" w:asciiTheme="minorEastAsia" w:hAnsiTheme="minorEastAsia"/>
          <w:b/>
          <w:sz w:val="24"/>
          <w:szCs w:val="24"/>
          <w:lang w:val="zh-CN"/>
        </w:rPr>
        <w:t>无效投标处理</w:t>
      </w:r>
      <w:r>
        <w:rPr>
          <w:rFonts w:hint="eastAsia" w:cs="Times New Roman" w:asciiTheme="minorEastAsia" w:hAnsiTheme="minorEastAsia"/>
          <w:sz w:val="24"/>
          <w:szCs w:val="24"/>
          <w:lang w:val="zh-CN"/>
        </w:rPr>
        <w:t>。副本可为正本的复印件,但应在副本封面加盖单位公章。</w:t>
      </w:r>
    </w:p>
    <w:p>
      <w:pPr>
        <w:numPr>
          <w:ilvl w:val="0"/>
          <w:numId w:val="18"/>
        </w:numPr>
        <w:spacing w:line="360" w:lineRule="auto"/>
        <w:ind w:left="616" w:hanging="616"/>
        <w:rPr>
          <w:rFonts w:cs="Times New Roman" w:asciiTheme="minorEastAsia" w:hAnsiTheme="minorEastAsia"/>
          <w:sz w:val="24"/>
          <w:szCs w:val="24"/>
          <w:lang w:val="zh-CN"/>
        </w:rPr>
      </w:pPr>
      <w:r>
        <w:rPr>
          <w:rFonts w:hint="eastAsia" w:cs="Helvetica" w:asciiTheme="minorEastAsia" w:hAnsiTheme="minorEastAsia"/>
          <w:kern w:val="0"/>
          <w:sz w:val="24"/>
          <w:szCs w:val="24"/>
          <w:lang w:val="zh-CN"/>
        </w:rPr>
        <w:t>资格证明文件内容详见</w:t>
      </w:r>
      <w:r>
        <w:rPr>
          <w:rFonts w:hint="eastAsia" w:cs="Times New Roman" w:asciiTheme="minorEastAsia" w:hAnsiTheme="minorEastAsia"/>
          <w:sz w:val="24"/>
          <w:szCs w:val="24"/>
          <w:lang w:val="zh-CN"/>
        </w:rPr>
        <w:t>第四章“资格审查方法及标准”中资格审查内容</w:t>
      </w:r>
      <w:r>
        <w:rPr>
          <w:rFonts w:hint="eastAsia" w:cs="Helvetica" w:asciiTheme="minorEastAsia" w:hAnsiTheme="minorEastAsia"/>
          <w:kern w:val="0"/>
          <w:sz w:val="24"/>
          <w:szCs w:val="24"/>
          <w:lang w:val="zh-CN"/>
        </w:rPr>
        <w:t>。</w:t>
      </w:r>
    </w:p>
    <w:p>
      <w:pPr>
        <w:numPr>
          <w:ilvl w:val="0"/>
          <w:numId w:val="6"/>
        </w:numPr>
        <w:spacing w:line="360" w:lineRule="auto"/>
        <w:ind w:left="560" w:hanging="560"/>
        <w:rPr>
          <w:rFonts w:ascii="宋体" w:hAnsi="宋体"/>
          <w:b/>
          <w:bCs/>
          <w:color w:val="000000"/>
          <w:sz w:val="24"/>
          <w:szCs w:val="24"/>
        </w:rPr>
      </w:pPr>
      <w:r>
        <w:rPr>
          <w:rFonts w:hint="eastAsia" w:cs="Times New Roman" w:asciiTheme="minorEastAsia" w:hAnsiTheme="minorEastAsia"/>
          <w:b/>
          <w:sz w:val="24"/>
          <w:szCs w:val="24"/>
          <w:lang w:val="zh-CN"/>
        </w:rPr>
        <w:t>投标保证金</w:t>
      </w:r>
      <w:r>
        <w:rPr>
          <w:rFonts w:hint="eastAsia" w:cs="Times New Roman" w:asciiTheme="minorEastAsia" w:hAnsiTheme="minorEastAsia"/>
          <w:sz w:val="24"/>
          <w:szCs w:val="24"/>
          <w:lang w:val="zh-CN"/>
        </w:rPr>
        <w:t>（</w:t>
      </w:r>
      <w:r>
        <w:rPr>
          <w:rFonts w:hint="eastAsia" w:ascii="宋体" w:hAnsi="宋体"/>
          <w:b/>
          <w:bCs/>
          <w:color w:val="000000"/>
          <w:sz w:val="24"/>
          <w:szCs w:val="24"/>
          <w:lang w:val="zh-CN"/>
        </w:rPr>
        <w:t>本项目不收取投标保证金</w:t>
      </w:r>
      <w:r>
        <w:rPr>
          <w:rFonts w:hint="eastAsia" w:cs="Times New Roman" w:asciiTheme="minorEastAsia" w:hAnsiTheme="minorEastAsia"/>
          <w:sz w:val="24"/>
          <w:szCs w:val="24"/>
          <w:lang w:val="zh-CN"/>
        </w:rPr>
        <w:t>）。</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投标有效期</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投标有效期详见本章“投标须知前附表”中规定。</w:t>
      </w:r>
      <w:r>
        <w:rPr>
          <w:rFonts w:cs="Helvetica" w:asciiTheme="minorEastAsia" w:hAnsiTheme="minorEastAsia"/>
          <w:kern w:val="0"/>
          <w:sz w:val="24"/>
          <w:szCs w:val="24"/>
          <w:lang w:val="zh-CN"/>
        </w:rPr>
        <w:t>投标文件中承诺的投标有效期应当不少于招标文件中载明的投标有效期</w:t>
      </w:r>
      <w:r>
        <w:rPr>
          <w:rFonts w:hint="eastAsia" w:cs="Helvetica" w:asciiTheme="minorEastAsia" w:hAnsiTheme="minorEastAsia"/>
          <w:kern w:val="0"/>
          <w:sz w:val="24"/>
          <w:szCs w:val="24"/>
          <w:lang w:val="zh-CN"/>
        </w:rPr>
        <w:t>。投标有效期不足的，</w:t>
      </w:r>
      <w:r>
        <w:rPr>
          <w:rFonts w:hint="eastAsia" w:cs="Times New Roman" w:asciiTheme="minorEastAsia" w:hAnsiTheme="minorEastAsia"/>
          <w:sz w:val="24"/>
          <w:szCs w:val="24"/>
          <w:lang w:val="zh-CN"/>
        </w:rPr>
        <w:t>按照</w:t>
      </w:r>
      <w:r>
        <w:rPr>
          <w:rFonts w:hint="eastAsia" w:cs="Times New Roman" w:asciiTheme="minorEastAsia" w:hAnsiTheme="minorEastAsia"/>
          <w:b/>
          <w:sz w:val="24"/>
          <w:szCs w:val="24"/>
          <w:lang w:val="zh-CN"/>
        </w:rPr>
        <w:t>无效投标处理。</w:t>
      </w:r>
    </w:p>
    <w:p>
      <w:pPr>
        <w:numPr>
          <w:ilvl w:val="0"/>
          <w:numId w:val="19"/>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特殊情况下，在原投标有效期截止之前，</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或采购人可要求投标人延长投标有效期。这种要求与答复均应以书面形式提交。投标人可拒绝</w:t>
      </w:r>
      <w:r>
        <w:rPr>
          <w:rFonts w:hint="eastAsia" w:ascii="宋体" w:hAnsi="宋体" w:eastAsia="宋体" w:cs="Times New Roman"/>
          <w:sz w:val="24"/>
          <w:szCs w:val="20"/>
          <w:lang w:val="zh-CN"/>
        </w:rPr>
        <w:t>采购代理机构</w:t>
      </w:r>
      <w:r>
        <w:rPr>
          <w:rFonts w:hint="eastAsia" w:cs="Times New Roman" w:asciiTheme="minorEastAsia" w:hAnsiTheme="minor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pPr>
        <w:numPr>
          <w:ilvl w:val="0"/>
          <w:numId w:val="6"/>
        </w:numPr>
        <w:spacing w:line="360" w:lineRule="auto"/>
        <w:ind w:left="560" w:hanging="560"/>
        <w:rPr>
          <w:rFonts w:cs="Times New Roman" w:asciiTheme="minorEastAsia" w:hAnsiTheme="minorEastAsia"/>
          <w:b/>
          <w:sz w:val="24"/>
          <w:szCs w:val="24"/>
          <w:lang w:val="zh-CN"/>
        </w:rPr>
      </w:pPr>
      <w:r>
        <w:rPr>
          <w:rFonts w:hint="eastAsia" w:cs="Times New Roman" w:asciiTheme="minorEastAsia" w:hAnsiTheme="minorEastAsia"/>
          <w:b/>
          <w:sz w:val="24"/>
          <w:szCs w:val="24"/>
          <w:lang w:val="zh-CN"/>
        </w:rPr>
        <w:t>投标文件的数量和签署</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投标文件中任何涂改和增删，应由法定代表人或经其正式授权的代表在旁边签字后方为有效。</w:t>
      </w:r>
    </w:p>
    <w:p>
      <w:pPr>
        <w:numPr>
          <w:ilvl w:val="0"/>
          <w:numId w:val="20"/>
        </w:numPr>
        <w:spacing w:line="360" w:lineRule="auto"/>
        <w:ind w:left="616" w:hanging="616"/>
        <w:rPr>
          <w:rFonts w:cs="Times New Roman" w:asciiTheme="minorEastAsia" w:hAnsiTheme="minorEastAsia"/>
          <w:sz w:val="24"/>
          <w:szCs w:val="24"/>
          <w:lang w:val="zh-CN"/>
        </w:rPr>
      </w:pPr>
      <w:r>
        <w:rPr>
          <w:rFonts w:hint="eastAsia" w:cs="Times New Roman" w:asciiTheme="minorEastAsia" w:hAnsiTheme="minorEastAsia"/>
          <w:sz w:val="24"/>
          <w:szCs w:val="24"/>
          <w:lang w:val="zh-CN"/>
        </w:rPr>
        <w:t>招标文件中要求加盖公章及签字（签章）之处，投标文件正本中应按要求提供加盖公章及签字（签章）的原件，否则按照</w:t>
      </w:r>
      <w:r>
        <w:rPr>
          <w:rFonts w:hint="eastAsia" w:cs="Times New Roman" w:asciiTheme="minorEastAsia" w:hAnsiTheme="minorEastAsia"/>
          <w:b/>
          <w:sz w:val="24"/>
          <w:szCs w:val="24"/>
          <w:lang w:val="zh-CN"/>
        </w:rPr>
        <w:t>无效投标处理。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投标文件的密封和标记</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eastAsia="宋体" w:cs="Times New Roman"/>
          <w:sz w:val="24"/>
          <w:szCs w:val="20"/>
        </w:rPr>
        <w:t>4</w:t>
      </w:r>
      <w:r>
        <w:rPr>
          <w:rFonts w:hint="eastAsia" w:ascii="宋体" w:hAnsi="宋体" w:eastAsia="宋体" w:cs="Times New Roman"/>
          <w:sz w:val="24"/>
          <w:szCs w:val="20"/>
          <w:lang w:val="zh-CN"/>
        </w:rPr>
        <w:t>份。（</w:t>
      </w:r>
      <w:r>
        <w:rPr>
          <w:rFonts w:hint="eastAsia" w:cs="Times New Roman" w:asciiTheme="minorEastAsia" w:hAnsiTheme="minorEastAsia"/>
          <w:b/>
          <w:sz w:val="24"/>
          <w:szCs w:val="24"/>
          <w:lang w:val="zh-CN"/>
        </w:rPr>
        <w:t>如</w:t>
      </w:r>
      <w:r>
        <w:rPr>
          <w:rFonts w:hint="eastAsia" w:cs="Helvetica" w:asciiTheme="minorEastAsia" w:hAnsiTheme="minorEastAsia"/>
          <w:b/>
          <w:kern w:val="0"/>
          <w:sz w:val="24"/>
          <w:szCs w:val="24"/>
          <w:lang w:val="zh-CN"/>
        </w:rPr>
        <w:t>采购人已组织过项目资格预审的，投标人无需再提交资格证明文件</w:t>
      </w:r>
      <w:r>
        <w:rPr>
          <w:rFonts w:hint="eastAsia" w:ascii="宋体" w:hAnsi="宋体" w:eastAsia="宋体" w:cs="Times New Roman"/>
          <w:sz w:val="24"/>
          <w:szCs w:val="20"/>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资格证明文件正本1份、副本</w:t>
      </w:r>
      <w:r>
        <w:rPr>
          <w:rFonts w:hint="eastAsia" w:cs="Times New Roman" w:asciiTheme="minorEastAsia" w:hAnsiTheme="minorEastAsia"/>
          <w:sz w:val="24"/>
          <w:szCs w:val="24"/>
        </w:rPr>
        <w:t>4</w:t>
      </w:r>
      <w:r>
        <w:rPr>
          <w:rFonts w:hint="eastAsia" w:cs="Times New Roman" w:asciiTheme="minorEastAsia" w:hAnsiTheme="minorEastAsia"/>
          <w:sz w:val="24"/>
          <w:szCs w:val="24"/>
          <w:lang w:val="zh-CN"/>
        </w:rPr>
        <w:t>份，密封在“资格证明文件”封包内</w:t>
      </w:r>
      <w:r>
        <w:rPr>
          <w:rFonts w:hint="eastAsia" w:cs="Times New Roman" w:asciiTheme="minorEastAsia" w:hAnsiTheme="minorEastAsia"/>
          <w:sz w:val="24"/>
          <w:szCs w:val="24"/>
        </w:rPr>
        <w:t>，封包上注明“第一部分 资格证明文件”</w:t>
      </w:r>
      <w:r>
        <w:rPr>
          <w:rFonts w:hint="eastAsia" w:cs="Times New Roman" w:asciiTheme="minorEastAsia" w:hAnsiTheme="minorEastAsia"/>
          <w:sz w:val="24"/>
          <w:szCs w:val="24"/>
          <w:lang w:val="zh-CN"/>
        </w:rPr>
        <w:t>；</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商务文件正本1份、副本4份，密封在“商务文件”封包内，封包上注明“第二部分 商务文件”；</w:t>
      </w:r>
    </w:p>
    <w:p>
      <w:pPr>
        <w:numPr>
          <w:ilvl w:val="0"/>
          <w:numId w:val="22"/>
        </w:numPr>
        <w:spacing w:line="360" w:lineRule="auto"/>
        <w:ind w:left="981" w:hanging="981"/>
        <w:rPr>
          <w:rFonts w:cs="Times New Roman" w:asciiTheme="minorEastAsia" w:hAnsiTheme="minorEastAsia"/>
          <w:sz w:val="24"/>
          <w:szCs w:val="24"/>
          <w:lang w:val="zh-CN"/>
        </w:rPr>
      </w:pPr>
      <w:r>
        <w:rPr>
          <w:rFonts w:hint="eastAsia" w:cs="Times New Roman" w:asciiTheme="minorEastAsia" w:hAnsiTheme="minorEastAsia"/>
          <w:sz w:val="24"/>
          <w:szCs w:val="24"/>
          <w:lang w:val="zh-CN"/>
        </w:rPr>
        <w:t>技术、服务文件正本1份、副本4份，密封在“技术、服务文件”封包内，封包上注明“第三部分 技术、服务文件”。</w:t>
      </w:r>
    </w:p>
    <w:p>
      <w:pPr>
        <w:numPr>
          <w:ilvl w:val="0"/>
          <w:numId w:val="21"/>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sz w:val="24"/>
          <w:szCs w:val="20"/>
          <w:lang w:val="zh-CN"/>
        </w:rPr>
        <w:t>为方便开标时唱标，投标人应将《开标一览表》原件一份</w:t>
      </w:r>
      <w:r>
        <w:rPr>
          <w:rFonts w:hint="eastAsia" w:ascii="宋体" w:hAnsi="宋体" w:eastAsia="宋体" w:cs="Times New Roman"/>
          <w:spacing w:val="-6"/>
          <w:kern w:val="0"/>
          <w:sz w:val="24"/>
          <w:szCs w:val="20"/>
          <w:lang w:val="zh-CN"/>
        </w:rPr>
        <w:t>装入一个信封，单独密封提交</w:t>
      </w:r>
      <w:r>
        <w:rPr>
          <w:rFonts w:hint="eastAsia" w:ascii="宋体" w:hAnsi="宋体" w:eastAsia="宋体" w:cs="Times New Roman"/>
          <w:sz w:val="24"/>
          <w:szCs w:val="20"/>
          <w:lang w:val="zh-CN"/>
        </w:rPr>
        <w:t>，并在信封上注明“开标一览表”字样。未单独提交或单独提交的上述资料未按照招标文件规定的格式填写完整并签字、盖章的招标代理机构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numPr>
          <w:ilvl w:val="0"/>
          <w:numId w:val="21"/>
        </w:numPr>
        <w:spacing w:line="360" w:lineRule="auto"/>
        <w:ind w:left="618" w:hanging="618"/>
        <w:rPr>
          <w:rFonts w:ascii="宋体" w:hAnsi="宋体" w:eastAsia="宋体" w:cs="Times New Roman"/>
          <w:sz w:val="24"/>
          <w:szCs w:val="20"/>
          <w:lang w:val="zh-CN"/>
        </w:rPr>
      </w:pPr>
      <w:r>
        <w:rPr>
          <w:rFonts w:hint="eastAsia" w:ascii="宋体" w:hAnsi="宋体" w:eastAsia="宋体" w:cs="Times New Roman"/>
          <w:sz w:val="24"/>
          <w:szCs w:val="20"/>
          <w:lang w:val="zh-CN"/>
        </w:rPr>
        <w:t>“开标一览表”信封和投标文件各部分的封包上还应注明采购项目编号、项目名称、投标内容和有“在（招标文件中规定的开标日期和时间）之前不得启封”的字样，封口处加盖投标人公章。</w:t>
      </w:r>
    </w:p>
    <w:p>
      <w:pPr>
        <w:spacing w:line="360" w:lineRule="auto"/>
        <w:rPr>
          <w:rFonts w:ascii="宋体" w:hAnsi="宋体" w:eastAsia="宋体" w:cs="Times New Roman"/>
          <w:b/>
          <w:sz w:val="24"/>
          <w:szCs w:val="20"/>
          <w:lang w:val="zh-CN"/>
        </w:rPr>
      </w:pPr>
      <w:r>
        <w:rPr>
          <w:rFonts w:hint="eastAsia" w:ascii="宋体" w:hAnsi="宋体" w:eastAsia="宋体" w:cs="Times New Roman"/>
          <w:sz w:val="24"/>
          <w:szCs w:val="20"/>
        </w:rPr>
        <w:t>20.4</w:t>
      </w:r>
      <w:r>
        <w:rPr>
          <w:rFonts w:hint="eastAsia" w:ascii="宋体" w:hAnsi="宋体" w:eastAsia="宋体" w:cs="Times New Roman"/>
          <w:sz w:val="24"/>
          <w:szCs w:val="20"/>
          <w:lang w:val="zh-CN"/>
        </w:rPr>
        <w:t>未按要求密封、标记或存在错误，招标代理机构对其误投或提前启封概不负责。</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投标文件递交</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投标人应在不迟于投标邀请书中规定的投标截止日期和时间将投标文件密封递交至采购代理机构规定的投标地点。</w:t>
      </w:r>
    </w:p>
    <w:p>
      <w:pPr>
        <w:numPr>
          <w:ilvl w:val="0"/>
          <w:numId w:val="23"/>
        </w:numPr>
        <w:spacing w:line="360" w:lineRule="auto"/>
        <w:ind w:left="616" w:hanging="616"/>
        <w:rPr>
          <w:rFonts w:ascii="Helvetica" w:hAnsi="Helvetica" w:eastAsia="宋体" w:cs="Helvetica"/>
          <w:b/>
          <w:kern w:val="0"/>
          <w:sz w:val="24"/>
          <w:szCs w:val="24"/>
          <w:lang w:val="zh-CN"/>
        </w:rPr>
      </w:pPr>
      <w:r>
        <w:rPr>
          <w:rFonts w:hint="eastAsia" w:ascii="Helvetica" w:hAnsi="Helvetica" w:eastAsia="宋体" w:cs="Helvetica"/>
          <w:kern w:val="0"/>
          <w:sz w:val="24"/>
          <w:szCs w:val="24"/>
          <w:lang w:val="zh-CN"/>
        </w:rPr>
        <w:t>采购代理机构</w:t>
      </w:r>
      <w:r>
        <w:rPr>
          <w:rFonts w:hint="eastAsia" w:ascii="Helvetica" w:hAnsi="Helvetica" w:eastAsia="宋体" w:cs="Helvetica"/>
          <w:b/>
          <w:kern w:val="0"/>
          <w:sz w:val="24"/>
          <w:szCs w:val="24"/>
          <w:lang w:val="zh-CN"/>
        </w:rPr>
        <w:t>拒收逾期送达或者未按招标文件要求密封的投标文件。</w:t>
      </w:r>
    </w:p>
    <w:p>
      <w:pPr>
        <w:numPr>
          <w:ilvl w:val="0"/>
          <w:numId w:val="23"/>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采购代理机构</w:t>
      </w:r>
      <w:r>
        <w:rPr>
          <w:rFonts w:ascii="Helvetica" w:hAnsi="Helvetica" w:eastAsia="宋体" w:cs="Helvetica"/>
          <w:kern w:val="0"/>
          <w:sz w:val="24"/>
          <w:szCs w:val="24"/>
          <w:lang w:val="zh-CN"/>
        </w:rPr>
        <w:t>收到投标文件后，应当如实记载投标文件的送达时间和密封情况，签收保存，并向投标人出具签收回执。</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投标文件的修改和撤回</w:t>
      </w:r>
    </w:p>
    <w:p>
      <w:pPr>
        <w:numPr>
          <w:ilvl w:val="0"/>
          <w:numId w:val="24"/>
        </w:numPr>
        <w:spacing w:line="360" w:lineRule="auto"/>
        <w:ind w:left="616" w:hanging="616"/>
        <w:rPr>
          <w:rFonts w:ascii="宋体" w:hAnsi="宋体" w:eastAsia="宋体" w:cs="Times New Roman"/>
          <w:strike/>
          <w:sz w:val="24"/>
          <w:szCs w:val="20"/>
          <w:lang w:val="zh-CN"/>
        </w:rPr>
      </w:pPr>
      <w:r>
        <w:rPr>
          <w:rFonts w:ascii="宋体" w:hAnsi="宋体" w:eastAsia="宋体" w:cs="Times New Roman"/>
          <w:sz w:val="24"/>
          <w:szCs w:val="20"/>
          <w:lang w:val="zh-CN"/>
        </w:rPr>
        <w:t>投标人在投标截止时间前，可以对所递交的投标文件进行补充、修改或者撤回，并书面通知</w:t>
      </w:r>
      <w:r>
        <w:rPr>
          <w:rFonts w:hint="eastAsia" w:ascii="宋体" w:hAnsi="宋体" w:eastAsia="宋体" w:cs="Times New Roman"/>
          <w:sz w:val="24"/>
          <w:szCs w:val="20"/>
          <w:lang w:val="zh-CN"/>
        </w:rPr>
        <w:t>采购代理机构</w:t>
      </w:r>
      <w:r>
        <w:rPr>
          <w:rFonts w:ascii="宋体" w:hAnsi="宋体" w:eastAsia="宋体" w:cs="Times New Roman"/>
          <w:sz w:val="24"/>
          <w:szCs w:val="20"/>
          <w:lang w:val="zh-CN"/>
        </w:rPr>
        <w:t>。补充、修改的内容应当按照招标文件要求签署、盖章、密封后，作为投标文件的组成部分。</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投标有效期内投标人不得撤销其投标文件，否则按照本章“投标保证金”的规定其投标保证金不予退还。</w:t>
      </w:r>
    </w:p>
    <w:p>
      <w:pPr>
        <w:numPr>
          <w:ilvl w:val="0"/>
          <w:numId w:val="24"/>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投标人所递交的投标文件无论中标与否不予退还。</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25" w:name="_Toc21534"/>
      <w:bookmarkStart w:id="26" w:name="_Toc494561942"/>
      <w:bookmarkStart w:id="27" w:name="_Toc278891595"/>
      <w:bookmarkStart w:id="28" w:name="_Toc495861523"/>
      <w:bookmarkStart w:id="29" w:name="_Toc272247698"/>
      <w:r>
        <w:rPr>
          <w:rFonts w:hint="eastAsia" w:cs="Times New Roman" w:asciiTheme="majorEastAsia" w:hAnsiTheme="majorEastAsia"/>
          <w:bCs w:val="0"/>
          <w:lang w:val="zh-CN"/>
        </w:rPr>
        <w:t>开标与评标</w:t>
      </w:r>
      <w:bookmarkEnd w:id="25"/>
      <w:bookmarkEnd w:id="26"/>
      <w:bookmarkEnd w:id="27"/>
      <w:bookmarkEnd w:id="28"/>
      <w:bookmarkEnd w:id="29"/>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开标</w:t>
      </w:r>
    </w:p>
    <w:p>
      <w:pPr>
        <w:numPr>
          <w:ilvl w:val="0"/>
          <w:numId w:val="25"/>
        </w:numPr>
        <w:spacing w:line="360" w:lineRule="auto"/>
        <w:ind w:left="616" w:hanging="616"/>
        <w:rPr>
          <w:rFonts w:ascii="宋体" w:hAnsi="宋体" w:eastAsia="宋体" w:cs="Times New Roman"/>
          <w:b/>
          <w:sz w:val="24"/>
          <w:szCs w:val="20"/>
          <w:lang w:val="zh-CN"/>
        </w:rPr>
      </w:pPr>
      <w:r>
        <w:rPr>
          <w:rFonts w:hint="eastAsia" w:ascii="Helvetica" w:hAnsi="Helvetica" w:eastAsia="宋体" w:cs="Helvetica"/>
          <w:kern w:val="0"/>
          <w:sz w:val="24"/>
          <w:szCs w:val="24"/>
          <w:lang w:val="zh-CN"/>
        </w:rPr>
        <w:t>采购代理机构</w:t>
      </w:r>
      <w:r>
        <w:rPr>
          <w:rFonts w:hint="eastAsia" w:ascii="宋体" w:hAnsi="宋体" w:eastAsia="宋体" w:cs="Times New Roman"/>
          <w:sz w:val="24"/>
          <w:szCs w:val="20"/>
          <w:lang w:val="zh-CN"/>
        </w:rPr>
        <w:t>在第一章“投标邀请书”中约定的日期、时间和地点组织公开开标。开标时采购人和投标人代表（投标人法定代表人或其授权代表）参加,参加开标的代表应签到以证明其出席</w:t>
      </w:r>
      <w:r>
        <w:rPr>
          <w:rFonts w:hint="eastAsia" w:ascii="宋体" w:hAnsi="宋体" w:eastAsia="宋体" w:cs="Times New Roman"/>
          <w:b/>
          <w:sz w:val="24"/>
          <w:szCs w:val="20"/>
          <w:lang w:val="zh-CN"/>
        </w:rPr>
        <w:t>，否则视同认可开标结果。</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投标人法定代表人或其授权代表应携带有效身份证明参加项目开标会，</w:t>
      </w:r>
      <w:r>
        <w:rPr>
          <w:rFonts w:ascii="宋体" w:hAnsi="宋体" w:eastAsia="宋体" w:cs="Times New Roman"/>
          <w:sz w:val="24"/>
          <w:szCs w:val="20"/>
          <w:lang w:val="zh-CN"/>
        </w:rPr>
        <w:t>投标人未参加开标的，视同认可开标结果。</w:t>
      </w:r>
      <w:r>
        <w:rPr>
          <w:rFonts w:hint="eastAsia" w:ascii="宋体" w:hAnsi="宋体" w:eastAsia="宋体" w:cs="Times New Roman"/>
          <w:sz w:val="24"/>
          <w:szCs w:val="20"/>
          <w:lang w:val="zh-CN"/>
        </w:rPr>
        <w:t>截止</w:t>
      </w:r>
      <w:r>
        <w:rPr>
          <w:rFonts w:hint="eastAsia" w:ascii="宋体" w:hAnsi="宋体" w:eastAsia="宋体" w:cs="宋体"/>
          <w:kern w:val="0"/>
          <w:sz w:val="24"/>
          <w:szCs w:val="24"/>
        </w:rPr>
        <w:t>投标文件</w:t>
      </w:r>
      <w:r>
        <w:rPr>
          <w:rFonts w:hint="eastAsia" w:ascii="宋体" w:hAnsi="宋体" w:eastAsia="宋体" w:cs="Times New Roman"/>
          <w:sz w:val="24"/>
          <w:szCs w:val="20"/>
          <w:lang w:val="zh-CN"/>
        </w:rPr>
        <w:t>递交时间，投标人不足3家的，不进行开标</w:t>
      </w:r>
      <w:r>
        <w:rPr>
          <w:rFonts w:hint="eastAsia" w:ascii="Helvetica" w:hAnsi="Helvetica" w:eastAsia="宋体" w:cs="Helvetica"/>
          <w:kern w:val="0"/>
          <w:sz w:val="24"/>
          <w:szCs w:val="24"/>
          <w:lang w:val="zh-CN"/>
        </w:rPr>
        <w:t>。</w:t>
      </w:r>
    </w:p>
    <w:p>
      <w:pPr>
        <w:numPr>
          <w:ilvl w:val="0"/>
          <w:numId w:val="25"/>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开标时，由投标人或其推选的代表检查投标文件的密封情况，经确认无误后由</w:t>
      </w:r>
      <w:r>
        <w:rPr>
          <w:rFonts w:hint="eastAsia" w:ascii="Helvetica" w:hAnsi="Helvetica" w:eastAsia="宋体" w:cs="Helvetica"/>
          <w:kern w:val="0"/>
          <w:sz w:val="24"/>
          <w:szCs w:val="24"/>
          <w:lang w:val="zh-CN"/>
        </w:rPr>
        <w:t>采购代理机构</w:t>
      </w:r>
      <w:r>
        <w:rPr>
          <w:rFonts w:hint="eastAsia" w:ascii="宋体" w:hAnsi="宋体" w:eastAsia="宋体" w:cs="Times New Roman"/>
          <w:sz w:val="24"/>
          <w:szCs w:val="20"/>
          <w:lang w:val="zh-CN"/>
        </w:rPr>
        <w:t>工作人员当众拆封，</w:t>
      </w:r>
      <w:r>
        <w:rPr>
          <w:rFonts w:ascii="宋体" w:hAnsi="宋体" w:eastAsia="宋体" w:cs="Times New Roman"/>
          <w:sz w:val="24"/>
          <w:szCs w:val="20"/>
          <w:lang w:val="zh-CN"/>
        </w:rPr>
        <w:t>宣布投标人名称、投标价格和招标文件规定的需要宣布的其他内容。</w:t>
      </w:r>
    </w:p>
    <w:p>
      <w:pPr>
        <w:numPr>
          <w:ilvl w:val="0"/>
          <w:numId w:val="25"/>
        </w:numPr>
        <w:spacing w:line="360" w:lineRule="auto"/>
        <w:ind w:left="616" w:hanging="616"/>
        <w:rPr>
          <w:rFonts w:ascii="宋体" w:hAnsi="宋体" w:eastAsia="宋体" w:cs="Times New Roman"/>
          <w:sz w:val="24"/>
          <w:szCs w:val="20"/>
          <w:lang w:val="zh-CN"/>
        </w:rPr>
      </w:pPr>
      <w:r>
        <w:rPr>
          <w:rFonts w:hint="eastAsia" w:ascii="Helvetica" w:hAnsi="Helvetica" w:eastAsia="宋体" w:cs="Helvetica"/>
          <w:kern w:val="0"/>
          <w:sz w:val="24"/>
          <w:szCs w:val="24"/>
          <w:lang w:val="zh-CN"/>
        </w:rPr>
        <w:t>采购代理机构</w:t>
      </w:r>
      <w:r>
        <w:rPr>
          <w:rFonts w:ascii="宋体" w:hAnsi="宋体" w:eastAsia="宋体" w:cs="Times New Roman"/>
          <w:sz w:val="24"/>
          <w:szCs w:val="20"/>
          <w:lang w:val="zh-CN"/>
        </w:rPr>
        <w:t>负责</w:t>
      </w:r>
      <w:r>
        <w:rPr>
          <w:rFonts w:hint="eastAsia" w:ascii="宋体" w:hAnsi="宋体" w:eastAsia="宋体" w:cs="Times New Roman"/>
          <w:sz w:val="24"/>
          <w:szCs w:val="20"/>
          <w:lang w:val="zh-CN"/>
        </w:rPr>
        <w:t>对</w:t>
      </w:r>
      <w:r>
        <w:rPr>
          <w:rFonts w:ascii="宋体" w:hAnsi="宋体" w:eastAsia="宋体" w:cs="Times New Roman"/>
          <w:sz w:val="24"/>
          <w:szCs w:val="20"/>
          <w:lang w:val="zh-CN"/>
        </w:rPr>
        <w:t>开标过程</w:t>
      </w:r>
      <w:r>
        <w:rPr>
          <w:rFonts w:hint="eastAsia" w:ascii="宋体" w:hAnsi="宋体" w:eastAsia="宋体" w:cs="Times New Roman"/>
          <w:sz w:val="24"/>
          <w:szCs w:val="20"/>
          <w:lang w:val="zh-CN"/>
        </w:rPr>
        <w:t>进行</w:t>
      </w:r>
      <w:r>
        <w:rPr>
          <w:rFonts w:ascii="宋体" w:hAnsi="宋体" w:eastAsia="宋体" w:cs="Times New Roman"/>
          <w:sz w:val="24"/>
          <w:szCs w:val="20"/>
          <w:lang w:val="zh-CN"/>
        </w:rPr>
        <w:t>记录，由参加开标的各投标人代表和相关工作人员</w:t>
      </w:r>
      <w:r>
        <w:rPr>
          <w:rFonts w:hint="eastAsia" w:ascii="宋体" w:hAnsi="宋体" w:eastAsia="宋体" w:cs="Times New Roman"/>
          <w:sz w:val="24"/>
          <w:szCs w:val="20"/>
          <w:lang w:val="zh-CN"/>
        </w:rPr>
        <w:t>对开标记录进行</w:t>
      </w:r>
      <w:r>
        <w:rPr>
          <w:rFonts w:ascii="宋体" w:hAnsi="宋体" w:eastAsia="宋体" w:cs="Times New Roman"/>
          <w:sz w:val="24"/>
          <w:szCs w:val="20"/>
          <w:lang w:val="zh-CN"/>
        </w:rPr>
        <w:t>签字确认。</w:t>
      </w:r>
    </w:p>
    <w:p>
      <w:pPr>
        <w:numPr>
          <w:ilvl w:val="0"/>
          <w:numId w:val="25"/>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投标人代表对开标过程和开标记录有疑义，以及认为采购人、</w:t>
      </w:r>
      <w:r>
        <w:rPr>
          <w:rFonts w:hint="eastAsia" w:ascii="Helvetica" w:hAnsi="Helvetica" w:eastAsia="宋体" w:cs="Helvetica"/>
          <w:kern w:val="0"/>
          <w:sz w:val="24"/>
          <w:szCs w:val="24"/>
          <w:lang w:val="zh-CN"/>
        </w:rPr>
        <w:t>代理公司</w:t>
      </w:r>
      <w:r>
        <w:rPr>
          <w:rFonts w:ascii="宋体" w:hAnsi="宋体" w:eastAsia="宋体" w:cs="Times New Roman"/>
          <w:sz w:val="24"/>
          <w:szCs w:val="20"/>
          <w:lang w:val="zh-CN"/>
        </w:rPr>
        <w:t>相关工作人员有需要回避的情形的，应当场提出询问或者回避申请。采购人、</w:t>
      </w:r>
      <w:r>
        <w:rPr>
          <w:rFonts w:hint="eastAsia" w:ascii="Helvetica" w:hAnsi="Helvetica" w:eastAsia="宋体" w:cs="Helvetica"/>
          <w:kern w:val="0"/>
          <w:sz w:val="24"/>
          <w:szCs w:val="24"/>
          <w:lang w:val="zh-CN"/>
        </w:rPr>
        <w:t>代理公司</w:t>
      </w:r>
      <w:r>
        <w:rPr>
          <w:rFonts w:hint="eastAsia" w:ascii="宋体" w:hAnsi="宋体" w:eastAsia="宋体" w:cs="Times New Roman"/>
          <w:sz w:val="24"/>
          <w:szCs w:val="20"/>
          <w:lang w:val="zh-CN"/>
        </w:rPr>
        <w:t>将</w:t>
      </w:r>
      <w:r>
        <w:rPr>
          <w:rFonts w:ascii="宋体" w:hAnsi="宋体" w:eastAsia="宋体" w:cs="Times New Roman"/>
          <w:sz w:val="24"/>
          <w:szCs w:val="20"/>
          <w:lang w:val="zh-CN"/>
        </w:rPr>
        <w:t>及时处理投标人代表提出的询问或者回避申请。</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资格审查</w:t>
      </w:r>
    </w:p>
    <w:p>
      <w:pPr>
        <w:numPr>
          <w:ilvl w:val="0"/>
          <w:numId w:val="26"/>
        </w:numPr>
        <w:spacing w:line="360" w:lineRule="auto"/>
        <w:ind w:left="616" w:hanging="616"/>
        <w:rPr>
          <w:rFonts w:ascii="Helvetica" w:hAnsi="Helvetica" w:eastAsia="宋体" w:cs="Helvetica"/>
          <w:kern w:val="0"/>
          <w:sz w:val="24"/>
          <w:szCs w:val="24"/>
          <w:lang w:val="zh-CN"/>
        </w:rPr>
      </w:pPr>
      <w:r>
        <w:rPr>
          <w:rFonts w:hint="eastAsia" w:ascii="宋体" w:hAnsi="宋体" w:eastAsia="宋体" w:cs="Times New Roman"/>
          <w:bCs/>
          <w:sz w:val="24"/>
          <w:szCs w:val="20"/>
          <w:lang w:val="zh-CN"/>
        </w:rPr>
        <w:t>公开招标采购项目开标结束后，采购人和采购代理公司依据法律、法规及招标文件的规定，对投标人的资格进行审查，以确定投标人资格是否合格。</w:t>
      </w:r>
      <w:r>
        <w:rPr>
          <w:rFonts w:ascii="Helvetica" w:hAnsi="Helvetica" w:eastAsia="宋体" w:cs="Helvetica"/>
          <w:kern w:val="0"/>
          <w:sz w:val="24"/>
          <w:szCs w:val="24"/>
          <w:lang w:val="zh-CN"/>
        </w:rPr>
        <w:t>合格投标人不足</w:t>
      </w:r>
      <w:r>
        <w:rPr>
          <w:rFonts w:ascii="宋体" w:hAnsi="宋体" w:eastAsia="宋体" w:cs="Helvetica"/>
          <w:kern w:val="0"/>
          <w:sz w:val="24"/>
          <w:szCs w:val="24"/>
          <w:lang w:val="zh-CN"/>
        </w:rPr>
        <w:t>3</w:t>
      </w:r>
      <w:r>
        <w:rPr>
          <w:rFonts w:ascii="Helvetica" w:hAnsi="Helvetica" w:eastAsia="宋体" w:cs="Helvetica"/>
          <w:kern w:val="0"/>
          <w:sz w:val="24"/>
          <w:szCs w:val="24"/>
          <w:lang w:val="zh-CN"/>
        </w:rPr>
        <w:t>家的，不</w:t>
      </w:r>
      <w:r>
        <w:rPr>
          <w:rFonts w:hint="eastAsia" w:ascii="Helvetica" w:hAnsi="Helvetica" w:eastAsia="宋体" w:cs="Helvetica"/>
          <w:kern w:val="0"/>
          <w:sz w:val="24"/>
          <w:szCs w:val="24"/>
          <w:lang w:val="zh-CN"/>
        </w:rPr>
        <w:t>进行</w:t>
      </w:r>
      <w:r>
        <w:rPr>
          <w:rFonts w:ascii="Helvetica" w:hAnsi="Helvetica" w:eastAsia="宋体" w:cs="Helvetica"/>
          <w:kern w:val="0"/>
          <w:sz w:val="24"/>
          <w:szCs w:val="24"/>
          <w:lang w:val="zh-CN"/>
        </w:rPr>
        <w:t>评标</w:t>
      </w:r>
      <w:r>
        <w:rPr>
          <w:rFonts w:hint="eastAsia" w:ascii="Helvetica" w:hAnsi="Helvetica" w:eastAsia="宋体" w:cs="Helvetica"/>
          <w:kern w:val="0"/>
          <w:sz w:val="24"/>
          <w:szCs w:val="24"/>
          <w:lang w:val="zh-CN"/>
        </w:rPr>
        <w:t>。</w:t>
      </w:r>
    </w:p>
    <w:p>
      <w:pPr>
        <w:numPr>
          <w:ilvl w:val="0"/>
          <w:numId w:val="26"/>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资格审查详见第四章“资格审查方法及标准”。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sz w:val="24"/>
          <w:szCs w:val="20"/>
          <w:lang w:val="zh-CN"/>
        </w:rPr>
        <w:t>最低评标价法。最低评标价法是指投标文件满足招标文件全部实质性要求，且投标报价最低的投标人为中标候选人的评标方法。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宋体" w:hAnsi="宋体" w:eastAsia="宋体" w:cs="Times New Roman"/>
          <w:bCs/>
          <w:color w:val="auto"/>
          <w:sz w:val="24"/>
          <w:szCs w:val="20"/>
          <w:lang w:val="zh-CN"/>
        </w:rPr>
        <w:t>综合评分法。</w:t>
      </w:r>
      <w:r>
        <w:rPr>
          <w:rFonts w:ascii="宋体" w:hAnsi="宋体" w:eastAsia="宋体" w:cs="Times New Roman"/>
          <w:bCs/>
          <w:color w:val="auto"/>
          <w:sz w:val="24"/>
          <w:szCs w:val="20"/>
          <w:lang w:val="zh-CN"/>
        </w:rPr>
        <w:t>综合评分法</w:t>
      </w:r>
      <w:r>
        <w:rPr>
          <w:rFonts w:ascii="宋体" w:hAnsi="宋体" w:eastAsia="宋体" w:cs="Times New Roman"/>
          <w:bCs/>
          <w:sz w:val="24"/>
          <w:szCs w:val="20"/>
          <w:lang w:val="zh-CN"/>
        </w:rPr>
        <w:t>是指投标文件满足招标文件全部实质性要求，且按照评审因素的量化指标评审得分最高的投标人为中标候选人的评标方法。</w:t>
      </w:r>
    </w:p>
    <w:p>
      <w:pPr>
        <w:numPr>
          <w:ilvl w:val="0"/>
          <w:numId w:val="27"/>
        </w:numPr>
        <w:spacing w:line="360" w:lineRule="auto"/>
        <w:ind w:left="616" w:hanging="616"/>
        <w:rPr>
          <w:rFonts w:ascii="宋体" w:hAnsi="宋体" w:eastAsia="宋体" w:cs="Times New Roman"/>
          <w:bCs/>
          <w:sz w:val="24"/>
          <w:szCs w:val="20"/>
          <w:lang w:val="zh-CN"/>
        </w:rPr>
      </w:pPr>
      <w:r>
        <w:rPr>
          <w:rFonts w:hint="eastAsia" w:ascii="Helvetica" w:hAnsi="Helvetica" w:eastAsia="宋体" w:cs="Helvetica"/>
          <w:kern w:val="0"/>
          <w:sz w:val="24"/>
          <w:szCs w:val="24"/>
          <w:lang w:val="zh-CN"/>
        </w:rPr>
        <w:t>评标方法详见第五章“评标方法、程序及标准”</w:t>
      </w:r>
      <w:r>
        <w:rPr>
          <w:rFonts w:hint="eastAsia" w:ascii="宋体" w:hAnsi="宋体" w:eastAsia="宋体" w:cs="Times New Roman"/>
          <w:bCs/>
          <w:sz w:val="24"/>
          <w:szCs w:val="20"/>
          <w:lang w:val="zh-CN"/>
        </w:rPr>
        <w:t>。</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评标委员会的组成</w:t>
      </w:r>
    </w:p>
    <w:p>
      <w:pPr>
        <w:numPr>
          <w:ilvl w:val="0"/>
          <w:numId w:val="28"/>
        </w:numPr>
        <w:spacing w:line="360" w:lineRule="auto"/>
        <w:ind w:left="616" w:hanging="616"/>
        <w:rPr>
          <w:rFonts w:ascii="宋体" w:hAnsi="宋体" w:eastAsia="宋体" w:cs="Times New Roman"/>
          <w:sz w:val="24"/>
          <w:szCs w:val="20"/>
          <w:lang w:val="zh-CN"/>
        </w:rPr>
      </w:pPr>
      <w:r>
        <w:rPr>
          <w:rFonts w:ascii="宋体" w:hAnsi="宋体" w:eastAsia="宋体" w:cs="Helvetica"/>
          <w:kern w:val="0"/>
          <w:sz w:val="24"/>
          <w:szCs w:val="24"/>
          <w:lang w:val="zh-CN"/>
        </w:rPr>
        <w:t>评标委员会由采购人代表和评审专家组成，成员人数应当为5人</w:t>
      </w:r>
      <w:r>
        <w:rPr>
          <w:rFonts w:hint="eastAsia" w:ascii="宋体" w:hAnsi="宋体" w:eastAsia="宋体" w:cs="Helvetica"/>
          <w:kern w:val="0"/>
          <w:sz w:val="24"/>
          <w:szCs w:val="24"/>
          <w:lang w:val="zh-CN"/>
        </w:rPr>
        <w:t>及</w:t>
      </w:r>
      <w:r>
        <w:rPr>
          <w:rFonts w:ascii="宋体" w:hAnsi="宋体" w:eastAsia="宋体" w:cs="Helvetica"/>
          <w:kern w:val="0"/>
          <w:sz w:val="24"/>
          <w:szCs w:val="24"/>
          <w:lang w:val="zh-CN"/>
        </w:rPr>
        <w:t>以上单数，其中评审专家不得少于成员总数的三分之二</w:t>
      </w:r>
      <w:r>
        <w:rPr>
          <w:rFonts w:hint="eastAsia" w:ascii="宋体" w:hAnsi="宋体" w:eastAsia="宋体" w:cs="Helvetica"/>
          <w:kern w:val="0"/>
          <w:sz w:val="24"/>
          <w:szCs w:val="24"/>
          <w:lang w:val="zh-CN"/>
        </w:rPr>
        <w:t>；</w:t>
      </w:r>
      <w:r>
        <w:rPr>
          <w:rFonts w:ascii="宋体" w:hAnsi="宋体" w:eastAsia="宋体" w:cs="Times New Roman"/>
          <w:sz w:val="24"/>
          <w:szCs w:val="20"/>
          <w:lang w:val="zh-CN"/>
        </w:rPr>
        <w:t>采购预算金额在1000万元</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w:t>
      </w:r>
      <w:r>
        <w:rPr>
          <w:rFonts w:hint="eastAsia" w:ascii="宋体" w:hAnsi="宋体" w:eastAsia="宋体" w:cs="Times New Roman"/>
          <w:sz w:val="24"/>
          <w:szCs w:val="20"/>
          <w:lang w:val="zh-CN"/>
        </w:rPr>
        <w:t>、</w:t>
      </w:r>
      <w:r>
        <w:rPr>
          <w:rFonts w:ascii="宋体" w:hAnsi="宋体" w:eastAsia="宋体" w:cs="Times New Roman"/>
          <w:sz w:val="24"/>
          <w:szCs w:val="20"/>
          <w:lang w:val="zh-CN"/>
        </w:rPr>
        <w:t>技术复杂</w:t>
      </w:r>
      <w:r>
        <w:rPr>
          <w:rFonts w:hint="eastAsia" w:ascii="宋体" w:hAnsi="宋体" w:eastAsia="宋体" w:cs="Times New Roman"/>
          <w:sz w:val="24"/>
          <w:szCs w:val="20"/>
          <w:lang w:val="zh-CN"/>
        </w:rPr>
        <w:t>或</w:t>
      </w:r>
      <w:r>
        <w:rPr>
          <w:rFonts w:ascii="宋体" w:hAnsi="宋体" w:eastAsia="宋体" w:cs="Times New Roman"/>
          <w:sz w:val="24"/>
          <w:szCs w:val="20"/>
          <w:lang w:val="zh-CN"/>
        </w:rPr>
        <w:t>社会影响较大</w:t>
      </w:r>
      <w:r>
        <w:rPr>
          <w:rFonts w:hint="eastAsia" w:ascii="宋体" w:hAnsi="宋体" w:eastAsia="宋体" w:cs="Times New Roman"/>
          <w:sz w:val="24"/>
          <w:szCs w:val="20"/>
          <w:lang w:val="zh-CN"/>
        </w:rPr>
        <w:t>的项目，</w:t>
      </w:r>
      <w:r>
        <w:rPr>
          <w:rFonts w:ascii="宋体" w:hAnsi="宋体" w:eastAsia="宋体" w:cs="Times New Roman"/>
          <w:sz w:val="24"/>
          <w:szCs w:val="20"/>
          <w:lang w:val="zh-CN"/>
        </w:rPr>
        <w:t>评标委员会成员人数应当为7人</w:t>
      </w:r>
      <w:r>
        <w:rPr>
          <w:rFonts w:hint="eastAsia" w:ascii="宋体" w:hAnsi="宋体" w:eastAsia="宋体" w:cs="Times New Roman"/>
          <w:sz w:val="24"/>
          <w:szCs w:val="20"/>
          <w:lang w:val="zh-CN"/>
        </w:rPr>
        <w:t>及</w:t>
      </w:r>
      <w:r>
        <w:rPr>
          <w:rFonts w:ascii="宋体" w:hAnsi="宋体" w:eastAsia="宋体" w:cs="Times New Roman"/>
          <w:sz w:val="24"/>
          <w:szCs w:val="20"/>
          <w:lang w:val="zh-CN"/>
        </w:rPr>
        <w:t>以上单数</w:t>
      </w:r>
      <w:r>
        <w:rPr>
          <w:rFonts w:hint="eastAsia" w:ascii="宋体" w:hAnsi="宋体" w:eastAsia="宋体" w:cs="Times New Roman"/>
          <w:sz w:val="24"/>
          <w:szCs w:val="20"/>
          <w:lang w:val="zh-CN"/>
        </w:rPr>
        <w:t>。</w:t>
      </w:r>
    </w:p>
    <w:p>
      <w:pPr>
        <w:numPr>
          <w:ilvl w:val="0"/>
          <w:numId w:val="28"/>
        </w:numPr>
        <w:spacing w:line="360" w:lineRule="auto"/>
        <w:ind w:left="616" w:hanging="616"/>
        <w:rPr>
          <w:rFonts w:ascii="宋体" w:hAnsi="宋体" w:eastAsia="宋体" w:cs="Times New Roman"/>
          <w:b/>
          <w:sz w:val="24"/>
          <w:szCs w:val="20"/>
          <w:lang w:val="zh-CN"/>
        </w:rPr>
      </w:pPr>
      <w:r>
        <w:rPr>
          <w:rFonts w:hint="eastAsia" w:ascii="宋体" w:hAnsi="宋体" w:eastAsia="宋体" w:cs="Times New Roman"/>
          <w:b/>
          <w:sz w:val="24"/>
          <w:szCs w:val="20"/>
          <w:lang w:val="zh-CN"/>
        </w:rPr>
        <w:t>评标委员会成员依法从政府采购专家库中随机抽取。</w:t>
      </w:r>
      <w:r>
        <w:rPr>
          <w:rFonts w:ascii="宋体" w:hAnsi="宋体" w:eastAsia="宋体" w:cs="Times New Roman"/>
          <w:b/>
          <w:sz w:val="24"/>
          <w:szCs w:val="20"/>
          <w:lang w:val="zh-CN"/>
        </w:rPr>
        <w:t>对技术复杂、专业性强的采购项目，通过随机方式难以确定合适评审专家的，经主管预算单位同意，采购人可以自行选定相应专业领域的评审专家。</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评标程序</w:t>
      </w:r>
    </w:p>
    <w:p>
      <w:pPr>
        <w:numPr>
          <w:ilvl w:val="0"/>
          <w:numId w:val="29"/>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评标委员会负责具体评标事务，并独立履行下列职责：</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审查、评价投标文件是否符合招标文件的商务、技术等实质性要求；</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要求投标人对投标文件有关事项作出澄清或者说明；</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对投标文件进行</w:t>
      </w:r>
      <w:r>
        <w:rPr>
          <w:rFonts w:hint="eastAsia" w:ascii="宋体" w:hAnsi="宋体" w:eastAsia="宋体" w:cs="Times New Roman"/>
          <w:sz w:val="24"/>
          <w:szCs w:val="20"/>
          <w:lang w:val="zh-CN"/>
        </w:rPr>
        <w:t>综合</w:t>
      </w:r>
      <w:r>
        <w:rPr>
          <w:rFonts w:ascii="宋体" w:hAnsi="宋体" w:eastAsia="宋体" w:cs="Times New Roman"/>
          <w:sz w:val="24"/>
          <w:szCs w:val="20"/>
          <w:lang w:val="zh-CN"/>
        </w:rPr>
        <w:t>比较和评价；</w:t>
      </w:r>
    </w:p>
    <w:p>
      <w:pPr>
        <w:numPr>
          <w:ilvl w:val="0"/>
          <w:numId w:val="30"/>
        </w:numPr>
        <w:spacing w:line="360" w:lineRule="auto"/>
        <w:ind w:left="980" w:hanging="854"/>
        <w:rPr>
          <w:rFonts w:ascii="宋体" w:hAnsi="宋体" w:eastAsia="宋体" w:cs="Times New Roman"/>
          <w:sz w:val="24"/>
          <w:szCs w:val="20"/>
          <w:lang w:val="zh-CN"/>
        </w:rPr>
      </w:pPr>
      <w:r>
        <w:rPr>
          <w:rFonts w:hint="eastAsia" w:ascii="宋体" w:hAnsi="宋体" w:eastAsia="宋体" w:cs="Times New Roman"/>
          <w:sz w:val="24"/>
          <w:szCs w:val="20"/>
          <w:lang w:val="zh-CN"/>
        </w:rPr>
        <w:t>确定中标候选人名单或中标人；</w:t>
      </w:r>
    </w:p>
    <w:p>
      <w:pPr>
        <w:numPr>
          <w:ilvl w:val="0"/>
          <w:numId w:val="30"/>
        </w:numPr>
        <w:spacing w:line="360" w:lineRule="auto"/>
        <w:ind w:left="980" w:hanging="854"/>
        <w:rPr>
          <w:rFonts w:ascii="宋体" w:hAnsi="宋体" w:eastAsia="宋体" w:cs="Times New Roman"/>
          <w:sz w:val="24"/>
          <w:szCs w:val="20"/>
          <w:lang w:val="zh-CN"/>
        </w:rPr>
      </w:pPr>
      <w:r>
        <w:rPr>
          <w:rFonts w:ascii="宋体" w:hAnsi="宋体" w:eastAsia="宋体" w:cs="Times New Roman"/>
          <w:sz w:val="24"/>
          <w:szCs w:val="20"/>
          <w:lang w:val="zh-CN"/>
        </w:rPr>
        <w:t>向采购人、</w:t>
      </w:r>
      <w:r>
        <w:rPr>
          <w:rFonts w:hint="eastAsia" w:ascii="宋体" w:hAnsi="宋体" w:eastAsia="宋体" w:cs="Times New Roman"/>
          <w:sz w:val="24"/>
          <w:szCs w:val="20"/>
          <w:lang w:val="zh-CN"/>
        </w:rPr>
        <w:t>采购代理</w:t>
      </w:r>
      <w:r>
        <w:rPr>
          <w:rFonts w:ascii="宋体" w:hAnsi="宋体" w:eastAsia="宋体" w:cs="Times New Roman"/>
          <w:sz w:val="24"/>
          <w:szCs w:val="20"/>
          <w:lang w:val="zh-CN"/>
        </w:rPr>
        <w:t>机构或者有关部门报告评标中发现的违法行为。</w:t>
      </w:r>
    </w:p>
    <w:p>
      <w:pPr>
        <w:numPr>
          <w:ilvl w:val="0"/>
          <w:numId w:val="29"/>
        </w:numPr>
        <w:spacing w:line="360" w:lineRule="auto"/>
        <w:ind w:left="616" w:hanging="616"/>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评标程序详见第五章“评标方法、程序及标准”。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0" w:name="_Toc2356"/>
      <w:bookmarkStart w:id="31" w:name="_Toc495861524"/>
      <w:bookmarkStart w:id="32" w:name="_Toc494561943"/>
      <w:r>
        <w:rPr>
          <w:rFonts w:hint="eastAsia" w:cs="Times New Roman" w:asciiTheme="majorEastAsia" w:hAnsiTheme="majorEastAsia"/>
          <w:bCs w:val="0"/>
          <w:lang w:val="zh-CN"/>
        </w:rPr>
        <w:t>投标人信用信息及查询</w:t>
      </w:r>
      <w:bookmarkEnd w:id="30"/>
      <w:bookmarkEnd w:id="31"/>
      <w:bookmarkEnd w:id="32"/>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信用信息查询渠道及使用规则</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按照《关于在政府采购活动中查询及使用信用记录有关问题的通知》的要求，参与政府采购的投标人，信用记录的查询渠道为“信用中国”网站(www.creditchina.gov.cn)、中国政府采购网(</w:t>
      </w:r>
      <w:r>
        <w:fldChar w:fldCharType="begin"/>
      </w:r>
      <w:r>
        <w:instrText xml:space="preserve"> HYPERLINK "http://www.ccgp.gov.cn" </w:instrText>
      </w:r>
      <w:r>
        <w:fldChar w:fldCharType="separate"/>
      </w:r>
      <w:r>
        <w:rPr>
          <w:rFonts w:hint="eastAsia" w:cs="Helvetica" w:asciiTheme="minorEastAsia" w:hAnsiTheme="minorEastAsia"/>
          <w:kern w:val="0"/>
          <w:sz w:val="24"/>
          <w:szCs w:val="24"/>
          <w:lang w:val="zh-CN"/>
        </w:rPr>
        <w:t>www.ccgp.gov.cn</w:t>
      </w:r>
      <w:r>
        <w:rPr>
          <w:rFonts w:hint="eastAsia" w:cs="Helvetica" w:asciiTheme="minorEastAsia" w:hAnsiTheme="minorEastAsia"/>
          <w:kern w:val="0"/>
          <w:sz w:val="24"/>
          <w:szCs w:val="24"/>
          <w:lang w:val="zh-CN"/>
        </w:rPr>
        <w:fldChar w:fldCharType="end"/>
      </w:r>
      <w:r>
        <w:rPr>
          <w:rFonts w:hint="eastAsia" w:cs="Helvetica" w:asciiTheme="minorEastAsia" w:hAnsiTheme="minorEastAsia"/>
          <w:kern w:val="0"/>
          <w:sz w:val="24"/>
          <w:szCs w:val="24"/>
          <w:lang w:val="zh-CN"/>
        </w:rPr>
        <w:t>)。</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列入失信被执行人、重大税收违法案件当事人名单、政府采购严重违法失信行为记录名单的投标人，采购人、采购代理机构</w:t>
      </w:r>
      <w:r>
        <w:rPr>
          <w:rFonts w:hint="eastAsia" w:cs="Helvetica" w:asciiTheme="minorEastAsia" w:hAnsiTheme="minorEastAsia"/>
          <w:b/>
          <w:kern w:val="0"/>
          <w:sz w:val="24"/>
          <w:szCs w:val="24"/>
          <w:lang w:val="zh-CN"/>
        </w:rPr>
        <w:t>拒绝</w:t>
      </w:r>
      <w:r>
        <w:rPr>
          <w:rFonts w:hint="eastAsia" w:cs="Helvetica" w:asciiTheme="minorEastAsia" w:hAnsiTheme="minorEastAsia"/>
          <w:kern w:val="0"/>
          <w:sz w:val="24"/>
          <w:szCs w:val="24"/>
          <w:lang w:val="zh-CN"/>
        </w:rPr>
        <w:t>其参与政府采购活动。</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两个及以上自然人、法人或者其他组织组成联合体，以一个投标人的身份共同参加政府采购活动的，应当对所有联合体成员进行信用记录查询，联合体成员存在不良信用记录的，视同联合体存在不良信用信息。</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投标人的信用记录，最终以评标时的“信用中国”网站</w:t>
      </w:r>
      <w:r>
        <w:rPr>
          <w:rFonts w:hint="eastAsia" w:ascii="宋体" w:hAnsi="宋体" w:cs="Helvetica"/>
          <w:kern w:val="0"/>
          <w:sz w:val="24"/>
          <w:szCs w:val="24"/>
        </w:rPr>
        <w:t>和“中国政府采购网”</w:t>
      </w:r>
      <w:r>
        <w:rPr>
          <w:rFonts w:hint="eastAsia" w:cs="Helvetica" w:asciiTheme="minorEastAsia" w:hAnsiTheme="minorEastAsia"/>
          <w:kern w:val="0"/>
          <w:sz w:val="24"/>
          <w:szCs w:val="24"/>
          <w:lang w:val="zh-CN"/>
        </w:rPr>
        <w:t>发布的信息为准。</w:t>
      </w:r>
    </w:p>
    <w:p>
      <w:pPr>
        <w:numPr>
          <w:ilvl w:val="0"/>
          <w:numId w:val="31"/>
        </w:numPr>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在资格审查与评标工作未同日进行的特殊情形下，</w:t>
      </w:r>
      <w:r>
        <w:rPr>
          <w:rFonts w:hint="eastAsia" w:ascii="Helvetica" w:hAnsi="Helvetica" w:eastAsia="宋体" w:cs="Helvetica"/>
          <w:kern w:val="0"/>
          <w:sz w:val="24"/>
          <w:szCs w:val="24"/>
          <w:lang w:val="zh-CN"/>
        </w:rPr>
        <w:t>采购代理机构</w:t>
      </w:r>
      <w:r>
        <w:rPr>
          <w:rFonts w:hint="eastAsia" w:cs="Helvetica" w:asciiTheme="minorEastAsia" w:hAnsiTheme="minorEastAsia"/>
          <w:kern w:val="0"/>
          <w:sz w:val="24"/>
          <w:szCs w:val="24"/>
          <w:lang w:val="zh-CN"/>
        </w:rPr>
        <w:t>工作人员在评标时对投标人的信用信息进行复核，发现评标当日存在不良信用信息的，由评标委员会按照符合性审查不合格作</w:t>
      </w:r>
      <w:r>
        <w:rPr>
          <w:rFonts w:hint="eastAsia" w:cs="Helvetica" w:asciiTheme="minorEastAsia" w:hAnsiTheme="minorEastAsia"/>
          <w:b/>
          <w:kern w:val="0"/>
          <w:sz w:val="24"/>
          <w:szCs w:val="24"/>
          <w:lang w:val="zh-CN"/>
        </w:rPr>
        <w:t>无效投标处理</w:t>
      </w:r>
      <w:r>
        <w:rPr>
          <w:rFonts w:hint="eastAsia" w:cs="Helvetica" w:asciiTheme="minorEastAsia" w:hAnsiTheme="minorEastAsia"/>
          <w:kern w:val="0"/>
          <w:sz w:val="24"/>
          <w:szCs w:val="24"/>
          <w:lang w:val="zh-CN"/>
        </w:rPr>
        <w:t>。</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3" w:name="_Toc494561944"/>
      <w:bookmarkStart w:id="34" w:name="_Toc495861525"/>
      <w:bookmarkStart w:id="35" w:name="_Toc24911"/>
      <w:r>
        <w:rPr>
          <w:rFonts w:cs="Times New Roman" w:asciiTheme="majorEastAsia" w:hAnsiTheme="majorEastAsia"/>
          <w:bCs w:val="0"/>
          <w:lang w:val="zh-CN"/>
        </w:rPr>
        <w:t>中标</w:t>
      </w:r>
      <w:r>
        <w:rPr>
          <w:rFonts w:hint="eastAsia" w:cs="Times New Roman" w:asciiTheme="majorEastAsia" w:hAnsiTheme="majorEastAsia"/>
          <w:bCs w:val="0"/>
          <w:lang w:val="zh-CN"/>
        </w:rPr>
        <w:t>与</w:t>
      </w:r>
      <w:r>
        <w:rPr>
          <w:rFonts w:cs="Times New Roman" w:asciiTheme="majorEastAsia" w:hAnsiTheme="majorEastAsia"/>
          <w:bCs w:val="0"/>
          <w:lang w:val="zh-CN"/>
        </w:rPr>
        <w:t>合同</w:t>
      </w:r>
      <w:bookmarkEnd w:id="33"/>
      <w:bookmarkEnd w:id="34"/>
      <w:bookmarkEnd w:id="35"/>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采购人收到评标报告</w:t>
      </w:r>
      <w:r>
        <w:rPr>
          <w:rFonts w:ascii="宋体" w:hAnsi="宋体" w:eastAsia="宋体" w:cs="Helvetica"/>
          <w:kern w:val="0"/>
          <w:sz w:val="24"/>
          <w:szCs w:val="24"/>
          <w:lang w:val="zh-CN"/>
        </w:rPr>
        <w:t>5个工作日内，</w:t>
      </w:r>
      <w:r>
        <w:rPr>
          <w:rFonts w:hint="eastAsia" w:ascii="宋体" w:hAnsi="宋体" w:eastAsia="宋体" w:cs="Helvetica"/>
          <w:kern w:val="0"/>
          <w:sz w:val="24"/>
          <w:szCs w:val="24"/>
          <w:lang w:val="zh-CN"/>
        </w:rPr>
        <w:t>按</w:t>
      </w:r>
      <w:r>
        <w:rPr>
          <w:rFonts w:ascii="宋体" w:hAnsi="宋体" w:eastAsia="宋体" w:cs="Helvetica"/>
          <w:kern w:val="0"/>
          <w:sz w:val="24"/>
          <w:szCs w:val="24"/>
          <w:lang w:val="zh-CN"/>
        </w:rPr>
        <w:t>评标报告推荐的中标候选人顺序确定中标人。</w:t>
      </w:r>
    </w:p>
    <w:p>
      <w:pPr>
        <w:numPr>
          <w:ilvl w:val="0"/>
          <w:numId w:val="32"/>
        </w:numPr>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中标候选人并列的</w:t>
      </w:r>
      <w:r>
        <w:rPr>
          <w:rFonts w:hint="eastAsia" w:ascii="Helvetica" w:hAnsi="Helvetica" w:eastAsia="宋体" w:cs="Helvetica"/>
          <w:kern w:val="0"/>
          <w:sz w:val="24"/>
          <w:szCs w:val="24"/>
          <w:lang w:val="zh-CN"/>
        </w:rPr>
        <w:t>：</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采用最低评标价法的，评标结果按投标报价由低到高顺序排列。投标报价相同的，按技术部分由高到低顺序排列。</w:t>
      </w:r>
    </w:p>
    <w:p>
      <w:pPr>
        <w:numPr>
          <w:ilvl w:val="0"/>
          <w:numId w:val="33"/>
        </w:numPr>
        <w:spacing w:line="360" w:lineRule="auto"/>
        <w:ind w:left="980" w:hanging="980"/>
        <w:rPr>
          <w:rFonts w:ascii="宋体" w:hAnsi="宋体" w:eastAsia="宋体" w:cs="Times New Roman"/>
          <w:sz w:val="24"/>
          <w:szCs w:val="20"/>
          <w:lang w:val="zh-CN"/>
        </w:rPr>
      </w:pPr>
      <w:r>
        <w:rPr>
          <w:rFonts w:hint="eastAsia" w:ascii="宋体" w:hAnsi="宋体" w:eastAsia="宋体" w:cs="Times New Roman"/>
          <w:sz w:val="24"/>
          <w:szCs w:val="20"/>
          <w:lang w:val="zh-CN"/>
        </w:rPr>
        <w:t>采用</w:t>
      </w:r>
      <w:r>
        <w:rPr>
          <w:rFonts w:hint="eastAsia" w:ascii="宋体" w:hAnsi="宋体" w:eastAsia="宋体" w:cs="Times New Roman"/>
          <w:color w:val="auto"/>
          <w:sz w:val="24"/>
          <w:szCs w:val="20"/>
          <w:lang w:val="zh-CN"/>
        </w:rPr>
        <w:t>综合评分法</w:t>
      </w:r>
      <w:r>
        <w:rPr>
          <w:rFonts w:hint="eastAsia" w:ascii="宋体" w:hAnsi="宋体" w:eastAsia="宋体" w:cs="Times New Roman"/>
          <w:sz w:val="24"/>
          <w:szCs w:val="20"/>
          <w:lang w:val="zh-CN"/>
        </w:rPr>
        <w:t>的，评标结果按评审后得分由高到低顺序排列。得分相同的，按投标报价由低到高顺序排列。得分且投标报价相同的，按技术部分由高到低顺序排列。</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中标人的数量有其他规定的，按招标文件相关规定执行。</w:t>
      </w:r>
    </w:p>
    <w:p>
      <w:pPr>
        <w:numPr>
          <w:ilvl w:val="0"/>
          <w:numId w:val="32"/>
        </w:numPr>
        <w:spacing w:line="360" w:lineRule="auto"/>
        <w:ind w:left="616" w:hanging="616"/>
        <w:rPr>
          <w:rFonts w:ascii="宋体" w:hAnsi="宋体" w:eastAsia="宋体" w:cs="Times New Roman"/>
          <w:strike/>
          <w:sz w:val="24"/>
          <w:szCs w:val="20"/>
          <w:lang w:val="zh-CN"/>
        </w:rPr>
      </w:pPr>
      <w:r>
        <w:rPr>
          <w:rFonts w:hint="eastAsia" w:ascii="宋体" w:hAnsi="宋体" w:eastAsia="宋体" w:cs="Times New Roman"/>
          <w:sz w:val="24"/>
          <w:szCs w:val="20"/>
          <w:lang w:val="zh-CN"/>
        </w:rPr>
        <w:t>中标人确定后，采购人、采购代理机构在政府采购监管部门指定的媒体上发布中标公告，同时向中标人和采购人发出《中标通知书》。《中标通知书》是政府采购合同的组成部分,对中标人和采购人具有同等法律效力。</w:t>
      </w:r>
    </w:p>
    <w:p>
      <w:pPr>
        <w:numPr>
          <w:ilvl w:val="0"/>
          <w:numId w:val="32"/>
        </w:numPr>
        <w:spacing w:line="360" w:lineRule="auto"/>
        <w:ind w:left="616" w:hanging="616"/>
        <w:rPr>
          <w:rFonts w:ascii="宋体" w:hAnsi="宋体" w:eastAsia="宋体" w:cs="Times New Roman"/>
          <w:strike/>
          <w:sz w:val="24"/>
          <w:szCs w:val="20"/>
          <w:lang w:val="zh-CN"/>
        </w:rPr>
      </w:pPr>
      <w:r>
        <w:rPr>
          <w:rFonts w:ascii="Helvetica" w:hAnsi="Helvetica" w:eastAsia="宋体" w:cs="Helvetica"/>
          <w:kern w:val="0"/>
          <w:sz w:val="24"/>
          <w:szCs w:val="24"/>
          <w:lang w:val="zh-CN"/>
        </w:rPr>
        <w:t>中标通知书发出后，采购人不得违法改变中标结果，中标人无正当理由不得放弃中标。</w:t>
      </w:r>
    </w:p>
    <w:p>
      <w:pPr>
        <w:numPr>
          <w:ilvl w:val="0"/>
          <w:numId w:val="32"/>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中标人拒绝与采购人签订合同的，采购人可以按照评标报告推荐的中标候选人名单排序，确定下一候选人为中标人，也可以重新开展政府采购活动。</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合同授予</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除本章“确定中标人”规定及其他法律规定的情形外，采购人把合同授予被确定为实质上响应招标文件要求且排名第一的中标人。</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合同签订</w:t>
      </w:r>
    </w:p>
    <w:p>
      <w:pPr>
        <w:numPr>
          <w:ilvl w:val="0"/>
          <w:numId w:val="34"/>
        </w:numPr>
        <w:spacing w:line="360" w:lineRule="auto"/>
        <w:ind w:left="616" w:hanging="616"/>
        <w:rPr>
          <w:rFonts w:ascii="宋体" w:hAnsi="宋体" w:eastAsia="宋体" w:cs="Times New Roman"/>
          <w:sz w:val="24"/>
          <w:szCs w:val="20"/>
          <w:lang w:val="zh-CN"/>
        </w:rPr>
      </w:pPr>
      <w:bookmarkStart w:id="36" w:name="_Toc272247700"/>
      <w:bookmarkStart w:id="37" w:name="_Toc278891597"/>
      <w:r>
        <w:rPr>
          <w:rFonts w:ascii="宋体" w:hAnsi="宋体" w:eastAsia="宋体" w:cs="Times New Roman"/>
          <w:sz w:val="24"/>
          <w:szCs w:val="20"/>
          <w:lang w:val="zh-CN"/>
        </w:rPr>
        <w:t>采购人应当自中标通知书发出之日起30日内，按照招标文件</w:t>
      </w:r>
      <w:r>
        <w:rPr>
          <w:rFonts w:hint="eastAsia" w:ascii="宋体" w:hAnsi="宋体" w:eastAsia="宋体" w:cs="Times New Roman"/>
          <w:sz w:val="24"/>
          <w:szCs w:val="20"/>
          <w:lang w:val="zh-CN"/>
        </w:rPr>
        <w:t>规定</w:t>
      </w:r>
      <w:r>
        <w:rPr>
          <w:rFonts w:ascii="宋体" w:hAnsi="宋体" w:eastAsia="宋体" w:cs="Times New Roman"/>
          <w:sz w:val="24"/>
          <w:szCs w:val="20"/>
          <w:lang w:val="zh-CN"/>
        </w:rPr>
        <w:t>和中标人投标文件的</w:t>
      </w:r>
      <w:r>
        <w:rPr>
          <w:rFonts w:hint="eastAsia" w:ascii="宋体" w:hAnsi="宋体" w:eastAsia="宋体" w:cs="Times New Roman"/>
          <w:sz w:val="24"/>
          <w:szCs w:val="20"/>
          <w:lang w:val="zh-CN"/>
        </w:rPr>
        <w:t>承诺</w:t>
      </w:r>
      <w:r>
        <w:rPr>
          <w:rFonts w:ascii="宋体" w:hAnsi="宋体" w:eastAsia="宋体" w:cs="Times New Roman"/>
          <w:sz w:val="24"/>
          <w:szCs w:val="20"/>
          <w:lang w:val="zh-CN"/>
        </w:rPr>
        <w:t>，与中标人签订书面合同。所签订的合同不得对招标文件确定的事项和中标人投标文件作实质性修改。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采购人不得向中标人提出任何不合理的要求作为签订合同的条件。</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政府采购合同应当包括采购人与中标人的名称和住所、标的、数量、质量、价款或者报酬、履行期限及地点和方式、验收要求、违约责任、解决争议的方法等内容。</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采购人与中标人应当根据合同的约定依法履行合同义务。政府采购合同的履行、违约责任和解决争议的方法等适用《中华人民共和国合同法》。</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4"/>
        </w:numPr>
        <w:tabs>
          <w:tab w:val="left" w:pos="616"/>
        </w:tabs>
        <w:spacing w:line="360" w:lineRule="auto"/>
        <w:ind w:left="616" w:hanging="616"/>
        <w:rPr>
          <w:rFonts w:ascii="宋体" w:hAnsi="宋体" w:eastAsia="宋体" w:cs="Times New Roman"/>
          <w:sz w:val="24"/>
          <w:szCs w:val="20"/>
          <w:lang w:val="zh-CN"/>
        </w:rPr>
      </w:pPr>
      <w:r>
        <w:rPr>
          <w:rFonts w:ascii="Helvetica" w:hAnsi="Helvetica" w:eastAsia="宋体"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38" w:name="_Toc495861526"/>
      <w:bookmarkStart w:id="39" w:name="_Toc494561945"/>
      <w:bookmarkStart w:id="40" w:name="_Toc25307"/>
      <w:r>
        <w:rPr>
          <w:rFonts w:hint="eastAsia" w:cs="Times New Roman" w:asciiTheme="majorEastAsia" w:hAnsiTheme="majorEastAsia"/>
          <w:bCs w:val="0"/>
          <w:lang w:val="zh-CN"/>
        </w:rPr>
        <w:t>采购信息公告</w:t>
      </w:r>
      <w:bookmarkEnd w:id="38"/>
      <w:bookmarkEnd w:id="39"/>
      <w:bookmarkEnd w:id="40"/>
    </w:p>
    <w:p>
      <w:pPr>
        <w:numPr>
          <w:ilvl w:val="0"/>
          <w:numId w:val="6"/>
        </w:numPr>
        <w:spacing w:line="360" w:lineRule="auto"/>
        <w:ind w:left="560" w:hanging="560"/>
        <w:rPr>
          <w:rFonts w:ascii="宋体" w:hAnsi="宋体" w:eastAsia="宋体" w:cs="Helvetica"/>
          <w:b/>
          <w:color w:val="0D0D0D"/>
          <w:kern w:val="0"/>
          <w:sz w:val="24"/>
          <w:szCs w:val="24"/>
          <w:lang w:val="zh-CN"/>
        </w:rPr>
      </w:pPr>
      <w:r>
        <w:rPr>
          <w:rFonts w:hint="eastAsia" w:ascii="宋体" w:hAnsi="宋体" w:eastAsia="宋体" w:cs="Helvetica"/>
          <w:b/>
          <w:color w:val="0D0D0D"/>
          <w:kern w:val="0"/>
          <w:sz w:val="24"/>
          <w:szCs w:val="24"/>
          <w:lang w:val="zh-CN"/>
        </w:rPr>
        <w:t>公告的媒体及规定</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在招标活动中的公告、补充、更正、结果等采购信息均依法在政府采购监管部门指定媒体上（中国湖北政府采购网http://www.ccgp-hubei.gov.cn/）发布。</w:t>
      </w:r>
    </w:p>
    <w:p>
      <w:pPr>
        <w:numPr>
          <w:ilvl w:val="0"/>
          <w:numId w:val="35"/>
        </w:numPr>
        <w:tabs>
          <w:tab w:val="left" w:pos="616"/>
        </w:tabs>
        <w:spacing w:line="360" w:lineRule="auto"/>
        <w:ind w:left="616" w:hanging="616"/>
        <w:rPr>
          <w:rFonts w:cs="Helvetica" w:asciiTheme="minorEastAsia" w:hAnsiTheme="minorEastAsia"/>
          <w:b/>
          <w:kern w:val="0"/>
          <w:sz w:val="24"/>
          <w:szCs w:val="24"/>
          <w:lang w:val="zh-CN"/>
        </w:rPr>
      </w:pPr>
      <w:r>
        <w:rPr>
          <w:rFonts w:hint="eastAsia" w:ascii="宋体" w:hAnsi="宋体" w:eastAsia="宋体" w:cs="Times New Roman"/>
          <w:sz w:val="24"/>
          <w:szCs w:val="20"/>
          <w:lang w:val="zh-CN"/>
        </w:rPr>
        <w:t>采购代理机构</w:t>
      </w:r>
      <w:r>
        <w:rPr>
          <w:rFonts w:hint="eastAsia" w:cs="Helvetica" w:asciiTheme="minorEastAsia" w:hAnsiTheme="minorEastAsia"/>
          <w:kern w:val="0"/>
          <w:sz w:val="24"/>
          <w:szCs w:val="24"/>
          <w:lang w:val="zh-CN"/>
        </w:rPr>
        <w:t>在自</w:t>
      </w:r>
      <w:r>
        <w:rPr>
          <w:rFonts w:cs="Helvetica" w:asciiTheme="minorEastAsia" w:hAnsiTheme="minorEastAsia"/>
          <w:kern w:val="0"/>
          <w:sz w:val="24"/>
          <w:szCs w:val="24"/>
          <w:lang w:val="zh-CN"/>
        </w:rPr>
        <w:t>中标人确定之日起2个工作日内，</w:t>
      </w:r>
      <w:r>
        <w:rPr>
          <w:rFonts w:hint="eastAsia" w:cs="Helvetica" w:asciiTheme="minorEastAsia" w:hAnsiTheme="minorEastAsia"/>
          <w:kern w:val="0"/>
          <w:sz w:val="24"/>
          <w:szCs w:val="24"/>
          <w:lang w:val="zh-CN"/>
        </w:rPr>
        <w:t>在政府采购监管部门指定媒体上</w:t>
      </w:r>
      <w:r>
        <w:rPr>
          <w:rFonts w:cs="Helvetica" w:asciiTheme="minorEastAsia" w:hAnsiTheme="minorEastAsia"/>
          <w:kern w:val="0"/>
          <w:sz w:val="24"/>
          <w:szCs w:val="24"/>
          <w:lang w:val="zh-CN"/>
        </w:rPr>
        <w:t>公告中标结果</w:t>
      </w:r>
      <w:r>
        <w:rPr>
          <w:rFonts w:hint="eastAsia" w:cs="Helvetica" w:asciiTheme="minorEastAsia" w:hAnsiTheme="minorEastAsia"/>
          <w:kern w:val="0"/>
          <w:sz w:val="24"/>
          <w:szCs w:val="24"/>
          <w:lang w:val="zh-CN"/>
        </w:rPr>
        <w:t>，</w:t>
      </w:r>
      <w:r>
        <w:rPr>
          <w:rFonts w:hint="eastAsia" w:cs="Helvetica" w:asciiTheme="minorEastAsia" w:hAnsiTheme="minorEastAsia"/>
          <w:b/>
          <w:kern w:val="0"/>
          <w:sz w:val="24"/>
          <w:szCs w:val="24"/>
          <w:lang w:val="zh-CN"/>
        </w:rPr>
        <w:t>中标公告的公示期为1个工作日。</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hint="eastAsia" w:cs="Helvetica" w:asciiTheme="minorEastAsia" w:hAnsiTheme="minorEastAsia"/>
          <w:kern w:val="0"/>
          <w:sz w:val="24"/>
          <w:szCs w:val="24"/>
          <w:lang w:val="zh-CN"/>
        </w:rPr>
        <w:t>资格审查未通过的投标人可在结果公告质疑有效期内按公告中的联系方式获知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w:t>
      </w:r>
      <w:r>
        <w:rPr>
          <w:rFonts w:hint="eastAsia" w:cs="Helvetica" w:asciiTheme="minorEastAsia" w:hAnsiTheme="minorEastAsia"/>
          <w:kern w:val="0"/>
          <w:sz w:val="24"/>
          <w:szCs w:val="24"/>
          <w:lang w:val="zh-CN"/>
        </w:rPr>
        <w:t>资格审查情况</w:t>
      </w:r>
      <w:r>
        <w:rPr>
          <w:rFonts w:cs="Helvetica" w:asciiTheme="minorEastAsia" w:hAnsiTheme="minorEastAsia"/>
          <w:kern w:val="0"/>
          <w:sz w:val="24"/>
          <w:szCs w:val="24"/>
          <w:lang w:val="zh-CN"/>
        </w:rPr>
        <w:t>。</w:t>
      </w:r>
    </w:p>
    <w:p>
      <w:pPr>
        <w:numPr>
          <w:ilvl w:val="0"/>
          <w:numId w:val="35"/>
        </w:numPr>
        <w:tabs>
          <w:tab w:val="left" w:pos="616"/>
        </w:tabs>
        <w:spacing w:line="360" w:lineRule="auto"/>
        <w:ind w:left="616" w:hanging="616"/>
        <w:rPr>
          <w:rFonts w:cs="Helvetica" w:asciiTheme="minorEastAsia" w:hAnsiTheme="minorEastAsia"/>
          <w:kern w:val="0"/>
          <w:sz w:val="24"/>
          <w:szCs w:val="24"/>
          <w:lang w:val="zh-CN"/>
        </w:rPr>
      </w:pPr>
      <w:r>
        <w:rPr>
          <w:rFonts w:cs="Helvetica" w:asciiTheme="minorEastAsia" w:hAnsiTheme="minorEastAsia"/>
          <w:kern w:val="0"/>
          <w:sz w:val="24"/>
          <w:szCs w:val="24"/>
          <w:lang w:val="zh-CN"/>
        </w:rPr>
        <w:t>采用</w:t>
      </w:r>
      <w:r>
        <w:rPr>
          <w:rFonts w:cs="Helvetica" w:asciiTheme="minorEastAsia" w:hAnsiTheme="minorEastAsia"/>
          <w:color w:val="auto"/>
          <w:kern w:val="0"/>
          <w:sz w:val="24"/>
          <w:szCs w:val="24"/>
          <w:lang w:val="zh-CN"/>
        </w:rPr>
        <w:t>综合评分法</w:t>
      </w:r>
      <w:r>
        <w:rPr>
          <w:rFonts w:cs="Helvetica" w:asciiTheme="minorEastAsia" w:hAnsiTheme="minorEastAsia"/>
          <w:kern w:val="0"/>
          <w:sz w:val="24"/>
          <w:szCs w:val="24"/>
          <w:lang w:val="zh-CN"/>
        </w:rPr>
        <w:t>评审的</w:t>
      </w:r>
      <w:r>
        <w:rPr>
          <w:rFonts w:hint="eastAsia" w:cs="Helvetica" w:asciiTheme="minorEastAsia" w:hAnsiTheme="minorEastAsia"/>
          <w:kern w:val="0"/>
          <w:sz w:val="24"/>
          <w:szCs w:val="24"/>
          <w:lang w:val="zh-CN"/>
        </w:rPr>
        <w:t>项目</w:t>
      </w:r>
      <w:r>
        <w:rPr>
          <w:rFonts w:cs="Helvetica" w:asciiTheme="minorEastAsia" w:hAnsiTheme="minorEastAsia"/>
          <w:kern w:val="0"/>
          <w:sz w:val="24"/>
          <w:szCs w:val="24"/>
          <w:lang w:val="zh-CN"/>
        </w:rPr>
        <w:t>，</w:t>
      </w:r>
      <w:r>
        <w:rPr>
          <w:rFonts w:hint="eastAsia" w:cs="Helvetica" w:asciiTheme="minorEastAsia" w:hAnsiTheme="minorEastAsia"/>
          <w:kern w:val="0"/>
          <w:sz w:val="24"/>
          <w:szCs w:val="24"/>
          <w:lang w:val="zh-CN"/>
        </w:rPr>
        <w:t>未中标人可在结果公告质疑有效期内按公告中的联系方式获知</w:t>
      </w:r>
      <w:r>
        <w:rPr>
          <w:rFonts w:cs="Helvetica" w:asciiTheme="minorEastAsia" w:hAnsiTheme="minorEastAsia"/>
          <w:kern w:val="0"/>
          <w:sz w:val="24"/>
          <w:szCs w:val="24"/>
          <w:lang w:val="zh-CN"/>
        </w:rPr>
        <w:t>本</w:t>
      </w:r>
      <w:r>
        <w:rPr>
          <w:rFonts w:hint="eastAsia" w:cs="Helvetica" w:asciiTheme="minorEastAsia" w:hAnsiTheme="minorEastAsia"/>
          <w:kern w:val="0"/>
          <w:sz w:val="24"/>
          <w:szCs w:val="24"/>
          <w:lang w:val="zh-CN"/>
        </w:rPr>
        <w:t>单位</w:t>
      </w:r>
      <w:r>
        <w:rPr>
          <w:rFonts w:cs="Helvetica" w:asciiTheme="minorEastAsia" w:hAnsiTheme="minorEastAsia"/>
          <w:kern w:val="0"/>
          <w:sz w:val="24"/>
          <w:szCs w:val="24"/>
          <w:lang w:val="zh-CN"/>
        </w:rPr>
        <w:t>的评审得分与排序。</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41" w:name="_Toc12492"/>
      <w:bookmarkStart w:id="42" w:name="_Toc495861527"/>
      <w:bookmarkStart w:id="43" w:name="_Toc494561946"/>
      <w:r>
        <w:rPr>
          <w:rFonts w:hint="eastAsia" w:cs="Times New Roman" w:asciiTheme="majorEastAsia" w:hAnsiTheme="majorEastAsia"/>
          <w:bCs w:val="0"/>
          <w:lang w:val="zh-CN"/>
        </w:rPr>
        <w:t>质疑</w:t>
      </w:r>
      <w:bookmarkEnd w:id="36"/>
      <w:bookmarkEnd w:id="37"/>
      <w:r>
        <w:rPr>
          <w:rFonts w:hint="eastAsia" w:cs="Times New Roman" w:asciiTheme="majorEastAsia" w:hAnsiTheme="majorEastAsia"/>
          <w:bCs w:val="0"/>
          <w:lang w:val="zh-CN"/>
        </w:rPr>
        <w:t>及提交</w:t>
      </w:r>
      <w:bookmarkEnd w:id="41"/>
      <w:bookmarkEnd w:id="42"/>
      <w:bookmarkEnd w:id="43"/>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质疑提交</w:t>
      </w:r>
    </w:p>
    <w:p>
      <w:pPr>
        <w:autoSpaceDE w:val="0"/>
        <w:autoSpaceDN w:val="0"/>
        <w:adjustRightInd w:val="0"/>
        <w:snapToGrid w:val="0"/>
        <w:spacing w:line="300" w:lineRule="auto"/>
        <w:ind w:left="420" w:right="32" w:firstLine="6"/>
        <w:rPr>
          <w:rFonts w:ascii="宋体" w:hAnsi="宋体" w:eastAsia="宋体" w:cs="Times New Roman"/>
          <w:sz w:val="24"/>
          <w:szCs w:val="20"/>
          <w:lang w:val="zh-CN"/>
        </w:rPr>
      </w:pPr>
      <w:r>
        <w:rPr>
          <w:rFonts w:hint="eastAsia" w:ascii="宋体" w:hAnsi="宋体" w:eastAsia="宋体" w:cs="Times New Roman"/>
          <w:sz w:val="24"/>
          <w:szCs w:val="20"/>
          <w:lang w:val="zh-CN"/>
        </w:rPr>
        <w:t>投标人认为招标文件、招标过程和中标结果使自己的权益受到损害的，可以在知道或者应知其权益受到损害之日起7个工作日内，</w:t>
      </w:r>
      <w:r>
        <w:rPr>
          <w:rFonts w:ascii="宋体" w:hAnsi="宋体" w:eastAsia="宋体" w:cs="Times New Roman"/>
          <w:sz w:val="24"/>
          <w:szCs w:val="20"/>
          <w:lang w:val="zh-CN"/>
        </w:rPr>
        <w:t>向</w:t>
      </w:r>
      <w:r>
        <w:rPr>
          <w:rFonts w:hint="eastAsia" w:ascii="宋体" w:hAnsi="宋体" w:eastAsia="宋体" w:cs="Times New Roman"/>
          <w:sz w:val="24"/>
          <w:szCs w:val="20"/>
          <w:lang w:val="zh-CN"/>
        </w:rPr>
        <w:t>采购人（或代理公司）</w:t>
      </w:r>
      <w:r>
        <w:rPr>
          <w:rFonts w:ascii="宋体" w:hAnsi="宋体" w:eastAsia="宋体" w:cs="Times New Roman"/>
          <w:sz w:val="24"/>
          <w:szCs w:val="20"/>
          <w:lang w:val="zh-CN"/>
        </w:rPr>
        <w:t>提出</w:t>
      </w:r>
      <w:r>
        <w:rPr>
          <w:rFonts w:hint="eastAsia" w:ascii="宋体" w:hAnsi="宋体" w:eastAsia="宋体" w:cs="Times New Roman"/>
          <w:sz w:val="24"/>
          <w:szCs w:val="20"/>
          <w:lang w:val="zh-CN"/>
        </w:rPr>
        <w:t>书面</w:t>
      </w:r>
      <w:r>
        <w:rPr>
          <w:rFonts w:ascii="宋体" w:hAnsi="宋体" w:eastAsia="宋体" w:cs="Times New Roman"/>
          <w:sz w:val="24"/>
          <w:szCs w:val="20"/>
          <w:lang w:val="zh-CN"/>
        </w:rPr>
        <w:t>质疑</w:t>
      </w:r>
      <w:r>
        <w:rPr>
          <w:rFonts w:hint="eastAsia" w:ascii="宋体" w:hAnsi="宋体" w:eastAsia="宋体" w:cs="Times New Roman"/>
          <w:sz w:val="24"/>
          <w:szCs w:val="20"/>
          <w:lang w:val="zh-CN"/>
        </w:rPr>
        <w:t>，质疑提出时间以收到之日为准。</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投标人</w:t>
      </w:r>
      <w:r>
        <w:rPr>
          <w:rFonts w:ascii="宋体" w:hAnsi="宋体" w:eastAsia="宋体" w:cs="Times New Roman"/>
          <w:b/>
          <w:sz w:val="24"/>
          <w:szCs w:val="20"/>
          <w:lang w:val="zh-CN"/>
        </w:rPr>
        <w:t>应知其权益受到损害之日是指：</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对可以质疑的</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文件提出质疑的，为收到</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文件之日或者</w:t>
      </w:r>
      <w:r>
        <w:rPr>
          <w:rFonts w:hint="eastAsia" w:ascii="宋体" w:hAnsi="宋体" w:eastAsia="宋体" w:cs="Times New Roman"/>
          <w:sz w:val="24"/>
          <w:szCs w:val="20"/>
          <w:lang w:val="zh-CN"/>
        </w:rPr>
        <w:t>招标</w:t>
      </w:r>
      <w:r>
        <w:rPr>
          <w:rFonts w:ascii="宋体" w:hAnsi="宋体" w:eastAsia="宋体" w:cs="Times New Roman"/>
          <w:sz w:val="24"/>
          <w:szCs w:val="20"/>
          <w:lang w:val="zh-CN"/>
        </w:rPr>
        <w:t>文件公告期限届满之日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w:t>
      </w:r>
      <w:r>
        <w:rPr>
          <w:rFonts w:hint="eastAsia" w:ascii="宋体" w:hAnsi="宋体" w:eastAsia="宋体" w:cs="Times New Roman"/>
          <w:sz w:val="24"/>
          <w:szCs w:val="20"/>
          <w:lang w:val="zh-CN"/>
        </w:rPr>
        <w:t>招标</w:t>
      </w:r>
      <w:r>
        <w:rPr>
          <w:rFonts w:ascii="宋体" w:hAnsi="宋体" w:eastAsia="宋体" w:cs="Times New Roman"/>
          <w:sz w:val="24"/>
          <w:szCs w:val="20"/>
          <w:lang w:val="zh-CN"/>
        </w:rPr>
        <w:t>过程提出质疑的，为各</w:t>
      </w:r>
      <w:r>
        <w:rPr>
          <w:rFonts w:hint="eastAsia" w:ascii="宋体" w:hAnsi="宋体" w:eastAsia="宋体" w:cs="Times New Roman"/>
          <w:sz w:val="24"/>
          <w:szCs w:val="20"/>
          <w:lang w:val="zh-CN"/>
        </w:rPr>
        <w:t>招标</w:t>
      </w:r>
      <w:r>
        <w:rPr>
          <w:rFonts w:ascii="宋体" w:hAnsi="宋体" w:eastAsia="宋体" w:cs="Times New Roman"/>
          <w:sz w:val="24"/>
          <w:szCs w:val="20"/>
          <w:lang w:val="zh-CN"/>
        </w:rPr>
        <w:t>程序环节结束之日</w:t>
      </w:r>
      <w:r>
        <w:rPr>
          <w:rFonts w:hint="eastAsia" w:ascii="宋体" w:hAnsi="宋体" w:eastAsia="宋体" w:cs="Times New Roman"/>
          <w:sz w:val="24"/>
          <w:szCs w:val="20"/>
          <w:lang w:val="zh-CN"/>
        </w:rPr>
        <w:t>；</w:t>
      </w:r>
    </w:p>
    <w:p>
      <w:pPr>
        <w:numPr>
          <w:ilvl w:val="0"/>
          <w:numId w:val="36"/>
        </w:numPr>
        <w:spacing w:line="360" w:lineRule="auto"/>
        <w:ind w:left="616" w:hanging="616"/>
        <w:rPr>
          <w:rFonts w:ascii="宋体" w:hAnsi="宋体" w:eastAsia="宋体" w:cs="Times New Roman"/>
          <w:sz w:val="24"/>
          <w:szCs w:val="20"/>
          <w:lang w:val="zh-CN"/>
        </w:rPr>
      </w:pPr>
      <w:r>
        <w:rPr>
          <w:rFonts w:ascii="宋体" w:hAnsi="宋体" w:eastAsia="宋体" w:cs="Times New Roman"/>
          <w:sz w:val="24"/>
          <w:szCs w:val="20"/>
          <w:lang w:val="zh-CN"/>
        </w:rPr>
        <w:t>对中标结果提出质疑的，为中标公告期限届满之日。</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质疑书应当包括下列主要内容：</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被质疑人的名称、地址、联系人及联系电话等；</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质疑项目名称及编号、质疑事项和明确的请求；</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质疑事项的事实根据、法律依据及其他必要的证明材料；</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提出质疑的日期；</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质疑人的署名及签章（质疑人为自然人的，应当由本人签字；质疑人为法人或者其他组织的，应当由法定代表人或者主要负责人签字盖章并加盖公章）；</w:t>
      </w:r>
    </w:p>
    <w:p>
      <w:pPr>
        <w:numPr>
          <w:ilvl w:val="0"/>
          <w:numId w:val="37"/>
        </w:numPr>
        <w:spacing w:line="360" w:lineRule="auto"/>
        <w:ind w:left="616" w:hanging="616"/>
        <w:rPr>
          <w:rFonts w:ascii="宋体" w:hAnsi="宋体" w:eastAsia="宋体" w:cs="Times New Roman"/>
          <w:sz w:val="24"/>
          <w:szCs w:val="20"/>
          <w:lang w:val="zh-CN"/>
        </w:rPr>
      </w:pPr>
      <w:r>
        <w:rPr>
          <w:rFonts w:hint="eastAsia" w:ascii="宋体" w:hAnsi="宋体" w:eastAsia="宋体" w:cs="Times New Roman"/>
          <w:sz w:val="24"/>
          <w:szCs w:val="20"/>
          <w:lang w:val="zh-CN"/>
        </w:rPr>
        <w:t>法人授权委托书（质疑人或法人委托代理人办理质疑事务的，应当提供授权委托书，授权委托书应当载明委托代理的具体权限和事项）。</w:t>
      </w:r>
    </w:p>
    <w:p>
      <w:pPr>
        <w:numPr>
          <w:ilvl w:val="0"/>
          <w:numId w:val="6"/>
        </w:numPr>
        <w:spacing w:line="360" w:lineRule="auto"/>
        <w:ind w:left="560" w:hanging="560"/>
        <w:rPr>
          <w:rFonts w:ascii="宋体" w:hAnsi="宋体" w:eastAsia="宋体" w:cs="Times New Roman"/>
          <w:b/>
          <w:sz w:val="24"/>
          <w:szCs w:val="20"/>
          <w:lang w:val="zh-CN"/>
        </w:rPr>
      </w:pPr>
      <w:r>
        <w:rPr>
          <w:rFonts w:hint="eastAsia" w:ascii="宋体" w:hAnsi="宋体" w:eastAsia="宋体" w:cs="Times New Roman"/>
          <w:b/>
          <w:sz w:val="24"/>
          <w:szCs w:val="20"/>
          <w:lang w:val="zh-CN"/>
        </w:rPr>
        <w:t>不予受理的情形</w:t>
      </w:r>
    </w:p>
    <w:p>
      <w:pPr>
        <w:spacing w:line="360" w:lineRule="auto"/>
        <w:ind w:firstLine="480" w:firstLineChars="200"/>
        <w:rPr>
          <w:rFonts w:ascii="宋体" w:hAnsi="宋体" w:eastAsia="宋体" w:cs="Times New Roman"/>
          <w:sz w:val="24"/>
          <w:szCs w:val="20"/>
          <w:lang w:val="zh-CN"/>
        </w:rPr>
      </w:pPr>
      <w:r>
        <w:rPr>
          <w:rFonts w:hint="eastAsia" w:ascii="宋体" w:hAnsi="宋体" w:eastAsia="宋体" w:cs="Times New Roman"/>
          <w:sz w:val="24"/>
          <w:szCs w:val="20"/>
          <w:lang w:val="zh-CN"/>
        </w:rPr>
        <w:t>投标人未按本章“质疑及提交”规定的时限、内容及方式进行质疑的，采购人（或代理公司）不予受理。</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44" w:name="_Toc495861528"/>
      <w:bookmarkStart w:id="45" w:name="_Toc16042"/>
      <w:bookmarkStart w:id="46" w:name="_Toc494561947"/>
      <w:r>
        <w:rPr>
          <w:rFonts w:hint="eastAsia" w:cs="Times New Roman" w:asciiTheme="majorEastAsia" w:hAnsiTheme="majorEastAsia"/>
          <w:bCs w:val="0"/>
          <w:lang w:val="zh-CN"/>
        </w:rPr>
        <w:t>相关条文解读</w:t>
      </w:r>
      <w:bookmarkEnd w:id="44"/>
      <w:bookmarkEnd w:id="45"/>
      <w:bookmarkEnd w:id="46"/>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政府采购法第二十二条第一款第五项所称重大违法记录，是指投标人因违法经营受到刑事处罚或者责令停产停业、吊销许可证或者执照、较大数额罚款等行政处罚。</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按照财政部《关于规范政府采购行政处罚有关问题的通知》的规定，</w:t>
      </w:r>
      <w:r>
        <w:rPr>
          <w:rFonts w:ascii="宋体" w:hAnsi="宋体" w:eastAsia="宋体" w:cs="Times New Roman"/>
          <w:sz w:val="24"/>
          <w:szCs w:val="20"/>
          <w:lang w:val="zh-CN"/>
        </w:rPr>
        <w:t>各级人民政府财政部门依法对参加政府采购活动的投标人作出的禁止参加政府采购活动等行政处罚决定在全国范围内生效。</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投标人在参加政府采购活动前3年内因违法经营被禁止在一定期限内参加政府采购活动，期限届满的，可以参加政府采购活动。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根据财政部《政府采购法实施条例》释义中关于投标人资格条件的解释，对于银行、保险、石油石化、电力、电信等有行业特殊情况的，采购人和采购代理机构允许其分支机构参与投标。</w:t>
      </w:r>
    </w:p>
    <w:p>
      <w:pPr>
        <w:pStyle w:val="4"/>
        <w:numPr>
          <w:ilvl w:val="0"/>
          <w:numId w:val="5"/>
        </w:numPr>
        <w:spacing w:before="40" w:after="40" w:line="360" w:lineRule="auto"/>
        <w:ind w:left="658" w:hanging="658"/>
        <w:jc w:val="left"/>
        <w:rPr>
          <w:rFonts w:cs="Times New Roman" w:asciiTheme="majorEastAsia" w:hAnsiTheme="majorEastAsia"/>
          <w:bCs w:val="0"/>
          <w:lang w:val="zh-CN"/>
        </w:rPr>
      </w:pPr>
      <w:bookmarkStart w:id="47" w:name="_Toc8111"/>
      <w:bookmarkStart w:id="48" w:name="_Toc494561948"/>
      <w:bookmarkStart w:id="49" w:name="_Toc495861529"/>
      <w:r>
        <w:rPr>
          <w:rFonts w:hint="eastAsia" w:cs="Times New Roman" w:asciiTheme="majorEastAsia" w:hAnsiTheme="majorEastAsia"/>
          <w:bCs w:val="0"/>
          <w:lang w:val="zh-CN"/>
        </w:rPr>
        <w:t>其他注意事项</w:t>
      </w:r>
      <w:bookmarkEnd w:id="47"/>
      <w:bookmarkEnd w:id="48"/>
      <w:bookmarkEnd w:id="49"/>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单位负责人为同一人或者存在直接控股、管理关系的不同投标人，不得参加同一合同项下的政府采购活动。</w:t>
      </w:r>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除单一来源采购项目外，为采购项目提供整体设计、规范编制或者项目管理、监理、检测等服务的投标人，不得再参加该采购项目的其他采购活动。</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50" w:name="_Toc278891598"/>
      <w:bookmarkStart w:id="51" w:name="_Toc494561949"/>
      <w:bookmarkStart w:id="52" w:name="_Toc18358"/>
      <w:bookmarkStart w:id="53" w:name="_Toc272247701"/>
      <w:bookmarkStart w:id="54" w:name="_Toc495861530"/>
      <w:r>
        <w:rPr>
          <w:rFonts w:hint="eastAsia" w:cs="Times New Roman" w:asciiTheme="majorEastAsia" w:hAnsiTheme="majorEastAsia"/>
          <w:bCs w:val="0"/>
          <w:lang w:val="zh-CN"/>
        </w:rPr>
        <w:t>适用法律</w:t>
      </w:r>
      <w:bookmarkEnd w:id="50"/>
      <w:bookmarkEnd w:id="51"/>
      <w:bookmarkEnd w:id="52"/>
      <w:bookmarkEnd w:id="53"/>
      <w:bookmarkEnd w:id="54"/>
    </w:p>
    <w:p>
      <w:pPr>
        <w:numPr>
          <w:ilvl w:val="0"/>
          <w:numId w:val="6"/>
        </w:numPr>
        <w:spacing w:line="360" w:lineRule="auto"/>
        <w:ind w:left="560" w:hanging="560"/>
        <w:rPr>
          <w:rFonts w:ascii="宋体" w:hAnsi="宋体" w:eastAsia="宋体" w:cs="Times New Roman"/>
          <w:sz w:val="24"/>
          <w:szCs w:val="20"/>
          <w:lang w:val="zh-CN"/>
        </w:rPr>
      </w:pPr>
      <w:r>
        <w:rPr>
          <w:rFonts w:hint="eastAsia" w:ascii="宋体" w:hAnsi="宋体" w:eastAsia="宋体" w:cs="Times New Roman"/>
          <w:sz w:val="24"/>
          <w:szCs w:val="20"/>
          <w:lang w:val="zh-CN"/>
        </w:rPr>
        <w:t>采购人、采购代理机构及投标人的一切招标投标活动均适用《政府采购法》、《政府采购法实施条例》、</w:t>
      </w:r>
      <w:r>
        <w:rPr>
          <w:rFonts w:ascii="宋体" w:hAnsi="宋体" w:eastAsia="宋体" w:cs="Times New Roman"/>
          <w:sz w:val="24"/>
          <w:szCs w:val="20"/>
          <w:lang w:val="zh-CN"/>
        </w:rPr>
        <w:t>《政府采购货物和服务招标投标管理办法》</w:t>
      </w:r>
      <w:r>
        <w:rPr>
          <w:rFonts w:hint="eastAsia" w:ascii="宋体" w:hAnsi="宋体" w:eastAsia="宋体" w:cs="Times New Roman"/>
          <w:sz w:val="24"/>
          <w:szCs w:val="20"/>
          <w:lang w:val="zh-CN"/>
        </w:rPr>
        <w:t>及相关法律法规。</w:t>
      </w:r>
    </w:p>
    <w:p>
      <w:pPr>
        <w:numPr>
          <w:ilvl w:val="0"/>
          <w:numId w:val="6"/>
        </w:numPr>
        <w:spacing w:line="360" w:lineRule="auto"/>
        <w:ind w:left="560" w:hanging="560"/>
        <w:rPr>
          <w:rFonts w:ascii="宋体" w:hAnsi="宋体" w:eastAsia="宋体" w:cs="Times New Roman"/>
          <w:sz w:val="24"/>
          <w:szCs w:val="20"/>
          <w:lang w:val="zh-CN"/>
        </w:rPr>
      </w:pPr>
      <w:r>
        <w:rPr>
          <w:rFonts w:ascii="Helvetica" w:hAnsi="Helvetica" w:eastAsia="宋体" w:cs="Helvetica"/>
          <w:kern w:val="0"/>
          <w:sz w:val="24"/>
          <w:szCs w:val="24"/>
          <w:lang w:val="zh-CN"/>
        </w:rPr>
        <w:t>政府采购合同的履行、违约责任和解决争议的方法等适用《合同法》。</w:t>
      </w:r>
    </w:p>
    <w:p>
      <w:pPr>
        <w:pStyle w:val="4"/>
        <w:numPr>
          <w:ilvl w:val="0"/>
          <w:numId w:val="5"/>
        </w:numPr>
        <w:spacing w:before="40" w:after="40" w:line="360" w:lineRule="auto"/>
        <w:ind w:left="966" w:hanging="966"/>
        <w:jc w:val="left"/>
        <w:rPr>
          <w:rFonts w:cs="Times New Roman" w:asciiTheme="majorEastAsia" w:hAnsiTheme="majorEastAsia"/>
          <w:bCs w:val="0"/>
          <w:lang w:val="zh-CN"/>
        </w:rPr>
      </w:pPr>
      <w:bookmarkStart w:id="55" w:name="_Toc278891599"/>
      <w:bookmarkStart w:id="56" w:name="_Toc272247702"/>
      <w:bookmarkStart w:id="57" w:name="_Toc28045"/>
      <w:bookmarkStart w:id="58" w:name="_Toc495861531"/>
      <w:bookmarkStart w:id="59" w:name="_Toc494561950"/>
      <w:r>
        <w:rPr>
          <w:rFonts w:hint="eastAsia" w:cs="Times New Roman" w:asciiTheme="majorEastAsia" w:hAnsiTheme="majorEastAsia"/>
          <w:bCs w:val="0"/>
          <w:lang w:val="zh-CN"/>
        </w:rPr>
        <w:t>招标文件的解释权</w:t>
      </w:r>
      <w:bookmarkEnd w:id="55"/>
      <w:bookmarkEnd w:id="56"/>
      <w:bookmarkEnd w:id="57"/>
      <w:bookmarkEnd w:id="58"/>
      <w:bookmarkEnd w:id="59"/>
    </w:p>
    <w:p>
      <w:pPr>
        <w:numPr>
          <w:ilvl w:val="0"/>
          <w:numId w:val="6"/>
        </w:numPr>
        <w:spacing w:line="360" w:lineRule="auto"/>
        <w:ind w:left="560" w:hanging="560"/>
      </w:pPr>
      <w:r>
        <w:rPr>
          <w:rFonts w:hint="eastAsia" w:ascii="宋体" w:hAnsi="宋体" w:eastAsia="宋体" w:cs="Times New Roman"/>
          <w:sz w:val="24"/>
          <w:szCs w:val="20"/>
          <w:lang w:val="zh-CN"/>
        </w:rPr>
        <w:t>招标文件的最终解释权为采购人、采购代理机构所有。</w:t>
      </w:r>
      <w:r>
        <w:br w:type="page"/>
      </w:r>
    </w:p>
    <w:p>
      <w:pPr>
        <w:pStyle w:val="3"/>
        <w:numPr>
          <w:ilvl w:val="0"/>
          <w:numId w:val="1"/>
        </w:numPr>
        <w:jc w:val="center"/>
        <w:rPr>
          <w:rFonts w:ascii="黑体" w:hAnsi="黑体" w:eastAsia="黑体"/>
        </w:rPr>
      </w:pPr>
      <w:bookmarkStart w:id="60" w:name="_Toc497904247"/>
      <w:bookmarkEnd w:id="60"/>
      <w:bookmarkStart w:id="61" w:name="_Toc1800"/>
      <w:bookmarkStart w:id="62" w:name="_Toc14476"/>
      <w:bookmarkStart w:id="63" w:name="_Toc25774"/>
      <w:bookmarkStart w:id="64" w:name="_Toc495861532"/>
      <w:r>
        <w:rPr>
          <w:rFonts w:hint="eastAsia" w:ascii="黑体" w:hAnsi="黑体" w:eastAsia="黑体"/>
        </w:rPr>
        <w:t>项目技术、服务及商务要求</w:t>
      </w:r>
      <w:bookmarkEnd w:id="61"/>
      <w:bookmarkEnd w:id="62"/>
      <w:bookmarkEnd w:id="63"/>
      <w:bookmarkEnd w:id="64"/>
    </w:p>
    <w:p>
      <w:pPr>
        <w:spacing w:line="460" w:lineRule="exact"/>
        <w:jc w:val="center"/>
        <w:rPr>
          <w:rFonts w:hint="eastAsia" w:ascii="宋体" w:hAnsi="宋体"/>
          <w:b/>
          <w:bCs/>
          <w:sz w:val="28"/>
          <w:szCs w:val="28"/>
        </w:rPr>
      </w:pPr>
      <w:r>
        <w:rPr>
          <w:rFonts w:hint="eastAsia"/>
          <w:b/>
          <w:bCs/>
          <w:color w:val="000000"/>
          <w:sz w:val="28"/>
          <w:szCs w:val="28"/>
          <w:lang w:eastAsia="zh-CN"/>
        </w:rPr>
        <w:t>灭螺药品</w:t>
      </w:r>
      <w:r>
        <w:rPr>
          <w:rFonts w:hint="eastAsia" w:ascii="宋体" w:hAnsi="宋体"/>
          <w:b/>
          <w:bCs/>
          <w:sz w:val="28"/>
          <w:szCs w:val="28"/>
          <w:lang w:eastAsia="zh-CN"/>
        </w:rPr>
        <w:t>需求</w:t>
      </w:r>
      <w:r>
        <w:rPr>
          <w:rFonts w:hint="eastAsia" w:ascii="宋体" w:hAnsi="宋体"/>
          <w:b/>
          <w:bCs/>
          <w:sz w:val="28"/>
          <w:szCs w:val="28"/>
        </w:rPr>
        <w:t>及</w:t>
      </w:r>
      <w:r>
        <w:rPr>
          <w:rFonts w:hint="eastAsia" w:ascii="宋体" w:hAnsi="宋体"/>
          <w:b/>
          <w:bCs/>
          <w:sz w:val="28"/>
          <w:szCs w:val="28"/>
          <w:lang w:eastAsia="zh-CN"/>
        </w:rPr>
        <w:t>技术参数</w:t>
      </w:r>
      <w:r>
        <w:rPr>
          <w:rFonts w:hint="eastAsia"/>
          <w:b/>
          <w:bCs/>
          <w:color w:val="000000"/>
          <w:sz w:val="28"/>
          <w:szCs w:val="28"/>
          <w:lang w:eastAsia="zh-CN"/>
        </w:rPr>
        <w:t>要求</w:t>
      </w:r>
    </w:p>
    <w:p>
      <w:pPr>
        <w:numPr>
          <w:ilvl w:val="0"/>
          <w:numId w:val="0"/>
        </w:numPr>
        <w:tabs>
          <w:tab w:val="left" w:pos="993"/>
        </w:tabs>
        <w:spacing w:line="500" w:lineRule="exact"/>
        <w:textAlignment w:val="baseline"/>
        <w:rPr>
          <w:rFonts w:ascii="宋体" w:hAnsi="宋体"/>
          <w:b/>
          <w:bCs/>
          <w:szCs w:val="21"/>
        </w:rPr>
      </w:pPr>
      <w:r>
        <w:rPr>
          <w:rFonts w:hint="eastAsia" w:ascii="宋体" w:hAnsi="宋体"/>
          <w:b/>
          <w:bCs/>
          <w:sz w:val="28"/>
          <w:szCs w:val="28"/>
          <w:lang w:eastAsia="zh-CN"/>
        </w:rPr>
        <w:t>一、</w:t>
      </w:r>
      <w:r>
        <w:rPr>
          <w:rFonts w:hint="eastAsia" w:ascii="宋体" w:hAnsi="宋体"/>
          <w:b/>
          <w:bCs/>
          <w:sz w:val="28"/>
          <w:szCs w:val="28"/>
        </w:rPr>
        <w:t>货物需求名称及数量：</w:t>
      </w:r>
    </w:p>
    <w:tbl>
      <w:tblPr>
        <w:tblStyle w:val="23"/>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4093"/>
        <w:gridCol w:w="1098"/>
        <w:gridCol w:w="805"/>
        <w:gridCol w:w="805"/>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标包号</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货物名称</w:t>
            </w:r>
          </w:p>
        </w:tc>
        <w:tc>
          <w:tcPr>
            <w:tcW w:w="1098"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规格</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单位</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数量</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合价</w:t>
            </w:r>
            <w:r>
              <w:rPr>
                <w:rFonts w:hint="eastAsia" w:ascii="宋体" w:hAnsi="宋体" w:eastAsia="宋体" w:cs="宋体"/>
                <w:szCs w:val="24"/>
                <w:shd w:val="clear" w:color="auto" w:fill="FFFFFF"/>
                <w:vertAlign w:val="baseli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第</w:t>
            </w:r>
            <w:r>
              <w:rPr>
                <w:rFonts w:hint="eastAsia" w:ascii="宋体" w:hAnsi="宋体" w:eastAsia="宋体" w:cs="宋体"/>
                <w:szCs w:val="24"/>
                <w:shd w:val="clear" w:color="auto" w:fill="FFFFFF"/>
                <w:vertAlign w:val="baseline"/>
                <w:lang w:val="en-US" w:eastAsia="zh-CN"/>
              </w:rPr>
              <w:t>1包</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rPr>
              <w:t>50%杀螺胺乙醇胺盐可湿性粉剂</w:t>
            </w:r>
          </w:p>
        </w:tc>
        <w:tc>
          <w:tcPr>
            <w:tcW w:w="1098" w:type="dxa"/>
            <w:vAlign w:val="center"/>
          </w:tcPr>
          <w:p>
            <w:pPr>
              <w:spacing w:line="500" w:lineRule="exact"/>
              <w:jc w:val="center"/>
              <w:rPr>
                <w:rFonts w:hint="eastAsia" w:ascii="宋体" w:hAnsi="宋体" w:eastAsia="宋体" w:cs="宋体"/>
                <w:szCs w:val="24"/>
                <w:shd w:val="clear" w:color="auto" w:fill="FFFFFF"/>
                <w:vertAlign w:val="baseline"/>
                <w:lang w:eastAsia="zh-CN"/>
              </w:rPr>
            </w:pPr>
            <w:r>
              <w:rPr>
                <w:rFonts w:hint="eastAsia" w:ascii="宋体" w:hAnsi="宋体"/>
                <w:b w:val="0"/>
                <w:bCs/>
                <w:szCs w:val="21"/>
              </w:rPr>
              <w:t>10kg/袋</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lang w:eastAsia="zh-CN"/>
              </w:rPr>
              <w:t>吨</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lang w:val="en-US" w:eastAsia="zh-CN"/>
              </w:rPr>
              <w:t>10</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第</w:t>
            </w:r>
            <w:r>
              <w:rPr>
                <w:rFonts w:hint="eastAsia" w:ascii="宋体" w:hAnsi="宋体" w:eastAsia="宋体" w:cs="宋体"/>
                <w:szCs w:val="24"/>
                <w:shd w:val="clear" w:color="auto" w:fill="FFFFFF"/>
                <w:vertAlign w:val="baseline"/>
                <w:lang w:val="en-US" w:eastAsia="zh-CN"/>
              </w:rPr>
              <w:t>2包</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rPr>
              <w:t>26%四聚·杀螺胺乙醇胺盐悬浮剂</w:t>
            </w:r>
          </w:p>
        </w:tc>
        <w:tc>
          <w:tcPr>
            <w:tcW w:w="1098" w:type="dxa"/>
            <w:vAlign w:val="center"/>
          </w:tcPr>
          <w:p>
            <w:pPr>
              <w:spacing w:line="500" w:lineRule="exact"/>
              <w:jc w:val="center"/>
              <w:rPr>
                <w:rFonts w:hint="eastAsia" w:ascii="宋体" w:hAnsi="宋体" w:eastAsia="宋体" w:cs="宋体"/>
                <w:szCs w:val="24"/>
                <w:shd w:val="clear" w:color="auto" w:fill="FFFFFF"/>
                <w:vertAlign w:val="baseline"/>
                <w:lang w:eastAsia="zh-CN"/>
              </w:rPr>
            </w:pPr>
            <w:r>
              <w:rPr>
                <w:rFonts w:hint="eastAsia" w:ascii="宋体" w:hAnsi="宋体"/>
                <w:b w:val="0"/>
                <w:bCs/>
                <w:szCs w:val="21"/>
              </w:rPr>
              <w:t>10kg/桶</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szCs w:val="21"/>
                <w:lang w:eastAsia="zh-CN"/>
              </w:rPr>
              <w:t>吨</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szCs w:val="21"/>
                <w:lang w:val="en-US" w:eastAsia="zh-CN"/>
              </w:rPr>
              <w:t>10</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111"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3包</w:t>
            </w:r>
          </w:p>
        </w:tc>
        <w:tc>
          <w:tcPr>
            <w:tcW w:w="4093"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szCs w:val="21"/>
              </w:rPr>
            </w:pPr>
            <w:r>
              <w:rPr>
                <w:rFonts w:hint="eastAsia" w:ascii="宋体" w:hAnsi="宋体"/>
                <w:szCs w:val="21"/>
              </w:rPr>
              <w:t>吡喹酮</w:t>
            </w:r>
          </w:p>
        </w:tc>
        <w:tc>
          <w:tcPr>
            <w:tcW w:w="1098"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szCs w:val="21"/>
              </w:rPr>
            </w:pPr>
            <w:r>
              <w:rPr>
                <w:rFonts w:hint="eastAsia" w:ascii="宋体" w:hAnsi="宋体" w:eastAsiaTheme="minorEastAsia" w:cstheme="minorBidi"/>
                <w:b w:val="0"/>
                <w:bCs/>
                <w:kern w:val="2"/>
                <w:sz w:val="21"/>
                <w:szCs w:val="21"/>
                <w:lang w:val="en-US" w:eastAsia="zh-CN" w:bidi="ar-SA"/>
              </w:rPr>
              <w:t>0.2g/片</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szCs w:val="21"/>
                <w:lang w:eastAsia="zh-CN"/>
              </w:rPr>
            </w:pPr>
            <w:r>
              <w:rPr>
                <w:rFonts w:hint="eastAsia" w:ascii="宋体" w:hAnsi="宋体"/>
                <w:szCs w:val="21"/>
                <w:lang w:eastAsia="zh-CN"/>
              </w:rPr>
              <w:t>万片</w:t>
            </w: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szCs w:val="21"/>
                <w:lang w:val="en-US" w:eastAsia="zh-CN"/>
              </w:rPr>
            </w:pPr>
            <w:r>
              <w:rPr>
                <w:rFonts w:hint="eastAsia" w:ascii="宋体" w:hAnsi="宋体"/>
                <w:szCs w:val="21"/>
                <w:lang w:val="en-US" w:eastAsia="zh-CN"/>
              </w:rPr>
              <w:t>20</w:t>
            </w: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szCs w:val="21"/>
                <w:lang w:val="en-US" w:eastAsia="zh-CN"/>
              </w:rPr>
            </w:pPr>
            <w:r>
              <w:rPr>
                <w:rFonts w:hint="eastAsia" w:ascii="宋体" w:hAnsi="宋体"/>
                <w:szCs w:val="21"/>
                <w:lang w:val="en-US" w:eastAsia="zh-CN"/>
              </w:rPr>
              <w:t>101.72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204" w:type="dxa"/>
            <w:gridSpan w:val="2"/>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r>
              <w:rPr>
                <w:rFonts w:hint="eastAsia" w:ascii="宋体" w:hAnsi="宋体" w:eastAsia="宋体" w:cs="宋体"/>
                <w:szCs w:val="24"/>
                <w:shd w:val="clear" w:color="auto" w:fill="FFFFFF"/>
                <w:vertAlign w:val="baseline"/>
                <w:lang w:eastAsia="zh-CN"/>
              </w:rPr>
              <w:t>合计</w:t>
            </w:r>
          </w:p>
        </w:tc>
        <w:tc>
          <w:tcPr>
            <w:tcW w:w="1098"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p>
        </w:tc>
        <w:tc>
          <w:tcPr>
            <w:tcW w:w="805"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eastAsia" w:ascii="宋体" w:hAnsi="宋体" w:eastAsia="宋体" w:cs="宋体"/>
                <w:szCs w:val="24"/>
                <w:shd w:val="clear" w:color="auto" w:fill="FFFFFF"/>
                <w:vertAlign w:val="baseline"/>
                <w:lang w:eastAsia="zh-CN"/>
              </w:rPr>
            </w:pPr>
          </w:p>
        </w:tc>
        <w:tc>
          <w:tcPr>
            <w:tcW w:w="1606" w:type="dxa"/>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center"/>
              <w:textAlignment w:val="auto"/>
              <w:rPr>
                <w:rFonts w:hint="default"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val="en-US" w:eastAsia="zh-CN"/>
              </w:rPr>
              <w:t>181.72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18" w:type="dxa"/>
            <w:gridSpan w:val="6"/>
            <w:vAlign w:val="center"/>
          </w:tcPr>
          <w:p>
            <w:pPr>
              <w:pStyle w:val="20"/>
              <w:keepNext w:val="0"/>
              <w:keepLines w:val="0"/>
              <w:pageBreakBefore w:val="0"/>
              <w:widowControl/>
              <w:kinsoku/>
              <w:wordWrap/>
              <w:overflowPunct/>
              <w:topLinePunct w:val="0"/>
              <w:autoSpaceDE/>
              <w:autoSpaceDN/>
              <w:bidi w:val="0"/>
              <w:adjustRightInd/>
              <w:snapToGrid/>
              <w:spacing w:beforeAutospacing="0" w:afterAutospacing="0" w:line="440" w:lineRule="atLeast"/>
              <w:ind w:right="0" w:rightChars="0"/>
              <w:jc w:val="left"/>
              <w:textAlignment w:val="auto"/>
              <w:rPr>
                <w:rFonts w:hint="eastAsia" w:ascii="宋体" w:hAnsi="宋体" w:eastAsia="宋体" w:cs="宋体"/>
                <w:szCs w:val="24"/>
                <w:shd w:val="clear" w:color="auto" w:fill="FFFFFF"/>
                <w:vertAlign w:val="baseline"/>
                <w:lang w:val="en-US" w:eastAsia="zh-CN"/>
              </w:rPr>
            </w:pPr>
            <w:r>
              <w:rPr>
                <w:rFonts w:hint="eastAsia" w:ascii="宋体" w:hAnsi="宋体" w:eastAsia="宋体" w:cs="宋体"/>
                <w:szCs w:val="24"/>
                <w:shd w:val="clear" w:color="auto" w:fill="FFFFFF"/>
                <w:vertAlign w:val="baseline"/>
                <w:lang w:eastAsia="zh-CN"/>
              </w:rPr>
              <w:t>注：第 1 包和第 2 包规格为参考指标，按 t 结算，可根据各供应商实际情况调整。</w:t>
            </w:r>
          </w:p>
        </w:tc>
      </w:tr>
    </w:tbl>
    <w:p>
      <w:pPr>
        <w:keepNext w:val="0"/>
        <w:keepLines w:val="0"/>
        <w:pageBreakBefore w:val="0"/>
        <w:widowControl w:val="0"/>
        <w:kinsoku/>
        <w:wordWrap/>
        <w:overflowPunct/>
        <w:topLinePunct w:val="0"/>
        <w:autoSpaceDE/>
        <w:autoSpaceDN/>
        <w:bidi w:val="0"/>
        <w:adjustRightInd/>
        <w:snapToGrid/>
        <w:spacing w:before="157" w:beforeLines="50" w:line="390" w:lineRule="exact"/>
        <w:jc w:val="both"/>
        <w:textAlignment w:val="auto"/>
        <w:rPr>
          <w:rFonts w:hint="eastAsia" w:eastAsiaTheme="minorEastAsia"/>
          <w:sz w:val="24"/>
          <w:szCs w:val="24"/>
          <w:lang w:eastAsia="zh-CN"/>
        </w:rPr>
      </w:pPr>
      <w:r>
        <w:rPr>
          <w:rFonts w:hint="eastAsia" w:ascii="宋体" w:hAnsi="宋体"/>
          <w:b/>
          <w:bCs w:val="0"/>
          <w:sz w:val="24"/>
          <w:szCs w:val="24"/>
        </w:rPr>
        <w:t>（</w:t>
      </w:r>
      <w:r>
        <w:rPr>
          <w:rFonts w:hint="eastAsia" w:ascii="宋体" w:hAnsi="宋体"/>
          <w:b/>
          <w:bCs w:val="0"/>
          <w:sz w:val="24"/>
          <w:szCs w:val="24"/>
          <w:lang w:eastAsia="zh-CN"/>
        </w:rPr>
        <w:t>第</w:t>
      </w:r>
      <w:r>
        <w:rPr>
          <w:rFonts w:hint="eastAsia" w:ascii="宋体" w:hAnsi="宋体"/>
          <w:b/>
          <w:bCs w:val="0"/>
          <w:sz w:val="24"/>
          <w:szCs w:val="24"/>
          <w:lang w:val="en-US" w:eastAsia="zh-CN"/>
        </w:rPr>
        <w:t>1包</w:t>
      </w:r>
      <w:r>
        <w:rPr>
          <w:rFonts w:hint="eastAsia" w:ascii="宋体" w:hAnsi="宋体"/>
          <w:b/>
          <w:bCs w:val="0"/>
          <w:sz w:val="24"/>
          <w:szCs w:val="24"/>
        </w:rPr>
        <w:t>）50%杀螺胺乙醇胺盐可湿性粉剂</w:t>
      </w:r>
      <w:r>
        <w:rPr>
          <w:rFonts w:hint="eastAsia"/>
          <w:b/>
          <w:bCs/>
          <w:color w:val="000000"/>
          <w:sz w:val="24"/>
          <w:szCs w:val="24"/>
        </w:rPr>
        <w:t>技术参数</w:t>
      </w:r>
      <w:r>
        <w:rPr>
          <w:rFonts w:hint="eastAsia"/>
          <w:b/>
          <w:bCs/>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90" w:lineRule="exact"/>
        <w:ind w:left="0" w:leftChars="0" w:firstLine="1200" w:firstLineChars="500"/>
        <w:jc w:val="both"/>
        <w:textAlignment w:val="auto"/>
        <w:rPr>
          <w:rFonts w:hint="eastAsia" w:ascii="宋体" w:hAnsi="宋体"/>
          <w:b w:val="0"/>
          <w:bCs/>
          <w:sz w:val="24"/>
          <w:szCs w:val="24"/>
        </w:rPr>
      </w:pPr>
      <w:r>
        <w:rPr>
          <w:rFonts w:hint="eastAsia" w:ascii="宋体" w:hAnsi="宋体"/>
          <w:b w:val="0"/>
          <w:bCs/>
          <w:sz w:val="24"/>
          <w:szCs w:val="24"/>
        </w:rPr>
        <w:t>杀螺胺乙醇胺盐含量（%）：50.0±2.5</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悬浮率≥85%</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水分≤2%</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PH值7.0-10.0</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湿润时间≤90s</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湿筛试验（通过44UM试验筛）≥98%</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热贮稳定性：合格</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包装规格：10kg/袋</w:t>
      </w:r>
    </w:p>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宋体" w:hAnsi="宋体" w:eastAsiaTheme="minorEastAsia"/>
          <w:b/>
          <w:bCs w:val="0"/>
          <w:sz w:val="24"/>
          <w:szCs w:val="24"/>
          <w:lang w:eastAsia="zh-CN"/>
        </w:rPr>
      </w:pPr>
      <w:r>
        <w:rPr>
          <w:rFonts w:hint="eastAsia" w:ascii="宋体" w:hAnsi="宋体"/>
          <w:b/>
          <w:bCs w:val="0"/>
          <w:sz w:val="24"/>
          <w:szCs w:val="24"/>
        </w:rPr>
        <w:t>（</w:t>
      </w:r>
      <w:r>
        <w:rPr>
          <w:rFonts w:hint="eastAsia" w:ascii="宋体" w:hAnsi="宋体"/>
          <w:b/>
          <w:bCs w:val="0"/>
          <w:sz w:val="24"/>
          <w:szCs w:val="24"/>
          <w:lang w:eastAsia="zh-CN"/>
        </w:rPr>
        <w:t>第</w:t>
      </w:r>
      <w:r>
        <w:rPr>
          <w:rFonts w:hint="eastAsia" w:ascii="宋体" w:hAnsi="宋体"/>
          <w:b/>
          <w:bCs w:val="0"/>
          <w:sz w:val="24"/>
          <w:szCs w:val="24"/>
          <w:lang w:val="en-US" w:eastAsia="zh-CN"/>
        </w:rPr>
        <w:t>2包</w:t>
      </w:r>
      <w:r>
        <w:rPr>
          <w:rFonts w:hint="eastAsia" w:ascii="宋体" w:hAnsi="宋体"/>
          <w:b/>
          <w:bCs w:val="0"/>
          <w:sz w:val="24"/>
          <w:szCs w:val="24"/>
        </w:rPr>
        <w:t>）26%四聚·杀螺胺乙醇胺盐悬浮剂</w:t>
      </w:r>
      <w:r>
        <w:rPr>
          <w:rFonts w:hint="eastAsia" w:ascii="宋体" w:hAnsi="宋体"/>
          <w:b/>
          <w:bCs w:val="0"/>
          <w:sz w:val="24"/>
          <w:szCs w:val="24"/>
          <w:lang w:eastAsia="zh-CN"/>
        </w:rPr>
        <w:t>技术参数：</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杀螺胺乙醇胺盐含量25.0±1.5%</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四聚乙醛含量1.0±0.15%</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杀螺胺乙醇胺盐悬浮率≥90%</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四聚乙醛悬浮率≥90%</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pH值：7.0-10.0</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倾倒后残余物≤5.0%</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洗涤后残余物≤0.5%</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细度(75μm)：≥98%</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持久起泡量（1min后）≤25 mL</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低温稳定性：合格</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热贮稳定性：合格</w:t>
      </w:r>
    </w:p>
    <w:p>
      <w:pPr>
        <w:keepNext w:val="0"/>
        <w:keepLines w:val="0"/>
        <w:pageBreakBefore w:val="0"/>
        <w:widowControl w:val="0"/>
        <w:kinsoku/>
        <w:wordWrap/>
        <w:overflowPunct/>
        <w:topLinePunct w:val="0"/>
        <w:autoSpaceDE/>
        <w:autoSpaceDN/>
        <w:bidi w:val="0"/>
        <w:adjustRightInd/>
        <w:snapToGrid/>
        <w:spacing w:line="390" w:lineRule="exact"/>
        <w:ind w:firstLine="1200" w:firstLineChars="500"/>
        <w:jc w:val="left"/>
        <w:textAlignment w:val="auto"/>
        <w:rPr>
          <w:rFonts w:hint="eastAsia" w:ascii="宋体" w:hAnsi="宋体"/>
          <w:b w:val="0"/>
          <w:bCs/>
          <w:sz w:val="24"/>
          <w:szCs w:val="24"/>
        </w:rPr>
      </w:pPr>
      <w:r>
        <w:rPr>
          <w:rFonts w:hint="eastAsia" w:ascii="宋体" w:hAnsi="宋体"/>
          <w:b w:val="0"/>
          <w:bCs/>
          <w:sz w:val="24"/>
          <w:szCs w:val="24"/>
        </w:rPr>
        <w:t>包装规格：10kg/桶</w:t>
      </w:r>
    </w:p>
    <w:p>
      <w:pPr>
        <w:keepNext w:val="0"/>
        <w:keepLines w:val="0"/>
        <w:pageBreakBefore w:val="0"/>
        <w:widowControl w:val="0"/>
        <w:kinsoku/>
        <w:wordWrap/>
        <w:overflowPunct/>
        <w:topLinePunct w:val="0"/>
        <w:autoSpaceDE/>
        <w:autoSpaceDN/>
        <w:bidi w:val="0"/>
        <w:adjustRightInd/>
        <w:snapToGrid/>
        <w:spacing w:line="390" w:lineRule="exact"/>
        <w:jc w:val="both"/>
        <w:textAlignment w:val="auto"/>
        <w:rPr>
          <w:rFonts w:hint="eastAsia" w:ascii="宋体" w:hAnsi="宋体" w:eastAsiaTheme="minorEastAsia"/>
          <w:b/>
          <w:bCs w:val="0"/>
          <w:sz w:val="24"/>
          <w:szCs w:val="24"/>
          <w:lang w:eastAsia="zh-CN"/>
        </w:rPr>
      </w:pPr>
      <w:r>
        <w:rPr>
          <w:rFonts w:hint="eastAsia" w:ascii="宋体" w:hAnsi="宋体"/>
          <w:b/>
          <w:bCs w:val="0"/>
          <w:sz w:val="24"/>
          <w:szCs w:val="24"/>
        </w:rPr>
        <w:t>（</w:t>
      </w:r>
      <w:r>
        <w:rPr>
          <w:rFonts w:hint="eastAsia" w:ascii="宋体" w:hAnsi="宋体"/>
          <w:b/>
          <w:bCs w:val="0"/>
          <w:sz w:val="24"/>
          <w:szCs w:val="24"/>
          <w:lang w:eastAsia="zh-CN"/>
        </w:rPr>
        <w:t>第</w:t>
      </w:r>
      <w:r>
        <w:rPr>
          <w:rFonts w:hint="eastAsia" w:ascii="宋体" w:hAnsi="宋体"/>
          <w:b/>
          <w:bCs w:val="0"/>
          <w:sz w:val="24"/>
          <w:szCs w:val="24"/>
          <w:lang w:val="en-US" w:eastAsia="zh-CN"/>
        </w:rPr>
        <w:t>3包</w:t>
      </w:r>
      <w:r>
        <w:rPr>
          <w:rFonts w:hint="eastAsia" w:ascii="宋体" w:hAnsi="宋体"/>
          <w:b/>
          <w:bCs w:val="0"/>
          <w:sz w:val="24"/>
          <w:szCs w:val="24"/>
        </w:rPr>
        <w:t>）</w:t>
      </w:r>
      <w:r>
        <w:rPr>
          <w:rFonts w:hint="eastAsia" w:ascii="宋体" w:hAnsi="宋体"/>
          <w:b/>
          <w:bCs w:val="0"/>
          <w:sz w:val="24"/>
          <w:szCs w:val="24"/>
          <w:lang w:eastAsia="zh-CN"/>
        </w:rPr>
        <w:t>吡喹酮技术参数：</w:t>
      </w:r>
    </w:p>
    <w:p>
      <w:pPr>
        <w:numPr>
          <w:ilvl w:val="0"/>
          <w:numId w:val="0"/>
        </w:numPr>
        <w:spacing w:line="360" w:lineRule="auto"/>
        <w:ind w:left="945" w:leftChars="150" w:hanging="630" w:hangingChars="300"/>
        <w:rPr>
          <w:rFonts w:hint="eastAsia" w:ascii="Times New Roman" w:hAnsi="Times New Roman" w:cs="Times New Roman"/>
          <w:sz w:val="24"/>
          <w:szCs w:val="24"/>
        </w:rPr>
      </w:pPr>
      <w:r>
        <w:rPr>
          <w:rFonts w:hint="eastAsia"/>
          <w:lang w:val="en-US" w:eastAsia="zh-CN"/>
        </w:rPr>
        <w:t xml:space="preserve"> </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rPr>
        <w:t>投标产品应符合中国药典标准，投标产品含吡喹酮（C13H24N2O2）应为标示量的：93.0％～107.0％；</w:t>
      </w:r>
    </w:p>
    <w:p>
      <w:pPr>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2</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性状：投标产品为白色片；</w:t>
      </w:r>
    </w:p>
    <w:p>
      <w:pPr>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3</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鉴别：取投标产品的细粉适量（约相当于吡喹酮10mg），加乙醇20ml，振摇使吡喹酮融解、滤过，取续滤液，用分光光度法测定，在264nm与272nm的波长处有最大吸收；</w:t>
      </w:r>
    </w:p>
    <w:p>
      <w:pPr>
        <w:numPr>
          <w:ilvl w:val="0"/>
          <w:numId w:val="0"/>
        </w:numPr>
        <w:spacing w:line="360" w:lineRule="auto"/>
        <w:ind w:left="-73" w:leftChars="-35" w:firstLine="480" w:firstLineChars="200"/>
        <w:rPr>
          <w:rFonts w:hint="eastAsia" w:ascii="Times New Roman" w:hAnsi="Times New Roman" w:cs="Times New Roman"/>
          <w:sz w:val="24"/>
          <w:szCs w:val="24"/>
        </w:rPr>
      </w:pPr>
      <w:r>
        <w:rPr>
          <w:rFonts w:hint="eastAsia" w:ascii="Times New Roman" w:hAnsi="Times New Roman" w:cs="Times New Roman"/>
          <w:sz w:val="24"/>
          <w:szCs w:val="24"/>
          <w:lang w:val="en-US" w:eastAsia="zh-CN"/>
        </w:rPr>
        <w:t>4</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检查：取投标产品按溶出度测定法，以每1ml中含十二烷基硫酸钠2mg的盐酸溶液（9～1000）900ml为溶剂，转速为每分钟50转，经60分钟时，取溶液10ml滤过，取续滤液，照分光光度法，在263nm波长处测定吸收度，另取吡喹酮对照品适量，精密称定，用上述溶剂定量稀释制成每1ml含0.2mg的溶液，同法测定吸收度，计算出每片的溶出量，限度为标准量的75％应符合规定；</w:t>
      </w:r>
    </w:p>
    <w:p>
      <w:pPr>
        <w:numPr>
          <w:ilvl w:val="0"/>
          <w:numId w:val="0"/>
        </w:numPr>
        <w:spacing w:line="360" w:lineRule="auto"/>
        <w:ind w:left="-73" w:leftChars="-35" w:firstLine="480" w:firstLineChars="200"/>
        <w:rPr>
          <w:rFonts w:hint="eastAsia" w:ascii="Times New Roman" w:hAnsi="Times New Roman" w:cs="Times New Roman"/>
          <w:sz w:val="24"/>
          <w:szCs w:val="24"/>
        </w:rPr>
      </w:pP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含量测定：取投标产品20片，精密称定，研细，精密称取适量（约相当于吡喹酮片100mg），置10mg量瓶中，精密加内标溶液5ml，振摇使吡喹酮片溶解，加甲醇稀释至刻，摇均，滤过，取续滤液，照吡喹酮项下的方法，自“取10ul</w:t>
      </w:r>
    </w:p>
    <w:p>
      <w:pPr>
        <w:spacing w:line="360" w:lineRule="auto"/>
        <w:ind w:left="360" w:hanging="360" w:hangingChars="150"/>
        <w:rPr>
          <w:rFonts w:hint="eastAsia" w:ascii="Times New Roman" w:hAnsi="Times New Roman" w:cs="Times New Roman"/>
          <w:sz w:val="24"/>
          <w:szCs w:val="24"/>
        </w:rPr>
      </w:pPr>
      <w:r>
        <w:rPr>
          <w:rFonts w:hint="eastAsia" w:ascii="Times New Roman" w:hAnsi="Times New Roman" w:cs="Times New Roman"/>
          <w:sz w:val="24"/>
          <w:szCs w:val="24"/>
        </w:rPr>
        <w:t>注入液相色谱仪”起，依法测定即得；</w:t>
      </w:r>
    </w:p>
    <w:p>
      <w:pPr>
        <w:numPr>
          <w:ilvl w:val="0"/>
          <w:numId w:val="38"/>
        </w:numPr>
        <w:spacing w:line="360" w:lineRule="auto"/>
        <w:ind w:left="478" w:leftChars="228" w:firstLine="120" w:firstLineChars="50"/>
        <w:rPr>
          <w:rFonts w:hint="eastAsia" w:ascii="Times New Roman" w:hAnsi="Times New Roman" w:cs="Times New Roman"/>
          <w:sz w:val="24"/>
          <w:szCs w:val="24"/>
          <w:lang w:eastAsia="zh-CN"/>
        </w:rPr>
      </w:pPr>
      <w:r>
        <w:rPr>
          <w:rFonts w:hint="eastAsia" w:ascii="Times New Roman" w:hAnsi="Times New Roman" w:cs="Times New Roman"/>
          <w:sz w:val="24"/>
          <w:szCs w:val="24"/>
        </w:rPr>
        <w:t>规格：0.2g/片</w:t>
      </w:r>
      <w:r>
        <w:rPr>
          <w:rFonts w:hint="eastAsia" w:ascii="Times New Roman" w:hAnsi="Times New Roman" w:cs="Times New Roman"/>
          <w:sz w:val="24"/>
          <w:szCs w:val="24"/>
          <w:lang w:eastAsia="zh-CN"/>
        </w:rPr>
        <w:t>；</w:t>
      </w:r>
    </w:p>
    <w:p>
      <w:pPr>
        <w:spacing w:line="360" w:lineRule="auto"/>
        <w:ind w:left="478" w:leftChars="228" w:firstLine="120" w:firstLineChars="50"/>
        <w:rPr>
          <w:rFonts w:hint="eastAsia" w:ascii="Times New Roman" w:hAnsi="Times New Roman" w:cs="Times New Roman"/>
          <w:sz w:val="24"/>
          <w:szCs w:val="24"/>
        </w:rPr>
      </w:pP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rPr>
        <w:t>包装：包装及标识按国家标准执行，具有良好的密封性和防潮性，破损</w:t>
      </w:r>
    </w:p>
    <w:p>
      <w:pPr>
        <w:spacing w:line="360" w:lineRule="auto"/>
        <w:rPr>
          <w:rFonts w:hint="eastAsia" w:ascii="Times New Roman" w:hAnsi="Times New Roman" w:cs="Times New Roman"/>
          <w:sz w:val="24"/>
          <w:szCs w:val="24"/>
        </w:rPr>
      </w:pPr>
      <w:r>
        <w:rPr>
          <w:rFonts w:hint="eastAsia" w:ascii="Times New Roman" w:hAnsi="Times New Roman" w:cs="Times New Roman"/>
          <w:sz w:val="24"/>
          <w:szCs w:val="24"/>
        </w:rPr>
        <w:t>率不得超过国家规定标准；</w:t>
      </w:r>
    </w:p>
    <w:p>
      <w:pPr>
        <w:spacing w:line="360" w:lineRule="auto"/>
        <w:ind w:left="478" w:leftChars="228" w:firstLine="120" w:firstLineChars="50"/>
        <w:rPr>
          <w:rFonts w:hint="eastAsia" w:ascii="Times New Roman" w:hAnsi="Times New Roman" w:cs="Times New Roman"/>
          <w:sz w:val="24"/>
          <w:szCs w:val="24"/>
        </w:rPr>
      </w:pPr>
      <w:r>
        <w:rPr>
          <w:rFonts w:hint="eastAsia" w:ascii="Times New Roman" w:hAnsi="Times New Roman" w:cs="Times New Roman"/>
          <w:sz w:val="24"/>
          <w:szCs w:val="24"/>
          <w:lang w:val="en-US" w:eastAsia="zh-CN"/>
        </w:rPr>
        <w:t>8</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企业法人营业执照；</w:t>
      </w:r>
    </w:p>
    <w:p>
      <w:pPr>
        <w:spacing w:line="360" w:lineRule="auto"/>
        <w:ind w:left="478" w:leftChars="228" w:firstLine="120" w:firstLineChars="50"/>
        <w:rPr>
          <w:rFonts w:hint="eastAsia" w:ascii="Times New Roman" w:hAnsi="Times New Roman" w:cs="Times New Roman"/>
          <w:sz w:val="24"/>
          <w:szCs w:val="24"/>
        </w:rPr>
      </w:pPr>
      <w:r>
        <w:rPr>
          <w:rFonts w:hint="eastAsia" w:ascii="Times New Roman" w:hAnsi="Times New Roman" w:cs="Times New Roman"/>
          <w:sz w:val="24"/>
          <w:szCs w:val="24"/>
          <w:lang w:val="en-US" w:eastAsia="zh-CN"/>
        </w:rPr>
        <w:t>9</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药品生产企业许可证；</w:t>
      </w:r>
    </w:p>
    <w:p>
      <w:pPr>
        <w:spacing w:line="360" w:lineRule="auto"/>
        <w:ind w:left="478" w:leftChars="228" w:firstLine="120" w:firstLineChars="50"/>
        <w:rPr>
          <w:rFonts w:hint="eastAsia" w:ascii="Times New Roman" w:hAnsi="Times New Roman" w:cs="Times New Roman"/>
          <w:sz w:val="24"/>
          <w:szCs w:val="24"/>
        </w:rPr>
      </w:pPr>
      <w:r>
        <w:rPr>
          <w:rFonts w:hint="eastAsia" w:ascii="Times New Roman" w:hAnsi="Times New Roman" w:cs="Times New Roman"/>
          <w:sz w:val="24"/>
          <w:szCs w:val="24"/>
        </w:rPr>
        <w:t>1</w:t>
      </w:r>
      <w:r>
        <w:rPr>
          <w:rFonts w:hint="eastAsia" w:ascii="Times New Roman" w:hAnsi="Times New Roman" w:cs="Times New Roman"/>
          <w:sz w:val="24"/>
          <w:szCs w:val="24"/>
          <w:lang w:val="en-US" w:eastAsia="zh-CN"/>
        </w:rPr>
        <w:t>0</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吡喹酮片的药品批准证书（批准文号）；</w:t>
      </w:r>
    </w:p>
    <w:p>
      <w:pPr>
        <w:spacing w:line="360" w:lineRule="auto"/>
        <w:ind w:left="478" w:leftChars="228" w:firstLine="120" w:firstLineChars="50"/>
        <w:rPr>
          <w:rFonts w:hint="eastAsia" w:ascii="Times New Roman" w:hAnsi="Times New Roman" w:cs="Times New Roman"/>
          <w:sz w:val="24"/>
          <w:szCs w:val="24"/>
        </w:rPr>
      </w:pPr>
      <w:r>
        <w:rPr>
          <w:rFonts w:hint="eastAsia" w:ascii="Times New Roman" w:hAnsi="Times New Roman" w:cs="Times New Roman"/>
          <w:sz w:val="24"/>
          <w:szCs w:val="24"/>
        </w:rPr>
        <w:t>1</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药品生产厂家获得国家食品药品监督管理局吡喹酮片的生产许可证和说明书；</w:t>
      </w:r>
    </w:p>
    <w:p>
      <w:pPr>
        <w:spacing w:line="360" w:lineRule="auto"/>
        <w:ind w:left="478" w:leftChars="228" w:firstLine="120" w:firstLineChars="50"/>
        <w:rPr>
          <w:rFonts w:hint="eastAsia" w:ascii="Times New Roman" w:hAnsi="Times New Roman" w:cs="Times New Roman"/>
          <w:sz w:val="24"/>
          <w:szCs w:val="24"/>
        </w:rPr>
      </w:pPr>
      <w:r>
        <w:rPr>
          <w:rFonts w:hint="eastAsia" w:ascii="Times New Roman" w:hAnsi="Times New Roman" w:cs="Times New Roman"/>
          <w:sz w:val="24"/>
          <w:szCs w:val="24"/>
        </w:rPr>
        <w:t>1</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药品生产厂家(生产吡喹酮片的车间)的GMP证明文件；</w:t>
      </w:r>
    </w:p>
    <w:p>
      <w:pPr>
        <w:spacing w:line="360" w:lineRule="auto"/>
        <w:ind w:left="478" w:leftChars="228" w:firstLine="120" w:firstLineChars="50"/>
        <w:rPr>
          <w:rFonts w:hint="default" w:eastAsia="宋体"/>
          <w:lang w:val="en-US" w:eastAsia="zh-CN"/>
        </w:rPr>
      </w:pPr>
      <w:r>
        <w:rPr>
          <w:rFonts w:hint="eastAsia" w:ascii="Times New Roman" w:hAnsi="Times New Roman" w:cs="Times New Roman"/>
          <w:sz w:val="24"/>
          <w:szCs w:val="24"/>
        </w:rPr>
        <w:t>1</w:t>
      </w:r>
      <w:r>
        <w:rPr>
          <w:rFonts w:hint="eastAsia" w:ascii="Times New Roman" w:hAnsi="Times New Roman" w:cs="Times New Roman"/>
          <w:sz w:val="24"/>
          <w:szCs w:val="24"/>
          <w:lang w:val="en-US" w:eastAsia="zh-CN"/>
        </w:rPr>
        <w:t>3</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药品生产厂家近三年生产、销售吡喹酮片的情况，需提供有关证明文件。</w:t>
      </w:r>
    </w:p>
    <w:p>
      <w:pPr>
        <w:numPr>
          <w:ilvl w:val="0"/>
          <w:numId w:val="0"/>
        </w:numPr>
        <w:spacing w:line="360" w:lineRule="auto"/>
        <w:jc w:val="both"/>
        <w:rPr>
          <w:rFonts w:hint="eastAsia" w:eastAsia="宋体" w:cs="宋体"/>
          <w:b/>
          <w:bCs/>
          <w:sz w:val="32"/>
          <w:szCs w:val="32"/>
          <w:lang w:val="en-US" w:eastAsia="zh-CN"/>
        </w:rPr>
      </w:pPr>
      <w:r>
        <w:rPr>
          <w:rFonts w:hint="eastAsia" w:eastAsia="宋体" w:cs="宋体"/>
          <w:b/>
          <w:bCs/>
          <w:sz w:val="32"/>
          <w:szCs w:val="32"/>
          <w:lang w:val="en-US" w:eastAsia="zh-CN"/>
        </w:rPr>
        <w:t>二、商务条款：</w:t>
      </w:r>
    </w:p>
    <w:p>
      <w:pPr>
        <w:numPr>
          <w:ilvl w:val="0"/>
          <w:numId w:val="39"/>
        </w:numPr>
        <w:spacing w:line="360" w:lineRule="auto"/>
        <w:jc w:val="both"/>
        <w:rPr>
          <w:rFonts w:hint="eastAsia" w:eastAsia="宋体" w:cs="宋体"/>
          <w:sz w:val="24"/>
          <w:szCs w:val="24"/>
          <w:lang w:val="en-US" w:eastAsia="zh-CN"/>
        </w:rPr>
      </w:pPr>
      <w:r>
        <w:rPr>
          <w:rFonts w:hint="eastAsia" w:eastAsia="宋体" w:cs="宋体"/>
          <w:sz w:val="24"/>
          <w:szCs w:val="24"/>
          <w:lang w:val="en-US" w:eastAsia="zh-CN"/>
        </w:rPr>
        <w:t>质保期：</w:t>
      </w:r>
      <w:r>
        <w:rPr>
          <w:rFonts w:hint="eastAsia" w:ascii="宋体" w:hAnsi="宋体"/>
          <w:color w:val="000000" w:themeColor="text1"/>
          <w:sz w:val="24"/>
          <w:szCs w:val="24"/>
          <w14:textFill>
            <w14:solidFill>
              <w14:schemeClr w14:val="tx1"/>
            </w14:solidFill>
          </w14:textFill>
        </w:rPr>
        <w:t>药品配送至采购人指定地点后有效期不少于</w:t>
      </w:r>
      <w:r>
        <w:rPr>
          <w:rFonts w:hint="eastAsia" w:ascii="宋体" w:hAnsi="宋体"/>
          <w:color w:val="000000" w:themeColor="text1"/>
          <w:sz w:val="24"/>
          <w:szCs w:val="24"/>
          <w:lang w:val="en-US" w:eastAsia="zh-CN"/>
          <w14:textFill>
            <w14:solidFill>
              <w14:schemeClr w14:val="tx1"/>
            </w14:solidFill>
          </w14:textFill>
        </w:rPr>
        <w:t>2年</w:t>
      </w:r>
      <w:r>
        <w:rPr>
          <w:rFonts w:hint="eastAsia" w:ascii="宋体" w:hAnsi="宋体"/>
          <w:color w:val="000000" w:themeColor="text1"/>
          <w:sz w:val="24"/>
          <w:szCs w:val="24"/>
          <w:lang w:eastAsia="zh-CN"/>
          <w14:textFill>
            <w14:solidFill>
              <w14:schemeClr w14:val="tx1"/>
            </w14:solidFill>
          </w14:textFill>
        </w:rPr>
        <w:t>；</w:t>
      </w:r>
    </w:p>
    <w:p>
      <w:pPr>
        <w:numPr>
          <w:ilvl w:val="0"/>
          <w:numId w:val="39"/>
        </w:numPr>
        <w:spacing w:line="360" w:lineRule="auto"/>
        <w:jc w:val="both"/>
        <w:rPr>
          <w:rFonts w:hint="default" w:eastAsia="宋体" w:cs="宋体"/>
          <w:sz w:val="24"/>
          <w:szCs w:val="24"/>
          <w:lang w:val="en-US" w:eastAsia="zh-CN"/>
        </w:rPr>
      </w:pPr>
      <w:r>
        <w:rPr>
          <w:rFonts w:hint="eastAsia" w:eastAsia="宋体" w:cs="宋体"/>
          <w:sz w:val="24"/>
          <w:szCs w:val="24"/>
          <w:lang w:val="en-US" w:eastAsia="zh-CN"/>
        </w:rPr>
        <w:t>交货期：签订合同后30个工作日；</w:t>
      </w:r>
    </w:p>
    <w:p>
      <w:pPr>
        <w:numPr>
          <w:ilvl w:val="0"/>
          <w:numId w:val="39"/>
        </w:numPr>
        <w:spacing w:line="360" w:lineRule="auto"/>
        <w:jc w:val="both"/>
        <w:rPr>
          <w:rFonts w:hint="default" w:eastAsia="宋体" w:cs="宋体"/>
          <w:sz w:val="24"/>
          <w:szCs w:val="24"/>
          <w:lang w:val="en-US" w:eastAsia="zh-CN"/>
        </w:rPr>
      </w:pPr>
      <w:r>
        <w:rPr>
          <w:rFonts w:hint="eastAsia" w:eastAsia="宋体" w:cs="宋体"/>
          <w:sz w:val="24"/>
          <w:szCs w:val="24"/>
          <w:lang w:val="en-US" w:eastAsia="zh-CN"/>
        </w:rPr>
        <w:t>交货地点：</w:t>
      </w:r>
      <w:r>
        <w:rPr>
          <w:rFonts w:hint="eastAsia" w:ascii="宋体" w:hAnsi="宋体"/>
          <w:sz w:val="24"/>
          <w:szCs w:val="24"/>
        </w:rPr>
        <w:t>采购人指定地点（</w:t>
      </w:r>
      <w:r>
        <w:rPr>
          <w:rFonts w:hint="eastAsia" w:ascii="宋体" w:hAnsi="宋体"/>
          <w:sz w:val="24"/>
          <w:szCs w:val="24"/>
          <w:lang w:eastAsia="zh-CN"/>
        </w:rPr>
        <w:t>阳新县范围内</w:t>
      </w:r>
      <w:r>
        <w:rPr>
          <w:rFonts w:hint="eastAsia" w:ascii="宋体" w:hAnsi="宋体"/>
          <w:sz w:val="24"/>
          <w:szCs w:val="24"/>
        </w:rPr>
        <w:t>）</w:t>
      </w:r>
      <w:r>
        <w:rPr>
          <w:rFonts w:hint="eastAsia" w:ascii="宋体" w:hAnsi="宋体"/>
          <w:sz w:val="24"/>
          <w:szCs w:val="24"/>
          <w:lang w:eastAsia="zh-CN"/>
        </w:rPr>
        <w:t>；</w:t>
      </w:r>
    </w:p>
    <w:p>
      <w:pPr>
        <w:numPr>
          <w:ilvl w:val="0"/>
          <w:numId w:val="39"/>
        </w:numPr>
        <w:spacing w:line="360" w:lineRule="auto"/>
        <w:jc w:val="both"/>
        <w:rPr>
          <w:rFonts w:hint="default" w:eastAsia="宋体" w:cs="宋体"/>
          <w:sz w:val="24"/>
          <w:szCs w:val="24"/>
          <w:lang w:val="en-US" w:eastAsia="zh-CN"/>
        </w:rPr>
      </w:pPr>
      <w:r>
        <w:rPr>
          <w:rFonts w:hint="eastAsia" w:eastAsia="宋体" w:cs="宋体"/>
          <w:sz w:val="24"/>
          <w:szCs w:val="24"/>
          <w:lang w:val="en-US" w:eastAsia="zh-CN"/>
        </w:rPr>
        <w:t>付款方式：</w:t>
      </w:r>
      <w:r>
        <w:rPr>
          <w:rFonts w:hint="eastAsia" w:ascii="宋体" w:hAnsi="宋体"/>
          <w:b w:val="0"/>
          <w:bCs/>
          <w:sz w:val="24"/>
          <w:szCs w:val="24"/>
          <w:lang w:eastAsia="zh-CN"/>
        </w:rPr>
        <w:t>货到经采购人或委托人验收合格后</w:t>
      </w:r>
      <w:r>
        <w:rPr>
          <w:rFonts w:hint="eastAsia" w:ascii="宋体" w:hAnsi="宋体"/>
          <w:b w:val="0"/>
          <w:bCs/>
          <w:sz w:val="24"/>
          <w:szCs w:val="24"/>
          <w:lang w:val="en-US" w:eastAsia="zh-CN"/>
        </w:rPr>
        <w:t>3个月内付清。</w:t>
      </w: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eastAsia="宋体" w:cs="宋体"/>
          <w:sz w:val="24"/>
          <w:szCs w:val="24"/>
          <w:lang w:val="en-US" w:eastAsia="zh-CN"/>
        </w:rPr>
      </w:pPr>
    </w:p>
    <w:p>
      <w:pPr>
        <w:pStyle w:val="2"/>
        <w:rPr>
          <w:rFonts w:hint="eastAsia" w:eastAsia="宋体" w:cs="宋体"/>
          <w:sz w:val="24"/>
          <w:szCs w:val="24"/>
          <w:lang w:val="en-US" w:eastAsia="zh-CN"/>
        </w:rPr>
      </w:pPr>
    </w:p>
    <w:p>
      <w:pPr>
        <w:rPr>
          <w:rFonts w:hint="eastAsia"/>
          <w:lang w:val="en-US" w:eastAsia="zh-CN"/>
        </w:rPr>
      </w:pPr>
    </w:p>
    <w:p>
      <w:pPr>
        <w:rPr>
          <w:rFonts w:hint="eastAsia" w:eastAsia="宋体" w:cs="宋体"/>
          <w:sz w:val="24"/>
          <w:szCs w:val="24"/>
          <w:lang w:val="en-US" w:eastAsia="zh-CN"/>
        </w:rPr>
      </w:pPr>
    </w:p>
    <w:p/>
    <w:p>
      <w:pPr>
        <w:pStyle w:val="3"/>
        <w:keepNext/>
        <w:keepLines/>
        <w:pageBreakBefore w:val="0"/>
        <w:widowControl w:val="0"/>
        <w:numPr>
          <w:ilvl w:val="0"/>
          <w:numId w:val="1"/>
        </w:numPr>
        <w:kinsoku/>
        <w:wordWrap/>
        <w:overflowPunct/>
        <w:topLinePunct w:val="0"/>
        <w:autoSpaceDE/>
        <w:autoSpaceDN/>
        <w:bidi w:val="0"/>
        <w:adjustRightInd/>
        <w:snapToGrid/>
        <w:spacing w:before="360" w:after="440" w:line="579" w:lineRule="auto"/>
        <w:ind w:left="420" w:hanging="420"/>
        <w:jc w:val="center"/>
        <w:textAlignment w:val="auto"/>
        <w:rPr>
          <w:rFonts w:ascii="黑体" w:hAnsi="黑体" w:eastAsia="黑体"/>
        </w:rPr>
      </w:pPr>
      <w:bookmarkStart w:id="65" w:name="_Toc15881"/>
      <w:bookmarkStart w:id="66" w:name="_Toc495861538"/>
      <w:r>
        <w:rPr>
          <w:rFonts w:hint="eastAsia" w:ascii="黑体" w:hAnsi="黑体" w:eastAsia="黑体"/>
        </w:rPr>
        <w:t>资格审查方法及标准</w:t>
      </w:r>
      <w:bookmarkEnd w:id="65"/>
      <w:bookmarkEnd w:id="66"/>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根据《政府采购法》、《政府采购法实施条例》、《政府采购货物和服务招标投标管理办法》等相关法律法规确定以下资格审查方法及标准。</w:t>
      </w:r>
    </w:p>
    <w:p>
      <w:pPr>
        <w:pStyle w:val="4"/>
        <w:numPr>
          <w:ilvl w:val="0"/>
          <w:numId w:val="40"/>
        </w:numPr>
        <w:spacing w:before="0" w:after="0" w:line="360" w:lineRule="auto"/>
        <w:ind w:left="616" w:hanging="616"/>
        <w:jc w:val="left"/>
        <w:rPr>
          <w:rFonts w:cs="Times New Roman" w:asciiTheme="majorEastAsia" w:hAnsiTheme="majorEastAsia"/>
          <w:bCs w:val="0"/>
          <w:sz w:val="30"/>
          <w:szCs w:val="30"/>
          <w:lang w:val="zh-CN"/>
        </w:rPr>
      </w:pPr>
      <w:bookmarkStart w:id="67" w:name="_Toc495861539"/>
      <w:bookmarkStart w:id="68" w:name="_Toc494561958"/>
      <w:bookmarkStart w:id="69" w:name="_Toc19379"/>
      <w:r>
        <w:rPr>
          <w:rFonts w:hint="eastAsia" w:cs="Times New Roman" w:asciiTheme="majorEastAsia" w:hAnsiTheme="majorEastAsia"/>
          <w:bCs w:val="0"/>
          <w:sz w:val="30"/>
          <w:szCs w:val="30"/>
          <w:lang w:val="zh-CN"/>
        </w:rPr>
        <w:t>资格审查方法</w:t>
      </w:r>
      <w:bookmarkEnd w:id="67"/>
      <w:bookmarkEnd w:id="68"/>
      <w:bookmarkEnd w:id="69"/>
    </w:p>
    <w:p>
      <w:pPr>
        <w:spacing w:line="360" w:lineRule="auto"/>
        <w:ind w:firstLine="420"/>
        <w:rPr>
          <w:rFonts w:ascii="宋体" w:hAnsi="宋体" w:eastAsia="宋体" w:cs="Times New Roman"/>
          <w:bCs/>
          <w:color w:val="0D0D0D"/>
          <w:sz w:val="24"/>
          <w:szCs w:val="20"/>
          <w:lang w:val="zh-CN"/>
        </w:rPr>
      </w:pPr>
      <w:r>
        <w:rPr>
          <w:rFonts w:hint="eastAsia" w:ascii="宋体" w:hAnsi="宋体" w:eastAsia="宋体" w:cs="Times New Roman"/>
          <w:bCs/>
          <w:color w:val="0D0D0D"/>
          <w:sz w:val="24"/>
          <w:szCs w:val="20"/>
          <w:lang w:val="zh-CN"/>
        </w:rPr>
        <w:t>公开招标采购项目开标结束后，</w:t>
      </w:r>
      <w:r>
        <w:rPr>
          <w:rFonts w:hint="eastAsia" w:ascii="宋体" w:hAnsi="宋体" w:eastAsia="宋体" w:cs="Times New Roman"/>
          <w:bCs/>
          <w:color w:val="auto"/>
          <w:sz w:val="24"/>
          <w:szCs w:val="20"/>
          <w:lang w:val="zh-CN"/>
        </w:rPr>
        <w:t>采购人、采购代理机构</w:t>
      </w:r>
      <w:r>
        <w:rPr>
          <w:rFonts w:hint="eastAsia" w:ascii="宋体" w:hAnsi="宋体" w:eastAsia="宋体" w:cs="Times New Roman"/>
          <w:bCs/>
          <w:color w:val="0D0D0D"/>
          <w:sz w:val="24"/>
          <w:szCs w:val="20"/>
          <w:lang w:val="zh-CN"/>
        </w:rPr>
        <w:t>成立资格审查小组，依据法律、法规及招标文件的规定，对投标人的资格进行审查，以确定投标人资格是否合格。</w:t>
      </w:r>
    </w:p>
    <w:p>
      <w:pPr>
        <w:pStyle w:val="4"/>
        <w:numPr>
          <w:ilvl w:val="0"/>
          <w:numId w:val="40"/>
        </w:numPr>
        <w:spacing w:before="0" w:after="0" w:line="360" w:lineRule="auto"/>
        <w:ind w:left="616" w:hanging="616"/>
        <w:jc w:val="left"/>
        <w:rPr>
          <w:rFonts w:cs="Times New Roman" w:asciiTheme="majorEastAsia" w:hAnsiTheme="majorEastAsia"/>
          <w:bCs w:val="0"/>
          <w:sz w:val="30"/>
          <w:szCs w:val="30"/>
          <w:lang w:val="zh-CN"/>
        </w:rPr>
      </w:pPr>
      <w:bookmarkStart w:id="70" w:name="_Toc494561959"/>
      <w:bookmarkStart w:id="71" w:name="_Toc5048"/>
      <w:bookmarkStart w:id="72" w:name="_Toc495861540"/>
      <w:r>
        <w:rPr>
          <w:rFonts w:hint="eastAsia" w:cs="Times New Roman" w:asciiTheme="majorEastAsia" w:hAnsiTheme="majorEastAsia"/>
          <w:bCs w:val="0"/>
          <w:sz w:val="30"/>
          <w:szCs w:val="30"/>
          <w:lang w:val="zh-CN"/>
        </w:rPr>
        <w:t>资格审查标准</w:t>
      </w:r>
      <w:bookmarkEnd w:id="70"/>
      <w:bookmarkEnd w:id="71"/>
      <w:bookmarkEnd w:id="72"/>
    </w:p>
    <w:p>
      <w:pPr>
        <w:numPr>
          <w:ilvl w:val="0"/>
          <w:numId w:val="41"/>
        </w:numPr>
        <w:tabs>
          <w:tab w:val="left" w:pos="616"/>
        </w:tabs>
        <w:spacing w:line="360" w:lineRule="auto"/>
        <w:ind w:left="14" w:firstLine="238"/>
        <w:rPr>
          <w:rFonts w:ascii="宋体" w:hAnsi="宋体"/>
          <w:b/>
          <w:color w:val="000000"/>
          <w:sz w:val="24"/>
          <w:szCs w:val="24"/>
          <w:lang w:val="zh-CN"/>
        </w:rPr>
      </w:pPr>
      <w:r>
        <w:rPr>
          <w:rFonts w:hint="eastAsia" w:ascii="宋体" w:hAnsi="宋体"/>
          <w:b/>
          <w:color w:val="000000"/>
          <w:sz w:val="24"/>
          <w:szCs w:val="24"/>
          <w:lang w:val="zh-CN"/>
        </w:rPr>
        <w:t>资格证明文件审查</w:t>
      </w:r>
    </w:p>
    <w:p>
      <w:pPr>
        <w:tabs>
          <w:tab w:val="left" w:pos="616"/>
        </w:tabs>
        <w:spacing w:line="360" w:lineRule="auto"/>
        <w:ind w:firstLine="420"/>
        <w:rPr>
          <w:rFonts w:ascii="Helvetica" w:hAnsi="Helvetica" w:cs="Helvetica"/>
          <w:b/>
          <w:color w:val="000000"/>
          <w:kern w:val="0"/>
          <w:sz w:val="24"/>
          <w:szCs w:val="24"/>
          <w:lang w:val="zh-CN"/>
        </w:rPr>
      </w:pPr>
      <w:r>
        <w:rPr>
          <w:rFonts w:hint="eastAsia" w:ascii="Helvetica" w:hAnsi="Helvetica" w:cs="Helvetica"/>
          <w:color w:val="000000"/>
          <w:kern w:val="0"/>
          <w:sz w:val="24"/>
          <w:szCs w:val="24"/>
          <w:lang w:val="zh-CN"/>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lang w:val="zh-CN"/>
        </w:rPr>
        <w:t>无效投标处理：</w:t>
      </w:r>
    </w:p>
    <w:p>
      <w:pPr>
        <w:pStyle w:val="34"/>
        <w:numPr>
          <w:ilvl w:val="0"/>
          <w:numId w:val="42"/>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应具备《政府采购法》第二十二条第一款规定的条件，</w:t>
      </w:r>
      <w:r>
        <w:rPr>
          <w:rFonts w:hint="eastAsia" w:hAnsi="宋体"/>
          <w:color w:val="000000"/>
          <w:sz w:val="24"/>
          <w:szCs w:val="24"/>
        </w:rPr>
        <w:t>提供下列材料</w:t>
      </w:r>
      <w:r>
        <w:rPr>
          <w:rFonts w:hint="eastAsia" w:ascii="宋体" w:hAnsi="宋体"/>
          <w:color w:val="000000"/>
          <w:sz w:val="24"/>
          <w:szCs w:val="24"/>
          <w:lang w:val="zh-CN"/>
        </w:rPr>
        <w:t>：</w:t>
      </w:r>
    </w:p>
    <w:p>
      <w:pPr>
        <w:pStyle w:val="34"/>
        <w:numPr>
          <w:ilvl w:val="0"/>
          <w:numId w:val="43"/>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法人或者其他组织的营业执照等证明文件，自然人的身份证明；</w:t>
      </w:r>
    </w:p>
    <w:p>
      <w:pPr>
        <w:pStyle w:val="34"/>
        <w:numPr>
          <w:ilvl w:val="0"/>
          <w:numId w:val="43"/>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财务状况报告，依法缴纳税收和社会保障资金的相关材料；</w:t>
      </w:r>
    </w:p>
    <w:p>
      <w:pPr>
        <w:pStyle w:val="34"/>
        <w:numPr>
          <w:ilvl w:val="0"/>
          <w:numId w:val="43"/>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具备履行合同所必需的设备和专业技术能力的证明材料；</w:t>
      </w:r>
    </w:p>
    <w:p>
      <w:pPr>
        <w:pStyle w:val="34"/>
        <w:numPr>
          <w:ilvl w:val="0"/>
          <w:numId w:val="43"/>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参加政府采购活动前3年内在经营活动中没有重大违法记录的书面声明；</w:t>
      </w:r>
    </w:p>
    <w:p>
      <w:pPr>
        <w:pStyle w:val="34"/>
        <w:numPr>
          <w:ilvl w:val="0"/>
          <w:numId w:val="43"/>
        </w:numPr>
        <w:tabs>
          <w:tab w:val="left" w:pos="1036"/>
        </w:tabs>
        <w:spacing w:line="360" w:lineRule="auto"/>
        <w:ind w:left="1036" w:hanging="616" w:firstLineChars="0"/>
        <w:rPr>
          <w:rFonts w:ascii="宋体" w:hAnsi="宋体"/>
          <w:color w:val="000000"/>
          <w:sz w:val="24"/>
          <w:szCs w:val="24"/>
          <w:lang w:val="zh-CN"/>
        </w:rPr>
      </w:pPr>
      <w:r>
        <w:rPr>
          <w:rFonts w:hint="eastAsia" w:ascii="宋体" w:hAnsi="宋体"/>
          <w:color w:val="000000"/>
          <w:sz w:val="24"/>
          <w:szCs w:val="24"/>
          <w:lang w:val="zh-CN"/>
        </w:rPr>
        <w:t>具备法律、行政法规规定的其他条件的证明材料。</w:t>
      </w:r>
    </w:p>
    <w:p>
      <w:pPr>
        <w:pStyle w:val="34"/>
        <w:numPr>
          <w:ilvl w:val="0"/>
          <w:numId w:val="42"/>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未被“信用中国”网站(www.creditchina.gov.cn)列入失信被执行人、重大税收违法案件当事人名单、政府采购严重违法失信行为记录名单的书面申明及该网站查询结果页面截图；</w:t>
      </w:r>
    </w:p>
    <w:p>
      <w:pPr>
        <w:pStyle w:val="34"/>
        <w:numPr>
          <w:ilvl w:val="0"/>
          <w:numId w:val="42"/>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招标文件第一章“投标人资格要求”中有特殊要求的，投标人应提供其符合特殊要求的证明材料或者情况说明；</w:t>
      </w:r>
    </w:p>
    <w:p>
      <w:pPr>
        <w:pStyle w:val="34"/>
        <w:numPr>
          <w:ilvl w:val="0"/>
          <w:numId w:val="42"/>
        </w:numPr>
        <w:tabs>
          <w:tab w:val="left" w:pos="840"/>
        </w:tabs>
        <w:spacing w:line="360" w:lineRule="auto"/>
        <w:ind w:hanging="602" w:firstLineChars="0"/>
        <w:rPr>
          <w:rFonts w:ascii="宋体" w:hAnsi="宋体"/>
          <w:color w:val="000000"/>
          <w:sz w:val="24"/>
          <w:szCs w:val="24"/>
          <w:lang w:val="zh-CN"/>
        </w:rPr>
      </w:pPr>
      <w:r>
        <w:rPr>
          <w:rFonts w:hint="eastAsia" w:ascii="宋体" w:hAnsi="宋体"/>
          <w:color w:val="000000"/>
          <w:sz w:val="24"/>
          <w:szCs w:val="24"/>
          <w:lang w:val="zh-CN"/>
        </w:rPr>
        <w:t>投标人认为需提供的其它相关资格证明材料；</w:t>
      </w:r>
    </w:p>
    <w:p>
      <w:pPr>
        <w:tabs>
          <w:tab w:val="left" w:pos="616"/>
        </w:tabs>
        <w:spacing w:line="360" w:lineRule="auto"/>
        <w:ind w:left="252"/>
        <w:rPr>
          <w:rFonts w:ascii="宋体" w:hAnsi="宋体" w:eastAsia="宋体" w:cs="Times New Roman"/>
          <w:b/>
          <w:sz w:val="24"/>
          <w:szCs w:val="24"/>
          <w:lang w:val="zh-CN"/>
        </w:rPr>
      </w:pPr>
      <w:r>
        <w:rPr>
          <w:rFonts w:hint="eastAsia" w:ascii="宋体" w:hAnsi="宋体"/>
          <w:color w:val="000000"/>
          <w:sz w:val="24"/>
          <w:szCs w:val="24"/>
        </w:rPr>
        <w:t>1.</w:t>
      </w:r>
      <w:r>
        <w:rPr>
          <w:rFonts w:hint="eastAsia" w:ascii="宋体" w:hAnsi="宋体"/>
          <w:color w:val="000000"/>
          <w:sz w:val="24"/>
          <w:szCs w:val="24"/>
          <w:lang w:val="en-US" w:eastAsia="zh-CN"/>
        </w:rPr>
        <w:t>5</w:t>
      </w:r>
      <w:r>
        <w:rPr>
          <w:rFonts w:hint="eastAsia" w:ascii="宋体" w:hAnsi="宋体"/>
          <w:color w:val="000000"/>
          <w:sz w:val="24"/>
          <w:szCs w:val="24"/>
        </w:rPr>
        <w:t xml:space="preserve"> </w:t>
      </w:r>
      <w:r>
        <w:rPr>
          <w:rFonts w:hint="eastAsia" w:ascii="宋体" w:hAnsi="宋体"/>
          <w:color w:val="000000"/>
          <w:sz w:val="24"/>
          <w:szCs w:val="24"/>
          <w:lang w:val="zh-CN"/>
        </w:rPr>
        <w:t>资格证明文件正本应为清晰彩色打印件且加盖单位公章。</w:t>
      </w:r>
    </w:p>
    <w:p>
      <w:pPr>
        <w:numPr>
          <w:ilvl w:val="0"/>
          <w:numId w:val="41"/>
        </w:numPr>
        <w:tabs>
          <w:tab w:val="left" w:pos="616"/>
        </w:tabs>
        <w:spacing w:line="360" w:lineRule="auto"/>
        <w:ind w:left="14" w:firstLine="238"/>
        <w:rPr>
          <w:rFonts w:ascii="宋体" w:hAnsi="宋体" w:eastAsia="宋体" w:cs="Times New Roman"/>
          <w:b/>
          <w:sz w:val="24"/>
          <w:szCs w:val="24"/>
          <w:lang w:val="zh-CN"/>
        </w:rPr>
      </w:pPr>
      <w:r>
        <w:rPr>
          <w:rFonts w:hint="eastAsia" w:ascii="宋体" w:hAnsi="宋体" w:eastAsia="宋体" w:cs="Times New Roman"/>
          <w:b/>
          <w:sz w:val="24"/>
          <w:szCs w:val="24"/>
          <w:lang w:val="zh-CN"/>
        </w:rPr>
        <w:t>确定资格审查合格投标人</w:t>
      </w:r>
    </w:p>
    <w:p>
      <w:pPr>
        <w:pStyle w:val="34"/>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hint="eastAsia" w:ascii="宋体" w:hAnsi="宋体" w:eastAsia="宋体" w:cs="Times New Roman"/>
          <w:b/>
          <w:sz w:val="24"/>
          <w:szCs w:val="24"/>
          <w:lang w:val="zh-CN"/>
        </w:rPr>
        <w:t>形成书面的资格审查报告。</w:t>
      </w:r>
    </w:p>
    <w:p>
      <w:pPr>
        <w:pStyle w:val="34"/>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资格审查合格投标人不足3家的，不进行评标。</w:t>
      </w:r>
    </w:p>
    <w:p>
      <w:pPr>
        <w:pStyle w:val="34"/>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资格审查未通过的投标人可在结果公告质疑有效期内按公告中的联系方式获知</w:t>
      </w:r>
      <w:r>
        <w:rPr>
          <w:rFonts w:ascii="宋体" w:hAnsi="宋体" w:eastAsia="宋体" w:cs="Times New Roman"/>
          <w:sz w:val="24"/>
          <w:szCs w:val="24"/>
          <w:lang w:val="zh-CN"/>
        </w:rPr>
        <w:t>本</w:t>
      </w:r>
      <w:r>
        <w:rPr>
          <w:rFonts w:hint="eastAsia" w:ascii="宋体" w:hAnsi="宋体" w:eastAsia="宋体" w:cs="Times New Roman"/>
          <w:sz w:val="24"/>
          <w:szCs w:val="24"/>
          <w:lang w:val="zh-CN"/>
        </w:rPr>
        <w:t>单位</w:t>
      </w:r>
      <w:r>
        <w:rPr>
          <w:rFonts w:ascii="宋体" w:hAnsi="宋体" w:eastAsia="宋体" w:cs="Times New Roman"/>
          <w:sz w:val="24"/>
          <w:szCs w:val="24"/>
          <w:lang w:val="zh-CN"/>
        </w:rPr>
        <w:t>的</w:t>
      </w:r>
      <w:r>
        <w:rPr>
          <w:rFonts w:hint="eastAsia" w:ascii="宋体" w:hAnsi="宋体" w:eastAsia="宋体" w:cs="Times New Roman"/>
          <w:sz w:val="24"/>
          <w:szCs w:val="24"/>
          <w:lang w:val="zh-CN"/>
        </w:rPr>
        <w:t>资格审查情况。</w:t>
      </w:r>
    </w:p>
    <w:p>
      <w:pPr>
        <w:pStyle w:val="34"/>
        <w:numPr>
          <w:ilvl w:val="0"/>
          <w:numId w:val="44"/>
        </w:numPr>
        <w:tabs>
          <w:tab w:val="left" w:pos="840"/>
        </w:tabs>
        <w:spacing w:line="360" w:lineRule="auto"/>
        <w:ind w:hanging="602" w:firstLineChars="0"/>
        <w:rPr>
          <w:rFonts w:ascii="宋体" w:hAnsi="宋体" w:eastAsia="宋体" w:cs="Times New Roman"/>
          <w:sz w:val="24"/>
          <w:szCs w:val="24"/>
          <w:lang w:val="zh-CN"/>
        </w:rPr>
      </w:pPr>
      <w:r>
        <w:rPr>
          <w:rFonts w:hint="eastAsia" w:ascii="宋体" w:hAnsi="宋体" w:eastAsia="宋体" w:cs="Times New Roman"/>
          <w:sz w:val="24"/>
          <w:szCs w:val="24"/>
          <w:lang w:val="zh-CN"/>
        </w:rPr>
        <w:t>采购人已进行资格预审的，不再进行资格审查。未通过资格预审的投标人，采购人、采购代理机构</w:t>
      </w:r>
      <w:r>
        <w:rPr>
          <w:rFonts w:hint="eastAsia" w:ascii="宋体" w:hAnsi="宋体" w:eastAsia="宋体" w:cs="Times New Roman"/>
          <w:b/>
          <w:sz w:val="24"/>
          <w:szCs w:val="24"/>
          <w:lang w:val="zh-CN"/>
        </w:rPr>
        <w:t>拒绝</w:t>
      </w:r>
      <w:r>
        <w:rPr>
          <w:rFonts w:hint="eastAsia" w:ascii="宋体" w:hAnsi="宋体" w:eastAsia="宋体" w:cs="Times New Roman"/>
          <w:sz w:val="24"/>
          <w:szCs w:val="24"/>
          <w:lang w:val="zh-CN"/>
        </w:rPr>
        <w:t>其投标。</w:t>
      </w:r>
    </w:p>
    <w:p>
      <w:r>
        <w:br w:type="page"/>
      </w:r>
    </w:p>
    <w:p>
      <w:pPr>
        <w:pStyle w:val="3"/>
        <w:numPr>
          <w:ilvl w:val="0"/>
          <w:numId w:val="1"/>
        </w:numPr>
        <w:jc w:val="center"/>
        <w:rPr>
          <w:rFonts w:ascii="黑体" w:hAnsi="黑体" w:eastAsia="黑体"/>
        </w:rPr>
      </w:pPr>
      <w:bookmarkStart w:id="73" w:name="_Toc495861492"/>
      <w:bookmarkStart w:id="74" w:name="_Toc28176"/>
      <w:r>
        <w:rPr>
          <w:rFonts w:hint="eastAsia" w:ascii="黑体" w:hAnsi="黑体" w:eastAsia="黑体"/>
        </w:rPr>
        <w:t>评标方法、程序及标准</w:t>
      </w:r>
      <w:bookmarkEnd w:id="73"/>
      <w:bookmarkEnd w:id="74"/>
    </w:p>
    <w:p>
      <w:pPr>
        <w:spacing w:line="360" w:lineRule="auto"/>
        <w:ind w:firstLine="480" w:firstLineChars="200"/>
        <w:rPr>
          <w:rFonts w:ascii="宋体" w:hAnsi="宋体" w:eastAsia="宋体" w:cs="Times New Roman"/>
          <w:bCs/>
          <w:sz w:val="24"/>
          <w:szCs w:val="20"/>
          <w:lang w:val="zh-CN" w:eastAsia="zh-CN"/>
        </w:rPr>
      </w:pPr>
      <w:r>
        <w:rPr>
          <w:rFonts w:hint="eastAsia" w:ascii="宋体" w:hAnsi="宋体" w:eastAsia="宋体" w:cs="Times New Roman"/>
          <w:bCs/>
          <w:sz w:val="24"/>
          <w:szCs w:val="20"/>
          <w:lang w:val="zh-CN" w:eastAsia="zh-CN"/>
        </w:rPr>
        <w:t>根据《政府采购法》、《政府采购法实施条例》、《政府采购货物和服务招标投标管理办法》等相关</w:t>
      </w:r>
      <w:r>
        <w:rPr>
          <w:rFonts w:hint="eastAsia" w:ascii="宋体" w:hAnsi="宋体" w:eastAsia="宋体" w:cs="Times New Roman"/>
          <w:bCs/>
          <w:sz w:val="24"/>
          <w:szCs w:val="20"/>
          <w:lang w:val="zh-CN"/>
        </w:rPr>
        <w:t>法律法规</w:t>
      </w:r>
      <w:r>
        <w:rPr>
          <w:rFonts w:hint="eastAsia" w:ascii="宋体" w:hAnsi="宋体" w:eastAsia="宋体" w:cs="Times New Roman"/>
          <w:bCs/>
          <w:sz w:val="24"/>
          <w:szCs w:val="20"/>
          <w:lang w:val="zh-CN" w:eastAsia="zh-CN"/>
        </w:rPr>
        <w:t>确定以下评标办法、程序及标准。</w:t>
      </w:r>
    </w:p>
    <w:p>
      <w:pPr>
        <w:pStyle w:val="4"/>
        <w:numPr>
          <w:ilvl w:val="0"/>
          <w:numId w:val="45"/>
        </w:numPr>
        <w:spacing w:before="0" w:after="0" w:line="360" w:lineRule="auto"/>
        <w:ind w:left="616" w:hanging="616"/>
        <w:jc w:val="left"/>
        <w:rPr>
          <w:rFonts w:cs="Times New Roman" w:asciiTheme="majorEastAsia" w:hAnsiTheme="majorEastAsia"/>
          <w:bCs w:val="0"/>
          <w:sz w:val="30"/>
          <w:szCs w:val="30"/>
          <w:lang w:val="zh-CN" w:eastAsia="zh-CN"/>
        </w:rPr>
      </w:pPr>
      <w:bookmarkStart w:id="75" w:name="_Toc272247708"/>
      <w:bookmarkStart w:id="76" w:name="_Toc278891605"/>
      <w:bookmarkStart w:id="77" w:name="_Toc495861493"/>
      <w:bookmarkStart w:id="78" w:name="_Toc30591"/>
      <w:bookmarkStart w:id="79" w:name="_Toc494561961"/>
      <w:r>
        <w:rPr>
          <w:rFonts w:hint="eastAsia" w:cs="Times New Roman" w:asciiTheme="majorEastAsia" w:hAnsiTheme="majorEastAsia"/>
          <w:bCs w:val="0"/>
          <w:sz w:val="30"/>
          <w:szCs w:val="30"/>
          <w:lang w:val="zh-CN" w:eastAsia="zh-CN"/>
        </w:rPr>
        <w:t>评标</w:t>
      </w:r>
      <w:bookmarkEnd w:id="75"/>
      <w:bookmarkEnd w:id="76"/>
      <w:r>
        <w:rPr>
          <w:rFonts w:hint="eastAsia" w:cs="Times New Roman" w:asciiTheme="majorEastAsia" w:hAnsiTheme="majorEastAsia"/>
          <w:bCs w:val="0"/>
          <w:sz w:val="30"/>
          <w:szCs w:val="30"/>
          <w:lang w:val="zh-CN" w:eastAsia="zh-CN"/>
        </w:rPr>
        <w:t>方法</w:t>
      </w:r>
      <w:bookmarkEnd w:id="77"/>
      <w:bookmarkEnd w:id="78"/>
      <w:bookmarkEnd w:id="79"/>
    </w:p>
    <w:p>
      <w:pPr>
        <w:spacing w:line="360" w:lineRule="auto"/>
        <w:ind w:firstLine="480" w:firstLineChars="200"/>
        <w:rPr>
          <w:rFonts w:ascii="宋体" w:hAnsi="宋体" w:eastAsia="宋体" w:cs="Times New Roman"/>
          <w:bCs/>
          <w:sz w:val="24"/>
          <w:szCs w:val="20"/>
          <w:lang w:val="zh-CN" w:eastAsia="zh-CN"/>
        </w:rPr>
      </w:pPr>
      <w:r>
        <w:rPr>
          <w:rFonts w:hint="eastAsia" w:ascii="宋体" w:hAnsi="宋体" w:eastAsia="宋体" w:cs="Times New Roman"/>
          <w:bCs/>
          <w:sz w:val="24"/>
          <w:szCs w:val="20"/>
          <w:lang w:val="zh-CN" w:eastAsia="zh-CN"/>
        </w:rPr>
        <w:t>本项目评标采用</w:t>
      </w:r>
      <w:r>
        <w:rPr>
          <w:rFonts w:hint="eastAsia" w:ascii="宋体" w:hAnsi="宋体" w:eastAsia="宋体" w:cs="Times New Roman"/>
          <w:bCs/>
          <w:sz w:val="24"/>
          <w:szCs w:val="20"/>
          <w:lang w:val="zh-CN"/>
        </w:rPr>
        <w:t>最低评标价法</w:t>
      </w:r>
      <w:r>
        <w:rPr>
          <w:rFonts w:hint="eastAsia" w:ascii="宋体" w:hAnsi="宋体" w:eastAsia="宋体" w:cs="Times New Roman"/>
          <w:bCs/>
          <w:sz w:val="24"/>
          <w:szCs w:val="20"/>
          <w:lang w:val="zh-CN" w:eastAsia="zh-CN"/>
        </w:rPr>
        <w:t>，</w:t>
      </w:r>
      <w:r>
        <w:rPr>
          <w:rFonts w:hint="eastAsia" w:ascii="宋体" w:hAnsi="宋体" w:eastAsia="宋体" w:cs="Times New Roman"/>
          <w:bCs/>
          <w:sz w:val="24"/>
          <w:szCs w:val="20"/>
          <w:lang w:val="zh-CN"/>
        </w:rPr>
        <w:t>是指投标文件满足招标文件全部实质性要求，且投标报价最低的投标人为中标候选人的评标方法。</w:t>
      </w:r>
    </w:p>
    <w:p>
      <w:pPr>
        <w:pStyle w:val="4"/>
        <w:numPr>
          <w:ilvl w:val="0"/>
          <w:numId w:val="45"/>
        </w:numPr>
        <w:spacing w:before="0" w:after="0" w:line="360" w:lineRule="auto"/>
        <w:ind w:left="616" w:hanging="616"/>
        <w:jc w:val="left"/>
        <w:rPr>
          <w:rFonts w:cs="Times New Roman" w:asciiTheme="majorEastAsia" w:hAnsiTheme="majorEastAsia"/>
          <w:bCs w:val="0"/>
          <w:sz w:val="30"/>
          <w:szCs w:val="30"/>
          <w:lang w:val="zh-CN" w:eastAsia="zh-CN"/>
        </w:rPr>
      </w:pPr>
      <w:bookmarkStart w:id="80" w:name="_Toc272247709"/>
      <w:bookmarkStart w:id="81" w:name="_Toc278891606"/>
      <w:bookmarkStart w:id="82" w:name="_Toc495861494"/>
      <w:bookmarkStart w:id="83" w:name="_Toc494561962"/>
      <w:bookmarkStart w:id="84" w:name="_Toc17085"/>
      <w:r>
        <w:rPr>
          <w:rFonts w:hint="eastAsia" w:cs="Times New Roman" w:asciiTheme="majorEastAsia" w:hAnsiTheme="majorEastAsia"/>
          <w:bCs w:val="0"/>
          <w:sz w:val="30"/>
          <w:szCs w:val="30"/>
          <w:lang w:val="zh-CN" w:eastAsia="zh-CN"/>
        </w:rPr>
        <w:t>评标程序</w:t>
      </w:r>
      <w:bookmarkEnd w:id="80"/>
      <w:bookmarkEnd w:id="81"/>
      <w:r>
        <w:rPr>
          <w:rFonts w:hint="eastAsia" w:cs="Times New Roman" w:asciiTheme="majorEastAsia" w:hAnsiTheme="majorEastAsia"/>
          <w:bCs w:val="0"/>
          <w:sz w:val="30"/>
          <w:szCs w:val="30"/>
          <w:lang w:val="zh-CN" w:eastAsia="zh-CN"/>
        </w:rPr>
        <w:t>及标准</w:t>
      </w:r>
      <w:bookmarkEnd w:id="82"/>
      <w:bookmarkEnd w:id="83"/>
      <w:bookmarkEnd w:id="84"/>
    </w:p>
    <w:p>
      <w:pPr>
        <w:spacing w:line="360" w:lineRule="auto"/>
        <w:ind w:firstLine="480" w:firstLineChars="200"/>
        <w:rPr>
          <w:rFonts w:ascii="宋体" w:hAnsi="宋体" w:eastAsia="宋体" w:cs="Times New Roman"/>
          <w:bCs/>
          <w:sz w:val="24"/>
          <w:szCs w:val="20"/>
          <w:lang w:val="zh-CN"/>
        </w:rPr>
      </w:pPr>
      <w:r>
        <w:rPr>
          <w:rFonts w:hint="eastAsia" w:ascii="宋体" w:hAnsi="宋体" w:eastAsia="宋体" w:cs="Times New Roman"/>
          <w:bCs/>
          <w:sz w:val="24"/>
          <w:szCs w:val="20"/>
          <w:lang w:val="zh-CN" w:eastAsia="zh-CN"/>
        </w:rPr>
        <w:t>评标委员会按以下工作程序进行评标</w:t>
      </w:r>
      <w:r>
        <w:rPr>
          <w:rFonts w:hint="eastAsia" w:ascii="宋体" w:hAnsi="宋体" w:eastAsia="宋体" w:cs="Times New Roman"/>
          <w:bCs/>
          <w:sz w:val="24"/>
          <w:szCs w:val="20"/>
          <w:lang w:val="zh-CN"/>
        </w:rPr>
        <w:t>：</w:t>
      </w:r>
      <w:r>
        <w:rPr>
          <w:rFonts w:hint="eastAsia" w:ascii="宋体" w:hAnsi="宋体" w:eastAsia="宋体" w:cs="Times New Roman"/>
          <w:sz w:val="24"/>
          <w:szCs w:val="20"/>
          <w:lang w:val="zh-CN"/>
        </w:rPr>
        <w:t>符合性审查、</w:t>
      </w:r>
      <w:r>
        <w:rPr>
          <w:rFonts w:hint="eastAsia" w:ascii="宋体" w:hAnsi="宋体" w:eastAsia="宋体" w:cs="Times New Roman"/>
          <w:sz w:val="24"/>
          <w:szCs w:val="20"/>
          <w:lang w:val="zh-CN" w:eastAsia="zh-CN"/>
        </w:rPr>
        <w:t>澄清有关问题</w:t>
      </w:r>
      <w:r>
        <w:rPr>
          <w:rFonts w:hint="eastAsia" w:ascii="宋体" w:hAnsi="宋体" w:eastAsia="宋体" w:cs="Times New Roman"/>
          <w:sz w:val="24"/>
          <w:szCs w:val="20"/>
          <w:lang w:val="zh-CN"/>
        </w:rPr>
        <w:t>、综合</w:t>
      </w:r>
      <w:r>
        <w:rPr>
          <w:rFonts w:hint="eastAsia" w:ascii="宋体" w:hAnsi="宋体" w:eastAsia="宋体" w:cs="Times New Roman"/>
          <w:sz w:val="24"/>
          <w:szCs w:val="20"/>
          <w:lang w:val="zh-CN" w:eastAsia="zh-CN"/>
        </w:rPr>
        <w:t>比较</w:t>
      </w:r>
      <w:r>
        <w:rPr>
          <w:rFonts w:hint="eastAsia" w:ascii="宋体" w:hAnsi="宋体" w:eastAsia="宋体" w:cs="Times New Roman"/>
          <w:sz w:val="24"/>
          <w:szCs w:val="20"/>
          <w:lang w:val="zh-CN"/>
        </w:rPr>
        <w:t>和</w:t>
      </w:r>
      <w:r>
        <w:rPr>
          <w:rFonts w:hint="eastAsia" w:ascii="宋体" w:hAnsi="宋体" w:eastAsia="宋体" w:cs="Times New Roman"/>
          <w:sz w:val="24"/>
          <w:szCs w:val="20"/>
          <w:lang w:val="zh-CN" w:eastAsia="zh-CN"/>
        </w:rPr>
        <w:t>评价</w:t>
      </w:r>
      <w:r>
        <w:rPr>
          <w:rFonts w:hint="eastAsia" w:ascii="宋体" w:hAnsi="宋体" w:eastAsia="宋体" w:cs="Times New Roman"/>
          <w:sz w:val="24"/>
          <w:szCs w:val="20"/>
          <w:lang w:val="zh-CN"/>
        </w:rPr>
        <w:t>、确定</w:t>
      </w:r>
      <w:r>
        <w:rPr>
          <w:rFonts w:hint="eastAsia" w:ascii="宋体" w:hAnsi="宋体" w:eastAsia="宋体" w:cs="Times New Roman"/>
          <w:sz w:val="24"/>
          <w:szCs w:val="20"/>
          <w:lang w:val="zh-CN" w:eastAsia="zh-CN"/>
        </w:rPr>
        <w:t>中标候选人名单。</w:t>
      </w:r>
    </w:p>
    <w:p>
      <w:pPr>
        <w:numPr>
          <w:ilvl w:val="0"/>
          <w:numId w:val="46"/>
        </w:numPr>
        <w:ind w:left="1311" w:leftChars="154" w:hanging="988" w:hangingChars="353"/>
        <w:rPr>
          <w:rFonts w:ascii="宋体" w:hAnsi="宋体" w:eastAsia="宋体" w:cs="Times New Roman"/>
          <w:strike/>
          <w:sz w:val="28"/>
          <w:szCs w:val="28"/>
          <w:lang w:val="zh-CN"/>
        </w:rPr>
      </w:pPr>
      <w:r>
        <w:rPr>
          <w:rFonts w:hint="eastAsia" w:ascii="宋体" w:hAnsi="宋体" w:eastAsia="宋体" w:cs="Times New Roman"/>
          <w:b/>
          <w:sz w:val="28"/>
          <w:szCs w:val="28"/>
          <w:lang w:val="zh-CN"/>
        </w:rPr>
        <w:t>符合性审查</w:t>
      </w:r>
    </w:p>
    <w:p>
      <w:pPr>
        <w:spacing w:line="360" w:lineRule="auto"/>
        <w:ind w:firstLine="470" w:firstLineChars="196"/>
        <w:rPr>
          <w:rFonts w:ascii="宋体" w:hAnsi="宋体" w:eastAsia="宋体" w:cs="Times New Roman"/>
          <w:bCs/>
          <w:sz w:val="24"/>
          <w:szCs w:val="20"/>
          <w:lang w:val="zh-CN"/>
        </w:rPr>
      </w:pPr>
      <w:r>
        <w:rPr>
          <w:rFonts w:ascii="Helvetica" w:hAnsi="Helvetica" w:eastAsia="宋体" w:cs="Helvetica"/>
          <w:kern w:val="0"/>
          <w:sz w:val="24"/>
          <w:szCs w:val="24"/>
          <w:lang w:val="zh-CN" w:eastAsia="zh-CN"/>
        </w:rPr>
        <w:t>评标委员会应当对符合资格的投标人的投标文件进行符合性审查，以确定其是否满足招标文件的实质性要求。</w:t>
      </w:r>
      <w:r>
        <w:rPr>
          <w:rFonts w:hint="eastAsia" w:ascii="宋体" w:hAnsi="宋体" w:eastAsia="宋体" w:cs="Times New Roman"/>
          <w:bCs/>
          <w:sz w:val="24"/>
          <w:szCs w:val="20"/>
          <w:lang w:val="zh-CN" w:eastAsia="zh-CN"/>
        </w:rPr>
        <w:t>符合性</w:t>
      </w:r>
      <w:r>
        <w:rPr>
          <w:rFonts w:hint="eastAsia" w:ascii="宋体" w:hAnsi="宋体" w:eastAsia="宋体" w:cs="Times New Roman"/>
          <w:bCs/>
          <w:sz w:val="24"/>
          <w:szCs w:val="20"/>
          <w:lang w:val="zh-CN"/>
        </w:rPr>
        <w:t>审查</w:t>
      </w:r>
      <w:r>
        <w:rPr>
          <w:rFonts w:hint="eastAsia" w:ascii="宋体" w:hAnsi="宋体" w:eastAsia="宋体" w:cs="Times New Roman"/>
          <w:bCs/>
          <w:sz w:val="24"/>
          <w:szCs w:val="20"/>
          <w:lang w:val="zh-CN" w:eastAsia="zh-CN"/>
        </w:rPr>
        <w:t>出现下列情形之一的投标</w:t>
      </w:r>
      <w:r>
        <w:rPr>
          <w:rFonts w:hint="eastAsia" w:ascii="宋体" w:hAnsi="宋体" w:eastAsia="宋体" w:cs="Times New Roman"/>
          <w:bCs/>
          <w:sz w:val="24"/>
          <w:szCs w:val="20"/>
          <w:lang w:val="zh-CN"/>
        </w:rPr>
        <w:t>按照</w:t>
      </w:r>
      <w:r>
        <w:rPr>
          <w:rFonts w:hint="eastAsia" w:ascii="宋体" w:hAnsi="宋体" w:eastAsia="宋体" w:cs="Times New Roman"/>
          <w:b/>
          <w:bCs/>
          <w:sz w:val="24"/>
          <w:szCs w:val="20"/>
          <w:lang w:val="zh-CN" w:eastAsia="zh-CN"/>
        </w:rPr>
        <w:t>无效投标</w:t>
      </w:r>
      <w:r>
        <w:rPr>
          <w:rFonts w:hint="eastAsia" w:ascii="宋体" w:hAnsi="宋体" w:eastAsia="宋体" w:cs="Times New Roman"/>
          <w:b/>
          <w:bCs/>
          <w:sz w:val="24"/>
          <w:szCs w:val="20"/>
          <w:lang w:val="zh-CN"/>
        </w:rPr>
        <w:t>处理</w:t>
      </w:r>
      <w:r>
        <w:rPr>
          <w:rFonts w:hint="eastAsia" w:ascii="宋体" w:hAnsi="宋体" w:eastAsia="宋体" w:cs="Times New Roman"/>
          <w:bCs/>
          <w:sz w:val="24"/>
          <w:szCs w:val="20"/>
          <w:lang w:val="zh-CN" w:eastAsia="zh-CN"/>
        </w:rPr>
        <w:t>：</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投标总报价超过项目（分包）预算金额或最高限价的；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《投标书》、《法定代表人授权书》、《开标一览表》、《投标报价明细表》未提供或不符合招标文件要求的；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工期（服务期限）、质保期不符合招标文件要求的；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出现两个或两个以上不同报价的；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出现两个或两个以上投标方案的（招标文件中要求提供备选方案的除外）；</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投标报价存在缺项、漏项的；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投标有效期不足的；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无法定代表人签字（签章）或签字（签章）人无法定代表人有效授权的；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正本未按要求提供加盖公章及签字（签章）原件的；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符合招标文件第二章“投标人须知”中40条中规定情形，以分公司形式参与投标的，法定代表人授权书未由总公司法定代表人签字（盖章）并加盖公章的；</w:t>
      </w:r>
    </w:p>
    <w:p>
      <w:pPr>
        <w:numPr>
          <w:ilvl w:val="0"/>
          <w:numId w:val="47"/>
        </w:numPr>
        <w:tabs>
          <w:tab w:val="left" w:pos="616"/>
        </w:tabs>
        <w:spacing w:line="360" w:lineRule="auto"/>
        <w:ind w:left="10" w:leftChars="5" w:firstLine="237" w:firstLineChars="99"/>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未按要求提供招标文件第二章“十一 其他注意事项”中规定的书面声明的；</w:t>
      </w:r>
    </w:p>
    <w:p>
      <w:pPr>
        <w:keepNext w:val="0"/>
        <w:keepLines w:val="0"/>
        <w:pageBreakBefore w:val="0"/>
        <w:widowControl w:val="0"/>
        <w:numPr>
          <w:ilvl w:val="0"/>
          <w:numId w:val="47"/>
        </w:numPr>
        <w:tabs>
          <w:tab w:val="left" w:pos="616"/>
        </w:tabs>
        <w:kinsoku/>
        <w:wordWrap/>
        <w:overflowPunct/>
        <w:topLinePunct w:val="0"/>
        <w:autoSpaceDE/>
        <w:autoSpaceDN/>
        <w:bidi w:val="0"/>
        <w:snapToGrid/>
        <w:spacing w:line="600" w:lineRule="exact"/>
        <w:ind w:left="10" w:leftChars="5" w:firstLine="237" w:firstLineChars="99"/>
        <w:textAlignment w:val="auto"/>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未提供所投货物（工程或服务）的具体参数值或功能表述，或原文复制招标文件的技术规格相关部分内容作为其投标文件的一部分的；</w:t>
      </w:r>
    </w:p>
    <w:p>
      <w:pPr>
        <w:keepNext w:val="0"/>
        <w:keepLines w:val="0"/>
        <w:pageBreakBefore w:val="0"/>
        <w:widowControl w:val="0"/>
        <w:numPr>
          <w:ilvl w:val="0"/>
          <w:numId w:val="47"/>
        </w:numPr>
        <w:tabs>
          <w:tab w:val="left" w:pos="616"/>
        </w:tabs>
        <w:kinsoku/>
        <w:wordWrap/>
        <w:overflowPunct/>
        <w:topLinePunct w:val="0"/>
        <w:autoSpaceDE/>
        <w:autoSpaceDN/>
        <w:bidi w:val="0"/>
        <w:snapToGrid/>
        <w:spacing w:line="600" w:lineRule="exact"/>
        <w:ind w:left="10" w:leftChars="5" w:firstLine="237" w:firstLineChars="99"/>
        <w:textAlignment w:val="auto"/>
        <w:rPr>
          <w:rFonts w:ascii="Times New Roman" w:hAnsi="宋体" w:eastAsia="宋体" w:cs="Times New Roman"/>
          <w:sz w:val="24"/>
          <w:szCs w:val="24"/>
          <w:lang w:val="zh-CN"/>
        </w:rPr>
      </w:pPr>
      <w:r>
        <w:rPr>
          <w:rFonts w:hint="eastAsia" w:ascii="Times New Roman" w:hAnsi="宋体" w:eastAsia="宋体" w:cs="Times New Roman"/>
          <w:sz w:val="24"/>
          <w:szCs w:val="24"/>
          <w:lang w:val="zh-CN"/>
        </w:rPr>
        <w:t>不满足招标文件第三章“项目技术、服务和商务要求”要求的；</w:t>
      </w:r>
    </w:p>
    <w:p>
      <w:pPr>
        <w:keepNext w:val="0"/>
        <w:keepLines w:val="0"/>
        <w:pageBreakBefore w:val="0"/>
        <w:widowControl w:val="0"/>
        <w:numPr>
          <w:ilvl w:val="0"/>
          <w:numId w:val="47"/>
        </w:numPr>
        <w:tabs>
          <w:tab w:val="left" w:pos="616"/>
        </w:tabs>
        <w:kinsoku/>
        <w:wordWrap/>
        <w:overflowPunct/>
        <w:topLinePunct w:val="0"/>
        <w:autoSpaceDE/>
        <w:autoSpaceDN/>
        <w:bidi w:val="0"/>
        <w:snapToGrid/>
        <w:spacing w:line="600" w:lineRule="exact"/>
        <w:ind w:left="10" w:leftChars="5" w:firstLine="237" w:firstLineChars="99"/>
        <w:textAlignment w:val="auto"/>
        <w:rPr>
          <w:rFonts w:ascii="Times New Roman" w:hAnsi="宋体" w:eastAsia="宋体" w:cs="Times New Roman"/>
          <w:sz w:val="24"/>
          <w:szCs w:val="24"/>
          <w:lang w:val="zh-CN"/>
        </w:rPr>
      </w:pPr>
      <w:r>
        <w:rPr>
          <w:rFonts w:ascii="Times New Roman" w:hAnsi="宋体" w:eastAsia="宋体" w:cs="Times New Roman"/>
          <w:sz w:val="24"/>
          <w:szCs w:val="24"/>
          <w:lang w:val="zh-CN"/>
        </w:rPr>
        <w:t>含有采购人不能接受的附加条件的</w:t>
      </w:r>
      <w:r>
        <w:rPr>
          <w:rFonts w:hint="eastAsia" w:ascii="Times New Roman" w:hAnsi="宋体" w:eastAsia="宋体" w:cs="Times New Roman"/>
          <w:sz w:val="24"/>
          <w:szCs w:val="24"/>
          <w:lang w:val="zh-CN"/>
        </w:rPr>
        <w:t>；</w:t>
      </w:r>
    </w:p>
    <w:p>
      <w:pPr>
        <w:keepNext w:val="0"/>
        <w:keepLines w:val="0"/>
        <w:pageBreakBefore w:val="0"/>
        <w:widowControl w:val="0"/>
        <w:numPr>
          <w:ilvl w:val="0"/>
          <w:numId w:val="47"/>
        </w:numPr>
        <w:tabs>
          <w:tab w:val="left" w:pos="616"/>
        </w:tabs>
        <w:kinsoku/>
        <w:wordWrap/>
        <w:overflowPunct/>
        <w:topLinePunct w:val="0"/>
        <w:autoSpaceDE/>
        <w:autoSpaceDN/>
        <w:bidi w:val="0"/>
        <w:snapToGrid/>
        <w:spacing w:line="600" w:lineRule="exact"/>
        <w:ind w:left="10" w:leftChars="5" w:firstLine="237" w:firstLineChars="99"/>
        <w:textAlignment w:val="auto"/>
        <w:rPr>
          <w:rFonts w:ascii="Times New Roman" w:hAnsi="宋体" w:eastAsia="宋体" w:cs="Times New Roman"/>
          <w:sz w:val="24"/>
          <w:szCs w:val="24"/>
          <w:lang w:val="zh-CN"/>
        </w:rPr>
      </w:pPr>
      <w:r>
        <w:rPr>
          <w:rFonts w:hint="eastAsia" w:ascii="Times New Roman" w:hAnsi="宋体" w:eastAsia="宋体" w:cs="Times New Roman"/>
          <w:sz w:val="24"/>
          <w:szCs w:val="24"/>
          <w:lang w:val="zh-CN"/>
        </w:rPr>
        <w:t>未按要求提供《符合性审查对照表》、《商务要求响应、偏离说明表》、《技术、服务要求响应、偏离说明表》的；</w:t>
      </w:r>
    </w:p>
    <w:p>
      <w:pPr>
        <w:keepNext w:val="0"/>
        <w:keepLines w:val="0"/>
        <w:pageBreakBefore w:val="0"/>
        <w:widowControl w:val="0"/>
        <w:numPr>
          <w:ilvl w:val="0"/>
          <w:numId w:val="47"/>
        </w:numPr>
        <w:tabs>
          <w:tab w:val="left" w:pos="616"/>
        </w:tabs>
        <w:kinsoku/>
        <w:wordWrap/>
        <w:overflowPunct/>
        <w:topLinePunct w:val="0"/>
        <w:autoSpaceDE/>
        <w:autoSpaceDN/>
        <w:bidi w:val="0"/>
        <w:snapToGrid/>
        <w:spacing w:line="600" w:lineRule="exact"/>
        <w:ind w:left="10" w:leftChars="5" w:firstLine="237" w:firstLineChars="99"/>
        <w:textAlignment w:val="auto"/>
        <w:rPr>
          <w:rFonts w:ascii="Times New Roman" w:hAnsi="宋体" w:eastAsia="宋体" w:cs="Times New Roman"/>
          <w:sz w:val="24"/>
          <w:szCs w:val="24"/>
          <w:lang w:val="zh-CN"/>
        </w:rPr>
      </w:pPr>
      <w:r>
        <w:rPr>
          <w:rFonts w:ascii="Times New Roman" w:hAnsi="宋体" w:eastAsia="宋体" w:cs="Times New Roman"/>
          <w:sz w:val="24"/>
          <w:szCs w:val="24"/>
          <w:lang w:val="zh-CN"/>
        </w:rPr>
        <w:t>法律、法规</w:t>
      </w:r>
      <w:r>
        <w:rPr>
          <w:rFonts w:hint="eastAsia" w:ascii="Times New Roman" w:hAnsi="宋体" w:eastAsia="宋体" w:cs="Times New Roman"/>
          <w:sz w:val="24"/>
          <w:szCs w:val="24"/>
          <w:lang w:val="zh-CN"/>
        </w:rPr>
        <w:t>和招标文件</w:t>
      </w:r>
      <w:r>
        <w:rPr>
          <w:rFonts w:ascii="Times New Roman" w:hAnsi="宋体" w:eastAsia="宋体" w:cs="Times New Roman"/>
          <w:sz w:val="24"/>
          <w:szCs w:val="24"/>
          <w:lang w:val="zh-CN"/>
        </w:rPr>
        <w:t>规定的其他</w:t>
      </w:r>
      <w:r>
        <w:rPr>
          <w:rFonts w:hint="eastAsia" w:ascii="Times New Roman" w:hAnsi="宋体" w:eastAsia="宋体" w:cs="Times New Roman"/>
          <w:sz w:val="24"/>
          <w:szCs w:val="24"/>
          <w:lang w:val="zh-CN"/>
        </w:rPr>
        <w:t>无效投标</w:t>
      </w:r>
      <w:r>
        <w:rPr>
          <w:rFonts w:ascii="Times New Roman" w:hAnsi="宋体" w:eastAsia="宋体" w:cs="Times New Roman"/>
          <w:sz w:val="24"/>
          <w:szCs w:val="24"/>
          <w:lang w:val="zh-CN"/>
        </w:rPr>
        <w:t>情形。</w:t>
      </w:r>
    </w:p>
    <w:p>
      <w:pPr>
        <w:keepNext w:val="0"/>
        <w:keepLines w:val="0"/>
        <w:pageBreakBefore w:val="0"/>
        <w:widowControl w:val="0"/>
        <w:numPr>
          <w:ilvl w:val="0"/>
          <w:numId w:val="46"/>
        </w:numPr>
        <w:kinsoku/>
        <w:wordWrap/>
        <w:overflowPunct/>
        <w:topLinePunct w:val="0"/>
        <w:autoSpaceDE/>
        <w:autoSpaceDN/>
        <w:bidi w:val="0"/>
        <w:snapToGrid/>
        <w:spacing w:line="600" w:lineRule="exact"/>
        <w:ind w:left="1311" w:leftChars="154" w:hanging="988" w:hangingChars="353"/>
        <w:textAlignment w:val="auto"/>
        <w:rPr>
          <w:rFonts w:ascii="宋体" w:hAnsi="宋体" w:eastAsia="宋体" w:cs="Times New Roman"/>
          <w:b/>
          <w:sz w:val="28"/>
          <w:szCs w:val="28"/>
          <w:lang w:val="zh-CN"/>
        </w:rPr>
      </w:pPr>
      <w:r>
        <w:rPr>
          <w:rFonts w:hint="eastAsia" w:ascii="宋体" w:hAnsi="宋体" w:eastAsia="宋体" w:cs="Times New Roman"/>
          <w:b/>
          <w:sz w:val="28"/>
          <w:szCs w:val="28"/>
          <w:lang w:val="zh-CN"/>
        </w:rPr>
        <w:t>澄清有关问题</w:t>
      </w:r>
    </w:p>
    <w:p>
      <w:pPr>
        <w:keepNext w:val="0"/>
        <w:keepLines w:val="0"/>
        <w:pageBreakBefore w:val="0"/>
        <w:widowControl w:val="0"/>
        <w:numPr>
          <w:ilvl w:val="0"/>
          <w:numId w:val="48"/>
        </w:numPr>
        <w:tabs>
          <w:tab w:val="left" w:pos="616"/>
        </w:tabs>
        <w:kinsoku/>
        <w:wordWrap/>
        <w:overflowPunct/>
        <w:topLinePunct w:val="0"/>
        <w:autoSpaceDE/>
        <w:autoSpaceDN/>
        <w:bidi w:val="0"/>
        <w:snapToGrid/>
        <w:spacing w:line="600" w:lineRule="exact"/>
        <w:ind w:left="10" w:leftChars="5" w:firstLine="237" w:firstLineChars="99"/>
        <w:textAlignment w:val="auto"/>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评标期间，</w:t>
      </w:r>
      <w:r>
        <w:rPr>
          <w:rFonts w:ascii="Helvetica" w:hAnsi="Helvetica" w:eastAsia="宋体" w:cs="Helvetica"/>
          <w:kern w:val="0"/>
          <w:sz w:val="24"/>
          <w:szCs w:val="24"/>
          <w:lang w:val="zh-CN" w:eastAsia="zh-CN"/>
        </w:rPr>
        <w:t>对于投标文件中含义不明确、同类问题表述不一致或者有明显文字和计算错误的内容，评标委员会应当以书面形式要求投标人作出必要的澄清、说明或者补正。</w:t>
      </w:r>
    </w:p>
    <w:p>
      <w:pPr>
        <w:keepNext w:val="0"/>
        <w:keepLines w:val="0"/>
        <w:pageBreakBefore w:val="0"/>
        <w:widowControl w:val="0"/>
        <w:numPr>
          <w:ilvl w:val="0"/>
          <w:numId w:val="48"/>
        </w:numPr>
        <w:tabs>
          <w:tab w:val="left" w:pos="616"/>
        </w:tabs>
        <w:kinsoku/>
        <w:wordWrap/>
        <w:overflowPunct/>
        <w:topLinePunct w:val="0"/>
        <w:autoSpaceDE/>
        <w:autoSpaceDN/>
        <w:bidi w:val="0"/>
        <w:snapToGrid/>
        <w:spacing w:line="600" w:lineRule="exact"/>
        <w:ind w:left="10" w:leftChars="5" w:firstLine="237" w:firstLineChars="99"/>
        <w:textAlignment w:val="auto"/>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投标人应按照评标委员会要求的澄清内容在规定时间内做出澄清。</w:t>
      </w:r>
      <w:r>
        <w:rPr>
          <w:rFonts w:ascii="Helvetica" w:hAnsi="Helvetica" w:eastAsia="宋体" w:cs="Helvetica"/>
          <w:kern w:val="0"/>
          <w:sz w:val="24"/>
          <w:szCs w:val="24"/>
          <w:lang w:val="zh-CN" w:eastAsia="zh-CN"/>
        </w:rPr>
        <w:t>投标文件报价出现前后不一致的</w:t>
      </w:r>
      <w:r>
        <w:rPr>
          <w:rFonts w:hint="eastAsia" w:ascii="Helvetica" w:hAnsi="Helvetica" w:eastAsia="宋体" w:cs="Helvetica"/>
          <w:kern w:val="0"/>
          <w:sz w:val="24"/>
          <w:szCs w:val="24"/>
          <w:lang w:val="zh-CN" w:eastAsia="zh-CN"/>
        </w:rPr>
        <w:t>，按照本节第3条规定进行修正，</w:t>
      </w:r>
      <w:r>
        <w:rPr>
          <w:rFonts w:ascii="Helvetica" w:hAnsi="Helvetica" w:eastAsia="宋体" w:cs="Helvetica"/>
          <w:kern w:val="0"/>
          <w:sz w:val="24"/>
          <w:szCs w:val="24"/>
          <w:lang w:val="zh-CN" w:eastAsia="zh-CN"/>
        </w:rPr>
        <w:t>投标人的澄清、说明或者补正不得超出投标文件的范围或者改变投标文件的实质性内容。</w:t>
      </w:r>
    </w:p>
    <w:p>
      <w:pPr>
        <w:keepNext w:val="0"/>
        <w:keepLines w:val="0"/>
        <w:pageBreakBefore w:val="0"/>
        <w:widowControl w:val="0"/>
        <w:numPr>
          <w:ilvl w:val="0"/>
          <w:numId w:val="48"/>
        </w:numPr>
        <w:tabs>
          <w:tab w:val="left" w:pos="616"/>
        </w:tabs>
        <w:kinsoku/>
        <w:wordWrap/>
        <w:overflowPunct/>
        <w:topLinePunct w:val="0"/>
        <w:autoSpaceDE/>
        <w:autoSpaceDN/>
        <w:bidi w:val="0"/>
        <w:snapToGrid/>
        <w:spacing w:line="600" w:lineRule="exact"/>
        <w:ind w:left="10" w:leftChars="5" w:firstLine="237" w:firstLineChars="99"/>
        <w:textAlignment w:val="auto"/>
        <w:rPr>
          <w:rFonts w:ascii="Helvetica" w:hAnsi="Helvetica" w:eastAsia="宋体" w:cs="Helvetica"/>
          <w:kern w:val="0"/>
          <w:sz w:val="24"/>
          <w:szCs w:val="24"/>
          <w:lang w:val="zh-CN" w:eastAsia="zh-CN"/>
        </w:rPr>
      </w:pPr>
      <w:r>
        <w:rPr>
          <w:rFonts w:ascii="Helvetica" w:hAnsi="Helvetica" w:eastAsia="宋体" w:cs="Helvetica"/>
          <w:kern w:val="0"/>
          <w:sz w:val="24"/>
          <w:szCs w:val="24"/>
          <w:lang w:val="zh-CN" w:eastAsia="zh-CN"/>
        </w:rPr>
        <w:t>投标文件报价出现前后不一致的，按照下列规定修正：</w:t>
      </w:r>
    </w:p>
    <w:p>
      <w:pPr>
        <w:keepNext w:val="0"/>
        <w:keepLines w:val="0"/>
        <w:pageBreakBefore w:val="0"/>
        <w:widowControl w:val="0"/>
        <w:numPr>
          <w:ilvl w:val="0"/>
          <w:numId w:val="49"/>
        </w:numPr>
        <w:kinsoku/>
        <w:wordWrap/>
        <w:overflowPunct/>
        <w:topLinePunct w:val="0"/>
        <w:autoSpaceDE/>
        <w:autoSpaceDN/>
        <w:bidi w:val="0"/>
        <w:adjustRightInd w:val="0"/>
        <w:snapToGrid/>
        <w:spacing w:line="6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投标文件中开标一览表内容与投标文件中相应内容不一致的，以开标一览表为准</w:t>
      </w:r>
      <w:r>
        <w:rPr>
          <w:rFonts w:hint="eastAsia" w:ascii="宋体" w:hAnsi="宋体" w:eastAsia="宋体" w:cs="Times New Roman"/>
          <w:color w:val="0D0D0D"/>
          <w:sz w:val="24"/>
          <w:szCs w:val="24"/>
          <w:lang w:val="zh-CN"/>
        </w:rPr>
        <w:t>。</w:t>
      </w:r>
    </w:p>
    <w:p>
      <w:pPr>
        <w:keepNext w:val="0"/>
        <w:keepLines w:val="0"/>
        <w:pageBreakBefore w:val="0"/>
        <w:widowControl w:val="0"/>
        <w:numPr>
          <w:ilvl w:val="0"/>
          <w:numId w:val="49"/>
        </w:numPr>
        <w:kinsoku/>
        <w:wordWrap/>
        <w:overflowPunct/>
        <w:topLinePunct w:val="0"/>
        <w:autoSpaceDE/>
        <w:autoSpaceDN/>
        <w:bidi w:val="0"/>
        <w:adjustRightInd w:val="0"/>
        <w:snapToGrid/>
        <w:spacing w:line="6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大写金额和小写金额不一致的，以大写金额为准</w:t>
      </w:r>
      <w:r>
        <w:rPr>
          <w:rFonts w:hint="eastAsia" w:ascii="宋体" w:hAnsi="宋体" w:eastAsia="宋体" w:cs="Times New Roman"/>
          <w:color w:val="0D0D0D"/>
          <w:sz w:val="24"/>
          <w:szCs w:val="24"/>
          <w:lang w:val="zh-CN"/>
        </w:rPr>
        <w:t>。</w:t>
      </w:r>
    </w:p>
    <w:p>
      <w:pPr>
        <w:keepNext w:val="0"/>
        <w:keepLines w:val="0"/>
        <w:pageBreakBefore w:val="0"/>
        <w:widowControl w:val="0"/>
        <w:numPr>
          <w:ilvl w:val="0"/>
          <w:numId w:val="49"/>
        </w:numPr>
        <w:kinsoku/>
        <w:wordWrap/>
        <w:overflowPunct/>
        <w:topLinePunct w:val="0"/>
        <w:autoSpaceDE/>
        <w:autoSpaceDN/>
        <w:bidi w:val="0"/>
        <w:adjustRightInd w:val="0"/>
        <w:snapToGrid/>
        <w:spacing w:line="6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单价金额小数点或者百分比有明显错位的，以开标一览表的总价为准，并修改单价</w:t>
      </w:r>
      <w:r>
        <w:rPr>
          <w:rFonts w:hint="eastAsia" w:ascii="宋体" w:hAnsi="宋体" w:eastAsia="宋体" w:cs="Times New Roman"/>
          <w:color w:val="0D0D0D"/>
          <w:sz w:val="24"/>
          <w:szCs w:val="24"/>
          <w:lang w:val="zh-CN"/>
        </w:rPr>
        <w:t>。</w:t>
      </w:r>
    </w:p>
    <w:p>
      <w:pPr>
        <w:keepNext w:val="0"/>
        <w:keepLines w:val="0"/>
        <w:pageBreakBefore w:val="0"/>
        <w:widowControl w:val="0"/>
        <w:numPr>
          <w:ilvl w:val="0"/>
          <w:numId w:val="49"/>
        </w:numPr>
        <w:kinsoku/>
        <w:wordWrap/>
        <w:overflowPunct/>
        <w:topLinePunct w:val="0"/>
        <w:autoSpaceDE/>
        <w:autoSpaceDN/>
        <w:bidi w:val="0"/>
        <w:adjustRightInd w:val="0"/>
        <w:snapToGrid/>
        <w:spacing w:line="6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总价金额与按单价汇总金额不一致的，以单价金额计算结果为准</w:t>
      </w:r>
      <w:r>
        <w:rPr>
          <w:rFonts w:hint="eastAsia" w:ascii="宋体" w:hAnsi="宋体" w:eastAsia="宋体" w:cs="Times New Roman"/>
          <w:color w:val="0D0D0D"/>
          <w:sz w:val="24"/>
          <w:szCs w:val="24"/>
          <w:lang w:val="zh-CN"/>
        </w:rPr>
        <w:t>。</w:t>
      </w:r>
    </w:p>
    <w:p>
      <w:pPr>
        <w:keepNext w:val="0"/>
        <w:keepLines w:val="0"/>
        <w:pageBreakBefore w:val="0"/>
        <w:widowControl w:val="0"/>
        <w:numPr>
          <w:ilvl w:val="0"/>
          <w:numId w:val="49"/>
        </w:numPr>
        <w:kinsoku/>
        <w:wordWrap/>
        <w:overflowPunct/>
        <w:topLinePunct w:val="0"/>
        <w:autoSpaceDE/>
        <w:autoSpaceDN/>
        <w:bidi w:val="0"/>
        <w:adjustRightInd w:val="0"/>
        <w:snapToGrid/>
        <w:spacing w:line="6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同时出现两种以上不一致的，按照前款规定的顺序修正</w:t>
      </w:r>
      <w:r>
        <w:rPr>
          <w:rFonts w:hint="eastAsia" w:ascii="宋体" w:hAnsi="宋体" w:eastAsia="宋体" w:cs="Times New Roman"/>
          <w:color w:val="0D0D0D"/>
          <w:sz w:val="24"/>
          <w:szCs w:val="24"/>
          <w:lang w:val="zh-CN"/>
        </w:rPr>
        <w:t>。</w:t>
      </w:r>
    </w:p>
    <w:p>
      <w:pPr>
        <w:keepNext w:val="0"/>
        <w:keepLines w:val="0"/>
        <w:pageBreakBefore w:val="0"/>
        <w:widowControl w:val="0"/>
        <w:numPr>
          <w:ilvl w:val="0"/>
          <w:numId w:val="49"/>
        </w:numPr>
        <w:kinsoku/>
        <w:wordWrap/>
        <w:overflowPunct/>
        <w:topLinePunct w:val="0"/>
        <w:autoSpaceDE/>
        <w:autoSpaceDN/>
        <w:bidi w:val="0"/>
        <w:adjustRightInd w:val="0"/>
        <w:snapToGrid/>
        <w:spacing w:line="5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修正后的报价按照</w:t>
      </w:r>
      <w:r>
        <w:rPr>
          <w:rFonts w:hint="eastAsia" w:ascii="宋体" w:hAnsi="宋体" w:eastAsia="宋体" w:cs="Times New Roman"/>
          <w:color w:val="0D0D0D"/>
          <w:sz w:val="24"/>
          <w:szCs w:val="24"/>
          <w:lang w:val="zh-CN" w:eastAsia="zh-CN"/>
        </w:rPr>
        <w:t>本节第</w:t>
      </w:r>
      <w:r>
        <w:rPr>
          <w:rFonts w:hint="eastAsia" w:ascii="宋体" w:hAnsi="宋体" w:eastAsia="宋体" w:cs="Times New Roman"/>
          <w:color w:val="0D0D0D"/>
          <w:sz w:val="24"/>
          <w:szCs w:val="24"/>
          <w:lang w:val="zh-CN"/>
        </w:rPr>
        <w:t>4</w:t>
      </w:r>
      <w:r>
        <w:rPr>
          <w:rFonts w:hint="eastAsia" w:ascii="宋体" w:hAnsi="宋体" w:eastAsia="宋体" w:cs="Times New Roman"/>
          <w:color w:val="0D0D0D"/>
          <w:sz w:val="24"/>
          <w:szCs w:val="24"/>
          <w:lang w:val="zh-CN" w:eastAsia="zh-CN"/>
        </w:rPr>
        <w:t>条规定</w:t>
      </w:r>
      <w:r>
        <w:rPr>
          <w:rFonts w:ascii="宋体" w:hAnsi="宋体" w:eastAsia="宋体" w:cs="Times New Roman"/>
          <w:color w:val="0D0D0D"/>
          <w:sz w:val="24"/>
          <w:szCs w:val="24"/>
          <w:lang w:val="zh-CN" w:eastAsia="zh-CN"/>
        </w:rPr>
        <w:t>经投标人确认后产生约束力，投标人不确认的，</w:t>
      </w:r>
      <w:r>
        <w:rPr>
          <w:rFonts w:hint="eastAsia" w:ascii="宋体" w:hAnsi="宋体" w:eastAsia="宋体" w:cs="Times New Roman"/>
          <w:color w:val="0D0D0D"/>
          <w:sz w:val="24"/>
          <w:szCs w:val="24"/>
          <w:lang w:val="zh-CN"/>
        </w:rPr>
        <w:t>按照</w:t>
      </w:r>
      <w:r>
        <w:rPr>
          <w:rFonts w:ascii="宋体" w:hAnsi="宋体" w:eastAsia="宋体" w:cs="Times New Roman"/>
          <w:b/>
          <w:color w:val="0D0D0D"/>
          <w:sz w:val="24"/>
          <w:szCs w:val="24"/>
          <w:lang w:val="zh-CN" w:eastAsia="zh-CN"/>
        </w:rPr>
        <w:t>无效</w:t>
      </w:r>
      <w:r>
        <w:rPr>
          <w:rFonts w:hint="eastAsia" w:ascii="宋体" w:hAnsi="宋体" w:eastAsia="宋体" w:cs="Times New Roman"/>
          <w:b/>
          <w:color w:val="0D0D0D"/>
          <w:sz w:val="24"/>
          <w:szCs w:val="24"/>
          <w:lang w:val="zh-CN" w:eastAsia="zh-CN"/>
        </w:rPr>
        <w:t>投标处理</w:t>
      </w:r>
      <w:r>
        <w:rPr>
          <w:rFonts w:ascii="宋体" w:hAnsi="宋体" w:eastAsia="宋体" w:cs="Times New Roman"/>
          <w:color w:val="0D0D0D"/>
          <w:sz w:val="24"/>
          <w:szCs w:val="24"/>
          <w:lang w:val="zh-CN" w:eastAsia="zh-CN"/>
        </w:rPr>
        <w:t>。</w:t>
      </w:r>
    </w:p>
    <w:p>
      <w:pPr>
        <w:keepNext w:val="0"/>
        <w:keepLines w:val="0"/>
        <w:pageBreakBefore w:val="0"/>
        <w:widowControl w:val="0"/>
        <w:numPr>
          <w:ilvl w:val="0"/>
          <w:numId w:val="48"/>
        </w:numPr>
        <w:tabs>
          <w:tab w:val="left" w:pos="616"/>
        </w:tabs>
        <w:kinsoku/>
        <w:wordWrap/>
        <w:overflowPunct/>
        <w:topLinePunct w:val="0"/>
        <w:autoSpaceDE/>
        <w:autoSpaceDN/>
        <w:bidi w:val="0"/>
        <w:snapToGrid/>
        <w:spacing w:line="500" w:lineRule="exact"/>
        <w:ind w:left="10" w:leftChars="5" w:firstLine="237" w:firstLineChars="99"/>
        <w:textAlignment w:val="auto"/>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投标人的</w:t>
      </w:r>
      <w:r>
        <w:rPr>
          <w:rFonts w:ascii="Helvetica" w:hAnsi="Helvetica" w:eastAsia="宋体" w:cs="Helvetica"/>
          <w:kern w:val="0"/>
          <w:sz w:val="24"/>
          <w:szCs w:val="24"/>
          <w:lang w:val="zh-CN" w:eastAsia="zh-CN"/>
        </w:rPr>
        <w:t>澄清、说明或者补正</w:t>
      </w:r>
      <w:r>
        <w:rPr>
          <w:rFonts w:hint="eastAsia" w:ascii="Helvetica" w:hAnsi="Helvetica" w:eastAsia="宋体" w:cs="Helvetica"/>
          <w:kern w:val="0"/>
          <w:sz w:val="24"/>
          <w:szCs w:val="24"/>
          <w:lang w:val="zh-CN" w:eastAsia="zh-CN"/>
        </w:rPr>
        <w:t>是其投标文件的有效组成部分。</w:t>
      </w:r>
      <w:r>
        <w:rPr>
          <w:rFonts w:ascii="Helvetica" w:hAnsi="Helvetica" w:eastAsia="宋体" w:cs="Helvetica"/>
          <w:kern w:val="0"/>
          <w:sz w:val="24"/>
          <w:szCs w:val="24"/>
          <w:lang w:val="zh-CN" w:eastAsia="zh-CN"/>
        </w:rPr>
        <w:t>投标人的澄清、说明或者补正应当采用书面形式，并加盖公章，或者由法定代表人或其授权的代表签字。</w:t>
      </w:r>
    </w:p>
    <w:p>
      <w:pPr>
        <w:keepNext w:val="0"/>
        <w:keepLines w:val="0"/>
        <w:pageBreakBefore w:val="0"/>
        <w:widowControl w:val="0"/>
        <w:numPr>
          <w:ilvl w:val="0"/>
          <w:numId w:val="46"/>
        </w:numPr>
        <w:kinsoku/>
        <w:wordWrap/>
        <w:overflowPunct/>
        <w:topLinePunct w:val="0"/>
        <w:autoSpaceDE/>
        <w:autoSpaceDN/>
        <w:bidi w:val="0"/>
        <w:snapToGrid/>
        <w:spacing w:line="500" w:lineRule="exact"/>
        <w:ind w:left="1311" w:leftChars="154" w:hanging="988" w:hangingChars="353"/>
        <w:textAlignment w:val="auto"/>
        <w:rPr>
          <w:rFonts w:ascii="宋体" w:hAnsi="宋体" w:eastAsia="宋体" w:cs="Times New Roman"/>
          <w:b/>
          <w:sz w:val="28"/>
          <w:szCs w:val="28"/>
          <w:lang w:val="zh-CN"/>
        </w:rPr>
      </w:pPr>
      <w:r>
        <w:rPr>
          <w:rFonts w:hint="eastAsia" w:ascii="宋体" w:hAnsi="宋体" w:eastAsia="宋体" w:cs="Times New Roman"/>
          <w:b/>
          <w:sz w:val="28"/>
          <w:szCs w:val="28"/>
          <w:lang w:val="zh-CN"/>
        </w:rPr>
        <w:t>综合比较与评价</w:t>
      </w:r>
    </w:p>
    <w:p>
      <w:pPr>
        <w:keepNext w:val="0"/>
        <w:keepLines w:val="0"/>
        <w:pageBreakBefore w:val="0"/>
        <w:widowControl w:val="0"/>
        <w:kinsoku/>
        <w:wordWrap/>
        <w:overflowPunct/>
        <w:topLinePunct w:val="0"/>
        <w:autoSpaceDE/>
        <w:autoSpaceDN/>
        <w:bidi w:val="0"/>
        <w:snapToGrid/>
        <w:spacing w:line="500" w:lineRule="exact"/>
        <w:ind w:firstLine="480" w:firstLineChars="200"/>
        <w:textAlignment w:val="auto"/>
        <w:rPr>
          <w:rFonts w:ascii="宋体" w:hAnsi="宋体" w:eastAsia="宋体" w:cs="Times New Roman"/>
          <w:bCs/>
          <w:sz w:val="24"/>
          <w:szCs w:val="24"/>
        </w:rPr>
      </w:pPr>
      <w:r>
        <w:rPr>
          <w:rFonts w:ascii="宋体" w:hAnsi="宋体" w:eastAsia="宋体" w:cs="Times New Roman"/>
          <w:bCs/>
          <w:sz w:val="24"/>
          <w:szCs w:val="20"/>
          <w:lang w:val="zh-CN" w:eastAsia="zh-CN"/>
        </w:rPr>
        <w:t>评标委员会应当按照</w:t>
      </w:r>
      <w:r>
        <w:rPr>
          <w:rFonts w:hint="eastAsia" w:ascii="宋体" w:hAnsi="宋体" w:eastAsia="宋体" w:cs="Times New Roman"/>
          <w:bCs/>
          <w:sz w:val="24"/>
          <w:szCs w:val="20"/>
          <w:lang w:val="zh-CN"/>
        </w:rPr>
        <w:t>本章</w:t>
      </w:r>
      <w:r>
        <w:rPr>
          <w:rFonts w:ascii="宋体" w:hAnsi="宋体" w:eastAsia="宋体" w:cs="Times New Roman"/>
          <w:bCs/>
          <w:sz w:val="24"/>
          <w:szCs w:val="20"/>
          <w:lang w:val="zh-CN" w:eastAsia="zh-CN"/>
        </w:rPr>
        <w:t>中规定的</w:t>
      </w:r>
      <w:r>
        <w:rPr>
          <w:rFonts w:hint="eastAsia" w:ascii="宋体" w:hAnsi="宋体" w:eastAsia="宋体" w:cs="Times New Roman"/>
          <w:bCs/>
          <w:sz w:val="24"/>
          <w:szCs w:val="20"/>
          <w:lang w:val="zh-CN"/>
        </w:rPr>
        <w:t>评标方法和标准</w:t>
      </w:r>
      <w:r>
        <w:rPr>
          <w:rFonts w:ascii="宋体" w:hAnsi="宋体" w:eastAsia="宋体" w:cs="Times New Roman"/>
          <w:bCs/>
          <w:sz w:val="24"/>
          <w:szCs w:val="20"/>
          <w:lang w:val="zh-CN" w:eastAsia="zh-CN"/>
        </w:rPr>
        <w:t>，</w:t>
      </w:r>
      <w:r>
        <w:rPr>
          <w:rFonts w:hint="eastAsia" w:ascii="宋体" w:hAnsi="宋体" w:eastAsia="宋体" w:cs="Times New Roman"/>
          <w:bCs/>
          <w:sz w:val="24"/>
          <w:szCs w:val="24"/>
        </w:rPr>
        <w:t>对符合性审查合格的投标文件进行价格评议，即满足招标文件全部实质性要求按投标报价（落实政府采购政策进行价格调整的，以调整后的价格计算）由低到高顺序排列。</w:t>
      </w:r>
    </w:p>
    <w:p>
      <w:pPr>
        <w:keepNext w:val="0"/>
        <w:keepLines w:val="0"/>
        <w:pageBreakBefore w:val="0"/>
        <w:widowControl w:val="0"/>
        <w:numPr>
          <w:ilvl w:val="0"/>
          <w:numId w:val="50"/>
        </w:numPr>
        <w:tabs>
          <w:tab w:val="left" w:pos="616"/>
        </w:tabs>
        <w:kinsoku/>
        <w:wordWrap/>
        <w:overflowPunct/>
        <w:topLinePunct w:val="0"/>
        <w:autoSpaceDE/>
        <w:autoSpaceDN/>
        <w:bidi w:val="0"/>
        <w:snapToGrid/>
        <w:spacing w:line="500" w:lineRule="exact"/>
        <w:ind w:left="10" w:leftChars="5" w:firstLine="237" w:firstLineChars="99"/>
        <w:textAlignment w:val="auto"/>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报价合理性说明</w:t>
      </w:r>
    </w:p>
    <w:p>
      <w:pPr>
        <w:keepNext w:val="0"/>
        <w:keepLines w:val="0"/>
        <w:pageBreakBefore w:val="0"/>
        <w:widowControl w:val="0"/>
        <w:tabs>
          <w:tab w:val="left" w:pos="616"/>
        </w:tabs>
        <w:kinsoku/>
        <w:wordWrap/>
        <w:overflowPunct/>
        <w:topLinePunct w:val="0"/>
        <w:autoSpaceDE/>
        <w:autoSpaceDN/>
        <w:bidi w:val="0"/>
        <w:snapToGrid/>
        <w:spacing w:line="500" w:lineRule="exact"/>
        <w:ind w:firstLine="480" w:firstLineChars="200"/>
        <w:textAlignment w:val="auto"/>
        <w:rPr>
          <w:rFonts w:ascii="宋体" w:hAnsi="宋体" w:eastAsia="宋体" w:cs="Times New Roman"/>
          <w:sz w:val="24"/>
          <w:szCs w:val="20"/>
          <w:lang w:val="zh-CN" w:eastAsia="zh-CN"/>
        </w:rPr>
      </w:pPr>
      <w:r>
        <w:rPr>
          <w:rFonts w:ascii="宋体" w:hAnsi="宋体" w:eastAsia="宋体" w:cs="Times New Roman"/>
          <w:sz w:val="24"/>
          <w:szCs w:val="20"/>
          <w:lang w:val="zh-CN"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eastAsia="宋体" w:cs="Times New Roman"/>
          <w:sz w:val="24"/>
          <w:szCs w:val="20"/>
          <w:lang w:val="zh-CN" w:eastAsia="zh-CN"/>
        </w:rPr>
        <w:t>应当将其作为</w:t>
      </w:r>
      <w:r>
        <w:rPr>
          <w:rFonts w:ascii="宋体" w:hAnsi="宋体" w:eastAsia="宋体" w:cs="Times New Roman"/>
          <w:sz w:val="24"/>
          <w:szCs w:val="20"/>
          <w:lang w:val="zh-CN" w:eastAsia="zh-CN"/>
        </w:rPr>
        <w:t>无效投标处理。</w:t>
      </w:r>
    </w:p>
    <w:p>
      <w:pPr>
        <w:keepNext w:val="0"/>
        <w:keepLines w:val="0"/>
        <w:pageBreakBefore w:val="0"/>
        <w:widowControl w:val="0"/>
        <w:numPr>
          <w:ilvl w:val="0"/>
          <w:numId w:val="50"/>
        </w:numPr>
        <w:tabs>
          <w:tab w:val="left" w:pos="616"/>
        </w:tabs>
        <w:kinsoku/>
        <w:wordWrap/>
        <w:overflowPunct/>
        <w:topLinePunct w:val="0"/>
        <w:autoSpaceDE/>
        <w:autoSpaceDN/>
        <w:bidi w:val="0"/>
        <w:snapToGrid/>
        <w:spacing w:line="500" w:lineRule="exact"/>
        <w:ind w:left="10" w:leftChars="5" w:firstLine="237" w:firstLineChars="99"/>
        <w:textAlignment w:val="auto"/>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小型和微型企业、监狱企业、残疾人福利性单位价格扣除：</w:t>
      </w:r>
    </w:p>
    <w:p>
      <w:pPr>
        <w:keepNext w:val="0"/>
        <w:keepLines w:val="0"/>
        <w:pageBreakBefore w:val="0"/>
        <w:widowControl w:val="0"/>
        <w:numPr>
          <w:ilvl w:val="0"/>
          <w:numId w:val="51"/>
        </w:numPr>
        <w:kinsoku/>
        <w:wordWrap/>
        <w:overflowPunct/>
        <w:topLinePunct w:val="0"/>
        <w:autoSpaceDE/>
        <w:autoSpaceDN/>
        <w:bidi w:val="0"/>
        <w:adjustRightInd w:val="0"/>
        <w:snapToGrid/>
        <w:spacing w:line="500" w:lineRule="exact"/>
        <w:ind w:left="742" w:hanging="493"/>
        <w:textAlignment w:val="auto"/>
        <w:rPr>
          <w:rFonts w:ascii="宋体" w:hAnsi="宋体" w:eastAsia="宋体" w:cs="Times New Roman"/>
          <w:color w:val="0D0D0D"/>
          <w:sz w:val="24"/>
          <w:szCs w:val="24"/>
          <w:lang w:val="zh-CN" w:eastAsia="zh-CN"/>
        </w:rPr>
      </w:pPr>
      <w:r>
        <w:rPr>
          <w:rFonts w:hint="eastAsia" w:ascii="宋体" w:hAnsi="宋体" w:eastAsia="宋体" w:cs="Times New Roman"/>
          <w:color w:val="0D0D0D"/>
          <w:sz w:val="24"/>
          <w:szCs w:val="24"/>
          <w:lang w:val="zh-CN" w:eastAsia="zh-CN"/>
        </w:rPr>
        <w:t>非专门面向中小企业的货物类采购项目，按招标文件中采购清单确定的货物，对小型和微型企业制造的货物价格给予6%的扣除，用扣除后的价格参与评审。</w:t>
      </w:r>
    </w:p>
    <w:p>
      <w:pPr>
        <w:keepNext w:val="0"/>
        <w:keepLines w:val="0"/>
        <w:pageBreakBefore w:val="0"/>
        <w:widowControl w:val="0"/>
        <w:numPr>
          <w:ilvl w:val="0"/>
          <w:numId w:val="51"/>
        </w:numPr>
        <w:kinsoku/>
        <w:wordWrap/>
        <w:overflowPunct/>
        <w:topLinePunct w:val="0"/>
        <w:autoSpaceDE/>
        <w:autoSpaceDN/>
        <w:bidi w:val="0"/>
        <w:adjustRightInd w:val="0"/>
        <w:snapToGrid/>
        <w:spacing w:line="500" w:lineRule="exact"/>
        <w:ind w:left="742" w:hanging="493"/>
        <w:textAlignment w:val="auto"/>
        <w:rPr>
          <w:rFonts w:ascii="宋体" w:hAnsi="宋体" w:eastAsia="宋体" w:cs="Times New Roman"/>
          <w:color w:val="0D0D0D"/>
          <w:sz w:val="24"/>
          <w:szCs w:val="24"/>
          <w:lang w:val="zh-CN" w:eastAsia="zh-CN"/>
        </w:rPr>
      </w:pPr>
      <w:r>
        <w:rPr>
          <w:rFonts w:hint="eastAsia" w:ascii="宋体" w:hAnsi="宋体" w:eastAsia="宋体" w:cs="Times New Roman"/>
          <w:color w:val="0D0D0D"/>
          <w:sz w:val="24"/>
          <w:szCs w:val="24"/>
          <w:lang w:val="zh-CN" w:eastAsia="zh-CN"/>
        </w:rPr>
        <w:t>非专门面向中小企业的工程、服务类采购项目，投标人是小型和微型企业的价格给予6%的扣除，用扣除后的价格参与评审。</w:t>
      </w:r>
    </w:p>
    <w:p>
      <w:pPr>
        <w:keepNext w:val="0"/>
        <w:keepLines w:val="0"/>
        <w:pageBreakBefore w:val="0"/>
        <w:widowControl w:val="0"/>
        <w:numPr>
          <w:ilvl w:val="0"/>
          <w:numId w:val="51"/>
        </w:numPr>
        <w:kinsoku/>
        <w:wordWrap/>
        <w:overflowPunct/>
        <w:topLinePunct w:val="0"/>
        <w:autoSpaceDE/>
        <w:autoSpaceDN/>
        <w:bidi w:val="0"/>
        <w:adjustRightInd w:val="0"/>
        <w:snapToGrid/>
        <w:spacing w:line="5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3%的价格扣除</w:t>
      </w:r>
      <w:r>
        <w:rPr>
          <w:rFonts w:hint="eastAsia" w:ascii="宋体" w:hAnsi="宋体" w:eastAsia="宋体" w:cs="Times New Roman"/>
          <w:color w:val="0D0D0D"/>
          <w:sz w:val="24"/>
          <w:szCs w:val="24"/>
          <w:lang w:val="zh-CN" w:eastAsia="zh-CN"/>
        </w:rPr>
        <w:t>，不重复享受政策。</w:t>
      </w:r>
    </w:p>
    <w:p>
      <w:pPr>
        <w:keepNext w:val="0"/>
        <w:keepLines w:val="0"/>
        <w:pageBreakBefore w:val="0"/>
        <w:widowControl w:val="0"/>
        <w:numPr>
          <w:ilvl w:val="0"/>
          <w:numId w:val="51"/>
        </w:numPr>
        <w:kinsoku/>
        <w:wordWrap/>
        <w:overflowPunct/>
        <w:topLinePunct w:val="0"/>
        <w:autoSpaceDE/>
        <w:autoSpaceDN/>
        <w:bidi w:val="0"/>
        <w:adjustRightInd w:val="0"/>
        <w:snapToGrid/>
        <w:spacing w:line="500" w:lineRule="exact"/>
        <w:ind w:left="742" w:hanging="493"/>
        <w:textAlignment w:val="auto"/>
        <w:rPr>
          <w:rFonts w:ascii="宋体" w:hAnsi="宋体" w:eastAsia="宋体" w:cs="Times New Roman"/>
          <w:color w:val="0D0D0D"/>
          <w:sz w:val="24"/>
          <w:szCs w:val="24"/>
          <w:lang w:val="zh-CN" w:eastAsia="zh-CN"/>
        </w:rPr>
      </w:pPr>
      <w:r>
        <w:rPr>
          <w:rFonts w:ascii="宋体" w:hAnsi="宋体" w:eastAsia="宋体" w:cs="Times New Roman"/>
          <w:color w:val="0D0D0D"/>
          <w:sz w:val="24"/>
          <w:szCs w:val="24"/>
          <w:lang w:val="zh-CN" w:eastAsia="zh-CN"/>
        </w:rPr>
        <w:t>监狱企业</w:t>
      </w:r>
      <w:r>
        <w:rPr>
          <w:rFonts w:hint="eastAsia" w:ascii="宋体" w:hAnsi="宋体" w:eastAsia="宋体" w:cs="Times New Roman"/>
          <w:color w:val="0D0D0D"/>
          <w:sz w:val="24"/>
          <w:szCs w:val="24"/>
          <w:lang w:val="zh-CN" w:eastAsia="zh-CN"/>
        </w:rPr>
        <w:t>、残疾人福利性单位</w:t>
      </w:r>
      <w:r>
        <w:rPr>
          <w:rFonts w:ascii="宋体" w:hAnsi="宋体" w:eastAsia="宋体" w:cs="Times New Roman"/>
          <w:color w:val="0D0D0D"/>
          <w:sz w:val="24"/>
          <w:szCs w:val="24"/>
          <w:lang w:val="zh-CN" w:eastAsia="zh-CN"/>
        </w:rPr>
        <w:t>视同小型、微型企业，享受预留份额、评审中价格扣除等政府采购促进中小企业发展的政府采购政策</w:t>
      </w:r>
      <w:r>
        <w:rPr>
          <w:rFonts w:hint="eastAsia" w:ascii="宋体" w:hAnsi="宋体" w:eastAsia="宋体" w:cs="Times New Roman"/>
          <w:color w:val="0D0D0D"/>
          <w:sz w:val="24"/>
          <w:szCs w:val="24"/>
          <w:lang w:val="zh-CN" w:eastAsia="zh-CN"/>
        </w:rPr>
        <w:t>，残疾人福利性单位属于小型、微型企业的，不重复享受政策。</w:t>
      </w:r>
    </w:p>
    <w:p>
      <w:pPr>
        <w:keepNext w:val="0"/>
        <w:keepLines w:val="0"/>
        <w:pageBreakBefore w:val="0"/>
        <w:widowControl w:val="0"/>
        <w:numPr>
          <w:ilvl w:val="0"/>
          <w:numId w:val="51"/>
        </w:numPr>
        <w:kinsoku/>
        <w:wordWrap/>
        <w:overflowPunct/>
        <w:topLinePunct w:val="0"/>
        <w:autoSpaceDE/>
        <w:autoSpaceDN/>
        <w:bidi w:val="0"/>
        <w:adjustRightInd w:val="0"/>
        <w:snapToGrid/>
        <w:spacing w:line="500" w:lineRule="exact"/>
        <w:ind w:left="742" w:hanging="493"/>
        <w:textAlignment w:val="auto"/>
        <w:rPr>
          <w:rFonts w:ascii="宋体" w:hAnsi="宋体" w:eastAsia="宋体" w:cs="Times New Roman"/>
          <w:color w:val="0D0D0D"/>
          <w:sz w:val="24"/>
          <w:szCs w:val="24"/>
          <w:lang w:val="zh-CN" w:eastAsia="zh-CN"/>
        </w:rPr>
      </w:pPr>
      <w:r>
        <w:rPr>
          <w:rFonts w:hint="eastAsia" w:ascii="宋体" w:hAnsi="宋体" w:eastAsia="宋体" w:cs="Times New Roman"/>
          <w:color w:val="0D0D0D"/>
          <w:sz w:val="24"/>
          <w:szCs w:val="24"/>
          <w:lang w:val="zh-CN" w:eastAsia="zh-CN"/>
        </w:rPr>
        <w:t>小型和微型企业应出具《声明函》（附件二、三）；监狱企业应提供由省级监狱局、戒毒局（含新疆生产建设兵团）出具的监狱企业的证明文件；残疾人福利性单位提供《声明函》（附件四）。</w:t>
      </w:r>
    </w:p>
    <w:p>
      <w:pPr>
        <w:numPr>
          <w:ilvl w:val="0"/>
          <w:numId w:val="50"/>
        </w:numPr>
        <w:tabs>
          <w:tab w:val="left" w:pos="616"/>
        </w:tabs>
        <w:spacing w:line="360" w:lineRule="auto"/>
        <w:ind w:left="10" w:leftChars="5" w:firstLine="237" w:firstLineChars="99"/>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相同品牌处理原则</w:t>
      </w:r>
    </w:p>
    <w:p>
      <w:pPr>
        <w:numPr>
          <w:ilvl w:val="0"/>
          <w:numId w:val="52"/>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bCs/>
          <w:color w:val="0D0D0D"/>
          <w:kern w:val="0"/>
          <w:sz w:val="24"/>
          <w:szCs w:val="24"/>
          <w:lang w:eastAsia="zh-CN"/>
        </w:rPr>
        <w:t>提供相同品牌产品的不同投标人参加同一合同项下投标的，以其中通过资格审查、符合性审查且报价最低的参加评标；报价相同的</w:t>
      </w:r>
      <w:r>
        <w:rPr>
          <w:rFonts w:ascii="Helvetica" w:hAnsi="Helvetica" w:eastAsia="宋体" w:cs="Helvetica"/>
          <w:color w:val="0D0D0D"/>
          <w:kern w:val="0"/>
          <w:sz w:val="24"/>
          <w:szCs w:val="24"/>
          <w:lang w:val="zh-CN" w:eastAsia="zh-CN"/>
        </w:rPr>
        <w:t>，由采购人</w:t>
      </w:r>
      <w:r>
        <w:rPr>
          <w:rFonts w:hint="eastAsia" w:ascii="Helvetica" w:hAnsi="Helvetica" w:eastAsia="宋体" w:cs="Helvetica"/>
          <w:color w:val="0D0D0D"/>
          <w:kern w:val="0"/>
          <w:sz w:val="24"/>
          <w:szCs w:val="24"/>
          <w:lang w:val="zh-CN"/>
        </w:rPr>
        <w:t>确定</w:t>
      </w:r>
      <w:r>
        <w:rPr>
          <w:rFonts w:ascii="Helvetica" w:hAnsi="Helvetica" w:eastAsia="宋体" w:cs="Helvetica"/>
          <w:color w:val="0D0D0D"/>
          <w:kern w:val="0"/>
          <w:sz w:val="24"/>
          <w:szCs w:val="24"/>
          <w:lang w:val="zh-CN" w:eastAsia="zh-CN"/>
        </w:rPr>
        <w:t>或者采购人委托评标委员会</w:t>
      </w:r>
      <w:r>
        <w:rPr>
          <w:rFonts w:hint="eastAsia" w:ascii="Helvetica" w:hAnsi="Helvetica" w:eastAsia="宋体" w:cs="Helvetica"/>
          <w:color w:val="0D0D0D"/>
          <w:kern w:val="0"/>
          <w:sz w:val="24"/>
          <w:szCs w:val="24"/>
          <w:lang w:val="zh-CN" w:eastAsia="zh-CN"/>
        </w:rPr>
        <w:t>以投票</w:t>
      </w:r>
      <w:r>
        <w:rPr>
          <w:rFonts w:hint="eastAsia" w:ascii="Helvetica" w:hAnsi="Helvetica" w:eastAsia="宋体" w:cs="Helvetica"/>
          <w:color w:val="0D0D0D"/>
          <w:kern w:val="0"/>
          <w:sz w:val="24"/>
          <w:szCs w:val="24"/>
          <w:lang w:val="zh-CN"/>
        </w:rPr>
        <w:t>方式</w:t>
      </w:r>
      <w:r>
        <w:rPr>
          <w:rFonts w:ascii="Helvetica" w:hAnsi="Helvetica" w:eastAsia="宋体" w:cs="Helvetica"/>
          <w:color w:val="0D0D0D"/>
          <w:kern w:val="0"/>
          <w:sz w:val="24"/>
          <w:szCs w:val="24"/>
          <w:lang w:val="zh-CN" w:eastAsia="zh-CN"/>
        </w:rPr>
        <w:t>确定一个</w:t>
      </w:r>
      <w:r>
        <w:rPr>
          <w:rFonts w:hint="eastAsia" w:ascii="Helvetica" w:hAnsi="Helvetica" w:eastAsia="宋体" w:cs="Helvetica"/>
          <w:color w:val="0D0D0D"/>
          <w:kern w:val="0"/>
          <w:sz w:val="24"/>
          <w:szCs w:val="24"/>
          <w:lang w:val="zh-CN"/>
        </w:rPr>
        <w:t>参加评标的</w:t>
      </w:r>
      <w:r>
        <w:rPr>
          <w:rFonts w:ascii="Helvetica" w:hAnsi="Helvetica" w:eastAsia="宋体" w:cs="Helvetica"/>
          <w:color w:val="0D0D0D"/>
          <w:kern w:val="0"/>
          <w:sz w:val="24"/>
          <w:szCs w:val="24"/>
          <w:lang w:val="zh-CN" w:eastAsia="zh-CN"/>
        </w:rPr>
        <w:t>投标人，其他</w:t>
      </w:r>
      <w:r>
        <w:rPr>
          <w:rFonts w:hint="eastAsia" w:ascii="Helvetica" w:hAnsi="Helvetica" w:eastAsia="宋体" w:cs="Helvetica"/>
          <w:color w:val="0D0D0D"/>
          <w:kern w:val="0"/>
          <w:sz w:val="24"/>
          <w:szCs w:val="24"/>
          <w:lang w:val="zh-CN"/>
        </w:rPr>
        <w:t>投标无效</w:t>
      </w:r>
      <w:r>
        <w:rPr>
          <w:rFonts w:ascii="Helvetica" w:hAnsi="Helvetica" w:eastAsia="宋体" w:cs="Helvetica"/>
          <w:color w:val="0D0D0D"/>
          <w:kern w:val="0"/>
          <w:sz w:val="24"/>
          <w:szCs w:val="24"/>
          <w:lang w:val="zh-CN" w:eastAsia="zh-CN"/>
        </w:rPr>
        <w:t>。</w:t>
      </w:r>
    </w:p>
    <w:p>
      <w:pPr>
        <w:numPr>
          <w:ilvl w:val="0"/>
          <w:numId w:val="52"/>
        </w:numPr>
        <w:adjustRightInd w:val="0"/>
        <w:spacing w:line="360" w:lineRule="auto"/>
        <w:ind w:left="756" w:hanging="507"/>
        <w:rPr>
          <w:rFonts w:ascii="Helvetica" w:hAnsi="Helvetica" w:eastAsia="宋体" w:cs="Helvetica"/>
          <w:color w:val="0D0D0D"/>
          <w:kern w:val="0"/>
          <w:sz w:val="24"/>
          <w:szCs w:val="24"/>
          <w:lang w:val="zh-CN"/>
        </w:rPr>
      </w:pPr>
      <w:r>
        <w:rPr>
          <w:rFonts w:ascii="Helvetica" w:hAnsi="Helvetica" w:eastAsia="宋体" w:cs="Helvetica"/>
          <w:color w:val="0D0D0D"/>
          <w:kern w:val="0"/>
          <w:sz w:val="24"/>
          <w:szCs w:val="24"/>
          <w:lang w:val="zh-CN" w:eastAsia="zh-CN"/>
        </w:rPr>
        <w:t>非单一产品采购项目，采购人</w:t>
      </w:r>
      <w:r>
        <w:rPr>
          <w:rFonts w:ascii="Helvetica" w:hAnsi="Helvetica" w:eastAsia="宋体" w:cs="Helvetica"/>
          <w:kern w:val="0"/>
          <w:sz w:val="24"/>
          <w:szCs w:val="24"/>
          <w:lang w:val="zh-CN" w:eastAsia="zh-CN"/>
        </w:rPr>
        <w:t>应当根据采购项目技术构成、产品价格比重等合理确定</w:t>
      </w:r>
      <w:r>
        <w:rPr>
          <w:rFonts w:hint="eastAsia" w:ascii="Helvetica" w:hAnsi="Helvetica" w:eastAsia="宋体" w:cs="Helvetica"/>
          <w:b/>
          <w:kern w:val="0"/>
          <w:sz w:val="24"/>
          <w:szCs w:val="24"/>
          <w:lang w:val="zh-CN"/>
        </w:rPr>
        <w:t>一个</w:t>
      </w:r>
      <w:r>
        <w:rPr>
          <w:rFonts w:ascii="Helvetica" w:hAnsi="Helvetica" w:eastAsia="宋体" w:cs="Helvetica"/>
          <w:b/>
          <w:kern w:val="0"/>
          <w:sz w:val="24"/>
          <w:szCs w:val="24"/>
          <w:lang w:val="zh-CN" w:eastAsia="zh-CN"/>
        </w:rPr>
        <w:t>核心产品</w:t>
      </w:r>
      <w:r>
        <w:rPr>
          <w:rFonts w:hint="eastAsia" w:ascii="Helvetica" w:hAnsi="Helvetica" w:eastAsia="宋体" w:cs="Helvetica"/>
          <w:kern w:val="0"/>
          <w:sz w:val="24"/>
          <w:szCs w:val="24"/>
          <w:lang w:val="zh-CN"/>
        </w:rPr>
        <w:t>（</w:t>
      </w:r>
      <w:r>
        <w:rPr>
          <w:rFonts w:hint="eastAsia" w:ascii="Helvetica" w:hAnsi="Helvetica" w:eastAsia="宋体" w:cs="Helvetica"/>
          <w:color w:val="0D0D0D"/>
          <w:kern w:val="0"/>
          <w:sz w:val="24"/>
          <w:szCs w:val="24"/>
          <w:lang w:val="zh-CN"/>
        </w:rPr>
        <w:t>采购清单中作“相同〈或同一〉品牌”实质性要求的产品，视为一个核心产品</w:t>
      </w:r>
      <w:r>
        <w:rPr>
          <w:rFonts w:hint="eastAsia" w:ascii="Helvetica" w:hAnsi="Helvetica" w:eastAsia="宋体" w:cs="Helvetica"/>
          <w:kern w:val="0"/>
          <w:sz w:val="24"/>
          <w:szCs w:val="24"/>
          <w:lang w:val="zh-CN"/>
        </w:rPr>
        <w:t>）</w:t>
      </w:r>
      <w:r>
        <w:rPr>
          <w:rFonts w:ascii="Helvetica" w:hAnsi="Helvetica" w:eastAsia="宋体" w:cs="Helvetica"/>
          <w:kern w:val="0"/>
          <w:sz w:val="24"/>
          <w:szCs w:val="24"/>
          <w:lang w:val="zh-CN" w:eastAsia="zh-CN"/>
        </w:rPr>
        <w:t>，并</w:t>
      </w:r>
      <w:r>
        <w:rPr>
          <w:rFonts w:hint="eastAsia" w:ascii="Helvetica" w:hAnsi="Helvetica" w:eastAsia="宋体" w:cs="Helvetica"/>
          <w:kern w:val="0"/>
          <w:sz w:val="24"/>
          <w:szCs w:val="24"/>
          <w:lang w:val="zh-CN"/>
        </w:rPr>
        <w:t>以</w:t>
      </w:r>
      <w:r>
        <w:rPr>
          <w:rFonts w:hint="eastAsia" w:ascii="Helvetica" w:hAnsi="Helvetica" w:eastAsia="宋体" w:cs="Helvetica"/>
          <w:b/>
          <w:kern w:val="0"/>
          <w:sz w:val="24"/>
          <w:szCs w:val="24"/>
          <w:lang w:val="zh-CN"/>
        </w:rPr>
        <w:t>“</w:t>
      </w:r>
      <w:r>
        <w:rPr>
          <w:rFonts w:hint="eastAsia" w:ascii="MS Gothic" w:hAnsi="MS Gothic" w:eastAsia="宋体" w:cs="MS Gothic"/>
          <w:b/>
          <w:kern w:val="0"/>
          <w:sz w:val="24"/>
          <w:szCs w:val="24"/>
          <w:lang w:val="zh-CN"/>
        </w:rPr>
        <w:t>核心产品</w:t>
      </w:r>
      <w:r>
        <w:rPr>
          <w:rFonts w:hint="eastAsia" w:ascii="Helvetica" w:hAnsi="Helvetica" w:eastAsia="宋体" w:cs="Helvetica"/>
          <w:b/>
          <w:kern w:val="0"/>
          <w:sz w:val="24"/>
          <w:szCs w:val="24"/>
          <w:lang w:val="zh-CN"/>
        </w:rPr>
        <w:t>”</w:t>
      </w:r>
      <w:r>
        <w:rPr>
          <w:rFonts w:ascii="Helvetica" w:hAnsi="Helvetica" w:eastAsia="宋体" w:cs="Helvetica"/>
          <w:kern w:val="0"/>
          <w:sz w:val="24"/>
          <w:szCs w:val="24"/>
          <w:lang w:val="zh-CN" w:eastAsia="zh-CN"/>
        </w:rPr>
        <w:t>在</w:t>
      </w:r>
      <w:r>
        <w:rPr>
          <w:rFonts w:ascii="Helvetica" w:hAnsi="Helvetica" w:eastAsia="宋体" w:cs="Helvetica"/>
          <w:color w:val="0D0D0D"/>
          <w:kern w:val="0"/>
          <w:sz w:val="24"/>
          <w:szCs w:val="24"/>
          <w:lang w:val="zh-CN" w:eastAsia="zh-CN"/>
        </w:rPr>
        <w:t>招标文件中</w:t>
      </w:r>
      <w:r>
        <w:rPr>
          <w:rFonts w:hint="eastAsia" w:ascii="Helvetica" w:hAnsi="Helvetica" w:eastAsia="宋体" w:cs="Helvetica"/>
          <w:color w:val="0D0D0D"/>
          <w:kern w:val="0"/>
          <w:sz w:val="24"/>
          <w:szCs w:val="24"/>
          <w:lang w:val="zh-CN" w:eastAsia="zh-CN"/>
        </w:rPr>
        <w:t>标注</w:t>
      </w:r>
      <w:r>
        <w:rPr>
          <w:rFonts w:ascii="Helvetica" w:hAnsi="Helvetica" w:eastAsia="宋体" w:cs="Helvetica"/>
          <w:color w:val="0D0D0D"/>
          <w:kern w:val="0"/>
          <w:sz w:val="24"/>
          <w:szCs w:val="24"/>
          <w:lang w:val="zh-CN" w:eastAsia="zh-CN"/>
        </w:rPr>
        <w:t>。</w:t>
      </w:r>
    </w:p>
    <w:p>
      <w:pPr>
        <w:numPr>
          <w:ilvl w:val="0"/>
          <w:numId w:val="46"/>
        </w:numPr>
        <w:ind w:left="1311" w:leftChars="154" w:hanging="988" w:hangingChars="353"/>
        <w:rPr>
          <w:rFonts w:ascii="宋体" w:hAnsi="宋体" w:eastAsia="宋体" w:cs="Times New Roman"/>
          <w:b/>
          <w:sz w:val="28"/>
          <w:szCs w:val="28"/>
          <w:lang w:val="zh-CN"/>
        </w:rPr>
      </w:pPr>
      <w:r>
        <w:rPr>
          <w:rFonts w:hint="eastAsia" w:ascii="宋体" w:hAnsi="宋体" w:eastAsia="宋体" w:cs="Times New Roman"/>
          <w:b/>
          <w:sz w:val="28"/>
          <w:szCs w:val="28"/>
          <w:lang w:val="zh-CN"/>
        </w:rPr>
        <w:t>推荐中标候选人名单或确定中标人</w:t>
      </w:r>
    </w:p>
    <w:p>
      <w:pPr>
        <w:numPr>
          <w:ilvl w:val="0"/>
          <w:numId w:val="53"/>
        </w:numPr>
        <w:tabs>
          <w:tab w:val="left" w:pos="616"/>
        </w:tabs>
        <w:spacing w:line="360" w:lineRule="auto"/>
        <w:ind w:left="10" w:leftChars="5" w:firstLine="237" w:firstLineChars="99"/>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评标委员会按照招标文件确定的评标方法、程序及标准，对投标文件进行评审。</w:t>
      </w:r>
      <w:r>
        <w:rPr>
          <w:rFonts w:ascii="Helvetica" w:hAnsi="Helvetica" w:eastAsia="宋体" w:cs="Helvetica"/>
          <w:kern w:val="0"/>
          <w:sz w:val="24"/>
          <w:szCs w:val="24"/>
          <w:lang w:val="zh-CN" w:eastAsia="zh-CN"/>
        </w:rPr>
        <w:t>评标结果按投标报价由低到高顺序排列。投标报价相同的并列。投标文件满足招标文件全部实质性要求且投标报价最低的投标人为排名第一的中标候选人</w:t>
      </w:r>
      <w:r>
        <w:rPr>
          <w:rFonts w:hint="eastAsia" w:ascii="Helvetica" w:hAnsi="Helvetica" w:eastAsia="宋体" w:cs="Helvetica"/>
          <w:kern w:val="0"/>
          <w:sz w:val="24"/>
          <w:szCs w:val="24"/>
          <w:lang w:val="zh-CN" w:eastAsia="zh-CN"/>
        </w:rPr>
        <w:t>。</w:t>
      </w:r>
    </w:p>
    <w:p>
      <w:pPr>
        <w:numPr>
          <w:ilvl w:val="0"/>
          <w:numId w:val="53"/>
        </w:numPr>
        <w:tabs>
          <w:tab w:val="left" w:pos="616"/>
        </w:tabs>
        <w:spacing w:line="360" w:lineRule="auto"/>
        <w:ind w:left="10" w:leftChars="5" w:firstLine="237" w:firstLineChars="99"/>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评标委员会依据评标结果，按各投标人的评审后投标报价由低到高的顺序向采购人推荐前三名的进入中标候选人名单，并形成书面的评标报告。</w:t>
      </w:r>
    </w:p>
    <w:p>
      <w:pPr>
        <w:numPr>
          <w:ilvl w:val="0"/>
          <w:numId w:val="53"/>
        </w:numPr>
        <w:tabs>
          <w:tab w:val="left" w:pos="616"/>
        </w:tabs>
        <w:spacing w:line="360" w:lineRule="auto"/>
        <w:ind w:left="10" w:leftChars="5" w:firstLine="237" w:firstLineChars="99"/>
        <w:rPr>
          <w:rFonts w:ascii="Helvetica" w:hAnsi="Helvetica" w:eastAsia="宋体" w:cs="Helvetica"/>
          <w:kern w:val="0"/>
          <w:sz w:val="24"/>
          <w:szCs w:val="24"/>
          <w:lang w:val="zh-CN" w:eastAsia="zh-CN"/>
        </w:rPr>
      </w:pPr>
      <w:r>
        <w:rPr>
          <w:rFonts w:hint="eastAsia" w:ascii="Helvetica" w:hAnsi="Helvetica" w:eastAsia="宋体" w:cs="Helvetica"/>
          <w:kern w:val="0"/>
          <w:sz w:val="24"/>
          <w:szCs w:val="24"/>
          <w:lang w:val="zh-CN" w:eastAsia="zh-CN"/>
        </w:rPr>
        <w:t>中标候选人并列的，</w:t>
      </w:r>
      <w:r>
        <w:rPr>
          <w:rFonts w:ascii="Helvetica" w:hAnsi="Helvetica" w:eastAsia="宋体" w:cs="Helvetica"/>
          <w:kern w:val="0"/>
          <w:sz w:val="24"/>
          <w:szCs w:val="24"/>
          <w:lang w:val="zh-CN" w:eastAsia="zh-CN"/>
        </w:rPr>
        <w:t>由采购人</w:t>
      </w:r>
      <w:r>
        <w:rPr>
          <w:rFonts w:hint="eastAsia" w:ascii="Helvetica" w:hAnsi="Helvetica" w:eastAsia="宋体" w:cs="Helvetica"/>
          <w:kern w:val="0"/>
          <w:sz w:val="24"/>
          <w:szCs w:val="24"/>
          <w:lang w:val="zh-CN" w:eastAsia="zh-CN"/>
        </w:rPr>
        <w:t>确定</w:t>
      </w:r>
      <w:r>
        <w:rPr>
          <w:rFonts w:ascii="Helvetica" w:hAnsi="Helvetica" w:eastAsia="宋体" w:cs="Helvetica"/>
          <w:kern w:val="0"/>
          <w:sz w:val="24"/>
          <w:szCs w:val="24"/>
          <w:lang w:val="zh-CN" w:eastAsia="zh-CN"/>
        </w:rPr>
        <w:t>或者采购人委托评标委员会</w:t>
      </w:r>
      <w:r>
        <w:rPr>
          <w:rFonts w:hint="eastAsia" w:ascii="Helvetica" w:hAnsi="Helvetica" w:eastAsia="宋体" w:cs="Helvetica"/>
          <w:kern w:val="0"/>
          <w:sz w:val="24"/>
          <w:szCs w:val="24"/>
          <w:lang w:val="zh-CN" w:eastAsia="zh-CN"/>
        </w:rPr>
        <w:t>以投票方式</w:t>
      </w:r>
      <w:r>
        <w:rPr>
          <w:rFonts w:ascii="Helvetica" w:hAnsi="Helvetica" w:eastAsia="宋体" w:cs="Helvetica"/>
          <w:kern w:val="0"/>
          <w:sz w:val="24"/>
          <w:szCs w:val="24"/>
          <w:lang w:val="zh-CN" w:eastAsia="zh-CN"/>
        </w:rPr>
        <w:t>确定中标人。</w:t>
      </w:r>
    </w:p>
    <w:p>
      <w:pPr>
        <w:numPr>
          <w:ilvl w:val="0"/>
          <w:numId w:val="53"/>
        </w:numPr>
        <w:tabs>
          <w:tab w:val="left" w:pos="616"/>
        </w:tabs>
        <w:spacing w:line="360" w:lineRule="auto"/>
        <w:ind w:left="10" w:leftChars="5" w:firstLine="237" w:firstLineChars="99"/>
      </w:pPr>
      <w:r>
        <w:rPr>
          <w:rFonts w:hint="eastAsia" w:ascii="Helvetica" w:hAnsi="Helvetica" w:eastAsia="宋体" w:cs="Helvetica"/>
          <w:kern w:val="0"/>
          <w:sz w:val="24"/>
          <w:szCs w:val="24"/>
          <w:lang w:val="zh-CN" w:eastAsia="zh-CN"/>
        </w:rPr>
        <w:t>评标委员会应当在评标报告上签字，对自己的评审意见承担法律责任。对评标报告有异议的，应当在评标报告上签署不同意见，并说明理由，否则视为同意评标报告。</w:t>
      </w:r>
    </w:p>
    <w:p>
      <w:r>
        <w:br w:type="page"/>
      </w:r>
    </w:p>
    <w:p>
      <w:pPr>
        <w:pStyle w:val="3"/>
        <w:numPr>
          <w:ilvl w:val="0"/>
          <w:numId w:val="1"/>
        </w:numPr>
        <w:jc w:val="center"/>
        <w:rPr>
          <w:rFonts w:ascii="黑体" w:hAnsi="黑体" w:eastAsia="黑体"/>
        </w:rPr>
      </w:pPr>
      <w:bookmarkStart w:id="85" w:name="_Toc494665546"/>
      <w:bookmarkStart w:id="86" w:name="_Toc494702263"/>
      <w:bookmarkStart w:id="87" w:name="_Toc495861545"/>
      <w:bookmarkStart w:id="88" w:name="_Toc494665943"/>
      <w:bookmarkStart w:id="89" w:name="_Toc494745310"/>
      <w:bookmarkStart w:id="90" w:name="_Toc494664993"/>
      <w:bookmarkStart w:id="91" w:name="_Toc494721093"/>
      <w:bookmarkStart w:id="92" w:name="_Toc22421"/>
      <w:r>
        <w:rPr>
          <w:rFonts w:hint="eastAsia" w:ascii="黑体" w:hAnsi="黑体" w:eastAsia="黑体"/>
        </w:rPr>
        <w:t>合同书格式（参考）</w:t>
      </w:r>
      <w:bookmarkEnd w:id="85"/>
      <w:bookmarkEnd w:id="86"/>
      <w:bookmarkEnd w:id="87"/>
      <w:bookmarkEnd w:id="88"/>
      <w:bookmarkEnd w:id="89"/>
      <w:bookmarkEnd w:id="90"/>
      <w:bookmarkEnd w:id="91"/>
      <w:bookmarkEnd w:id="92"/>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eastAsia="宋体" w:cs="Times New Roman"/>
          <w:b/>
          <w:kern w:val="0"/>
          <w:sz w:val="36"/>
          <w:szCs w:val="36"/>
        </w:rPr>
      </w:pPr>
      <w:r>
        <w:rPr>
          <w:rFonts w:hint="eastAsia" w:ascii="宋体" w:hAnsi="宋体" w:eastAsia="宋体" w:cs="Times New Roman"/>
          <w:b/>
          <w:kern w:val="0"/>
          <w:sz w:val="36"/>
          <w:szCs w:val="36"/>
        </w:rPr>
        <w:t>合   同   书</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项目名称：</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合同编号：</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签订日期：</w:t>
      </w:r>
    </w:p>
    <w:p>
      <w:pPr>
        <w:spacing w:beforeLines="25" w:line="360" w:lineRule="auto"/>
        <w:ind w:firstLine="480" w:firstLineChars="200"/>
        <w:rPr>
          <w:rFonts w:ascii="Helvetica" w:hAnsi="Helvetica" w:eastAsia="宋体" w:cs="Helvetica"/>
          <w:b/>
          <w:kern w:val="0"/>
          <w:sz w:val="24"/>
          <w:szCs w:val="24"/>
          <w:lang w:val="zh-CN"/>
        </w:rPr>
      </w:pPr>
      <w:r>
        <w:rPr>
          <w:rFonts w:hint="eastAsia" w:ascii="Helvetica" w:hAnsi="Helvetica" w:eastAsia="宋体" w:cs="Helvetica"/>
          <w:b/>
          <w:kern w:val="0"/>
          <w:sz w:val="24"/>
          <w:szCs w:val="24"/>
          <w:lang w:val="zh-CN"/>
        </w:rPr>
        <w:t>签订合同地点：</w:t>
      </w:r>
    </w:p>
    <w:p>
      <w:pPr>
        <w:spacing w:beforeLines="25" w:line="360" w:lineRule="auto"/>
        <w:ind w:firstLine="480" w:firstLineChars="200"/>
        <w:rPr>
          <w:rFonts w:ascii="Helvetica" w:hAnsi="Helvetica" w:eastAsia="宋体" w:cs="Helvetica"/>
          <w:kern w:val="0"/>
          <w:sz w:val="24"/>
          <w:szCs w:val="24"/>
          <w:lang w:val="zh-CN"/>
        </w:rPr>
      </w:pPr>
      <w:r>
        <w:rPr>
          <w:rFonts w:hint="eastAsia" w:ascii="Helvetica" w:hAnsi="Helvetica" w:eastAsia="宋体" w:cs="Helvetica"/>
          <w:kern w:val="0"/>
          <w:sz w:val="24"/>
          <w:szCs w:val="24"/>
          <w:lang w:val="zh-CN"/>
        </w:rPr>
        <w:t>本合同由</w:t>
      </w:r>
      <w:r>
        <w:rPr>
          <w:rFonts w:hint="eastAsia" w:ascii="Helvetica" w:hAnsi="Helvetica" w:eastAsia="宋体" w:cs="Helvetica"/>
          <w:kern w:val="0"/>
          <w:sz w:val="24"/>
          <w:szCs w:val="24"/>
          <w:u w:val="single"/>
          <w:lang w:val="zh-CN"/>
        </w:rPr>
        <w:t>（采购人）</w:t>
      </w:r>
      <w:r>
        <w:rPr>
          <w:rFonts w:hint="eastAsia" w:ascii="Helvetica" w:hAnsi="Helvetica" w:eastAsia="宋体" w:cs="Helvetica"/>
          <w:kern w:val="0"/>
          <w:sz w:val="24"/>
          <w:szCs w:val="24"/>
          <w:lang w:val="zh-CN"/>
        </w:rPr>
        <w:t>（以下简称“甲方”）与</w:t>
      </w:r>
      <w:r>
        <w:rPr>
          <w:rFonts w:hint="eastAsia" w:ascii="Helvetica" w:hAnsi="Helvetica" w:eastAsia="宋体" w:cs="Helvetica"/>
          <w:kern w:val="0"/>
          <w:sz w:val="24"/>
          <w:szCs w:val="24"/>
          <w:u w:val="single"/>
          <w:lang w:val="zh-CN"/>
        </w:rPr>
        <w:t>（中标人）</w:t>
      </w:r>
      <w:r>
        <w:rPr>
          <w:rFonts w:hint="eastAsia" w:ascii="Helvetica" w:hAnsi="Helvetica" w:eastAsia="宋体" w:cs="Helvetica"/>
          <w:kern w:val="0"/>
          <w:sz w:val="24"/>
          <w:szCs w:val="24"/>
          <w:lang w:val="zh-CN"/>
        </w:rPr>
        <w:t>（以下简称“乙方”）签订。乙方以总金额万元人民币（用大写数字书写）向甲方提供如下货物（工程或服务）：</w:t>
      </w:r>
    </w:p>
    <w:p>
      <w:pPr>
        <w:spacing w:beforeLines="25" w:line="360" w:lineRule="auto"/>
        <w:ind w:firstLine="489" w:firstLineChars="204"/>
        <w:contextualSpacing/>
        <w:rPr>
          <w:rFonts w:ascii="宋体" w:hAnsi="宋体" w:eastAsia="宋体" w:cs="Times New Roman"/>
          <w:b/>
          <w:kern w:val="0"/>
          <w:sz w:val="24"/>
          <w:szCs w:val="20"/>
        </w:rPr>
      </w:pPr>
      <w:r>
        <w:rPr>
          <w:rFonts w:hint="eastAsia" w:ascii="Helvetica" w:hAnsi="Helvetica" w:eastAsia="宋体" w:cs="Helvetica"/>
          <w:b/>
          <w:kern w:val="0"/>
          <w:sz w:val="24"/>
          <w:szCs w:val="24"/>
          <w:lang w:val="zh-CN"/>
        </w:rPr>
        <w:t>经双方协商，同意按下列条文执行：</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本合同甲、乙双方应遵守国家颁布的《中华人民共和国合同法》、《中华人民共和国政府采购法》，并各自履行应负的全部责任和义务。</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甲方保证按合同条款规定的时间和方式付给乙方到期应付的合同款，并承担应负的责任和义务。</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乙方保证按合同条款规定的内容和工期（服务期限）向甲方提供合格的货物（工程或服务），并承担应负的责任和义务。</w:t>
      </w:r>
    </w:p>
    <w:p>
      <w:pPr>
        <w:numPr>
          <w:ilvl w:val="3"/>
          <w:numId w:val="54"/>
        </w:numPr>
        <w:tabs>
          <w:tab w:val="left" w:pos="854"/>
        </w:tabs>
        <w:autoSpaceDE w:val="0"/>
        <w:autoSpaceDN w:val="0"/>
        <w:spacing w:beforeLines="25" w:line="360" w:lineRule="auto"/>
        <w:ind w:left="11" w:firstLine="477" w:firstLineChars="199"/>
        <w:contextualSpacing/>
        <w:rPr>
          <w:rFonts w:ascii="宋体" w:hAnsi="宋体" w:eastAsia="宋体" w:cs="Times New Roman"/>
          <w:kern w:val="0"/>
          <w:sz w:val="24"/>
          <w:szCs w:val="20"/>
        </w:rPr>
      </w:pPr>
      <w:r>
        <w:rPr>
          <w:rFonts w:hint="eastAsia" w:ascii="宋体" w:hAnsi="宋体" w:eastAsia="宋体" w:cs="Times New Roman"/>
          <w:kern w:val="0"/>
          <w:sz w:val="24"/>
          <w:szCs w:val="20"/>
        </w:rPr>
        <w:t>合同文件。下列文件为本合同不可分割的部分：</w:t>
      </w:r>
    </w:p>
    <w:p>
      <w:pPr>
        <w:numPr>
          <w:ilvl w:val="0"/>
          <w:numId w:val="5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招标文件（项目编号：</w:t>
      </w:r>
      <w:r>
        <w:rPr>
          <w:rFonts w:hint="eastAsia" w:ascii="宋体" w:hAnsi="宋体" w:eastAsia="宋体" w:cs="Times New Roman"/>
          <w:kern w:val="0"/>
          <w:sz w:val="24"/>
          <w:szCs w:val="20"/>
          <w:u w:val="single"/>
          <w:lang w:val="zh-CN"/>
        </w:rPr>
        <w:t>　　            　</w:t>
      </w:r>
      <w:r>
        <w:rPr>
          <w:rFonts w:hint="eastAsia" w:ascii="宋体" w:hAnsi="宋体" w:eastAsia="宋体" w:cs="Times New Roman"/>
          <w:kern w:val="0"/>
          <w:sz w:val="24"/>
          <w:szCs w:val="20"/>
          <w:lang w:val="zh-CN"/>
        </w:rPr>
        <w:t>）；</w:t>
      </w:r>
    </w:p>
    <w:p>
      <w:pPr>
        <w:numPr>
          <w:ilvl w:val="0"/>
          <w:numId w:val="5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中标的投标文件；</w:t>
      </w:r>
    </w:p>
    <w:p>
      <w:pPr>
        <w:numPr>
          <w:ilvl w:val="0"/>
          <w:numId w:val="5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合同书；</w:t>
      </w:r>
    </w:p>
    <w:p>
      <w:pPr>
        <w:numPr>
          <w:ilvl w:val="0"/>
          <w:numId w:val="5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合同条款；</w:t>
      </w:r>
    </w:p>
    <w:p>
      <w:pPr>
        <w:numPr>
          <w:ilvl w:val="0"/>
          <w:numId w:val="5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采购代理机构发出的中标通知书；</w:t>
      </w:r>
    </w:p>
    <w:p>
      <w:pPr>
        <w:numPr>
          <w:ilvl w:val="0"/>
          <w:numId w:val="55"/>
        </w:numPr>
        <w:adjustRightInd w:val="0"/>
        <w:spacing w:beforeLines="25" w:line="360" w:lineRule="auto"/>
        <w:ind w:left="1090" w:leftChars="227" w:hanging="614" w:hangingChars="256"/>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附件；</w:t>
      </w:r>
    </w:p>
    <w:p>
      <w:pPr>
        <w:keepNext w:val="0"/>
        <w:keepLines w:val="0"/>
        <w:pageBreakBefore w:val="0"/>
        <w:widowControl w:val="0"/>
        <w:numPr>
          <w:ilvl w:val="0"/>
          <w:numId w:val="56"/>
        </w:numPr>
        <w:kinsoku/>
        <w:wordWrap/>
        <w:overflowPunct/>
        <w:topLinePunct w:val="0"/>
        <w:bidi w:val="0"/>
        <w:adjustRightInd/>
        <w:snapToGrid/>
        <w:spacing w:beforeLines="25" w:line="460" w:lineRule="exact"/>
        <w:ind w:left="1358" w:hanging="724"/>
        <w:textAlignment w:val="auto"/>
        <w:rPr>
          <w:rFonts w:ascii="宋体" w:hAnsi="宋体" w:eastAsia="宋体" w:cs="Times New Roman"/>
          <w:sz w:val="24"/>
          <w:szCs w:val="20"/>
          <w:lang w:val="zh-CN"/>
        </w:rPr>
      </w:pPr>
      <w:r>
        <w:rPr>
          <w:rFonts w:hint="eastAsia" w:ascii="宋体" w:hAnsi="宋体" w:eastAsia="宋体" w:cs="Times New Roman"/>
          <w:kern w:val="0"/>
          <w:sz w:val="24"/>
          <w:szCs w:val="20"/>
          <w:lang w:val="zh-CN"/>
        </w:rPr>
        <w:t>甲方</w:t>
      </w:r>
      <w:r>
        <w:rPr>
          <w:rFonts w:hint="eastAsia" w:ascii="宋体" w:hAnsi="宋体" w:eastAsia="宋体" w:cs="Times New Roman"/>
          <w:sz w:val="24"/>
          <w:szCs w:val="20"/>
          <w:lang w:val="zh-CN"/>
        </w:rPr>
        <w:t>在招标期间发布的所有补充通知；</w:t>
      </w:r>
    </w:p>
    <w:p>
      <w:pPr>
        <w:keepNext w:val="0"/>
        <w:keepLines w:val="0"/>
        <w:pageBreakBefore w:val="0"/>
        <w:widowControl w:val="0"/>
        <w:numPr>
          <w:ilvl w:val="0"/>
          <w:numId w:val="56"/>
        </w:numPr>
        <w:kinsoku/>
        <w:wordWrap/>
        <w:overflowPunct/>
        <w:topLinePunct w:val="0"/>
        <w:bidi w:val="0"/>
        <w:adjustRightInd/>
        <w:snapToGrid/>
        <w:spacing w:beforeLines="25" w:line="460" w:lineRule="exact"/>
        <w:ind w:left="1358" w:hanging="724"/>
        <w:textAlignment w:val="auto"/>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乙方在投标期内补充的所有书面文件；</w:t>
      </w:r>
    </w:p>
    <w:p>
      <w:pPr>
        <w:keepNext w:val="0"/>
        <w:keepLines w:val="0"/>
        <w:pageBreakBefore w:val="0"/>
        <w:widowControl w:val="0"/>
        <w:numPr>
          <w:ilvl w:val="0"/>
          <w:numId w:val="56"/>
        </w:numPr>
        <w:kinsoku/>
        <w:wordWrap/>
        <w:overflowPunct/>
        <w:topLinePunct w:val="0"/>
        <w:bidi w:val="0"/>
        <w:adjustRightInd/>
        <w:snapToGrid/>
        <w:spacing w:beforeLines="25" w:line="460" w:lineRule="exact"/>
        <w:ind w:left="1358" w:hanging="724"/>
        <w:textAlignment w:val="auto"/>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乙方在投标时随同投标文件一起递送的资料及附图；</w:t>
      </w:r>
    </w:p>
    <w:p>
      <w:pPr>
        <w:keepNext w:val="0"/>
        <w:keepLines w:val="0"/>
        <w:pageBreakBefore w:val="0"/>
        <w:widowControl w:val="0"/>
        <w:numPr>
          <w:ilvl w:val="0"/>
          <w:numId w:val="56"/>
        </w:numPr>
        <w:kinsoku/>
        <w:wordWrap/>
        <w:overflowPunct/>
        <w:topLinePunct w:val="0"/>
        <w:bidi w:val="0"/>
        <w:adjustRightInd/>
        <w:snapToGrid/>
        <w:spacing w:beforeLines="25" w:line="460" w:lineRule="exact"/>
        <w:ind w:left="1358" w:hanging="724"/>
        <w:textAlignment w:val="auto"/>
        <w:rPr>
          <w:rFonts w:ascii="宋体" w:hAnsi="宋体" w:eastAsia="宋体" w:cs="Times New Roman"/>
          <w:kern w:val="0"/>
          <w:sz w:val="24"/>
          <w:szCs w:val="20"/>
          <w:lang w:val="zh-CN"/>
        </w:rPr>
      </w:pPr>
      <w:r>
        <w:rPr>
          <w:rFonts w:hint="eastAsia" w:ascii="宋体" w:hAnsi="宋体" w:eastAsia="宋体" w:cs="Times New Roman"/>
          <w:kern w:val="0"/>
          <w:sz w:val="24"/>
          <w:szCs w:val="20"/>
          <w:lang w:val="zh-CN"/>
        </w:rPr>
        <w:t>在商洽本合同时，双方澄清、确认并共同签字的补充文件、技术协议。</w:t>
      </w:r>
    </w:p>
    <w:p>
      <w:pPr>
        <w:keepNext w:val="0"/>
        <w:keepLines w:val="0"/>
        <w:pageBreakBefore w:val="0"/>
        <w:widowControl w:val="0"/>
        <w:numPr>
          <w:ilvl w:val="3"/>
          <w:numId w:val="54"/>
        </w:numPr>
        <w:tabs>
          <w:tab w:val="left" w:pos="854"/>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合同范围和条件。本合同的范围和条件应与上述规定的合同文件内容相一致。</w:t>
      </w:r>
    </w:p>
    <w:p>
      <w:pPr>
        <w:keepNext w:val="0"/>
        <w:keepLines w:val="0"/>
        <w:pageBreakBefore w:val="0"/>
        <w:widowControl w:val="0"/>
        <w:numPr>
          <w:ilvl w:val="3"/>
          <w:numId w:val="54"/>
        </w:numPr>
        <w:tabs>
          <w:tab w:val="left" w:pos="854"/>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货物（工程或服务）及数量。本合同所提供的货物（工程或服务）及数量详见招标文件的要求及乙方投标文件中的承诺。</w:t>
      </w:r>
    </w:p>
    <w:p>
      <w:pPr>
        <w:keepNext w:val="0"/>
        <w:keepLines w:val="0"/>
        <w:pageBreakBefore w:val="0"/>
        <w:widowControl w:val="0"/>
        <w:numPr>
          <w:ilvl w:val="3"/>
          <w:numId w:val="54"/>
        </w:numPr>
        <w:tabs>
          <w:tab w:val="left" w:pos="854"/>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付款条件。本合同的付款条件按招标文件规定执行。</w:t>
      </w:r>
    </w:p>
    <w:p>
      <w:pPr>
        <w:keepNext w:val="0"/>
        <w:keepLines w:val="0"/>
        <w:pageBreakBefore w:val="0"/>
        <w:widowControl w:val="0"/>
        <w:numPr>
          <w:ilvl w:val="3"/>
          <w:numId w:val="54"/>
        </w:numPr>
        <w:tabs>
          <w:tab w:val="left" w:pos="854"/>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合同金额。合同总金额见合同书，分项价格在乙方的投标报价表中有明确规定。</w:t>
      </w:r>
    </w:p>
    <w:p>
      <w:pPr>
        <w:keepNext w:val="0"/>
        <w:keepLines w:val="0"/>
        <w:pageBreakBefore w:val="0"/>
        <w:widowControl w:val="0"/>
        <w:numPr>
          <w:ilvl w:val="3"/>
          <w:numId w:val="54"/>
        </w:numPr>
        <w:tabs>
          <w:tab w:val="left" w:pos="854"/>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工期和交货（服务）地点。本合同中货物（工程或服务）的工期、交货（服务）地点在招标文件中有明确规定。</w:t>
      </w:r>
    </w:p>
    <w:p>
      <w:pPr>
        <w:keepNext w:val="0"/>
        <w:keepLines w:val="0"/>
        <w:pageBreakBefore w:val="0"/>
        <w:widowControl w:val="0"/>
        <w:numPr>
          <w:ilvl w:val="3"/>
          <w:numId w:val="54"/>
        </w:numPr>
        <w:tabs>
          <w:tab w:val="left" w:pos="980"/>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合同生效。本合同经甲、乙双方授权代表签字和加盖公章（或合同专用章）后生效。如招标申请公证的，合同需经公证机构公证后生效。</w:t>
      </w:r>
    </w:p>
    <w:p>
      <w:pPr>
        <w:keepNext w:val="0"/>
        <w:keepLines w:val="0"/>
        <w:pageBreakBefore w:val="0"/>
        <w:widowControl w:val="0"/>
        <w:numPr>
          <w:ilvl w:val="3"/>
          <w:numId w:val="54"/>
        </w:numPr>
        <w:tabs>
          <w:tab w:val="left" w:pos="980"/>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合同的份数。本合同正本一式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份；副本一式</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份，甲方执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份，乙方执</w:t>
      </w:r>
      <w:r>
        <w:rPr>
          <w:rFonts w:hint="eastAsia" w:ascii="宋体" w:hAnsi="宋体" w:eastAsia="宋体" w:cs="Times New Roman"/>
          <w:kern w:val="0"/>
          <w:sz w:val="24"/>
          <w:szCs w:val="20"/>
          <w:u w:val="single"/>
        </w:rPr>
        <w:t>　</w:t>
      </w:r>
      <w:r>
        <w:rPr>
          <w:rFonts w:hint="eastAsia" w:ascii="宋体" w:hAnsi="宋体" w:eastAsia="宋体" w:cs="Times New Roman"/>
          <w:kern w:val="0"/>
          <w:sz w:val="24"/>
          <w:szCs w:val="20"/>
        </w:rPr>
        <w:t>份。</w:t>
      </w:r>
    </w:p>
    <w:p>
      <w:pPr>
        <w:keepNext w:val="0"/>
        <w:keepLines w:val="0"/>
        <w:pageBreakBefore w:val="0"/>
        <w:widowControl w:val="0"/>
        <w:numPr>
          <w:ilvl w:val="3"/>
          <w:numId w:val="54"/>
        </w:numPr>
        <w:tabs>
          <w:tab w:val="left" w:pos="980"/>
        </w:tabs>
        <w:kinsoku/>
        <w:wordWrap/>
        <w:overflowPunct/>
        <w:topLinePunct w:val="0"/>
        <w:autoSpaceDE w:val="0"/>
        <w:autoSpaceDN w:val="0"/>
        <w:bidi w:val="0"/>
        <w:adjustRightInd/>
        <w:snapToGrid/>
        <w:spacing w:beforeLines="25" w:line="460" w:lineRule="exact"/>
        <w:ind w:left="11" w:firstLine="477" w:firstLineChars="199"/>
        <w:contextualSpacing/>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合同的失效。本合同在合同价款全部结清后失效。</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甲　　方：</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乙　　方：</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单位名称（盖章）：</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单位名称（盖章）：</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单位地址：</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单位地址：</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 xml:space="preserve">法人代表授权人(签字)：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法人代表授权人(签字)：</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联 系 人：</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 xml:space="preserve">                         联 系 人：</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 xml:space="preserve">电　　话：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电　　话：</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 xml:space="preserve">传　　真：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传　　真：</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 xml:space="preserve">邮政编码：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邮政编码：</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 xml:space="preserve">开户银行：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开户银行：</w:t>
      </w:r>
    </w:p>
    <w:p>
      <w:pPr>
        <w:keepNext w:val="0"/>
        <w:keepLines w:val="0"/>
        <w:pageBreakBefore w:val="0"/>
        <w:widowControl w:val="0"/>
        <w:kinsoku/>
        <w:wordWrap/>
        <w:overflowPunct/>
        <w:topLinePunct w:val="0"/>
        <w:bidi w:val="0"/>
        <w:adjustRightInd/>
        <w:snapToGrid/>
        <w:spacing w:beforeLines="25" w:line="460" w:lineRule="exact"/>
        <w:ind w:firstLine="489" w:firstLineChars="204"/>
        <w:contextualSpacing/>
        <w:jc w:val="left"/>
        <w:textAlignment w:val="auto"/>
        <w:rPr>
          <w:rFonts w:ascii="宋体" w:hAnsi="宋体" w:eastAsia="宋体" w:cs="Times New Roman"/>
          <w:kern w:val="0"/>
          <w:sz w:val="24"/>
          <w:szCs w:val="20"/>
        </w:rPr>
      </w:pPr>
      <w:r>
        <w:rPr>
          <w:rFonts w:hint="eastAsia" w:ascii="宋体" w:hAnsi="宋体" w:eastAsia="宋体" w:cs="Times New Roman"/>
          <w:kern w:val="0"/>
          <w:sz w:val="24"/>
          <w:szCs w:val="20"/>
        </w:rPr>
        <w:t xml:space="preserve">帐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帐　　号：</w:t>
      </w:r>
    </w:p>
    <w:p>
      <w:pPr>
        <w:spacing w:beforeLines="25" w:line="360" w:lineRule="auto"/>
        <w:ind w:firstLine="489" w:firstLineChars="204"/>
        <w:contextualSpacing/>
        <w:jc w:val="left"/>
      </w:pPr>
      <w:r>
        <w:rPr>
          <w:rFonts w:hint="eastAsia" w:ascii="宋体" w:hAnsi="宋体" w:eastAsia="宋体" w:cs="Times New Roman"/>
          <w:kern w:val="0"/>
          <w:sz w:val="24"/>
          <w:szCs w:val="20"/>
        </w:rPr>
        <w:t xml:space="preserve">税　　号：                         </w:t>
      </w:r>
      <w:r>
        <w:rPr>
          <w:rFonts w:hint="eastAsia" w:ascii="宋体" w:hAnsi="宋体" w:eastAsia="宋体" w:cs="Times New Roman"/>
          <w:kern w:val="0"/>
          <w:sz w:val="24"/>
          <w:szCs w:val="20"/>
        </w:rPr>
        <w:tab/>
      </w:r>
      <w:r>
        <w:rPr>
          <w:rFonts w:hint="eastAsia" w:ascii="宋体" w:hAnsi="宋体" w:eastAsia="宋体" w:cs="Times New Roman"/>
          <w:kern w:val="0"/>
          <w:sz w:val="24"/>
          <w:szCs w:val="20"/>
        </w:rPr>
        <w:t>税　　号：</w:t>
      </w:r>
      <w:r>
        <w:br w:type="page"/>
      </w:r>
    </w:p>
    <w:p>
      <w:pPr>
        <w:pStyle w:val="3"/>
        <w:numPr>
          <w:ilvl w:val="0"/>
          <w:numId w:val="1"/>
        </w:numPr>
        <w:jc w:val="center"/>
        <w:rPr>
          <w:rFonts w:ascii="黑体" w:hAnsi="黑体" w:eastAsia="黑体"/>
        </w:rPr>
      </w:pPr>
      <w:bookmarkStart w:id="93" w:name="_Toc495861546"/>
      <w:bookmarkStart w:id="94" w:name="_Toc494702264"/>
      <w:bookmarkStart w:id="95" w:name="_Toc494665547"/>
      <w:bookmarkStart w:id="96" w:name="_Toc494665944"/>
      <w:bookmarkStart w:id="97" w:name="_Toc494721094"/>
      <w:bookmarkStart w:id="98" w:name="_Toc494664994"/>
      <w:bookmarkStart w:id="99" w:name="_Toc494745311"/>
      <w:bookmarkStart w:id="100" w:name="_Toc28099"/>
      <w:r>
        <w:rPr>
          <w:rFonts w:hint="eastAsia" w:ascii="黑体" w:hAnsi="黑体" w:eastAsia="黑体"/>
        </w:rPr>
        <w:t>投标文件格式（参考）</w:t>
      </w:r>
      <w:bookmarkEnd w:id="93"/>
      <w:bookmarkEnd w:id="94"/>
      <w:bookmarkEnd w:id="95"/>
      <w:bookmarkEnd w:id="96"/>
      <w:bookmarkEnd w:id="97"/>
      <w:bookmarkEnd w:id="98"/>
      <w:bookmarkEnd w:id="99"/>
      <w:bookmarkEnd w:id="100"/>
    </w:p>
    <w:p>
      <w:pPr>
        <w:spacing w:afterLines="250"/>
        <w:jc w:val="center"/>
        <w:rPr>
          <w:rFonts w:ascii="黑体" w:hAnsi="黑体" w:eastAsia="黑体"/>
          <w:b/>
          <w:sz w:val="56"/>
          <w:szCs w:val="56"/>
        </w:rPr>
      </w:pPr>
      <w:r>
        <w:rPr>
          <w:rFonts w:hint="eastAsia" w:ascii="黑体" w:hAnsi="黑体" w:eastAsia="黑体"/>
          <w:b/>
          <w:sz w:val="56"/>
          <w:szCs w:val="56"/>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spacing w:afterLines="200"/>
        <w:jc w:val="center"/>
        <w:rPr>
          <w:rFonts w:ascii="黑体" w:hAnsi="黑体" w:eastAsia="黑体"/>
          <w:b/>
          <w:sz w:val="144"/>
          <w:szCs w:val="144"/>
        </w:rPr>
      </w:pPr>
    </w:p>
    <w:p>
      <w:pPr>
        <w:pStyle w:val="4"/>
        <w:spacing w:before="340" w:after="480" w:line="360" w:lineRule="auto"/>
        <w:jc w:val="center"/>
        <w:rPr>
          <w:rFonts w:cs="Times New Roman" w:asciiTheme="majorEastAsia" w:hAnsiTheme="majorEastAsia"/>
          <w:bCs w:val="0"/>
          <w:sz w:val="44"/>
          <w:szCs w:val="44"/>
          <w:lang w:val="zh-CN"/>
        </w:rPr>
      </w:pPr>
      <w:bookmarkStart w:id="101" w:name="_Toc494665548"/>
      <w:bookmarkStart w:id="102" w:name="_Toc494745312"/>
      <w:bookmarkStart w:id="103" w:name="_Toc494665945"/>
      <w:bookmarkStart w:id="104" w:name="_Toc494721095"/>
      <w:bookmarkStart w:id="105" w:name="_Toc494664995"/>
      <w:bookmarkStart w:id="106" w:name="_Toc495861547"/>
      <w:bookmarkStart w:id="107" w:name="_Toc494702265"/>
      <w:bookmarkStart w:id="108" w:name="_Toc17351"/>
      <w:r>
        <w:rPr>
          <w:rFonts w:hint="eastAsia" w:cs="Times New Roman" w:asciiTheme="majorEastAsia" w:hAnsiTheme="majorEastAsia"/>
          <w:bCs w:val="0"/>
          <w:sz w:val="44"/>
          <w:szCs w:val="44"/>
          <w:lang w:val="zh-CN"/>
        </w:rPr>
        <w:t>第一部分 资格证明文件</w:t>
      </w:r>
      <w:bookmarkEnd w:id="101"/>
      <w:bookmarkEnd w:id="102"/>
      <w:bookmarkEnd w:id="103"/>
      <w:bookmarkEnd w:id="104"/>
      <w:bookmarkEnd w:id="105"/>
      <w:bookmarkEnd w:id="106"/>
      <w:bookmarkEnd w:id="107"/>
      <w:bookmarkEnd w:id="108"/>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right="1287" w:rightChars="613"/>
        <w:jc w:val="center"/>
        <w:rPr>
          <w:rFonts w:cs="Times New Roman" w:asciiTheme="minorEastAsia" w:hAnsiTheme="minorEastAsia"/>
          <w:b/>
          <w:bCs/>
          <w:sz w:val="70"/>
          <w:szCs w:val="70"/>
        </w:rPr>
      </w:pPr>
      <w:r>
        <w:rPr>
          <w:rFonts w:hint="eastAsia" w:cs="Times New Roman" w:asciiTheme="minorEastAsia" w:hAnsiTheme="minorEastAsia"/>
          <w:b/>
          <w:bCs/>
          <w:sz w:val="96"/>
          <w:szCs w:val="96"/>
        </w:rPr>
        <w:t xml:space="preserve">  </w:t>
      </w:r>
      <w:r>
        <w:rPr>
          <w:rFonts w:hint="eastAsia" w:cs="Times New Roman" w:asciiTheme="minorEastAsia" w:hAnsiTheme="minorEastAsia"/>
          <w:b/>
          <w:bCs/>
          <w:sz w:val="70"/>
          <w:szCs w:val="70"/>
        </w:rPr>
        <w:t>投标人（盖章）</w:t>
      </w:r>
    </w:p>
    <w:p>
      <w:pPr>
        <w:spacing w:line="360" w:lineRule="auto"/>
        <w:ind w:right="1287" w:rightChars="613" w:firstLine="1600" w:firstLineChars="500"/>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hint="eastAsia" w:ascii="宋体" w:hAnsi="宋体" w:eastAsiaTheme="minorEastAsia"/>
          <w:b/>
          <w:sz w:val="36"/>
          <w:szCs w:val="36"/>
          <w:lang w:val="en-US" w:eastAsia="zh-CN"/>
        </w:rPr>
      </w:pPr>
      <w:r>
        <w:rPr>
          <w:rFonts w:hint="eastAsia" w:ascii="宋体" w:hAnsi="宋体"/>
          <w:b/>
          <w:sz w:val="36"/>
          <w:szCs w:val="36"/>
        </w:rPr>
        <w:t xml:space="preserve"> 年 </w:t>
      </w:r>
      <w:r>
        <w:rPr>
          <w:rFonts w:hint="eastAsia" w:ascii="宋体" w:hAnsi="宋体"/>
          <w:b/>
          <w:sz w:val="36"/>
          <w:szCs w:val="36"/>
          <w:lang w:val="en-US" w:eastAsia="zh-CN"/>
        </w:rPr>
        <w:t xml:space="preserve"> </w:t>
      </w:r>
      <w:r>
        <w:rPr>
          <w:rFonts w:hint="eastAsia" w:ascii="宋体" w:hAnsi="宋体"/>
          <w:b/>
          <w:sz w:val="36"/>
          <w:szCs w:val="36"/>
        </w:rPr>
        <w:t>月</w:t>
      </w:r>
      <w:r>
        <w:rPr>
          <w:rFonts w:hint="eastAsia" w:ascii="宋体" w:hAnsi="宋体"/>
          <w:b/>
          <w:sz w:val="36"/>
          <w:szCs w:val="36"/>
          <w:lang w:val="en-US" w:eastAsia="zh-CN"/>
        </w:rPr>
        <w:t xml:space="preserve">  日</w:t>
      </w:r>
    </w:p>
    <w:p>
      <w:r>
        <w:br w:type="page"/>
      </w:r>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09" w:name="_Toc494721096"/>
      <w:bookmarkStart w:id="110" w:name="_Toc494745313"/>
      <w:bookmarkStart w:id="111" w:name="_Toc494665549"/>
      <w:bookmarkStart w:id="112" w:name="_Toc494664996"/>
      <w:bookmarkStart w:id="113" w:name="_Toc494665946"/>
      <w:bookmarkStart w:id="114" w:name="_Toc494702266"/>
      <w:r>
        <w:rPr>
          <w:rFonts w:hint="eastAsia" w:ascii="黑体" w:hAnsi="黑体" w:eastAsia="黑体" w:cs="Times New Roman"/>
          <w:b/>
          <w:sz w:val="36"/>
          <w:szCs w:val="36"/>
        </w:rPr>
        <w:t>资格证明文件组成</w:t>
      </w:r>
      <w:bookmarkEnd w:id="109"/>
      <w:bookmarkEnd w:id="110"/>
      <w:bookmarkEnd w:id="111"/>
      <w:bookmarkEnd w:id="112"/>
      <w:bookmarkEnd w:id="113"/>
      <w:bookmarkEnd w:id="114"/>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由各投标人根据参考格式要求自行编写。目录清晰、内容详尽、易于理解和审查。具体内容应包括但不限于以下内容：</w:t>
      </w:r>
    </w:p>
    <w:p>
      <w:pPr>
        <w:numPr>
          <w:ilvl w:val="0"/>
          <w:numId w:val="57"/>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资格证明文件目录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57"/>
        </w:numPr>
        <w:autoSpaceDE w:val="0"/>
        <w:autoSpaceDN w:val="0"/>
        <w:adjustRightInd w:val="0"/>
        <w:spacing w:line="360" w:lineRule="auto"/>
        <w:ind w:left="490" w:hanging="370"/>
        <w:rPr>
          <w:rFonts w:ascii="宋体" w:hAnsi="宋体" w:eastAsia="宋体" w:cs="Times New Roman"/>
          <w:b/>
          <w:color w:val="0D0D0D" w:themeColor="text1" w:themeTint="F2"/>
          <w:kern w:val="0"/>
          <w:sz w:val="24"/>
          <w:szCs w:val="32"/>
          <w14:textFill>
            <w14:solidFill>
              <w14:schemeClr w14:val="tx1">
                <w14:lumMod w14:val="95000"/>
                <w14:lumOff w14:val="5000"/>
              </w14:schemeClr>
            </w14:solidFill>
          </w14:textFill>
        </w:rPr>
      </w:pPr>
      <w:r>
        <w:rPr>
          <w:rFonts w:hint="eastAsia" w:ascii="宋体" w:hAnsi="宋体"/>
          <w:color w:val="0D0D0D" w:themeColor="text1" w:themeTint="F2"/>
          <w:kern w:val="0"/>
          <w:sz w:val="24"/>
          <w:szCs w:val="32"/>
          <w14:textFill>
            <w14:solidFill>
              <w14:schemeClr w14:val="tx1">
                <w14:lumMod w14:val="95000"/>
                <w14:lumOff w14:val="5000"/>
              </w14:schemeClr>
            </w14:solidFill>
          </w14:textFill>
        </w:rPr>
        <w:t>应具备《政府采购法》第二十二条第一款规定的条件，提供下列材料：</w:t>
      </w:r>
    </w:p>
    <w:p>
      <w:pPr>
        <w:pStyle w:val="34"/>
        <w:numPr>
          <w:ilvl w:val="0"/>
          <w:numId w:val="5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法人或者其他组织的营业执照等证明文件，自然人的身份证明；</w:t>
      </w:r>
    </w:p>
    <w:p>
      <w:pPr>
        <w:pStyle w:val="34"/>
        <w:numPr>
          <w:ilvl w:val="0"/>
          <w:numId w:val="5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color w:val="000000"/>
          <w:sz w:val="24"/>
          <w:szCs w:val="24"/>
          <w:lang w:val="zh-CN"/>
        </w:rPr>
        <w:t>财务状况报告，依法缴纳税收和社会保障资金的相关材料；</w:t>
      </w:r>
    </w:p>
    <w:p>
      <w:pPr>
        <w:pStyle w:val="34"/>
        <w:numPr>
          <w:ilvl w:val="0"/>
          <w:numId w:val="5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具备履行合同所必需的设备和专业技术能力的证明材料；</w:t>
      </w:r>
    </w:p>
    <w:p>
      <w:pPr>
        <w:pStyle w:val="34"/>
        <w:numPr>
          <w:ilvl w:val="0"/>
          <w:numId w:val="5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参加政府采购活动前3年内在经营活动中没有重大违法记录的书面声明；</w:t>
      </w:r>
    </w:p>
    <w:p>
      <w:pPr>
        <w:pStyle w:val="34"/>
        <w:numPr>
          <w:ilvl w:val="0"/>
          <w:numId w:val="58"/>
        </w:numPr>
        <w:autoSpaceDE w:val="0"/>
        <w:autoSpaceDN w:val="0"/>
        <w:adjustRightInd w:val="0"/>
        <w:spacing w:line="360" w:lineRule="auto"/>
        <w:ind w:hanging="260" w:firstLineChars="0"/>
        <w:rPr>
          <w:rFonts w:ascii="宋体" w:hAnsi="宋体" w:eastAsia="宋体" w:cs="Times New Roman"/>
          <w:kern w:val="0"/>
          <w:sz w:val="24"/>
          <w:szCs w:val="32"/>
        </w:rPr>
      </w:pPr>
      <w:r>
        <w:rPr>
          <w:rFonts w:hint="eastAsia" w:ascii="宋体" w:hAnsi="宋体" w:eastAsia="宋体" w:cs="Times New Roman"/>
          <w:kern w:val="0"/>
          <w:sz w:val="24"/>
          <w:szCs w:val="32"/>
        </w:rPr>
        <w:t>具备法律、行政法规规定的其他条件的证明材料；</w:t>
      </w:r>
    </w:p>
    <w:p>
      <w:pPr>
        <w:numPr>
          <w:ilvl w:val="0"/>
          <w:numId w:val="57"/>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未被“信用中国”网站(www.creditchina.gov.cn)列入失信被执行人、重大税收违法案件当事人名单</w:t>
      </w:r>
      <w:r>
        <w:rPr>
          <w:rFonts w:hint="eastAsia" w:ascii="宋体" w:hAnsi="宋体" w:eastAsia="宋体" w:cs="Times New Roman"/>
          <w:sz w:val="24"/>
          <w:szCs w:val="24"/>
        </w:rPr>
        <w:t>和“中国政府采购”网站（www.ccgp.gov.cn）政府采购严重违法失信行为记录名单的网页截图</w:t>
      </w:r>
      <w:r>
        <w:rPr>
          <w:rFonts w:hint="eastAsia" w:ascii="宋体" w:hAnsi="宋体" w:eastAsia="宋体" w:cs="Courier New"/>
          <w:color w:val="0D0D0D"/>
          <w:sz w:val="24"/>
          <w:szCs w:val="24"/>
        </w:rPr>
        <w:t>；</w:t>
      </w:r>
    </w:p>
    <w:p>
      <w:pPr>
        <w:numPr>
          <w:ilvl w:val="0"/>
          <w:numId w:val="57"/>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招标文件第一章“投标人资格要求”中有特殊要求的，投标人应提供其符合特殊要求的证明材料或者情况说明；</w:t>
      </w:r>
    </w:p>
    <w:p>
      <w:pPr>
        <w:numPr>
          <w:ilvl w:val="0"/>
          <w:numId w:val="57"/>
        </w:numPr>
        <w:autoSpaceDE w:val="0"/>
        <w:autoSpaceDN w:val="0"/>
        <w:adjustRightInd w:val="0"/>
        <w:spacing w:line="360" w:lineRule="auto"/>
        <w:ind w:left="490" w:hanging="370"/>
        <w:rPr>
          <w:rFonts w:ascii="宋体" w:hAnsi="宋体" w:eastAsia="宋体" w:cs="Courier New"/>
          <w:sz w:val="24"/>
          <w:szCs w:val="24"/>
        </w:rPr>
      </w:pPr>
      <w:r>
        <w:rPr>
          <w:rFonts w:hint="eastAsia" w:ascii="宋体" w:hAnsi="宋体" w:eastAsia="宋体" w:cs="Courier New"/>
          <w:sz w:val="24"/>
          <w:szCs w:val="24"/>
        </w:rPr>
        <w:t>不符合联合体投标相关规定和要</w:t>
      </w:r>
      <w:r>
        <w:rPr>
          <w:rFonts w:hint="eastAsia" w:ascii="宋体" w:hAnsi="宋体" w:eastAsia="宋体" w:cs="Courier New"/>
          <w:color w:val="0D0D0D"/>
          <w:sz w:val="24"/>
          <w:szCs w:val="24"/>
        </w:rPr>
        <w:t>求的（适用于接受联合体投标的项目）；</w:t>
      </w:r>
    </w:p>
    <w:p>
      <w:pPr>
        <w:numPr>
          <w:ilvl w:val="0"/>
          <w:numId w:val="57"/>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投标人认为需提供的其它相关资格证明材料。</w:t>
      </w:r>
    </w:p>
    <w:p>
      <w:pPr>
        <w:autoSpaceDE w:val="0"/>
        <w:autoSpaceDN w:val="0"/>
        <w:adjustRightInd w:val="0"/>
        <w:spacing w:line="400" w:lineRule="exact"/>
        <w:ind w:left="490"/>
        <w:rPr>
          <w:rFonts w:ascii="Calibri" w:hAnsi="宋体" w:eastAsia="宋体" w:cs="Times New Roman"/>
          <w:color w:val="0D0D0D"/>
          <w:sz w:val="24"/>
          <w:szCs w:val="24"/>
        </w:rPr>
      </w:pPr>
    </w:p>
    <w:p>
      <w:pPr>
        <w:autoSpaceDE w:val="0"/>
        <w:autoSpaceDN w:val="0"/>
        <w:adjustRightInd w:val="0"/>
        <w:spacing w:line="400" w:lineRule="exact"/>
        <w:ind w:left="490"/>
        <w:rPr>
          <w:rFonts w:ascii="Calibri" w:hAnsi="宋体" w:eastAsia="宋体" w:cs="Times New Roman"/>
          <w:color w:val="0D0D0D"/>
          <w:sz w:val="24"/>
          <w:szCs w:val="24"/>
        </w:rPr>
      </w:pPr>
    </w:p>
    <w:p>
      <w:r>
        <w:rPr>
          <w:rFonts w:hint="eastAsia" w:ascii="宋体" w:hAnsi="宋体" w:eastAsia="宋体" w:cs="Times New Roman"/>
          <w:sz w:val="24"/>
          <w:szCs w:val="24"/>
        </w:rPr>
        <w:t>说明：资格证明文件正本应为清晰彩色</w:t>
      </w:r>
      <w:r>
        <w:rPr>
          <w:rFonts w:hint="eastAsia" w:ascii="宋体" w:hAnsi="宋体" w:eastAsia="宋体" w:cs="Times New Roman"/>
          <w:sz w:val="24"/>
          <w:szCs w:val="24"/>
          <w:lang w:eastAsia="zh-CN"/>
        </w:rPr>
        <w:t>打印件</w:t>
      </w:r>
      <w:r>
        <w:rPr>
          <w:rFonts w:hint="eastAsia" w:ascii="宋体" w:hAnsi="宋体" w:eastAsia="宋体" w:cs="Times New Roman"/>
          <w:sz w:val="24"/>
          <w:szCs w:val="24"/>
        </w:rPr>
        <w:t>且加盖单位公章，否则</w:t>
      </w:r>
      <w:r>
        <w:rPr>
          <w:rFonts w:hint="eastAsia" w:ascii="Helvetica" w:hAnsi="Helvetica" w:eastAsia="宋体" w:cs="Helvetica"/>
          <w:kern w:val="0"/>
          <w:sz w:val="24"/>
          <w:szCs w:val="24"/>
        </w:rPr>
        <w:t>按照</w:t>
      </w:r>
      <w:r>
        <w:rPr>
          <w:rFonts w:hint="eastAsia" w:ascii="Helvetica" w:hAnsi="Helvetica" w:eastAsia="宋体" w:cs="Helvetica"/>
          <w:b/>
          <w:kern w:val="0"/>
          <w:sz w:val="24"/>
          <w:szCs w:val="24"/>
        </w:rPr>
        <w:t>无效投标处理</w:t>
      </w:r>
      <w:r>
        <w:rPr>
          <w:rFonts w:hint="eastAsia" w:ascii="宋体" w:hAnsi="宋体" w:eastAsia="宋体" w:cs="Times New Roman"/>
          <w:b/>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both"/>
        <w:rPr>
          <w:rFonts w:cs="Times New Roman" w:asciiTheme="majorEastAsia" w:hAnsiTheme="majorEastAsia"/>
          <w:bCs w:val="0"/>
          <w:sz w:val="44"/>
          <w:szCs w:val="44"/>
          <w:lang w:val="zh-CN"/>
        </w:rPr>
      </w:pPr>
      <w:bookmarkStart w:id="115" w:name="_Toc494664997"/>
      <w:bookmarkStart w:id="116" w:name="_Toc494702267"/>
      <w:bookmarkStart w:id="117" w:name="_Toc494665947"/>
      <w:bookmarkStart w:id="118" w:name="_Toc494721097"/>
      <w:bookmarkStart w:id="119" w:name="_Toc494665550"/>
      <w:bookmarkStart w:id="120" w:name="_Toc494745314"/>
      <w:bookmarkStart w:id="121" w:name="_Toc495861548"/>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bookmarkStart w:id="122" w:name="_Toc29696"/>
      <w:r>
        <w:rPr>
          <w:rFonts w:hint="eastAsia" w:cs="Times New Roman" w:asciiTheme="majorEastAsia" w:hAnsiTheme="majorEastAsia"/>
          <w:bCs w:val="0"/>
          <w:sz w:val="44"/>
          <w:szCs w:val="44"/>
          <w:lang w:val="zh-CN"/>
        </w:rPr>
        <w:t>第二部分 商务文件</w:t>
      </w:r>
      <w:bookmarkEnd w:id="115"/>
      <w:bookmarkEnd w:id="116"/>
      <w:bookmarkEnd w:id="117"/>
      <w:bookmarkEnd w:id="118"/>
      <w:bookmarkEnd w:id="119"/>
      <w:bookmarkEnd w:id="120"/>
      <w:bookmarkEnd w:id="121"/>
      <w:bookmarkEnd w:id="122"/>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hint="eastAsia" w:ascii="宋体" w:hAnsi="宋体" w:eastAsiaTheme="minorEastAsia"/>
          <w:b/>
          <w:sz w:val="36"/>
          <w:szCs w:val="36"/>
          <w:lang w:val="en-US" w:eastAsia="zh-CN"/>
        </w:rPr>
      </w:pPr>
      <w:r>
        <w:rPr>
          <w:rFonts w:hint="eastAsia" w:ascii="宋体" w:hAnsi="宋体"/>
          <w:b/>
          <w:sz w:val="36"/>
          <w:szCs w:val="36"/>
        </w:rPr>
        <w:t xml:space="preserve"> </w:t>
      </w:r>
      <w:r>
        <w:rPr>
          <w:rFonts w:hint="eastAsia" w:ascii="宋体" w:hAnsi="宋体"/>
          <w:b/>
          <w:sz w:val="36"/>
          <w:szCs w:val="36"/>
          <w:lang w:val="en-US" w:eastAsia="zh-CN"/>
        </w:rPr>
        <w:t xml:space="preserve"> </w:t>
      </w:r>
      <w:r>
        <w:rPr>
          <w:rFonts w:hint="eastAsia" w:ascii="宋体" w:hAnsi="宋体"/>
          <w:b/>
          <w:sz w:val="36"/>
          <w:szCs w:val="36"/>
        </w:rPr>
        <w:t xml:space="preserve">年 </w:t>
      </w:r>
      <w:r>
        <w:rPr>
          <w:rFonts w:hint="eastAsia" w:ascii="宋体" w:hAnsi="宋体"/>
          <w:b/>
          <w:sz w:val="36"/>
          <w:szCs w:val="36"/>
          <w:lang w:val="en-US" w:eastAsia="zh-CN"/>
        </w:rPr>
        <w:t xml:space="preserve"> </w:t>
      </w:r>
      <w:r>
        <w:rPr>
          <w:rFonts w:hint="eastAsia" w:ascii="宋体" w:hAnsi="宋体"/>
          <w:b/>
          <w:sz w:val="36"/>
          <w:szCs w:val="36"/>
        </w:rPr>
        <w:t>月</w:t>
      </w:r>
      <w:r>
        <w:rPr>
          <w:rFonts w:hint="eastAsia" w:ascii="宋体" w:hAnsi="宋体"/>
          <w:b/>
          <w:sz w:val="36"/>
          <w:szCs w:val="36"/>
          <w:lang w:val="en-US" w:eastAsia="zh-CN"/>
        </w:rPr>
        <w:t xml:space="preserve">  日</w:t>
      </w:r>
    </w:p>
    <w:p>
      <w:pPr>
        <w:rPr>
          <w:rFonts w:hint="eastAsia" w:ascii="宋体" w:hAnsi="宋体" w:eastAsia="宋体" w:cs="Times New Roman"/>
          <w:b/>
          <w:bCs/>
          <w:sz w:val="30"/>
          <w:szCs w:val="30"/>
          <w:lang w:val="zh-CN"/>
        </w:rPr>
      </w:pPr>
    </w:p>
    <w:p>
      <w:r>
        <w:rPr>
          <w:rFonts w:hint="eastAsia" w:ascii="宋体" w:hAnsi="宋体" w:eastAsia="宋体" w:cs="Times New Roman"/>
          <w:b/>
          <w:bCs/>
          <w:sz w:val="30"/>
          <w:szCs w:val="30"/>
          <w:lang w:val="zh-CN"/>
        </w:rPr>
        <w:t>格式（参考）说明：</w:t>
      </w:r>
    </w:p>
    <w:p>
      <w:pPr>
        <w:spacing w:before="120" w:after="120" w:line="578" w:lineRule="auto"/>
        <w:jc w:val="center"/>
        <w:rPr>
          <w:rFonts w:ascii="黑体" w:hAnsi="黑体" w:eastAsia="黑体" w:cs="Times New Roman"/>
          <w:b/>
          <w:sz w:val="36"/>
          <w:szCs w:val="36"/>
        </w:rPr>
      </w:pPr>
      <w:bookmarkStart w:id="123" w:name="_Toc494702268"/>
      <w:bookmarkStart w:id="124" w:name="_Toc494665948"/>
      <w:bookmarkStart w:id="125" w:name="_Toc494665551"/>
      <w:bookmarkStart w:id="126" w:name="_Toc494664998"/>
      <w:bookmarkStart w:id="127" w:name="_Toc494721098"/>
      <w:bookmarkStart w:id="128" w:name="_Toc494745315"/>
      <w:r>
        <w:rPr>
          <w:rFonts w:hint="eastAsia" w:ascii="黑体" w:hAnsi="黑体" w:eastAsia="黑体" w:cs="Times New Roman"/>
          <w:b/>
          <w:sz w:val="36"/>
          <w:szCs w:val="36"/>
        </w:rPr>
        <w:t>商务文件组成</w:t>
      </w:r>
      <w:bookmarkEnd w:id="123"/>
      <w:bookmarkEnd w:id="124"/>
      <w:bookmarkEnd w:id="125"/>
      <w:bookmarkEnd w:id="126"/>
      <w:bookmarkEnd w:id="127"/>
      <w:bookmarkEnd w:id="128"/>
    </w:p>
    <w:p>
      <w:pPr>
        <w:autoSpaceDE w:val="0"/>
        <w:autoSpaceDN w:val="0"/>
        <w:adjustRightInd w:val="0"/>
        <w:spacing w:beforeLines="50"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5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商务文件目录</w:t>
      </w:r>
      <w:r>
        <w:rPr>
          <w:rFonts w:hint="eastAsia" w:ascii="宋体" w:hAnsi="宋体" w:eastAsia="宋体" w:cs="Times New Roman"/>
          <w:b/>
          <w:kern w:val="0"/>
          <w:sz w:val="24"/>
          <w:szCs w:val="32"/>
        </w:rPr>
        <w:t>（目录应涵盖下述所有资料，页码清晰以便查阅）</w:t>
      </w:r>
      <w:r>
        <w:rPr>
          <w:rFonts w:hint="eastAsia" w:ascii="宋体" w:hAnsi="宋体" w:eastAsia="宋体" w:cs="Times New Roman"/>
          <w:kern w:val="0"/>
          <w:sz w:val="24"/>
          <w:szCs w:val="32"/>
        </w:rPr>
        <w:t>；</w:t>
      </w:r>
    </w:p>
    <w:p>
      <w:pPr>
        <w:numPr>
          <w:ilvl w:val="0"/>
          <w:numId w:val="59"/>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投标书（附件一）；</w:t>
      </w:r>
    </w:p>
    <w:p>
      <w:pPr>
        <w:numPr>
          <w:ilvl w:val="0"/>
          <w:numId w:val="59"/>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制造商中小企业声明函（附件二）；</w:t>
      </w:r>
    </w:p>
    <w:p>
      <w:pPr>
        <w:numPr>
          <w:ilvl w:val="0"/>
          <w:numId w:val="59"/>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kern w:val="0"/>
          <w:sz w:val="24"/>
          <w:szCs w:val="32"/>
        </w:rPr>
        <w:t>中小企业声</w:t>
      </w:r>
      <w:r>
        <w:rPr>
          <w:rFonts w:hint="eastAsia" w:ascii="宋体" w:hAnsi="宋体" w:eastAsia="宋体" w:cs="Times New Roman"/>
          <w:color w:val="0D0D0D"/>
          <w:kern w:val="0"/>
          <w:sz w:val="24"/>
          <w:szCs w:val="32"/>
        </w:rPr>
        <w:t>明函（附件三）；</w:t>
      </w:r>
    </w:p>
    <w:p>
      <w:pPr>
        <w:numPr>
          <w:ilvl w:val="0"/>
          <w:numId w:val="59"/>
        </w:numPr>
        <w:autoSpaceDE w:val="0"/>
        <w:autoSpaceDN w:val="0"/>
        <w:adjustRightInd w:val="0"/>
        <w:spacing w:line="360" w:lineRule="auto"/>
        <w:ind w:left="490" w:hanging="37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残疾人福利性单位声明函（附件四）</w:t>
      </w:r>
    </w:p>
    <w:p>
      <w:pPr>
        <w:numPr>
          <w:ilvl w:val="0"/>
          <w:numId w:val="5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开标一览表（附件五）；</w:t>
      </w:r>
    </w:p>
    <w:p>
      <w:pPr>
        <w:numPr>
          <w:ilvl w:val="0"/>
          <w:numId w:val="5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投标报价明细表（附件六）；</w:t>
      </w:r>
    </w:p>
    <w:p>
      <w:pPr>
        <w:numPr>
          <w:ilvl w:val="0"/>
          <w:numId w:val="5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小型和微型企业、监狱企业、残疾人福利性单位货物汇总表（附件七）；</w:t>
      </w:r>
    </w:p>
    <w:p>
      <w:pPr>
        <w:numPr>
          <w:ilvl w:val="0"/>
          <w:numId w:val="59"/>
        </w:numPr>
        <w:autoSpaceDE w:val="0"/>
        <w:autoSpaceDN w:val="0"/>
        <w:adjustRightInd w:val="0"/>
        <w:spacing w:line="360" w:lineRule="auto"/>
        <w:ind w:left="490" w:hanging="370"/>
        <w:rPr>
          <w:rFonts w:ascii="宋体" w:hAnsi="宋体" w:eastAsia="宋体" w:cs="Courier New"/>
          <w:color w:val="0D0D0D"/>
          <w:sz w:val="24"/>
          <w:szCs w:val="24"/>
        </w:rPr>
      </w:pPr>
      <w:r>
        <w:rPr>
          <w:rFonts w:hint="eastAsia" w:ascii="宋体" w:hAnsi="宋体" w:eastAsia="宋体" w:cs="Courier New"/>
          <w:color w:val="0D0D0D"/>
          <w:sz w:val="24"/>
          <w:szCs w:val="24"/>
        </w:rPr>
        <w:t>投标货物、服务清单（附件八）；</w:t>
      </w:r>
    </w:p>
    <w:p>
      <w:pPr>
        <w:numPr>
          <w:ilvl w:val="0"/>
          <w:numId w:val="5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法定代表人授权书（附件</w:t>
      </w:r>
      <w:r>
        <w:rPr>
          <w:rFonts w:hint="eastAsia" w:ascii="宋体" w:hAnsi="宋体" w:eastAsia="宋体" w:cs="Courier New"/>
          <w:color w:val="0D0D0D"/>
          <w:sz w:val="24"/>
          <w:szCs w:val="24"/>
          <w:lang w:eastAsia="zh-CN"/>
        </w:rPr>
        <w:t>九</w:t>
      </w:r>
      <w:r>
        <w:rPr>
          <w:rFonts w:hint="eastAsia" w:ascii="宋体" w:hAnsi="宋体" w:eastAsia="宋体" w:cs="Courier New"/>
          <w:color w:val="0D0D0D"/>
          <w:sz w:val="24"/>
          <w:szCs w:val="24"/>
        </w:rPr>
        <w:t>）；</w:t>
      </w:r>
    </w:p>
    <w:p>
      <w:pPr>
        <w:numPr>
          <w:ilvl w:val="0"/>
          <w:numId w:val="5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关于不存在招标文件第二章“</w:t>
      </w:r>
      <w:r>
        <w:rPr>
          <w:rFonts w:hint="eastAsia" w:ascii="宋体" w:hAnsi="宋体" w:eastAsia="宋体" w:cs="Courier New"/>
          <w:color w:val="auto"/>
          <w:sz w:val="24"/>
          <w:szCs w:val="24"/>
        </w:rPr>
        <w:t xml:space="preserve">十一 </w:t>
      </w:r>
      <w:r>
        <w:rPr>
          <w:rFonts w:hint="eastAsia" w:ascii="宋体" w:hAnsi="宋体" w:eastAsia="宋体" w:cs="Courier New"/>
          <w:color w:val="0D0D0D"/>
          <w:sz w:val="24"/>
          <w:szCs w:val="24"/>
        </w:rPr>
        <w:t>其他注意事项”中规定禁止情形的书面声明；</w:t>
      </w:r>
    </w:p>
    <w:p>
      <w:pPr>
        <w:numPr>
          <w:ilvl w:val="0"/>
          <w:numId w:val="5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投标人的资格声明（附件十）；</w:t>
      </w:r>
    </w:p>
    <w:p>
      <w:pPr>
        <w:numPr>
          <w:ilvl w:val="0"/>
          <w:numId w:val="5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项目负责人、技术负责人简历表（附件十</w:t>
      </w:r>
      <w:r>
        <w:rPr>
          <w:rFonts w:hint="eastAsia" w:ascii="宋体" w:hAnsi="宋体" w:eastAsia="宋体" w:cs="Courier New"/>
          <w:color w:val="0D0D0D"/>
          <w:sz w:val="24"/>
          <w:szCs w:val="24"/>
          <w:lang w:eastAsia="zh-CN"/>
        </w:rPr>
        <w:t>一</w:t>
      </w:r>
      <w:r>
        <w:rPr>
          <w:rFonts w:hint="eastAsia" w:ascii="宋体" w:hAnsi="宋体" w:eastAsia="宋体" w:cs="Courier New"/>
          <w:color w:val="0D0D0D"/>
          <w:sz w:val="24"/>
          <w:szCs w:val="24"/>
        </w:rPr>
        <w:t>）；</w:t>
      </w:r>
    </w:p>
    <w:p>
      <w:pPr>
        <w:numPr>
          <w:ilvl w:val="0"/>
          <w:numId w:val="5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项目班子成员情况表（附件十</w:t>
      </w:r>
      <w:r>
        <w:rPr>
          <w:rFonts w:hint="eastAsia" w:ascii="宋体" w:hAnsi="宋体" w:eastAsia="宋体" w:cs="Courier New"/>
          <w:color w:val="0D0D0D"/>
          <w:sz w:val="24"/>
          <w:szCs w:val="24"/>
          <w:lang w:eastAsia="zh-CN"/>
        </w:rPr>
        <w:t>二</w:t>
      </w:r>
      <w:r>
        <w:rPr>
          <w:rFonts w:hint="eastAsia" w:ascii="宋体" w:hAnsi="宋体" w:eastAsia="宋体" w:cs="Courier New"/>
          <w:color w:val="0D0D0D"/>
          <w:sz w:val="24"/>
          <w:szCs w:val="24"/>
        </w:rPr>
        <w:t>）；</w:t>
      </w:r>
    </w:p>
    <w:p>
      <w:pPr>
        <w:numPr>
          <w:ilvl w:val="0"/>
          <w:numId w:val="5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投标人类似项目业绩表（附件十</w:t>
      </w:r>
      <w:r>
        <w:rPr>
          <w:rFonts w:hint="eastAsia" w:ascii="宋体" w:hAnsi="宋体" w:eastAsia="宋体" w:cs="Courier New"/>
          <w:color w:val="0D0D0D"/>
          <w:sz w:val="24"/>
          <w:szCs w:val="24"/>
          <w:lang w:eastAsia="zh-CN"/>
        </w:rPr>
        <w:t>三</w:t>
      </w:r>
      <w:r>
        <w:rPr>
          <w:rFonts w:hint="eastAsia" w:ascii="宋体" w:hAnsi="宋体" w:eastAsia="宋体" w:cs="Courier New"/>
          <w:color w:val="0D0D0D"/>
          <w:sz w:val="24"/>
          <w:szCs w:val="24"/>
        </w:rPr>
        <w:t>）；</w:t>
      </w:r>
    </w:p>
    <w:p>
      <w:pPr>
        <w:numPr>
          <w:ilvl w:val="0"/>
          <w:numId w:val="5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招标文件要求提供或投标人认为需提供的其它资料；</w:t>
      </w:r>
    </w:p>
    <w:p>
      <w:pPr>
        <w:numPr>
          <w:ilvl w:val="0"/>
          <w:numId w:val="5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符合性审查对照表（附件十</w:t>
      </w:r>
      <w:r>
        <w:rPr>
          <w:rFonts w:hint="eastAsia" w:ascii="宋体" w:hAnsi="宋体" w:eastAsia="宋体" w:cs="Courier New"/>
          <w:color w:val="0D0D0D"/>
          <w:sz w:val="24"/>
          <w:szCs w:val="24"/>
          <w:lang w:eastAsia="zh-CN"/>
        </w:rPr>
        <w:t>四</w:t>
      </w:r>
      <w:r>
        <w:rPr>
          <w:rFonts w:hint="eastAsia" w:ascii="宋体" w:hAnsi="宋体" w:eastAsia="宋体" w:cs="Courier New"/>
          <w:color w:val="0D0D0D"/>
          <w:sz w:val="24"/>
          <w:szCs w:val="24"/>
        </w:rPr>
        <w:t>）；</w:t>
      </w:r>
    </w:p>
    <w:p>
      <w:pPr>
        <w:numPr>
          <w:ilvl w:val="0"/>
          <w:numId w:val="59"/>
        </w:numPr>
        <w:autoSpaceDE w:val="0"/>
        <w:autoSpaceDN w:val="0"/>
        <w:adjustRightInd w:val="0"/>
        <w:spacing w:line="360" w:lineRule="auto"/>
        <w:ind w:left="616" w:hanging="496"/>
        <w:rPr>
          <w:rFonts w:ascii="宋体" w:hAnsi="宋体" w:eastAsia="宋体" w:cs="Courier New"/>
          <w:color w:val="0D0D0D"/>
          <w:sz w:val="24"/>
          <w:szCs w:val="24"/>
        </w:rPr>
      </w:pPr>
      <w:r>
        <w:rPr>
          <w:rFonts w:hint="eastAsia" w:ascii="宋体" w:hAnsi="宋体" w:eastAsia="宋体" w:cs="Courier New"/>
          <w:color w:val="0D0D0D"/>
          <w:sz w:val="24"/>
          <w:szCs w:val="24"/>
        </w:rPr>
        <w:t>商务要求响应、偏离说明表（附件十</w:t>
      </w:r>
      <w:r>
        <w:rPr>
          <w:rFonts w:hint="eastAsia" w:ascii="宋体" w:hAnsi="宋体" w:eastAsia="宋体" w:cs="Courier New"/>
          <w:color w:val="0D0D0D"/>
          <w:sz w:val="24"/>
          <w:szCs w:val="24"/>
          <w:lang w:eastAsia="zh-CN"/>
        </w:rPr>
        <w:t>五</w:t>
      </w:r>
      <w:r>
        <w:rPr>
          <w:rFonts w:hint="eastAsia" w:ascii="宋体" w:hAnsi="宋体" w:eastAsia="宋体" w:cs="Courier New"/>
          <w:color w:val="0D0D0D"/>
          <w:sz w:val="24"/>
          <w:szCs w:val="24"/>
        </w:rPr>
        <w:t>）；</w:t>
      </w:r>
    </w:p>
    <w:p>
      <w:r>
        <w:br w:type="page"/>
      </w:r>
    </w:p>
    <w:p>
      <w:pPr>
        <w:spacing w:beforeLines="100" w:afterLines="250"/>
        <w:jc w:val="center"/>
        <w:rPr>
          <w:rFonts w:ascii="黑体" w:hAnsi="黑体" w:eastAsia="黑体"/>
          <w:b/>
          <w:sz w:val="72"/>
          <w:szCs w:val="72"/>
        </w:rPr>
      </w:pPr>
      <w:r>
        <w:rPr>
          <w:rFonts w:hint="eastAsia" w:ascii="黑体" w:hAnsi="黑体" w:eastAsia="黑体"/>
          <w:b/>
          <w:sz w:val="72"/>
          <w:szCs w:val="72"/>
        </w:rPr>
        <w:t>阳新县县级政府采购</w:t>
      </w:r>
    </w:p>
    <w:p>
      <w:pPr>
        <w:spacing w:afterLines="200"/>
        <w:jc w:val="center"/>
        <w:rPr>
          <w:rFonts w:ascii="黑体" w:hAnsi="黑体" w:eastAsia="黑体"/>
          <w:b/>
          <w:sz w:val="144"/>
          <w:szCs w:val="144"/>
        </w:rPr>
      </w:pPr>
      <w:r>
        <w:rPr>
          <w:rFonts w:hint="eastAsia" w:ascii="黑体" w:hAnsi="黑体" w:eastAsia="黑体"/>
          <w:b/>
          <w:sz w:val="144"/>
          <w:szCs w:val="144"/>
        </w:rPr>
        <w:t>投 标 文 件</w:t>
      </w:r>
    </w:p>
    <w:p>
      <w:pPr>
        <w:pStyle w:val="4"/>
        <w:spacing w:before="340" w:after="480" w:line="360" w:lineRule="auto"/>
        <w:jc w:val="center"/>
        <w:rPr>
          <w:rFonts w:cs="Times New Roman" w:asciiTheme="majorEastAsia" w:hAnsiTheme="majorEastAsia"/>
          <w:bCs w:val="0"/>
          <w:sz w:val="44"/>
          <w:szCs w:val="44"/>
          <w:lang w:val="zh-CN"/>
        </w:rPr>
      </w:pPr>
      <w:bookmarkStart w:id="129" w:name="_Toc494665552"/>
      <w:bookmarkStart w:id="130" w:name="_Toc494664999"/>
      <w:bookmarkStart w:id="131" w:name="_Toc495861549"/>
      <w:bookmarkStart w:id="132" w:name="_Toc494745316"/>
      <w:bookmarkStart w:id="133" w:name="_Toc494721099"/>
      <w:bookmarkStart w:id="134" w:name="_Toc494702269"/>
      <w:bookmarkStart w:id="135" w:name="_Toc494665949"/>
    </w:p>
    <w:p>
      <w:pPr>
        <w:pStyle w:val="4"/>
        <w:spacing w:before="340" w:after="480" w:line="360" w:lineRule="auto"/>
        <w:jc w:val="center"/>
        <w:rPr>
          <w:rFonts w:cs="Times New Roman" w:asciiTheme="majorEastAsia" w:hAnsiTheme="majorEastAsia"/>
          <w:bCs w:val="0"/>
          <w:sz w:val="44"/>
          <w:szCs w:val="44"/>
          <w:lang w:val="zh-CN"/>
        </w:rPr>
      </w:pPr>
    </w:p>
    <w:p>
      <w:pPr>
        <w:pStyle w:val="4"/>
        <w:spacing w:before="340" w:after="480" w:line="360" w:lineRule="auto"/>
        <w:jc w:val="center"/>
        <w:rPr>
          <w:rFonts w:cs="Times New Roman" w:asciiTheme="majorEastAsia" w:hAnsiTheme="majorEastAsia"/>
          <w:bCs w:val="0"/>
          <w:sz w:val="44"/>
          <w:szCs w:val="44"/>
          <w:lang w:val="zh-CN"/>
        </w:rPr>
      </w:pPr>
      <w:bookmarkStart w:id="136" w:name="_Toc6327"/>
      <w:r>
        <w:rPr>
          <w:rFonts w:hint="eastAsia" w:cs="Times New Roman" w:asciiTheme="majorEastAsia" w:hAnsiTheme="majorEastAsia"/>
          <w:bCs w:val="0"/>
          <w:sz w:val="44"/>
          <w:szCs w:val="44"/>
          <w:lang w:val="zh-CN"/>
        </w:rPr>
        <w:t>第三部分 技术、服务文件</w:t>
      </w:r>
      <w:bookmarkEnd w:id="129"/>
      <w:bookmarkEnd w:id="130"/>
      <w:bookmarkEnd w:id="131"/>
      <w:bookmarkEnd w:id="132"/>
      <w:bookmarkEnd w:id="133"/>
      <w:bookmarkEnd w:id="134"/>
      <w:bookmarkEnd w:id="135"/>
      <w:bookmarkEnd w:id="136"/>
    </w:p>
    <w:p>
      <w:pPr>
        <w:spacing w:line="360" w:lineRule="auto"/>
        <w:ind w:left="2051" w:leftChars="619" w:right="1299" w:rightChars="619" w:hanging="752" w:hangingChars="209"/>
        <w:rPr>
          <w:rFonts w:cs="Times New Roman" w:asciiTheme="minorEastAsia" w:hAnsiTheme="minorEastAsia"/>
          <w:bCs/>
          <w:sz w:val="36"/>
          <w:szCs w:val="24"/>
        </w:rPr>
      </w:pPr>
      <w:r>
        <w:rPr>
          <w:rFonts w:hint="eastAsia" w:cs="Times New Roman" w:asciiTheme="minorEastAsia" w:hAnsiTheme="minorEastAsia"/>
          <w:b/>
          <w:bCs/>
          <w:sz w:val="36"/>
          <w:szCs w:val="24"/>
        </w:rPr>
        <w:t>项目编号：</w:t>
      </w:r>
    </w:p>
    <w:p>
      <w:pPr>
        <w:spacing w:line="360" w:lineRule="auto"/>
        <w:ind w:left="2051" w:leftChars="619" w:right="1299" w:rightChars="619" w:hanging="752" w:hangingChars="209"/>
        <w:rPr>
          <w:rFonts w:cs="Times New Roman" w:asciiTheme="minorEastAsia" w:hAnsiTheme="minorEastAsia"/>
          <w:b/>
          <w:bCs/>
          <w:sz w:val="36"/>
          <w:szCs w:val="24"/>
        </w:rPr>
      </w:pPr>
      <w:r>
        <w:rPr>
          <w:rFonts w:hint="eastAsia" w:cs="Times New Roman" w:asciiTheme="minorEastAsia" w:hAnsiTheme="minorEastAsia"/>
          <w:b/>
          <w:bCs/>
          <w:sz w:val="36"/>
          <w:szCs w:val="24"/>
        </w:rPr>
        <w:t>项目名称：</w:t>
      </w:r>
    </w:p>
    <w:p>
      <w:pPr>
        <w:spacing w:line="360" w:lineRule="auto"/>
        <w:ind w:left="2051" w:leftChars="619" w:right="1299" w:rightChars="619" w:hanging="752" w:hangingChars="209"/>
        <w:rPr>
          <w:rFonts w:cs="Times New Roman" w:asciiTheme="minorEastAsia" w:hAnsiTheme="minorEastAsia"/>
          <w:bCs/>
          <w:sz w:val="36"/>
          <w:szCs w:val="24"/>
          <w:lang w:val="zh-CN"/>
        </w:rPr>
      </w:pPr>
      <w:r>
        <w:rPr>
          <w:rFonts w:hint="eastAsia" w:cs="Times New Roman" w:asciiTheme="minorEastAsia" w:hAnsiTheme="minorEastAsia"/>
          <w:b/>
          <w:bCs/>
          <w:sz w:val="36"/>
          <w:szCs w:val="24"/>
        </w:rPr>
        <w:t>采购人：</w:t>
      </w:r>
    </w:p>
    <w:p>
      <w:pPr>
        <w:spacing w:line="360" w:lineRule="auto"/>
        <w:ind w:left="2051" w:leftChars="619" w:right="1299" w:rightChars="619" w:hanging="752" w:hangingChars="209"/>
        <w:rPr>
          <w:rFonts w:cs="Times New Roman" w:asciiTheme="minorEastAsia" w:hAnsiTheme="minorEastAsia"/>
          <w:sz w:val="36"/>
          <w:szCs w:val="36"/>
        </w:rPr>
      </w:pPr>
      <w:r>
        <w:rPr>
          <w:rFonts w:hint="eastAsia" w:cs="Times New Roman" w:asciiTheme="minorEastAsia" w:hAnsiTheme="minorEastAsia"/>
          <w:b/>
          <w:bCs/>
          <w:sz w:val="36"/>
          <w:szCs w:val="24"/>
        </w:rPr>
        <w:t>采购内容：</w:t>
      </w:r>
    </w:p>
    <w:p>
      <w:pPr>
        <w:spacing w:line="360" w:lineRule="auto"/>
        <w:ind w:left="2057" w:leftChars="613" w:right="1287" w:rightChars="613" w:hanging="770" w:hangingChars="214"/>
        <w:rPr>
          <w:rFonts w:ascii="宋体" w:hAnsi="宋体" w:eastAsia="宋体" w:cs="Times New Roman"/>
          <w:sz w:val="36"/>
          <w:szCs w:val="36"/>
        </w:rPr>
      </w:pPr>
    </w:p>
    <w:p>
      <w:pPr>
        <w:spacing w:line="360" w:lineRule="auto"/>
        <w:ind w:left="3341" w:leftChars="613" w:right="1287" w:rightChars="613" w:hanging="2054" w:hangingChars="214"/>
        <w:rPr>
          <w:rFonts w:cs="Times New Roman" w:asciiTheme="minorEastAsia" w:hAnsiTheme="minorEastAsia"/>
          <w:b/>
          <w:bCs/>
          <w:sz w:val="96"/>
          <w:szCs w:val="96"/>
        </w:rPr>
      </w:pPr>
      <w:r>
        <w:rPr>
          <w:rFonts w:hint="eastAsia" w:cs="Times New Roman" w:asciiTheme="minorEastAsia" w:hAnsiTheme="minorEastAsia"/>
          <w:b/>
          <w:bCs/>
          <w:sz w:val="96"/>
          <w:szCs w:val="96"/>
        </w:rPr>
        <w:t>投标人（盖章）</w:t>
      </w:r>
    </w:p>
    <w:p>
      <w:pPr>
        <w:spacing w:line="360" w:lineRule="auto"/>
        <w:ind w:left="1971" w:leftChars="613" w:right="1287" w:rightChars="613" w:hanging="684" w:hangingChars="214"/>
        <w:rPr>
          <w:rFonts w:cs="Times New Roman" w:asciiTheme="minorEastAsia" w:hAnsiTheme="minorEastAsia"/>
          <w:b/>
          <w:bCs/>
          <w:sz w:val="32"/>
          <w:szCs w:val="32"/>
        </w:rPr>
      </w:pPr>
      <w:r>
        <w:rPr>
          <w:rFonts w:hint="eastAsia" w:cs="Times New Roman" w:asciiTheme="minorEastAsia" w:hAnsiTheme="minorEastAsia"/>
          <w:b/>
          <w:bCs/>
          <w:sz w:val="32"/>
          <w:szCs w:val="32"/>
        </w:rPr>
        <w:t>投标人授权代表（签字）：</w:t>
      </w:r>
    </w:p>
    <w:p>
      <w:pPr>
        <w:spacing w:beforeLines="100" w:afterLines="100" w:line="360" w:lineRule="auto"/>
        <w:ind w:left="2256" w:leftChars="466" w:right="466" w:hanging="1278" w:hangingChars="355"/>
        <w:jc w:val="center"/>
        <w:rPr>
          <w:rFonts w:hint="default" w:ascii="宋体" w:hAnsi="宋体" w:eastAsiaTheme="minorEastAsia"/>
          <w:b/>
          <w:sz w:val="36"/>
          <w:szCs w:val="36"/>
          <w:lang w:val="en-US" w:eastAsia="zh-CN"/>
        </w:rPr>
      </w:pPr>
      <w:r>
        <w:rPr>
          <w:rFonts w:hint="eastAsia" w:ascii="宋体" w:hAnsi="宋体"/>
          <w:b/>
          <w:sz w:val="36"/>
          <w:szCs w:val="36"/>
        </w:rPr>
        <w:t xml:space="preserve">  年 </w:t>
      </w:r>
      <w:r>
        <w:rPr>
          <w:rFonts w:hint="eastAsia" w:ascii="宋体" w:hAnsi="宋体"/>
          <w:b/>
          <w:sz w:val="36"/>
          <w:szCs w:val="36"/>
          <w:lang w:val="en-US" w:eastAsia="zh-CN"/>
        </w:rPr>
        <w:t xml:space="preserve"> </w:t>
      </w:r>
      <w:r>
        <w:rPr>
          <w:rFonts w:hint="eastAsia" w:ascii="宋体" w:hAnsi="宋体"/>
          <w:b/>
          <w:sz w:val="36"/>
          <w:szCs w:val="36"/>
        </w:rPr>
        <w:t>月</w:t>
      </w:r>
      <w:r>
        <w:rPr>
          <w:rFonts w:hint="eastAsia" w:ascii="宋体" w:hAnsi="宋体"/>
          <w:b/>
          <w:sz w:val="36"/>
          <w:szCs w:val="36"/>
          <w:lang w:val="en-US" w:eastAsia="zh-CN"/>
        </w:rPr>
        <w:t xml:space="preserve">  日</w:t>
      </w:r>
    </w:p>
    <w:p>
      <w:r>
        <w:br w:type="page"/>
      </w:r>
    </w:p>
    <w:p>
      <w:pPr>
        <w:spacing w:before="312" w:beforeLines="100" w:line="360" w:lineRule="auto"/>
        <w:jc w:val="left"/>
        <w:rPr>
          <w:rFonts w:ascii="宋体" w:hAnsi="宋体" w:eastAsia="宋体" w:cs="Times New Roman"/>
          <w:b/>
          <w:bCs/>
          <w:sz w:val="30"/>
          <w:szCs w:val="30"/>
          <w:lang w:val="zh-CN"/>
        </w:rPr>
      </w:pPr>
      <w:r>
        <w:rPr>
          <w:rFonts w:hint="eastAsia" w:ascii="宋体" w:hAnsi="宋体" w:eastAsia="宋体" w:cs="Times New Roman"/>
          <w:b/>
          <w:bCs/>
          <w:sz w:val="30"/>
          <w:szCs w:val="30"/>
          <w:lang w:val="zh-CN" w:eastAsia="zh-CN"/>
        </w:rPr>
        <w:t>格式（参考）说明：</w:t>
      </w:r>
    </w:p>
    <w:p>
      <w:pPr>
        <w:spacing w:before="120" w:after="120" w:line="578" w:lineRule="auto"/>
        <w:jc w:val="center"/>
        <w:rPr>
          <w:rFonts w:ascii="黑体" w:hAnsi="黑体" w:eastAsia="黑体" w:cs="Times New Roman"/>
          <w:b/>
          <w:sz w:val="36"/>
          <w:szCs w:val="36"/>
        </w:rPr>
      </w:pPr>
      <w:bookmarkStart w:id="137" w:name="_Toc494665000"/>
      <w:bookmarkStart w:id="138" w:name="_Toc494721100"/>
      <w:bookmarkStart w:id="139" w:name="_Toc494702270"/>
      <w:bookmarkStart w:id="140" w:name="_Toc494745317"/>
      <w:bookmarkStart w:id="141" w:name="_Toc494665950"/>
      <w:bookmarkStart w:id="142" w:name="_Toc494665553"/>
      <w:r>
        <w:rPr>
          <w:rFonts w:hint="eastAsia" w:ascii="黑体" w:hAnsi="黑体" w:eastAsia="黑体" w:cs="Times New Roman"/>
          <w:b/>
          <w:bCs/>
          <w:sz w:val="36"/>
          <w:szCs w:val="36"/>
          <w:lang w:val="zh-CN" w:eastAsia="zh-CN"/>
        </w:rPr>
        <w:t>技术</w:t>
      </w:r>
      <w:r>
        <w:rPr>
          <w:rFonts w:hint="eastAsia" w:ascii="黑体" w:hAnsi="黑体" w:eastAsia="黑体" w:cs="Times New Roman"/>
          <w:b/>
          <w:sz w:val="36"/>
          <w:szCs w:val="36"/>
        </w:rPr>
        <w:t>、服务文件组成</w:t>
      </w:r>
      <w:bookmarkEnd w:id="137"/>
      <w:bookmarkEnd w:id="138"/>
      <w:bookmarkEnd w:id="139"/>
      <w:bookmarkEnd w:id="140"/>
      <w:bookmarkEnd w:id="141"/>
      <w:bookmarkEnd w:id="142"/>
    </w:p>
    <w:p>
      <w:pPr>
        <w:autoSpaceDE w:val="0"/>
        <w:autoSpaceDN w:val="0"/>
        <w:adjustRightInd w:val="0"/>
        <w:spacing w:before="156" w:beforeLines="50" w:after="156" w:afterLines="50" w:line="360" w:lineRule="auto"/>
        <w:ind w:firstLine="480" w:firstLineChars="200"/>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技术、服务文件目录（目录应涵盖下述所有资料，页码清晰以便查阅）；</w:t>
      </w:r>
    </w:p>
    <w:p>
      <w:pPr>
        <w:numPr>
          <w:ilvl w:val="0"/>
          <w:numId w:val="60"/>
        </w:numPr>
        <w:autoSpaceDE w:val="0"/>
        <w:autoSpaceDN w:val="0"/>
        <w:adjustRightInd w:val="0"/>
        <w:spacing w:line="360" w:lineRule="auto"/>
        <w:ind w:left="488" w:hanging="369"/>
        <w:rPr>
          <w:rFonts w:ascii="宋体" w:hAnsi="宋体" w:eastAsia="宋体" w:cs="Times New Roman"/>
          <w:kern w:val="0"/>
          <w:sz w:val="24"/>
          <w:szCs w:val="32"/>
        </w:rPr>
      </w:pPr>
      <w:r>
        <w:rPr>
          <w:rFonts w:hint="eastAsia" w:ascii="宋体" w:hAnsi="宋体" w:eastAsia="宋体" w:cs="Times New Roman"/>
          <w:kern w:val="0"/>
          <w:sz w:val="24"/>
          <w:szCs w:val="32"/>
        </w:rPr>
        <w:t>投标货物（工程或服务）介绍，项目建设（服务）方案；</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技术、服务要求响应、偏离说明表（附件十</w:t>
      </w:r>
      <w:r>
        <w:rPr>
          <w:rFonts w:hint="eastAsia" w:ascii="宋体" w:hAnsi="宋体" w:eastAsia="宋体" w:cs="Times New Roman"/>
          <w:kern w:val="0"/>
          <w:sz w:val="24"/>
          <w:szCs w:val="32"/>
          <w:lang w:eastAsia="zh-CN"/>
        </w:rPr>
        <w:t>六</w:t>
      </w:r>
      <w:r>
        <w:rPr>
          <w:rFonts w:hint="eastAsia" w:ascii="宋体" w:hAnsi="宋体" w:eastAsia="宋体" w:cs="Times New Roman"/>
          <w:kern w:val="0"/>
          <w:sz w:val="24"/>
          <w:szCs w:val="32"/>
        </w:rPr>
        <w:t>）；</w:t>
      </w:r>
    </w:p>
    <w:p>
      <w:pPr>
        <w:numPr>
          <w:ilvl w:val="0"/>
          <w:numId w:val="60"/>
        </w:numPr>
        <w:autoSpaceDE w:val="0"/>
        <w:autoSpaceDN w:val="0"/>
        <w:adjustRightInd w:val="0"/>
        <w:spacing w:line="360" w:lineRule="auto"/>
        <w:ind w:left="490" w:hanging="370"/>
        <w:rPr>
          <w:rFonts w:ascii="宋体" w:hAnsi="宋体" w:eastAsia="宋体" w:cs="Times New Roman"/>
          <w:kern w:val="0"/>
          <w:sz w:val="24"/>
          <w:szCs w:val="32"/>
        </w:rPr>
      </w:pPr>
      <w:r>
        <w:rPr>
          <w:rFonts w:hint="eastAsia" w:ascii="宋体" w:hAnsi="宋体" w:eastAsia="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eastAsia="宋体" w:cs="Times New Roman"/>
          <w:kern w:val="0"/>
          <w:sz w:val="24"/>
          <w:szCs w:val="32"/>
        </w:rPr>
      </w:pPr>
    </w:p>
    <w:p>
      <w:pPr>
        <w:autoSpaceDE w:val="0"/>
        <w:autoSpaceDN w:val="0"/>
        <w:adjustRightInd w:val="0"/>
        <w:spacing w:line="360" w:lineRule="auto"/>
        <w:ind w:left="715" w:leftChars="-6" w:hanging="727" w:hangingChars="303"/>
        <w:rPr>
          <w:rFonts w:ascii="宋体" w:hAnsi="宋体" w:eastAsia="宋体" w:cs="Times New Roman"/>
          <w:color w:val="0D0D0D"/>
          <w:kern w:val="0"/>
          <w:sz w:val="24"/>
          <w:szCs w:val="32"/>
        </w:rPr>
      </w:pPr>
      <w:r>
        <w:rPr>
          <w:rFonts w:hint="eastAsia" w:ascii="宋体" w:hAnsi="宋体" w:eastAsia="宋体" w:cs="Times New Roman"/>
          <w:color w:val="0D0D0D"/>
          <w:kern w:val="0"/>
          <w:sz w:val="24"/>
          <w:szCs w:val="32"/>
        </w:rPr>
        <w:t>说明：投标文件技术、服务文件的编制原则，按招标文件要求，提供相应说明、资料、表格以证明所投货物（工程或服务）是否响应招标文件要求，充分体现所投货物（工程或服务）的响应程度和优势。</w:t>
      </w:r>
    </w:p>
    <w:p>
      <w:r>
        <w:br w:type="page"/>
      </w:r>
    </w:p>
    <w:p>
      <w:pPr>
        <w:pStyle w:val="4"/>
        <w:numPr>
          <w:ilvl w:val="0"/>
          <w:numId w:val="61"/>
        </w:numPr>
        <w:spacing w:before="100" w:beforeAutospacing="1" w:afterLines="50" w:line="360" w:lineRule="auto"/>
        <w:ind w:left="1288" w:hanging="1288"/>
        <w:rPr>
          <w:rFonts w:ascii="宋体" w:hAnsi="宋体" w:eastAsia="宋体"/>
        </w:rPr>
      </w:pPr>
      <w:bookmarkStart w:id="143" w:name="_Toc494665554"/>
      <w:bookmarkStart w:id="144" w:name="_Toc494721101"/>
      <w:bookmarkStart w:id="145" w:name="_Toc236473298"/>
      <w:bookmarkStart w:id="146" w:name="_Toc494665951"/>
      <w:bookmarkStart w:id="147" w:name="_Toc494745318"/>
      <w:bookmarkStart w:id="148" w:name="_Toc494665001"/>
      <w:bookmarkStart w:id="149" w:name="_Toc238276242"/>
      <w:bookmarkStart w:id="150" w:name="_Toc494702271"/>
      <w:bookmarkStart w:id="151" w:name="_Toc495861550"/>
      <w:bookmarkStart w:id="152" w:name="_Toc26081"/>
      <w:r>
        <w:rPr>
          <w:rFonts w:hint="eastAsia" w:ascii="宋体" w:hAnsi="宋体" w:eastAsia="宋体"/>
        </w:rPr>
        <w:t>投标书</w:t>
      </w:r>
      <w:bookmarkEnd w:id="143"/>
      <w:bookmarkEnd w:id="144"/>
      <w:bookmarkEnd w:id="145"/>
      <w:bookmarkEnd w:id="146"/>
      <w:bookmarkEnd w:id="147"/>
      <w:bookmarkEnd w:id="148"/>
      <w:bookmarkEnd w:id="149"/>
      <w:bookmarkEnd w:id="150"/>
      <w:bookmarkEnd w:id="151"/>
      <w:bookmarkEnd w:id="152"/>
    </w:p>
    <w:p>
      <w:pPr>
        <w:spacing w:line="360" w:lineRule="auto"/>
        <w:rPr>
          <w:b/>
          <w:sz w:val="28"/>
          <w:szCs w:val="28"/>
        </w:rPr>
      </w:pPr>
      <w:r>
        <w:rPr>
          <w:rFonts w:hint="eastAsia"/>
          <w:b/>
          <w:sz w:val="28"/>
          <w:szCs w:val="28"/>
        </w:rPr>
        <w:t>采购人（或采购代理公司）：</w:t>
      </w:r>
    </w:p>
    <w:p>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依据贵方___</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 xml:space="preserve">  _</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项目（项目编号：_____）招标的投标邀请，我方代表</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（姓名、职务）</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经正式授权并代表投标人</w:t>
      </w:r>
      <w:r>
        <w:rPr>
          <w:rFonts w:hint="eastAsia" w:asciiTheme="minorEastAsia" w:hAnsiTheme="minorEastAsia"/>
          <w:color w:val="0D0D0D" w:themeColor="text1" w:themeTint="F2"/>
          <w:sz w:val="24"/>
          <w:szCs w:val="24"/>
          <w:u w:val="single"/>
          <w14:textFill>
            <w14:solidFill>
              <w14:schemeClr w14:val="tx1">
                <w14:lumMod w14:val="95000"/>
                <w14:lumOff w14:val="5000"/>
              </w14:schemeClr>
            </w14:solidFill>
          </w14:textFill>
        </w:rPr>
        <w:t>（投标人全称 ）</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提交</w:t>
      </w:r>
      <w:r>
        <w:rPr>
          <w:rFonts w:hint="eastAsia" w:ascii="宋体" w:hAnsi="宋体"/>
          <w:color w:val="0D0D0D" w:themeColor="text1" w:themeTint="F2"/>
          <w:kern w:val="0"/>
          <w:sz w:val="24"/>
          <w14:textFill>
            <w14:solidFill>
              <w14:schemeClr w14:val="tx1">
                <w14:lumMod w14:val="95000"/>
                <w14:lumOff w14:val="5000"/>
              </w14:schemeClr>
            </w14:solidFill>
          </w14:textFill>
        </w:rPr>
        <w:t>“开标一览表”信封和下述文件正本份，副本份。</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 xml:space="preserve">1.资格证明文件； </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2.商务文件；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3.技术、服务文件。</w:t>
      </w:r>
    </w:p>
    <w:p>
      <w:pPr>
        <w:spacing w:line="360" w:lineRule="auto"/>
        <w:rPr>
          <w:rFonts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pPr>
      <w:r>
        <w:rPr>
          <w:rFonts w:hint="eastAsia" w:ascii="宋体" w:hAnsi="宋体" w:eastAsia="宋体" w:cs="Times New Roman"/>
          <w:b/>
          <w:color w:val="0D0D0D" w:themeColor="text1" w:themeTint="F2"/>
          <w:kern w:val="0"/>
          <w:sz w:val="24"/>
          <w:szCs w:val="24"/>
          <w14:textFill>
            <w14:solidFill>
              <w14:schemeClr w14:val="tx1">
                <w14:lumMod w14:val="95000"/>
                <w14:lumOff w14:val="5000"/>
              </w14:schemeClr>
            </w14:solidFill>
          </w14:textFill>
        </w:rPr>
        <w:t>在此，我方宣布同意如下：</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1．《开标一览表》中规定的应提交和交付的</w:t>
      </w:r>
      <w:r>
        <w:rPr>
          <w:rFonts w:hint="eastAsia" w:asciiTheme="minorEastAsia" w:hAnsiTheme="minorEastAsia"/>
          <w:sz w:val="24"/>
          <w:szCs w:val="24"/>
          <w:u w:val="single"/>
        </w:rPr>
        <w:t xml:space="preserve">  （包号）  </w:t>
      </w:r>
      <w:r>
        <w:rPr>
          <w:rFonts w:hint="eastAsia" w:asciiTheme="minorEastAsia" w:hAnsiTheme="minorEastAsia"/>
          <w:sz w:val="24"/>
          <w:szCs w:val="24"/>
        </w:rPr>
        <w:t>货物（工程或服务）投标总价为</w:t>
      </w:r>
      <w:r>
        <w:rPr>
          <w:rFonts w:hint="eastAsia" w:asciiTheme="minorEastAsia" w:hAnsiTheme="minorEastAsia"/>
          <w:sz w:val="24"/>
          <w:szCs w:val="24"/>
          <w:u w:val="single"/>
        </w:rPr>
        <w:t>（注明币种，并用大写和小写表述投标总价）</w:t>
      </w:r>
      <w:r>
        <w:rPr>
          <w:rFonts w:hint="eastAsia" w:asciiTheme="minorEastAsia" w:hAnsiTheme="minorEastAsia"/>
          <w:sz w:val="24"/>
          <w:szCs w:val="24"/>
        </w:rPr>
        <w:t>；</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2．按招标文件的约定履行合同责任和义务；</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3．已详细审查全部招标文件，包括</w:t>
      </w:r>
      <w:r>
        <w:rPr>
          <w:rFonts w:hint="eastAsia" w:asciiTheme="minorEastAsia" w:hAnsiTheme="minorEastAsia"/>
          <w:sz w:val="24"/>
          <w:szCs w:val="24"/>
          <w:u w:val="single"/>
        </w:rPr>
        <w:t>（修正或补充文件）（如果有的话）</w:t>
      </w:r>
      <w:r>
        <w:rPr>
          <w:rFonts w:hint="eastAsia" w:asciiTheme="minorEastAsia" w:hAnsiTheme="minorEastAsia"/>
          <w:sz w:val="24"/>
          <w:szCs w:val="24"/>
        </w:rPr>
        <w:t>，对此无异议；</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4．投标有效期为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自</w:t>
      </w:r>
      <w:r>
        <w:rPr>
          <w:rFonts w:hint="eastAsia" w:ascii="宋体" w:hAnsi="宋体"/>
          <w:color w:val="0D0D0D" w:themeColor="text1" w:themeTint="F2"/>
          <w:kern w:val="0"/>
          <w:sz w:val="24"/>
          <w14:textFill>
            <w14:solidFill>
              <w14:schemeClr w14:val="tx1">
                <w14:lumMod w14:val="95000"/>
                <w14:lumOff w14:val="5000"/>
              </w14:schemeClr>
            </w14:solidFill>
          </w14:textFill>
        </w:rPr>
        <w:t>递交投标文件截止之日</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起</w:t>
      </w:r>
      <w:r>
        <w:rPr>
          <w:rFonts w:hint="eastAsia" w:asciiTheme="minorEastAsia" w:hAnsiTheme="minorEastAsia"/>
          <w:sz w:val="24"/>
          <w:szCs w:val="24"/>
        </w:rPr>
        <w:t>，共个日历日；</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5</w:t>
      </w:r>
      <w:r>
        <w:rPr>
          <w:rFonts w:hint="eastAsia" w:asciiTheme="minorEastAsia" w:hAnsiTheme="minorEastAsia"/>
          <w:color w:val="auto"/>
          <w:sz w:val="24"/>
          <w:szCs w:val="24"/>
        </w:rPr>
        <w:t>．接受招标文件关于不予退还投标保证金的约定；</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6．提供按照贵方可能要求的与投标有关的一切数据或资料；</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7．与投标有关的一切正式往来信函请寄：</w:t>
      </w:r>
      <w:r>
        <w:rPr>
          <w:rFonts w:hint="eastAsia" w:asciiTheme="minorEastAsia" w:hAnsiTheme="minorEastAsia"/>
          <w:sz w:val="24"/>
          <w:szCs w:val="24"/>
          <w:u w:val="single"/>
          <w:lang w:val="en-US" w:eastAsia="zh-CN"/>
        </w:rPr>
        <w:t xml:space="preserve">                                </w:t>
      </w:r>
      <w:r>
        <w:rPr>
          <w:rFonts w:hint="eastAsia" w:asciiTheme="minorEastAsia" w:hAnsiTheme="minorEastAsia"/>
          <w:sz w:val="24"/>
          <w:szCs w:val="24"/>
        </w:rPr>
        <w:t>。</w:t>
      </w:r>
    </w:p>
    <w:p>
      <w:pPr>
        <w:autoSpaceDE w:val="0"/>
        <w:autoSpaceDN w:val="0"/>
        <w:adjustRightInd w:val="0"/>
        <w:spacing w:line="400" w:lineRule="exact"/>
        <w:ind w:right="246" w:firstLine="480" w:firstLineChars="200"/>
        <w:rPr>
          <w:rFonts w:ascii="宋体" w:hAnsi="宋体" w:eastAsia="宋体" w:cs="Times New Roman"/>
          <w:kern w:val="0"/>
          <w:sz w:val="24"/>
          <w:szCs w:val="24"/>
        </w:rPr>
      </w:pP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地  址：</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电话/传真：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电子邮件：</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投标人(公章)：</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投标人授权代表（签字）：</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日    期：</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开户银行：</w:t>
      </w:r>
    </w:p>
    <w:p>
      <w:pPr>
        <w:spacing w:line="360" w:lineRule="auto"/>
        <w:ind w:left="12" w:leftChars="6" w:firstLine="472" w:firstLineChars="197"/>
        <w:rPr>
          <w:rFonts w:asciiTheme="minorEastAsia" w:hAnsiTheme="minorEastAsia"/>
          <w:sz w:val="24"/>
          <w:szCs w:val="24"/>
        </w:rPr>
      </w:pPr>
      <w:r>
        <w:rPr>
          <w:rFonts w:hint="eastAsia" w:asciiTheme="minorEastAsia" w:hAnsiTheme="minorEastAsia"/>
          <w:sz w:val="24"/>
          <w:szCs w:val="24"/>
        </w:rPr>
        <w:t>帐号/行号：</w:t>
      </w:r>
    </w:p>
    <w:p>
      <w:r>
        <w:br w:type="page"/>
      </w:r>
    </w:p>
    <w:p>
      <w:pPr>
        <w:pStyle w:val="4"/>
        <w:numPr>
          <w:ilvl w:val="0"/>
          <w:numId w:val="61"/>
        </w:numPr>
        <w:spacing w:before="100" w:beforeAutospacing="1" w:afterLines="50" w:line="360" w:lineRule="auto"/>
        <w:ind w:left="1288" w:hanging="1288"/>
        <w:rPr>
          <w:rFonts w:ascii="宋体" w:hAnsi="宋体" w:eastAsia="宋体"/>
        </w:rPr>
      </w:pPr>
      <w:bookmarkStart w:id="153" w:name="_Toc494665952"/>
      <w:bookmarkStart w:id="154" w:name="_Toc494665002"/>
      <w:bookmarkStart w:id="155" w:name="_Toc494721102"/>
      <w:bookmarkStart w:id="156" w:name="_Toc494745319"/>
      <w:bookmarkStart w:id="157" w:name="_Toc495861551"/>
      <w:bookmarkStart w:id="158" w:name="_Toc494702272"/>
      <w:bookmarkStart w:id="159" w:name="_Toc494665555"/>
      <w:bookmarkStart w:id="160" w:name="_Toc31269"/>
      <w:r>
        <w:rPr>
          <w:rFonts w:hint="eastAsia" w:ascii="宋体" w:hAnsi="宋体" w:eastAsia="宋体"/>
        </w:rPr>
        <w:t>制造商中小企业声明函</w:t>
      </w:r>
      <w:bookmarkEnd w:id="153"/>
      <w:bookmarkEnd w:id="154"/>
      <w:bookmarkEnd w:id="155"/>
      <w:bookmarkEnd w:id="156"/>
      <w:bookmarkEnd w:id="157"/>
      <w:bookmarkEnd w:id="158"/>
      <w:bookmarkEnd w:id="159"/>
      <w:bookmarkEnd w:id="160"/>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制造商中小企业声明函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keepNext w:val="0"/>
        <w:keepLines w:val="0"/>
        <w:pageBreakBefore w:val="0"/>
        <w:widowControl w:val="0"/>
        <w:kinsoku/>
        <w:wordWrap/>
        <w:overflowPunct/>
        <w:topLinePunct w:val="0"/>
        <w:autoSpaceDE/>
        <w:autoSpaceDN/>
        <w:bidi w:val="0"/>
        <w:spacing w:line="400" w:lineRule="exact"/>
        <w:textAlignment w:val="auto"/>
        <w:rPr>
          <w:b/>
          <w:sz w:val="28"/>
          <w:szCs w:val="28"/>
        </w:rPr>
      </w:pPr>
      <w:r>
        <w:rPr>
          <w:rFonts w:hint="eastAsia"/>
          <w:b/>
          <w:sz w:val="28"/>
          <w:szCs w:val="28"/>
        </w:rPr>
        <w:t>采购人（或采购代理公司）：</w:t>
      </w:r>
    </w:p>
    <w:p>
      <w:pPr>
        <w:keepNext w:val="0"/>
        <w:keepLines w:val="0"/>
        <w:pageBreakBefore w:val="0"/>
        <w:widowControl w:val="0"/>
        <w:kinsoku/>
        <w:wordWrap/>
        <w:overflowPunct/>
        <w:topLinePunct w:val="0"/>
        <w:autoSpaceDE/>
        <w:autoSpaceDN/>
        <w:bidi w:val="0"/>
        <w:spacing w:line="400" w:lineRule="exact"/>
        <w:ind w:firstLine="475" w:firstLineChars="198"/>
        <w:jc w:val="left"/>
        <w:textAlignment w:val="auto"/>
        <w:rPr>
          <w:rFonts w:ascii="宋体" w:hAnsi="宋体" w:eastAsia="宋体" w:cs="Times New Roman"/>
          <w:sz w:val="24"/>
          <w:szCs w:val="21"/>
          <w:lang w:val="zh-CN"/>
        </w:rPr>
      </w:pPr>
      <w:r>
        <w:rPr>
          <w:rFonts w:hint="eastAsia" w:ascii="宋体" w:hAnsi="宋体" w:eastAsia="宋体" w:cs="Times New Roman"/>
          <w:sz w:val="24"/>
          <w:szCs w:val="21"/>
          <w:lang w:val="zh-CN"/>
        </w:rPr>
        <w:t>本公司郑重声明，根据《政府采购促进中小企业发展暂行办法》（财库〔2011〕181号）的规定，本公司为______（请填写：中型、小型、微型）企业。本公司同时满足以下条件：</w:t>
      </w:r>
    </w:p>
    <w:p>
      <w:pPr>
        <w:keepNext w:val="0"/>
        <w:keepLines w:val="0"/>
        <w:pageBreakBefore w:val="0"/>
        <w:widowControl w:val="0"/>
        <w:kinsoku/>
        <w:wordWrap/>
        <w:overflowPunct/>
        <w:topLinePunct w:val="0"/>
        <w:autoSpaceDE/>
        <w:autoSpaceDN/>
        <w:bidi w:val="0"/>
        <w:spacing w:line="400" w:lineRule="exact"/>
        <w:ind w:firstLine="475" w:firstLineChars="198"/>
        <w:jc w:val="left"/>
        <w:textAlignment w:val="auto"/>
        <w:rPr>
          <w:rFonts w:ascii="宋体" w:hAnsi="宋体" w:eastAsia="宋体" w:cs="Times New Roman"/>
          <w:color w:val="0D0D0D"/>
          <w:sz w:val="24"/>
          <w:szCs w:val="21"/>
          <w:lang w:val="zh-CN"/>
        </w:rPr>
      </w:pPr>
      <w:r>
        <w:rPr>
          <w:rFonts w:hint="eastAsia" w:ascii="宋体" w:hAnsi="宋体" w:eastAsia="宋体" w:cs="Times New Roman"/>
          <w:sz w:val="24"/>
          <w:szCs w:val="21"/>
          <w:lang w:val="zh-CN"/>
        </w:rPr>
        <w:t>1.根据《工业和信息化部、国家统计局、国</w:t>
      </w:r>
      <w:r>
        <w:rPr>
          <w:rFonts w:hint="eastAsia" w:ascii="宋体" w:hAnsi="宋体" w:eastAsia="宋体" w:cs="Times New Roman"/>
          <w:color w:val="0D0D0D"/>
          <w:sz w:val="24"/>
          <w:szCs w:val="21"/>
          <w:lang w:val="zh-CN"/>
        </w:rPr>
        <w:t>家发展和改革委员会、财政部关于印发中小企业划型标准规定的通知》（工信部联企业〔2011〕300号）规定的划分标准</w:t>
      </w:r>
      <w:r>
        <w:rPr>
          <w:rFonts w:hint="eastAsia" w:hAnsi="宋体"/>
          <w:color w:val="0D0D0D" w:themeColor="text1" w:themeTint="F2"/>
          <w:sz w:val="24"/>
          <w14:textFill>
            <w14:solidFill>
              <w14:schemeClr w14:val="tx1">
                <w14:lumMod w14:val="95000"/>
                <w14:lumOff w14:val="5000"/>
              </w14:schemeClr>
            </w14:solidFill>
          </w14:textFill>
        </w:rPr>
        <w:t>（详见《中小企业划型标准》）</w:t>
      </w:r>
      <w:r>
        <w:rPr>
          <w:rFonts w:hint="eastAsia" w:ascii="宋体" w:hAnsi="宋体" w:eastAsia="宋体" w:cs="Times New Roman"/>
          <w:color w:val="0D0D0D"/>
          <w:sz w:val="24"/>
          <w:szCs w:val="21"/>
          <w:lang w:val="zh-CN"/>
        </w:rPr>
        <w:t>，本公司为______（请填写：中型、小型、微型）企业。</w:t>
      </w:r>
    </w:p>
    <w:p>
      <w:pPr>
        <w:keepNext w:val="0"/>
        <w:keepLines w:val="0"/>
        <w:pageBreakBefore w:val="0"/>
        <w:widowControl w:val="0"/>
        <w:kinsoku/>
        <w:wordWrap/>
        <w:overflowPunct/>
        <w:topLinePunct w:val="0"/>
        <w:autoSpaceDE/>
        <w:autoSpaceDN/>
        <w:bidi w:val="0"/>
        <w:spacing w:line="400" w:lineRule="exact"/>
        <w:ind w:firstLine="475" w:firstLineChars="198"/>
        <w:jc w:val="left"/>
        <w:textAlignment w:val="auto"/>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2.本公司授权</w:t>
      </w:r>
      <w:r>
        <w:rPr>
          <w:rFonts w:hint="eastAsia" w:ascii="宋体" w:hAnsi="宋体" w:eastAsia="宋体" w:cs="Times New Roman"/>
          <w:color w:val="0D0D0D"/>
          <w:sz w:val="24"/>
          <w:szCs w:val="21"/>
          <w:u w:val="single"/>
          <w:lang w:val="zh-CN"/>
        </w:rPr>
        <w:t xml:space="preserve">  （投标人）  </w:t>
      </w:r>
      <w:r>
        <w:rPr>
          <w:rFonts w:hint="eastAsia" w:ascii="宋体" w:hAnsi="宋体" w:eastAsia="宋体" w:cs="Times New Roman"/>
          <w:color w:val="0D0D0D"/>
          <w:sz w:val="24"/>
          <w:szCs w:val="21"/>
          <w:lang w:val="zh-CN"/>
        </w:rPr>
        <w:t>参加_</w:t>
      </w:r>
      <w:r>
        <w:rPr>
          <w:rFonts w:hint="eastAsia" w:ascii="宋体" w:hAnsi="宋体" w:eastAsia="宋体" w:cs="Times New Roman"/>
          <w:color w:val="0D0D0D"/>
          <w:sz w:val="24"/>
          <w:szCs w:val="21"/>
          <w:u w:val="single"/>
          <w:lang w:val="zh-CN"/>
        </w:rPr>
        <w:t>_（采购人）_</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w:t>
      </w:r>
      <w:r>
        <w:rPr>
          <w:rFonts w:hint="eastAsia" w:ascii="宋体" w:hAnsi="宋体" w:eastAsia="宋体" w:cs="Times New Roman"/>
          <w:sz w:val="24"/>
          <w:szCs w:val="21"/>
          <w:lang w:val="zh-CN"/>
        </w:rPr>
        <w:t>目（项目编号：_____）采购活动提供本企业制造的货物。本条所称货物不包括使用大型企业注册商标的货物。</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ascii="宋体" w:hAnsi="宋体" w:eastAsia="宋体" w:cs="Times New Roman"/>
          <w:bCs/>
          <w:color w:val="0D0D0D"/>
          <w:sz w:val="24"/>
          <w:szCs w:val="24"/>
        </w:rPr>
      </w:pPr>
      <w:r>
        <w:rPr>
          <w:rFonts w:hint="eastAsia" w:ascii="宋体" w:hAnsi="宋体" w:eastAsia="宋体" w:cs="Times New Roman"/>
          <w:bCs/>
          <w:sz w:val="24"/>
          <w:szCs w:val="24"/>
          <w:lang w:val="zh-CN"/>
        </w:rPr>
        <w:t>3</w:t>
      </w:r>
      <w:r>
        <w:rPr>
          <w:rFonts w:hint="eastAsia" w:ascii="宋体" w:hAnsi="宋体" w:eastAsia="宋体" w:cs="Times New Roman"/>
          <w:bCs/>
          <w:sz w:val="24"/>
          <w:szCs w:val="24"/>
        </w:rPr>
        <w:t>.由本公司制造的</w:t>
      </w:r>
      <w:r>
        <w:rPr>
          <w:rFonts w:hint="eastAsia" w:ascii="宋体" w:hAnsi="宋体" w:eastAsia="宋体" w:cs="Times New Roman"/>
          <w:bCs/>
          <w:color w:val="0D0D0D"/>
          <w:sz w:val="24"/>
          <w:szCs w:val="24"/>
        </w:rPr>
        <w:t>货物清单见下表：</w:t>
      </w:r>
    </w:p>
    <w:tbl>
      <w:tblPr>
        <w:tblStyle w:val="22"/>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23" w:leftChars="-11" w:right="-65" w:rightChars="-31"/>
              <w:jc w:val="center"/>
              <w:textAlignment w:val="auto"/>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keepNext w:val="0"/>
              <w:keepLines w:val="0"/>
              <w:pageBreakBefore w:val="0"/>
              <w:widowControl w:val="0"/>
              <w:numPr>
                <w:ilvl w:val="0"/>
                <w:numId w:val="62"/>
              </w:numPr>
              <w:tabs>
                <w:tab w:val="left" w:pos="82"/>
              </w:tabs>
              <w:kinsoku/>
              <w:wordWrap/>
              <w:overflowPunct/>
              <w:topLinePunct w:val="0"/>
              <w:autoSpaceDE/>
              <w:autoSpaceDN/>
              <w:bidi w:val="0"/>
              <w:adjustRightInd w:val="0"/>
              <w:snapToGrid w:val="0"/>
              <w:spacing w:line="400" w:lineRule="exact"/>
              <w:ind w:left="-2" w:firstLine="2"/>
              <w:jc w:val="center"/>
              <w:textAlignment w:val="auto"/>
              <w:rPr>
                <w:rFonts w:ascii="宋体" w:hAnsi="宋体"/>
                <w:sz w:val="24"/>
              </w:rPr>
            </w:pPr>
          </w:p>
        </w:tc>
        <w:tc>
          <w:tcPr>
            <w:tcW w:w="241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122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907"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375" w:rightChars="-179"/>
              <w:jc w:val="center"/>
              <w:textAlignment w:val="auto"/>
              <w:rPr>
                <w:rFonts w:ascii="宋体" w:hAnsi="宋体" w:eastAsia="宋体" w:cs="宋体"/>
                <w:color w:val="0D0D0D"/>
                <w:kern w:val="0"/>
                <w:sz w:val="24"/>
                <w:szCs w:val="24"/>
              </w:rPr>
            </w:pPr>
          </w:p>
        </w:tc>
        <w:tc>
          <w:tcPr>
            <w:tcW w:w="127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c>
          <w:tcPr>
            <w:tcW w:w="1843"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122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keepNext w:val="0"/>
              <w:keepLines w:val="0"/>
              <w:pageBreakBefore w:val="0"/>
              <w:widowControl w:val="0"/>
              <w:numPr>
                <w:ilvl w:val="0"/>
                <w:numId w:val="62"/>
              </w:numPr>
              <w:tabs>
                <w:tab w:val="left" w:pos="82"/>
              </w:tabs>
              <w:kinsoku/>
              <w:wordWrap/>
              <w:overflowPunct/>
              <w:topLinePunct w:val="0"/>
              <w:autoSpaceDE/>
              <w:autoSpaceDN/>
              <w:bidi w:val="0"/>
              <w:adjustRightInd w:val="0"/>
              <w:snapToGrid w:val="0"/>
              <w:spacing w:line="400" w:lineRule="exact"/>
              <w:ind w:left="-2" w:firstLine="2"/>
              <w:jc w:val="center"/>
              <w:textAlignment w:val="auto"/>
              <w:rPr>
                <w:rFonts w:ascii="宋体" w:hAnsi="宋体"/>
                <w:sz w:val="24"/>
              </w:rPr>
            </w:pPr>
          </w:p>
        </w:tc>
        <w:tc>
          <w:tcPr>
            <w:tcW w:w="241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122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907"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c>
          <w:tcPr>
            <w:tcW w:w="127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c>
          <w:tcPr>
            <w:tcW w:w="1843"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122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keepNext w:val="0"/>
              <w:keepLines w:val="0"/>
              <w:pageBreakBefore w:val="0"/>
              <w:widowControl w:val="0"/>
              <w:tabs>
                <w:tab w:val="left" w:pos="82"/>
              </w:tabs>
              <w:kinsoku/>
              <w:wordWrap/>
              <w:overflowPunct/>
              <w:topLinePunct w:val="0"/>
              <w:autoSpaceDE/>
              <w:autoSpaceDN/>
              <w:bidi w:val="0"/>
              <w:adjustRightInd w:val="0"/>
              <w:snapToGrid w:val="0"/>
              <w:spacing w:line="400" w:lineRule="exact"/>
              <w:jc w:val="center"/>
              <w:textAlignment w:val="auto"/>
              <w:rPr>
                <w:rFonts w:ascii="宋体" w:hAnsi="宋体"/>
                <w:sz w:val="24"/>
              </w:rPr>
            </w:pPr>
            <w:r>
              <w:rPr>
                <w:rFonts w:hint="eastAsia" w:ascii="宋体" w:hAnsi="宋体"/>
                <w:sz w:val="24"/>
              </w:rPr>
              <w:t>…</w:t>
            </w:r>
          </w:p>
        </w:tc>
        <w:tc>
          <w:tcPr>
            <w:tcW w:w="241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1224"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907"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c>
          <w:tcPr>
            <w:tcW w:w="127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c>
          <w:tcPr>
            <w:tcW w:w="1843"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c>
          <w:tcPr>
            <w:tcW w:w="1228" w:type="dxa"/>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center"/>
              <w:textAlignment w:val="auto"/>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keepNext w:val="0"/>
              <w:keepLines w:val="0"/>
              <w:pageBreakBefore w:val="0"/>
              <w:widowControl w:val="0"/>
              <w:kinsoku/>
              <w:wordWrap/>
              <w:overflowPunct/>
              <w:topLinePunct w:val="0"/>
              <w:autoSpaceDE/>
              <w:autoSpaceDN/>
              <w:bidi w:val="0"/>
              <w:spacing w:line="400" w:lineRule="exact"/>
              <w:ind w:left="-48" w:leftChars="-23" w:right="-65" w:rightChars="-31"/>
              <w:jc w:val="left"/>
              <w:textAlignment w:val="auto"/>
              <w:rPr>
                <w:rFonts w:ascii="宋体" w:hAnsi="宋体" w:eastAsia="宋体" w:cs="宋体"/>
                <w:color w:val="0D0D0D"/>
                <w:kern w:val="0"/>
                <w:sz w:val="24"/>
                <w:szCs w:val="24"/>
              </w:rPr>
            </w:pPr>
          </w:p>
        </w:tc>
      </w:tr>
    </w:tbl>
    <w:p>
      <w:pPr>
        <w:keepNext w:val="0"/>
        <w:keepLines w:val="0"/>
        <w:pageBreakBefore w:val="0"/>
        <w:widowControl w:val="0"/>
        <w:kinsoku/>
        <w:wordWrap/>
        <w:overflowPunct/>
        <w:topLinePunct w:val="0"/>
        <w:autoSpaceDE/>
        <w:autoSpaceDN/>
        <w:bidi w:val="0"/>
        <w:spacing w:beforeLines="50" w:line="400" w:lineRule="exact"/>
        <w:ind w:firstLine="475" w:firstLineChars="198"/>
        <w:jc w:val="left"/>
        <w:textAlignment w:val="auto"/>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eastAsia="宋体" w:cs="Times New Roman"/>
          <w:bCs/>
          <w:sz w:val="24"/>
          <w:szCs w:val="24"/>
        </w:rPr>
      </w:pPr>
    </w:p>
    <w:p>
      <w:pPr>
        <w:pStyle w:val="11"/>
        <w:keepNext w:val="0"/>
        <w:keepLines w:val="0"/>
        <w:pageBreakBefore w:val="0"/>
        <w:widowControl w:val="0"/>
        <w:kinsoku/>
        <w:wordWrap/>
        <w:overflowPunct/>
        <w:topLinePunct w:val="0"/>
        <w:autoSpaceDE/>
        <w:autoSpaceDN/>
        <w:bidi w:val="0"/>
        <w:spacing w:line="400" w:lineRule="exact"/>
        <w:ind w:left="960" w:hanging="960" w:hangingChars="400"/>
        <w:jc w:val="left"/>
        <w:textAlignment w:val="auto"/>
        <w:rPr>
          <w:rFonts w:hAnsi="宋体" w:cs="Corbel"/>
          <w:color w:val="0D0D0D" w:themeColor="text1" w:themeTint="F2"/>
          <w:sz w:val="24"/>
          <w14:textFill>
            <w14:solidFill>
              <w14:schemeClr w14:val="tx1">
                <w14:lumMod w14:val="95000"/>
                <w14:lumOff w14:val="5000"/>
              </w14:schemeClr>
            </w14:solidFill>
          </w14:textFill>
        </w:rPr>
      </w:pPr>
      <w:r>
        <w:rPr>
          <w:rFonts w:hint="eastAsia" w:hAnsi="宋体" w:eastAsia="宋体" w:cs="Times New Roman"/>
          <w:bCs/>
          <w:sz w:val="24"/>
          <w:szCs w:val="24"/>
        </w:rPr>
        <w:t>说明：</w:t>
      </w:r>
      <w:r>
        <w:rPr>
          <w:rFonts w:hint="eastAsia" w:hAnsi="宋体" w:cs="Corbel"/>
          <w:sz w:val="24"/>
        </w:rPr>
        <w:t>1、投标人所投</w:t>
      </w:r>
      <w:r>
        <w:rPr>
          <w:rFonts w:hint="eastAsia" w:hAnsi="宋体" w:cs="Corbel"/>
          <w:color w:val="0D0D0D" w:themeColor="text1" w:themeTint="F2"/>
          <w:sz w:val="24"/>
          <w14:textFill>
            <w14:solidFill>
              <w14:schemeClr w14:val="tx1">
                <w14:lumMod w14:val="95000"/>
                <w14:lumOff w14:val="5000"/>
              </w14:schemeClr>
            </w14:solidFill>
          </w14:textFill>
        </w:rPr>
        <w:t>货物为自己制造的，也应按本声明函格式填写。</w:t>
      </w:r>
    </w:p>
    <w:p>
      <w:pPr>
        <w:pStyle w:val="11"/>
        <w:keepNext w:val="0"/>
        <w:keepLines w:val="0"/>
        <w:pageBreakBefore w:val="0"/>
        <w:widowControl w:val="0"/>
        <w:kinsoku/>
        <w:wordWrap/>
        <w:overflowPunct/>
        <w:topLinePunct w:val="0"/>
        <w:autoSpaceDE/>
        <w:autoSpaceDN/>
        <w:bidi w:val="0"/>
        <w:spacing w:line="400" w:lineRule="exact"/>
        <w:ind w:left="958" w:leftChars="342" w:hanging="240" w:hangingChars="100"/>
        <w:jc w:val="left"/>
        <w:textAlignment w:val="auto"/>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2、组成联合体的大中型企业和其他自然人、法人或者其他组织，与小型、微型企业之间不得存在投资关系。</w:t>
      </w:r>
    </w:p>
    <w:p>
      <w:pPr>
        <w:pStyle w:val="11"/>
        <w:keepNext w:val="0"/>
        <w:keepLines w:val="0"/>
        <w:pageBreakBefore w:val="0"/>
        <w:widowControl w:val="0"/>
        <w:kinsoku/>
        <w:wordWrap/>
        <w:overflowPunct/>
        <w:topLinePunct w:val="0"/>
        <w:autoSpaceDE/>
        <w:autoSpaceDN/>
        <w:bidi w:val="0"/>
        <w:spacing w:line="400" w:lineRule="exact"/>
        <w:ind w:left="958" w:leftChars="342" w:hanging="240" w:hangingChars="100"/>
        <w:jc w:val="left"/>
        <w:textAlignment w:val="auto"/>
        <w:rPr>
          <w:rFonts w:hAnsi="宋体" w:eastAsia="宋体" w:cs="Times New Roman"/>
          <w:bCs/>
          <w:color w:val="0D0D0D" w:themeColor="text1" w:themeTint="F2"/>
          <w:sz w:val="24"/>
          <w:szCs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3、如以联合体方式参与本项目投标的投标人，则应由联合体双方签字盖章。</w:t>
      </w:r>
    </w:p>
    <w:p>
      <w:pPr>
        <w:keepNext w:val="0"/>
        <w:keepLines w:val="0"/>
        <w:pageBreakBefore w:val="0"/>
        <w:widowControl w:val="0"/>
        <w:kinsoku/>
        <w:wordWrap/>
        <w:overflowPunct/>
        <w:topLinePunct w:val="0"/>
        <w:autoSpaceDE/>
        <w:autoSpaceDN/>
        <w:bidi w:val="0"/>
        <w:spacing w:before="100" w:beforeAutospacing="1" w:after="100" w:afterAutospacing="1" w:line="400" w:lineRule="exact"/>
        <w:ind w:firstLine="3316" w:firstLineChars="1382"/>
        <w:textAlignment w:val="auto"/>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keepNext w:val="0"/>
        <w:keepLines w:val="0"/>
        <w:pageBreakBefore w:val="0"/>
        <w:widowControl w:val="0"/>
        <w:kinsoku/>
        <w:wordWrap/>
        <w:overflowPunct/>
        <w:topLinePunct w:val="0"/>
        <w:autoSpaceDE/>
        <w:autoSpaceDN/>
        <w:bidi w:val="0"/>
        <w:spacing w:before="100" w:beforeAutospacing="1" w:after="100" w:afterAutospacing="1" w:line="400" w:lineRule="exact"/>
        <w:ind w:firstLine="3316" w:firstLineChars="1382"/>
        <w:textAlignment w:val="auto"/>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keepNext w:val="0"/>
        <w:keepLines w:val="0"/>
        <w:pageBreakBefore w:val="0"/>
        <w:widowControl w:val="0"/>
        <w:kinsoku/>
        <w:wordWrap/>
        <w:overflowPunct/>
        <w:topLinePunct w:val="0"/>
        <w:autoSpaceDE/>
        <w:autoSpaceDN/>
        <w:bidi w:val="0"/>
        <w:spacing w:before="100" w:beforeAutospacing="1" w:after="100" w:afterAutospacing="1" w:line="400" w:lineRule="exact"/>
        <w:ind w:firstLine="3316" w:firstLineChars="1382"/>
        <w:textAlignment w:val="auto"/>
      </w:pPr>
      <w:r>
        <w:rPr>
          <w:rFonts w:hint="eastAsia" w:ascii="Times New Roman" w:hAnsi="宋体" w:eastAsia="宋体" w:cs="Times New Roman"/>
          <w:b/>
          <w:sz w:val="24"/>
          <w:szCs w:val="24"/>
        </w:rPr>
        <w:t>日   期：</w:t>
      </w:r>
    </w:p>
    <w:p>
      <w:r>
        <w:br w:type="page"/>
      </w:r>
    </w:p>
    <w:p>
      <w:pPr>
        <w:pStyle w:val="4"/>
        <w:numPr>
          <w:ilvl w:val="0"/>
          <w:numId w:val="61"/>
        </w:numPr>
        <w:spacing w:before="100" w:beforeAutospacing="1" w:afterLines="50" w:line="360" w:lineRule="auto"/>
        <w:ind w:left="1288" w:hanging="1288"/>
        <w:rPr>
          <w:rFonts w:ascii="宋体" w:hAnsi="宋体" w:eastAsia="宋体"/>
        </w:rPr>
      </w:pPr>
      <w:bookmarkStart w:id="161" w:name="_Toc495861552"/>
      <w:bookmarkStart w:id="162" w:name="_Toc494665556"/>
      <w:bookmarkStart w:id="163" w:name="_Toc494665953"/>
      <w:bookmarkStart w:id="164" w:name="_Toc494745320"/>
      <w:bookmarkStart w:id="165" w:name="_Toc456264006"/>
      <w:bookmarkStart w:id="166" w:name="_Toc494702273"/>
      <w:bookmarkStart w:id="167" w:name="_Toc494665003"/>
      <w:bookmarkStart w:id="168" w:name="_Toc494721103"/>
      <w:bookmarkStart w:id="169" w:name="_Toc262"/>
      <w:r>
        <w:rPr>
          <w:rFonts w:hint="eastAsia" w:ascii="宋体" w:hAnsi="宋体" w:eastAsia="宋体"/>
        </w:rPr>
        <w:t>中小企业声明函</w:t>
      </w:r>
      <w:bookmarkEnd w:id="161"/>
      <w:bookmarkEnd w:id="162"/>
      <w:bookmarkEnd w:id="163"/>
      <w:bookmarkEnd w:id="164"/>
      <w:bookmarkEnd w:id="165"/>
      <w:bookmarkEnd w:id="166"/>
      <w:bookmarkEnd w:id="167"/>
      <w:bookmarkEnd w:id="168"/>
      <w:bookmarkEnd w:id="169"/>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中小企业声明函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采购人（或采购代理公司）：</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sz w:val="24"/>
          <w:szCs w:val="21"/>
          <w:lang w:val="zh-CN"/>
        </w:rPr>
        <w:t>本公司郑重声明，根据《政府</w:t>
      </w:r>
      <w:r>
        <w:rPr>
          <w:rFonts w:hint="eastAsia" w:ascii="宋体" w:hAnsi="宋体" w:eastAsia="宋体" w:cs="Times New Roman"/>
          <w:color w:val="0D0D0D"/>
          <w:sz w:val="24"/>
          <w:szCs w:val="21"/>
          <w:lang w:val="zh-CN"/>
        </w:rPr>
        <w:t>采购促进中小企业发展暂行办法》（财库〔2011〕181号）的规定，本公司为______（请填写：中型、小型、微型）企业。本公司同时满足以下条件：</w:t>
      </w:r>
    </w:p>
    <w:p>
      <w:pPr>
        <w:spacing w:line="360" w:lineRule="auto"/>
        <w:ind w:firstLine="475" w:firstLineChars="198"/>
        <w:jc w:val="left"/>
        <w:rPr>
          <w:rFonts w:ascii="宋体" w:hAnsi="宋体" w:eastAsia="宋体" w:cs="Times New Roman"/>
          <w:color w:val="0D0D0D"/>
          <w:sz w:val="24"/>
          <w:szCs w:val="21"/>
          <w:lang w:val="zh-CN"/>
        </w:rPr>
      </w:pPr>
      <w:r>
        <w:rPr>
          <w:rFonts w:hint="eastAsia" w:ascii="宋体" w:hAnsi="宋体" w:eastAsia="宋体" w:cs="Times New Roman"/>
          <w:color w:val="0D0D0D"/>
          <w:sz w:val="24"/>
          <w:szCs w:val="21"/>
          <w:lang w:val="zh-CN"/>
        </w:rPr>
        <w:t>1.根据《工业和信息化部、国家统计局、国家发展和改革委员会、财政部关于印发中小企业划型标准规定的通知》（工信部联企业〔2011〕300号</w:t>
      </w:r>
      <w:r>
        <w:rPr>
          <w:rFonts w:hint="eastAsia" w:ascii="宋体" w:hAnsi="宋体" w:eastAsia="宋体" w:cs="Times New Roman"/>
          <w:color w:val="0D0D0D" w:themeColor="text1" w:themeTint="F2"/>
          <w:sz w:val="24"/>
          <w:szCs w:val="21"/>
          <w:lang w:val="zh-CN"/>
          <w14:textFill>
            <w14:solidFill>
              <w14:schemeClr w14:val="tx1">
                <w14:lumMod w14:val="95000"/>
                <w14:lumOff w14:val="5000"/>
              </w14:schemeClr>
            </w14:solidFill>
          </w14:textFill>
        </w:rPr>
        <w:t>）规定的划分标准</w:t>
      </w:r>
      <w:r>
        <w:rPr>
          <w:rFonts w:hint="eastAsia" w:hAnsi="宋体"/>
          <w:color w:val="0D0D0D" w:themeColor="text1" w:themeTint="F2"/>
          <w:sz w:val="24"/>
          <w14:textFill>
            <w14:solidFill>
              <w14:schemeClr w14:val="tx1">
                <w14:lumMod w14:val="95000"/>
                <w14:lumOff w14:val="5000"/>
              </w14:schemeClr>
            </w14:solidFill>
          </w14:textFill>
        </w:rPr>
        <w:t>（详见《中小企业划型标准》）</w:t>
      </w:r>
      <w:r>
        <w:rPr>
          <w:rFonts w:hint="eastAsia" w:ascii="宋体" w:hAnsi="宋体" w:eastAsia="宋体" w:cs="Times New Roman"/>
          <w:color w:val="0D0D0D" w:themeColor="text1" w:themeTint="F2"/>
          <w:sz w:val="24"/>
          <w:szCs w:val="21"/>
          <w:lang w:val="zh-CN"/>
          <w14:textFill>
            <w14:solidFill>
              <w14:schemeClr w14:val="tx1">
                <w14:lumMod w14:val="95000"/>
                <w14:lumOff w14:val="5000"/>
              </w14:schemeClr>
            </w14:solidFill>
          </w14:textFill>
        </w:rPr>
        <w:t>，本公司为______（请填写：中型、小</w:t>
      </w:r>
      <w:r>
        <w:rPr>
          <w:rFonts w:hint="eastAsia" w:ascii="宋体" w:hAnsi="宋体" w:eastAsia="宋体" w:cs="Times New Roman"/>
          <w:color w:val="0D0D0D"/>
          <w:sz w:val="24"/>
          <w:szCs w:val="21"/>
          <w:lang w:val="zh-CN"/>
        </w:rPr>
        <w:t>型、微型）企业。</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color w:val="0D0D0D"/>
          <w:sz w:val="24"/>
          <w:szCs w:val="21"/>
          <w:lang w:val="zh-CN"/>
        </w:rPr>
        <w:t>2.本公司参加_</w:t>
      </w:r>
      <w:r>
        <w:rPr>
          <w:rFonts w:hint="eastAsia" w:ascii="宋体" w:hAnsi="宋体" w:eastAsia="宋体" w:cs="Times New Roman"/>
          <w:color w:val="0D0D0D"/>
          <w:sz w:val="24"/>
          <w:szCs w:val="21"/>
          <w:u w:val="single"/>
          <w:lang w:val="zh-CN"/>
        </w:rPr>
        <w:t>_（采购人）</w:t>
      </w:r>
      <w:r>
        <w:rPr>
          <w:rFonts w:hint="eastAsia" w:ascii="宋体" w:hAnsi="宋体" w:eastAsia="宋体" w:cs="Times New Roman"/>
          <w:color w:val="0D0D0D"/>
          <w:sz w:val="24"/>
          <w:szCs w:val="21"/>
          <w:lang w:val="zh-CN"/>
        </w:rPr>
        <w:t>的__</w:t>
      </w:r>
      <w:r>
        <w:rPr>
          <w:rFonts w:hint="eastAsia" w:ascii="宋体" w:hAnsi="宋体" w:eastAsia="宋体" w:cs="Times New Roman"/>
          <w:color w:val="0D0D0D"/>
          <w:sz w:val="24"/>
          <w:szCs w:val="21"/>
          <w:u w:val="single"/>
          <w:lang w:val="zh-CN"/>
        </w:rPr>
        <w:t>__</w:t>
      </w:r>
      <w:r>
        <w:rPr>
          <w:rFonts w:hint="eastAsia" w:ascii="宋体" w:hAnsi="宋体" w:eastAsia="宋体" w:cs="Times New Roman"/>
          <w:color w:val="0D0D0D"/>
          <w:sz w:val="24"/>
          <w:szCs w:val="21"/>
          <w:lang w:val="zh-CN"/>
        </w:rPr>
        <w:t>项目（项目编号：_____</w:t>
      </w:r>
      <w:r>
        <w:rPr>
          <w:rFonts w:hint="eastAsia" w:ascii="宋体" w:hAnsi="宋体" w:eastAsia="宋体" w:cs="Times New Roman"/>
          <w:sz w:val="24"/>
          <w:szCs w:val="21"/>
          <w:lang w:val="zh-CN"/>
        </w:rPr>
        <w:t>_）采购活动由本企业承担工程（或提供服务）。</w:t>
      </w:r>
    </w:p>
    <w:p>
      <w:pPr>
        <w:spacing w:line="360" w:lineRule="auto"/>
        <w:ind w:firstLine="475" w:firstLineChars="198"/>
        <w:jc w:val="left"/>
        <w:rPr>
          <w:rFonts w:ascii="宋体" w:hAnsi="宋体" w:eastAsia="宋体" w:cs="Times New Roman"/>
          <w:sz w:val="24"/>
          <w:szCs w:val="21"/>
          <w:lang w:val="zh-CN"/>
        </w:rPr>
      </w:pPr>
      <w:r>
        <w:rPr>
          <w:rFonts w:hint="eastAsia" w:ascii="宋体" w:hAnsi="宋体" w:eastAsia="宋体" w:cs="Times New Roman"/>
          <w:sz w:val="24"/>
          <w:szCs w:val="21"/>
          <w:lang w:val="zh-CN"/>
        </w:rPr>
        <w:t>本公司对上述声明的真实性负责。如有虚假，将依法承担相应责任。</w:t>
      </w:r>
    </w:p>
    <w:p>
      <w:pPr>
        <w:adjustRightInd w:val="0"/>
        <w:snapToGrid w:val="0"/>
        <w:spacing w:line="360" w:lineRule="auto"/>
        <w:rPr>
          <w:rFonts w:ascii="宋体" w:hAnsi="宋体" w:eastAsia="宋体" w:cs="Times New Roman"/>
          <w:sz w:val="28"/>
          <w:szCs w:val="24"/>
        </w:rPr>
      </w:pPr>
    </w:p>
    <w:p>
      <w:pPr>
        <w:adjustRightInd w:val="0"/>
        <w:snapToGrid w:val="0"/>
        <w:spacing w:line="360" w:lineRule="auto"/>
        <w:rPr>
          <w:rFonts w:ascii="宋体" w:hAnsi="宋体" w:eastAsia="宋体" w:cs="Times New Roman"/>
          <w:sz w:val="28"/>
          <w:szCs w:val="24"/>
        </w:rPr>
      </w:pPr>
    </w:p>
    <w:p>
      <w:pPr>
        <w:spacing w:line="360" w:lineRule="auto"/>
        <w:ind w:left="950" w:hanging="950" w:hangingChars="396"/>
        <w:jc w:val="left"/>
        <w:rPr>
          <w:rFonts w:ascii="宋体" w:hAnsi="宋体" w:eastAsia="宋体" w:cs="Times New Roman"/>
          <w:sz w:val="24"/>
          <w:szCs w:val="21"/>
          <w:lang w:val="zh-CN"/>
        </w:rPr>
      </w:pPr>
      <w:r>
        <w:rPr>
          <w:rFonts w:hint="eastAsia" w:ascii="宋体" w:hAnsi="宋体" w:eastAsia="宋体" w:cs="Times New Roman"/>
          <w:sz w:val="24"/>
          <w:szCs w:val="21"/>
          <w:lang w:val="zh-CN"/>
        </w:rPr>
        <w:t>说明：1.组成联合体的大中型企业和其他自然人、法人或者其他组织，与小型、微型企业之间不得存在投资关系。</w:t>
      </w:r>
    </w:p>
    <w:p>
      <w:pPr>
        <w:tabs>
          <w:tab w:val="left" w:pos="882"/>
        </w:tabs>
        <w:spacing w:line="360" w:lineRule="auto"/>
        <w:ind w:left="936" w:leftChars="339" w:hanging="225" w:hangingChars="94"/>
        <w:jc w:val="left"/>
        <w:rPr>
          <w:rFonts w:ascii="宋体" w:hAnsi="宋体" w:eastAsia="宋体" w:cs="Times New Roman"/>
          <w:sz w:val="24"/>
          <w:szCs w:val="21"/>
          <w:lang w:val="zh-CN"/>
        </w:rPr>
      </w:pPr>
      <w:r>
        <w:rPr>
          <w:rFonts w:hint="eastAsia" w:ascii="宋体" w:hAnsi="宋体" w:eastAsia="宋体" w:cs="Times New Roman"/>
          <w:sz w:val="24"/>
          <w:szCs w:val="21"/>
          <w:lang w:val="zh-CN"/>
        </w:rPr>
        <w:t>2.以联合体方式参与本项目投标的投标人，应由联合体双方签字盖章。</w:t>
      </w: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line="360" w:lineRule="auto"/>
        <w:ind w:firstLine="480" w:firstLineChars="200"/>
        <w:jc w:val="left"/>
        <w:rPr>
          <w:rFonts w:ascii="宋体" w:hAnsi="宋体" w:eastAsia="宋体" w:cs="Times New Roman"/>
          <w:sz w:val="24"/>
          <w:szCs w:val="21"/>
          <w:lang w:val="zh-CN"/>
        </w:rPr>
      </w:pP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pPr>
        <w:sectPr>
          <w:headerReference r:id="rId7" w:type="default"/>
          <w:footerReference r:id="rId8" w:type="default"/>
          <w:pgSz w:w="11906" w:h="16838"/>
          <w:pgMar w:top="1417" w:right="1701" w:bottom="1417" w:left="1701" w:header="794" w:footer="624" w:gutter="0"/>
          <w:cols w:space="425" w:num="1"/>
          <w:docGrid w:type="linesAndChars" w:linePitch="312" w:charSpace="0"/>
        </w:sectPr>
      </w:pPr>
      <w:r>
        <w:br w:type="page"/>
      </w:r>
    </w:p>
    <w:p>
      <w:pPr>
        <w:spacing w:line="240" w:lineRule="atLeast"/>
        <w:ind w:right="-65" w:rightChars="-31"/>
        <w:jc w:val="center"/>
        <w:rPr>
          <w:rFonts w:ascii="宋体" w:hAnsi="宋体" w:eastAsia="宋体" w:cs="Times New Roman"/>
          <w:b/>
          <w:sz w:val="30"/>
          <w:szCs w:val="30"/>
          <w:lang w:val="zh-CN"/>
        </w:rPr>
      </w:pPr>
      <w:bookmarkStart w:id="170" w:name="_Toc476153619"/>
      <w:r>
        <w:rPr>
          <w:rFonts w:hint="eastAsia" w:ascii="宋体" w:hAnsi="宋体" w:eastAsia="宋体" w:cs="Times New Roman"/>
          <w:b/>
          <w:sz w:val="30"/>
          <w:szCs w:val="30"/>
          <w:lang w:val="zh-CN"/>
        </w:rPr>
        <w:t>中小企业划型标准</w:t>
      </w:r>
      <w:bookmarkEnd w:id="170"/>
    </w:p>
    <w:tbl>
      <w:tblPr>
        <w:tblStyle w:val="22"/>
        <w:tblW w:w="14470" w:type="dxa"/>
        <w:jc w:val="center"/>
        <w:tblLayout w:type="fixed"/>
        <w:tblCellMar>
          <w:top w:w="0" w:type="dxa"/>
          <w:left w:w="108" w:type="dxa"/>
          <w:bottom w:w="0" w:type="dxa"/>
          <w:right w:w="108" w:type="dxa"/>
        </w:tblCellMar>
      </w:tblPr>
      <w:tblGrid>
        <w:gridCol w:w="490"/>
        <w:gridCol w:w="1954"/>
        <w:gridCol w:w="1198"/>
        <w:gridCol w:w="923"/>
        <w:gridCol w:w="941"/>
        <w:gridCol w:w="1108"/>
        <w:gridCol w:w="943"/>
        <w:gridCol w:w="998"/>
        <w:gridCol w:w="1108"/>
        <w:gridCol w:w="961"/>
        <w:gridCol w:w="1004"/>
        <w:gridCol w:w="1108"/>
        <w:gridCol w:w="883"/>
        <w:gridCol w:w="851"/>
      </w:tblGrid>
      <w:tr>
        <w:tblPrEx>
          <w:tblCellMar>
            <w:top w:w="0" w:type="dxa"/>
            <w:left w:w="108" w:type="dxa"/>
            <w:bottom w:w="0" w:type="dxa"/>
            <w:right w:w="108" w:type="dxa"/>
          </w:tblCellMar>
        </w:tblPrEx>
        <w:trPr>
          <w:trHeight w:val="500" w:hRule="atLeast"/>
          <w:tblHeader/>
          <w:jc w:val="center"/>
        </w:trPr>
        <w:tc>
          <w:tcPr>
            <w:tcW w:w="490" w:type="dxa"/>
            <w:vMerge w:val="restart"/>
            <w:tcBorders>
              <w:top w:val="single" w:color="auto" w:sz="4" w:space="0"/>
              <w:left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序号</w:t>
            </w:r>
          </w:p>
        </w:tc>
        <w:tc>
          <w:tcPr>
            <w:tcW w:w="1954" w:type="dxa"/>
            <w:vMerge w:val="restart"/>
            <w:tcBorders>
              <w:top w:val="single" w:color="auto" w:sz="4" w:space="0"/>
              <w:left w:val="nil"/>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行业</w:t>
            </w:r>
          </w:p>
        </w:tc>
        <w:tc>
          <w:tcPr>
            <w:tcW w:w="306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大型企业</w:t>
            </w:r>
          </w:p>
        </w:tc>
        <w:tc>
          <w:tcPr>
            <w:tcW w:w="3049"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中型企业</w:t>
            </w:r>
          </w:p>
        </w:tc>
        <w:tc>
          <w:tcPr>
            <w:tcW w:w="3073"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小型企业</w:t>
            </w:r>
          </w:p>
        </w:tc>
        <w:tc>
          <w:tcPr>
            <w:tcW w:w="2842" w:type="dxa"/>
            <w:gridSpan w:val="3"/>
            <w:tcBorders>
              <w:top w:val="single" w:color="auto" w:sz="4" w:space="0"/>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微型企业</w:t>
            </w:r>
          </w:p>
        </w:tc>
      </w:tr>
      <w:tr>
        <w:tblPrEx>
          <w:tblCellMar>
            <w:top w:w="0" w:type="dxa"/>
            <w:left w:w="108" w:type="dxa"/>
            <w:bottom w:w="0" w:type="dxa"/>
            <w:right w:w="108" w:type="dxa"/>
          </w:tblCellMar>
        </w:tblPrEx>
        <w:trPr>
          <w:trHeight w:val="226" w:hRule="atLeast"/>
          <w:tblHeader/>
          <w:jc w:val="center"/>
        </w:trPr>
        <w:tc>
          <w:tcPr>
            <w:tcW w:w="490" w:type="dxa"/>
            <w:vMerge w:val="continue"/>
            <w:tcBorders>
              <w:left w:val="single" w:color="auto" w:sz="4" w:space="0"/>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p>
        </w:tc>
        <w:tc>
          <w:tcPr>
            <w:tcW w:w="1954" w:type="dxa"/>
            <w:vMerge w:val="continue"/>
            <w:tcBorders>
              <w:left w:val="nil"/>
              <w:bottom w:val="single" w:color="auto" w:sz="4" w:space="0"/>
              <w:right w:val="single" w:color="auto" w:sz="4" w:space="0"/>
            </w:tcBorders>
            <w:shd w:val="clear" w:color="auto" w:fill="auto"/>
            <w:vAlign w:val="center"/>
          </w:tcPr>
          <w:p>
            <w:pPr>
              <w:spacing w:line="240" w:lineRule="atLeast"/>
              <w:ind w:left="-48" w:leftChars="-23" w:right="-65" w:rightChars="-31"/>
              <w:jc w:val="left"/>
              <w:rPr>
                <w:rFonts w:ascii="宋体" w:hAnsi="宋体" w:eastAsia="宋体" w:cs="宋体"/>
                <w:b/>
                <w:kern w:val="0"/>
                <w:szCs w:val="21"/>
              </w:rPr>
            </w:pPr>
          </w:p>
        </w:tc>
        <w:tc>
          <w:tcPr>
            <w:tcW w:w="11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2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4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4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99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961" w:type="dxa"/>
            <w:tcBorders>
              <w:top w:val="nil"/>
              <w:left w:val="nil"/>
              <w:bottom w:val="single" w:color="auto" w:sz="4" w:space="0"/>
              <w:right w:val="single" w:color="auto" w:sz="4" w:space="0"/>
            </w:tcBorders>
            <w:shd w:val="clear" w:color="auto" w:fill="auto"/>
            <w:vAlign w:val="center"/>
          </w:tcPr>
          <w:p>
            <w:pPr>
              <w:spacing w:line="240" w:lineRule="atLeast"/>
              <w:ind w:left="119" w:leftChars="-23" w:right="-65" w:rightChars="-31" w:hanging="167" w:hangingChars="79"/>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1004"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1108"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营业收入</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c>
          <w:tcPr>
            <w:tcW w:w="883"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从业人员</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(人)</w:t>
            </w:r>
          </w:p>
        </w:tc>
        <w:tc>
          <w:tcPr>
            <w:tcW w:w="851" w:type="dxa"/>
            <w:tcBorders>
              <w:top w:val="nil"/>
              <w:left w:val="nil"/>
              <w:bottom w:val="single" w:color="auto" w:sz="4" w:space="0"/>
              <w:right w:val="single" w:color="auto" w:sz="4" w:space="0"/>
            </w:tcBorders>
            <w:shd w:val="clear" w:color="auto" w:fill="auto"/>
            <w:vAlign w:val="center"/>
          </w:tcPr>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总资产</w:t>
            </w:r>
          </w:p>
          <w:p>
            <w:pPr>
              <w:spacing w:line="240" w:lineRule="atLeast"/>
              <w:ind w:left="-48" w:leftChars="-23" w:right="-65" w:rightChars="-31"/>
              <w:jc w:val="center"/>
              <w:rPr>
                <w:rFonts w:ascii="宋体" w:hAnsi="宋体" w:eastAsia="宋体" w:cs="宋体"/>
                <w:b/>
                <w:kern w:val="0"/>
                <w:szCs w:val="21"/>
              </w:rPr>
            </w:pPr>
            <w:r>
              <w:rPr>
                <w:rFonts w:hint="eastAsia" w:ascii="宋体" w:hAnsi="宋体" w:eastAsia="宋体" w:cs="宋体"/>
                <w:b/>
                <w:kern w:val="0"/>
                <w:szCs w:val="21"/>
              </w:rPr>
              <w:t>(万元)</w:t>
            </w:r>
          </w:p>
        </w:tc>
      </w:tr>
      <w:tr>
        <w:tblPrEx>
          <w:tblCellMar>
            <w:top w:w="0" w:type="dxa"/>
            <w:left w:w="108" w:type="dxa"/>
            <w:bottom w:w="0" w:type="dxa"/>
            <w:right w:w="108" w:type="dxa"/>
          </w:tblCellMar>
        </w:tblPrEx>
        <w:trPr>
          <w:trHeight w:val="369" w:hRule="atLeast"/>
          <w:jc w:val="center"/>
        </w:trPr>
        <w:tc>
          <w:tcPr>
            <w:tcW w:w="4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w:t>
            </w:r>
          </w:p>
        </w:tc>
        <w:tc>
          <w:tcPr>
            <w:tcW w:w="1954" w:type="dxa"/>
            <w:tcBorders>
              <w:top w:val="single" w:color="auto" w:sz="4" w:space="0"/>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农、林、牧、渔业</w:t>
            </w:r>
          </w:p>
        </w:tc>
        <w:tc>
          <w:tcPr>
            <w:tcW w:w="119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工业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建筑业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≥80000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＜300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批发业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≥40000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零售业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交通运输业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7</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仓储业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8</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邮政业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＜20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9</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住宿业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10</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餐饮业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11</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信息传输业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12</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软件和信息技术服务业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13</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房地产开发经验</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≥200000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且,≥5000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且,≥2000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或,＜2000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14</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物业管理</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≥5000</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≥1000</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＜500</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15</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租赁和商务服务业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或,≥120000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且,≥8000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且,≥100</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或,＜100</w:t>
            </w:r>
          </w:p>
        </w:tc>
      </w:tr>
      <w:tr>
        <w:tblPrEx>
          <w:tblCellMar>
            <w:top w:w="0" w:type="dxa"/>
            <w:left w:w="108" w:type="dxa"/>
            <w:bottom w:w="0" w:type="dxa"/>
            <w:right w:w="108" w:type="dxa"/>
          </w:tblCellMar>
        </w:tblPrEx>
        <w:trPr>
          <w:trHeight w:val="369" w:hRule="atLeast"/>
          <w:jc w:val="center"/>
        </w:trPr>
        <w:tc>
          <w:tcPr>
            <w:tcW w:w="49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b/>
                <w:kern w:val="0"/>
                <w:szCs w:val="21"/>
              </w:rPr>
            </w:pPr>
            <w:r>
              <w:rPr>
                <w:rFonts w:hint="eastAsia" w:ascii="宋体" w:hAnsi="宋体" w:eastAsia="宋体" w:cs="宋体"/>
                <w:b/>
                <w:kern w:val="0"/>
                <w:szCs w:val="21"/>
              </w:rPr>
              <w:t>16</w:t>
            </w:r>
          </w:p>
        </w:tc>
        <w:tc>
          <w:tcPr>
            <w:tcW w:w="1954" w:type="dxa"/>
            <w:tcBorders>
              <w:top w:val="nil"/>
              <w:left w:val="nil"/>
              <w:bottom w:val="single" w:color="auto" w:sz="4" w:space="0"/>
              <w:right w:val="single" w:color="auto" w:sz="4" w:space="0"/>
            </w:tcBorders>
            <w:shd w:val="clear" w:color="auto" w:fill="auto"/>
            <w:vAlign w:val="center"/>
          </w:tcPr>
          <w:p>
            <w:pPr>
              <w:spacing w:line="240" w:lineRule="atLeast"/>
              <w:ind w:left="-27" w:leftChars="-13" w:right="-65" w:rightChars="-31"/>
              <w:jc w:val="left"/>
              <w:rPr>
                <w:rFonts w:ascii="宋体" w:hAnsi="宋体" w:eastAsia="宋体" w:cs="宋体"/>
                <w:b/>
                <w:kern w:val="0"/>
                <w:szCs w:val="21"/>
              </w:rPr>
            </w:pPr>
            <w:r>
              <w:rPr>
                <w:rFonts w:hint="eastAsia" w:ascii="宋体" w:hAnsi="宋体" w:eastAsia="宋体" w:cs="宋体"/>
                <w:b/>
                <w:kern w:val="0"/>
                <w:szCs w:val="21"/>
              </w:rPr>
              <w:t>其他未列明行业</w:t>
            </w:r>
          </w:p>
        </w:tc>
        <w:tc>
          <w:tcPr>
            <w:tcW w:w="119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2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≥300</w:t>
            </w:r>
          </w:p>
        </w:tc>
        <w:tc>
          <w:tcPr>
            <w:tcW w:w="941"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　</w:t>
            </w:r>
          </w:p>
        </w:tc>
        <w:tc>
          <w:tcPr>
            <w:tcW w:w="943" w:type="dxa"/>
            <w:tcBorders>
              <w:top w:val="nil"/>
              <w:left w:val="nil"/>
              <w:bottom w:val="single" w:color="auto" w:sz="4" w:space="0"/>
              <w:right w:val="single" w:color="auto" w:sz="4" w:space="0"/>
            </w:tcBorders>
            <w:shd w:val="clear" w:color="auto" w:fill="auto"/>
            <w:vAlign w:val="center"/>
          </w:tcPr>
          <w:p>
            <w:pPr>
              <w:widowControl/>
              <w:spacing w:line="240" w:lineRule="atLeast"/>
              <w:ind w:left="-107" w:leftChars="-51" w:right="-107" w:rightChars="-51"/>
              <w:jc w:val="center"/>
              <w:rPr>
                <w:rFonts w:ascii="宋体" w:hAnsi="宋体" w:eastAsia="宋体" w:cs="宋体"/>
                <w:kern w:val="0"/>
                <w:szCs w:val="21"/>
              </w:rPr>
            </w:pPr>
            <w:r>
              <w:rPr>
                <w:rFonts w:hint="eastAsia" w:ascii="宋体" w:hAnsi="宋体" w:eastAsia="宋体" w:cs="宋体"/>
                <w:kern w:val="0"/>
                <w:szCs w:val="21"/>
              </w:rPr>
              <w:t>≥100</w:t>
            </w:r>
          </w:p>
        </w:tc>
        <w:tc>
          <w:tcPr>
            <w:tcW w:w="99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96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1004"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1108"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c>
          <w:tcPr>
            <w:tcW w:w="883"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pPr>
              <w:widowControl/>
              <w:spacing w:line="240" w:lineRule="atLeast"/>
              <w:jc w:val="center"/>
              <w:rPr>
                <w:rFonts w:ascii="宋体" w:hAnsi="宋体" w:eastAsia="宋体" w:cs="宋体"/>
                <w:kern w:val="0"/>
                <w:szCs w:val="21"/>
              </w:rPr>
            </w:pPr>
            <w:r>
              <w:rPr>
                <w:rFonts w:hint="eastAsia" w:ascii="宋体" w:hAnsi="宋体" w:eastAsia="宋体" w:cs="宋体"/>
                <w:kern w:val="0"/>
                <w:szCs w:val="21"/>
              </w:rPr>
              <w:t>　</w:t>
            </w:r>
          </w:p>
        </w:tc>
      </w:tr>
    </w:tbl>
    <w:p>
      <w:pPr>
        <w:sectPr>
          <w:pgSz w:w="16838" w:h="11906" w:orient="landscape"/>
          <w:pgMar w:top="1191" w:right="1134" w:bottom="1191" w:left="1134" w:header="851" w:footer="851" w:gutter="0"/>
          <w:cols w:space="425" w:num="1"/>
          <w:docGrid w:type="lines" w:linePitch="312" w:charSpace="0"/>
        </w:sectPr>
      </w:pPr>
      <w:r>
        <w:br w:type="page"/>
      </w:r>
    </w:p>
    <w:p>
      <w:pPr>
        <w:pStyle w:val="4"/>
        <w:numPr>
          <w:ilvl w:val="0"/>
          <w:numId w:val="61"/>
        </w:numPr>
        <w:spacing w:before="100" w:beforeAutospacing="1" w:afterLines="50" w:line="360" w:lineRule="auto"/>
        <w:ind w:left="1288" w:hanging="1288"/>
        <w:rPr>
          <w:rFonts w:ascii="宋体" w:hAnsi="宋体" w:eastAsia="宋体"/>
        </w:rPr>
      </w:pPr>
      <w:bookmarkStart w:id="171" w:name="_Toc494665004"/>
      <w:bookmarkStart w:id="172" w:name="_Toc15500"/>
      <w:bookmarkStart w:id="173" w:name="_Toc494745321"/>
      <w:bookmarkStart w:id="174" w:name="_Toc494721104"/>
      <w:bookmarkStart w:id="175" w:name="_Toc494665557"/>
      <w:bookmarkStart w:id="176" w:name="_Toc495861553"/>
      <w:bookmarkStart w:id="177" w:name="_Toc494665954"/>
      <w:bookmarkStart w:id="178" w:name="_Toc494702274"/>
      <w:r>
        <w:rPr>
          <w:rFonts w:hint="eastAsia" w:ascii="宋体" w:hAnsi="宋体" w:eastAsia="宋体"/>
        </w:rPr>
        <w:t>残疾人福利性单位声明函</w:t>
      </w:r>
      <w:bookmarkEnd w:id="171"/>
      <w:bookmarkEnd w:id="172"/>
      <w:bookmarkEnd w:id="173"/>
      <w:bookmarkEnd w:id="174"/>
      <w:bookmarkEnd w:id="175"/>
      <w:bookmarkEnd w:id="176"/>
      <w:bookmarkEnd w:id="177"/>
      <w:bookmarkEnd w:id="178"/>
    </w:p>
    <w:p>
      <w:pPr>
        <w:adjustRightInd w:val="0"/>
        <w:snapToGrid w:val="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（适用于货物类项目）</w:t>
      </w:r>
    </w:p>
    <w:p>
      <w:pPr>
        <w:spacing w:line="360" w:lineRule="auto"/>
        <w:rPr>
          <w:b/>
          <w:sz w:val="28"/>
          <w:szCs w:val="28"/>
        </w:rPr>
      </w:pPr>
      <w:r>
        <w:rPr>
          <w:rFonts w:hint="eastAsia"/>
          <w:b/>
          <w:sz w:val="28"/>
          <w:szCs w:val="28"/>
        </w:rPr>
        <w:t>采购人（或采购代理公司）：</w:t>
      </w:r>
    </w:p>
    <w:p>
      <w:pPr>
        <w:pStyle w:val="11"/>
        <w:spacing w:line="360" w:lineRule="auto"/>
        <w:ind w:firstLine="475" w:firstLineChars="198"/>
        <w:jc w:val="left"/>
        <w:rPr>
          <w:rFonts w:hAnsi="宋体"/>
          <w:sz w:val="24"/>
        </w:rPr>
      </w:pPr>
      <w:r>
        <w:rPr>
          <w:rFonts w:hint="eastAsia" w:hAnsi="宋体"/>
          <w:sz w:val="24"/>
        </w:rPr>
        <w:t>本单位郑重声明，根据《财政部 民政部 中国残疾人联合会关于促进残疾人就业政府采购政策的通知》（财库〔2017〕141号）的规定，本</w:t>
      </w:r>
      <w:r>
        <w:rPr>
          <w:rFonts w:hint="eastAsia" w:hAnsi="宋体"/>
          <w:color w:val="0D0D0D" w:themeColor="text1" w:themeTint="F2"/>
          <w:sz w:val="24"/>
          <w14:textFill>
            <w14:solidFill>
              <w14:schemeClr w14:val="tx1">
                <w14:lumMod w14:val="95000"/>
                <w14:lumOff w14:val="5000"/>
              </w14:schemeClr>
            </w14:solidFill>
          </w14:textFill>
        </w:rPr>
        <w:t>单位为符合条件的残疾人福利性单位（详见“残疾人福利性单位应当满足的条件”）。</w:t>
      </w:r>
    </w:p>
    <w:p>
      <w:pPr>
        <w:pStyle w:val="11"/>
        <w:spacing w:line="360" w:lineRule="auto"/>
        <w:ind w:firstLine="475" w:firstLineChars="198"/>
        <w:jc w:val="left"/>
        <w:rPr>
          <w:rFonts w:hAnsi="宋体"/>
          <w:sz w:val="24"/>
        </w:rPr>
      </w:pPr>
      <w:r>
        <w:rPr>
          <w:rFonts w:hint="eastAsia" w:hAnsi="宋体"/>
          <w:sz w:val="24"/>
        </w:rPr>
        <w:t>1.本单位授权</w:t>
      </w:r>
      <w:r>
        <w:rPr>
          <w:rFonts w:hint="eastAsia" w:hAnsi="宋体"/>
          <w:sz w:val="24"/>
          <w:u w:val="single"/>
        </w:rPr>
        <w:t xml:space="preserve"> （投标人） </w:t>
      </w:r>
      <w:r>
        <w:rPr>
          <w:rFonts w:hint="eastAsia" w:hAnsi="宋体"/>
          <w:sz w:val="24"/>
        </w:rPr>
        <w:t>参加_</w:t>
      </w:r>
      <w:r>
        <w:rPr>
          <w:rFonts w:hint="eastAsia" w:hAnsi="宋体"/>
          <w:sz w:val="24"/>
          <w:u w:val="single"/>
        </w:rPr>
        <w:t>（采购人）</w:t>
      </w:r>
      <w:r>
        <w:rPr>
          <w:rFonts w:hint="eastAsia" w:hAnsi="宋体"/>
          <w:sz w:val="24"/>
        </w:rPr>
        <w:t>的__</w:t>
      </w:r>
      <w:r>
        <w:rPr>
          <w:rFonts w:hint="eastAsia" w:hAnsi="宋体"/>
          <w:sz w:val="24"/>
          <w:u w:val="single"/>
        </w:rPr>
        <w:t>_ _</w:t>
      </w:r>
      <w:r>
        <w:rPr>
          <w:rFonts w:hint="eastAsia" w:hAnsi="宋体"/>
          <w:sz w:val="24"/>
        </w:rPr>
        <w:t>项目（项目编号：_____）采购活动提供本单位制造的货物。本条所称货物不包括使用非残疾人福利性单位注册商标的货物。</w:t>
      </w:r>
    </w:p>
    <w:p>
      <w:pPr>
        <w:spacing w:line="360" w:lineRule="auto"/>
        <w:ind w:firstLine="480" w:firstLineChars="200"/>
        <w:rPr>
          <w:rFonts w:ascii="宋体" w:hAnsi="宋体"/>
          <w:bCs/>
          <w:color w:val="0D0D0D"/>
          <w:sz w:val="24"/>
        </w:rPr>
      </w:pPr>
      <w:r>
        <w:rPr>
          <w:rFonts w:hint="eastAsia" w:ascii="宋体" w:hAnsi="宋体"/>
          <w:bCs/>
          <w:sz w:val="24"/>
          <w:lang w:val="zh-CN"/>
        </w:rPr>
        <w:t>2</w:t>
      </w:r>
      <w:r>
        <w:rPr>
          <w:rFonts w:hint="eastAsia" w:ascii="宋体" w:hAnsi="宋体"/>
          <w:bCs/>
          <w:sz w:val="24"/>
        </w:rPr>
        <w:t>.由本单位制造的</w:t>
      </w:r>
      <w:r>
        <w:rPr>
          <w:rFonts w:hint="eastAsia" w:ascii="宋体" w:hAnsi="宋体"/>
          <w:bCs/>
          <w:color w:val="0D0D0D"/>
          <w:sz w:val="24"/>
        </w:rPr>
        <w:t>货物清单见下表：</w:t>
      </w:r>
    </w:p>
    <w:tbl>
      <w:tblPr>
        <w:tblStyle w:val="22"/>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auto"/>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41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224"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品牌规格型号</w:t>
            </w:r>
          </w:p>
        </w:tc>
        <w:tc>
          <w:tcPr>
            <w:tcW w:w="907"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27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843"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c>
          <w:tcPr>
            <w:tcW w:w="1228" w:type="dxa"/>
            <w:shd w:val="clear" w:color="auto" w:fill="auto"/>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3"/>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90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27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843"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228"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3071"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bCs/>
          <w:color w:val="0D0D0D" w:themeColor="text1" w:themeTint="F2"/>
          <w:sz w:val="24"/>
          <w:szCs w:val="24"/>
          <w14:textFill>
            <w14:solidFill>
              <w14:schemeClr w14:val="tx1">
                <w14:lumMod w14:val="95000"/>
                <w14:lumOff w14:val="5000"/>
              </w14:schemeClr>
            </w14:solidFill>
          </w14:textFill>
        </w:rPr>
      </w:pPr>
    </w:p>
    <w:p>
      <w:pPr>
        <w:pStyle w:val="11"/>
        <w:spacing w:line="360" w:lineRule="auto"/>
        <w:jc w:val="left"/>
        <w:rPr>
          <w:rFonts w:hAnsi="宋体" w:cs="Corbel"/>
          <w:color w:val="0D0D0D" w:themeColor="text1" w:themeTint="F2"/>
          <w:sz w:val="24"/>
          <w14:textFill>
            <w14:solidFill>
              <w14:schemeClr w14:val="tx1">
                <w14:lumMod w14:val="95000"/>
                <w14:lumOff w14:val="5000"/>
              </w14:schemeClr>
            </w14:solidFill>
          </w14:textFill>
        </w:rPr>
      </w:pPr>
      <w:r>
        <w:rPr>
          <w:rFonts w:hint="eastAsia" w:hAnsi="宋体" w:eastAsia="宋体" w:cs="Times New Roman"/>
          <w:bCs/>
          <w:color w:val="0D0D0D" w:themeColor="text1" w:themeTint="F2"/>
          <w:sz w:val="24"/>
          <w:szCs w:val="24"/>
          <w14:textFill>
            <w14:solidFill>
              <w14:schemeClr w14:val="tx1">
                <w14:lumMod w14:val="95000"/>
                <w14:lumOff w14:val="5000"/>
              </w14:schemeClr>
            </w14:solidFill>
          </w14:textFill>
        </w:rPr>
        <w:t>说明：</w:t>
      </w:r>
      <w:r>
        <w:rPr>
          <w:rFonts w:hint="eastAsia" w:hAnsi="宋体" w:cs="Corbel"/>
          <w:color w:val="0D0D0D" w:themeColor="text1" w:themeTint="F2"/>
          <w:sz w:val="24"/>
          <w14:textFill>
            <w14:solidFill>
              <w14:schemeClr w14:val="tx1">
                <w14:lumMod w14:val="95000"/>
                <w14:lumOff w14:val="5000"/>
              </w14:schemeClr>
            </w14:solidFill>
          </w14:textFill>
        </w:rPr>
        <w:t>1、投标人所投货物为自己制造的，也应按本声明函格式填写。</w:t>
      </w:r>
    </w:p>
    <w:p>
      <w:pPr>
        <w:pStyle w:val="11"/>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2、组成联合体的大中型企业和其他自然人、法人或者其他组织，与残疾人福利性单位之间不得存在投资关系。</w:t>
      </w:r>
    </w:p>
    <w:p>
      <w:pPr>
        <w:pStyle w:val="11"/>
        <w:spacing w:line="360" w:lineRule="auto"/>
        <w:ind w:left="1078" w:leftChars="342" w:hanging="360" w:hangingChars="150"/>
        <w:jc w:val="left"/>
        <w:rPr>
          <w:rFonts w:hAnsi="宋体"/>
          <w:color w:val="0D0D0D" w:themeColor="text1" w:themeTint="F2"/>
          <w:sz w:val="24"/>
          <w14:textFill>
            <w14:solidFill>
              <w14:schemeClr w14:val="tx1">
                <w14:lumMod w14:val="95000"/>
                <w14:lumOff w14:val="5000"/>
              </w14:schemeClr>
            </w14:solidFill>
          </w14:textFill>
        </w:rPr>
      </w:pPr>
      <w:r>
        <w:rPr>
          <w:rFonts w:hint="eastAsia" w:hAnsi="宋体"/>
          <w:color w:val="0D0D0D" w:themeColor="text1" w:themeTint="F2"/>
          <w:sz w:val="24"/>
          <w14:textFill>
            <w14:solidFill>
              <w14:schemeClr w14:val="tx1">
                <w14:lumMod w14:val="95000"/>
                <w14:lumOff w14:val="5000"/>
              </w14:schemeClr>
            </w14:solidFill>
          </w14:textFill>
        </w:rPr>
        <w:t>3、以联合体方式参与本项目投标的投标人，应由联合体双方签字盖章。</w:t>
      </w:r>
    </w:p>
    <w:p>
      <w:pPr>
        <w:spacing w:line="360" w:lineRule="auto"/>
        <w:rPr>
          <w:rFonts w:ascii="宋体" w:hAnsi="宋体"/>
          <w:sz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制造商法定代表人（</w:t>
      </w:r>
      <w:r>
        <w:rPr>
          <w:rFonts w:hint="eastAsia" w:ascii="宋体" w:hAnsi="宋体" w:eastAsia="宋体" w:cs="Times New Roman"/>
          <w:b/>
          <w:sz w:val="24"/>
          <w:szCs w:val="21"/>
          <w:lang w:val="zh-CN"/>
        </w:rPr>
        <w:t>签字或盖章</w:t>
      </w:r>
      <w:r>
        <w:rPr>
          <w:rFonts w:hint="eastAsia" w:ascii="宋体" w:hAnsi="宋体" w:eastAsia="宋体" w:cs="Times New Roman"/>
          <w:b/>
          <w:bCs/>
          <w:sz w:val="24"/>
          <w:szCs w:val="21"/>
          <w:lang w:val="zh-CN"/>
        </w:rPr>
        <w:t>）：</w:t>
      </w:r>
    </w:p>
    <w:p>
      <w:pPr>
        <w:spacing w:before="100" w:beforeAutospacing="1" w:after="100" w:afterAutospacing="1" w:line="360" w:lineRule="auto"/>
        <w:ind w:firstLine="3316" w:firstLineChars="1382"/>
      </w:pPr>
      <w:r>
        <w:rPr>
          <w:rFonts w:hint="eastAsia" w:ascii="Times New Roman" w:hAnsi="宋体" w:eastAsia="宋体" w:cs="Times New Roman"/>
          <w:b/>
          <w:sz w:val="24"/>
          <w:szCs w:val="24"/>
        </w:rPr>
        <w:t>日   期：</w:t>
      </w:r>
    </w:p>
    <w:p>
      <w:r>
        <w:br w:type="page"/>
      </w:r>
    </w:p>
    <w:p>
      <w:pPr>
        <w:adjustRightInd w:val="0"/>
        <w:snapToGrid w:val="0"/>
        <w:jc w:val="center"/>
        <w:rPr>
          <w:rFonts w:ascii="宋体" w:hAnsi="宋体" w:eastAsia="宋体" w:cs="Times New Roman"/>
          <w:b/>
          <w:sz w:val="30"/>
          <w:szCs w:val="30"/>
          <w:lang w:val="zh-CN"/>
        </w:rPr>
      </w:pPr>
    </w:p>
    <w:p>
      <w:pPr>
        <w:adjustRightInd w:val="0"/>
        <w:snapToGrid w:val="0"/>
        <w:spacing w:beforeLines="100"/>
        <w:jc w:val="center"/>
        <w:rPr>
          <w:rFonts w:ascii="宋体" w:hAnsi="宋体" w:eastAsia="宋体" w:cs="Times New Roman"/>
          <w:b/>
          <w:sz w:val="30"/>
          <w:szCs w:val="30"/>
          <w:lang w:val="zh-CN"/>
        </w:rPr>
      </w:pPr>
      <w:r>
        <w:rPr>
          <w:rFonts w:hint="eastAsia" w:ascii="宋体" w:hAnsi="宋体" w:eastAsia="宋体" w:cs="Times New Roman"/>
          <w:b/>
          <w:sz w:val="30"/>
          <w:szCs w:val="30"/>
          <w:lang w:val="zh-CN"/>
        </w:rPr>
        <w:t>残疾人福利性单位声明函</w:t>
      </w:r>
    </w:p>
    <w:p>
      <w:pPr>
        <w:adjustRightInd w:val="0"/>
        <w:snapToGrid w:val="0"/>
        <w:spacing w:beforeLines="50" w:afterLines="50"/>
        <w:jc w:val="center"/>
        <w:rPr>
          <w:rFonts w:ascii="宋体" w:hAnsi="Courier New" w:eastAsia="宋体" w:cs="Times New Roman"/>
          <w:sz w:val="24"/>
          <w:szCs w:val="21"/>
          <w:lang w:val="zh-CN"/>
        </w:rPr>
      </w:pPr>
      <w:r>
        <w:rPr>
          <w:rFonts w:hint="eastAsia" w:ascii="宋体" w:hAnsi="Courier New" w:eastAsia="宋体" w:cs="Times New Roman"/>
          <w:sz w:val="24"/>
          <w:szCs w:val="21"/>
          <w:lang w:val="zh-CN"/>
        </w:rPr>
        <w:t>（适用于工程类、服务类项目）</w:t>
      </w:r>
    </w:p>
    <w:p>
      <w:pPr>
        <w:spacing w:line="360" w:lineRule="auto"/>
        <w:rPr>
          <w:b/>
          <w:sz w:val="28"/>
          <w:szCs w:val="28"/>
        </w:rPr>
      </w:pPr>
      <w:r>
        <w:rPr>
          <w:rFonts w:hint="eastAsia"/>
          <w:b/>
          <w:sz w:val="28"/>
          <w:szCs w:val="28"/>
        </w:rPr>
        <w:t>采购人（或采购代理公司）：</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本单位郑重声明，根据《财政</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部 民政部 中国残疾人联合会关于促进残疾人就业政府采购政策的通知》（财库〔2017〕141号）的规定，本单位为符合条件的残疾人福利性单位</w:t>
      </w:r>
      <w:r>
        <w:rPr>
          <w:rFonts w:hint="eastAsia" w:hAnsi="宋体"/>
          <w:color w:val="0D0D0D" w:themeColor="text1" w:themeTint="F2"/>
          <w:sz w:val="24"/>
          <w14:textFill>
            <w14:solidFill>
              <w14:schemeClr w14:val="tx1">
                <w14:lumMod w14:val="95000"/>
                <w14:lumOff w14:val="5000"/>
              </w14:schemeClr>
            </w14:solidFill>
          </w14:textFill>
        </w:rPr>
        <w:t>（详见“残疾人福利性单位应当满足的条件”）</w:t>
      </w:r>
      <w:r>
        <w:rPr>
          <w:rFonts w:hint="eastAsia" w:ascii="宋体" w:hAnsi="宋体" w:eastAsia="宋体" w:cs="Times New Roman"/>
          <w:color w:val="0D0D0D" w:themeColor="text1" w:themeTint="F2"/>
          <w:sz w:val="24"/>
          <w:szCs w:val="24"/>
          <w14:textFill>
            <w14:solidFill>
              <w14:schemeClr w14:val="tx1">
                <w14:lumMod w14:val="95000"/>
                <w14:lumOff w14:val="5000"/>
              </w14:schemeClr>
            </w14:solidFill>
          </w14:textFill>
        </w:rPr>
        <w:t>，</w:t>
      </w:r>
      <w:r>
        <w:rPr>
          <w:rFonts w:hint="eastAsia" w:ascii="宋体" w:hAnsi="宋体" w:eastAsia="宋体" w:cs="Times New Roman"/>
          <w:sz w:val="24"/>
          <w:szCs w:val="24"/>
        </w:rPr>
        <w:t>且本单位参加</w:t>
      </w:r>
      <w:r>
        <w:rPr>
          <w:rFonts w:hint="eastAsia" w:ascii="宋体" w:hAnsi="宋体" w:eastAsia="宋体" w:cs="Times New Roman"/>
          <w:sz w:val="24"/>
          <w:szCs w:val="24"/>
          <w:u w:val="single"/>
        </w:rPr>
        <w:t xml:space="preserve">  （</w:t>
      </w:r>
      <w:r>
        <w:rPr>
          <w:rFonts w:hint="eastAsia" w:ascii="Times New Roman" w:hAnsi="宋体" w:eastAsia="宋体" w:cs="Times New Roman"/>
          <w:sz w:val="24"/>
          <w:szCs w:val="24"/>
          <w:u w:val="single"/>
        </w:rPr>
        <w:t>采购</w:t>
      </w:r>
      <w:r>
        <w:rPr>
          <w:rFonts w:hint="eastAsia" w:ascii="宋体" w:hAnsi="宋体" w:eastAsia="宋体" w:cs="Times New Roman"/>
          <w:sz w:val="24"/>
          <w:szCs w:val="24"/>
          <w:u w:val="single"/>
        </w:rPr>
        <w:t>人）</w:t>
      </w:r>
      <w:r>
        <w:rPr>
          <w:rFonts w:hint="eastAsia" w:ascii="Times New Roman" w:hAnsi="宋体" w:eastAsia="宋体" w:cs="Times New Roman"/>
          <w:sz w:val="24"/>
          <w:szCs w:val="24"/>
        </w:rPr>
        <w:t>的</w:t>
      </w:r>
      <w:r>
        <w:rPr>
          <w:rFonts w:hint="eastAsia" w:cs="Times New Roman" w:asciiTheme="minorEastAsia" w:hAnsiTheme="minorEastAsia"/>
          <w:sz w:val="24"/>
          <w:szCs w:val="24"/>
          <w:u w:val="single"/>
        </w:rPr>
        <w:t>__   _</w:t>
      </w:r>
      <w:r>
        <w:rPr>
          <w:rFonts w:hint="eastAsia" w:ascii="Times New Roman" w:hAnsi="宋体" w:eastAsia="宋体" w:cs="Times New Roman"/>
          <w:sz w:val="24"/>
          <w:szCs w:val="24"/>
        </w:rPr>
        <w:t>项目（项目编号：______）</w:t>
      </w:r>
      <w:r>
        <w:rPr>
          <w:rFonts w:hint="eastAsia" w:ascii="宋体" w:hAnsi="宋体" w:eastAsia="宋体" w:cs="Times New Roman"/>
          <w:sz w:val="24"/>
          <w:szCs w:val="24"/>
        </w:rPr>
        <w:t>采购活动由本单位承担工程（或提供服务）。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本单位对上述声明的真实性负责。如有虚假，将依法承担相应责任。</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line="360" w:lineRule="auto"/>
        <w:ind w:left="1080" w:hanging="1080" w:hangingChars="450"/>
        <w:jc w:val="left"/>
        <w:rPr>
          <w:rFonts w:ascii="宋体" w:hAnsi="宋体" w:cs="Courier New"/>
          <w:color w:val="0D0D0D" w:themeColor="text1" w:themeTint="F2"/>
          <w:sz w:val="24"/>
          <w:szCs w:val="21"/>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说明：1、组成联合体的大中型企业和其他自然人、法人或者其他组织，与残疾人福利性单位之间不得存在投资关系。</w:t>
      </w:r>
    </w:p>
    <w:p>
      <w:pPr>
        <w:spacing w:line="360" w:lineRule="auto"/>
        <w:ind w:left="1078" w:leftChars="342" w:hanging="360" w:hangingChars="150"/>
        <w:jc w:val="left"/>
        <w:rPr>
          <w:rFonts w:ascii="宋体" w:hAnsi="宋体" w:eastAsia="宋体" w:cs="Times New Roman"/>
          <w:color w:val="0D0D0D" w:themeColor="text1" w:themeTint="F2"/>
          <w:sz w:val="24"/>
          <w:szCs w:val="24"/>
          <w14:textFill>
            <w14:solidFill>
              <w14:schemeClr w14:val="tx1">
                <w14:lumMod w14:val="95000"/>
                <w14:lumOff w14:val="5000"/>
              </w14:schemeClr>
            </w14:solidFill>
          </w14:textFill>
        </w:rPr>
      </w:pPr>
      <w:r>
        <w:rPr>
          <w:rFonts w:hint="eastAsia" w:ascii="宋体" w:hAnsi="宋体" w:cs="Courier New"/>
          <w:color w:val="0D0D0D" w:themeColor="text1" w:themeTint="F2"/>
          <w:sz w:val="24"/>
          <w:szCs w:val="21"/>
          <w14:textFill>
            <w14:solidFill>
              <w14:schemeClr w14:val="tx1">
                <w14:lumMod w14:val="95000"/>
                <w14:lumOff w14:val="5000"/>
              </w14:schemeClr>
            </w14:solidFill>
          </w14:textFill>
        </w:rPr>
        <w:t>2、以联合体方式参与本项目投标的投标人，应由联合体双方签字盖章。</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制造商（公章）：</w:t>
      </w:r>
    </w:p>
    <w:p>
      <w:pPr>
        <w:spacing w:before="100" w:beforeAutospacing="1" w:after="100" w:afterAutospacing="1" w:line="360" w:lineRule="auto"/>
        <w:ind w:firstLine="3316" w:firstLineChars="1382"/>
        <w:rPr>
          <w:rFonts w:ascii="宋体" w:hAnsi="宋体" w:eastAsia="宋体" w:cs="Times New Roman"/>
          <w:b/>
          <w:bCs/>
          <w:sz w:val="24"/>
          <w:szCs w:val="21"/>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Times New Roman" w:hAnsi="宋体" w:eastAsia="宋体" w:cs="Times New Roman"/>
          <w:bCs/>
          <w:sz w:val="24"/>
          <w:szCs w:val="24"/>
          <w:u w:val="single"/>
        </w:rPr>
      </w:pPr>
      <w:r>
        <w:rPr>
          <w:rFonts w:hint="eastAsia" w:ascii="Times New Roman" w:hAnsi="宋体" w:eastAsia="宋体" w:cs="Times New Roman"/>
          <w:b/>
          <w:sz w:val="24"/>
          <w:szCs w:val="24"/>
        </w:rPr>
        <w:t>日   期：</w:t>
      </w:r>
    </w:p>
    <w:p>
      <w:r>
        <w:br w:type="page"/>
      </w:r>
    </w:p>
    <w:p>
      <w:pPr>
        <w:spacing w:line="60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享受政府采购支持政策的残疾人福利性单位应当同时满足以下条件：</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（一）安置的残疾人占本单位在职职工人数的比例不低于25%（含25%），并且安置的残疾人人数不少于10人（含10人）；</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（二）依法与安置的每位残疾人签订了一年以上（含一年）的劳动合同或服务协议；</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（三）为安置的每位残疾人按月足额缴纳了基本养老保险、基本医疗保险、失业保险、工伤保险和生育保险等社会保险费；</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（四）通过银行等金融机构向安置的每位残疾人，按月支付了不低于单位所在区县适用的经省级人民政府批准的月最低工资标准的工资；</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（五）提供本单位制造的货物、承担的工程或者服务（以下简称产品），或者提供其他残疾人福利性单位制造的货物（不包括使用非残疾人福利性单位注册商标的货物）。</w:t>
      </w:r>
    </w:p>
    <w:p>
      <w:pPr>
        <w:spacing w:line="6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r>
        <w:br w:type="page"/>
      </w:r>
    </w:p>
    <w:p>
      <w:pPr>
        <w:pStyle w:val="4"/>
        <w:numPr>
          <w:ilvl w:val="0"/>
          <w:numId w:val="61"/>
        </w:numPr>
        <w:spacing w:before="100" w:beforeAutospacing="1" w:afterLines="50" w:line="360" w:lineRule="auto"/>
        <w:ind w:left="1288" w:hanging="1288"/>
        <w:rPr>
          <w:rFonts w:ascii="宋体" w:hAnsi="宋体" w:eastAsia="宋体"/>
        </w:rPr>
      </w:pPr>
      <w:bookmarkStart w:id="179" w:name="_Toc494721105"/>
      <w:bookmarkStart w:id="180" w:name="_Toc494665005"/>
      <w:bookmarkStart w:id="181" w:name="_Toc495861554"/>
      <w:bookmarkStart w:id="182" w:name="_Toc494665558"/>
      <w:bookmarkStart w:id="183" w:name="_Toc494702275"/>
      <w:bookmarkStart w:id="184" w:name="_Toc494665955"/>
      <w:bookmarkStart w:id="185" w:name="_Toc494745322"/>
      <w:bookmarkStart w:id="186" w:name="_Toc494577410"/>
      <w:bookmarkStart w:id="187" w:name="_Toc2030"/>
      <w:r>
        <w:rPr>
          <w:rFonts w:hint="eastAsia" w:ascii="宋体" w:hAnsi="宋体" w:eastAsia="宋体"/>
        </w:rPr>
        <w:t>开标一览表</w:t>
      </w:r>
      <w:bookmarkEnd w:id="179"/>
      <w:bookmarkEnd w:id="180"/>
      <w:bookmarkEnd w:id="181"/>
      <w:bookmarkEnd w:id="182"/>
      <w:bookmarkEnd w:id="183"/>
      <w:bookmarkEnd w:id="184"/>
      <w:bookmarkEnd w:id="185"/>
      <w:bookmarkEnd w:id="186"/>
      <w:bookmarkEnd w:id="187"/>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bCs/>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vAlign w:val="center"/>
          </w:tcPr>
          <w:p>
            <w:pPr>
              <w:spacing w:line="360" w:lineRule="auto"/>
              <w:ind w:left="-50" w:leftChars="-24" w:right="-65" w:rightChars="-31"/>
              <w:jc w:val="center"/>
              <w:rPr>
                <w:rFonts w:ascii="宋体" w:hAnsi="宋体" w:cs="宋体"/>
                <w:color w:val="0D0D0D"/>
                <w:kern w:val="0"/>
                <w:sz w:val="24"/>
              </w:rPr>
            </w:pPr>
            <w:r>
              <w:rPr>
                <w:rFonts w:hint="eastAsia" w:ascii="宋体" w:hAnsi="宋体" w:cs="宋体"/>
                <w:color w:val="0D0D0D"/>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295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19"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c>
          <w:tcPr>
            <w:tcW w:w="1708" w:type="dxa"/>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投标总报价</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小写：万元整（¥）</w:t>
            </w:r>
          </w:p>
          <w:p>
            <w:pPr>
              <w:spacing w:after="120" w:line="400" w:lineRule="atLeast"/>
              <w:ind w:left="205" w:leftChars="98" w:right="-65" w:rightChars="-31"/>
              <w:jc w:val="left"/>
              <w:rPr>
                <w:rFonts w:ascii="宋体" w:hAnsi="宋体" w:eastAsia="宋体" w:cs="宋体"/>
                <w:kern w:val="0"/>
                <w:sz w:val="24"/>
                <w:szCs w:val="24"/>
              </w:rPr>
            </w:pPr>
            <w:r>
              <w:rPr>
                <w:rFonts w:hint="eastAsia" w:ascii="宋体" w:hAnsi="宋体" w:eastAsia="宋体" w:cs="宋体"/>
                <w:kern w:val="0"/>
                <w:sz w:val="24"/>
                <w:szCs w:val="24"/>
              </w:rPr>
              <w:t>大写：万仟佰十元整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项目工期</w:t>
            </w:r>
          </w:p>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（服务期限）</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708" w:type="dxa"/>
            <w:gridSpan w:val="2"/>
            <w:tcBorders>
              <w:top w:val="single" w:color="auto" w:sz="4" w:space="0"/>
              <w:left w:val="double" w:color="auto" w:sz="4" w:space="0"/>
              <w:bottom w:val="sing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质保期</w:t>
            </w:r>
          </w:p>
        </w:tc>
        <w:tc>
          <w:tcPr>
            <w:tcW w:w="7839" w:type="dxa"/>
            <w:gridSpan w:val="5"/>
            <w:tcBorders>
              <w:top w:val="single" w:color="auto" w:sz="4" w:space="0"/>
              <w:left w:val="single" w:color="auto" w:sz="4" w:space="0"/>
              <w:bottom w:val="single" w:color="auto" w:sz="4" w:space="0"/>
              <w:right w:val="double" w:color="auto" w:sz="4" w:space="0"/>
            </w:tcBorders>
            <w:vAlign w:val="center"/>
          </w:tcPr>
          <w:p>
            <w:pPr>
              <w:spacing w:line="240" w:lineRule="atLeast"/>
              <w:ind w:left="-48" w:leftChars="-23" w:right="-65" w:rightChars="-31"/>
              <w:jc w:val="left"/>
              <w:rPr>
                <w:rFonts w:ascii="宋体" w:hAnsi="宋体" w:eastAsia="宋体" w:cs="宋体"/>
                <w:kern w:val="0"/>
                <w:sz w:val="24"/>
                <w:szCs w:val="24"/>
              </w:rPr>
            </w:pPr>
            <w:r>
              <w:rPr>
                <w:rFonts w:hint="eastAsia" w:ascii="宋体" w:hAnsi="宋体" w:eastAsia="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vAlign w:val="center"/>
          </w:tcPr>
          <w:p>
            <w:pPr>
              <w:spacing w:line="240" w:lineRule="atLeast"/>
              <w:ind w:left="-48" w:leftChars="-23" w:right="-65" w:rightChars="-31"/>
              <w:jc w:val="center"/>
              <w:rPr>
                <w:rFonts w:ascii="宋体" w:hAnsi="宋体" w:eastAsia="宋体" w:cs="宋体"/>
                <w:kern w:val="0"/>
                <w:sz w:val="24"/>
                <w:szCs w:val="24"/>
              </w:rPr>
            </w:pPr>
            <w:r>
              <w:rPr>
                <w:rFonts w:hint="eastAsia" w:ascii="宋体" w:hAnsi="宋体" w:eastAsia="宋体" w:cs="宋体"/>
                <w:kern w:val="0"/>
                <w:sz w:val="24"/>
                <w:szCs w:val="24"/>
              </w:rPr>
              <w:t>备注</w:t>
            </w:r>
          </w:p>
        </w:tc>
        <w:tc>
          <w:tcPr>
            <w:tcW w:w="7839" w:type="dxa"/>
            <w:gridSpan w:val="5"/>
            <w:tcBorders>
              <w:top w:val="single" w:color="auto" w:sz="4" w:space="0"/>
              <w:left w:val="single" w:color="auto" w:sz="4" w:space="0"/>
              <w:bottom w:val="double" w:color="auto" w:sz="4" w:space="0"/>
              <w:right w:val="double" w:color="auto" w:sz="4" w:space="0"/>
            </w:tcBorders>
            <w:vAlign w:val="center"/>
          </w:tcPr>
          <w:p>
            <w:pPr>
              <w:spacing w:line="276" w:lineRule="auto"/>
              <w:ind w:left="-48" w:leftChars="-23" w:right="-65" w:rightChars="-31"/>
              <w:jc w:val="left"/>
              <w:rPr>
                <w:rFonts w:ascii="宋体" w:hAnsi="宋体" w:eastAsia="宋体" w:cs="Times New Roman"/>
                <w:color w:val="FF0000"/>
                <w:sz w:val="24"/>
              </w:rPr>
            </w:pPr>
            <w:r>
              <w:rPr>
                <w:rFonts w:hint="eastAsia" w:ascii="Times New Roman" w:hAnsi="宋体" w:eastAsia="宋体" w:cs="Times New Roman"/>
                <w:color w:val="FF0000"/>
                <w:sz w:val="24"/>
                <w:szCs w:val="24"/>
              </w:rPr>
              <w:t>小型和微型企业、监狱企业、残疾人福利性单位价格扣除</w:t>
            </w:r>
            <w:r>
              <w:rPr>
                <w:rFonts w:hint="eastAsia" w:ascii="宋体" w:hAnsi="宋体" w:eastAsia="宋体" w:cs="Times New Roman"/>
                <w:color w:val="FF0000"/>
                <w:sz w:val="24"/>
              </w:rPr>
              <w:t>合计（</w:t>
            </w:r>
            <w:r>
              <w:rPr>
                <w:rFonts w:hint="eastAsia" w:ascii="宋体" w:hAnsi="宋体" w:eastAsia="宋体" w:cs="宋体"/>
                <w:color w:val="FF0000"/>
                <w:kern w:val="0"/>
                <w:sz w:val="24"/>
                <w:szCs w:val="24"/>
              </w:rPr>
              <w:t>大写</w:t>
            </w:r>
            <w:r>
              <w:rPr>
                <w:rFonts w:hint="eastAsia" w:ascii="宋体" w:hAnsi="宋体" w:eastAsia="宋体" w:cs="Times New Roman"/>
                <w:color w:val="FF0000"/>
                <w:sz w:val="24"/>
              </w:rPr>
              <w:t>）：</w:t>
            </w:r>
          </w:p>
          <w:p>
            <w:pPr>
              <w:spacing w:line="276" w:lineRule="auto"/>
              <w:ind w:left="-48" w:leftChars="-23" w:right="-65" w:rightChars="-31"/>
              <w:jc w:val="left"/>
              <w:rPr>
                <w:rFonts w:ascii="宋体" w:hAnsi="宋体" w:eastAsia="宋体" w:cs="宋体"/>
                <w:kern w:val="0"/>
                <w:sz w:val="24"/>
                <w:szCs w:val="24"/>
                <w:lang w:val="zh-CN"/>
              </w:rPr>
            </w:pPr>
            <w:r>
              <w:rPr>
                <w:rFonts w:hint="eastAsia" w:ascii="宋体" w:hAnsi="宋体" w:eastAsia="宋体" w:cs="宋体"/>
                <w:color w:val="FF0000"/>
                <w:kern w:val="0"/>
                <w:sz w:val="24"/>
                <w:szCs w:val="24"/>
              </w:rPr>
              <w:t>万仟佰拾元整</w:t>
            </w:r>
            <w:r>
              <w:rPr>
                <w:rFonts w:hint="eastAsia" w:ascii="宋体" w:hAnsi="宋体" w:cs="宋体"/>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hint="eastAsia" w:ascii="宋体" w:hAnsi="宋体"/>
                <w:bCs/>
                <w:color w:val="FF0000"/>
                <w:sz w:val="24"/>
              </w:rPr>
              <w:t>%）</w:t>
            </w: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说明：1．所有价格均用人民币表示，单位为万元。</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2．价格应按照招标文件第二章“投标人须知”中第12条的要求进行报价。</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Times New Roman"/>
          <w:sz w:val="24"/>
          <w:szCs w:val="24"/>
        </w:rPr>
        <w:t>3．为方便开标时唱标，投标人应另附《开标一览表》</w:t>
      </w:r>
      <w:r>
        <w:rPr>
          <w:rFonts w:hint="eastAsia" w:ascii="宋体" w:hAnsi="宋体" w:eastAsia="宋体" w:cs="Times New Roman"/>
          <w:spacing w:val="-6"/>
          <w:kern w:val="0"/>
          <w:sz w:val="24"/>
          <w:szCs w:val="24"/>
        </w:rPr>
        <w:t>装入一个信封单独密封提交</w:t>
      </w:r>
      <w:r>
        <w:rPr>
          <w:rFonts w:hint="eastAsia" w:ascii="宋体" w:hAnsi="宋体" w:eastAsia="宋体" w:cs="Times New Roman"/>
          <w:sz w:val="24"/>
          <w:szCs w:val="24"/>
        </w:rPr>
        <w:t>，并在信封上标明“开标一览表”字样。未单独提交或单独提交的上述资料未按照招标文件规定的格式填写完整并签字、盖章</w:t>
      </w:r>
      <w:r>
        <w:rPr>
          <w:rFonts w:hint="eastAsia" w:ascii="宋体" w:hAnsi="宋体" w:eastAsia="宋体" w:cs="Times New Roman"/>
          <w:sz w:val="24"/>
          <w:szCs w:val="20"/>
          <w:lang w:val="zh-CN"/>
        </w:rPr>
        <w:t>的采购代理机构</w:t>
      </w:r>
      <w:r>
        <w:rPr>
          <w:rFonts w:hint="eastAsia" w:ascii="宋体" w:hAnsi="宋体" w:eastAsia="宋体" w:cs="Times New Roman"/>
          <w:b/>
          <w:sz w:val="24"/>
          <w:szCs w:val="20"/>
          <w:lang w:val="zh-CN"/>
        </w:rPr>
        <w:t>拒绝</w:t>
      </w:r>
      <w:r>
        <w:rPr>
          <w:rFonts w:hint="eastAsia" w:ascii="宋体" w:hAnsi="宋体" w:eastAsia="宋体" w:cs="Times New Roman"/>
          <w:sz w:val="24"/>
          <w:szCs w:val="20"/>
          <w:lang w:val="zh-CN"/>
        </w:rPr>
        <w:t>其投标。</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4. 本表应按要求由投标人法人授权代表签字，并加盖投标单位公章，否则将被视为非响应性投标，将按照</w:t>
      </w:r>
      <w:r>
        <w:rPr>
          <w:rFonts w:hint="eastAsia" w:ascii="宋体" w:hAnsi="宋体" w:eastAsia="宋体" w:cs="Times New Roman"/>
          <w:b/>
          <w:sz w:val="24"/>
          <w:szCs w:val="24"/>
        </w:rPr>
        <w:t>无效投标处理</w:t>
      </w:r>
      <w:r>
        <w:rPr>
          <w:rFonts w:hint="eastAsia" w:ascii="宋体" w:hAnsi="宋体" w:eastAsia="宋体" w:cs="Times New Roman"/>
          <w:sz w:val="24"/>
          <w:szCs w:val="24"/>
        </w:rPr>
        <w:t>。</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投标人（公章）：</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投标人授权代表（签字）：</w:t>
      </w:r>
    </w:p>
    <w:p>
      <w:pPr>
        <w:spacing w:before="100" w:beforeAutospacing="1" w:after="100" w:afterAutospacing="1" w:line="360" w:lineRule="auto"/>
        <w:ind w:firstLine="3316" w:firstLineChars="1382"/>
        <w:rPr>
          <w:rFonts w:ascii="宋体" w:hAnsi="宋体" w:eastAsia="宋体" w:cs="Times New Roman"/>
          <w:b/>
          <w:bCs/>
          <w:sz w:val="24"/>
          <w:szCs w:val="21"/>
          <w:u w:val="single"/>
          <w:lang w:val="zh-CN"/>
        </w:rPr>
      </w:pPr>
      <w:r>
        <w:rPr>
          <w:rFonts w:hint="eastAsia" w:ascii="宋体" w:hAnsi="宋体" w:eastAsia="宋体" w:cs="Times New Roman"/>
          <w:b/>
          <w:bCs/>
          <w:sz w:val="24"/>
          <w:szCs w:val="21"/>
          <w:lang w:val="zh-CN"/>
        </w:rPr>
        <w:t>投标时间：</w:t>
      </w:r>
    </w:p>
    <w:p>
      <w:r>
        <w:br w:type="page"/>
      </w:r>
    </w:p>
    <w:p>
      <w:pPr>
        <w:pStyle w:val="4"/>
        <w:numPr>
          <w:ilvl w:val="0"/>
          <w:numId w:val="61"/>
        </w:numPr>
        <w:spacing w:before="100" w:beforeAutospacing="1" w:afterLines="50" w:line="360" w:lineRule="auto"/>
        <w:ind w:left="1288" w:hanging="1288"/>
        <w:rPr>
          <w:rFonts w:ascii="宋体" w:hAnsi="宋体" w:eastAsia="宋体"/>
        </w:rPr>
      </w:pPr>
      <w:bookmarkStart w:id="188" w:name="_Toc494745323"/>
      <w:bookmarkStart w:id="189" w:name="_Toc494665006"/>
      <w:bookmarkStart w:id="190" w:name="_Toc494702276"/>
      <w:bookmarkStart w:id="191" w:name="_Toc495861555"/>
      <w:bookmarkStart w:id="192" w:name="_Toc494577411"/>
      <w:bookmarkStart w:id="193" w:name="_Toc494665956"/>
      <w:bookmarkStart w:id="194" w:name="_Toc494665559"/>
      <w:bookmarkStart w:id="195" w:name="_Toc494721106"/>
      <w:bookmarkStart w:id="196" w:name="_Toc8342"/>
      <w:r>
        <w:rPr>
          <w:rFonts w:hint="eastAsia" w:ascii="宋体" w:hAnsi="宋体" w:eastAsia="宋体"/>
        </w:rPr>
        <w:t>投标报价明细表</w:t>
      </w:r>
      <w:bookmarkEnd w:id="188"/>
      <w:bookmarkEnd w:id="189"/>
      <w:bookmarkEnd w:id="190"/>
      <w:bookmarkEnd w:id="191"/>
      <w:bookmarkEnd w:id="192"/>
      <w:bookmarkEnd w:id="193"/>
      <w:bookmarkEnd w:id="194"/>
      <w:bookmarkEnd w:id="195"/>
      <w:bookmarkEnd w:id="196"/>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投 标 人：</w:t>
      </w:r>
    </w:p>
    <w:p>
      <w:pPr>
        <w:spacing w:line="360" w:lineRule="auto"/>
        <w:jc w:val="left"/>
        <w:rPr>
          <w:rFonts w:ascii="宋体" w:hAnsi="宋体" w:eastAsia="宋体" w:cs="Times New Roman"/>
          <w:b/>
          <w:sz w:val="24"/>
          <w:szCs w:val="21"/>
          <w:lang w:val="zh-CN"/>
        </w:rPr>
      </w:pPr>
      <w:r>
        <w:rPr>
          <w:rFonts w:hint="eastAsia" w:ascii="宋体" w:hAnsi="宋体" w:eastAsia="宋体" w:cs="Times New Roman"/>
          <w:b/>
          <w:sz w:val="24"/>
          <w:szCs w:val="21"/>
          <w:lang w:val="zh-CN"/>
        </w:rPr>
        <w:t>项目名称：</w:t>
      </w:r>
    </w:p>
    <w:p>
      <w:pPr>
        <w:spacing w:line="360" w:lineRule="auto"/>
        <w:jc w:val="left"/>
        <w:rPr>
          <w:rFonts w:ascii="宋体" w:hAnsi="宋体" w:eastAsia="宋体" w:cs="Times New Roman"/>
          <w:b/>
          <w:sz w:val="24"/>
          <w:szCs w:val="21"/>
          <w:u w:val="single"/>
          <w:lang w:val="zh-CN"/>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序号</w:t>
            </w:r>
          </w:p>
        </w:tc>
        <w:tc>
          <w:tcPr>
            <w:tcW w:w="2611"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名称</w:t>
            </w:r>
          </w:p>
        </w:tc>
        <w:tc>
          <w:tcPr>
            <w:tcW w:w="1134" w:type="dxa"/>
            <w:shd w:val="clear" w:color="auto" w:fill="D8D8D8" w:themeFill="background1" w:themeFillShade="D9"/>
            <w:vAlign w:val="center"/>
          </w:tcPr>
          <w:p>
            <w:pPr>
              <w:ind w:left="-48" w:leftChars="-23" w:right="-65" w:rightChars="-31"/>
              <w:jc w:val="center"/>
              <w:rPr>
                <w:rFonts w:ascii="宋体" w:hAnsi="宋体" w:cs="宋体"/>
                <w:color w:val="0D0D0D"/>
                <w:kern w:val="0"/>
                <w:sz w:val="24"/>
              </w:rPr>
            </w:pPr>
            <w:r>
              <w:rPr>
                <w:rFonts w:hint="eastAsia" w:ascii="宋体" w:hAnsi="宋体"/>
                <w:color w:val="0D0D0D" w:themeColor="text1" w:themeTint="F2"/>
                <w:sz w:val="24"/>
                <w14:textFill>
                  <w14:solidFill>
                    <w14:schemeClr w14:val="tx1">
                      <w14:lumMod w14:val="95000"/>
                      <w14:lumOff w14:val="5000"/>
                    </w14:schemeClr>
                  </w14:solidFill>
                </w14:textFill>
              </w:rPr>
              <w:t>品牌型号规格</w:t>
            </w:r>
          </w:p>
        </w:tc>
        <w:tc>
          <w:tcPr>
            <w:tcW w:w="800"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1676" w:type="dxa"/>
            <w:shd w:val="clear" w:color="auto" w:fill="D8D8D8" w:themeFill="background1" w:themeFillShade="D9"/>
            <w:vAlign w:val="center"/>
          </w:tcPr>
          <w:p>
            <w:pPr>
              <w:spacing w:line="360" w:lineRule="auto"/>
              <w:ind w:left="-48" w:leftChars="-23" w:right="-65" w:rightChars="-31"/>
              <w:jc w:val="center"/>
              <w:rPr>
                <w:rFonts w:ascii="宋体" w:hAnsi="宋体" w:cs="宋体"/>
                <w:color w:val="0D0D0D"/>
                <w:kern w:val="0"/>
                <w:sz w:val="24"/>
              </w:rPr>
            </w:pPr>
            <w:r>
              <w:rPr>
                <w:rFonts w:hint="eastAsia" w:ascii="宋体" w:hAnsi="宋体" w:cs="宋体"/>
                <w:color w:val="0D0D0D"/>
                <w:kern w:val="0"/>
                <w:sz w:val="24"/>
              </w:rPr>
              <w:t>制造商名称</w:t>
            </w:r>
          </w:p>
        </w:tc>
        <w:tc>
          <w:tcPr>
            <w:tcW w:w="1316"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单价</w:t>
            </w:r>
          </w:p>
        </w:tc>
        <w:tc>
          <w:tcPr>
            <w:tcW w:w="1357" w:type="dxa"/>
            <w:shd w:val="clear" w:color="auto" w:fill="D8D8D8" w:themeFill="background1" w:themeFillShade="D9"/>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375" w:rightChars="-179"/>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numPr>
                <w:ilvl w:val="0"/>
                <w:numId w:val="64"/>
              </w:numPr>
              <w:tabs>
                <w:tab w:val="left" w:pos="82"/>
              </w:tabs>
              <w:adjustRightInd w:val="0"/>
              <w:snapToGrid w:val="0"/>
              <w:jc w:val="center"/>
              <w:rPr>
                <w:rFonts w:ascii="宋体" w:hAnsi="宋体"/>
                <w:sz w:val="24"/>
              </w:rPr>
            </w:pPr>
          </w:p>
        </w:tc>
        <w:tc>
          <w:tcPr>
            <w:tcW w:w="2611" w:type="dxa"/>
            <w:shd w:val="clear" w:color="auto" w:fill="auto"/>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货物7（工程或服务）</w:t>
            </w: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shd w:val="clear" w:color="auto" w:fill="auto"/>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11"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134"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800"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676"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c>
          <w:tcPr>
            <w:tcW w:w="1316" w:type="dxa"/>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c>
          <w:tcPr>
            <w:tcW w:w="1357" w:type="dxa"/>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shd w:val="clear" w:color="auto" w:fill="auto"/>
            <w:vAlign w:val="center"/>
          </w:tcPr>
          <w:p>
            <w:pPr>
              <w:spacing w:line="240" w:lineRule="atLeast"/>
              <w:ind w:left="-48" w:leftChars="-23" w:right="-65" w:rightChars="-31"/>
              <w:jc w:val="center"/>
              <w:rPr>
                <w:rFonts w:ascii="宋体" w:hAnsi="宋体" w:eastAsia="宋体" w:cs="宋体"/>
                <w:color w:val="0D0D0D"/>
                <w:kern w:val="0"/>
                <w:sz w:val="24"/>
                <w:szCs w:val="24"/>
              </w:rPr>
            </w:pPr>
            <w:r>
              <w:rPr>
                <w:rFonts w:hint="eastAsia" w:ascii="宋体" w:hAnsi="宋体" w:eastAsia="宋体" w:cs="宋体"/>
                <w:color w:val="0D0D0D"/>
                <w:kern w:val="0"/>
                <w:sz w:val="24"/>
                <w:szCs w:val="24"/>
              </w:rPr>
              <w:t>合计</w:t>
            </w:r>
          </w:p>
        </w:tc>
        <w:tc>
          <w:tcPr>
            <w:tcW w:w="2673" w:type="dxa"/>
            <w:gridSpan w:val="2"/>
            <w:shd w:val="clear" w:color="auto" w:fill="auto"/>
            <w:vAlign w:val="center"/>
          </w:tcPr>
          <w:p>
            <w:pPr>
              <w:spacing w:line="240" w:lineRule="atLeast"/>
              <w:ind w:left="-48" w:leftChars="-23" w:right="-65" w:rightChars="-31"/>
              <w:jc w:val="left"/>
              <w:rPr>
                <w:rFonts w:ascii="宋体" w:hAnsi="宋体" w:eastAsia="宋体" w:cs="宋体"/>
                <w:color w:val="0D0D0D"/>
                <w:kern w:val="0"/>
                <w:sz w:val="24"/>
                <w:szCs w:val="24"/>
              </w:rPr>
            </w:pPr>
          </w:p>
        </w:tc>
      </w:tr>
    </w:tbl>
    <w:p>
      <w:pPr>
        <w:spacing w:line="360" w:lineRule="auto"/>
        <w:ind w:left="1049" w:hanging="1048" w:hangingChars="437"/>
        <w:jc w:val="left"/>
        <w:rPr>
          <w:rFonts w:ascii="宋体" w:hAnsi="宋体"/>
          <w:sz w:val="24"/>
        </w:rPr>
      </w:pPr>
      <w:r>
        <w:rPr>
          <w:rFonts w:hint="eastAsia" w:ascii="宋体" w:hAnsi="宋体"/>
          <w:sz w:val="24"/>
        </w:rPr>
        <w:t>说明：1．所有价格均用人民币表示，单位为元。</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2．报价明细表合计应与《开标一览表》中的投标总报价一致。</w:t>
      </w:r>
    </w:p>
    <w:p>
      <w:pPr>
        <w:spacing w:line="360" w:lineRule="auto"/>
        <w:ind w:left="1061" w:leftChars="339" w:hanging="350" w:hangingChars="146"/>
        <w:jc w:val="left"/>
        <w:rPr>
          <w:rFonts w:ascii="宋体" w:hAnsi="宋体"/>
          <w:color w:val="0D0D0D"/>
          <w:sz w:val="24"/>
        </w:rPr>
      </w:pPr>
      <w:r>
        <w:rPr>
          <w:rFonts w:hint="eastAsia" w:ascii="宋体" w:hAnsi="宋体"/>
          <w:color w:val="0D0D0D"/>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line="360" w:lineRule="auto"/>
        <w:ind w:left="950" w:hanging="950" w:hangingChars="396"/>
        <w:jc w:val="left"/>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1"/>
        </w:numPr>
        <w:spacing w:before="100" w:beforeAutospacing="1" w:afterLines="50" w:line="360" w:lineRule="auto"/>
        <w:ind w:left="1288" w:hanging="1288"/>
        <w:rPr>
          <w:rFonts w:ascii="宋体" w:hAnsi="宋体" w:eastAsia="宋体"/>
          <w:sz w:val="31"/>
          <w:szCs w:val="31"/>
        </w:rPr>
      </w:pPr>
      <w:bookmarkStart w:id="197" w:name="_Toc494665007"/>
      <w:bookmarkStart w:id="198" w:name="_Toc494721107"/>
      <w:bookmarkStart w:id="199" w:name="_Toc494665560"/>
      <w:bookmarkStart w:id="200" w:name="_Toc494745324"/>
      <w:bookmarkStart w:id="201" w:name="_Toc494702277"/>
      <w:bookmarkStart w:id="202" w:name="_Toc494577412"/>
      <w:bookmarkStart w:id="203" w:name="_Toc495861556"/>
      <w:bookmarkStart w:id="204" w:name="_Toc494665957"/>
      <w:bookmarkStart w:id="205" w:name="_Toc18463"/>
      <w:r>
        <w:rPr>
          <w:rFonts w:hint="eastAsia" w:ascii="宋体" w:hAnsi="宋体" w:eastAsia="宋体"/>
          <w:sz w:val="31"/>
          <w:szCs w:val="31"/>
        </w:rPr>
        <w:t>小型和微型企业、监狱企业、残疾人福利性单位货物汇总表</w:t>
      </w:r>
      <w:bookmarkEnd w:id="197"/>
      <w:bookmarkEnd w:id="198"/>
      <w:bookmarkEnd w:id="199"/>
      <w:bookmarkEnd w:id="200"/>
      <w:bookmarkEnd w:id="201"/>
      <w:bookmarkEnd w:id="202"/>
      <w:bookmarkEnd w:id="203"/>
      <w:bookmarkEnd w:id="204"/>
      <w:bookmarkEnd w:id="205"/>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序号</w:t>
            </w:r>
          </w:p>
        </w:tc>
        <w:tc>
          <w:tcPr>
            <w:tcW w:w="1552"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制造商名称</w:t>
            </w:r>
          </w:p>
        </w:tc>
        <w:tc>
          <w:tcPr>
            <w:tcW w:w="156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货物名称</w:t>
            </w:r>
          </w:p>
        </w:tc>
        <w:tc>
          <w:tcPr>
            <w:tcW w:w="1133"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规格型号</w:t>
            </w:r>
          </w:p>
        </w:tc>
        <w:tc>
          <w:tcPr>
            <w:tcW w:w="84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数量</w:t>
            </w:r>
          </w:p>
        </w:tc>
        <w:tc>
          <w:tcPr>
            <w:tcW w:w="1100"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单价</w:t>
            </w:r>
          </w:p>
        </w:tc>
        <w:tc>
          <w:tcPr>
            <w:tcW w:w="1134"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分项</w:t>
            </w:r>
          </w:p>
          <w:p>
            <w:pPr>
              <w:adjustRightInd w:val="0"/>
              <w:snapToGrid w:val="0"/>
              <w:ind w:left="-88" w:leftChars="-42"/>
              <w:jc w:val="center"/>
              <w:rPr>
                <w:rFonts w:ascii="宋体" w:hAnsi="宋体"/>
                <w:sz w:val="24"/>
              </w:rPr>
            </w:pPr>
            <w:r>
              <w:rPr>
                <w:rFonts w:hint="eastAsia" w:ascii="宋体" w:hAnsi="宋体"/>
                <w:sz w:val="24"/>
              </w:rPr>
              <w:t>合计</w:t>
            </w:r>
          </w:p>
        </w:tc>
        <w:tc>
          <w:tcPr>
            <w:tcW w:w="1468" w:type="dxa"/>
            <w:shd w:val="clear" w:color="auto" w:fill="F1F1F1" w:themeFill="background1" w:themeFillShade="F2"/>
            <w:vAlign w:val="center"/>
          </w:tcPr>
          <w:p>
            <w:pPr>
              <w:adjustRightInd w:val="0"/>
              <w:snapToGrid w:val="0"/>
              <w:ind w:left="-88" w:leftChars="-42"/>
              <w:jc w:val="center"/>
              <w:rPr>
                <w:rFonts w:ascii="宋体" w:hAnsi="宋体"/>
                <w:sz w:val="24"/>
              </w:rPr>
            </w:pPr>
            <w:r>
              <w:rPr>
                <w:rFonts w:hint="eastAsia" w:ascii="宋体" w:hAnsi="宋体"/>
                <w:sz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1</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2</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3</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4</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5</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6</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7</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r>
              <w:rPr>
                <w:rFonts w:hint="eastAsia" w:ascii="宋体" w:hAnsi="宋体" w:cs="宋体"/>
                <w:color w:val="0D0D0D"/>
                <w:kern w:val="0"/>
                <w:sz w:val="24"/>
              </w:rPr>
              <w:t>…</w:t>
            </w:r>
          </w:p>
        </w:tc>
        <w:tc>
          <w:tcPr>
            <w:tcW w:w="1552" w:type="dxa"/>
          </w:tcPr>
          <w:p>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pPr>
              <w:tabs>
                <w:tab w:val="left" w:pos="0"/>
                <w:tab w:val="left" w:pos="56"/>
              </w:tabs>
              <w:adjustRightInd w:val="0"/>
              <w:snapToGrid w:val="0"/>
              <w:jc w:val="center"/>
              <w:rPr>
                <w:rFonts w:ascii="宋体" w:hAnsi="宋体" w:cs="宋体"/>
                <w:color w:val="0D0D0D"/>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Cs/>
                <w:sz w:val="24"/>
              </w:rPr>
            </w:pPr>
            <w:r>
              <w:rPr>
                <w:rFonts w:hint="eastAsia" w:ascii="宋体" w:hAnsi="宋体"/>
                <w:bCs/>
                <w:sz w:val="24"/>
              </w:rPr>
              <w:t>合计</w:t>
            </w:r>
          </w:p>
        </w:tc>
        <w:tc>
          <w:tcPr>
            <w:tcW w:w="2602" w:type="dxa"/>
            <w:gridSpan w:val="2"/>
            <w:shd w:val="clear" w:color="auto" w:fill="auto"/>
            <w:vAlign w:val="center"/>
          </w:tcPr>
          <w:p>
            <w:pPr>
              <w:spacing w:line="360" w:lineRule="auto"/>
              <w:jc w:val="left"/>
              <w:rPr>
                <w:rFonts w:ascii="宋体" w:hAnsi="宋体"/>
                <w:bCs/>
                <w:sz w:val="24"/>
              </w:rPr>
            </w:pPr>
          </w:p>
        </w:tc>
      </w:tr>
    </w:tbl>
    <w:p>
      <w:pPr>
        <w:spacing w:line="360" w:lineRule="auto"/>
        <w:ind w:left="1049" w:hanging="1048" w:hangingChars="437"/>
        <w:jc w:val="left"/>
        <w:rPr>
          <w:rFonts w:ascii="宋体" w:hAnsi="宋体"/>
          <w:sz w:val="24"/>
        </w:rPr>
      </w:pPr>
      <w:r>
        <w:rPr>
          <w:rFonts w:hint="eastAsia" w:ascii="宋体" w:hAnsi="宋体"/>
          <w:sz w:val="24"/>
        </w:rPr>
        <w:t>说明：1</w:t>
      </w:r>
      <w:r>
        <w:rPr>
          <w:rFonts w:hint="eastAsia" w:ascii="宋体" w:hAnsi="宋体" w:eastAsia="宋体" w:cs="Times New Roman"/>
          <w:sz w:val="24"/>
          <w:szCs w:val="24"/>
        </w:rPr>
        <w:t>．</w:t>
      </w:r>
      <w:r>
        <w:rPr>
          <w:rFonts w:hint="eastAsia" w:ascii="宋体" w:hAnsi="宋体"/>
          <w:sz w:val="24"/>
        </w:rPr>
        <w:t>所有价格均用人民币表示，单位为元。</w:t>
      </w:r>
    </w:p>
    <w:p>
      <w:pPr>
        <w:spacing w:line="360" w:lineRule="auto"/>
        <w:ind w:left="1061" w:leftChars="339" w:hanging="350" w:hangingChars="146"/>
        <w:jc w:val="left"/>
        <w:rPr>
          <w:rFonts w:ascii="宋体" w:hAnsi="宋体"/>
          <w:sz w:val="24"/>
        </w:rPr>
      </w:pPr>
      <w:r>
        <w:rPr>
          <w:rFonts w:hint="eastAsia" w:ascii="宋体" w:hAnsi="宋体"/>
          <w:sz w:val="24"/>
        </w:rPr>
        <w:t>2</w:t>
      </w:r>
      <w:r>
        <w:rPr>
          <w:rFonts w:hint="eastAsia" w:ascii="宋体" w:hAnsi="宋体" w:eastAsia="宋体" w:cs="Times New Roman"/>
          <w:sz w:val="24"/>
          <w:szCs w:val="24"/>
        </w:rPr>
        <w:t>．</w:t>
      </w:r>
      <w:r>
        <w:rPr>
          <w:rFonts w:hint="eastAsia" w:ascii="宋体" w:hAnsi="宋体"/>
          <w:color w:val="0D0D0D"/>
          <w:sz w:val="24"/>
        </w:rPr>
        <w:t>投标人</w:t>
      </w:r>
      <w:r>
        <w:rPr>
          <w:rFonts w:hint="eastAsia" w:ascii="宋体" w:hAnsi="宋体"/>
          <w:sz w:val="24"/>
        </w:rPr>
        <w:t>提供的相关证明文件对应页码填写到上表“投标文件对应的页码”中。</w:t>
      </w:r>
      <w:r>
        <w:rPr>
          <w:rFonts w:hint="eastAsia" w:ascii="宋体" w:hAnsi="宋体" w:cs="Corbel"/>
          <w:sz w:val="24"/>
        </w:rPr>
        <w:t>如未提供页码或内容页码完全不一致的，</w:t>
      </w:r>
      <w:r>
        <w:rPr>
          <w:rFonts w:hint="eastAsia" w:ascii="宋体" w:hAnsi="宋体"/>
          <w:sz w:val="24"/>
        </w:rPr>
        <w:t>导致的后果由投标人自行承担。</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1"/>
        </w:numPr>
        <w:spacing w:before="100" w:beforeAutospacing="1" w:afterLines="50" w:line="360" w:lineRule="auto"/>
        <w:ind w:left="1288" w:hanging="1288"/>
        <w:rPr>
          <w:rFonts w:ascii="宋体" w:hAnsi="宋体" w:eastAsia="宋体"/>
        </w:rPr>
      </w:pPr>
      <w:bookmarkStart w:id="206" w:name="_Toc494665008"/>
      <w:bookmarkStart w:id="207" w:name="_Toc494721108"/>
      <w:bookmarkStart w:id="208" w:name="_Toc494665561"/>
      <w:bookmarkStart w:id="209" w:name="_Toc494665958"/>
      <w:bookmarkStart w:id="210" w:name="_Toc495861557"/>
      <w:bookmarkStart w:id="211" w:name="_Toc494702278"/>
      <w:bookmarkStart w:id="212" w:name="_Toc494745325"/>
      <w:bookmarkStart w:id="213" w:name="_Toc5938"/>
      <w:r>
        <w:rPr>
          <w:rFonts w:hint="eastAsia" w:ascii="宋体" w:hAnsi="宋体" w:eastAsia="宋体"/>
        </w:rPr>
        <w:t>投标货物（工程或服务）清单</w:t>
      </w:r>
      <w:bookmarkEnd w:id="206"/>
      <w:bookmarkEnd w:id="207"/>
      <w:bookmarkEnd w:id="208"/>
      <w:bookmarkEnd w:id="209"/>
      <w:bookmarkEnd w:id="210"/>
      <w:bookmarkEnd w:id="211"/>
      <w:bookmarkEnd w:id="212"/>
      <w:bookmarkEnd w:id="213"/>
    </w:p>
    <w:p>
      <w:pPr>
        <w:adjustRightInd w:val="0"/>
        <w:snapToGrid w:val="0"/>
        <w:spacing w:line="360" w:lineRule="auto"/>
        <w:rPr>
          <w:rFonts w:ascii="宋体" w:hAnsi="宋体"/>
          <w:b/>
          <w:sz w:val="24"/>
        </w:rPr>
      </w:pPr>
      <w:r>
        <w:rPr>
          <w:rFonts w:hint="eastAsia" w:ascii="宋体" w:hAnsi="宋体"/>
          <w:b/>
          <w:sz w:val="24"/>
        </w:rPr>
        <w:t>投 标 人：</w:t>
      </w:r>
    </w:p>
    <w:p>
      <w:pPr>
        <w:adjustRightInd w:val="0"/>
        <w:snapToGrid w:val="0"/>
        <w:spacing w:line="360" w:lineRule="auto"/>
        <w:rPr>
          <w:rFonts w:ascii="宋体" w:hAnsi="宋体"/>
          <w:b/>
          <w:color w:val="FF0000"/>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22"/>
        <w:gridCol w:w="2459"/>
        <w:gridCol w:w="851"/>
        <w:gridCol w:w="25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84" w:rightChars="-40"/>
              <w:jc w:val="center"/>
              <w:rPr>
                <w:rFonts w:ascii="宋体" w:hAnsi="宋体" w:cs="宋体"/>
                <w:color w:val="0D0D0D"/>
                <w:kern w:val="0"/>
                <w:sz w:val="24"/>
              </w:rPr>
            </w:pPr>
            <w:r>
              <w:rPr>
                <w:rFonts w:hint="eastAsia" w:ascii="宋体" w:hAnsi="宋体" w:cs="宋体"/>
                <w:color w:val="0D0D0D"/>
                <w:kern w:val="0"/>
                <w:sz w:val="24"/>
              </w:rPr>
              <w:t>序号</w:t>
            </w:r>
          </w:p>
        </w:tc>
        <w:tc>
          <w:tcPr>
            <w:tcW w:w="272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货物（工程或服务）名称</w:t>
            </w:r>
          </w:p>
        </w:tc>
        <w:tc>
          <w:tcPr>
            <w:tcW w:w="245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数量</w:t>
            </w:r>
          </w:p>
        </w:tc>
        <w:tc>
          <w:tcPr>
            <w:tcW w:w="2593" w:type="dxa"/>
            <w:tcBorders>
              <w:top w:val="single" w:color="auto" w:sz="4" w:space="0"/>
              <w:left w:val="single" w:color="auto" w:sz="4" w:space="0"/>
              <w:bottom w:val="single" w:color="auto" w:sz="4" w:space="0"/>
            </w:tcBorders>
            <w:shd w:val="clear" w:color="auto" w:fill="F1F1F1" w:themeFill="background1" w:themeFillShade="F2"/>
            <w:vAlign w:val="center"/>
          </w:tcPr>
          <w:p>
            <w:pPr>
              <w:spacing w:line="360" w:lineRule="auto"/>
              <w:ind w:left="-23" w:leftChars="-11" w:right="-65" w:rightChars="-31"/>
              <w:jc w:val="center"/>
              <w:rPr>
                <w:rFonts w:ascii="宋体" w:hAnsi="宋体" w:cs="宋体"/>
                <w:color w:val="0D0D0D"/>
                <w:kern w:val="0"/>
                <w:sz w:val="24"/>
              </w:rPr>
            </w:pPr>
            <w:r>
              <w:rPr>
                <w:rFonts w:hint="eastAsia" w:ascii="宋体" w:hAnsi="宋体" w:cs="宋体"/>
                <w:color w:val="0D0D0D"/>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vAlign w:val="center"/>
          </w:tcPr>
          <w:p>
            <w:pPr>
              <w:adjustRightInd w:val="0"/>
              <w:snapToGrid w:val="0"/>
              <w:ind w:left="-88" w:leftChars="-42"/>
              <w:jc w:val="center"/>
              <w:rPr>
                <w:rFonts w:ascii="宋体" w:hAnsi="宋体"/>
                <w:sz w:val="24"/>
              </w:rPr>
            </w:pPr>
            <w:r>
              <w:rPr>
                <w:rFonts w:hint="eastAsia" w:ascii="宋体" w:hAnsi="宋体"/>
                <w:sz w:val="24"/>
              </w:rPr>
              <w:t>1</w:t>
            </w:r>
          </w:p>
        </w:tc>
        <w:tc>
          <w:tcPr>
            <w:tcW w:w="2722" w:type="dxa"/>
            <w:tcBorders>
              <w:top w:val="single" w:color="auto" w:sz="4" w:space="0"/>
            </w:tcBorders>
            <w:vAlign w:val="center"/>
          </w:tcPr>
          <w:p>
            <w:pPr>
              <w:adjustRightInd w:val="0"/>
              <w:snapToGrid w:val="0"/>
              <w:ind w:left="-88" w:leftChars="-42"/>
              <w:jc w:val="center"/>
              <w:rPr>
                <w:rFonts w:ascii="宋体" w:hAnsi="宋体"/>
                <w:sz w:val="24"/>
              </w:rPr>
            </w:pPr>
          </w:p>
        </w:tc>
        <w:tc>
          <w:tcPr>
            <w:tcW w:w="2459" w:type="dxa"/>
            <w:tcBorders>
              <w:top w:val="single" w:color="auto" w:sz="4" w:space="0"/>
            </w:tcBorders>
            <w:vAlign w:val="center"/>
          </w:tcPr>
          <w:p>
            <w:pPr>
              <w:adjustRightInd w:val="0"/>
              <w:snapToGrid w:val="0"/>
              <w:jc w:val="center"/>
              <w:rPr>
                <w:rFonts w:ascii="宋体" w:hAnsi="宋体"/>
                <w:sz w:val="24"/>
              </w:rPr>
            </w:pPr>
          </w:p>
        </w:tc>
        <w:tc>
          <w:tcPr>
            <w:tcW w:w="851" w:type="dxa"/>
            <w:tcBorders>
              <w:top w:val="single" w:color="auto" w:sz="4" w:space="0"/>
            </w:tcBorders>
            <w:vAlign w:val="center"/>
          </w:tcPr>
          <w:p>
            <w:pPr>
              <w:adjustRightInd w:val="0"/>
              <w:snapToGrid w:val="0"/>
              <w:jc w:val="center"/>
              <w:rPr>
                <w:rFonts w:ascii="宋体" w:hAnsi="宋体"/>
                <w:sz w:val="24"/>
              </w:rPr>
            </w:pPr>
          </w:p>
        </w:tc>
        <w:tc>
          <w:tcPr>
            <w:tcW w:w="2593" w:type="dxa"/>
            <w:tcBorders>
              <w:top w:val="single" w:color="auto" w:sz="4"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2</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3</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5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4</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5</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6</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7</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72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593" w:type="dxa"/>
            <w:vAlign w:val="center"/>
          </w:tcPr>
          <w:p>
            <w:pPr>
              <w:adjustRightInd w:val="0"/>
              <w:snapToGrid w:val="0"/>
              <w:jc w:val="center"/>
              <w:rPr>
                <w:rFonts w:ascii="宋体" w:hAnsi="宋体"/>
                <w:sz w:val="24"/>
              </w:rPr>
            </w:pPr>
          </w:p>
        </w:tc>
      </w:tr>
    </w:tbl>
    <w:p>
      <w:pPr>
        <w:spacing w:line="360" w:lineRule="auto"/>
        <w:ind w:left="1078" w:hanging="1077" w:hangingChars="449"/>
        <w:jc w:val="left"/>
        <w:rPr>
          <w:rFonts w:ascii="宋体" w:hAnsi="宋体"/>
          <w:sz w:val="24"/>
        </w:rPr>
      </w:pPr>
      <w:r>
        <w:rPr>
          <w:rFonts w:hint="eastAsia" w:ascii="宋体" w:hAnsi="宋体"/>
          <w:sz w:val="24"/>
        </w:rPr>
        <w:t>说明：1．此表为货物（工程或服务）清单，投标人应提供所投货物（工程或服务）详细的供货（工程或服务）范围，包括主要配件及生产厂家、备品备件等。</w:t>
      </w:r>
    </w:p>
    <w:p>
      <w:pPr>
        <w:spacing w:line="360" w:lineRule="auto"/>
        <w:ind w:left="1061" w:leftChars="339" w:hanging="350" w:hangingChars="146"/>
        <w:jc w:val="left"/>
        <w:rPr>
          <w:rFonts w:ascii="宋体" w:hAnsi="宋体"/>
          <w:sz w:val="24"/>
        </w:rPr>
      </w:pPr>
      <w:r>
        <w:rPr>
          <w:rFonts w:hint="eastAsia" w:ascii="宋体" w:hAnsi="宋体"/>
          <w:sz w:val="24"/>
        </w:rPr>
        <w:t>2．各项货物（工程或服务）详细技术规格、参数及要求性能，应另页描述。</w:t>
      </w: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adjustRightInd w:val="0"/>
        <w:snapToGrid w:val="0"/>
        <w:spacing w:line="360" w:lineRule="auto"/>
        <w:ind w:left="767" w:leftChars="194" w:hanging="360" w:hangingChars="150"/>
        <w:rPr>
          <w:rFonts w:ascii="宋体" w:hAnsi="宋体"/>
          <w:sz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1"/>
        </w:numPr>
        <w:spacing w:before="100" w:beforeAutospacing="1" w:afterLines="50" w:line="360" w:lineRule="auto"/>
        <w:ind w:left="1288" w:hanging="1288"/>
        <w:rPr>
          <w:rFonts w:ascii="宋体" w:hAnsi="宋体" w:eastAsia="宋体"/>
        </w:rPr>
      </w:pPr>
      <w:bookmarkStart w:id="214" w:name="_Toc494665563"/>
      <w:bookmarkStart w:id="215" w:name="_Toc238276247"/>
      <w:bookmarkStart w:id="216" w:name="_Toc236473303"/>
      <w:bookmarkStart w:id="217" w:name="_Toc494745327"/>
      <w:bookmarkStart w:id="218" w:name="_Toc494665960"/>
      <w:bookmarkStart w:id="219" w:name="_Toc494665010"/>
      <w:bookmarkStart w:id="220" w:name="_Toc495861559"/>
      <w:bookmarkStart w:id="221" w:name="_Toc494702280"/>
      <w:bookmarkStart w:id="222" w:name="_Toc494721110"/>
      <w:bookmarkStart w:id="223" w:name="_Toc19041"/>
      <w:r>
        <w:rPr>
          <w:rFonts w:hint="eastAsia" w:ascii="宋体" w:hAnsi="宋体" w:eastAsia="宋体"/>
        </w:rPr>
        <w:t>法定代表人授权书</w:t>
      </w:r>
      <w:bookmarkEnd w:id="214"/>
      <w:bookmarkEnd w:id="215"/>
      <w:bookmarkEnd w:id="216"/>
      <w:bookmarkEnd w:id="217"/>
      <w:bookmarkEnd w:id="218"/>
      <w:bookmarkEnd w:id="219"/>
      <w:bookmarkEnd w:id="220"/>
      <w:bookmarkEnd w:id="221"/>
      <w:bookmarkEnd w:id="222"/>
      <w:bookmarkEnd w:id="223"/>
    </w:p>
    <w:p>
      <w:pPr>
        <w:spacing w:line="480" w:lineRule="auto"/>
        <w:rPr>
          <w:rFonts w:ascii="宋体" w:hAnsi="宋体" w:eastAsia="宋体" w:cs="Times New Roman"/>
          <w:b/>
          <w:sz w:val="24"/>
          <w:szCs w:val="24"/>
        </w:rPr>
      </w:pPr>
      <w:r>
        <w:rPr>
          <w:rFonts w:hint="eastAsia"/>
          <w:b/>
          <w:sz w:val="28"/>
          <w:szCs w:val="28"/>
        </w:rPr>
        <w:t>采购人（或代理公司）</w:t>
      </w:r>
      <w:r>
        <w:rPr>
          <w:rFonts w:hint="eastAsia" w:ascii="宋体" w:hAnsi="宋体" w:cs="Courier New"/>
          <w:b/>
          <w:sz w:val="28"/>
          <w:szCs w:val="28"/>
        </w:rPr>
        <w:t>：</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兹授权</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同志为我单位参加贵方组织的</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Times New Roman" w:hAnsi="宋体" w:eastAsia="宋体" w:cs="Times New Roman"/>
          <w:color w:val="0D0D0D"/>
          <w:sz w:val="24"/>
          <w:szCs w:val="24"/>
        </w:rPr>
        <w:t>项目（项目编号：_____</w:t>
      </w:r>
      <w:r>
        <w:rPr>
          <w:rFonts w:hint="eastAsia" w:ascii="Times New Roman" w:hAnsi="宋体" w:eastAsia="宋体" w:cs="Times New Roman"/>
          <w:sz w:val="24"/>
          <w:szCs w:val="24"/>
        </w:rPr>
        <w:t>_）</w:t>
      </w:r>
      <w:r>
        <w:rPr>
          <w:rFonts w:hint="eastAsia" w:ascii="宋体" w:hAnsi="宋体" w:eastAsia="宋体" w:cs="Times New Roman"/>
          <w:sz w:val="24"/>
          <w:szCs w:val="24"/>
        </w:rPr>
        <w:t>采购活动的投标人授权代表，全权代表我公司处理在</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项目采购活动中的一切事宜。代理期限从</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w:t>
      </w:r>
      <w:r>
        <w:rPr>
          <w:rFonts w:hint="eastAsia" w:ascii="宋体" w:hAnsi="宋体" w:eastAsia="宋体" w:cs="Times New Roman"/>
          <w:sz w:val="24"/>
          <w:szCs w:val="24"/>
        </w:rPr>
        <w:t>日起至</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sz w:val="24"/>
          <w:szCs w:val="24"/>
        </w:rPr>
        <w:t xml:space="preserve">日止。 </w:t>
      </w:r>
    </w:p>
    <w:p>
      <w:pPr>
        <w:spacing w:line="360" w:lineRule="auto"/>
        <w:ind w:firstLine="540" w:firstLineChars="225"/>
        <w:rPr>
          <w:rFonts w:ascii="宋体" w:hAnsi="宋体" w:eastAsia="宋体" w:cs="Times New Roman"/>
          <w:sz w:val="24"/>
          <w:szCs w:val="24"/>
        </w:rPr>
      </w:pPr>
      <w:r>
        <w:rPr>
          <w:rFonts w:hint="eastAsia" w:ascii="宋体" w:hAnsi="宋体" w:eastAsia="宋体" w:cs="Times New Roman"/>
          <w:sz w:val="24"/>
          <w:szCs w:val="24"/>
        </w:rPr>
        <w:t>被授权代表无转委托权。</w:t>
      </w:r>
    </w:p>
    <w:p>
      <w:pPr>
        <w:spacing w:line="360" w:lineRule="auto"/>
        <w:ind w:firstLine="540" w:firstLineChars="225"/>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授权单位（公章）：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法定代表人（签字或盖章）</w:t>
      </w:r>
      <w:r>
        <w:rPr>
          <w:rFonts w:hint="eastAsia" w:hAnsi="宋体"/>
          <w:b/>
          <w:bCs/>
          <w:sz w:val="24"/>
        </w:rPr>
        <w:t>：</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sz w:val="24"/>
          <w:szCs w:val="21"/>
          <w:lang w:val="zh-CN"/>
        </w:rPr>
        <w:t>签发日期：</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年</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月</w:t>
      </w:r>
      <w:r>
        <w:rPr>
          <w:rFonts w:hint="eastAsia" w:ascii="Times New Roman" w:hAnsi="宋体" w:eastAsia="宋体" w:cs="Times New Roman"/>
          <w:color w:val="0D0D0D"/>
          <w:sz w:val="24"/>
          <w:szCs w:val="24"/>
        </w:rPr>
        <w:t>___</w:t>
      </w:r>
      <w:r>
        <w:rPr>
          <w:rFonts w:hint="eastAsia" w:ascii="Times New Roman" w:hAnsi="宋体" w:eastAsia="宋体" w:cs="Times New Roman"/>
          <w:sz w:val="24"/>
          <w:szCs w:val="24"/>
        </w:rPr>
        <w:t>_</w:t>
      </w:r>
      <w:r>
        <w:rPr>
          <w:rFonts w:hint="eastAsia" w:ascii="宋体" w:hAnsi="宋体" w:eastAsia="宋体" w:cs="Times New Roman"/>
          <w:b/>
          <w:sz w:val="24"/>
          <w:szCs w:val="21"/>
          <w:lang w:val="zh-CN"/>
        </w:rPr>
        <w:t>日</w:t>
      </w:r>
    </w:p>
    <w:p>
      <w:pPr>
        <w:spacing w:line="360" w:lineRule="auto"/>
        <w:rPr>
          <w:rFonts w:ascii="宋体" w:hAnsi="宋体" w:eastAsia="宋体" w:cs="Times New Roman"/>
          <w:sz w:val="24"/>
          <w:szCs w:val="24"/>
        </w:rPr>
      </w:pPr>
      <w:r>
        <w:rPr>
          <w:rFonts w:hint="eastAsia" w:ascii="宋体" w:hAnsi="宋体" w:eastAsia="宋体" w:cs="Times New Roman"/>
          <w:sz w:val="24"/>
          <w:szCs w:val="24"/>
        </w:rPr>
        <w:t>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投标人授权代表单位名称：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职务： 性别：</w:t>
      </w:r>
    </w:p>
    <w:p>
      <w:pPr>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身份证号码：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p>
    <w:tbl>
      <w:tblPr>
        <w:tblStyle w:val="22"/>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eastAsia="宋体" w:cs="Times New Roman"/>
                <w:sz w:val="24"/>
                <w:szCs w:val="24"/>
              </w:rPr>
            </w:pPr>
            <w:r>
              <w:rPr>
                <w:rFonts w:hint="eastAsia" w:ascii="宋体" w:hAnsi="宋体" w:eastAsia="宋体" w:cs="Times New Roman"/>
                <w:sz w:val="24"/>
                <w:szCs w:val="24"/>
              </w:rPr>
              <w:t>粘贴被授权人身份证（清晰</w:t>
            </w:r>
            <w:r>
              <w:rPr>
                <w:rFonts w:hint="eastAsia" w:ascii="宋体" w:hAnsi="宋体" w:eastAsia="宋体" w:cs="Times New Roman"/>
                <w:sz w:val="24"/>
                <w:szCs w:val="24"/>
                <w:lang w:eastAsia="zh-CN"/>
              </w:rPr>
              <w:t>影</w:t>
            </w:r>
            <w:r>
              <w:rPr>
                <w:rFonts w:hint="eastAsia" w:ascii="宋体" w:hAnsi="宋体" w:eastAsia="宋体" w:cs="Times New Roman"/>
                <w:sz w:val="24"/>
                <w:szCs w:val="24"/>
              </w:rPr>
              <w:t>印件）</w:t>
            </w:r>
          </w:p>
        </w:tc>
      </w:tr>
    </w:tbl>
    <w:p>
      <w:r>
        <w:br w:type="page"/>
      </w:r>
    </w:p>
    <w:p>
      <w:pPr>
        <w:pStyle w:val="4"/>
        <w:numPr>
          <w:ilvl w:val="0"/>
          <w:numId w:val="61"/>
        </w:numPr>
        <w:spacing w:before="100" w:beforeAutospacing="1" w:afterLines="50" w:line="360" w:lineRule="auto"/>
        <w:ind w:left="1610" w:hanging="1610"/>
        <w:rPr>
          <w:rFonts w:ascii="宋体" w:hAnsi="宋体" w:eastAsia="宋体"/>
        </w:rPr>
      </w:pPr>
      <w:bookmarkStart w:id="224" w:name="_Toc495861560"/>
      <w:bookmarkStart w:id="225" w:name="_Toc494665011"/>
      <w:bookmarkStart w:id="226" w:name="_Toc494721111"/>
      <w:bookmarkStart w:id="227" w:name="_Toc494745328"/>
      <w:bookmarkStart w:id="228" w:name="_Toc494702281"/>
      <w:bookmarkStart w:id="229" w:name="_Toc494665961"/>
      <w:bookmarkStart w:id="230" w:name="_Toc238276248"/>
      <w:bookmarkStart w:id="231" w:name="_Toc494665564"/>
      <w:bookmarkStart w:id="232" w:name="_Toc236473304"/>
      <w:bookmarkStart w:id="233" w:name="_Toc15182"/>
      <w:r>
        <w:rPr>
          <w:rFonts w:hint="eastAsia" w:ascii="宋体" w:hAnsi="宋体" w:eastAsia="宋体"/>
        </w:rPr>
        <w:t>投标人的资格声明</w:t>
      </w:r>
      <w:bookmarkEnd w:id="224"/>
      <w:bookmarkEnd w:id="225"/>
      <w:bookmarkEnd w:id="226"/>
      <w:bookmarkEnd w:id="227"/>
      <w:bookmarkEnd w:id="228"/>
      <w:bookmarkEnd w:id="229"/>
      <w:bookmarkEnd w:id="230"/>
      <w:bookmarkEnd w:id="231"/>
      <w:bookmarkEnd w:id="232"/>
      <w:bookmarkEnd w:id="233"/>
    </w:p>
    <w:p>
      <w:pPr>
        <w:spacing w:line="360" w:lineRule="auto"/>
        <w:ind w:left="1078" w:hanging="1077" w:hangingChars="449"/>
        <w:jc w:val="left"/>
        <w:rPr>
          <w:rFonts w:ascii="宋体" w:hAnsi="宋体" w:eastAsia="宋体" w:cs="Times New Roman"/>
          <w:sz w:val="24"/>
          <w:szCs w:val="24"/>
        </w:rPr>
      </w:pPr>
      <w:r>
        <w:rPr>
          <w:rFonts w:hint="eastAsia" w:ascii="宋体" w:hAnsi="宋体" w:eastAsia="宋体" w:cs="Times New Roman"/>
          <w:sz w:val="24"/>
          <w:szCs w:val="24"/>
        </w:rPr>
        <w:t>1．名称及基本情况：</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（1）投标人：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（2）地址：     邮编：</w:t>
      </w:r>
    </w:p>
    <w:p>
      <w:pPr>
        <w:spacing w:line="360" w:lineRule="exact"/>
        <w:ind w:firstLine="840" w:firstLineChars="350"/>
        <w:rPr>
          <w:rFonts w:ascii="宋体" w:hAnsi="宋体" w:eastAsia="宋体" w:cs="Times New Roman"/>
          <w:sz w:val="24"/>
          <w:szCs w:val="24"/>
          <w:u w:val="single"/>
        </w:rPr>
      </w:pPr>
      <w:r>
        <w:rPr>
          <w:rFonts w:hint="eastAsia" w:ascii="宋体" w:hAnsi="宋体" w:eastAsia="宋体" w:cs="Times New Roman"/>
          <w:sz w:val="24"/>
          <w:szCs w:val="24"/>
        </w:rPr>
        <w:t>电话：     传真：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（3）成立或注册日期：</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（4）单位性质：</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（5）法定代表人或主要负责人：</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（6）员工人数：</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（7）注册资本：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（8）实收资本：</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（9）上年末资产负债表：</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1）固定资产</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 xml:space="preserve">原   值：    净   值： </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2）流动资金：</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3）长期负债：</w:t>
      </w:r>
    </w:p>
    <w:p>
      <w:pPr>
        <w:spacing w:line="360" w:lineRule="exact"/>
        <w:ind w:firstLine="727" w:firstLineChars="303"/>
        <w:rPr>
          <w:rFonts w:ascii="宋体" w:hAnsi="宋体" w:eastAsia="宋体" w:cs="Times New Roman"/>
          <w:sz w:val="24"/>
          <w:szCs w:val="24"/>
        </w:rPr>
      </w:pPr>
      <w:r>
        <w:rPr>
          <w:rFonts w:hint="eastAsia" w:ascii="宋体" w:hAnsi="宋体" w:eastAsia="宋体" w:cs="Times New Roman"/>
          <w:sz w:val="24"/>
          <w:szCs w:val="24"/>
        </w:rPr>
        <w:t>4）短期负债：</w:t>
      </w:r>
    </w:p>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2．与投标货物的生产、销售和服务有关的情况： </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（1）关于制造投标货物的设施及其它情况：</w:t>
      </w:r>
    </w:p>
    <w:tbl>
      <w:tblPr>
        <w:tblStyle w:val="22"/>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员工人数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（3）销售、服务网点分布（可另行附表）：</w:t>
      </w:r>
    </w:p>
    <w:tbl>
      <w:tblPr>
        <w:tblStyle w:val="22"/>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r>
              <w:rPr>
                <w:rFonts w:hint="eastAsia" w:ascii="宋体" w:hAnsi="宋体" w:eastAsia="宋体" w:cs="Times New Roman"/>
                <w:sz w:val="24"/>
                <w:szCs w:val="24"/>
              </w:rPr>
              <w:t>内部等级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 w:hRule="atLeast"/>
        </w:trPr>
        <w:tc>
          <w:tcPr>
            <w:tcW w:w="3647"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eastAsia="宋体" w:cs="Times New Roman"/>
                <w:sz w:val="24"/>
                <w:szCs w:val="24"/>
              </w:rPr>
            </w:pPr>
          </w:p>
        </w:tc>
      </w:tr>
    </w:tbl>
    <w:p>
      <w:pPr>
        <w:spacing w:line="360" w:lineRule="exact"/>
        <w:rPr>
          <w:rFonts w:ascii="宋体" w:hAnsi="宋体" w:eastAsia="宋体" w:cs="Times New Roman"/>
          <w:sz w:val="24"/>
          <w:szCs w:val="24"/>
        </w:rPr>
      </w:pPr>
      <w:r>
        <w:rPr>
          <w:rFonts w:hint="eastAsia" w:ascii="宋体" w:hAnsi="宋体" w:eastAsia="宋体" w:cs="Times New Roman"/>
          <w:sz w:val="24"/>
          <w:szCs w:val="24"/>
        </w:rPr>
        <w:t xml:space="preserve">3．投标人认为需要声明的其它情况：                         </w:t>
      </w:r>
    </w:p>
    <w:p>
      <w:pPr>
        <w:spacing w:line="360" w:lineRule="exact"/>
        <w:ind w:firstLine="475" w:firstLineChars="198"/>
        <w:rPr>
          <w:rFonts w:ascii="宋体" w:hAnsi="宋体" w:eastAsia="宋体" w:cs="Times New Roman"/>
          <w:sz w:val="24"/>
          <w:szCs w:val="24"/>
        </w:rPr>
      </w:pPr>
      <w:r>
        <w:rPr>
          <w:rFonts w:hint="eastAsia" w:ascii="宋体" w:hAnsi="宋体" w:eastAsia="宋体" w:cs="Times New Roman"/>
          <w:sz w:val="24"/>
          <w:szCs w:val="24"/>
        </w:rPr>
        <w:t xml:space="preserve">兹证明上述声明是真实的、正确，并提供了全部能提供的资料和数据，同意按照采购代理机构要求出示有关证明文件。                      </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投标人</w:t>
      </w:r>
      <w:r>
        <w:rPr>
          <w:rFonts w:hint="eastAsia" w:ascii="Times New Roman" w:hAnsi="宋体" w:eastAsia="宋体" w:cs="Times New Roman"/>
          <w:b/>
          <w:sz w:val="24"/>
          <w:szCs w:val="24"/>
        </w:rPr>
        <w:t>（公章）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Times New Roman" w:hAnsi="宋体" w:eastAsia="宋体" w:cs="Times New Roman"/>
          <w:b/>
          <w:sz w:val="24"/>
          <w:szCs w:val="24"/>
        </w:rPr>
        <w:t>法定代表人（签字或盖章）</w:t>
      </w:r>
      <w:r>
        <w:rPr>
          <w:rFonts w:hint="eastAsia" w:ascii="宋体" w:hAnsi="宋体" w:eastAsia="宋体" w:cs="Times New Roman"/>
          <w:b/>
          <w:sz w:val="24"/>
          <w:szCs w:val="24"/>
        </w:rPr>
        <w:t>：</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电    话：</w:t>
      </w:r>
    </w:p>
    <w:p>
      <w:pPr>
        <w:spacing w:line="360" w:lineRule="auto"/>
        <w:ind w:left="504" w:leftChars="240"/>
        <w:rPr>
          <w:rFonts w:ascii="宋体" w:hAnsi="宋体" w:eastAsia="宋体" w:cs="Times New Roman"/>
          <w:b/>
          <w:sz w:val="24"/>
          <w:szCs w:val="24"/>
          <w:u w:val="single"/>
        </w:rPr>
      </w:pPr>
      <w:r>
        <w:rPr>
          <w:rFonts w:hint="eastAsia" w:ascii="宋体" w:hAnsi="宋体" w:eastAsia="宋体" w:cs="Times New Roman"/>
          <w:b/>
          <w:sz w:val="24"/>
          <w:szCs w:val="24"/>
        </w:rPr>
        <w:t>传    真：</w:t>
      </w:r>
    </w:p>
    <w:p>
      <w:pPr>
        <w:spacing w:line="360" w:lineRule="auto"/>
        <w:ind w:left="504" w:leftChars="240"/>
        <w:rPr>
          <w:rFonts w:ascii="宋体" w:hAnsi="宋体" w:eastAsia="宋体" w:cs="Times New Roman"/>
          <w:b/>
          <w:sz w:val="24"/>
          <w:szCs w:val="24"/>
        </w:rPr>
      </w:pPr>
      <w:r>
        <w:rPr>
          <w:rFonts w:hint="eastAsia" w:ascii="宋体" w:hAnsi="宋体" w:eastAsia="宋体" w:cs="Times New Roman"/>
          <w:b/>
          <w:sz w:val="24"/>
          <w:szCs w:val="24"/>
        </w:rPr>
        <w:t>日    期：年月 日</w:t>
      </w:r>
    </w:p>
    <w:p>
      <w:pPr>
        <w:pStyle w:val="4"/>
        <w:numPr>
          <w:ilvl w:val="0"/>
          <w:numId w:val="61"/>
        </w:numPr>
        <w:spacing w:before="100" w:beforeAutospacing="1" w:afterLines="50" w:line="360" w:lineRule="auto"/>
        <w:ind w:left="1610" w:hanging="1610"/>
        <w:rPr>
          <w:rFonts w:ascii="宋体" w:hAnsi="宋体" w:eastAsia="宋体"/>
        </w:rPr>
      </w:pPr>
      <w:bookmarkStart w:id="234" w:name="_Toc494745329"/>
      <w:bookmarkStart w:id="235" w:name="_Toc494665012"/>
      <w:bookmarkStart w:id="236" w:name="_Toc495861561"/>
      <w:bookmarkStart w:id="237" w:name="_Toc494665565"/>
      <w:bookmarkStart w:id="238" w:name="_Toc494665962"/>
      <w:bookmarkStart w:id="239" w:name="_Toc494721112"/>
      <w:bookmarkStart w:id="240" w:name="_Toc494702282"/>
      <w:bookmarkStart w:id="241" w:name="_Toc17927"/>
      <w:r>
        <w:rPr>
          <w:rFonts w:hint="eastAsia" w:ascii="宋体" w:hAnsi="宋体" w:eastAsia="宋体"/>
        </w:rPr>
        <w:t>项目负责人、技术负责人简历表</w:t>
      </w:r>
      <w:bookmarkEnd w:id="234"/>
      <w:bookmarkEnd w:id="235"/>
      <w:bookmarkEnd w:id="236"/>
      <w:bookmarkEnd w:id="237"/>
      <w:bookmarkEnd w:id="238"/>
      <w:bookmarkEnd w:id="239"/>
      <w:bookmarkEnd w:id="240"/>
      <w:bookmarkEnd w:id="24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姓    名</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eastAsia="宋体" w:cs="Times New Roman"/>
                <w:kern w:val="0"/>
                <w:sz w:val="24"/>
                <w:szCs w:val="28"/>
              </w:rPr>
            </w:pPr>
            <w:r>
              <w:rPr>
                <w:rFonts w:hint="eastAsia" w:ascii="宋体" w:hAnsi="宋体" w:eastAsia="宋体" w:cs="Times New Roman"/>
                <w:kern w:val="0"/>
                <w:sz w:val="24"/>
                <w:szCs w:val="28"/>
              </w:rPr>
              <w:t>性    别</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年    龄</w:t>
            </w:r>
          </w:p>
        </w:tc>
        <w:tc>
          <w:tcPr>
            <w:tcW w:w="1530" w:type="dxa"/>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职    务</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eastAsia="宋体" w:cs="Times New Roman"/>
                <w:kern w:val="0"/>
                <w:sz w:val="24"/>
                <w:szCs w:val="28"/>
              </w:rPr>
            </w:pPr>
            <w:r>
              <w:rPr>
                <w:rFonts w:hint="eastAsia" w:ascii="宋体" w:hAnsi="宋体" w:eastAsia="宋体" w:cs="Times New Roman"/>
                <w:kern w:val="0"/>
                <w:sz w:val="24"/>
                <w:szCs w:val="28"/>
              </w:rPr>
              <w:t>职    称</w:t>
            </w:r>
          </w:p>
        </w:tc>
        <w:tc>
          <w:tcPr>
            <w:tcW w:w="1530" w:type="dxa"/>
            <w:gridSpan w:val="2"/>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r>
              <w:rPr>
                <w:rFonts w:hint="eastAsia" w:ascii="宋体" w:hAnsi="宋体" w:eastAsia="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参加工作</w:t>
            </w:r>
          </w:p>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eastAsia="宋体" w:cs="Times New Roman"/>
                <w:kern w:val="0"/>
                <w:sz w:val="24"/>
                <w:szCs w:val="28"/>
              </w:rPr>
            </w:pPr>
            <w:r>
              <w:rPr>
                <w:rFonts w:hint="eastAsia" w:ascii="宋体" w:hAnsi="宋体" w:eastAsia="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5" w:rightChars="136"/>
              <w:jc w:val="center"/>
              <w:rPr>
                <w:rFonts w:ascii="宋体" w:hAnsi="宋体" w:eastAsia="宋体" w:cs="Times New Roman"/>
                <w:kern w:val="0"/>
                <w:sz w:val="24"/>
                <w:szCs w:val="28"/>
              </w:rPr>
            </w:pPr>
            <w:r>
              <w:rPr>
                <w:rFonts w:hint="eastAsia" w:ascii="宋体" w:hAnsi="宋体" w:eastAsia="宋体" w:cs="Times New Roman"/>
                <w:kern w:val="0"/>
                <w:sz w:val="24"/>
                <w:szCs w:val="28"/>
              </w:rPr>
              <w:t>类似项目经验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项目单位</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项目名称</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项目内容</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项目金额</w:t>
            </w: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r>
              <w:rPr>
                <w:rFonts w:hint="eastAsia" w:ascii="宋体" w:hAnsi="宋体" w:eastAsia="宋体" w:cs="Times New Roman"/>
                <w:kern w:val="0"/>
                <w:sz w:val="24"/>
                <w:szCs w:val="28"/>
              </w:rPr>
              <w:t>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c>
          <w:tcPr>
            <w:tcW w:w="1836" w:type="dxa"/>
            <w:gridSpan w:val="2"/>
            <w:vAlign w:val="center"/>
          </w:tcPr>
          <w:p>
            <w:pPr>
              <w:autoSpaceDE w:val="0"/>
              <w:autoSpaceDN w:val="0"/>
              <w:adjustRightInd w:val="0"/>
              <w:spacing w:line="360" w:lineRule="auto"/>
              <w:ind w:right="-79" w:rightChars="-38"/>
              <w:jc w:val="center"/>
              <w:rPr>
                <w:rFonts w:ascii="宋体" w:hAnsi="宋体" w:eastAsia="宋体" w:cs="Times New Roman"/>
                <w:kern w:val="0"/>
                <w:sz w:val="24"/>
                <w:szCs w:val="28"/>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说明：投标文件正本应附完整的相关证明材料清晰影印件，未按照要求详细完整填写此表，导致的后果由投标人自行承担。</w:t>
      </w: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1"/>
        </w:numPr>
        <w:spacing w:before="100" w:beforeAutospacing="1" w:afterLines="50" w:line="360" w:lineRule="auto"/>
        <w:ind w:left="1610" w:hanging="1610"/>
        <w:rPr>
          <w:rFonts w:ascii="宋体" w:hAnsi="宋体" w:eastAsia="宋体"/>
        </w:rPr>
      </w:pPr>
      <w:bookmarkStart w:id="242" w:name="_Toc495861562"/>
      <w:bookmarkStart w:id="243" w:name="_Toc494721113"/>
      <w:bookmarkStart w:id="244" w:name="_Toc494665963"/>
      <w:bookmarkStart w:id="245" w:name="_Toc494702283"/>
      <w:bookmarkStart w:id="246" w:name="_Toc236473307"/>
      <w:bookmarkStart w:id="247" w:name="_Toc494745330"/>
      <w:bookmarkStart w:id="248" w:name="_Toc494665013"/>
      <w:bookmarkStart w:id="249" w:name="_Toc238276251"/>
      <w:bookmarkStart w:id="250" w:name="_Toc494665566"/>
      <w:bookmarkStart w:id="251" w:name="_Toc22156"/>
      <w:r>
        <w:rPr>
          <w:rFonts w:hint="eastAsia" w:ascii="宋体" w:hAnsi="宋体" w:eastAsia="宋体"/>
        </w:rPr>
        <w:t>项目班子成员情况表</w:t>
      </w:r>
      <w:bookmarkEnd w:id="242"/>
      <w:bookmarkEnd w:id="243"/>
      <w:bookmarkEnd w:id="244"/>
      <w:bookmarkEnd w:id="245"/>
      <w:bookmarkEnd w:id="246"/>
      <w:bookmarkEnd w:id="247"/>
      <w:bookmarkEnd w:id="248"/>
      <w:bookmarkEnd w:id="249"/>
      <w:bookmarkEnd w:id="250"/>
      <w:bookmarkEnd w:id="25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序号</w:t>
            </w:r>
          </w:p>
        </w:tc>
        <w:tc>
          <w:tcPr>
            <w:tcW w:w="99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专 业</w:t>
            </w:r>
          </w:p>
        </w:tc>
        <w:tc>
          <w:tcPr>
            <w:tcW w:w="1134"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年 龄</w:t>
            </w:r>
          </w:p>
        </w:tc>
        <w:tc>
          <w:tcPr>
            <w:tcW w:w="1418"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从事本行业工作年限</w:t>
            </w:r>
          </w:p>
        </w:tc>
        <w:tc>
          <w:tcPr>
            <w:tcW w:w="1843"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在本项目中承担的工作</w:t>
            </w:r>
          </w:p>
        </w:tc>
        <w:tc>
          <w:tcPr>
            <w:tcW w:w="1842" w:type="dxa"/>
            <w:tcBorders>
              <w:top w:val="single" w:color="auto" w:sz="4" w:space="0"/>
              <w:left w:val="single" w:color="auto" w:sz="4" w:space="0"/>
              <w:right w:val="single" w:color="auto" w:sz="4" w:space="0"/>
            </w:tcBorders>
            <w:shd w:val="clear" w:color="auto" w:fill="F1F1F1" w:themeFill="background1" w:themeFillShade="F2"/>
            <w:vAlign w:val="center"/>
          </w:tcPr>
          <w:p>
            <w:pPr>
              <w:jc w:val="center"/>
              <w:rPr>
                <w:rFonts w:ascii="宋体" w:hAnsi="宋体" w:eastAsia="宋体" w:cs="Times New Roman"/>
                <w:sz w:val="24"/>
                <w:szCs w:val="24"/>
              </w:rPr>
            </w:pPr>
            <w:r>
              <w:rPr>
                <w:rFonts w:hint="eastAsia" w:ascii="宋体" w:hAnsi="宋体" w:eastAsia="宋体" w:cs="Times New Roman"/>
                <w:kern w:val="0"/>
                <w:sz w:val="24"/>
                <w:szCs w:val="28"/>
              </w:rPr>
              <w:t>个人专业资质及证书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4</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7</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right w:val="single" w:color="auto" w:sz="4" w:space="0"/>
            </w:tcBorders>
            <w:vAlign w:val="center"/>
          </w:tcPr>
          <w:p>
            <w:pPr>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24"/>
                <w:szCs w:val="24"/>
              </w:rPr>
            </w:pPr>
            <w:r>
              <w:rPr>
                <w:rFonts w:ascii="宋体" w:hAnsi="宋体" w:eastAsia="宋体" w:cs="Times New Roman"/>
                <w:b/>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3"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c>
          <w:tcPr>
            <w:tcW w:w="1842" w:type="dxa"/>
            <w:tcBorders>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p>
        </w:tc>
      </w:tr>
    </w:tbl>
    <w:p>
      <w:pPr>
        <w:spacing w:line="360" w:lineRule="auto"/>
        <w:ind w:left="720" w:hanging="720" w:hangingChars="300"/>
        <w:jc w:val="left"/>
        <w:rPr>
          <w:rFonts w:ascii="宋体" w:hAnsi="宋体" w:eastAsia="宋体" w:cs="Times New Roman"/>
          <w:sz w:val="24"/>
          <w:szCs w:val="24"/>
          <w:lang w:val="zh-CN"/>
        </w:rPr>
      </w:pPr>
      <w:r>
        <w:rPr>
          <w:rFonts w:hint="eastAsia" w:ascii="宋体" w:hAnsi="宋体" w:eastAsia="宋体" w:cs="Times New Roman"/>
          <w:sz w:val="24"/>
          <w:szCs w:val="24"/>
          <w:lang w:val="zh-CN"/>
        </w:rPr>
        <w:t>说明：投标文件正本应附完整的相关证明材料清晰影印件，</w:t>
      </w:r>
      <w:r>
        <w:rPr>
          <w:rFonts w:hint="eastAsia" w:ascii="宋体" w:hAnsi="宋体" w:eastAsia="宋体" w:cs="Corbel"/>
          <w:sz w:val="24"/>
          <w:szCs w:val="21"/>
          <w:lang w:val="zh-CN"/>
        </w:rPr>
        <w:t>未按照要求详细完整填写此表，</w:t>
      </w:r>
      <w:r>
        <w:rPr>
          <w:rFonts w:hint="eastAsia" w:ascii="宋体" w:hAnsi="宋体" w:eastAsia="宋体" w:cs="Times New Roman"/>
          <w:sz w:val="24"/>
          <w:szCs w:val="21"/>
          <w:lang w:val="zh-CN"/>
        </w:rPr>
        <w:t>导致的后果由投标人自行承担。</w:t>
      </w: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line="360" w:lineRule="auto"/>
        <w:jc w:val="left"/>
        <w:rPr>
          <w:rFonts w:ascii="宋体" w:hAnsi="宋体" w:eastAsia="宋体" w:cs="Times New Roman"/>
          <w:sz w:val="24"/>
          <w:szCs w:val="24"/>
          <w:lang w:val="zh-CN"/>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1"/>
        </w:numPr>
        <w:spacing w:before="100" w:beforeAutospacing="1" w:afterLines="50" w:line="360" w:lineRule="auto"/>
        <w:ind w:left="1610" w:hanging="1610"/>
        <w:rPr>
          <w:rFonts w:ascii="宋体" w:hAnsi="宋体" w:eastAsia="宋体"/>
        </w:rPr>
      </w:pPr>
      <w:bookmarkStart w:id="252" w:name="_Toc238276256"/>
      <w:bookmarkStart w:id="253" w:name="_Toc30560"/>
      <w:bookmarkStart w:id="254" w:name="_Toc494721114"/>
      <w:bookmarkStart w:id="255" w:name="_Toc494702284"/>
      <w:bookmarkStart w:id="256" w:name="_Toc495861563"/>
      <w:bookmarkStart w:id="257" w:name="_Toc236473312"/>
      <w:bookmarkStart w:id="258" w:name="_Toc494745331"/>
      <w:bookmarkStart w:id="259" w:name="_Toc494665964"/>
      <w:bookmarkStart w:id="260" w:name="_Toc494665014"/>
      <w:bookmarkStart w:id="261" w:name="_Toc494665567"/>
      <w:r>
        <w:rPr>
          <w:rFonts w:hint="eastAsia" w:ascii="宋体" w:hAnsi="宋体" w:eastAsia="宋体"/>
        </w:rPr>
        <w:t>投标人类似项目业绩表</w:t>
      </w:r>
      <w:bookmarkEnd w:id="252"/>
      <w:bookmarkEnd w:id="253"/>
      <w:bookmarkEnd w:id="254"/>
      <w:bookmarkEnd w:id="255"/>
      <w:bookmarkEnd w:id="256"/>
      <w:bookmarkEnd w:id="257"/>
      <w:bookmarkEnd w:id="258"/>
      <w:bookmarkEnd w:id="259"/>
      <w:bookmarkEnd w:id="260"/>
      <w:bookmarkEnd w:id="261"/>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项目名称</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项目单位联系人姓名及联系方式</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项目金额</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项目负责人姓名</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项目时间</w:t>
            </w:r>
          </w:p>
        </w:tc>
        <w:tc>
          <w:tcPr>
            <w:tcW w:w="7200" w:type="dxa"/>
            <w:shd w:val="clear" w:color="auto" w:fill="auto"/>
          </w:tcPr>
          <w:p>
            <w:pPr>
              <w:rPr>
                <w:rFonts w:ascii="宋体" w:hAnsi="宋体" w:eastAsia="宋体" w:cs="Courier New"/>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shd w:val="clear" w:color="auto" w:fill="auto"/>
            <w:vAlign w:val="center"/>
          </w:tcPr>
          <w:p>
            <w:pPr>
              <w:jc w:val="center"/>
              <w:rPr>
                <w:rFonts w:ascii="宋体" w:hAnsi="宋体" w:eastAsia="宋体" w:cs="Courier New"/>
                <w:sz w:val="24"/>
                <w:szCs w:val="24"/>
              </w:rPr>
            </w:pPr>
            <w:r>
              <w:rPr>
                <w:rFonts w:hint="eastAsia" w:ascii="宋体" w:hAnsi="宋体" w:eastAsia="宋体" w:cs="Courier New"/>
                <w:sz w:val="24"/>
                <w:szCs w:val="24"/>
              </w:rPr>
              <w:t>项目内容</w:t>
            </w:r>
          </w:p>
        </w:tc>
        <w:tc>
          <w:tcPr>
            <w:tcW w:w="7200" w:type="dxa"/>
            <w:shd w:val="clear" w:color="auto" w:fill="auto"/>
          </w:tcPr>
          <w:p>
            <w:pPr>
              <w:rPr>
                <w:rFonts w:ascii="宋体" w:hAnsi="宋体" w:eastAsia="宋体" w:cs="Courier New"/>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说明：1．每个合同应单独附表，并附上相关证明材料，</w:t>
      </w:r>
      <w:r>
        <w:rPr>
          <w:rFonts w:hint="eastAsia" w:ascii="宋体" w:hAnsi="宋体" w:eastAsia="宋体" w:cs="Corbel"/>
          <w:sz w:val="24"/>
          <w:szCs w:val="24"/>
        </w:rPr>
        <w:t>未按照要求详细完整填写此表，</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Times New Roman"/>
          <w:sz w:val="24"/>
          <w:szCs w:val="24"/>
        </w:rPr>
        <w:t>2．项目内容请详细说明所承担的具体工作内容等。</w:t>
      </w:r>
    </w:p>
    <w:p>
      <w:pPr>
        <w:spacing w:line="360" w:lineRule="auto"/>
        <w:ind w:firstLine="720" w:firstLineChars="300"/>
        <w:rPr>
          <w:rFonts w:ascii="宋体" w:hAnsi="宋体" w:eastAsia="宋体" w:cs="Times New Roman"/>
          <w:sz w:val="24"/>
          <w:szCs w:val="24"/>
        </w:rPr>
      </w:pPr>
    </w:p>
    <w:p>
      <w:pPr>
        <w:spacing w:line="360" w:lineRule="auto"/>
        <w:ind w:firstLine="720" w:firstLineChars="300"/>
        <w:rPr>
          <w:rFonts w:ascii="宋体" w:hAnsi="宋体" w:eastAsia="宋体" w:cs="Times New Roman"/>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1"/>
        </w:numPr>
        <w:spacing w:before="100" w:beforeAutospacing="1" w:afterLines="50" w:line="360" w:lineRule="auto"/>
        <w:ind w:left="1610" w:hanging="1610"/>
        <w:rPr>
          <w:rFonts w:ascii="宋体" w:hAnsi="宋体" w:eastAsia="宋体"/>
        </w:rPr>
      </w:pPr>
      <w:bookmarkStart w:id="262" w:name="_Toc494721115"/>
      <w:bookmarkStart w:id="263" w:name="_Toc495861564"/>
      <w:bookmarkStart w:id="264" w:name="_Toc12389"/>
      <w:bookmarkStart w:id="265" w:name="_Toc494702285"/>
      <w:bookmarkStart w:id="266" w:name="_Toc494665015"/>
      <w:bookmarkStart w:id="267" w:name="_Toc494745332"/>
      <w:bookmarkStart w:id="268" w:name="_Toc494665965"/>
      <w:bookmarkStart w:id="269" w:name="_Toc494665568"/>
      <w:r>
        <w:rPr>
          <w:rFonts w:hint="eastAsia" w:ascii="宋体" w:hAnsi="宋体" w:eastAsia="宋体"/>
        </w:rPr>
        <w:t>符合性审查对照表</w:t>
      </w:r>
      <w:bookmarkEnd w:id="262"/>
      <w:bookmarkEnd w:id="263"/>
      <w:bookmarkEnd w:id="264"/>
      <w:bookmarkEnd w:id="265"/>
      <w:bookmarkEnd w:id="266"/>
      <w:bookmarkEnd w:id="267"/>
      <w:bookmarkEnd w:id="268"/>
      <w:bookmarkEnd w:id="269"/>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032"/>
        <w:gridCol w:w="2754"/>
        <w:gridCol w:w="1363"/>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5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303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w:t>
            </w:r>
            <w:r>
              <w:rPr>
                <w:rFonts w:hint="eastAsia" w:ascii="宋体" w:hAnsi="宋体" w:eastAsia="宋体" w:cs="Corbel"/>
                <w:sz w:val="24"/>
                <w:szCs w:val="24"/>
              </w:rPr>
              <w:t>符合性审查条款</w:t>
            </w:r>
          </w:p>
        </w:tc>
        <w:tc>
          <w:tcPr>
            <w:tcW w:w="2754"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363"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02"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53"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3032" w:type="dxa"/>
            <w:vAlign w:val="center"/>
          </w:tcPr>
          <w:p>
            <w:pPr>
              <w:jc w:val="center"/>
              <w:rPr>
                <w:rFonts w:ascii="宋体" w:hAnsi="宋体" w:eastAsia="宋体" w:cs="仿宋_GB2312"/>
                <w:sz w:val="24"/>
                <w:szCs w:val="24"/>
              </w:rPr>
            </w:pPr>
          </w:p>
        </w:tc>
        <w:tc>
          <w:tcPr>
            <w:tcW w:w="2754" w:type="dxa"/>
            <w:vAlign w:val="center"/>
          </w:tcPr>
          <w:p>
            <w:pPr>
              <w:jc w:val="center"/>
              <w:rPr>
                <w:rFonts w:ascii="宋体" w:hAnsi="宋体" w:eastAsia="宋体" w:cs="仿宋_GB2312"/>
                <w:sz w:val="24"/>
                <w:szCs w:val="24"/>
              </w:rPr>
            </w:pPr>
          </w:p>
        </w:tc>
        <w:tc>
          <w:tcPr>
            <w:tcW w:w="1363" w:type="dxa"/>
            <w:vAlign w:val="center"/>
          </w:tcPr>
          <w:p>
            <w:pPr>
              <w:jc w:val="center"/>
              <w:rPr>
                <w:rFonts w:ascii="宋体" w:hAnsi="宋体" w:eastAsia="宋体" w:cs="仿宋_GB2312"/>
                <w:sz w:val="24"/>
                <w:szCs w:val="24"/>
              </w:rPr>
            </w:pPr>
          </w:p>
        </w:tc>
        <w:tc>
          <w:tcPr>
            <w:tcW w:w="1602"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b/>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w:t>
      </w:r>
      <w:r>
        <w:rPr>
          <w:rFonts w:hint="eastAsia" w:ascii="宋体" w:hAnsi="宋体" w:eastAsia="宋体" w:cs="Times New Roman"/>
          <w:sz w:val="24"/>
          <w:szCs w:val="24"/>
        </w:rPr>
        <w:t>．</w:t>
      </w:r>
      <w:r>
        <w:rPr>
          <w:rFonts w:hint="eastAsia" w:ascii="宋体" w:hAnsi="宋体" w:eastAsia="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b/>
          <w:sz w:val="24"/>
          <w:szCs w:val="24"/>
        </w:rPr>
      </w:pPr>
      <w:r>
        <w:rPr>
          <w:rFonts w:hint="eastAsia" w:ascii="宋体" w:hAnsi="宋体" w:eastAsia="宋体" w:cs="Corbel"/>
          <w:sz w:val="24"/>
          <w:szCs w:val="24"/>
        </w:rPr>
        <w:t>2．</w:t>
      </w:r>
      <w:r>
        <w:rPr>
          <w:rFonts w:hint="eastAsia" w:ascii="宋体" w:hAnsi="宋体" w:eastAsia="宋体" w:cs="Times New Roman"/>
          <w:sz w:val="24"/>
          <w:szCs w:val="24"/>
        </w:rPr>
        <w:t>投标人</w:t>
      </w:r>
      <w:r>
        <w:rPr>
          <w:rFonts w:hint="eastAsia" w:ascii="宋体" w:hAnsi="宋体" w:eastAsia="宋体" w:cs="Corbel"/>
          <w:sz w:val="24"/>
          <w:szCs w:val="24"/>
        </w:rPr>
        <w:t>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1"/>
        </w:numPr>
        <w:spacing w:before="100" w:beforeAutospacing="1" w:afterLines="50" w:line="360" w:lineRule="auto"/>
        <w:ind w:left="1610" w:hanging="1610"/>
        <w:rPr>
          <w:rFonts w:ascii="宋体" w:hAnsi="宋体" w:eastAsia="宋体"/>
        </w:rPr>
      </w:pPr>
      <w:bookmarkStart w:id="270" w:name="_Toc495861565"/>
      <w:bookmarkStart w:id="271" w:name="_Toc494745333"/>
      <w:bookmarkStart w:id="272" w:name="_Toc494702286"/>
      <w:bookmarkStart w:id="273" w:name="_Toc494665966"/>
      <w:bookmarkStart w:id="274" w:name="_Toc494665569"/>
      <w:bookmarkStart w:id="275" w:name="_Toc494721116"/>
      <w:bookmarkStart w:id="276" w:name="_Toc494665016"/>
      <w:bookmarkStart w:id="277" w:name="_Toc15043"/>
      <w:r>
        <w:rPr>
          <w:rFonts w:hint="eastAsia" w:ascii="宋体" w:hAnsi="宋体" w:eastAsia="宋体"/>
        </w:rPr>
        <w:t>商务要求响应、偏离说明表</w:t>
      </w:r>
      <w:bookmarkEnd w:id="270"/>
      <w:bookmarkEnd w:id="271"/>
      <w:bookmarkEnd w:id="272"/>
      <w:bookmarkEnd w:id="273"/>
      <w:bookmarkEnd w:id="274"/>
      <w:bookmarkEnd w:id="275"/>
      <w:bookmarkEnd w:id="276"/>
      <w:bookmarkEnd w:id="277"/>
    </w:p>
    <w:p>
      <w:pPr>
        <w:spacing w:line="360" w:lineRule="auto"/>
        <w:jc w:val="left"/>
        <w:rPr>
          <w:rFonts w:hAnsi="宋体"/>
          <w:b/>
          <w:sz w:val="24"/>
        </w:rPr>
      </w:pPr>
      <w:r>
        <w:rPr>
          <w:rFonts w:hint="eastAsia" w:hAnsi="宋体"/>
          <w:b/>
          <w:sz w:val="24"/>
        </w:rPr>
        <w:t>投 标 人：</w:t>
      </w:r>
    </w:p>
    <w:p>
      <w:pPr>
        <w:spacing w:line="360" w:lineRule="auto"/>
        <w:jc w:val="left"/>
        <w:rPr>
          <w:rFonts w:hAnsi="宋体"/>
          <w:b/>
          <w:sz w:val="24"/>
        </w:rPr>
      </w:pPr>
      <w:r>
        <w:rPr>
          <w:rFonts w:hint="eastAsia" w:ascii="宋体" w:hAnsi="宋体" w:eastAsia="宋体" w:cs="Times New Roman"/>
          <w:b/>
          <w:sz w:val="24"/>
          <w:szCs w:val="21"/>
          <w:lang w:val="zh-CN"/>
        </w:rPr>
        <w:t>项目编号：</w:t>
      </w:r>
      <w:r>
        <w:rPr>
          <w:rFonts w:hint="eastAsia" w:ascii="宋体" w:hAnsi="宋体" w:eastAsia="宋体" w:cs="Times New Roman"/>
          <w:b/>
          <w:bCs/>
          <w:sz w:val="24"/>
          <w:szCs w:val="21"/>
          <w:lang w:val="zh-CN"/>
        </w:rPr>
        <w:t xml:space="preserve">                所投包号：</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2767"/>
        <w:gridCol w:w="2767"/>
        <w:gridCol w:w="1619"/>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2"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序号</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招标文件商务要求条款</w:t>
            </w:r>
          </w:p>
        </w:tc>
        <w:tc>
          <w:tcPr>
            <w:tcW w:w="2767"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投标响应内容对应简述</w:t>
            </w:r>
          </w:p>
        </w:tc>
        <w:tc>
          <w:tcPr>
            <w:tcW w:w="1619" w:type="dxa"/>
            <w:shd w:val="clear" w:color="auto" w:fill="F1F1F1" w:themeFill="background1" w:themeFillShade="F2"/>
            <w:vAlign w:val="center"/>
          </w:tcPr>
          <w:p>
            <w:pPr>
              <w:jc w:val="center"/>
              <w:rPr>
                <w:rFonts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jc w:val="center"/>
              <w:rPr>
                <w:rFonts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1</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2</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3</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4</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5</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6</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7</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2" w:type="dxa"/>
            <w:vAlign w:val="center"/>
          </w:tcPr>
          <w:p>
            <w:pPr>
              <w:jc w:val="center"/>
              <w:rPr>
                <w:rFonts w:ascii="宋体" w:hAnsi="宋体" w:eastAsia="宋体" w:cs="仿宋_GB2312"/>
                <w:sz w:val="24"/>
                <w:szCs w:val="24"/>
              </w:rPr>
            </w:pPr>
            <w:r>
              <w:rPr>
                <w:rFonts w:hint="eastAsia" w:ascii="宋体" w:hAnsi="宋体" w:eastAsia="宋体" w:cs="仿宋_GB2312"/>
                <w:sz w:val="24"/>
                <w:szCs w:val="24"/>
              </w:rPr>
              <w:t>…</w:t>
            </w:r>
          </w:p>
        </w:tc>
        <w:tc>
          <w:tcPr>
            <w:tcW w:w="2767" w:type="dxa"/>
            <w:vAlign w:val="center"/>
          </w:tcPr>
          <w:p>
            <w:pPr>
              <w:jc w:val="center"/>
              <w:rPr>
                <w:rFonts w:ascii="宋体" w:hAnsi="宋体" w:eastAsia="宋体" w:cs="仿宋_GB2312"/>
                <w:sz w:val="24"/>
                <w:szCs w:val="24"/>
              </w:rPr>
            </w:pPr>
          </w:p>
        </w:tc>
        <w:tc>
          <w:tcPr>
            <w:tcW w:w="2767"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c>
          <w:tcPr>
            <w:tcW w:w="1619" w:type="dxa"/>
            <w:vAlign w:val="center"/>
          </w:tcPr>
          <w:p>
            <w:pPr>
              <w:jc w:val="center"/>
              <w:rPr>
                <w:rFonts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Times New Roman"/>
          <w:sz w:val="24"/>
          <w:szCs w:val="24"/>
        </w:rPr>
        <w:t>说明</w:t>
      </w:r>
      <w:r>
        <w:rPr>
          <w:rFonts w:hint="eastAsia" w:ascii="宋体" w:hAnsi="宋体" w:eastAsia="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Times New Roman"/>
          <w:sz w:val="24"/>
          <w:szCs w:val="24"/>
        </w:rPr>
      </w:pPr>
      <w:r>
        <w:rPr>
          <w:rFonts w:hint="eastAsia" w:ascii="宋体" w:hAnsi="宋体" w:eastAsia="宋体" w:cs="Corbel"/>
          <w:sz w:val="24"/>
          <w:szCs w:val="24"/>
        </w:rPr>
        <w:t>2．投标人</w:t>
      </w:r>
      <w:r>
        <w:rPr>
          <w:rFonts w:hint="eastAsia" w:ascii="宋体" w:hAnsi="宋体" w:eastAsia="宋体" w:cs="Times New Roman"/>
          <w:sz w:val="24"/>
          <w:szCs w:val="24"/>
        </w:rPr>
        <w:t>提供</w:t>
      </w:r>
      <w:r>
        <w:rPr>
          <w:rFonts w:hint="eastAsia" w:ascii="宋体" w:hAnsi="宋体" w:eastAsia="宋体" w:cs="Corbel"/>
          <w:sz w:val="24"/>
          <w:szCs w:val="24"/>
        </w:rPr>
        <w:t>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adjustRightInd w:val="0"/>
        <w:snapToGrid w:val="0"/>
        <w:spacing w:line="360" w:lineRule="auto"/>
        <w:ind w:left="781" w:leftChars="258" w:hanging="240" w:hangingChars="100"/>
        <w:rPr>
          <w:rFonts w:ascii="宋体" w:hAnsi="宋体" w:eastAsia="宋体" w:cs="Corbel"/>
          <w:sz w:val="24"/>
          <w:szCs w:val="24"/>
        </w:rPr>
      </w:pP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rPr>
        <w:t>投标人</w:t>
      </w:r>
      <w:r>
        <w:rPr>
          <w:rFonts w:hint="eastAsia" w:hAnsi="宋体"/>
          <w:b/>
          <w:bCs/>
          <w:sz w:val="24"/>
        </w:rPr>
        <w:t>授权代表（签字）：</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rPr>
        <w:t>投标</w:t>
      </w:r>
      <w:r>
        <w:rPr>
          <w:rFonts w:hint="eastAsia" w:hAnsi="宋体"/>
          <w:b/>
          <w:bCs/>
          <w:sz w:val="24"/>
        </w:rPr>
        <w:t>时间：</w:t>
      </w:r>
    </w:p>
    <w:p>
      <w:r>
        <w:br w:type="page"/>
      </w:r>
    </w:p>
    <w:p>
      <w:pPr>
        <w:pStyle w:val="4"/>
        <w:numPr>
          <w:ilvl w:val="0"/>
          <w:numId w:val="61"/>
        </w:numPr>
        <w:spacing w:before="100" w:beforeAutospacing="1" w:after="156" w:afterLines="50" w:line="360" w:lineRule="auto"/>
        <w:ind w:left="1610" w:hanging="1610"/>
        <w:rPr>
          <w:rFonts w:ascii="宋体" w:hAnsi="宋体" w:eastAsia="宋体"/>
        </w:rPr>
      </w:pPr>
      <w:bookmarkStart w:id="278" w:name="_Toc494745336"/>
      <w:bookmarkStart w:id="279" w:name="_Toc494721119"/>
      <w:bookmarkStart w:id="280" w:name="_Toc494665969"/>
      <w:bookmarkStart w:id="281" w:name="_Toc494665019"/>
      <w:bookmarkStart w:id="282" w:name="_Toc495861516"/>
      <w:bookmarkStart w:id="283" w:name="_Toc494702289"/>
      <w:bookmarkStart w:id="284" w:name="_Toc494665572"/>
      <w:bookmarkStart w:id="285" w:name="_Toc9110"/>
      <w:r>
        <w:rPr>
          <w:rFonts w:hint="eastAsia" w:ascii="宋体" w:hAnsi="宋体" w:eastAsia="宋体"/>
        </w:rPr>
        <w:t>技术、服务要求响应、偏离说明表</w:t>
      </w:r>
      <w:bookmarkEnd w:id="278"/>
      <w:bookmarkEnd w:id="279"/>
      <w:bookmarkEnd w:id="280"/>
      <w:bookmarkEnd w:id="281"/>
      <w:bookmarkEnd w:id="282"/>
      <w:bookmarkEnd w:id="283"/>
      <w:bookmarkEnd w:id="284"/>
      <w:bookmarkEnd w:id="285"/>
    </w:p>
    <w:p>
      <w:pPr>
        <w:spacing w:line="360" w:lineRule="auto"/>
        <w:jc w:val="left"/>
        <w:rPr>
          <w:rFonts w:hAnsi="宋体"/>
          <w:b/>
          <w:sz w:val="24"/>
        </w:rPr>
      </w:pPr>
      <w:r>
        <w:rPr>
          <w:rFonts w:hint="eastAsia" w:hAnsi="宋体"/>
          <w:b/>
          <w:sz w:val="24"/>
        </w:rPr>
        <w:t>投 标 人：</w:t>
      </w:r>
      <w:r>
        <w:rPr>
          <w:rFonts w:hint="eastAsia" w:ascii="宋体" w:hAnsi="宋体" w:eastAsia="宋体" w:cs="Times New Roman"/>
          <w:b/>
          <w:sz w:val="24"/>
          <w:szCs w:val="21"/>
          <w:u w:val="single"/>
          <w:lang w:val="zh-CN" w:eastAsia="zh-CN"/>
        </w:rPr>
        <w:t xml:space="preserve">                     </w:t>
      </w:r>
      <w:r>
        <w:rPr>
          <w:rFonts w:hint="eastAsia" w:ascii="宋体" w:hAnsi="宋体" w:eastAsia="宋体" w:cs="Times New Roman"/>
          <w:b/>
          <w:sz w:val="24"/>
          <w:szCs w:val="21"/>
          <w:lang w:val="zh-CN"/>
        </w:rPr>
        <w:t xml:space="preserve"> </w:t>
      </w:r>
    </w:p>
    <w:p>
      <w:pPr>
        <w:spacing w:line="360" w:lineRule="auto"/>
        <w:jc w:val="left"/>
        <w:rPr>
          <w:rFonts w:hAnsi="宋体"/>
          <w:b/>
          <w:sz w:val="24"/>
        </w:rPr>
      </w:pPr>
      <w:r>
        <w:rPr>
          <w:rFonts w:hint="eastAsia" w:ascii="宋体" w:hAnsi="宋体" w:eastAsia="宋体" w:cs="Times New Roman"/>
          <w:b/>
          <w:sz w:val="24"/>
          <w:szCs w:val="21"/>
          <w:lang w:val="zh-CN" w:eastAsia="zh-CN"/>
        </w:rPr>
        <w:t>项目编号：</w:t>
      </w:r>
      <w:r>
        <w:rPr>
          <w:rFonts w:hint="eastAsia" w:ascii="宋体" w:hAnsi="宋体" w:eastAsia="宋体" w:cs="Times New Roman"/>
          <w:b/>
          <w:sz w:val="24"/>
          <w:szCs w:val="21"/>
          <w:u w:val="single"/>
          <w:lang w:val="zh-CN" w:eastAsia="zh-CN"/>
        </w:rPr>
        <w:t xml:space="preserve">                     </w:t>
      </w:r>
      <w:r>
        <w:rPr>
          <w:rFonts w:hint="eastAsia" w:ascii="宋体" w:hAnsi="宋体" w:eastAsia="宋体" w:cs="Times New Roman"/>
          <w:b/>
          <w:sz w:val="24"/>
          <w:szCs w:val="21"/>
          <w:lang w:val="zh-CN"/>
        </w:rPr>
        <w:t xml:space="preserve">     </w:t>
      </w:r>
      <w:r>
        <w:rPr>
          <w:rFonts w:hint="eastAsia" w:ascii="宋体" w:hAnsi="宋体" w:eastAsia="宋体" w:cs="Times New Roman"/>
          <w:b/>
          <w:bCs/>
          <w:sz w:val="24"/>
          <w:szCs w:val="21"/>
          <w:lang w:val="zh-CN" w:eastAsia="zh-CN"/>
        </w:rPr>
        <w:t xml:space="preserve">                所投包号：</w:t>
      </w:r>
      <w:r>
        <w:rPr>
          <w:rFonts w:hint="eastAsia" w:ascii="宋体" w:hAnsi="宋体" w:eastAsia="宋体" w:cs="Times New Roman"/>
          <w:b/>
          <w:bCs/>
          <w:sz w:val="24"/>
          <w:szCs w:val="21"/>
          <w:u w:val="single"/>
          <w:lang w:val="zh-CN"/>
        </w:rPr>
        <w:t xml:space="preserve">           </w:t>
      </w:r>
    </w:p>
    <w:tbl>
      <w:tblPr>
        <w:tblStyle w:val="22"/>
        <w:tblW w:w="95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3031"/>
        <w:gridCol w:w="2755"/>
        <w:gridCol w:w="1364"/>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745" w:type="dxa"/>
            <w:shd w:val="clear" w:color="auto" w:fill="F1F1F1" w:themeFill="background1" w:themeFillShade="F2"/>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序号</w:t>
            </w:r>
          </w:p>
        </w:tc>
        <w:tc>
          <w:tcPr>
            <w:tcW w:w="3031" w:type="dxa"/>
            <w:shd w:val="clear" w:color="auto" w:fill="F1F1F1" w:themeFill="background1" w:themeFillShade="F2"/>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招标文件技术、服务要求条款</w:t>
            </w:r>
          </w:p>
        </w:tc>
        <w:tc>
          <w:tcPr>
            <w:tcW w:w="2755" w:type="dxa"/>
            <w:shd w:val="clear" w:color="auto" w:fill="F1F1F1" w:themeFill="background1" w:themeFillShade="F2"/>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投标响应内容对应简述</w:t>
            </w:r>
          </w:p>
        </w:tc>
        <w:tc>
          <w:tcPr>
            <w:tcW w:w="1364" w:type="dxa"/>
            <w:shd w:val="clear" w:color="auto" w:fill="F1F1F1" w:themeFill="background1" w:themeFillShade="F2"/>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偏离说明</w:t>
            </w:r>
          </w:p>
        </w:tc>
        <w:tc>
          <w:tcPr>
            <w:tcW w:w="1619" w:type="dxa"/>
            <w:shd w:val="clear" w:color="auto" w:fill="F1F1F1" w:themeFill="background1" w:themeFillShade="F2"/>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1</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2</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3</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4</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5</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6</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2" w:hRule="atLeast"/>
        </w:trPr>
        <w:tc>
          <w:tcPr>
            <w:tcW w:w="74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r>
              <w:rPr>
                <w:rFonts w:hint="eastAsia" w:ascii="宋体" w:hAnsi="宋体" w:eastAsia="宋体" w:cs="仿宋_GB2312"/>
                <w:sz w:val="24"/>
                <w:szCs w:val="24"/>
              </w:rPr>
              <w:t>…</w:t>
            </w:r>
          </w:p>
        </w:tc>
        <w:tc>
          <w:tcPr>
            <w:tcW w:w="3031"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2755"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364"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c>
          <w:tcPr>
            <w:tcW w:w="1619" w:type="dxa"/>
            <w:vAlign w:val="center"/>
          </w:tcPr>
          <w:p>
            <w:pPr>
              <w:keepNext w:val="0"/>
              <w:keepLines w:val="0"/>
              <w:suppressLineNumbers w:val="0"/>
              <w:spacing w:before="0" w:beforeAutospacing="0" w:after="0" w:afterAutospacing="0"/>
              <w:ind w:left="0" w:right="0"/>
              <w:jc w:val="center"/>
              <w:rPr>
                <w:rFonts w:hint="default" w:ascii="宋体" w:hAnsi="宋体" w:eastAsia="宋体" w:cs="仿宋_GB2312"/>
                <w:sz w:val="24"/>
                <w:szCs w:val="24"/>
              </w:rPr>
            </w:pPr>
          </w:p>
        </w:tc>
      </w:tr>
    </w:tbl>
    <w:p>
      <w:pPr>
        <w:spacing w:line="360" w:lineRule="auto"/>
        <w:ind w:left="1092" w:hanging="1092" w:hangingChars="455"/>
        <w:jc w:val="left"/>
        <w:rPr>
          <w:rFonts w:ascii="宋体" w:hAnsi="宋体" w:eastAsia="宋体" w:cs="Times New Roman"/>
          <w:sz w:val="24"/>
          <w:szCs w:val="24"/>
        </w:rPr>
      </w:pPr>
      <w:r>
        <w:rPr>
          <w:rFonts w:hint="eastAsia" w:ascii="宋体" w:hAnsi="宋体" w:eastAsia="宋体" w:cs="Corbel"/>
          <w:sz w:val="24"/>
          <w:szCs w:val="24"/>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eastAsia="宋体" w:cs="Times New Roman"/>
          <w:sz w:val="24"/>
          <w:szCs w:val="24"/>
        </w:rPr>
        <w:t>导致的后果由投标人自行承担。</w:t>
      </w:r>
    </w:p>
    <w:p>
      <w:pPr>
        <w:spacing w:line="360" w:lineRule="auto"/>
        <w:ind w:left="1061" w:leftChars="339" w:hanging="350" w:hangingChars="146"/>
        <w:jc w:val="left"/>
        <w:rPr>
          <w:rFonts w:ascii="宋体" w:hAnsi="宋体" w:eastAsia="宋体" w:cs="Corbel"/>
          <w:sz w:val="24"/>
          <w:szCs w:val="24"/>
        </w:rPr>
      </w:pPr>
      <w:r>
        <w:rPr>
          <w:rFonts w:hint="eastAsia" w:ascii="宋体" w:hAnsi="宋体" w:eastAsia="宋体" w:cs="Corbel"/>
          <w:sz w:val="24"/>
          <w:szCs w:val="24"/>
        </w:rPr>
        <w:t>2．投标人提供的相关证明文件对应的页码填写到上表“投标文件对应的页码”中。如未提供页码或内容页码完全不一致的，</w:t>
      </w:r>
      <w:r>
        <w:rPr>
          <w:rFonts w:hint="eastAsia" w:ascii="宋体" w:hAnsi="宋体" w:eastAsia="宋体" w:cs="Times New Roman"/>
          <w:sz w:val="24"/>
          <w:szCs w:val="24"/>
        </w:rPr>
        <w:t>导致的后果由投标人自行承担。</w:t>
      </w:r>
    </w:p>
    <w:p>
      <w:pPr>
        <w:spacing w:before="100" w:beforeAutospacing="1" w:after="100" w:afterAutospacing="1" w:line="360" w:lineRule="auto"/>
        <w:ind w:firstLine="3316" w:firstLineChars="1382"/>
        <w:rPr>
          <w:rFonts w:hAnsi="宋体"/>
          <w:b/>
          <w:bCs/>
          <w:sz w:val="24"/>
          <w:u w:val="single"/>
        </w:rPr>
      </w:pPr>
      <w:r>
        <w:rPr>
          <w:rFonts w:hint="eastAsia" w:hAnsi="宋体"/>
          <w:b/>
          <w:bCs/>
          <w:sz w:val="24"/>
        </w:rPr>
        <w:t>投标人（公章）：</w:t>
      </w:r>
      <w:r>
        <w:rPr>
          <w:rFonts w:hint="eastAsia" w:hAnsi="宋体"/>
          <w:b/>
          <w:bCs/>
          <w:sz w:val="24"/>
          <w:u w:val="single"/>
        </w:rPr>
        <w:t xml:space="preserve">                          </w:t>
      </w:r>
    </w:p>
    <w:p>
      <w:pPr>
        <w:spacing w:before="100" w:beforeAutospacing="1" w:after="100" w:afterAutospacing="1" w:line="360" w:lineRule="auto"/>
        <w:ind w:firstLine="3316" w:firstLineChars="1382"/>
        <w:rPr>
          <w:rFonts w:hAnsi="宋体"/>
          <w:b/>
          <w:bCs/>
          <w:sz w:val="24"/>
          <w:u w:val="single"/>
        </w:rPr>
      </w:pPr>
      <w:r>
        <w:rPr>
          <w:rFonts w:hint="eastAsia" w:ascii="宋体" w:hAnsi="宋体" w:eastAsia="宋体" w:cs="Times New Roman"/>
          <w:b/>
          <w:bCs/>
          <w:sz w:val="24"/>
          <w:szCs w:val="21"/>
          <w:lang w:val="zh-CN" w:eastAsia="zh-CN"/>
        </w:rPr>
        <w:t>投标人</w:t>
      </w:r>
      <w:r>
        <w:rPr>
          <w:rFonts w:hint="eastAsia" w:hAnsi="宋体"/>
          <w:b/>
          <w:bCs/>
          <w:sz w:val="24"/>
        </w:rPr>
        <w:t>授权代表（签字）：</w:t>
      </w:r>
      <w:r>
        <w:rPr>
          <w:rFonts w:hint="eastAsia" w:hAnsi="宋体"/>
          <w:b/>
          <w:bCs/>
          <w:sz w:val="24"/>
          <w:u w:val="single"/>
        </w:rPr>
        <w:t xml:space="preserve">                  </w:t>
      </w:r>
    </w:p>
    <w:p>
      <w:pPr>
        <w:spacing w:before="100" w:beforeAutospacing="1" w:after="100" w:afterAutospacing="1" w:line="360" w:lineRule="auto"/>
        <w:ind w:firstLine="3316" w:firstLineChars="1382"/>
      </w:pPr>
      <w:r>
        <w:rPr>
          <w:rFonts w:hint="eastAsia" w:ascii="宋体" w:hAnsi="宋体" w:eastAsia="宋体" w:cs="Times New Roman"/>
          <w:b/>
          <w:bCs/>
          <w:sz w:val="24"/>
          <w:szCs w:val="21"/>
          <w:lang w:val="zh-CN" w:eastAsia="zh-CN"/>
        </w:rPr>
        <w:t>投标</w:t>
      </w:r>
      <w:r>
        <w:rPr>
          <w:rFonts w:hint="eastAsia" w:hAnsi="宋体"/>
          <w:b/>
          <w:bCs/>
          <w:sz w:val="24"/>
        </w:rPr>
        <w:t>时间：</w:t>
      </w:r>
      <w:r>
        <w:rPr>
          <w:rFonts w:hint="eastAsia" w:hAnsi="宋体"/>
          <w:b/>
          <w:bCs/>
          <w:sz w:val="24"/>
          <w:u w:val="single"/>
        </w:rPr>
        <w:t xml:space="preserve">                               </w:t>
      </w:r>
    </w:p>
    <w:p/>
    <w:sectPr>
      <w:pgSz w:w="11906" w:h="16838"/>
      <w:pgMar w:top="1134" w:right="1191" w:bottom="1134" w:left="1191" w:header="851" w:footer="85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Corbel">
    <w:panose1 w:val="020B0503020204020204"/>
    <w:charset w:val="00"/>
    <w:family w:val="swiss"/>
    <w:pitch w:val="default"/>
    <w:sig w:usb0="A00002EF" w:usb1="4000A44B"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Theme="minorEastAsia" w:hAnsiTheme="minorEastAsia"/>
        <w:b/>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 w:val="clear" w:pos="8306"/>
      </w:tabs>
      <w:rPr>
        <w:rFonts w:asciiTheme="minorEastAsia" w:hAnsiTheme="minorEastAsia"/>
        <w:b/>
        <w:bCs/>
      </w:rPr>
    </w:pPr>
    <w:r>
      <w:rPr>
        <w:rFonts w:hint="eastAsia" w:asciiTheme="minorEastAsia" w:hAnsiTheme="minorEastAsia"/>
        <w:bCs/>
      </w:rPr>
      <w:t>湖北省政府采购中心编制</w:t>
    </w:r>
    <w:r>
      <w:rPr>
        <w:rFonts w:asciiTheme="minorEastAsia" w:hAnsiTheme="minorEastAsia"/>
        <w:bCs/>
      </w:rPr>
      <w:t>V3.0.2017.0930</w:t>
    </w:r>
  </w:p>
  <w:p>
    <w:pPr>
      <w:pStyle w:val="15"/>
      <w:tabs>
        <w:tab w:val="clear" w:pos="4153"/>
        <w:tab w:val="clear" w:pos="8306"/>
      </w:tabs>
      <w:jc w:val="center"/>
      <w:rPr>
        <w:rFonts w:asciiTheme="minorEastAsia" w:hAnsiTheme="minorEastAsia"/>
      </w:rPr>
    </w:pPr>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22</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63</w:t>
    </w:r>
    <w:r>
      <w:rPr>
        <w:rFonts w:asciiTheme="minorEastAsia" w:hAnsiTheme="minorEastAsia"/>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000000" w:themeColor="text1" w:sz="4" w:space="1"/>
      </w:pBdr>
      <w:tabs>
        <w:tab w:val="clear" w:pos="4153"/>
        <w:tab w:val="clear" w:pos="8306"/>
      </w:tabs>
      <w:ind w:right="-9" w:firstLine="360" w:firstLineChars="200"/>
      <w:jc w:val="right"/>
    </w:pPr>
    <w:r>
      <w:rPr>
        <w:rFonts w:hint="eastAsia" w:asciiTheme="minorEastAsia" w:hAnsiTheme="minorEastAsia"/>
        <w:u w:val="single"/>
        <w:lang w:eastAsia="zh-CN"/>
      </w:rPr>
      <w:t>至诚工程咨询有限公司</w:t>
    </w:r>
    <w:r>
      <w:rPr>
        <w:rFonts w:hint="eastAsia" w:asciiTheme="minorEastAsia" w:hAnsiTheme="minorEastAsia"/>
      </w:rPr>
      <w:t>制</w:t>
    </w:r>
  </w:p>
  <w:p>
    <w:pPr>
      <w:pStyle w:val="15"/>
      <w:pBdr>
        <w:top w:val="single" w:color="000000" w:themeColor="text1" w:sz="4" w:space="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Pr>
            <w:rFonts w:asciiTheme="minorEastAsia" w:hAnsiTheme="minorEastAsia"/>
            <w:b/>
            <w:bCs/>
          </w:rPr>
          <w:instrText xml:space="preserve">PAGE</w:instrText>
        </w:r>
        <w:r>
          <w:rPr>
            <w:rFonts w:asciiTheme="minorEastAsia" w:hAnsiTheme="minorEastAsia"/>
            <w:b/>
            <w:bCs/>
          </w:rPr>
          <w:fldChar w:fldCharType="separate"/>
        </w:r>
        <w:r>
          <w:rPr>
            <w:rFonts w:asciiTheme="minorEastAsia" w:hAnsiTheme="minorEastAsia"/>
            <w:b/>
            <w:bCs/>
          </w:rPr>
          <w:t>41</w:t>
        </w:r>
        <w:r>
          <w:rPr>
            <w:rFonts w:asciiTheme="minorEastAsia" w:hAnsiTheme="minorEastAsia"/>
            <w:b/>
            <w:bCs/>
          </w:rPr>
          <w:fldChar w:fldCharType="end"/>
        </w:r>
        <w:r>
          <w:rPr>
            <w:rFonts w:asciiTheme="minorEastAsia" w:hAnsiTheme="minorEastAsia"/>
            <w:b/>
            <w:lang w:val="zh-CN"/>
          </w:rPr>
          <w:t xml:space="preserve"> / </w:t>
        </w:r>
        <w:r>
          <w:rPr>
            <w:rFonts w:asciiTheme="minorEastAsia" w:hAnsiTheme="minorEastAsia"/>
            <w:b/>
            <w:bCs/>
          </w:rPr>
          <w:fldChar w:fldCharType="begin"/>
        </w:r>
        <w:r>
          <w:rPr>
            <w:rFonts w:asciiTheme="minorEastAsia" w:hAnsiTheme="minorEastAsia"/>
            <w:b/>
            <w:bCs/>
          </w:rPr>
          <w:instrText xml:space="preserve">NUMPAGES</w:instrText>
        </w:r>
        <w:r>
          <w:rPr>
            <w:rFonts w:asciiTheme="minorEastAsia" w:hAnsiTheme="minorEastAsia"/>
            <w:b/>
            <w:bCs/>
          </w:rPr>
          <w:fldChar w:fldCharType="separate"/>
        </w:r>
        <w:r>
          <w:rPr>
            <w:rFonts w:asciiTheme="minorEastAsia" w:hAnsiTheme="minorEastAsia"/>
            <w:b/>
            <w:bCs/>
          </w:rPr>
          <w:t>62</w:t>
        </w:r>
        <w:r>
          <w:rPr>
            <w:rFonts w:asciiTheme="minorEastAsia" w:hAnsiTheme="minorEastAsia"/>
            <w:b/>
            <w:bCs/>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tabs>
        <w:tab w:val="left" w:pos="675"/>
        <w:tab w:val="center" w:pos="4762"/>
      </w:tabs>
      <w:jc w:val="left"/>
    </w:pPr>
  </w:p>
  <w:p>
    <w:pPr>
      <w:adjustRightInd w:val="0"/>
      <w:snapToGrid w:val="0"/>
      <w:spacing w:line="36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s>
      <w:jc w:val="left"/>
      <w:rPr>
        <w:rFonts w:asciiTheme="minorEastAsia" w:hAnsiTheme="minorEastAsia"/>
        <w:b/>
      </w:rPr>
    </w:pPr>
    <w:r>
      <w:rPr>
        <w:rFonts w:hint="eastAsia" w:asciiTheme="minorEastAsia" w:hAnsiTheme="minorEastAsia"/>
        <w:b/>
      </w:rPr>
      <w:t>项目名称：XXXXXXXXXXXX项目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hint="eastAsia"/>
        <w:bCs/>
        <w:color w:val="000000" w:themeColor="text1"/>
        <w:spacing w:val="-6"/>
        <w:sz w:val="21"/>
        <w:szCs w:val="21"/>
        <w:lang w:eastAsia="zh-CN"/>
        <w14:textFill>
          <w14:solidFill>
            <w14:schemeClr w14:val="tx1"/>
          </w14:solidFill>
        </w14:textFill>
      </w:rPr>
    </w:pPr>
    <w:r>
      <w:rPr>
        <w:rFonts w:hint="eastAsia"/>
        <w:bCs/>
        <w:color w:val="000000" w:themeColor="text1"/>
        <w:spacing w:val="-6"/>
        <w:sz w:val="21"/>
        <w:szCs w:val="21"/>
        <w:lang w:eastAsia="zh-CN"/>
        <w14:textFill>
          <w14:solidFill>
            <w14:schemeClr w14:val="tx1"/>
          </w14:solidFill>
        </w14:textFill>
      </w:rPr>
      <w:t>阳新县2022年灭螺与防治药品采购项目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85FBD"/>
    <w:multiLevelType w:val="singleLevel"/>
    <w:tmpl w:val="F4B85FBD"/>
    <w:lvl w:ilvl="0" w:tentative="0">
      <w:start w:val="1"/>
      <w:numFmt w:val="decimal"/>
      <w:suff w:val="nothing"/>
      <w:lvlText w:val="%1、"/>
      <w:lvlJc w:val="left"/>
    </w:lvl>
  </w:abstractNum>
  <w:abstractNum w:abstractNumId="1">
    <w:nsid w:val="0068509E"/>
    <w:multiLevelType w:val="multilevel"/>
    <w:tmpl w:val="0068509E"/>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3226416"/>
    <w:multiLevelType w:val="multilevel"/>
    <w:tmpl w:val="03226416"/>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F56DAF"/>
    <w:multiLevelType w:val="multilevel"/>
    <w:tmpl w:val="03F56DAF"/>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5">
    <w:nsid w:val="080D1652"/>
    <w:multiLevelType w:val="multilevel"/>
    <w:tmpl w:val="080D1652"/>
    <w:lvl w:ilvl="0" w:tentative="0">
      <w:start w:val="1"/>
      <w:numFmt w:val="decimal"/>
      <w:lvlText w:val="2.%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6">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7">
    <w:nsid w:val="092D2B91"/>
    <w:multiLevelType w:val="multilevel"/>
    <w:tmpl w:val="092D2B91"/>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B600DC"/>
    <w:multiLevelType w:val="multilevel"/>
    <w:tmpl w:val="0EB600DC"/>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F196355"/>
    <w:multiLevelType w:val="multilevel"/>
    <w:tmpl w:val="0F19635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00F5420"/>
    <w:multiLevelType w:val="multilevel"/>
    <w:tmpl w:val="100F5420"/>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1">
    <w:nsid w:val="12F3169F"/>
    <w:multiLevelType w:val="multilevel"/>
    <w:tmpl w:val="12F3169F"/>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43A1834"/>
    <w:multiLevelType w:val="multilevel"/>
    <w:tmpl w:val="143A1834"/>
    <w:lvl w:ilvl="0" w:tentative="0">
      <w:start w:val="1"/>
      <w:numFmt w:val="chineseCountingThousand"/>
      <w:lvlText w:val="附件%1、"/>
      <w:lvlJc w:val="left"/>
      <w:pPr>
        <w:ind w:left="420" w:hanging="420"/>
      </w:pPr>
      <w:rPr>
        <w:rFonts w:hint="eastAsia" w:ascii="宋体" w:hAnsi="宋体" w:eastAsia="宋体"/>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5DE1A41"/>
    <w:multiLevelType w:val="multilevel"/>
    <w:tmpl w:val="15DE1A41"/>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4">
    <w:nsid w:val="15F76080"/>
    <w:multiLevelType w:val="multilevel"/>
    <w:tmpl w:val="15F76080"/>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5">
    <w:nsid w:val="16962145"/>
    <w:multiLevelType w:val="multilevel"/>
    <w:tmpl w:val="16962145"/>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51B2B6C"/>
    <w:multiLevelType w:val="multilevel"/>
    <w:tmpl w:val="251B2B6C"/>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7">
    <w:nsid w:val="279A794F"/>
    <w:multiLevelType w:val="multilevel"/>
    <w:tmpl w:val="279A794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8">
    <w:nsid w:val="27FE7BA7"/>
    <w:multiLevelType w:val="multilevel"/>
    <w:tmpl w:val="27FE7BA7"/>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19">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8AA4AF5"/>
    <w:multiLevelType w:val="multilevel"/>
    <w:tmpl w:val="28AA4AF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21">
    <w:nsid w:val="29735AF9"/>
    <w:multiLevelType w:val="multilevel"/>
    <w:tmpl w:val="29735AF9"/>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2ABF2833"/>
    <w:multiLevelType w:val="multilevel"/>
    <w:tmpl w:val="2ABF2833"/>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CC65A04"/>
    <w:multiLevelType w:val="multilevel"/>
    <w:tmpl w:val="2CC65A04"/>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2D850054"/>
    <w:multiLevelType w:val="multilevel"/>
    <w:tmpl w:val="2D850054"/>
    <w:lvl w:ilvl="0" w:tentative="0">
      <w:start w:val="1"/>
      <w:numFmt w:val="decimal"/>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30B24872"/>
    <w:multiLevelType w:val="multilevel"/>
    <w:tmpl w:val="30B24872"/>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26">
    <w:nsid w:val="311832AE"/>
    <w:multiLevelType w:val="multilevel"/>
    <w:tmpl w:val="311832A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15F4B3A"/>
    <w:multiLevelType w:val="multilevel"/>
    <w:tmpl w:val="315F4B3A"/>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8">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5442C9F"/>
    <w:multiLevelType w:val="multilevel"/>
    <w:tmpl w:val="35442C9F"/>
    <w:lvl w:ilvl="0" w:tentative="0">
      <w:start w:val="1"/>
      <w:numFmt w:val="decimal"/>
      <w:lvlText w:val="（%1）"/>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0">
    <w:nsid w:val="37C132BF"/>
    <w:multiLevelType w:val="multilevel"/>
    <w:tmpl w:val="37C132BF"/>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8F606C2"/>
    <w:multiLevelType w:val="multilevel"/>
    <w:tmpl w:val="38F606C2"/>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B707E3F"/>
    <w:multiLevelType w:val="multilevel"/>
    <w:tmpl w:val="3B707E3F"/>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33">
    <w:nsid w:val="3DE06FC6"/>
    <w:multiLevelType w:val="multilevel"/>
    <w:tmpl w:val="3DE06FC6"/>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3FF72387"/>
    <w:multiLevelType w:val="multilevel"/>
    <w:tmpl w:val="3FF72387"/>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35">
    <w:nsid w:val="40E6015E"/>
    <w:multiLevelType w:val="multilevel"/>
    <w:tmpl w:val="40E6015E"/>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6">
    <w:nsid w:val="41730A17"/>
    <w:multiLevelType w:val="multilevel"/>
    <w:tmpl w:val="41730A17"/>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37">
    <w:nsid w:val="440821F5"/>
    <w:multiLevelType w:val="multilevel"/>
    <w:tmpl w:val="440821F5"/>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45F2796"/>
    <w:multiLevelType w:val="multilevel"/>
    <w:tmpl w:val="445F2796"/>
    <w:lvl w:ilvl="0" w:tentative="0">
      <w:start w:val="1"/>
      <w:numFmt w:val="decimal"/>
      <w:lvlText w:val="2.%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48C5903C"/>
    <w:multiLevelType w:val="singleLevel"/>
    <w:tmpl w:val="48C5903C"/>
    <w:lvl w:ilvl="0" w:tentative="0">
      <w:start w:val="6"/>
      <w:numFmt w:val="decimal"/>
      <w:suff w:val="nothing"/>
      <w:lvlText w:val="%1、"/>
      <w:lvlJc w:val="left"/>
    </w:lvl>
  </w:abstractNum>
  <w:abstractNum w:abstractNumId="40">
    <w:nsid w:val="4D575265"/>
    <w:multiLevelType w:val="multilevel"/>
    <w:tmpl w:val="4D575265"/>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1">
    <w:nsid w:val="4EAF5455"/>
    <w:multiLevelType w:val="multilevel"/>
    <w:tmpl w:val="4EAF545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05F200A"/>
    <w:multiLevelType w:val="multilevel"/>
    <w:tmpl w:val="505F200A"/>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3">
    <w:nsid w:val="54AC2495"/>
    <w:multiLevelType w:val="multilevel"/>
    <w:tmpl w:val="54AC2495"/>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56886DD6"/>
    <w:multiLevelType w:val="multilevel"/>
    <w:tmpl w:val="56886DD6"/>
    <w:lvl w:ilvl="0" w:tentative="0">
      <w:start w:val="1"/>
      <w:numFmt w:val="chineseCountingThousand"/>
      <w:lvlText w:val="%1、"/>
      <w:lvlJc w:val="left"/>
      <w:pPr>
        <w:ind w:left="420" w:hanging="420"/>
      </w:pPr>
      <w:rPr>
        <w:rFonts w:hint="default" w:ascii="黑体" w:hAnsi="黑体" w:eastAsia="黑体"/>
        <w:b/>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570117E4"/>
    <w:multiLevelType w:val="multilevel"/>
    <w:tmpl w:val="570117E4"/>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77C0B87"/>
    <w:multiLevelType w:val="multilevel"/>
    <w:tmpl w:val="577C0B87"/>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9A852BA"/>
    <w:multiLevelType w:val="multilevel"/>
    <w:tmpl w:val="59A852BA"/>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48">
    <w:nsid w:val="5F504802"/>
    <w:multiLevelType w:val="multilevel"/>
    <w:tmpl w:val="5F504802"/>
    <w:lvl w:ilvl="0" w:tentative="0">
      <w:start w:val="1"/>
      <w:numFmt w:val="decimal"/>
      <w:lvlText w:val="20.1.%1 "/>
      <w:lvlJc w:val="left"/>
      <w:pPr>
        <w:ind w:left="562" w:hanging="420"/>
      </w:pPr>
      <w:rPr>
        <w:rFonts w:hint="eastAsia" w:ascii="楷体" w:hAnsi="楷体" w:eastAsia="楷体"/>
        <w:b w:val="0"/>
        <w:strike w:val="0"/>
        <w:dstrike w:val="0"/>
        <w:color w:val="auto"/>
        <w:u w:val="none"/>
      </w:rPr>
    </w:lvl>
    <w:lvl w:ilvl="1" w:tentative="0">
      <w:start w:val="1"/>
      <w:numFmt w:val="lowerLetter"/>
      <w:lvlText w:val="%2)"/>
      <w:lvlJc w:val="left"/>
      <w:pPr>
        <w:ind w:left="779" w:hanging="420"/>
      </w:pPr>
    </w:lvl>
    <w:lvl w:ilvl="2" w:tentative="0">
      <w:start w:val="1"/>
      <w:numFmt w:val="lowerRoman"/>
      <w:lvlText w:val="%3."/>
      <w:lvlJc w:val="right"/>
      <w:pPr>
        <w:ind w:left="1199" w:hanging="420"/>
      </w:pPr>
    </w:lvl>
    <w:lvl w:ilvl="3" w:tentative="0">
      <w:start w:val="1"/>
      <w:numFmt w:val="decimal"/>
      <w:lvlText w:val="%4."/>
      <w:lvlJc w:val="left"/>
      <w:pPr>
        <w:ind w:left="1619" w:hanging="420"/>
      </w:pPr>
    </w:lvl>
    <w:lvl w:ilvl="4" w:tentative="0">
      <w:start w:val="1"/>
      <w:numFmt w:val="lowerLetter"/>
      <w:lvlText w:val="%5)"/>
      <w:lvlJc w:val="left"/>
      <w:pPr>
        <w:ind w:left="2039" w:hanging="420"/>
      </w:pPr>
    </w:lvl>
    <w:lvl w:ilvl="5" w:tentative="0">
      <w:start w:val="1"/>
      <w:numFmt w:val="lowerRoman"/>
      <w:lvlText w:val="%6."/>
      <w:lvlJc w:val="right"/>
      <w:pPr>
        <w:ind w:left="2459" w:hanging="420"/>
      </w:pPr>
    </w:lvl>
    <w:lvl w:ilvl="6" w:tentative="0">
      <w:start w:val="1"/>
      <w:numFmt w:val="decimal"/>
      <w:lvlText w:val="%7."/>
      <w:lvlJc w:val="left"/>
      <w:pPr>
        <w:ind w:left="2879" w:hanging="420"/>
      </w:pPr>
    </w:lvl>
    <w:lvl w:ilvl="7" w:tentative="0">
      <w:start w:val="1"/>
      <w:numFmt w:val="lowerLetter"/>
      <w:lvlText w:val="%8)"/>
      <w:lvlJc w:val="left"/>
      <w:pPr>
        <w:ind w:left="3299" w:hanging="420"/>
      </w:pPr>
    </w:lvl>
    <w:lvl w:ilvl="8" w:tentative="0">
      <w:start w:val="1"/>
      <w:numFmt w:val="lowerRoman"/>
      <w:lvlText w:val="%9."/>
      <w:lvlJc w:val="right"/>
      <w:pPr>
        <w:ind w:left="3719" w:hanging="420"/>
      </w:pPr>
    </w:lvl>
  </w:abstractNum>
  <w:abstractNum w:abstractNumId="49">
    <w:nsid w:val="61F95093"/>
    <w:multiLevelType w:val="multilevel"/>
    <w:tmpl w:val="61F95093"/>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643B08CA"/>
    <w:multiLevelType w:val="multilevel"/>
    <w:tmpl w:val="643B08CA"/>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51">
    <w:nsid w:val="64E31E93"/>
    <w:multiLevelType w:val="multilevel"/>
    <w:tmpl w:val="64E31E93"/>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9647823"/>
    <w:multiLevelType w:val="multilevel"/>
    <w:tmpl w:val="6964782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B81BFFD"/>
    <w:multiLevelType w:val="singleLevel"/>
    <w:tmpl w:val="6B81BFFD"/>
    <w:lvl w:ilvl="0" w:tentative="0">
      <w:start w:val="4"/>
      <w:numFmt w:val="chineseCounting"/>
      <w:suff w:val="nothing"/>
      <w:lvlText w:val="%1、"/>
      <w:lvlJc w:val="left"/>
      <w:rPr>
        <w:rFonts w:hint="eastAsia"/>
      </w:rPr>
    </w:lvl>
  </w:abstractNum>
  <w:abstractNum w:abstractNumId="54">
    <w:nsid w:val="6B887DF2"/>
    <w:multiLevelType w:val="multilevel"/>
    <w:tmpl w:val="6B887DF2"/>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0DD1B88"/>
    <w:multiLevelType w:val="multilevel"/>
    <w:tmpl w:val="70DD1B88"/>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6">
    <w:nsid w:val="71581402"/>
    <w:multiLevelType w:val="multilevel"/>
    <w:tmpl w:val="71581402"/>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71731B18"/>
    <w:multiLevelType w:val="multilevel"/>
    <w:tmpl w:val="71731B18"/>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730B37A3"/>
    <w:multiLevelType w:val="multilevel"/>
    <w:tmpl w:val="730B37A3"/>
    <w:lvl w:ilvl="0" w:tentative="0">
      <w:start w:val="1"/>
      <w:numFmt w:val="decimal"/>
      <w:lvlText w:val="2.%1"/>
      <w:lvlJc w:val="left"/>
      <w:pPr>
        <w:ind w:left="372" w:hanging="420"/>
      </w:pPr>
      <w:rPr>
        <w:rFonts w:hint="default" w:ascii="仿宋" w:hAnsi="仿宋" w:eastAsia="仿宋"/>
        <w:b w:val="0"/>
        <w:color w:val="auto"/>
      </w:rPr>
    </w:lvl>
    <w:lvl w:ilvl="1" w:tentative="0">
      <w:start w:val="1"/>
      <w:numFmt w:val="lowerLetter"/>
      <w:lvlText w:val="%2)"/>
      <w:lvlJc w:val="left"/>
      <w:pPr>
        <w:ind w:left="792" w:hanging="420"/>
      </w:p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59">
    <w:nsid w:val="768933D5"/>
    <w:multiLevelType w:val="multilevel"/>
    <w:tmpl w:val="768933D5"/>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60">
    <w:nsid w:val="774C7C21"/>
    <w:multiLevelType w:val="multilevel"/>
    <w:tmpl w:val="774C7C2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786B7301"/>
    <w:multiLevelType w:val="multilevel"/>
    <w:tmpl w:val="786B7301"/>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97F553B"/>
    <w:multiLevelType w:val="multilevel"/>
    <w:tmpl w:val="797F553B"/>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3">
    <w:nsid w:val="7A0C6CFB"/>
    <w:multiLevelType w:val="multilevel"/>
    <w:tmpl w:val="7A0C6CFB"/>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1"/>
  </w:num>
  <w:num w:numId="2">
    <w:abstractNumId w:val="53"/>
  </w:num>
  <w:num w:numId="3">
    <w:abstractNumId w:val="28"/>
  </w:num>
  <w:num w:numId="4">
    <w:abstractNumId w:val="44"/>
  </w:num>
  <w:num w:numId="5">
    <w:abstractNumId w:val="2"/>
  </w:num>
  <w:num w:numId="6">
    <w:abstractNumId w:val="37"/>
  </w:num>
  <w:num w:numId="7">
    <w:abstractNumId w:val="15"/>
  </w:num>
  <w:num w:numId="8">
    <w:abstractNumId w:val="7"/>
  </w:num>
  <w:num w:numId="9">
    <w:abstractNumId w:val="50"/>
  </w:num>
  <w:num w:numId="10">
    <w:abstractNumId w:val="30"/>
  </w:num>
  <w:num w:numId="11">
    <w:abstractNumId w:val="47"/>
  </w:num>
  <w:num w:numId="12">
    <w:abstractNumId w:val="27"/>
  </w:num>
  <w:num w:numId="13">
    <w:abstractNumId w:val="6"/>
  </w:num>
  <w:num w:numId="14">
    <w:abstractNumId w:val="21"/>
  </w:num>
  <w:num w:numId="15">
    <w:abstractNumId w:val="22"/>
  </w:num>
  <w:num w:numId="16">
    <w:abstractNumId w:val="10"/>
  </w:num>
  <w:num w:numId="17">
    <w:abstractNumId w:val="9"/>
  </w:num>
  <w:num w:numId="18">
    <w:abstractNumId w:val="60"/>
  </w:num>
  <w:num w:numId="19">
    <w:abstractNumId w:val="11"/>
  </w:num>
  <w:num w:numId="20">
    <w:abstractNumId w:val="26"/>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63"/>
  </w:num>
  <w:num w:numId="25">
    <w:abstractNumId w:val="45"/>
  </w:num>
  <w:num w:numId="26">
    <w:abstractNumId w:val="56"/>
  </w:num>
  <w:num w:numId="27">
    <w:abstractNumId w:val="61"/>
  </w:num>
  <w:num w:numId="28">
    <w:abstractNumId w:val="43"/>
  </w:num>
  <w:num w:numId="29">
    <w:abstractNumId w:val="8"/>
  </w:num>
  <w:num w:numId="30">
    <w:abstractNumId w:val="18"/>
  </w:num>
  <w:num w:numId="31">
    <w:abstractNumId w:val="57"/>
  </w:num>
  <w:num w:numId="32">
    <w:abstractNumId w:val="51"/>
  </w:num>
  <w:num w:numId="33">
    <w:abstractNumId w:val="35"/>
  </w:num>
  <w:num w:numId="34">
    <w:abstractNumId w:val="49"/>
  </w:num>
  <w:num w:numId="35">
    <w:abstractNumId w:val="23"/>
  </w:num>
  <w:num w:numId="36">
    <w:abstractNumId w:val="52"/>
  </w:num>
  <w:num w:numId="37">
    <w:abstractNumId w:val="1"/>
  </w:num>
  <w:num w:numId="38">
    <w:abstractNumId w:val="39"/>
  </w:num>
  <w:num w:numId="39">
    <w:abstractNumId w:val="0"/>
  </w:num>
  <w:num w:numId="40">
    <w:abstractNumId w:val="46"/>
  </w:num>
  <w:num w:numId="41">
    <w:abstractNumId w:val="24"/>
  </w:num>
  <w:num w:numId="42">
    <w:abstractNumId w:val="42"/>
  </w:num>
  <w:num w:numId="43">
    <w:abstractNumId w:val="29"/>
  </w:num>
  <w:num w:numId="44">
    <w:abstractNumId w:val="38"/>
  </w:num>
  <w:num w:numId="45">
    <w:abstractNumId w:val="31"/>
  </w:num>
  <w:num w:numId="46">
    <w:abstractNumId w:val="16"/>
  </w:num>
  <w:num w:numId="47">
    <w:abstractNumId w:val="62"/>
  </w:num>
  <w:num w:numId="48">
    <w:abstractNumId w:val="4"/>
  </w:num>
  <w:num w:numId="49">
    <w:abstractNumId w:val="17"/>
  </w:num>
  <w:num w:numId="50">
    <w:abstractNumId w:val="25"/>
  </w:num>
  <w:num w:numId="51">
    <w:abstractNumId w:val="5"/>
  </w:num>
  <w:num w:numId="52">
    <w:abstractNumId w:val="14"/>
  </w:num>
  <w:num w:numId="53">
    <w:abstractNumId w:val="32"/>
  </w:num>
  <w:num w:numId="54">
    <w:abstractNumId w:val="55"/>
  </w:num>
  <w:num w:numId="55">
    <w:abstractNumId w:val="40"/>
  </w:num>
  <w:num w:numId="56">
    <w:abstractNumId w:val="13"/>
  </w:num>
  <w:num w:numId="57">
    <w:abstractNumId w:val="20"/>
  </w:num>
  <w:num w:numId="58">
    <w:abstractNumId w:val="58"/>
  </w:num>
  <w:num w:numId="59">
    <w:abstractNumId w:val="34"/>
  </w:num>
  <w:num w:numId="60">
    <w:abstractNumId w:val="59"/>
  </w:num>
  <w:num w:numId="61">
    <w:abstractNumId w:val="12"/>
  </w:num>
  <w:num w:numId="62">
    <w:abstractNumId w:val="54"/>
  </w:num>
  <w:num w:numId="63">
    <w:abstractNumId w:val="19"/>
  </w:num>
  <w:num w:numId="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415"/>
    <w:rsid w:val="00002D40"/>
    <w:rsid w:val="000068A2"/>
    <w:rsid w:val="00016562"/>
    <w:rsid w:val="00017BE8"/>
    <w:rsid w:val="00020344"/>
    <w:rsid w:val="00033032"/>
    <w:rsid w:val="00036A8C"/>
    <w:rsid w:val="00040B72"/>
    <w:rsid w:val="00042640"/>
    <w:rsid w:val="00046CAA"/>
    <w:rsid w:val="000658A4"/>
    <w:rsid w:val="00075213"/>
    <w:rsid w:val="0007595C"/>
    <w:rsid w:val="00077E85"/>
    <w:rsid w:val="000812D6"/>
    <w:rsid w:val="00081EFC"/>
    <w:rsid w:val="000855FE"/>
    <w:rsid w:val="0008587E"/>
    <w:rsid w:val="00086DC3"/>
    <w:rsid w:val="00092450"/>
    <w:rsid w:val="00095415"/>
    <w:rsid w:val="000B1EA5"/>
    <w:rsid w:val="000B3053"/>
    <w:rsid w:val="000B42CE"/>
    <w:rsid w:val="000C1DBB"/>
    <w:rsid w:val="000C2224"/>
    <w:rsid w:val="000C46E9"/>
    <w:rsid w:val="000D274B"/>
    <w:rsid w:val="000E0271"/>
    <w:rsid w:val="000E36E2"/>
    <w:rsid w:val="000E4686"/>
    <w:rsid w:val="000F64E0"/>
    <w:rsid w:val="00100585"/>
    <w:rsid w:val="00102CDB"/>
    <w:rsid w:val="00105BC5"/>
    <w:rsid w:val="00107608"/>
    <w:rsid w:val="00122C84"/>
    <w:rsid w:val="00131900"/>
    <w:rsid w:val="00133220"/>
    <w:rsid w:val="001338E8"/>
    <w:rsid w:val="0013691F"/>
    <w:rsid w:val="001641C9"/>
    <w:rsid w:val="00173975"/>
    <w:rsid w:val="00177C62"/>
    <w:rsid w:val="00185E9A"/>
    <w:rsid w:val="001A0AB1"/>
    <w:rsid w:val="001A1335"/>
    <w:rsid w:val="001A2B2A"/>
    <w:rsid w:val="001A54E8"/>
    <w:rsid w:val="001B03BB"/>
    <w:rsid w:val="001B38CD"/>
    <w:rsid w:val="001B6C3D"/>
    <w:rsid w:val="001B7441"/>
    <w:rsid w:val="001C1A58"/>
    <w:rsid w:val="001C7B23"/>
    <w:rsid w:val="001D2460"/>
    <w:rsid w:val="001D3EE7"/>
    <w:rsid w:val="001D4BF5"/>
    <w:rsid w:val="001D4EAB"/>
    <w:rsid w:val="001D6085"/>
    <w:rsid w:val="001D7598"/>
    <w:rsid w:val="001E157C"/>
    <w:rsid w:val="001E5D69"/>
    <w:rsid w:val="001E7CEA"/>
    <w:rsid w:val="001F002C"/>
    <w:rsid w:val="002002B5"/>
    <w:rsid w:val="00211625"/>
    <w:rsid w:val="00220470"/>
    <w:rsid w:val="00222B0D"/>
    <w:rsid w:val="00223408"/>
    <w:rsid w:val="002234E8"/>
    <w:rsid w:val="002334D5"/>
    <w:rsid w:val="00236772"/>
    <w:rsid w:val="002426EA"/>
    <w:rsid w:val="002446C6"/>
    <w:rsid w:val="0026342E"/>
    <w:rsid w:val="00265D6A"/>
    <w:rsid w:val="00273CC3"/>
    <w:rsid w:val="00276CFD"/>
    <w:rsid w:val="002774C0"/>
    <w:rsid w:val="00277541"/>
    <w:rsid w:val="00282BB3"/>
    <w:rsid w:val="00293211"/>
    <w:rsid w:val="002949F9"/>
    <w:rsid w:val="00295F64"/>
    <w:rsid w:val="002968E3"/>
    <w:rsid w:val="002B3F35"/>
    <w:rsid w:val="002B5D25"/>
    <w:rsid w:val="002B7581"/>
    <w:rsid w:val="002C38E4"/>
    <w:rsid w:val="002C7FA6"/>
    <w:rsid w:val="002D07BB"/>
    <w:rsid w:val="002D3BCA"/>
    <w:rsid w:val="002D412B"/>
    <w:rsid w:val="002E09C6"/>
    <w:rsid w:val="002E2DBD"/>
    <w:rsid w:val="002E46D6"/>
    <w:rsid w:val="002F7703"/>
    <w:rsid w:val="003108ED"/>
    <w:rsid w:val="00310B7E"/>
    <w:rsid w:val="00310F98"/>
    <w:rsid w:val="0031441D"/>
    <w:rsid w:val="00314B08"/>
    <w:rsid w:val="00315B2B"/>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21F4"/>
    <w:rsid w:val="00383221"/>
    <w:rsid w:val="00386E0E"/>
    <w:rsid w:val="00393E94"/>
    <w:rsid w:val="003A1DED"/>
    <w:rsid w:val="003B0D5A"/>
    <w:rsid w:val="003B4F8E"/>
    <w:rsid w:val="003B718F"/>
    <w:rsid w:val="003B7A0D"/>
    <w:rsid w:val="003C2008"/>
    <w:rsid w:val="003C2241"/>
    <w:rsid w:val="003C6083"/>
    <w:rsid w:val="003D1759"/>
    <w:rsid w:val="003D5E80"/>
    <w:rsid w:val="003E0B35"/>
    <w:rsid w:val="003E5643"/>
    <w:rsid w:val="003F076C"/>
    <w:rsid w:val="003F2B92"/>
    <w:rsid w:val="003F3007"/>
    <w:rsid w:val="0040329E"/>
    <w:rsid w:val="0040679C"/>
    <w:rsid w:val="00406BC4"/>
    <w:rsid w:val="004110F8"/>
    <w:rsid w:val="00413D71"/>
    <w:rsid w:val="00414A80"/>
    <w:rsid w:val="004161BA"/>
    <w:rsid w:val="0042169F"/>
    <w:rsid w:val="004349F3"/>
    <w:rsid w:val="0043503C"/>
    <w:rsid w:val="00436CC2"/>
    <w:rsid w:val="004475F1"/>
    <w:rsid w:val="00451751"/>
    <w:rsid w:val="00456E3D"/>
    <w:rsid w:val="00457308"/>
    <w:rsid w:val="004605F3"/>
    <w:rsid w:val="00461DFE"/>
    <w:rsid w:val="00476E59"/>
    <w:rsid w:val="0048338A"/>
    <w:rsid w:val="00484C57"/>
    <w:rsid w:val="004871A8"/>
    <w:rsid w:val="004912A5"/>
    <w:rsid w:val="004A4F81"/>
    <w:rsid w:val="004B0CC2"/>
    <w:rsid w:val="004B118F"/>
    <w:rsid w:val="004B22DE"/>
    <w:rsid w:val="004B4BED"/>
    <w:rsid w:val="004C1027"/>
    <w:rsid w:val="004C214B"/>
    <w:rsid w:val="004C62F7"/>
    <w:rsid w:val="004C750B"/>
    <w:rsid w:val="004D548F"/>
    <w:rsid w:val="004E00F2"/>
    <w:rsid w:val="004E3B18"/>
    <w:rsid w:val="004E40B4"/>
    <w:rsid w:val="004E48AF"/>
    <w:rsid w:val="004E5A44"/>
    <w:rsid w:val="004F21F4"/>
    <w:rsid w:val="004F3B73"/>
    <w:rsid w:val="004F43AD"/>
    <w:rsid w:val="005025B6"/>
    <w:rsid w:val="00505290"/>
    <w:rsid w:val="00511E96"/>
    <w:rsid w:val="0051229B"/>
    <w:rsid w:val="005130B9"/>
    <w:rsid w:val="0051781B"/>
    <w:rsid w:val="005226FC"/>
    <w:rsid w:val="00522A02"/>
    <w:rsid w:val="00522D80"/>
    <w:rsid w:val="00525A93"/>
    <w:rsid w:val="005343DA"/>
    <w:rsid w:val="005437D7"/>
    <w:rsid w:val="005445A9"/>
    <w:rsid w:val="00545B0F"/>
    <w:rsid w:val="00545EDA"/>
    <w:rsid w:val="00552BFE"/>
    <w:rsid w:val="005561FB"/>
    <w:rsid w:val="00556850"/>
    <w:rsid w:val="00557511"/>
    <w:rsid w:val="00560FA5"/>
    <w:rsid w:val="00566563"/>
    <w:rsid w:val="00573437"/>
    <w:rsid w:val="0057573F"/>
    <w:rsid w:val="00580FFF"/>
    <w:rsid w:val="005813AA"/>
    <w:rsid w:val="0058585A"/>
    <w:rsid w:val="005865A5"/>
    <w:rsid w:val="005967BA"/>
    <w:rsid w:val="005A58A0"/>
    <w:rsid w:val="005A7923"/>
    <w:rsid w:val="005A7CA7"/>
    <w:rsid w:val="005B12FC"/>
    <w:rsid w:val="005B38A1"/>
    <w:rsid w:val="005B3EB5"/>
    <w:rsid w:val="005B6D3E"/>
    <w:rsid w:val="005B713A"/>
    <w:rsid w:val="005C31D8"/>
    <w:rsid w:val="005D6632"/>
    <w:rsid w:val="005D6D24"/>
    <w:rsid w:val="005E2664"/>
    <w:rsid w:val="005E3CD4"/>
    <w:rsid w:val="005F1528"/>
    <w:rsid w:val="005F1588"/>
    <w:rsid w:val="005F2449"/>
    <w:rsid w:val="00601112"/>
    <w:rsid w:val="00601990"/>
    <w:rsid w:val="00605C0D"/>
    <w:rsid w:val="00614821"/>
    <w:rsid w:val="00617E7B"/>
    <w:rsid w:val="00623CBB"/>
    <w:rsid w:val="006302AC"/>
    <w:rsid w:val="0063362D"/>
    <w:rsid w:val="00640D44"/>
    <w:rsid w:val="006413DA"/>
    <w:rsid w:val="006440C5"/>
    <w:rsid w:val="00646F35"/>
    <w:rsid w:val="0064700C"/>
    <w:rsid w:val="00651541"/>
    <w:rsid w:val="00663B35"/>
    <w:rsid w:val="00666B23"/>
    <w:rsid w:val="0067786F"/>
    <w:rsid w:val="00680A96"/>
    <w:rsid w:val="006854AE"/>
    <w:rsid w:val="00690659"/>
    <w:rsid w:val="00695EF6"/>
    <w:rsid w:val="006A2B14"/>
    <w:rsid w:val="006A55F4"/>
    <w:rsid w:val="006A6A07"/>
    <w:rsid w:val="006A6C1D"/>
    <w:rsid w:val="006A6C51"/>
    <w:rsid w:val="006A7A3D"/>
    <w:rsid w:val="006C00CA"/>
    <w:rsid w:val="006C0B5F"/>
    <w:rsid w:val="006C0B7B"/>
    <w:rsid w:val="006C1AF1"/>
    <w:rsid w:val="006C6FDC"/>
    <w:rsid w:val="006D0229"/>
    <w:rsid w:val="006D1D6E"/>
    <w:rsid w:val="006F0D07"/>
    <w:rsid w:val="006F49EE"/>
    <w:rsid w:val="00702F6F"/>
    <w:rsid w:val="007135DD"/>
    <w:rsid w:val="007158A1"/>
    <w:rsid w:val="00715E44"/>
    <w:rsid w:val="00722075"/>
    <w:rsid w:val="00723103"/>
    <w:rsid w:val="00725899"/>
    <w:rsid w:val="00725F67"/>
    <w:rsid w:val="007308BA"/>
    <w:rsid w:val="007318D6"/>
    <w:rsid w:val="00731B1A"/>
    <w:rsid w:val="00732E91"/>
    <w:rsid w:val="00737211"/>
    <w:rsid w:val="00742DD3"/>
    <w:rsid w:val="007575FF"/>
    <w:rsid w:val="0077270B"/>
    <w:rsid w:val="00773A2C"/>
    <w:rsid w:val="00774EB7"/>
    <w:rsid w:val="00775A96"/>
    <w:rsid w:val="00780DBA"/>
    <w:rsid w:val="00782541"/>
    <w:rsid w:val="00784AEB"/>
    <w:rsid w:val="00784ED7"/>
    <w:rsid w:val="00786E84"/>
    <w:rsid w:val="00787DAB"/>
    <w:rsid w:val="007A27DA"/>
    <w:rsid w:val="007A2D91"/>
    <w:rsid w:val="007A427D"/>
    <w:rsid w:val="007A4F23"/>
    <w:rsid w:val="007A6B84"/>
    <w:rsid w:val="007A6F5F"/>
    <w:rsid w:val="007C0DA7"/>
    <w:rsid w:val="007C132C"/>
    <w:rsid w:val="007C1D03"/>
    <w:rsid w:val="007D053D"/>
    <w:rsid w:val="007D72CF"/>
    <w:rsid w:val="007E14BE"/>
    <w:rsid w:val="007E3D3C"/>
    <w:rsid w:val="007F504A"/>
    <w:rsid w:val="007F6863"/>
    <w:rsid w:val="007F6F97"/>
    <w:rsid w:val="00802536"/>
    <w:rsid w:val="00804419"/>
    <w:rsid w:val="0081114F"/>
    <w:rsid w:val="008166C4"/>
    <w:rsid w:val="00816910"/>
    <w:rsid w:val="00820E08"/>
    <w:rsid w:val="00821E3D"/>
    <w:rsid w:val="0082486D"/>
    <w:rsid w:val="008258AD"/>
    <w:rsid w:val="00835FDE"/>
    <w:rsid w:val="008456E3"/>
    <w:rsid w:val="00845DF8"/>
    <w:rsid w:val="00852604"/>
    <w:rsid w:val="00863EDD"/>
    <w:rsid w:val="00866FCC"/>
    <w:rsid w:val="00876E59"/>
    <w:rsid w:val="00877211"/>
    <w:rsid w:val="0088586B"/>
    <w:rsid w:val="008879F9"/>
    <w:rsid w:val="008906B3"/>
    <w:rsid w:val="008966BE"/>
    <w:rsid w:val="008A30BA"/>
    <w:rsid w:val="008A5E04"/>
    <w:rsid w:val="008B0002"/>
    <w:rsid w:val="008B4F32"/>
    <w:rsid w:val="008B5601"/>
    <w:rsid w:val="008B6529"/>
    <w:rsid w:val="008C23E3"/>
    <w:rsid w:val="008D35F1"/>
    <w:rsid w:val="008D3612"/>
    <w:rsid w:val="008D5777"/>
    <w:rsid w:val="008D7D59"/>
    <w:rsid w:val="008E2203"/>
    <w:rsid w:val="008F1B81"/>
    <w:rsid w:val="008F3383"/>
    <w:rsid w:val="008F520A"/>
    <w:rsid w:val="009020C7"/>
    <w:rsid w:val="0090240A"/>
    <w:rsid w:val="00903A2D"/>
    <w:rsid w:val="00905F6A"/>
    <w:rsid w:val="00907388"/>
    <w:rsid w:val="00914F14"/>
    <w:rsid w:val="009166FD"/>
    <w:rsid w:val="009231EA"/>
    <w:rsid w:val="00930734"/>
    <w:rsid w:val="009334F9"/>
    <w:rsid w:val="00933750"/>
    <w:rsid w:val="00935E05"/>
    <w:rsid w:val="0093723A"/>
    <w:rsid w:val="009402E6"/>
    <w:rsid w:val="00943F98"/>
    <w:rsid w:val="00947542"/>
    <w:rsid w:val="00954A2F"/>
    <w:rsid w:val="00955AC9"/>
    <w:rsid w:val="00956AAC"/>
    <w:rsid w:val="00967D22"/>
    <w:rsid w:val="0097080D"/>
    <w:rsid w:val="009714FE"/>
    <w:rsid w:val="00973398"/>
    <w:rsid w:val="00982AD3"/>
    <w:rsid w:val="009849C0"/>
    <w:rsid w:val="00985CFC"/>
    <w:rsid w:val="0098774A"/>
    <w:rsid w:val="00990D0C"/>
    <w:rsid w:val="00991EA6"/>
    <w:rsid w:val="009921F4"/>
    <w:rsid w:val="009944A9"/>
    <w:rsid w:val="00996DEE"/>
    <w:rsid w:val="009A0C8D"/>
    <w:rsid w:val="009B11C0"/>
    <w:rsid w:val="009B3048"/>
    <w:rsid w:val="009B3424"/>
    <w:rsid w:val="009D33F8"/>
    <w:rsid w:val="009D36C0"/>
    <w:rsid w:val="009E04AF"/>
    <w:rsid w:val="009E2B86"/>
    <w:rsid w:val="009E6D3C"/>
    <w:rsid w:val="009F522E"/>
    <w:rsid w:val="009F5327"/>
    <w:rsid w:val="00A013C3"/>
    <w:rsid w:val="00A0172F"/>
    <w:rsid w:val="00A0485B"/>
    <w:rsid w:val="00A05AF5"/>
    <w:rsid w:val="00A0777C"/>
    <w:rsid w:val="00A07ED3"/>
    <w:rsid w:val="00A116CE"/>
    <w:rsid w:val="00A1585C"/>
    <w:rsid w:val="00A16E33"/>
    <w:rsid w:val="00A27BC0"/>
    <w:rsid w:val="00A30AE5"/>
    <w:rsid w:val="00A30DFD"/>
    <w:rsid w:val="00A33A80"/>
    <w:rsid w:val="00A3568F"/>
    <w:rsid w:val="00A36FFA"/>
    <w:rsid w:val="00A40BC9"/>
    <w:rsid w:val="00A46DEF"/>
    <w:rsid w:val="00A47519"/>
    <w:rsid w:val="00A5026C"/>
    <w:rsid w:val="00A51D8F"/>
    <w:rsid w:val="00A52A2B"/>
    <w:rsid w:val="00A55199"/>
    <w:rsid w:val="00A62860"/>
    <w:rsid w:val="00A678FB"/>
    <w:rsid w:val="00A813D2"/>
    <w:rsid w:val="00A837A7"/>
    <w:rsid w:val="00A879DB"/>
    <w:rsid w:val="00A92A55"/>
    <w:rsid w:val="00AB2B17"/>
    <w:rsid w:val="00AB3343"/>
    <w:rsid w:val="00AC1ADB"/>
    <w:rsid w:val="00AC1BB4"/>
    <w:rsid w:val="00AC399F"/>
    <w:rsid w:val="00AC584B"/>
    <w:rsid w:val="00AD18FC"/>
    <w:rsid w:val="00AD52A3"/>
    <w:rsid w:val="00AD634F"/>
    <w:rsid w:val="00AE02A5"/>
    <w:rsid w:val="00AF18BF"/>
    <w:rsid w:val="00B002B6"/>
    <w:rsid w:val="00B0070A"/>
    <w:rsid w:val="00B0696E"/>
    <w:rsid w:val="00B161F2"/>
    <w:rsid w:val="00B20FD9"/>
    <w:rsid w:val="00B36D9B"/>
    <w:rsid w:val="00B37F1F"/>
    <w:rsid w:val="00B4413E"/>
    <w:rsid w:val="00B52520"/>
    <w:rsid w:val="00B67CCB"/>
    <w:rsid w:val="00B73233"/>
    <w:rsid w:val="00B73CD6"/>
    <w:rsid w:val="00B77184"/>
    <w:rsid w:val="00B80369"/>
    <w:rsid w:val="00B81B2F"/>
    <w:rsid w:val="00B84A3B"/>
    <w:rsid w:val="00B93416"/>
    <w:rsid w:val="00B956F2"/>
    <w:rsid w:val="00B96DE4"/>
    <w:rsid w:val="00BA438A"/>
    <w:rsid w:val="00BA4681"/>
    <w:rsid w:val="00BB5021"/>
    <w:rsid w:val="00BB78CC"/>
    <w:rsid w:val="00BC2268"/>
    <w:rsid w:val="00BC386C"/>
    <w:rsid w:val="00BC3AA1"/>
    <w:rsid w:val="00BC3C81"/>
    <w:rsid w:val="00BC6967"/>
    <w:rsid w:val="00BD0C54"/>
    <w:rsid w:val="00BD2144"/>
    <w:rsid w:val="00BD62C1"/>
    <w:rsid w:val="00BD681B"/>
    <w:rsid w:val="00BE3563"/>
    <w:rsid w:val="00BF5732"/>
    <w:rsid w:val="00C0257A"/>
    <w:rsid w:val="00C03506"/>
    <w:rsid w:val="00C040D1"/>
    <w:rsid w:val="00C05B9A"/>
    <w:rsid w:val="00C139A6"/>
    <w:rsid w:val="00C1592E"/>
    <w:rsid w:val="00C23D6F"/>
    <w:rsid w:val="00C363B3"/>
    <w:rsid w:val="00C37FEA"/>
    <w:rsid w:val="00C4038F"/>
    <w:rsid w:val="00C404FE"/>
    <w:rsid w:val="00C43620"/>
    <w:rsid w:val="00C469B0"/>
    <w:rsid w:val="00C52140"/>
    <w:rsid w:val="00C64D3E"/>
    <w:rsid w:val="00C6612A"/>
    <w:rsid w:val="00C6643D"/>
    <w:rsid w:val="00C6680F"/>
    <w:rsid w:val="00C66ACC"/>
    <w:rsid w:val="00C72415"/>
    <w:rsid w:val="00C77E82"/>
    <w:rsid w:val="00C8468C"/>
    <w:rsid w:val="00C90E37"/>
    <w:rsid w:val="00C9289E"/>
    <w:rsid w:val="00C92F51"/>
    <w:rsid w:val="00CA0EE5"/>
    <w:rsid w:val="00CA0F95"/>
    <w:rsid w:val="00CB10F9"/>
    <w:rsid w:val="00CB3DF8"/>
    <w:rsid w:val="00CB413B"/>
    <w:rsid w:val="00CD3FFE"/>
    <w:rsid w:val="00CE2A32"/>
    <w:rsid w:val="00CF76A5"/>
    <w:rsid w:val="00D04EB4"/>
    <w:rsid w:val="00D123DC"/>
    <w:rsid w:val="00D13A17"/>
    <w:rsid w:val="00D14987"/>
    <w:rsid w:val="00D14E3A"/>
    <w:rsid w:val="00D204F5"/>
    <w:rsid w:val="00D32F66"/>
    <w:rsid w:val="00D47930"/>
    <w:rsid w:val="00D5042D"/>
    <w:rsid w:val="00D64AB9"/>
    <w:rsid w:val="00D65037"/>
    <w:rsid w:val="00D7177A"/>
    <w:rsid w:val="00D73220"/>
    <w:rsid w:val="00D90694"/>
    <w:rsid w:val="00D9318A"/>
    <w:rsid w:val="00D94CD4"/>
    <w:rsid w:val="00DA4143"/>
    <w:rsid w:val="00DB00B6"/>
    <w:rsid w:val="00DB3C8A"/>
    <w:rsid w:val="00DB45E8"/>
    <w:rsid w:val="00DB6984"/>
    <w:rsid w:val="00DC0D68"/>
    <w:rsid w:val="00DC4938"/>
    <w:rsid w:val="00DD25CD"/>
    <w:rsid w:val="00DD6657"/>
    <w:rsid w:val="00DD69C1"/>
    <w:rsid w:val="00DE4A9E"/>
    <w:rsid w:val="00DE6F9B"/>
    <w:rsid w:val="00DF77F1"/>
    <w:rsid w:val="00E02B75"/>
    <w:rsid w:val="00E05B42"/>
    <w:rsid w:val="00E14D3C"/>
    <w:rsid w:val="00E15A50"/>
    <w:rsid w:val="00E22388"/>
    <w:rsid w:val="00E23510"/>
    <w:rsid w:val="00E2369D"/>
    <w:rsid w:val="00E32C21"/>
    <w:rsid w:val="00E34D2C"/>
    <w:rsid w:val="00E3763E"/>
    <w:rsid w:val="00E41743"/>
    <w:rsid w:val="00E45675"/>
    <w:rsid w:val="00E46441"/>
    <w:rsid w:val="00E516C0"/>
    <w:rsid w:val="00E54453"/>
    <w:rsid w:val="00E54FFA"/>
    <w:rsid w:val="00E71EB0"/>
    <w:rsid w:val="00E76F1B"/>
    <w:rsid w:val="00E85CC4"/>
    <w:rsid w:val="00E951DF"/>
    <w:rsid w:val="00E971BC"/>
    <w:rsid w:val="00EA0C6D"/>
    <w:rsid w:val="00EA4623"/>
    <w:rsid w:val="00EB004F"/>
    <w:rsid w:val="00EB16ED"/>
    <w:rsid w:val="00EB1E3A"/>
    <w:rsid w:val="00EB4033"/>
    <w:rsid w:val="00EB482A"/>
    <w:rsid w:val="00ED0545"/>
    <w:rsid w:val="00ED53B7"/>
    <w:rsid w:val="00EE35EF"/>
    <w:rsid w:val="00EE3C83"/>
    <w:rsid w:val="00EE715C"/>
    <w:rsid w:val="00EF7BF0"/>
    <w:rsid w:val="00F04B4C"/>
    <w:rsid w:val="00F05FC4"/>
    <w:rsid w:val="00F152FA"/>
    <w:rsid w:val="00F17360"/>
    <w:rsid w:val="00F22E40"/>
    <w:rsid w:val="00F242DA"/>
    <w:rsid w:val="00F24BF3"/>
    <w:rsid w:val="00F25A4D"/>
    <w:rsid w:val="00F30B5D"/>
    <w:rsid w:val="00F36746"/>
    <w:rsid w:val="00F403DB"/>
    <w:rsid w:val="00F42684"/>
    <w:rsid w:val="00F47226"/>
    <w:rsid w:val="00F54AE6"/>
    <w:rsid w:val="00F5567D"/>
    <w:rsid w:val="00F56CC3"/>
    <w:rsid w:val="00F63420"/>
    <w:rsid w:val="00F71D83"/>
    <w:rsid w:val="00F7567B"/>
    <w:rsid w:val="00F95486"/>
    <w:rsid w:val="00FA08C8"/>
    <w:rsid w:val="00FB2B31"/>
    <w:rsid w:val="00FC140A"/>
    <w:rsid w:val="00FC2E73"/>
    <w:rsid w:val="00FC492E"/>
    <w:rsid w:val="00FD11DF"/>
    <w:rsid w:val="00FD30DA"/>
    <w:rsid w:val="00FD44A8"/>
    <w:rsid w:val="00FE2024"/>
    <w:rsid w:val="00FE51C1"/>
    <w:rsid w:val="00FE74BE"/>
    <w:rsid w:val="00FF0213"/>
    <w:rsid w:val="00FF328A"/>
    <w:rsid w:val="00FF37FD"/>
    <w:rsid w:val="00FF3C6D"/>
    <w:rsid w:val="00FF4FBA"/>
    <w:rsid w:val="00FF6E00"/>
    <w:rsid w:val="01113167"/>
    <w:rsid w:val="01251FE4"/>
    <w:rsid w:val="023307B1"/>
    <w:rsid w:val="025C69B5"/>
    <w:rsid w:val="02E41163"/>
    <w:rsid w:val="03341C2A"/>
    <w:rsid w:val="03A73CF4"/>
    <w:rsid w:val="043C047C"/>
    <w:rsid w:val="04753635"/>
    <w:rsid w:val="050A2EF7"/>
    <w:rsid w:val="050F617A"/>
    <w:rsid w:val="05271FBF"/>
    <w:rsid w:val="05321762"/>
    <w:rsid w:val="055A6F7E"/>
    <w:rsid w:val="05993D0E"/>
    <w:rsid w:val="06350E0F"/>
    <w:rsid w:val="073221B0"/>
    <w:rsid w:val="077661F2"/>
    <w:rsid w:val="07CE7B70"/>
    <w:rsid w:val="0809697E"/>
    <w:rsid w:val="082166BC"/>
    <w:rsid w:val="088A21E9"/>
    <w:rsid w:val="08DB72C8"/>
    <w:rsid w:val="091E3D8C"/>
    <w:rsid w:val="09E56383"/>
    <w:rsid w:val="0A5A5647"/>
    <w:rsid w:val="0A6722A5"/>
    <w:rsid w:val="0AA67147"/>
    <w:rsid w:val="0AB4169F"/>
    <w:rsid w:val="0B010D04"/>
    <w:rsid w:val="0B400D75"/>
    <w:rsid w:val="0B7D1B5D"/>
    <w:rsid w:val="0B9F2AC0"/>
    <w:rsid w:val="0BA2092A"/>
    <w:rsid w:val="0BE14814"/>
    <w:rsid w:val="0CB9775F"/>
    <w:rsid w:val="0CC0067C"/>
    <w:rsid w:val="0CC0394B"/>
    <w:rsid w:val="0CF13A17"/>
    <w:rsid w:val="0D1358DA"/>
    <w:rsid w:val="0D6C4007"/>
    <w:rsid w:val="0D6F5C11"/>
    <w:rsid w:val="0DB77A48"/>
    <w:rsid w:val="0DD618E8"/>
    <w:rsid w:val="0E091336"/>
    <w:rsid w:val="0E3E4F5B"/>
    <w:rsid w:val="0E3F7730"/>
    <w:rsid w:val="0E71464A"/>
    <w:rsid w:val="0E825D03"/>
    <w:rsid w:val="0EC41D1A"/>
    <w:rsid w:val="0EF80799"/>
    <w:rsid w:val="0F083563"/>
    <w:rsid w:val="0F094BCA"/>
    <w:rsid w:val="0F1858A5"/>
    <w:rsid w:val="0F287BE7"/>
    <w:rsid w:val="0F6416B5"/>
    <w:rsid w:val="0F694D6B"/>
    <w:rsid w:val="0F7C6AF1"/>
    <w:rsid w:val="0F7F4D20"/>
    <w:rsid w:val="0FA60940"/>
    <w:rsid w:val="0FC46A1A"/>
    <w:rsid w:val="0FE208E9"/>
    <w:rsid w:val="0FED7981"/>
    <w:rsid w:val="0FFF143B"/>
    <w:rsid w:val="1014394B"/>
    <w:rsid w:val="10CB6668"/>
    <w:rsid w:val="10E27459"/>
    <w:rsid w:val="10E55AF8"/>
    <w:rsid w:val="11571CB0"/>
    <w:rsid w:val="11790A61"/>
    <w:rsid w:val="11923040"/>
    <w:rsid w:val="11957B06"/>
    <w:rsid w:val="11B50844"/>
    <w:rsid w:val="11C7720E"/>
    <w:rsid w:val="11DE626E"/>
    <w:rsid w:val="11E63E75"/>
    <w:rsid w:val="120E6168"/>
    <w:rsid w:val="12343106"/>
    <w:rsid w:val="12E108CB"/>
    <w:rsid w:val="13B76D00"/>
    <w:rsid w:val="13FA0681"/>
    <w:rsid w:val="14945D5B"/>
    <w:rsid w:val="14A94CF4"/>
    <w:rsid w:val="14AE4F56"/>
    <w:rsid w:val="14CC700A"/>
    <w:rsid w:val="153E46B7"/>
    <w:rsid w:val="153F1690"/>
    <w:rsid w:val="155D3B67"/>
    <w:rsid w:val="1567566A"/>
    <w:rsid w:val="159A33B0"/>
    <w:rsid w:val="159E136B"/>
    <w:rsid w:val="15E8409F"/>
    <w:rsid w:val="15FA4063"/>
    <w:rsid w:val="161B5D97"/>
    <w:rsid w:val="16701D56"/>
    <w:rsid w:val="167927D0"/>
    <w:rsid w:val="167F0D15"/>
    <w:rsid w:val="16C96D86"/>
    <w:rsid w:val="16DE16D6"/>
    <w:rsid w:val="16E22F95"/>
    <w:rsid w:val="1754101C"/>
    <w:rsid w:val="17B45CB5"/>
    <w:rsid w:val="17C045F7"/>
    <w:rsid w:val="17D202A3"/>
    <w:rsid w:val="17F15BF1"/>
    <w:rsid w:val="180C4A50"/>
    <w:rsid w:val="181D7DB6"/>
    <w:rsid w:val="1874566F"/>
    <w:rsid w:val="18945D84"/>
    <w:rsid w:val="18CA29D4"/>
    <w:rsid w:val="18E76809"/>
    <w:rsid w:val="18F026E1"/>
    <w:rsid w:val="190372C1"/>
    <w:rsid w:val="196041C6"/>
    <w:rsid w:val="19C12940"/>
    <w:rsid w:val="19F121F3"/>
    <w:rsid w:val="19FD4A34"/>
    <w:rsid w:val="1A273064"/>
    <w:rsid w:val="1A736E76"/>
    <w:rsid w:val="1A8136B0"/>
    <w:rsid w:val="1B256490"/>
    <w:rsid w:val="1BB65E8E"/>
    <w:rsid w:val="1BE822F1"/>
    <w:rsid w:val="1CBA2BE7"/>
    <w:rsid w:val="1CF118E6"/>
    <w:rsid w:val="1D131ECC"/>
    <w:rsid w:val="1D5D7AE8"/>
    <w:rsid w:val="1D750C8F"/>
    <w:rsid w:val="1DFD4040"/>
    <w:rsid w:val="1E2B1B0C"/>
    <w:rsid w:val="1E70698D"/>
    <w:rsid w:val="1EAA4D4A"/>
    <w:rsid w:val="1EC336B1"/>
    <w:rsid w:val="1F11676B"/>
    <w:rsid w:val="1F19061E"/>
    <w:rsid w:val="201F757A"/>
    <w:rsid w:val="205179CC"/>
    <w:rsid w:val="20695304"/>
    <w:rsid w:val="20C0638A"/>
    <w:rsid w:val="21075AEB"/>
    <w:rsid w:val="21294802"/>
    <w:rsid w:val="21301669"/>
    <w:rsid w:val="21AB23EF"/>
    <w:rsid w:val="21C304A2"/>
    <w:rsid w:val="223E487C"/>
    <w:rsid w:val="22AD30BD"/>
    <w:rsid w:val="22E72707"/>
    <w:rsid w:val="236061AB"/>
    <w:rsid w:val="24EA4263"/>
    <w:rsid w:val="26182F62"/>
    <w:rsid w:val="2652762E"/>
    <w:rsid w:val="266E2D31"/>
    <w:rsid w:val="26AD65D4"/>
    <w:rsid w:val="26BF6283"/>
    <w:rsid w:val="26F855C1"/>
    <w:rsid w:val="279B3E45"/>
    <w:rsid w:val="27A36C85"/>
    <w:rsid w:val="27CD3014"/>
    <w:rsid w:val="27F22FC8"/>
    <w:rsid w:val="28473A24"/>
    <w:rsid w:val="288276C8"/>
    <w:rsid w:val="28D61ACE"/>
    <w:rsid w:val="28EC18A1"/>
    <w:rsid w:val="295E2013"/>
    <w:rsid w:val="2965017D"/>
    <w:rsid w:val="296A2836"/>
    <w:rsid w:val="29DA4E59"/>
    <w:rsid w:val="29DC6386"/>
    <w:rsid w:val="29E87A3C"/>
    <w:rsid w:val="2A686013"/>
    <w:rsid w:val="2B187534"/>
    <w:rsid w:val="2B3653CA"/>
    <w:rsid w:val="2B5F5151"/>
    <w:rsid w:val="2B645E52"/>
    <w:rsid w:val="2BC61C68"/>
    <w:rsid w:val="2C1B70A3"/>
    <w:rsid w:val="2C207B9A"/>
    <w:rsid w:val="2C312DD5"/>
    <w:rsid w:val="2CC12BD2"/>
    <w:rsid w:val="2CDF1CF2"/>
    <w:rsid w:val="2CE46C7C"/>
    <w:rsid w:val="2D0143A7"/>
    <w:rsid w:val="2D090A00"/>
    <w:rsid w:val="2D173D67"/>
    <w:rsid w:val="2D176053"/>
    <w:rsid w:val="2E1D728B"/>
    <w:rsid w:val="2E632643"/>
    <w:rsid w:val="2E6E6D00"/>
    <w:rsid w:val="2ED700C7"/>
    <w:rsid w:val="2EE14B5C"/>
    <w:rsid w:val="2F5912BA"/>
    <w:rsid w:val="2FA01590"/>
    <w:rsid w:val="2FA756BA"/>
    <w:rsid w:val="2FC50FFD"/>
    <w:rsid w:val="2FF83143"/>
    <w:rsid w:val="304A6516"/>
    <w:rsid w:val="3050657B"/>
    <w:rsid w:val="30B73C14"/>
    <w:rsid w:val="30BD21AC"/>
    <w:rsid w:val="30E45C91"/>
    <w:rsid w:val="31130BB0"/>
    <w:rsid w:val="31614F93"/>
    <w:rsid w:val="3163718C"/>
    <w:rsid w:val="318C1505"/>
    <w:rsid w:val="31E22B88"/>
    <w:rsid w:val="31FC5DB5"/>
    <w:rsid w:val="320E7385"/>
    <w:rsid w:val="32472000"/>
    <w:rsid w:val="324F5940"/>
    <w:rsid w:val="326A018F"/>
    <w:rsid w:val="326A082B"/>
    <w:rsid w:val="32E93611"/>
    <w:rsid w:val="32ED01A2"/>
    <w:rsid w:val="33BF58B0"/>
    <w:rsid w:val="342769DA"/>
    <w:rsid w:val="346B15AF"/>
    <w:rsid w:val="347A4410"/>
    <w:rsid w:val="34AF6F67"/>
    <w:rsid w:val="34C64075"/>
    <w:rsid w:val="350B2553"/>
    <w:rsid w:val="35697647"/>
    <w:rsid w:val="35DF00A7"/>
    <w:rsid w:val="363B6771"/>
    <w:rsid w:val="364F5A14"/>
    <w:rsid w:val="365A1F4A"/>
    <w:rsid w:val="369F46C2"/>
    <w:rsid w:val="36B67562"/>
    <w:rsid w:val="36DF3915"/>
    <w:rsid w:val="373A69E2"/>
    <w:rsid w:val="378F56BF"/>
    <w:rsid w:val="37F27085"/>
    <w:rsid w:val="38207223"/>
    <w:rsid w:val="382858A0"/>
    <w:rsid w:val="38660525"/>
    <w:rsid w:val="38FB7A30"/>
    <w:rsid w:val="395F14A6"/>
    <w:rsid w:val="39675552"/>
    <w:rsid w:val="397C5F9A"/>
    <w:rsid w:val="39A7418E"/>
    <w:rsid w:val="39F04D08"/>
    <w:rsid w:val="3A3057C7"/>
    <w:rsid w:val="3B0E7DC6"/>
    <w:rsid w:val="3B4F20CC"/>
    <w:rsid w:val="3B65577D"/>
    <w:rsid w:val="3C253097"/>
    <w:rsid w:val="3C8E1C6D"/>
    <w:rsid w:val="3CCB03ED"/>
    <w:rsid w:val="3CCF7EA5"/>
    <w:rsid w:val="3D58338A"/>
    <w:rsid w:val="3D955D30"/>
    <w:rsid w:val="3DC0184D"/>
    <w:rsid w:val="3DE97DB8"/>
    <w:rsid w:val="3DF42481"/>
    <w:rsid w:val="3E021A90"/>
    <w:rsid w:val="3E8E020C"/>
    <w:rsid w:val="3E907A08"/>
    <w:rsid w:val="3EB11D4E"/>
    <w:rsid w:val="3EE7522B"/>
    <w:rsid w:val="3F431656"/>
    <w:rsid w:val="3FC972A0"/>
    <w:rsid w:val="404F533F"/>
    <w:rsid w:val="409C0C75"/>
    <w:rsid w:val="40AC1330"/>
    <w:rsid w:val="41295AAC"/>
    <w:rsid w:val="414E14EE"/>
    <w:rsid w:val="419B7746"/>
    <w:rsid w:val="41A213FE"/>
    <w:rsid w:val="41A25D3E"/>
    <w:rsid w:val="41C32F69"/>
    <w:rsid w:val="4213428A"/>
    <w:rsid w:val="4271068F"/>
    <w:rsid w:val="42963A46"/>
    <w:rsid w:val="42AE3840"/>
    <w:rsid w:val="439C67F1"/>
    <w:rsid w:val="440E0498"/>
    <w:rsid w:val="44296CFC"/>
    <w:rsid w:val="44362628"/>
    <w:rsid w:val="443A6445"/>
    <w:rsid w:val="44760F96"/>
    <w:rsid w:val="448636F5"/>
    <w:rsid w:val="44950120"/>
    <w:rsid w:val="44B801AA"/>
    <w:rsid w:val="457D2D67"/>
    <w:rsid w:val="45805AFC"/>
    <w:rsid w:val="45A13183"/>
    <w:rsid w:val="45FA6EC7"/>
    <w:rsid w:val="46926D3E"/>
    <w:rsid w:val="46C66822"/>
    <w:rsid w:val="46ED7E92"/>
    <w:rsid w:val="476228D5"/>
    <w:rsid w:val="477B56F0"/>
    <w:rsid w:val="47E37805"/>
    <w:rsid w:val="488520D2"/>
    <w:rsid w:val="48BD68ED"/>
    <w:rsid w:val="493A18C5"/>
    <w:rsid w:val="49C75BDC"/>
    <w:rsid w:val="4A0478B6"/>
    <w:rsid w:val="4A2730AA"/>
    <w:rsid w:val="4A4A179E"/>
    <w:rsid w:val="4ABC651C"/>
    <w:rsid w:val="4B2F0947"/>
    <w:rsid w:val="4B310E45"/>
    <w:rsid w:val="4BA33A63"/>
    <w:rsid w:val="4C2D33F0"/>
    <w:rsid w:val="4C3749B1"/>
    <w:rsid w:val="4C5A25C1"/>
    <w:rsid w:val="4CB21BB7"/>
    <w:rsid w:val="4CB80F51"/>
    <w:rsid w:val="4CBA00A3"/>
    <w:rsid w:val="4CEB4BB9"/>
    <w:rsid w:val="4D2D779A"/>
    <w:rsid w:val="4D752AF8"/>
    <w:rsid w:val="4D9A5914"/>
    <w:rsid w:val="4DB06410"/>
    <w:rsid w:val="4EAA1232"/>
    <w:rsid w:val="4F10670E"/>
    <w:rsid w:val="4F1E3C27"/>
    <w:rsid w:val="4F506FAA"/>
    <w:rsid w:val="4F7044D5"/>
    <w:rsid w:val="4F7F38D0"/>
    <w:rsid w:val="517A21E4"/>
    <w:rsid w:val="51C24008"/>
    <w:rsid w:val="51C41DB6"/>
    <w:rsid w:val="51C43CF1"/>
    <w:rsid w:val="51D6032A"/>
    <w:rsid w:val="52085501"/>
    <w:rsid w:val="52396B69"/>
    <w:rsid w:val="527F3B83"/>
    <w:rsid w:val="528F4749"/>
    <w:rsid w:val="52A17C38"/>
    <w:rsid w:val="52B3226E"/>
    <w:rsid w:val="53562893"/>
    <w:rsid w:val="536207BC"/>
    <w:rsid w:val="53DD6156"/>
    <w:rsid w:val="53F313D3"/>
    <w:rsid w:val="54612FB2"/>
    <w:rsid w:val="54673411"/>
    <w:rsid w:val="54810ABF"/>
    <w:rsid w:val="54C93402"/>
    <w:rsid w:val="54D85F2F"/>
    <w:rsid w:val="55170801"/>
    <w:rsid w:val="55302BE2"/>
    <w:rsid w:val="556D1245"/>
    <w:rsid w:val="55F23A50"/>
    <w:rsid w:val="56281695"/>
    <w:rsid w:val="56854657"/>
    <w:rsid w:val="56B87E13"/>
    <w:rsid w:val="56C03072"/>
    <w:rsid w:val="5746347B"/>
    <w:rsid w:val="57DA3C31"/>
    <w:rsid w:val="581A7F84"/>
    <w:rsid w:val="581E21A7"/>
    <w:rsid w:val="58DC181F"/>
    <w:rsid w:val="58FF3DAD"/>
    <w:rsid w:val="593D32F5"/>
    <w:rsid w:val="59660A89"/>
    <w:rsid w:val="59745DBA"/>
    <w:rsid w:val="597A1A09"/>
    <w:rsid w:val="5991071A"/>
    <w:rsid w:val="5A0500F1"/>
    <w:rsid w:val="5B1A726F"/>
    <w:rsid w:val="5B2F7AA6"/>
    <w:rsid w:val="5B404C1F"/>
    <w:rsid w:val="5B4F3DFD"/>
    <w:rsid w:val="5B8403F2"/>
    <w:rsid w:val="5C2D4854"/>
    <w:rsid w:val="5C4A5324"/>
    <w:rsid w:val="5C650896"/>
    <w:rsid w:val="5C7553AF"/>
    <w:rsid w:val="5D160DA1"/>
    <w:rsid w:val="5D557E6C"/>
    <w:rsid w:val="5D69161B"/>
    <w:rsid w:val="5DAF48A5"/>
    <w:rsid w:val="5DC96A80"/>
    <w:rsid w:val="5E6333A4"/>
    <w:rsid w:val="5E7D7624"/>
    <w:rsid w:val="5EAA44A3"/>
    <w:rsid w:val="5EAF3AC1"/>
    <w:rsid w:val="5EDE5A6C"/>
    <w:rsid w:val="5F01496B"/>
    <w:rsid w:val="5F1734DA"/>
    <w:rsid w:val="5FC2151D"/>
    <w:rsid w:val="5FEA74EE"/>
    <w:rsid w:val="5FF259E6"/>
    <w:rsid w:val="600970A0"/>
    <w:rsid w:val="60480552"/>
    <w:rsid w:val="606E7BC8"/>
    <w:rsid w:val="60836123"/>
    <w:rsid w:val="60991A6B"/>
    <w:rsid w:val="60D060E5"/>
    <w:rsid w:val="60F40AD1"/>
    <w:rsid w:val="615B2B13"/>
    <w:rsid w:val="617843B8"/>
    <w:rsid w:val="61843E5A"/>
    <w:rsid w:val="61B8642D"/>
    <w:rsid w:val="61FC1355"/>
    <w:rsid w:val="62080AAB"/>
    <w:rsid w:val="625D4F5F"/>
    <w:rsid w:val="628C48D0"/>
    <w:rsid w:val="62C727FA"/>
    <w:rsid w:val="632B3C0F"/>
    <w:rsid w:val="638B7F37"/>
    <w:rsid w:val="63BF1EF6"/>
    <w:rsid w:val="63C33586"/>
    <w:rsid w:val="64704269"/>
    <w:rsid w:val="64802F45"/>
    <w:rsid w:val="648733DE"/>
    <w:rsid w:val="6496267C"/>
    <w:rsid w:val="64C10AAF"/>
    <w:rsid w:val="64F01F47"/>
    <w:rsid w:val="655B3835"/>
    <w:rsid w:val="65983981"/>
    <w:rsid w:val="663620D2"/>
    <w:rsid w:val="668C644E"/>
    <w:rsid w:val="66FC5550"/>
    <w:rsid w:val="6736144D"/>
    <w:rsid w:val="675438BC"/>
    <w:rsid w:val="67785175"/>
    <w:rsid w:val="68713C99"/>
    <w:rsid w:val="68847C46"/>
    <w:rsid w:val="68D72DA7"/>
    <w:rsid w:val="69222A26"/>
    <w:rsid w:val="695D0CFC"/>
    <w:rsid w:val="697005D4"/>
    <w:rsid w:val="69B557BB"/>
    <w:rsid w:val="69C113EC"/>
    <w:rsid w:val="69FA707D"/>
    <w:rsid w:val="6A1E29C6"/>
    <w:rsid w:val="6A437F85"/>
    <w:rsid w:val="6A4806DA"/>
    <w:rsid w:val="6ADF2CC8"/>
    <w:rsid w:val="6B040518"/>
    <w:rsid w:val="6B0F08A2"/>
    <w:rsid w:val="6B4138E8"/>
    <w:rsid w:val="6B5A1ADE"/>
    <w:rsid w:val="6B6F68C3"/>
    <w:rsid w:val="6BAC0003"/>
    <w:rsid w:val="6BB54B12"/>
    <w:rsid w:val="6CA63B41"/>
    <w:rsid w:val="6D001766"/>
    <w:rsid w:val="6D1E19C3"/>
    <w:rsid w:val="6D3735EE"/>
    <w:rsid w:val="6D4D74AD"/>
    <w:rsid w:val="6D5C3768"/>
    <w:rsid w:val="6D7A20EC"/>
    <w:rsid w:val="6DA07ABC"/>
    <w:rsid w:val="6DEA08AB"/>
    <w:rsid w:val="6DF8710A"/>
    <w:rsid w:val="6E152FEC"/>
    <w:rsid w:val="6E277A1B"/>
    <w:rsid w:val="6E6E65D7"/>
    <w:rsid w:val="6E8476C0"/>
    <w:rsid w:val="6F075967"/>
    <w:rsid w:val="6F196960"/>
    <w:rsid w:val="6FBB18A6"/>
    <w:rsid w:val="712F7E39"/>
    <w:rsid w:val="71C932BC"/>
    <w:rsid w:val="71CB3A83"/>
    <w:rsid w:val="722778FF"/>
    <w:rsid w:val="72712EF8"/>
    <w:rsid w:val="72734B2D"/>
    <w:rsid w:val="730F3AD5"/>
    <w:rsid w:val="7332341B"/>
    <w:rsid w:val="73AF6CAB"/>
    <w:rsid w:val="73BE3EAF"/>
    <w:rsid w:val="74587CBB"/>
    <w:rsid w:val="74BE5A9A"/>
    <w:rsid w:val="7535244A"/>
    <w:rsid w:val="75513A62"/>
    <w:rsid w:val="756022D8"/>
    <w:rsid w:val="75A01ED0"/>
    <w:rsid w:val="76367DD2"/>
    <w:rsid w:val="763B62F6"/>
    <w:rsid w:val="768264FD"/>
    <w:rsid w:val="769B2DC9"/>
    <w:rsid w:val="772E24FF"/>
    <w:rsid w:val="77404E33"/>
    <w:rsid w:val="777F205E"/>
    <w:rsid w:val="77D42784"/>
    <w:rsid w:val="77DA2120"/>
    <w:rsid w:val="78894042"/>
    <w:rsid w:val="79115E5B"/>
    <w:rsid w:val="79191A09"/>
    <w:rsid w:val="791E1E69"/>
    <w:rsid w:val="7959031D"/>
    <w:rsid w:val="79FC672F"/>
    <w:rsid w:val="7A683C4A"/>
    <w:rsid w:val="7AF955AB"/>
    <w:rsid w:val="7B2852BF"/>
    <w:rsid w:val="7B6411C7"/>
    <w:rsid w:val="7B72033A"/>
    <w:rsid w:val="7B747AF7"/>
    <w:rsid w:val="7BC0350F"/>
    <w:rsid w:val="7BE87FB8"/>
    <w:rsid w:val="7BFF385D"/>
    <w:rsid w:val="7C202697"/>
    <w:rsid w:val="7C595D0B"/>
    <w:rsid w:val="7C865883"/>
    <w:rsid w:val="7CA46709"/>
    <w:rsid w:val="7CD86C1D"/>
    <w:rsid w:val="7D49280E"/>
    <w:rsid w:val="7D875522"/>
    <w:rsid w:val="7D883202"/>
    <w:rsid w:val="7E2A2D2C"/>
    <w:rsid w:val="7E4C13EE"/>
    <w:rsid w:val="7EAC2B16"/>
    <w:rsid w:val="7EE63917"/>
    <w:rsid w:val="7F8A0E4C"/>
    <w:rsid w:val="7FA30D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unhideWhenUsed/>
    <w:qFormat/>
    <w:uiPriority w:val="0"/>
    <w:pPr>
      <w:keepNext/>
      <w:keepLines/>
      <w:spacing w:line="413"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styleId="6">
    <w:name w:val="Normal Indent"/>
    <w:basedOn w:val="1"/>
    <w:link w:val="43"/>
    <w:qFormat/>
    <w:uiPriority w:val="0"/>
    <w:pPr>
      <w:ind w:firstLine="420"/>
    </w:pPr>
  </w:style>
  <w:style w:type="paragraph" w:styleId="7">
    <w:name w:val="annotation text"/>
    <w:basedOn w:val="1"/>
    <w:link w:val="37"/>
    <w:unhideWhenUsed/>
    <w:qFormat/>
    <w:uiPriority w:val="99"/>
    <w:pPr>
      <w:jc w:val="left"/>
    </w:pPr>
  </w:style>
  <w:style w:type="paragraph" w:styleId="8">
    <w:name w:val="Body Text"/>
    <w:basedOn w:val="1"/>
    <w:qFormat/>
    <w:uiPriority w:val="0"/>
    <w:pPr>
      <w:spacing w:after="120"/>
    </w:pPr>
  </w:style>
  <w:style w:type="paragraph" w:styleId="9">
    <w:name w:val="Body Text Indent"/>
    <w:basedOn w:val="1"/>
    <w:qFormat/>
    <w:uiPriority w:val="0"/>
    <w:pPr>
      <w:spacing w:line="360" w:lineRule="auto"/>
      <w:ind w:left="720" w:hanging="720" w:hangingChars="300"/>
    </w:pPr>
    <w:rPr>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link w:val="40"/>
    <w:qFormat/>
    <w:uiPriority w:val="0"/>
    <w:rPr>
      <w:rFonts w:ascii="宋体" w:hAnsi="Courier New" w:cs="Courier New"/>
      <w:szCs w:val="21"/>
    </w:rPr>
  </w:style>
  <w:style w:type="paragraph" w:styleId="12">
    <w:name w:val="Date"/>
    <w:basedOn w:val="1"/>
    <w:next w:val="1"/>
    <w:qFormat/>
    <w:uiPriority w:val="0"/>
    <w:rPr>
      <w:szCs w:val="20"/>
    </w:rPr>
  </w:style>
  <w:style w:type="paragraph" w:styleId="13">
    <w:name w:val="endnote text"/>
    <w:basedOn w:val="1"/>
    <w:link w:val="39"/>
    <w:unhideWhenUsed/>
    <w:qFormat/>
    <w:uiPriority w:val="99"/>
    <w:pPr>
      <w:snapToGrid w:val="0"/>
      <w:jc w:val="left"/>
    </w:pPr>
  </w:style>
  <w:style w:type="paragraph" w:styleId="14">
    <w:name w:val="Balloon Text"/>
    <w:basedOn w:val="1"/>
    <w:link w:val="33"/>
    <w:unhideWhenUsed/>
    <w:qFormat/>
    <w:uiPriority w:val="99"/>
    <w:rPr>
      <w:sz w:val="18"/>
      <w:szCs w:val="18"/>
    </w:rPr>
  </w:style>
  <w:style w:type="paragraph" w:styleId="15">
    <w:name w:val="footer"/>
    <w:basedOn w:val="1"/>
    <w:link w:val="32"/>
    <w:unhideWhenUsed/>
    <w:qFormat/>
    <w:uiPriority w:val="99"/>
    <w:pPr>
      <w:tabs>
        <w:tab w:val="center" w:pos="4153"/>
        <w:tab w:val="right" w:pos="8306"/>
      </w:tabs>
      <w:snapToGrid w:val="0"/>
      <w:jc w:val="left"/>
    </w:pPr>
    <w:rPr>
      <w:sz w:val="18"/>
      <w:szCs w:val="18"/>
    </w:rPr>
  </w:style>
  <w:style w:type="paragraph" w:styleId="16">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line="440" w:lineRule="exact"/>
      <w:jc w:val="left"/>
    </w:pPr>
    <w:rPr>
      <w:rFonts w:eastAsia="黑体"/>
      <w:b/>
      <w:kern w:val="0"/>
      <w:sz w:val="28"/>
    </w:rPr>
  </w:style>
  <w:style w:type="paragraph" w:styleId="18">
    <w:name w:val="toc 2"/>
    <w:basedOn w:val="19"/>
    <w:next w:val="4"/>
    <w:unhideWhenUsed/>
    <w:qFormat/>
    <w:uiPriority w:val="39"/>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customStyle="1" w:styleId="19">
    <w:name w:val="引用1"/>
    <w:basedOn w:val="1"/>
    <w:next w:val="1"/>
    <w:link w:val="42"/>
    <w:qFormat/>
    <w:uiPriority w:val="29"/>
    <w:rPr>
      <w:i/>
      <w:iCs/>
      <w:color w:val="000000" w:themeColor="text1"/>
      <w14:textFill>
        <w14:solidFill>
          <w14:schemeClr w14:val="tx1"/>
        </w14:solidFill>
      </w14:textFill>
    </w:r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annotation subject"/>
    <w:basedOn w:val="7"/>
    <w:next w:val="7"/>
    <w:link w:val="44"/>
    <w:unhideWhenUsed/>
    <w:qFormat/>
    <w:uiPriority w:val="99"/>
    <w:rPr>
      <w:b/>
      <w:bCs/>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endnote reference"/>
    <w:basedOn w:val="24"/>
    <w:unhideWhenUsed/>
    <w:qFormat/>
    <w:uiPriority w:val="99"/>
    <w:rPr>
      <w:vertAlign w:val="superscript"/>
    </w:rPr>
  </w:style>
  <w:style w:type="character" w:styleId="27">
    <w:name w:val="FollowedHyperlink"/>
    <w:basedOn w:val="24"/>
    <w:semiHidden/>
    <w:unhideWhenUsed/>
    <w:qFormat/>
    <w:uiPriority w:val="99"/>
    <w:rPr>
      <w:color w:val="5A5A5A"/>
      <w:u w:val="none"/>
    </w:rPr>
  </w:style>
  <w:style w:type="character" w:styleId="28">
    <w:name w:val="Emphasis"/>
    <w:basedOn w:val="24"/>
    <w:qFormat/>
    <w:uiPriority w:val="20"/>
  </w:style>
  <w:style w:type="character" w:styleId="29">
    <w:name w:val="Hyperlink"/>
    <w:basedOn w:val="24"/>
    <w:unhideWhenUsed/>
    <w:qFormat/>
    <w:uiPriority w:val="99"/>
    <w:rPr>
      <w:color w:val="0000FF" w:themeColor="hyperlink"/>
      <w:u w:val="single"/>
      <w14:textFill>
        <w14:solidFill>
          <w14:schemeClr w14:val="hlink"/>
        </w14:solidFill>
      </w14:textFill>
    </w:rPr>
  </w:style>
  <w:style w:type="character" w:styleId="30">
    <w:name w:val="annotation reference"/>
    <w:qFormat/>
    <w:uiPriority w:val="99"/>
    <w:rPr>
      <w:sz w:val="21"/>
    </w:rPr>
  </w:style>
  <w:style w:type="character" w:customStyle="1" w:styleId="31">
    <w:name w:val="页眉 Char"/>
    <w:basedOn w:val="24"/>
    <w:link w:val="16"/>
    <w:qFormat/>
    <w:uiPriority w:val="99"/>
    <w:rPr>
      <w:sz w:val="18"/>
      <w:szCs w:val="18"/>
    </w:rPr>
  </w:style>
  <w:style w:type="character" w:customStyle="1" w:styleId="32">
    <w:name w:val="页脚 Char"/>
    <w:basedOn w:val="24"/>
    <w:link w:val="15"/>
    <w:qFormat/>
    <w:uiPriority w:val="99"/>
    <w:rPr>
      <w:sz w:val="18"/>
      <w:szCs w:val="18"/>
    </w:rPr>
  </w:style>
  <w:style w:type="character" w:customStyle="1" w:styleId="33">
    <w:name w:val="批注框文本 Char"/>
    <w:basedOn w:val="24"/>
    <w:link w:val="14"/>
    <w:semiHidden/>
    <w:qFormat/>
    <w:uiPriority w:val="99"/>
    <w:rPr>
      <w:sz w:val="18"/>
      <w:szCs w:val="18"/>
    </w:rPr>
  </w:style>
  <w:style w:type="paragraph" w:customStyle="1" w:styleId="34">
    <w:name w:val="列出段落1"/>
    <w:basedOn w:val="1"/>
    <w:qFormat/>
    <w:uiPriority w:val="34"/>
    <w:pPr>
      <w:ind w:firstLine="420" w:firstLineChars="200"/>
    </w:pPr>
  </w:style>
  <w:style w:type="character" w:customStyle="1" w:styleId="35">
    <w:name w:val="标题 1 Char"/>
    <w:basedOn w:val="24"/>
    <w:link w:val="3"/>
    <w:qFormat/>
    <w:uiPriority w:val="9"/>
    <w:rPr>
      <w:b/>
      <w:bCs/>
      <w:kern w:val="44"/>
      <w:sz w:val="44"/>
      <w:szCs w:val="44"/>
    </w:rPr>
  </w:style>
  <w:style w:type="paragraph" w:customStyle="1" w:styleId="3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文字 Char"/>
    <w:basedOn w:val="24"/>
    <w:link w:val="7"/>
    <w:qFormat/>
    <w:uiPriority w:val="99"/>
  </w:style>
  <w:style w:type="character" w:customStyle="1" w:styleId="38">
    <w:name w:val="标题 2 Char"/>
    <w:basedOn w:val="24"/>
    <w:link w:val="4"/>
    <w:qFormat/>
    <w:uiPriority w:val="9"/>
    <w:rPr>
      <w:rFonts w:asciiTheme="majorHAnsi" w:hAnsiTheme="majorHAnsi" w:eastAsiaTheme="majorEastAsia" w:cstheme="majorBidi"/>
      <w:b/>
      <w:bCs/>
      <w:sz w:val="32"/>
      <w:szCs w:val="32"/>
    </w:rPr>
  </w:style>
  <w:style w:type="character" w:customStyle="1" w:styleId="39">
    <w:name w:val="尾注文本 Char"/>
    <w:basedOn w:val="24"/>
    <w:link w:val="13"/>
    <w:semiHidden/>
    <w:qFormat/>
    <w:uiPriority w:val="99"/>
  </w:style>
  <w:style w:type="character" w:customStyle="1" w:styleId="40">
    <w:name w:val="纯文本 Char"/>
    <w:link w:val="11"/>
    <w:qFormat/>
    <w:uiPriority w:val="0"/>
    <w:rPr>
      <w:rFonts w:ascii="宋体" w:hAnsi="Courier New" w:cs="Courier New"/>
      <w:szCs w:val="21"/>
    </w:rPr>
  </w:style>
  <w:style w:type="character" w:customStyle="1" w:styleId="41">
    <w:name w:val="纯文本 Char1"/>
    <w:basedOn w:val="24"/>
    <w:semiHidden/>
    <w:qFormat/>
    <w:uiPriority w:val="99"/>
    <w:rPr>
      <w:rFonts w:ascii="宋体" w:hAnsi="Courier New" w:eastAsia="宋体" w:cs="Courier New"/>
      <w:szCs w:val="21"/>
    </w:rPr>
  </w:style>
  <w:style w:type="character" w:customStyle="1" w:styleId="42">
    <w:name w:val="引用 Char"/>
    <w:basedOn w:val="24"/>
    <w:link w:val="19"/>
    <w:qFormat/>
    <w:uiPriority w:val="29"/>
    <w:rPr>
      <w:i/>
      <w:iCs/>
      <w:color w:val="000000" w:themeColor="text1"/>
      <w14:textFill>
        <w14:solidFill>
          <w14:schemeClr w14:val="tx1"/>
        </w14:solidFill>
      </w14:textFill>
    </w:rPr>
  </w:style>
  <w:style w:type="character" w:customStyle="1" w:styleId="43">
    <w:name w:val="正文缩进 Char"/>
    <w:link w:val="6"/>
    <w:qFormat/>
    <w:uiPriority w:val="0"/>
  </w:style>
  <w:style w:type="character" w:customStyle="1" w:styleId="44">
    <w:name w:val="批注主题 Char"/>
    <w:basedOn w:val="37"/>
    <w:link w:val="21"/>
    <w:semiHidden/>
    <w:qFormat/>
    <w:uiPriority w:val="99"/>
    <w:rPr>
      <w:b/>
      <w:bCs/>
    </w:rPr>
  </w:style>
  <w:style w:type="paragraph" w:styleId="45">
    <w:name w:val="List Paragraph"/>
    <w:basedOn w:val="1"/>
    <w:unhideWhenUsed/>
    <w:qFormat/>
    <w:uiPriority w:val="99"/>
    <w:pPr>
      <w:ind w:firstLine="420" w:firstLineChars="200"/>
    </w:pPr>
  </w:style>
  <w:style w:type="paragraph" w:customStyle="1" w:styleId="46">
    <w:name w:val="列出段落3"/>
    <w:basedOn w:val="1"/>
    <w:qFormat/>
    <w:uiPriority w:val="0"/>
    <w:pPr>
      <w:ind w:firstLine="420" w:firstLineChars="200"/>
    </w:pPr>
  </w:style>
  <w:style w:type="paragraph" w:customStyle="1" w:styleId="47">
    <w:name w:val="正文（缩进）"/>
    <w:basedOn w:val="1"/>
    <w:qFormat/>
    <w:uiPriority w:val="0"/>
    <w:pPr>
      <w:spacing w:beforeLines="50" w:afterLines="50" w:line="360" w:lineRule="auto"/>
      <w:ind w:firstLine="480" w:firstLineChars="200"/>
    </w:pPr>
    <w:rPr>
      <w:sz w:val="24"/>
    </w:rPr>
  </w:style>
  <w:style w:type="paragraph" w:customStyle="1" w:styleId="48">
    <w:name w:val="_Style 2"/>
    <w:basedOn w:val="1"/>
    <w:qFormat/>
    <w:uiPriority w:val="0"/>
    <w:rPr>
      <w:sz w:val="20"/>
      <w:szCs w:val="20"/>
    </w:rPr>
  </w:style>
  <w:style w:type="character" w:customStyle="1" w:styleId="49">
    <w:name w:val="NormalCharacter"/>
    <w:qFormat/>
    <w:uiPriority w:val="0"/>
    <w:rPr>
      <w:rFonts w:ascii="Times New Roman" w:hAnsi="Times New Roman" w:eastAsia="宋体"/>
    </w:rPr>
  </w:style>
  <w:style w:type="character" w:customStyle="1" w:styleId="50">
    <w:name w:val="last-child"/>
    <w:basedOn w:val="24"/>
    <w:qFormat/>
    <w:uiPriority w:val="0"/>
  </w:style>
  <w:style w:type="character" w:customStyle="1" w:styleId="51">
    <w:name w:val="is_active"/>
    <w:basedOn w:val="24"/>
    <w:qFormat/>
    <w:uiPriority w:val="0"/>
    <w:rPr>
      <w:color w:val="FFFFFF"/>
      <w:shd w:val="clear" w:fill="F07C17"/>
    </w:rPr>
  </w:style>
  <w:style w:type="character" w:customStyle="1" w:styleId="52">
    <w:name w:val="last-child2"/>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0EBD44-80DF-48B0-A195-3AC37CEE9C6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62</Pages>
  <Words>5472</Words>
  <Characters>31192</Characters>
  <Lines>259</Lines>
  <Paragraphs>73</Paragraphs>
  <TotalTime>13</TotalTime>
  <ScaleCrop>false</ScaleCrop>
  <LinksUpToDate>false</LinksUpToDate>
  <CharactersWithSpaces>36591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2020-08-05T08:29:00Z</dcterms:created>
  <dc:creator>502-2</dc:creator>
  <cp:lastModifiedBy>YouAreMyLife1402823538</cp:lastModifiedBy>
  <cp:lastPrinted>2022-03-15T00:36:00Z</cp:lastPrinted>
  <dcterms:modified xsi:type="dcterms:W3CDTF">2022-03-15T02:11:12Z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B5F8402249CB4DCA8B03FECCF6BBB88F</vt:lpwstr>
  </property>
</Properties>
</file>