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宋体" w:eastAsia="黑体" w:cs="黑体"/>
          <w:b/>
          <w:sz w:val="72"/>
          <w:szCs w:val="72"/>
        </w:rPr>
      </w:pPr>
      <w:r>
        <w:rPr>
          <w:rFonts w:hint="eastAsia" w:ascii="黑体" w:hAnsi="宋体" w:eastAsia="黑体" w:cs="黑体"/>
          <w:b/>
          <w:sz w:val="72"/>
          <w:szCs w:val="72"/>
        </w:rPr>
        <w:t xml:space="preserve"> 阳新县县级政府采购</w:t>
      </w:r>
    </w:p>
    <w:p>
      <w:pPr>
        <w:pStyle w:val="5"/>
        <w:widowControl/>
        <w:spacing w:line="360" w:lineRule="auto"/>
        <w:rPr>
          <w:rFonts w:ascii="黑体" w:hAnsi="宋体" w:eastAsia="黑体" w:cs="黑体"/>
          <w:sz w:val="72"/>
          <w:szCs w:val="72"/>
        </w:rPr>
      </w:pPr>
    </w:p>
    <w:p>
      <w:pPr>
        <w:spacing w:line="360" w:lineRule="auto"/>
      </w:pPr>
    </w:p>
    <w:p>
      <w:pPr>
        <w:spacing w:line="360" w:lineRule="auto"/>
        <w:jc w:val="center"/>
        <w:rPr>
          <w:rFonts w:hint="eastAsia" w:ascii="黑体" w:hAnsi="宋体" w:eastAsia="黑体" w:cs="黑体"/>
          <w:b/>
          <w:sz w:val="130"/>
          <w:szCs w:val="130"/>
        </w:rPr>
      </w:pPr>
      <w:r>
        <w:rPr>
          <w:rFonts w:hint="eastAsia" w:ascii="黑体" w:hAnsi="宋体" w:eastAsia="黑体" w:cs="黑体"/>
          <w:b/>
          <w:sz w:val="130"/>
          <w:szCs w:val="130"/>
        </w:rPr>
        <w:t>招 标 文 件</w:t>
      </w:r>
    </w:p>
    <w:p>
      <w:pPr>
        <w:pStyle w:val="2"/>
        <w:rPr>
          <w:rFonts w:hint="eastAsia" w:ascii="黑体" w:hAnsi="宋体" w:eastAsia="黑体" w:cs="黑体"/>
          <w:b/>
          <w:sz w:val="130"/>
          <w:szCs w:val="130"/>
        </w:rPr>
      </w:pPr>
    </w:p>
    <w:p>
      <w:pPr>
        <w:rPr>
          <w:rFonts w:hint="eastAsia" w:ascii="黑体" w:hAnsi="宋体" w:eastAsia="黑体" w:cs="黑体"/>
          <w:b/>
          <w:sz w:val="130"/>
          <w:szCs w:val="130"/>
        </w:rPr>
      </w:pPr>
    </w:p>
    <w:p>
      <w:pPr>
        <w:pStyle w:val="2"/>
        <w:rPr>
          <w:rFonts w:hint="eastAsia" w:ascii="黑体" w:hAnsi="宋体" w:eastAsia="黑体" w:cs="黑体"/>
          <w:b/>
          <w:sz w:val="130"/>
          <w:szCs w:val="130"/>
        </w:rPr>
      </w:pPr>
    </w:p>
    <w:p/>
    <w:p>
      <w:pPr>
        <w:spacing w:line="360" w:lineRule="auto"/>
        <w:ind w:right="1306" w:rightChars="622" w:firstLine="960" w:firstLineChars="300"/>
        <w:rPr>
          <w:rFonts w:ascii="宋体" w:hAnsi="宋体" w:eastAsia="黑体" w:cs="Times New Roman"/>
          <w:sz w:val="32"/>
          <w:szCs w:val="32"/>
        </w:rPr>
      </w:pPr>
      <w:r>
        <w:rPr>
          <w:rFonts w:hint="eastAsia" w:ascii="黑体" w:hAnsi="宋体" w:eastAsia="黑体" w:cs="Times New Roman"/>
          <w:b/>
          <w:sz w:val="32"/>
          <w:szCs w:val="32"/>
        </w:rPr>
        <w:t>项目编号：</w:t>
      </w:r>
      <w:r>
        <w:rPr>
          <w:rFonts w:hint="eastAsia" w:ascii="黑体" w:hAnsi="宋体" w:eastAsia="黑体" w:cs="Times New Roman"/>
          <w:b/>
          <w:sz w:val="32"/>
          <w:szCs w:val="32"/>
          <w:u w:val="single"/>
        </w:rPr>
        <w:t>131-2022CG-</w:t>
      </w:r>
      <w:r>
        <w:rPr>
          <w:rFonts w:hint="eastAsia" w:ascii="黑体" w:hAnsi="宋体" w:eastAsia="黑体" w:cs="Times New Roman"/>
          <w:b/>
          <w:sz w:val="32"/>
          <w:szCs w:val="32"/>
          <w:u w:val="single"/>
          <w:lang w:val="en-US" w:eastAsia="zh-CN"/>
        </w:rPr>
        <w:t xml:space="preserve">032    </w:t>
      </w:r>
      <w:r>
        <w:rPr>
          <w:rFonts w:hint="eastAsia" w:ascii="黑体" w:hAnsi="宋体" w:eastAsia="黑体" w:cs="Times New Roman"/>
          <w:b/>
          <w:sz w:val="32"/>
          <w:szCs w:val="32"/>
          <w:u w:val="single"/>
        </w:rPr>
        <w:t xml:space="preserve"> </w:t>
      </w:r>
    </w:p>
    <w:p>
      <w:pPr>
        <w:spacing w:line="360" w:lineRule="auto"/>
        <w:ind w:right="1306" w:rightChars="622" w:firstLine="960" w:firstLineChars="300"/>
        <w:rPr>
          <w:rFonts w:hint="eastAsia" w:ascii="宋体" w:hAnsi="宋体" w:eastAsia="黑体" w:cs="Times New Roman"/>
          <w:bCs/>
          <w:sz w:val="32"/>
          <w:szCs w:val="32"/>
          <w:lang w:eastAsia="zh-CN"/>
        </w:rPr>
      </w:pPr>
      <w:r>
        <w:rPr>
          <w:rFonts w:hint="eastAsia" w:ascii="黑体" w:hAnsi="宋体" w:eastAsia="黑体" w:cs="Times New Roman"/>
          <w:b/>
          <w:sz w:val="32"/>
          <w:szCs w:val="32"/>
        </w:rPr>
        <w:t>采 购 人：</w:t>
      </w:r>
      <w:r>
        <w:rPr>
          <w:rFonts w:hint="eastAsia" w:ascii="黑体" w:hAnsi="宋体" w:eastAsia="黑体" w:cs="Times New Roman"/>
          <w:b/>
          <w:sz w:val="32"/>
          <w:szCs w:val="32"/>
          <w:u w:val="single"/>
        </w:rPr>
        <w:t>阳新县</w:t>
      </w:r>
      <w:r>
        <w:rPr>
          <w:rFonts w:hint="eastAsia" w:ascii="黑体" w:hAnsi="宋体" w:eastAsia="黑体" w:cs="Times New Roman"/>
          <w:b/>
          <w:sz w:val="32"/>
          <w:szCs w:val="32"/>
          <w:u w:val="single"/>
          <w:lang w:val="en-US" w:eastAsia="zh-CN"/>
        </w:rPr>
        <w:t>农业农村局</w:t>
      </w:r>
    </w:p>
    <w:p>
      <w:pPr>
        <w:spacing w:line="360" w:lineRule="auto"/>
        <w:ind w:right="170" w:rightChars="81" w:firstLine="960" w:firstLineChars="300"/>
        <w:rPr>
          <w:rFonts w:ascii="黑体" w:hAnsi="宋体" w:eastAsia="黑体" w:cs="Times New Roman"/>
          <w:b/>
          <w:sz w:val="32"/>
          <w:szCs w:val="32"/>
        </w:rPr>
      </w:pPr>
      <w:r>
        <w:rPr>
          <w:rFonts w:hint="eastAsia" w:ascii="黑体" w:hAnsi="宋体" w:eastAsia="黑体" w:cs="Times New Roman"/>
          <w:b/>
          <w:sz w:val="32"/>
          <w:szCs w:val="32"/>
        </w:rPr>
        <w:t>项目名称：</w:t>
      </w:r>
      <w:r>
        <w:rPr>
          <w:rFonts w:hint="eastAsia" w:ascii="黑体" w:hAnsi="宋体" w:eastAsia="黑体" w:cs="Times New Roman"/>
          <w:b/>
          <w:sz w:val="32"/>
          <w:szCs w:val="32"/>
          <w:lang w:val="en-US" w:eastAsia="zh-CN"/>
        </w:rPr>
        <w:t>阳新县2022年度茶叶苗木供苗</w:t>
      </w:r>
      <w:r>
        <w:rPr>
          <w:rFonts w:hint="eastAsia" w:ascii="黑体" w:hAnsi="宋体" w:eastAsia="黑体" w:cs="Times New Roman"/>
          <w:b/>
          <w:sz w:val="32"/>
          <w:szCs w:val="32"/>
          <w:u w:val="none"/>
        </w:rPr>
        <w:t>项目</w:t>
      </w:r>
    </w:p>
    <w:p>
      <w:pPr>
        <w:spacing w:line="360" w:lineRule="auto"/>
        <w:ind w:right="170" w:rightChars="81" w:firstLine="960" w:firstLineChars="300"/>
        <w:rPr>
          <w:rFonts w:hint="default" w:ascii="黑体" w:hAnsi="宋体" w:eastAsia="黑体" w:cs="Times New Roman"/>
          <w:b/>
          <w:sz w:val="32"/>
          <w:szCs w:val="32"/>
          <w:u w:val="single"/>
          <w:lang w:val="en-US" w:eastAsia="zh-CN"/>
        </w:rPr>
      </w:pPr>
      <w:r>
        <w:rPr>
          <w:rFonts w:hint="eastAsia" w:ascii="黑体" w:hAnsi="宋体" w:eastAsia="黑体" w:cs="Times New Roman"/>
          <w:b/>
          <w:sz w:val="32"/>
          <w:szCs w:val="32"/>
        </w:rPr>
        <w:t>项目内容：</w:t>
      </w:r>
      <w:r>
        <w:rPr>
          <w:rFonts w:hint="eastAsia" w:ascii="黑体" w:hAnsi="宋体" w:eastAsia="黑体" w:cs="Times New Roman"/>
          <w:b/>
          <w:sz w:val="32"/>
          <w:szCs w:val="32"/>
          <w:lang w:val="en-US" w:eastAsia="zh-CN"/>
        </w:rPr>
        <w:t>采购茶叶苗木</w:t>
      </w:r>
    </w:p>
    <w:p>
      <w:pPr>
        <w:tabs>
          <w:tab w:val="left" w:pos="2625"/>
          <w:tab w:val="left" w:pos="7939"/>
        </w:tabs>
        <w:spacing w:line="360" w:lineRule="auto"/>
        <w:jc w:val="center"/>
        <w:rPr>
          <w:rFonts w:ascii="宋体" w:hAnsi="宋体" w:eastAsia="宋体" w:cs="宋体"/>
          <w:b/>
          <w:sz w:val="44"/>
        </w:rPr>
      </w:pPr>
    </w:p>
    <w:p>
      <w:pPr>
        <w:pStyle w:val="5"/>
        <w:widowControl/>
        <w:spacing w:line="360" w:lineRule="auto"/>
        <w:rPr>
          <w:rFonts w:ascii="宋体" w:hAnsi="宋体" w:eastAsia="宋体" w:cs="宋体"/>
          <w:sz w:val="44"/>
          <w:szCs w:val="28"/>
        </w:rPr>
      </w:pPr>
    </w:p>
    <w:p>
      <w:pPr>
        <w:pStyle w:val="2"/>
      </w:pPr>
    </w:p>
    <w:p>
      <w:pPr>
        <w:tabs>
          <w:tab w:val="left" w:pos="2625"/>
          <w:tab w:val="left" w:pos="7939"/>
        </w:tabs>
        <w:spacing w:line="360" w:lineRule="auto"/>
        <w:jc w:val="center"/>
        <w:rPr>
          <w:rFonts w:ascii="宋体" w:hAnsi="宋体" w:eastAsia="宋体" w:cs="宋体"/>
          <w:b/>
          <w:sz w:val="52"/>
          <w:szCs w:val="52"/>
        </w:rPr>
      </w:pPr>
      <w:r>
        <w:rPr>
          <w:rFonts w:hint="eastAsia" w:ascii="宋体" w:hAnsi="宋体" w:eastAsia="宋体" w:cs="宋体"/>
          <w:b/>
          <w:sz w:val="52"/>
          <w:szCs w:val="52"/>
          <w:lang w:val="en-US" w:eastAsia="zh-CN"/>
        </w:rPr>
        <w:t>湖北兴诚达工程咨询</w:t>
      </w:r>
      <w:r>
        <w:rPr>
          <w:rFonts w:hint="eastAsia" w:ascii="宋体" w:hAnsi="宋体" w:eastAsia="宋体" w:cs="宋体"/>
          <w:b/>
          <w:sz w:val="52"/>
          <w:szCs w:val="52"/>
        </w:rPr>
        <w:t>有限公司</w:t>
      </w:r>
    </w:p>
    <w:p>
      <w:pPr>
        <w:tabs>
          <w:tab w:val="left" w:pos="2625"/>
          <w:tab w:val="left" w:pos="7939"/>
        </w:tabs>
        <w:spacing w:line="360" w:lineRule="auto"/>
        <w:jc w:val="center"/>
        <w:rPr>
          <w:rFonts w:ascii="宋体" w:hAnsi="宋体" w:eastAsia="宋体" w:cs="宋体"/>
          <w:b/>
          <w:sz w:val="44"/>
        </w:rPr>
      </w:pPr>
      <w:r>
        <w:rPr>
          <w:rFonts w:hint="eastAsia" w:ascii="宋体" w:hAnsi="宋体" w:eastAsia="宋体" w:cs="宋体"/>
          <w:b/>
          <w:sz w:val="36"/>
          <w:szCs w:val="36"/>
          <w:lang w:val="en-US" w:eastAsia="zh-CN"/>
        </w:rPr>
        <w:t>2022</w:t>
      </w:r>
      <w:r>
        <w:rPr>
          <w:rFonts w:hint="eastAsia" w:ascii="宋体" w:hAnsi="宋体" w:eastAsia="宋体" w:cs="宋体"/>
          <w:b/>
          <w:sz w:val="36"/>
          <w:szCs w:val="36"/>
        </w:rPr>
        <w:t>年</w:t>
      </w:r>
      <w:r>
        <w:rPr>
          <w:rFonts w:hint="eastAsia" w:ascii="宋体" w:hAnsi="宋体" w:eastAsia="宋体" w:cs="宋体"/>
          <w:b/>
          <w:sz w:val="36"/>
          <w:szCs w:val="36"/>
          <w:lang w:val="en-US" w:eastAsia="zh-CN"/>
        </w:rPr>
        <w:t>3</w:t>
      </w:r>
      <w:r>
        <w:rPr>
          <w:rFonts w:hint="eastAsia" w:ascii="宋体" w:hAnsi="宋体" w:eastAsia="宋体" w:cs="宋体"/>
          <w:b/>
          <w:sz w:val="36"/>
          <w:szCs w:val="36"/>
        </w:rPr>
        <w:t>月</w:t>
      </w:r>
    </w:p>
    <w:p>
      <w:pPr>
        <w:spacing w:line="360" w:lineRule="auto"/>
        <w:rPr>
          <w:rFonts w:ascii="宋体" w:hAnsi="宋体" w:eastAsia="宋体" w:cs="Times New Roman"/>
          <w:b/>
          <w:sz w:val="44"/>
        </w:rPr>
        <w:sectPr>
          <w:footerReference r:id="rId3" w:type="default"/>
          <w:pgSz w:w="11920" w:h="16840"/>
          <w:pgMar w:top="1559" w:right="1702" w:bottom="1531" w:left="1680" w:header="720" w:footer="720" w:gutter="0"/>
          <w:pgNumType w:start="1"/>
          <w:cols w:space="0" w:num="1"/>
          <w:docGrid w:type="linesAndChars" w:linePitch="312" w:charSpace="0"/>
        </w:sectPr>
      </w:pPr>
    </w:p>
    <w:p>
      <w:pPr>
        <w:spacing w:line="360" w:lineRule="auto"/>
        <w:jc w:val="center"/>
        <w:rPr>
          <w:rFonts w:ascii="黑体" w:hAnsi="宋体" w:eastAsia="黑体" w:cs="黑体"/>
          <w:sz w:val="44"/>
          <w:szCs w:val="44"/>
        </w:rPr>
      </w:pPr>
      <w:r>
        <w:rPr>
          <w:rFonts w:hint="eastAsia" w:ascii="黑体" w:hAnsi="宋体" w:eastAsia="黑体" w:cs="黑体"/>
          <w:sz w:val="44"/>
          <w:szCs w:val="44"/>
        </w:rPr>
        <w:t>目   录</w:t>
      </w:r>
    </w:p>
    <w:p>
      <w:pPr>
        <w:pStyle w:val="2"/>
        <w:tabs>
          <w:tab w:val="right" w:leader="dot" w:pos="9072"/>
        </w:tabs>
      </w:pPr>
      <w:r>
        <w:rPr>
          <w:rFonts w:ascii="Calibri" w:hAnsi="Calibri" w:eastAsia="黑体" w:cs="Times New Roman"/>
          <w:b/>
          <w:iCs/>
          <w:sz w:val="28"/>
          <w:szCs w:val="22"/>
        </w:rPr>
        <w:fldChar w:fldCharType="begin"/>
      </w:r>
      <w:r>
        <w:rPr>
          <w:rFonts w:ascii="Calibri" w:hAnsi="Calibri" w:eastAsia="黑体" w:cs="Times New Roman"/>
          <w:b/>
          <w:iCs/>
          <w:sz w:val="28"/>
          <w:szCs w:val="22"/>
        </w:rPr>
        <w:instrText xml:space="preserve"> TOC \o "1-2" \h \z \u </w:instrText>
      </w:r>
      <w:r>
        <w:rPr>
          <w:rFonts w:ascii="Calibri" w:hAnsi="Calibri" w:eastAsia="黑体" w:cs="Times New Roman"/>
          <w:b/>
          <w:iCs/>
          <w:sz w:val="28"/>
          <w:szCs w:val="22"/>
        </w:rPr>
        <w:fldChar w:fldCharType="separate"/>
      </w: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_Toc11976 </w:instrText>
      </w:r>
      <w:r>
        <w:rPr>
          <w:rFonts w:ascii="Calibri" w:hAnsi="Calibri" w:eastAsia="黑体" w:cs="Times New Roman"/>
          <w:iCs/>
          <w:szCs w:val="22"/>
        </w:rPr>
        <w:fldChar w:fldCharType="separate"/>
      </w:r>
      <w:r>
        <w:rPr>
          <w:rFonts w:hint="eastAsia" w:ascii="黑体" w:hAnsi="黑体" w:eastAsia="黑体"/>
        </w:rPr>
        <w:t>第一章 投标邀请书</w:t>
      </w:r>
      <w:r>
        <w:tab/>
      </w:r>
      <w:r>
        <w:fldChar w:fldCharType="begin"/>
      </w:r>
      <w:r>
        <w:instrText xml:space="preserve"> PAGEREF _Toc11976 \h </w:instrText>
      </w:r>
      <w:r>
        <w:fldChar w:fldCharType="separate"/>
      </w:r>
      <w:r>
        <w:t>1</w:t>
      </w:r>
      <w:r>
        <w:fldChar w:fldCharType="end"/>
      </w:r>
      <w:r>
        <w:rPr>
          <w:rFonts w:ascii="Calibri" w:hAnsi="Calibri" w:eastAsia="黑体" w:cs="Times New Roman"/>
          <w:iCs/>
          <w:szCs w:val="22"/>
        </w:rPr>
        <w:fldChar w:fldCharType="end"/>
      </w:r>
    </w:p>
    <w:p>
      <w:pPr>
        <w:pStyle w:val="2"/>
        <w:tabs>
          <w:tab w:val="right" w:leader="dot" w:pos="9072"/>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_Toc22223 </w:instrText>
      </w:r>
      <w:r>
        <w:rPr>
          <w:rFonts w:ascii="Calibri" w:hAnsi="Calibri" w:eastAsia="黑体" w:cs="Times New Roman"/>
          <w:iCs/>
          <w:szCs w:val="22"/>
        </w:rPr>
        <w:fldChar w:fldCharType="separate"/>
      </w:r>
      <w:r>
        <w:rPr>
          <w:rFonts w:hint="eastAsia" w:ascii="黑体" w:hAnsi="黑体" w:eastAsia="黑体"/>
        </w:rPr>
        <w:t>第二章 投标人须知</w:t>
      </w:r>
      <w:r>
        <w:tab/>
      </w:r>
      <w:r>
        <w:fldChar w:fldCharType="begin"/>
      </w:r>
      <w:r>
        <w:instrText xml:space="preserve"> PAGEREF _Toc22223 \h </w:instrText>
      </w:r>
      <w:r>
        <w:fldChar w:fldCharType="separate"/>
      </w:r>
      <w:r>
        <w:t>4</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_Toc12951 </w:instrText>
      </w:r>
      <w:r>
        <w:rPr>
          <w:rFonts w:ascii="Calibri" w:hAnsi="Calibri" w:eastAsia="黑体" w:cs="Times New Roman"/>
          <w:iCs/>
          <w:szCs w:val="22"/>
        </w:rP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_Toc12951 \h </w:instrText>
      </w:r>
      <w:r>
        <w:fldChar w:fldCharType="separate"/>
      </w:r>
      <w:r>
        <w:t>4</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_Toc18451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_Toc18451 \h </w:instrText>
      </w:r>
      <w:r>
        <w:fldChar w:fldCharType="separate"/>
      </w:r>
      <w:r>
        <w:t>5</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_Toc24530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_Toc24530 \h </w:instrText>
      </w:r>
      <w:r>
        <w:fldChar w:fldCharType="separate"/>
      </w:r>
      <w:r>
        <w:t>6</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_Toc22514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_Toc22514 \h </w:instrText>
      </w:r>
      <w:r>
        <w:fldChar w:fldCharType="separate"/>
      </w:r>
      <w:r>
        <w:t>7</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_Toc6572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_Toc6572 \h </w:instrText>
      </w:r>
      <w:r>
        <w:fldChar w:fldCharType="separate"/>
      </w:r>
      <w:r>
        <w:t>12</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_Toc23964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_Toc23964 \h </w:instrText>
      </w:r>
      <w:r>
        <w:fldChar w:fldCharType="separate"/>
      </w:r>
      <w:r>
        <w:t>13</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_Toc8226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_Toc8226 \h </w:instrText>
      </w:r>
      <w:r>
        <w:fldChar w:fldCharType="separate"/>
      </w:r>
      <w:r>
        <w:t>13</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_Toc28803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_Toc28803 \h </w:instrText>
      </w:r>
      <w:r>
        <w:fldChar w:fldCharType="separate"/>
      </w:r>
      <w:r>
        <w:t>15</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_Toc11957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_Toc11957 \h </w:instrText>
      </w:r>
      <w:r>
        <w:fldChar w:fldCharType="separate"/>
      </w:r>
      <w:r>
        <w:t>15</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_Toc16531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_Toc16531 \h </w:instrText>
      </w:r>
      <w:r>
        <w:fldChar w:fldCharType="separate"/>
      </w:r>
      <w:r>
        <w:t>16</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_Toc22090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_Toc22090 \h </w:instrText>
      </w:r>
      <w:r>
        <w:fldChar w:fldCharType="separate"/>
      </w:r>
      <w:r>
        <w:t>16</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_Toc24863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_Toc24863 \h </w:instrText>
      </w:r>
      <w:r>
        <w:fldChar w:fldCharType="separate"/>
      </w:r>
      <w:r>
        <w:t>16</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_Toc4839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_Toc4839 \h </w:instrText>
      </w:r>
      <w:r>
        <w:fldChar w:fldCharType="separate"/>
      </w:r>
      <w:r>
        <w:t>16</w:t>
      </w:r>
      <w:r>
        <w:fldChar w:fldCharType="end"/>
      </w:r>
      <w:r>
        <w:rPr>
          <w:rFonts w:ascii="Calibri" w:hAnsi="Calibri" w:eastAsia="黑体" w:cs="Times New Roman"/>
          <w:iCs/>
          <w:szCs w:val="22"/>
        </w:rPr>
        <w:fldChar w:fldCharType="end"/>
      </w:r>
    </w:p>
    <w:p>
      <w:pPr>
        <w:pStyle w:val="2"/>
        <w:tabs>
          <w:tab w:val="right" w:leader="dot" w:pos="9072"/>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_Toc9252 </w:instrText>
      </w:r>
      <w:r>
        <w:rPr>
          <w:rFonts w:ascii="Calibri" w:hAnsi="Calibri" w:eastAsia="黑体" w:cs="Times New Roman"/>
          <w:iCs/>
          <w:szCs w:val="22"/>
        </w:rPr>
        <w:fldChar w:fldCharType="separate"/>
      </w:r>
      <w:r>
        <w:rPr>
          <w:rFonts w:hint="eastAsia" w:ascii="黑体" w:hAnsi="黑体" w:eastAsia="黑体"/>
        </w:rPr>
        <w:t>第三章 项目技术、服务及商务要求</w:t>
      </w:r>
      <w:r>
        <w:tab/>
      </w:r>
      <w:r>
        <w:fldChar w:fldCharType="begin"/>
      </w:r>
      <w:r>
        <w:instrText xml:space="preserve"> PAGEREF _Toc9252 \h </w:instrText>
      </w:r>
      <w:r>
        <w:fldChar w:fldCharType="separate"/>
      </w:r>
      <w:r>
        <w:t>17</w:t>
      </w:r>
      <w:r>
        <w:fldChar w:fldCharType="end"/>
      </w:r>
      <w:r>
        <w:rPr>
          <w:rFonts w:ascii="Calibri" w:hAnsi="Calibri" w:eastAsia="黑体" w:cs="Times New Roman"/>
          <w:iCs/>
          <w:szCs w:val="22"/>
        </w:rPr>
        <w:fldChar w:fldCharType="end"/>
      </w:r>
    </w:p>
    <w:p>
      <w:pPr>
        <w:pStyle w:val="2"/>
        <w:tabs>
          <w:tab w:val="right" w:leader="dot" w:pos="9072"/>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_Toc25691 </w:instrText>
      </w:r>
      <w:r>
        <w:rPr>
          <w:rFonts w:ascii="Calibri" w:hAnsi="Calibri" w:eastAsia="黑体" w:cs="Times New Roman"/>
          <w:iCs/>
          <w:szCs w:val="22"/>
        </w:rPr>
        <w:fldChar w:fldCharType="separate"/>
      </w:r>
      <w:r>
        <w:rPr>
          <w:rFonts w:hint="eastAsia" w:ascii="黑体" w:hAnsi="黑体" w:eastAsia="黑体"/>
        </w:rPr>
        <w:t>第四章 资格审查方法及标准</w:t>
      </w:r>
      <w:r>
        <w:tab/>
      </w:r>
      <w:r>
        <w:fldChar w:fldCharType="begin"/>
      </w:r>
      <w:r>
        <w:instrText xml:space="preserve"> PAGEREF _Toc25691 \h </w:instrText>
      </w:r>
      <w:r>
        <w:fldChar w:fldCharType="separate"/>
      </w:r>
      <w:r>
        <w:t>18</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_Toc20701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_Toc20701 \h </w:instrText>
      </w:r>
      <w:r>
        <w:fldChar w:fldCharType="separate"/>
      </w:r>
      <w:r>
        <w:t>18</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_Toc10513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_Toc10513 \h </w:instrText>
      </w:r>
      <w:r>
        <w:fldChar w:fldCharType="separate"/>
      </w:r>
      <w:r>
        <w:t>18</w:t>
      </w:r>
      <w:r>
        <w:fldChar w:fldCharType="end"/>
      </w:r>
      <w:r>
        <w:rPr>
          <w:rFonts w:ascii="Calibri" w:hAnsi="Calibri" w:eastAsia="黑体" w:cs="Times New Roman"/>
          <w:iCs/>
          <w:szCs w:val="22"/>
        </w:rPr>
        <w:fldChar w:fldCharType="end"/>
      </w:r>
    </w:p>
    <w:p>
      <w:pPr>
        <w:pStyle w:val="2"/>
        <w:tabs>
          <w:tab w:val="right" w:leader="dot" w:pos="9072"/>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_Toc6075 </w:instrText>
      </w:r>
      <w:r>
        <w:rPr>
          <w:rFonts w:ascii="Calibri" w:hAnsi="Calibri" w:eastAsia="黑体" w:cs="Times New Roman"/>
          <w:iCs/>
          <w:szCs w:val="22"/>
        </w:rPr>
        <w:fldChar w:fldCharType="separate"/>
      </w:r>
      <w:r>
        <w:rPr>
          <w:rFonts w:hint="eastAsia" w:ascii="黑体" w:hAnsi="黑体" w:eastAsia="黑体"/>
        </w:rPr>
        <w:t>第五章 评标方法、程序及标准</w:t>
      </w:r>
      <w:r>
        <w:tab/>
      </w:r>
      <w:r>
        <w:fldChar w:fldCharType="begin"/>
      </w:r>
      <w:r>
        <w:instrText xml:space="preserve"> PAGEREF _Toc6075 \h </w:instrText>
      </w:r>
      <w:r>
        <w:fldChar w:fldCharType="separate"/>
      </w:r>
      <w:r>
        <w:t>20</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_Toc13473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_Toc13473 \h </w:instrText>
      </w:r>
      <w:r>
        <w:fldChar w:fldCharType="separate"/>
      </w:r>
      <w:r>
        <w:t>20</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_Toc30514 </w:instrText>
      </w:r>
      <w:r>
        <w:rPr>
          <w:rFonts w:ascii="Calibri" w:hAnsi="Calibri" w:eastAsia="黑体" w:cs="Times New Roman"/>
          <w:iCs/>
          <w:szCs w:val="22"/>
        </w:rP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_Toc30514 \h </w:instrText>
      </w:r>
      <w:r>
        <w:fldChar w:fldCharType="separate"/>
      </w:r>
      <w:r>
        <w:t>20</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_Toc10212 </w:instrText>
      </w:r>
      <w:r>
        <w:rPr>
          <w:rFonts w:ascii="Calibri" w:hAnsi="Calibri" w:eastAsia="黑体" w:cs="Times New Roman"/>
          <w:iCs/>
          <w:szCs w:val="22"/>
        </w:rPr>
        <w:fldChar w:fldCharType="separate"/>
      </w:r>
      <w:r>
        <w:rPr>
          <w:rFonts w:hint="eastAsia"/>
          <w:szCs w:val="30"/>
          <w:lang w:val="en-US" w:eastAsia="zh-CN"/>
        </w:rPr>
        <w:t xml:space="preserve">三、 </w:t>
      </w:r>
      <w:r>
        <w:rPr>
          <w:rFonts w:hint="eastAsia" w:cs="Times New Roman" w:asciiTheme="majorEastAsia" w:hAnsiTheme="majorEastAsia"/>
          <w:bCs w:val="0"/>
          <w:szCs w:val="30"/>
          <w:lang w:val="zh-CN"/>
        </w:rPr>
        <w:t>评审因素及评分标准</w:t>
      </w:r>
      <w:r>
        <w:tab/>
      </w:r>
      <w:r>
        <w:fldChar w:fldCharType="begin"/>
      </w:r>
      <w:r>
        <w:instrText xml:space="preserve"> PAGEREF _Toc10212 \h </w:instrText>
      </w:r>
      <w:r>
        <w:fldChar w:fldCharType="separate"/>
      </w:r>
      <w:r>
        <w:t>24</w:t>
      </w:r>
      <w:r>
        <w:fldChar w:fldCharType="end"/>
      </w:r>
      <w:r>
        <w:rPr>
          <w:rFonts w:ascii="Calibri" w:hAnsi="Calibri" w:eastAsia="黑体" w:cs="Times New Roman"/>
          <w:iCs/>
          <w:szCs w:val="22"/>
        </w:rPr>
        <w:fldChar w:fldCharType="end"/>
      </w:r>
    </w:p>
    <w:p>
      <w:pPr>
        <w:pStyle w:val="2"/>
        <w:tabs>
          <w:tab w:val="right" w:leader="dot" w:pos="9072"/>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_Toc8203 </w:instrText>
      </w:r>
      <w:r>
        <w:rPr>
          <w:rFonts w:ascii="Calibri" w:hAnsi="Calibri" w:eastAsia="黑体" w:cs="Times New Roman"/>
          <w:iCs/>
          <w:szCs w:val="22"/>
        </w:rPr>
        <w:fldChar w:fldCharType="separate"/>
      </w:r>
      <w:r>
        <w:rPr>
          <w:rFonts w:hint="eastAsia" w:ascii="黑体" w:hAnsi="黑体" w:eastAsia="黑体"/>
        </w:rPr>
        <w:t>第六章 合同书格式（参考）</w:t>
      </w:r>
      <w:r>
        <w:tab/>
      </w:r>
      <w:r>
        <w:fldChar w:fldCharType="begin"/>
      </w:r>
      <w:r>
        <w:instrText xml:space="preserve"> PAGEREF _Toc8203 \h </w:instrText>
      </w:r>
      <w:r>
        <w:fldChar w:fldCharType="separate"/>
      </w:r>
      <w:r>
        <w:t>27</w:t>
      </w:r>
      <w:r>
        <w:fldChar w:fldCharType="end"/>
      </w:r>
      <w:r>
        <w:rPr>
          <w:rFonts w:ascii="Calibri" w:hAnsi="Calibri" w:eastAsia="黑体" w:cs="Times New Roman"/>
          <w:iCs/>
          <w:szCs w:val="22"/>
        </w:rPr>
        <w:fldChar w:fldCharType="end"/>
      </w:r>
    </w:p>
    <w:p>
      <w:pPr>
        <w:pStyle w:val="2"/>
        <w:tabs>
          <w:tab w:val="right" w:leader="dot" w:pos="9072"/>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_Toc32397 </w:instrText>
      </w:r>
      <w:r>
        <w:rPr>
          <w:rFonts w:ascii="Calibri" w:hAnsi="Calibri" w:eastAsia="黑体" w:cs="Times New Roman"/>
          <w:iCs/>
          <w:szCs w:val="22"/>
        </w:rPr>
        <w:fldChar w:fldCharType="separate"/>
      </w:r>
      <w:r>
        <w:rPr>
          <w:rFonts w:hint="eastAsia" w:ascii="黑体" w:hAnsi="黑体" w:eastAsia="黑体"/>
        </w:rPr>
        <w:t>第七章 投标文件格式（参考）</w:t>
      </w:r>
      <w:r>
        <w:tab/>
      </w:r>
      <w:r>
        <w:fldChar w:fldCharType="begin"/>
      </w:r>
      <w:r>
        <w:instrText xml:space="preserve"> PAGEREF _Toc32397 \h </w:instrText>
      </w:r>
      <w:r>
        <w:fldChar w:fldCharType="separate"/>
      </w:r>
      <w:r>
        <w:t>29</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_Toc7442 </w:instrText>
      </w:r>
      <w:r>
        <w:rPr>
          <w:rFonts w:ascii="Calibri" w:hAnsi="Calibri" w:eastAsia="黑体" w:cs="Times New Roman"/>
          <w:iCs/>
          <w:szCs w:val="22"/>
        </w:rP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_Toc7442 \h </w:instrText>
      </w:r>
      <w:r>
        <w:fldChar w:fldCharType="separate"/>
      </w:r>
      <w:r>
        <w:t>29</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_Toc9874 </w:instrText>
      </w:r>
      <w:r>
        <w:rPr>
          <w:rFonts w:ascii="Calibri" w:hAnsi="Calibri" w:eastAsia="黑体" w:cs="Times New Roman"/>
          <w:iCs/>
          <w:szCs w:val="22"/>
        </w:rP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_Toc9874 \h </w:instrText>
      </w:r>
      <w:r>
        <w:fldChar w:fldCharType="separate"/>
      </w:r>
      <w:r>
        <w:t>31</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_Toc24917 </w:instrText>
      </w:r>
      <w:r>
        <w:rPr>
          <w:rFonts w:ascii="Calibri" w:hAnsi="Calibri" w:eastAsia="黑体" w:cs="Times New Roman"/>
          <w:iCs/>
          <w:szCs w:val="22"/>
        </w:rP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_Toc24917 \h </w:instrText>
      </w:r>
      <w:r>
        <w:fldChar w:fldCharType="separate"/>
      </w:r>
      <w:r>
        <w:t>33</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_Toc22515 </w:instrText>
      </w:r>
      <w:r>
        <w:rPr>
          <w:rFonts w:ascii="Calibri" w:hAnsi="Calibri" w:eastAsia="黑体" w:cs="Times New Roman"/>
          <w:iCs/>
          <w:szCs w:val="22"/>
        </w:rP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_Toc22515 \h </w:instrText>
      </w:r>
      <w:r>
        <w:fldChar w:fldCharType="separate"/>
      </w:r>
      <w:r>
        <w:t>35</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_Toc14680 </w:instrText>
      </w:r>
      <w:r>
        <w:rPr>
          <w:rFonts w:ascii="Calibri" w:hAnsi="Calibri" w:eastAsia="黑体" w:cs="Times New Roman"/>
          <w:iCs/>
          <w:szCs w:val="22"/>
        </w:rPr>
        <w:fldChar w:fldCharType="separate"/>
      </w:r>
      <w:r>
        <w:rPr>
          <w:rFonts w:hint="eastAsia" w:ascii="宋体" w:hAnsi="宋体" w:eastAsia="宋体"/>
          <w:i w:val="0"/>
        </w:rPr>
        <w:t xml:space="preserve">附件二、 </w:t>
      </w:r>
      <w:r>
        <w:rPr>
          <w:rFonts w:hint="eastAsia" w:ascii="宋体" w:hAnsi="宋体" w:eastAsia="宋体"/>
        </w:rPr>
        <w:t>制造商中小企业声明函</w:t>
      </w:r>
      <w:r>
        <w:tab/>
      </w:r>
      <w:r>
        <w:fldChar w:fldCharType="begin"/>
      </w:r>
      <w:r>
        <w:instrText xml:space="preserve"> PAGEREF _Toc14680 \h </w:instrText>
      </w:r>
      <w:r>
        <w:fldChar w:fldCharType="separate"/>
      </w:r>
      <w:r>
        <w:t>36</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_Toc22428 </w:instrText>
      </w:r>
      <w:r>
        <w:rPr>
          <w:rFonts w:ascii="Calibri" w:hAnsi="Calibri" w:eastAsia="黑体" w:cs="Times New Roman"/>
          <w:iCs/>
          <w:szCs w:val="22"/>
        </w:rPr>
        <w:fldChar w:fldCharType="separate"/>
      </w:r>
      <w:r>
        <w:rPr>
          <w:rFonts w:hint="eastAsia" w:ascii="宋体" w:hAnsi="宋体" w:eastAsia="宋体"/>
          <w:i w:val="0"/>
        </w:rPr>
        <w:t xml:space="preserve">附件三、 </w:t>
      </w:r>
      <w:r>
        <w:rPr>
          <w:rFonts w:hint="eastAsia" w:ascii="宋体" w:hAnsi="宋体" w:eastAsia="宋体"/>
        </w:rPr>
        <w:t>中小企业声明函</w:t>
      </w:r>
      <w:r>
        <w:tab/>
      </w:r>
      <w:r>
        <w:fldChar w:fldCharType="begin"/>
      </w:r>
      <w:r>
        <w:instrText xml:space="preserve"> PAGEREF _Toc22428 \h </w:instrText>
      </w:r>
      <w:r>
        <w:fldChar w:fldCharType="separate"/>
      </w:r>
      <w:r>
        <w:t>37</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_Toc16103 </w:instrText>
      </w:r>
      <w:r>
        <w:rPr>
          <w:rFonts w:ascii="Calibri" w:hAnsi="Calibri" w:eastAsia="黑体" w:cs="Times New Roman"/>
          <w:iCs/>
          <w:szCs w:val="22"/>
        </w:rPr>
        <w:fldChar w:fldCharType="separate"/>
      </w:r>
      <w:r>
        <w:rPr>
          <w:rFonts w:hint="eastAsia" w:ascii="宋体" w:hAnsi="宋体" w:eastAsia="宋体"/>
          <w:i w:val="0"/>
        </w:rPr>
        <w:t xml:space="preserve">附件四、 </w:t>
      </w:r>
      <w:r>
        <w:rPr>
          <w:rFonts w:hint="eastAsia" w:ascii="宋体" w:hAnsi="宋体" w:eastAsia="宋体"/>
        </w:rPr>
        <w:t>残疾人福利性单位声明函</w:t>
      </w:r>
      <w:r>
        <w:tab/>
      </w:r>
      <w:r>
        <w:fldChar w:fldCharType="begin"/>
      </w:r>
      <w:r>
        <w:instrText xml:space="preserve"> PAGEREF _Toc16103 \h </w:instrText>
      </w:r>
      <w:r>
        <w:fldChar w:fldCharType="separate"/>
      </w:r>
      <w:r>
        <w:t>40</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_Toc26230 </w:instrText>
      </w:r>
      <w:r>
        <w:rPr>
          <w:rFonts w:ascii="Calibri" w:hAnsi="Calibri" w:eastAsia="黑体" w:cs="Times New Roman"/>
          <w:iCs/>
          <w:szCs w:val="22"/>
        </w:rPr>
        <w:fldChar w:fldCharType="separate"/>
      </w:r>
      <w:r>
        <w:rPr>
          <w:rFonts w:hint="eastAsia" w:ascii="宋体" w:hAnsi="宋体" w:eastAsia="宋体"/>
          <w:i w:val="0"/>
        </w:rPr>
        <w:t xml:space="preserve">附件五、 </w:t>
      </w:r>
      <w:r>
        <w:rPr>
          <w:rFonts w:hint="eastAsia" w:ascii="宋体" w:hAnsi="宋体" w:eastAsia="宋体"/>
        </w:rPr>
        <w:t>开标一览表（一包）</w:t>
      </w:r>
      <w:r>
        <w:tab/>
      </w:r>
      <w:r>
        <w:fldChar w:fldCharType="begin"/>
      </w:r>
      <w:r>
        <w:instrText xml:space="preserve"> PAGEREF _Toc26230 \h </w:instrText>
      </w:r>
      <w:r>
        <w:fldChar w:fldCharType="separate"/>
      </w:r>
      <w:r>
        <w:t>43</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_Toc11368 </w:instrText>
      </w:r>
      <w:r>
        <w:rPr>
          <w:rFonts w:ascii="Calibri" w:hAnsi="Calibri" w:eastAsia="黑体" w:cs="Times New Roman"/>
          <w:iCs/>
          <w:szCs w:val="22"/>
        </w:rPr>
        <w:fldChar w:fldCharType="separate"/>
      </w:r>
      <w:r>
        <w:rPr>
          <w:rFonts w:hint="eastAsia" w:ascii="宋体" w:hAnsi="宋体" w:eastAsia="宋体"/>
        </w:rPr>
        <w:t>开标一览表（二包）</w:t>
      </w:r>
      <w:r>
        <w:tab/>
      </w:r>
      <w:r>
        <w:fldChar w:fldCharType="begin"/>
      </w:r>
      <w:r>
        <w:instrText xml:space="preserve"> PAGEREF _Toc11368 \h </w:instrText>
      </w:r>
      <w:r>
        <w:fldChar w:fldCharType="separate"/>
      </w:r>
      <w:r>
        <w:t>44</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_Toc5091 </w:instrText>
      </w:r>
      <w:r>
        <w:rPr>
          <w:rFonts w:ascii="Calibri" w:hAnsi="Calibri" w:eastAsia="黑体" w:cs="Times New Roman"/>
          <w:iCs/>
          <w:szCs w:val="22"/>
        </w:rPr>
        <w:fldChar w:fldCharType="separate"/>
      </w:r>
      <w:r>
        <w:rPr>
          <w:rFonts w:hint="eastAsia" w:ascii="宋体" w:hAnsi="宋体" w:eastAsia="宋体"/>
          <w:i w:val="0"/>
        </w:rPr>
        <w:t xml:space="preserve">附件六、 </w:t>
      </w:r>
      <w:r>
        <w:rPr>
          <w:rFonts w:hint="eastAsia" w:ascii="宋体" w:hAnsi="宋体" w:eastAsia="宋体"/>
        </w:rPr>
        <w:t>投标报价明细表</w:t>
      </w:r>
      <w:r>
        <w:tab/>
      </w:r>
      <w:r>
        <w:fldChar w:fldCharType="begin"/>
      </w:r>
      <w:r>
        <w:instrText xml:space="preserve"> PAGEREF _Toc5091 \h </w:instrText>
      </w:r>
      <w:r>
        <w:fldChar w:fldCharType="separate"/>
      </w:r>
      <w:r>
        <w:t>45</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_Toc17728 </w:instrText>
      </w:r>
      <w:r>
        <w:rPr>
          <w:rFonts w:ascii="Calibri" w:hAnsi="Calibri" w:eastAsia="黑体" w:cs="Times New Roman"/>
          <w:iCs/>
          <w:szCs w:val="22"/>
        </w:rPr>
        <w:fldChar w:fldCharType="separate"/>
      </w:r>
      <w:r>
        <w:rPr>
          <w:rFonts w:hint="eastAsia" w:ascii="宋体" w:hAnsi="宋体" w:eastAsia="宋体"/>
          <w:i w:val="0"/>
          <w:szCs w:val="31"/>
        </w:rPr>
        <w:t xml:space="preserve">附件七、 </w:t>
      </w:r>
      <w:r>
        <w:rPr>
          <w:rFonts w:hint="eastAsia" w:ascii="宋体" w:hAnsi="宋体" w:eastAsia="宋体"/>
          <w:szCs w:val="31"/>
        </w:rPr>
        <w:t>小型和微型企业、监狱企业、残疾人福利性单位货物汇总表</w:t>
      </w:r>
      <w:r>
        <w:tab/>
      </w:r>
      <w:r>
        <w:fldChar w:fldCharType="begin"/>
      </w:r>
      <w:r>
        <w:instrText xml:space="preserve"> PAGEREF _Toc17728 \h </w:instrText>
      </w:r>
      <w:r>
        <w:fldChar w:fldCharType="separate"/>
      </w:r>
      <w:r>
        <w:t>46</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_Toc24339 </w:instrText>
      </w:r>
      <w:r>
        <w:rPr>
          <w:rFonts w:ascii="Calibri" w:hAnsi="Calibri" w:eastAsia="黑体" w:cs="Times New Roman"/>
          <w:iCs/>
          <w:szCs w:val="22"/>
        </w:rPr>
        <w:fldChar w:fldCharType="separate"/>
      </w:r>
      <w:r>
        <w:rPr>
          <w:rFonts w:hint="eastAsia" w:ascii="宋体" w:hAnsi="宋体" w:eastAsia="宋体"/>
          <w:i w:val="0"/>
        </w:rPr>
        <w:t xml:space="preserve">附件八、 </w:t>
      </w:r>
      <w:r>
        <w:rPr>
          <w:rFonts w:hint="eastAsia" w:ascii="宋体" w:hAnsi="宋体" w:eastAsia="宋体"/>
        </w:rPr>
        <w:t>投标货物（工程或服务）清单</w:t>
      </w:r>
      <w:r>
        <w:tab/>
      </w:r>
      <w:r>
        <w:fldChar w:fldCharType="begin"/>
      </w:r>
      <w:r>
        <w:instrText xml:space="preserve"> PAGEREF _Toc24339 \h </w:instrText>
      </w:r>
      <w:r>
        <w:fldChar w:fldCharType="separate"/>
      </w:r>
      <w:r>
        <w:t>47</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_Toc10250 </w:instrText>
      </w:r>
      <w:r>
        <w:rPr>
          <w:rFonts w:ascii="Calibri" w:hAnsi="Calibri" w:eastAsia="黑体" w:cs="Times New Roman"/>
          <w:iCs/>
          <w:szCs w:val="22"/>
        </w:rPr>
        <w:fldChar w:fldCharType="separate"/>
      </w:r>
      <w:r>
        <w:rPr>
          <w:rFonts w:hint="eastAsia" w:ascii="宋体" w:hAnsi="宋体" w:eastAsia="宋体"/>
          <w:i w:val="0"/>
        </w:rPr>
        <w:t xml:space="preserve">附件九、 </w:t>
      </w:r>
      <w:r>
        <w:rPr>
          <w:rFonts w:hint="eastAsia" w:ascii="宋体" w:hAnsi="宋体" w:eastAsia="宋体"/>
        </w:rPr>
        <w:t>法定代表人授权书</w:t>
      </w:r>
      <w:r>
        <w:tab/>
      </w:r>
      <w:r>
        <w:fldChar w:fldCharType="begin"/>
      </w:r>
      <w:r>
        <w:instrText xml:space="preserve"> PAGEREF _Toc10250 \h </w:instrText>
      </w:r>
      <w:r>
        <w:fldChar w:fldCharType="separate"/>
      </w:r>
      <w:r>
        <w:t>48</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_Toc26945 </w:instrText>
      </w:r>
      <w:r>
        <w:rPr>
          <w:rFonts w:ascii="Calibri" w:hAnsi="Calibri" w:eastAsia="黑体" w:cs="Times New Roman"/>
          <w:iCs/>
          <w:szCs w:val="22"/>
        </w:rPr>
        <w:fldChar w:fldCharType="separate"/>
      </w:r>
      <w:r>
        <w:rPr>
          <w:rFonts w:hint="eastAsia" w:ascii="宋体" w:hAnsi="宋体" w:eastAsia="宋体"/>
          <w:i w:val="0"/>
        </w:rPr>
        <w:t xml:space="preserve">附件十、 </w:t>
      </w:r>
      <w:r>
        <w:rPr>
          <w:rFonts w:hint="eastAsia" w:ascii="宋体" w:hAnsi="宋体" w:eastAsia="宋体"/>
        </w:rPr>
        <w:t>投标人的资格声明</w:t>
      </w:r>
      <w:r>
        <w:tab/>
      </w:r>
      <w:r>
        <w:fldChar w:fldCharType="begin"/>
      </w:r>
      <w:r>
        <w:instrText xml:space="preserve"> PAGEREF _Toc26945 \h </w:instrText>
      </w:r>
      <w:r>
        <w:fldChar w:fldCharType="separate"/>
      </w:r>
      <w:r>
        <w:t>49</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_Toc29430 </w:instrText>
      </w:r>
      <w:r>
        <w:rPr>
          <w:rFonts w:ascii="Calibri" w:hAnsi="Calibri" w:eastAsia="黑体" w:cs="Times New Roman"/>
          <w:iCs/>
          <w:szCs w:val="22"/>
        </w:rPr>
        <w:fldChar w:fldCharType="separate"/>
      </w:r>
      <w:r>
        <w:rPr>
          <w:rFonts w:hint="eastAsia" w:ascii="宋体" w:hAnsi="宋体" w:eastAsia="宋体"/>
          <w:i w:val="0"/>
        </w:rPr>
        <w:t xml:space="preserve">附件十一、 </w:t>
      </w:r>
      <w:r>
        <w:rPr>
          <w:rFonts w:hint="eastAsia" w:ascii="宋体" w:hAnsi="宋体" w:eastAsia="宋体"/>
        </w:rPr>
        <w:t>项目负责人、技术负责人简历表</w:t>
      </w:r>
      <w:r>
        <w:tab/>
      </w:r>
      <w:r>
        <w:fldChar w:fldCharType="begin"/>
      </w:r>
      <w:r>
        <w:instrText xml:space="preserve"> PAGEREF _Toc29430 \h </w:instrText>
      </w:r>
      <w:r>
        <w:fldChar w:fldCharType="separate"/>
      </w:r>
      <w:r>
        <w:t>50</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_Toc18619 </w:instrText>
      </w:r>
      <w:r>
        <w:rPr>
          <w:rFonts w:ascii="Calibri" w:hAnsi="Calibri" w:eastAsia="黑体" w:cs="Times New Roman"/>
          <w:iCs/>
          <w:szCs w:val="22"/>
        </w:rPr>
        <w:fldChar w:fldCharType="separate"/>
      </w:r>
      <w:r>
        <w:rPr>
          <w:rFonts w:hint="eastAsia" w:ascii="宋体" w:hAnsi="宋体" w:eastAsia="宋体"/>
          <w:i w:val="0"/>
        </w:rPr>
        <w:t xml:space="preserve">附件十二、 </w:t>
      </w:r>
      <w:r>
        <w:rPr>
          <w:rFonts w:hint="eastAsia" w:ascii="宋体" w:hAnsi="宋体" w:eastAsia="宋体"/>
        </w:rPr>
        <w:t>项目班子成员情况表</w:t>
      </w:r>
      <w:r>
        <w:tab/>
      </w:r>
      <w:r>
        <w:fldChar w:fldCharType="begin"/>
      </w:r>
      <w:r>
        <w:instrText xml:space="preserve"> PAGEREF _Toc18619 \h </w:instrText>
      </w:r>
      <w:r>
        <w:fldChar w:fldCharType="separate"/>
      </w:r>
      <w:r>
        <w:t>51</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_Toc7669 </w:instrText>
      </w:r>
      <w:r>
        <w:rPr>
          <w:rFonts w:ascii="Calibri" w:hAnsi="Calibri" w:eastAsia="黑体" w:cs="Times New Roman"/>
          <w:iCs/>
          <w:szCs w:val="22"/>
        </w:rPr>
        <w:fldChar w:fldCharType="separate"/>
      </w:r>
      <w:r>
        <w:rPr>
          <w:rFonts w:hint="eastAsia" w:ascii="宋体" w:hAnsi="宋体" w:eastAsia="宋体"/>
          <w:i w:val="0"/>
        </w:rPr>
        <w:t xml:space="preserve">附件十三、 </w:t>
      </w:r>
      <w:r>
        <w:rPr>
          <w:rFonts w:hint="eastAsia" w:ascii="宋体" w:hAnsi="宋体" w:eastAsia="宋体"/>
        </w:rPr>
        <w:t>投标人类似项目业绩一览表</w:t>
      </w:r>
      <w:r>
        <w:tab/>
      </w:r>
      <w:r>
        <w:fldChar w:fldCharType="begin"/>
      </w:r>
      <w:r>
        <w:instrText xml:space="preserve"> PAGEREF _Toc7669 \h </w:instrText>
      </w:r>
      <w:r>
        <w:fldChar w:fldCharType="separate"/>
      </w:r>
      <w:r>
        <w:t>52</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_Toc19735 </w:instrText>
      </w:r>
      <w:r>
        <w:rPr>
          <w:rFonts w:ascii="Calibri" w:hAnsi="Calibri" w:eastAsia="黑体" w:cs="Times New Roman"/>
          <w:iCs/>
          <w:szCs w:val="22"/>
        </w:rPr>
        <w:fldChar w:fldCharType="separate"/>
      </w:r>
      <w:r>
        <w:rPr>
          <w:rFonts w:hint="eastAsia" w:ascii="宋体" w:hAnsi="宋体" w:eastAsia="宋体"/>
          <w:i w:val="0"/>
        </w:rPr>
        <w:t xml:space="preserve">附件十四、 </w:t>
      </w:r>
      <w:r>
        <w:rPr>
          <w:rFonts w:hint="eastAsia" w:ascii="宋体" w:hAnsi="宋体" w:eastAsia="宋体"/>
        </w:rPr>
        <w:t>符合性审查对照表</w:t>
      </w:r>
      <w:r>
        <w:tab/>
      </w:r>
      <w:r>
        <w:fldChar w:fldCharType="begin"/>
      </w:r>
      <w:r>
        <w:instrText xml:space="preserve"> PAGEREF _Toc19735 \h </w:instrText>
      </w:r>
      <w:r>
        <w:fldChar w:fldCharType="separate"/>
      </w:r>
      <w:r>
        <w:t>53</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_Toc23530 </w:instrText>
      </w:r>
      <w:r>
        <w:rPr>
          <w:rFonts w:ascii="Calibri" w:hAnsi="Calibri" w:eastAsia="黑体" w:cs="Times New Roman"/>
          <w:iCs/>
          <w:szCs w:val="22"/>
        </w:rPr>
        <w:fldChar w:fldCharType="separate"/>
      </w:r>
      <w:r>
        <w:rPr>
          <w:rFonts w:hint="eastAsia" w:ascii="宋体" w:hAnsi="宋体" w:eastAsia="宋体"/>
          <w:i w:val="0"/>
        </w:rPr>
        <w:t xml:space="preserve">附件十五、 </w:t>
      </w:r>
      <w:r>
        <w:rPr>
          <w:rFonts w:hint="eastAsia" w:ascii="宋体" w:hAnsi="宋体" w:eastAsia="宋体"/>
        </w:rPr>
        <w:t>商务要求响应、偏离说明表</w:t>
      </w:r>
      <w:r>
        <w:tab/>
      </w:r>
      <w:r>
        <w:fldChar w:fldCharType="begin"/>
      </w:r>
      <w:r>
        <w:instrText xml:space="preserve"> PAGEREF _Toc23530 \h </w:instrText>
      </w:r>
      <w:r>
        <w:fldChar w:fldCharType="separate"/>
      </w:r>
      <w:r>
        <w:t>54</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_Toc8375 </w:instrText>
      </w:r>
      <w:r>
        <w:rPr>
          <w:rFonts w:ascii="Calibri" w:hAnsi="Calibri" w:eastAsia="黑体" w:cs="Times New Roman"/>
          <w:iCs/>
          <w:szCs w:val="22"/>
        </w:rPr>
        <w:fldChar w:fldCharType="separate"/>
      </w:r>
      <w:r>
        <w:rPr>
          <w:rFonts w:hint="eastAsia" w:ascii="宋体" w:hAnsi="宋体" w:eastAsia="宋体"/>
          <w:i w:val="0"/>
        </w:rPr>
        <w:t xml:space="preserve">附件十六、 </w:t>
      </w:r>
      <w:r>
        <w:rPr>
          <w:rFonts w:hint="eastAsia" w:ascii="宋体" w:hAnsi="宋体" w:eastAsia="宋体"/>
        </w:rPr>
        <w:t>商务要求“★”号条款响应、偏离说明表</w:t>
      </w:r>
      <w:r>
        <w:tab/>
      </w:r>
      <w:r>
        <w:fldChar w:fldCharType="begin"/>
      </w:r>
      <w:r>
        <w:instrText xml:space="preserve"> PAGEREF _Toc8375 \h </w:instrText>
      </w:r>
      <w:r>
        <w:fldChar w:fldCharType="separate"/>
      </w:r>
      <w:r>
        <w:t>55</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_Toc27824 </w:instrText>
      </w:r>
      <w:r>
        <w:rPr>
          <w:rFonts w:ascii="Calibri" w:hAnsi="Calibri" w:eastAsia="黑体" w:cs="Times New Roman"/>
          <w:iCs/>
          <w:szCs w:val="22"/>
        </w:rPr>
        <w:fldChar w:fldCharType="separate"/>
      </w:r>
      <w:r>
        <w:rPr>
          <w:rFonts w:hint="eastAsia" w:ascii="宋体" w:hAnsi="宋体" w:eastAsia="宋体"/>
          <w:i w:val="0"/>
        </w:rPr>
        <w:t xml:space="preserve">附件十七、 </w:t>
      </w:r>
      <w:r>
        <w:rPr>
          <w:rFonts w:hint="eastAsia" w:ascii="宋体" w:hAnsi="宋体" w:eastAsia="宋体"/>
        </w:rPr>
        <w:t>商务评议对照表</w:t>
      </w:r>
      <w:r>
        <w:tab/>
      </w:r>
      <w:r>
        <w:fldChar w:fldCharType="begin"/>
      </w:r>
      <w:r>
        <w:instrText xml:space="preserve"> PAGEREF _Toc27824 \h </w:instrText>
      </w:r>
      <w:r>
        <w:fldChar w:fldCharType="separate"/>
      </w:r>
      <w:r>
        <w:t>56</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_Toc12056 </w:instrText>
      </w:r>
      <w:r>
        <w:rPr>
          <w:rFonts w:ascii="Calibri" w:hAnsi="Calibri" w:eastAsia="黑体" w:cs="Times New Roman"/>
          <w:iCs/>
          <w:szCs w:val="22"/>
        </w:rPr>
        <w:fldChar w:fldCharType="separate"/>
      </w:r>
      <w:r>
        <w:rPr>
          <w:rFonts w:hint="eastAsia" w:ascii="宋体" w:hAnsi="宋体" w:eastAsia="宋体"/>
          <w:i w:val="0"/>
        </w:rPr>
        <w:t xml:space="preserve">附件十八、 </w:t>
      </w:r>
      <w:r>
        <w:rPr>
          <w:rFonts w:hint="eastAsia" w:ascii="宋体" w:hAnsi="宋体" w:eastAsia="宋体"/>
        </w:rPr>
        <w:t>技术、服务要求响应、偏离说明表</w:t>
      </w:r>
      <w:r>
        <w:tab/>
      </w:r>
      <w:r>
        <w:fldChar w:fldCharType="begin"/>
      </w:r>
      <w:r>
        <w:instrText xml:space="preserve"> PAGEREF _Toc12056 \h </w:instrText>
      </w:r>
      <w:r>
        <w:fldChar w:fldCharType="separate"/>
      </w:r>
      <w:r>
        <w:t>57</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_Toc21651 </w:instrText>
      </w:r>
      <w:r>
        <w:rPr>
          <w:rFonts w:ascii="Calibri" w:hAnsi="Calibri" w:eastAsia="黑体" w:cs="Times New Roman"/>
          <w:iCs/>
          <w:szCs w:val="22"/>
        </w:rPr>
        <w:fldChar w:fldCharType="separate"/>
      </w:r>
      <w:r>
        <w:rPr>
          <w:rFonts w:hint="eastAsia" w:ascii="宋体" w:hAnsi="宋体" w:eastAsia="宋体"/>
          <w:i w:val="0"/>
        </w:rPr>
        <w:t xml:space="preserve">附件十九、 </w:t>
      </w:r>
      <w:r>
        <w:rPr>
          <w:rFonts w:hint="eastAsia" w:ascii="宋体" w:hAnsi="宋体" w:eastAsia="宋体"/>
        </w:rPr>
        <w:t>技术、服务要求“★”号条款响应、偏离说明表</w:t>
      </w:r>
      <w:r>
        <w:tab/>
      </w:r>
      <w:r>
        <w:fldChar w:fldCharType="begin"/>
      </w:r>
      <w:r>
        <w:instrText xml:space="preserve"> PAGEREF _Toc21651 \h </w:instrText>
      </w:r>
      <w:r>
        <w:fldChar w:fldCharType="separate"/>
      </w:r>
      <w:r>
        <w:t>58</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_Toc16120 </w:instrText>
      </w:r>
      <w:r>
        <w:rPr>
          <w:rFonts w:ascii="Calibri" w:hAnsi="Calibri" w:eastAsia="黑体" w:cs="Times New Roman"/>
          <w:iCs/>
          <w:szCs w:val="22"/>
        </w:rPr>
        <w:fldChar w:fldCharType="separate"/>
      </w:r>
      <w:r>
        <w:rPr>
          <w:rFonts w:hint="eastAsia" w:hAnsi="宋体"/>
          <w:bCs w:val="0"/>
        </w:rPr>
        <w:t>投标人：</w:t>
      </w:r>
      <w:r>
        <w:tab/>
      </w:r>
      <w:r>
        <w:fldChar w:fldCharType="begin"/>
      </w:r>
      <w:r>
        <w:instrText xml:space="preserve"> PAGEREF _Toc16120 \h </w:instrText>
      </w:r>
      <w:r>
        <w:fldChar w:fldCharType="separate"/>
      </w:r>
      <w:r>
        <w:t>58</w:t>
      </w:r>
      <w:r>
        <w:fldChar w:fldCharType="end"/>
      </w:r>
      <w:r>
        <w:rPr>
          <w:rFonts w:ascii="Calibri" w:hAnsi="Calibri" w:eastAsia="黑体" w:cs="Times New Roman"/>
          <w:iCs/>
          <w:szCs w:val="22"/>
        </w:rPr>
        <w:fldChar w:fldCharType="end"/>
      </w:r>
    </w:p>
    <w:p>
      <w:pPr>
        <w:pStyle w:val="19"/>
        <w:tabs>
          <w:tab w:val="right" w:leader="dot" w:pos="9072"/>
          <w:tab w:val="clear" w:pos="756"/>
          <w:tab w:val="clear" w:pos="966"/>
          <w:tab w:val="clear" w:pos="1204"/>
          <w:tab w:val="clear" w:pos="1442"/>
          <w:tab w:val="clear" w:pos="9514"/>
        </w:tabs>
      </w:pPr>
      <w:r>
        <w:rPr>
          <w:rFonts w:ascii="Calibri" w:hAnsi="Calibri" w:eastAsia="黑体" w:cs="Times New Roman"/>
          <w:iCs/>
          <w:szCs w:val="22"/>
        </w:rPr>
        <w:fldChar w:fldCharType="begin"/>
      </w:r>
      <w:r>
        <w:rPr>
          <w:rFonts w:ascii="Calibri" w:hAnsi="Calibri" w:eastAsia="黑体" w:cs="Times New Roman"/>
          <w:iCs/>
          <w:szCs w:val="22"/>
        </w:rPr>
        <w:instrText xml:space="preserve"> HYPERLINK \l _Toc19576 </w:instrText>
      </w:r>
      <w:r>
        <w:rPr>
          <w:rFonts w:ascii="Calibri" w:hAnsi="Calibri" w:eastAsia="黑体" w:cs="Times New Roman"/>
          <w:iCs/>
          <w:szCs w:val="22"/>
        </w:rPr>
        <w:fldChar w:fldCharType="separate"/>
      </w:r>
      <w:r>
        <w:rPr>
          <w:rFonts w:hint="eastAsia" w:ascii="宋体" w:hAnsi="宋体" w:eastAsia="宋体"/>
          <w:i w:val="0"/>
        </w:rPr>
        <w:t xml:space="preserve">附件二十、 </w:t>
      </w:r>
      <w:r>
        <w:rPr>
          <w:rFonts w:hint="eastAsia" w:ascii="宋体" w:hAnsi="宋体" w:eastAsia="宋体"/>
        </w:rPr>
        <w:t>技术、服务评议对照表</w:t>
      </w:r>
      <w:r>
        <w:tab/>
      </w:r>
      <w:r>
        <w:fldChar w:fldCharType="begin"/>
      </w:r>
      <w:r>
        <w:instrText xml:space="preserve"> PAGEREF _Toc19576 \h </w:instrText>
      </w:r>
      <w:r>
        <w:fldChar w:fldCharType="separate"/>
      </w:r>
      <w:r>
        <w:t>59</w:t>
      </w:r>
      <w:r>
        <w:fldChar w:fldCharType="end"/>
      </w:r>
      <w:r>
        <w:rPr>
          <w:rFonts w:ascii="Calibri" w:hAnsi="Calibri" w:eastAsia="黑体" w:cs="Times New Roman"/>
          <w:iCs/>
          <w:szCs w:val="22"/>
        </w:rPr>
        <w:fldChar w:fldCharType="end"/>
      </w:r>
    </w:p>
    <w:p>
      <w:pPr>
        <w:pStyle w:val="21"/>
        <w:widowControl/>
        <w:tabs>
          <w:tab w:val="left" w:pos="1260"/>
          <w:tab w:val="right" w:leader="dot" w:pos="9514"/>
        </w:tabs>
        <w:spacing w:before="0" w:beforeAutospacing="0" w:after="0" w:afterAutospacing="0" w:line="360" w:lineRule="auto"/>
        <w:sectPr>
          <w:footerReference r:id="rId4" w:type="default"/>
          <w:pgSz w:w="11906" w:h="16838"/>
          <w:pgMar w:top="1134" w:right="1417" w:bottom="1134" w:left="1417" w:header="851" w:footer="624" w:gutter="0"/>
          <w:pgNumType w:start="1"/>
          <w:cols w:space="0" w:num="1"/>
          <w:docGrid w:type="linesAndChars" w:linePitch="312" w:charSpace="0"/>
        </w:sectPr>
      </w:pPr>
      <w:r>
        <w:rPr>
          <w:rFonts w:ascii="Calibri" w:hAnsi="Calibri" w:eastAsia="黑体" w:cs="Times New Roman"/>
          <w:iCs/>
          <w:szCs w:val="22"/>
        </w:rPr>
        <w:fldChar w:fldCharType="end"/>
      </w:r>
    </w:p>
    <w:p>
      <w:pPr>
        <w:spacing w:line="360" w:lineRule="auto"/>
      </w:pPr>
    </w:p>
    <w:p>
      <w:pPr>
        <w:pStyle w:val="3"/>
        <w:numPr>
          <w:ilvl w:val="0"/>
          <w:numId w:val="1"/>
        </w:numPr>
        <w:spacing w:before="0" w:after="0" w:line="360" w:lineRule="auto"/>
        <w:ind w:left="880" w:hanging="880" w:hangingChars="200"/>
        <w:jc w:val="center"/>
        <w:rPr>
          <w:rFonts w:ascii="黑体" w:hAnsi="黑体" w:eastAsia="黑体"/>
        </w:rPr>
      </w:pPr>
      <w:bookmarkStart w:id="0" w:name="_Toc11976"/>
      <w:r>
        <w:rPr>
          <w:rFonts w:hint="eastAsia" w:ascii="黑体" w:hAnsi="黑体" w:eastAsia="黑体"/>
        </w:rPr>
        <w:t>投标邀请书</w:t>
      </w:r>
      <w:bookmarkEnd w:id="0"/>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pStyle w:val="21"/>
        <w:pageBreakBefore w:val="0"/>
        <w:widowControl/>
        <w:pBdr>
          <w:top w:val="single" w:color="auto" w:sz="6" w:space="0"/>
          <w:left w:val="single" w:color="auto" w:sz="6" w:space="3"/>
          <w:bottom w:val="single" w:color="auto" w:sz="6" w:space="0"/>
          <w:right w:val="single" w:color="auto" w:sz="6" w:space="3"/>
        </w:pBdr>
        <w:kinsoku/>
        <w:wordWrap/>
        <w:overflowPunct/>
        <w:topLinePunct w:val="0"/>
        <w:autoSpaceDE/>
        <w:autoSpaceDN/>
        <w:bidi w:val="0"/>
        <w:adjustRightInd/>
        <w:snapToGrid/>
        <w:spacing w:beforeAutospacing="0" w:afterAutospacing="0" w:line="480" w:lineRule="exact"/>
        <w:ind w:right="0" w:rightChars="0" w:firstLine="720"/>
        <w:textAlignment w:val="auto"/>
        <w:rPr>
          <w:color w:val="000000" w:themeColor="text1"/>
          <w14:textFill>
            <w14:solidFill>
              <w14:schemeClr w14:val="tx1"/>
            </w14:solidFill>
          </w14:textFill>
        </w:rPr>
      </w:pPr>
      <w:r>
        <w:rPr>
          <w:rFonts w:hint="eastAsia" w:ascii="宋体" w:hAnsi="宋体" w:eastAsia="宋体" w:cs="宋体"/>
          <w:sz w:val="24"/>
          <w:szCs w:val="24"/>
          <w:shd w:val="clear" w:color="auto" w:fill="FFFFFF"/>
          <w:lang w:eastAsia="zh-CN"/>
        </w:rPr>
        <w:t>阳新县2022年</w:t>
      </w:r>
      <w:r>
        <w:rPr>
          <w:rFonts w:hint="eastAsia" w:ascii="宋体" w:hAnsi="宋体" w:eastAsia="宋体" w:cs="宋体"/>
          <w:sz w:val="24"/>
          <w:szCs w:val="24"/>
          <w:shd w:val="clear" w:color="auto" w:fill="FFFFFF"/>
          <w:lang w:val="en-US" w:eastAsia="zh-CN"/>
        </w:rPr>
        <w:t>度茶叶苗木供苗</w:t>
      </w:r>
      <w:r>
        <w:rPr>
          <w:rFonts w:hint="eastAsia" w:ascii="宋体" w:hAnsi="宋体" w:eastAsia="宋体" w:cs="宋体"/>
          <w:sz w:val="24"/>
          <w:szCs w:val="24"/>
          <w:shd w:val="clear" w:color="auto" w:fill="FFFFFF"/>
          <w:lang w:eastAsia="zh-CN"/>
        </w:rPr>
        <w:t>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FF0000"/>
          <w:szCs w:val="24"/>
          <w:shd w:val="clear" w:color="auto" w:fill="FFFFFF"/>
          <w:lang w:val="en-US" w:eastAsia="zh-CN"/>
        </w:rPr>
        <w:t>2022</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4</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时</w:t>
      </w:r>
      <w:r>
        <w:rPr>
          <w:rFonts w:hint="eastAsia" w:ascii="宋体" w:hAnsi="宋体" w:eastAsia="宋体" w:cs="宋体"/>
          <w:color w:val="FF0000"/>
          <w:szCs w:val="24"/>
          <w:shd w:val="clear" w:color="auto" w:fill="FFFFFF"/>
          <w:lang w:val="en-US" w:eastAsia="zh-CN"/>
        </w:rPr>
        <w:t>00</w:t>
      </w:r>
      <w:r>
        <w:rPr>
          <w:rFonts w:hint="eastAsia" w:ascii="宋体" w:hAnsi="宋体" w:eastAsia="宋体" w:cs="宋体"/>
          <w:color w:val="FF0000"/>
          <w:szCs w:val="24"/>
          <w:shd w:val="clear" w:color="auto" w:fill="FFFFFF"/>
        </w:rPr>
        <w:t>分</w:t>
      </w:r>
      <w:r>
        <w:rPr>
          <w:rFonts w:hint="eastAsia" w:ascii="宋体" w:hAnsi="宋体" w:eastAsia="宋体" w:cs="宋体"/>
          <w:color w:val="auto"/>
          <w:szCs w:val="24"/>
          <w:shd w:val="clear" w:color="auto" w:fill="FFFFFF"/>
        </w:rPr>
        <w:t>(</w:t>
      </w:r>
      <w:r>
        <w:rPr>
          <w:rFonts w:hint="eastAsia" w:ascii="宋体" w:hAnsi="宋体" w:eastAsia="宋体" w:cs="宋体"/>
          <w:szCs w:val="24"/>
          <w:shd w:val="clear" w:color="auto" w:fill="FFFFFF"/>
        </w:rPr>
        <w:t>北京时间）前递交投标文件。</w:t>
      </w:r>
    </w:p>
    <w:p>
      <w:pPr>
        <w:pStyle w:val="21"/>
        <w:widowControl/>
        <w:spacing w:before="0" w:beforeAutospacing="0" w:after="0" w:afterAutospacing="0" w:line="360" w:lineRule="auto"/>
        <w:ind w:firstLine="320"/>
        <w:rPr>
          <w:color w:val="000000" w:themeColor="text1"/>
          <w14:textFill>
            <w14:solidFill>
              <w14:schemeClr w14:val="tx1"/>
            </w14:solidFill>
          </w14:textFill>
        </w:rPr>
      </w:pPr>
      <w:r>
        <w:rPr>
          <w:rStyle w:val="26"/>
          <w:rFonts w:hint="eastAsia" w:ascii="宋体" w:hAnsi="宋体" w:eastAsia="宋体" w:cs="宋体"/>
          <w:color w:val="000000" w:themeColor="text1"/>
          <w:shd w:val="clear" w:color="auto" w:fill="FFFFFF"/>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snapToGrid/>
        <w:spacing w:line="440" w:lineRule="atLeast"/>
        <w:ind w:right="0" w:rightChars="0" w:firstLine="480" w:firstLineChars="200"/>
        <w:textAlignment w:val="auto"/>
        <w:rPr>
          <w:rFonts w:eastAsia="宋体"/>
          <w:color w:val="FF0000"/>
          <w:sz w:val="24"/>
          <w:szCs w:val="24"/>
        </w:rPr>
      </w:pPr>
      <w:r>
        <w:rPr>
          <w:rFonts w:hint="eastAsia" w:ascii="宋体" w:hAnsi="宋体" w:eastAsia="宋体" w:cs="宋体"/>
          <w:sz w:val="24"/>
          <w:szCs w:val="24"/>
          <w:shd w:val="clear" w:color="auto" w:fill="FFFFFF"/>
        </w:rPr>
        <w:t>项目编号：</w:t>
      </w:r>
      <w:r>
        <w:rPr>
          <w:rFonts w:hint="eastAsia" w:ascii="宋体" w:hAnsi="宋体" w:eastAsia="宋体" w:cs="宋体"/>
          <w:color w:val="auto"/>
          <w:sz w:val="24"/>
          <w:szCs w:val="24"/>
          <w:shd w:val="clear" w:color="auto" w:fill="FFFFFF"/>
          <w:lang w:eastAsia="zh-CN"/>
        </w:rPr>
        <w:t>131-2022CG-</w:t>
      </w:r>
      <w:r>
        <w:rPr>
          <w:rFonts w:hint="eastAsia" w:ascii="宋体" w:hAnsi="宋体" w:eastAsia="宋体" w:cs="宋体"/>
          <w:color w:val="auto"/>
          <w:sz w:val="24"/>
          <w:szCs w:val="24"/>
          <w:shd w:val="clear" w:color="auto" w:fill="FFFFFF"/>
          <w:lang w:val="en-US" w:eastAsia="zh-CN"/>
        </w:rPr>
        <w:t>032</w:t>
      </w:r>
      <w:r>
        <w:rPr>
          <w:rFonts w:hint="eastAsia" w:ascii="宋体" w:hAnsi="宋体" w:eastAsia="宋体" w:cs="宋体"/>
          <w:color w:val="auto"/>
          <w:kern w:val="0"/>
          <w:sz w:val="24"/>
          <w:szCs w:val="24"/>
          <w:shd w:val="clear" w:color="auto" w:fill="FFFFFF"/>
        </w:rPr>
        <w:t>（政府采购备案号：阳财采计</w:t>
      </w:r>
      <w:r>
        <w:rPr>
          <w:rFonts w:hint="eastAsia" w:ascii="宋体" w:hAnsi="宋体" w:eastAsia="宋体" w:cs="宋体"/>
          <w:color w:val="auto"/>
          <w:kern w:val="0"/>
          <w:sz w:val="24"/>
          <w:szCs w:val="24"/>
          <w:highlight w:val="none"/>
          <w:shd w:val="clear" w:color="auto" w:fill="FFFFFF"/>
        </w:rPr>
        <w:t>备[202</w:t>
      </w: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A0302号</w:t>
      </w:r>
      <w:r>
        <w:rPr>
          <w:rFonts w:hint="eastAsia" w:ascii="宋体" w:hAnsi="宋体" w:eastAsia="宋体" w:cs="宋体"/>
          <w:color w:val="auto"/>
          <w:kern w:val="0"/>
          <w:sz w:val="24"/>
          <w:szCs w:val="24"/>
          <w:highlight w:val="none"/>
          <w:shd w:val="clear" w:color="auto" w:fill="FFFFFF"/>
        </w:rPr>
        <w:t>）</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8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项目名称：</w:t>
      </w:r>
      <w:r>
        <w:rPr>
          <w:rFonts w:hint="eastAsia" w:ascii="宋体" w:hAnsi="宋体" w:eastAsia="宋体" w:cs="宋体"/>
          <w:sz w:val="24"/>
          <w:szCs w:val="24"/>
          <w:shd w:val="clear" w:color="auto" w:fill="FFFFFF"/>
          <w:lang w:eastAsia="zh-CN"/>
        </w:rPr>
        <w:t>阳新县2022年</w:t>
      </w:r>
      <w:r>
        <w:rPr>
          <w:rFonts w:hint="eastAsia" w:ascii="宋体" w:hAnsi="宋体" w:eastAsia="宋体" w:cs="宋体"/>
          <w:sz w:val="24"/>
          <w:szCs w:val="24"/>
          <w:shd w:val="clear" w:color="auto" w:fill="FFFFFF"/>
          <w:lang w:val="en-US" w:eastAsia="zh-CN"/>
        </w:rPr>
        <w:t>度茶叶苗木供苗</w:t>
      </w:r>
      <w:r>
        <w:rPr>
          <w:rFonts w:hint="eastAsia" w:ascii="宋体" w:hAnsi="宋体" w:eastAsia="宋体" w:cs="宋体"/>
          <w:sz w:val="24"/>
          <w:szCs w:val="24"/>
          <w:shd w:val="clear" w:color="auto" w:fill="FFFFFF"/>
          <w:lang w:eastAsia="zh-CN"/>
        </w:rPr>
        <w:t>项目</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80"/>
        <w:textAlignment w:val="auto"/>
        <w:rPr>
          <w:rFonts w:hint="eastAsia" w:ascii="宋体" w:hAnsi="宋体" w:eastAsia="宋体" w:cs="宋体"/>
          <w:spacing w:val="-11"/>
          <w:sz w:val="24"/>
          <w:szCs w:val="24"/>
          <w:shd w:val="clear" w:color="auto" w:fill="FFFFFF"/>
          <w:lang w:val="en-US" w:eastAsia="zh-CN"/>
        </w:rPr>
      </w:pPr>
      <w:r>
        <w:rPr>
          <w:rFonts w:hint="eastAsia" w:ascii="宋体" w:hAnsi="宋体" w:eastAsia="宋体" w:cs="宋体"/>
          <w:sz w:val="24"/>
          <w:szCs w:val="24"/>
          <w:shd w:val="clear" w:color="auto" w:fill="FFFFFF"/>
        </w:rPr>
        <w:t>预算金额：</w:t>
      </w:r>
      <w:r>
        <w:rPr>
          <w:rFonts w:hint="eastAsia" w:ascii="宋体" w:hAnsi="宋体" w:eastAsia="宋体" w:cs="宋体"/>
          <w:sz w:val="24"/>
          <w:szCs w:val="24"/>
          <w:shd w:val="clear" w:color="auto" w:fill="FFFFFF"/>
          <w:lang w:val="en-US" w:eastAsia="zh-CN"/>
        </w:rPr>
        <w:t>840.00</w:t>
      </w:r>
      <w:r>
        <w:rPr>
          <w:rFonts w:hint="eastAsia" w:ascii="宋体" w:hAnsi="宋体" w:eastAsia="宋体" w:cs="宋体"/>
          <w:spacing w:val="-11"/>
          <w:sz w:val="24"/>
          <w:szCs w:val="24"/>
          <w:shd w:val="clear" w:color="auto" w:fill="FFFFFF"/>
          <w:lang w:val="en-US" w:eastAsia="zh-CN"/>
        </w:rPr>
        <w:t>万元</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80"/>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最高限价：840.00万元</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80"/>
        <w:textAlignment w:val="auto"/>
        <w:rPr>
          <w:rFonts w:hint="eastAsia" w:ascii="宋体" w:hAnsi="宋体" w:eastAsia="宋体" w:cs="宋体"/>
          <w:sz w:val="22"/>
          <w:szCs w:val="22"/>
          <w:highlight w:val="none"/>
          <w:shd w:val="clear" w:color="auto" w:fill="FFFFFF"/>
          <w:lang w:eastAsia="zh-CN"/>
        </w:rPr>
      </w:pPr>
      <w:r>
        <w:rPr>
          <w:rFonts w:hint="eastAsia" w:ascii="宋体" w:hAnsi="宋体" w:eastAsia="宋体" w:cs="宋体"/>
          <w:sz w:val="24"/>
          <w:szCs w:val="24"/>
          <w:shd w:val="clear" w:color="auto" w:fill="FFFFFF"/>
        </w:rPr>
        <w:t>采购需求：</w:t>
      </w:r>
      <w:r>
        <w:rPr>
          <w:rFonts w:hint="eastAsia" w:ascii="宋体" w:hAnsi="宋体"/>
          <w:b w:val="0"/>
          <w:bCs/>
          <w:sz w:val="22"/>
          <w:szCs w:val="22"/>
          <w:lang w:val="en-US" w:eastAsia="zh-CN"/>
        </w:rPr>
        <w:t>茶叶苗木</w:t>
      </w:r>
      <w:r>
        <w:rPr>
          <w:rFonts w:hint="default" w:ascii="宋体" w:hAnsi="宋体"/>
          <w:b w:val="0"/>
          <w:bCs/>
          <w:sz w:val="22"/>
          <w:szCs w:val="22"/>
          <w:lang w:val="en-US" w:eastAsia="zh-CN"/>
        </w:rPr>
        <w:t>共计</w:t>
      </w:r>
      <w:r>
        <w:rPr>
          <w:rFonts w:hint="eastAsia" w:ascii="宋体" w:hAnsi="宋体"/>
          <w:b w:val="0"/>
          <w:bCs/>
          <w:sz w:val="22"/>
          <w:szCs w:val="22"/>
          <w:lang w:val="en-US" w:eastAsia="zh-CN"/>
        </w:rPr>
        <w:t>2400</w:t>
      </w:r>
      <w:r>
        <w:rPr>
          <w:rFonts w:hint="default" w:ascii="宋体" w:hAnsi="宋体"/>
          <w:b w:val="0"/>
          <w:bCs/>
          <w:sz w:val="22"/>
          <w:szCs w:val="22"/>
          <w:lang w:val="en-US" w:eastAsia="zh-CN"/>
        </w:rPr>
        <w:t>万株——鄂茶1号</w:t>
      </w:r>
      <w:r>
        <w:rPr>
          <w:rFonts w:hint="eastAsia" w:ascii="宋体" w:hAnsi="宋体"/>
          <w:b w:val="0"/>
          <w:bCs/>
          <w:sz w:val="22"/>
          <w:szCs w:val="22"/>
          <w:lang w:val="en-US" w:eastAsia="zh-CN"/>
        </w:rPr>
        <w:t>1200万株</w:t>
      </w:r>
      <w:r>
        <w:rPr>
          <w:rFonts w:hint="default" w:ascii="宋体" w:hAnsi="宋体"/>
          <w:b w:val="0"/>
          <w:bCs/>
          <w:sz w:val="22"/>
          <w:szCs w:val="22"/>
          <w:lang w:val="en-US" w:eastAsia="zh-CN"/>
        </w:rPr>
        <w:t>、</w:t>
      </w:r>
      <w:r>
        <w:rPr>
          <w:rFonts w:hint="eastAsia" w:ascii="宋体" w:hAnsi="宋体"/>
          <w:b w:val="0"/>
          <w:bCs/>
          <w:sz w:val="22"/>
          <w:szCs w:val="22"/>
          <w:lang w:val="en-US" w:eastAsia="zh-CN"/>
        </w:rPr>
        <w:t>鄂茶10号1200万株。</w:t>
      </w:r>
      <w:r>
        <w:rPr>
          <w:rFonts w:hint="default" w:ascii="宋体" w:hAnsi="宋体"/>
          <w:b w:val="0"/>
          <w:bCs/>
          <w:sz w:val="22"/>
          <w:szCs w:val="22"/>
          <w:lang w:val="en-US" w:eastAsia="zh-CN"/>
        </w:rPr>
        <w:t>要求：品种纯度</w:t>
      </w:r>
      <w:r>
        <w:rPr>
          <w:rFonts w:hint="eastAsia" w:ascii="宋体" w:hAnsi="宋体"/>
          <w:b w:val="0"/>
          <w:bCs/>
          <w:sz w:val="22"/>
          <w:szCs w:val="22"/>
          <w:lang w:val="en-US" w:eastAsia="zh-CN"/>
        </w:rPr>
        <w:t>98</w:t>
      </w:r>
      <w:r>
        <w:rPr>
          <w:rFonts w:hint="default" w:ascii="宋体" w:hAnsi="宋体"/>
          <w:b w:val="0"/>
          <w:bCs/>
          <w:sz w:val="22"/>
          <w:szCs w:val="22"/>
          <w:lang w:val="en-US" w:eastAsia="zh-CN"/>
        </w:rPr>
        <w:t>%，</w:t>
      </w:r>
      <w:r>
        <w:rPr>
          <w:rFonts w:hint="eastAsia" w:ascii="宋体" w:hAnsi="宋体"/>
          <w:b w:val="0"/>
          <w:bCs/>
          <w:sz w:val="22"/>
          <w:szCs w:val="22"/>
          <w:lang w:val="en-US" w:eastAsia="zh-CN"/>
        </w:rPr>
        <w:t>品种为鄂茶1号、鄂茶10号，穴盘苗（或营养器苗）</w:t>
      </w:r>
      <w:r>
        <w:rPr>
          <w:rFonts w:hint="eastAsia" w:ascii="宋体" w:hAnsi="宋体"/>
          <w:b w:val="0"/>
          <w:bCs/>
          <w:sz w:val="22"/>
          <w:szCs w:val="22"/>
          <w:highlight w:val="none"/>
          <w:lang w:val="en-US" w:eastAsia="zh-CN"/>
        </w:rPr>
        <w:t>，株高12-15cm，</w:t>
      </w:r>
      <w:r>
        <w:rPr>
          <w:rFonts w:hint="eastAsia" w:ascii="宋体" w:hAnsi="宋体"/>
          <w:b w:val="0"/>
          <w:bCs/>
          <w:sz w:val="22"/>
          <w:szCs w:val="22"/>
          <w:lang w:val="en-US" w:eastAsia="zh-CN"/>
        </w:rPr>
        <w:t>苗茎粗3mm，苗叶片数5-6片，根系健全发达，已形成良好根团，且无检疫性病虫害。</w:t>
      </w:r>
      <w:r>
        <w:rPr>
          <w:rFonts w:hint="eastAsia" w:ascii="宋体" w:hAnsi="宋体" w:eastAsia="宋体" w:cs="宋体"/>
          <w:sz w:val="22"/>
          <w:szCs w:val="22"/>
          <w:highlight w:val="none"/>
          <w:shd w:val="clear" w:color="auto" w:fill="FFFFFF"/>
        </w:rPr>
        <w:t>具体为</w:t>
      </w:r>
      <w:r>
        <w:rPr>
          <w:rFonts w:hint="eastAsia" w:ascii="宋体" w:hAnsi="宋体" w:eastAsia="宋体" w:cs="宋体"/>
          <w:sz w:val="22"/>
          <w:szCs w:val="22"/>
          <w:highlight w:val="none"/>
          <w:shd w:val="clear" w:color="auto" w:fill="FFFFFF"/>
          <w:lang w:eastAsia="zh-CN"/>
        </w:rPr>
        <w:t>（详见招标文件第三章）。</w:t>
      </w:r>
    </w:p>
    <w:tbl>
      <w:tblPr>
        <w:tblStyle w:val="2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873"/>
        <w:gridCol w:w="1070"/>
        <w:gridCol w:w="784"/>
        <w:gridCol w:w="117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11"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eastAsia="宋体" w:cs="宋体"/>
                <w:szCs w:val="24"/>
                <w:shd w:val="clear" w:color="auto" w:fill="FFFFFF"/>
                <w:vertAlign w:val="baseline"/>
                <w:lang w:eastAsia="zh-CN"/>
              </w:rPr>
              <w:t>标包号</w:t>
            </w:r>
          </w:p>
        </w:tc>
        <w:tc>
          <w:tcPr>
            <w:tcW w:w="4093"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eastAsia="宋体" w:cs="宋体"/>
                <w:szCs w:val="24"/>
                <w:shd w:val="clear" w:color="auto" w:fill="FFFFFF"/>
                <w:vertAlign w:val="baseline"/>
                <w:lang w:eastAsia="zh-CN"/>
              </w:rPr>
              <w:t>货物名称</w:t>
            </w:r>
          </w:p>
        </w:tc>
        <w:tc>
          <w:tcPr>
            <w:tcW w:w="1098"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eastAsia="zh-CN"/>
              </w:rPr>
              <w:t>规格</w:t>
            </w:r>
            <w:r>
              <w:rPr>
                <w:rFonts w:hint="eastAsia" w:ascii="宋体" w:hAnsi="宋体" w:eastAsia="宋体" w:cs="宋体"/>
                <w:szCs w:val="24"/>
                <w:shd w:val="clear" w:color="auto" w:fill="FFFFFF"/>
                <w:vertAlign w:val="baseline"/>
                <w:lang w:val="en-US" w:eastAsia="zh-CN"/>
              </w:rPr>
              <w:t>/亩</w:t>
            </w: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eastAsia="宋体" w:cs="宋体"/>
                <w:szCs w:val="24"/>
                <w:shd w:val="clear" w:color="auto" w:fill="FFFFFF"/>
                <w:vertAlign w:val="baseline"/>
                <w:lang w:eastAsia="zh-CN"/>
              </w:rPr>
              <w:t>单位</w:t>
            </w: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eastAsia="宋体" w:cs="宋体"/>
                <w:szCs w:val="24"/>
                <w:shd w:val="clear" w:color="auto" w:fill="FFFFFF"/>
                <w:vertAlign w:val="baseline"/>
                <w:lang w:eastAsia="zh-CN"/>
              </w:rPr>
              <w:t>数量</w:t>
            </w:r>
          </w:p>
        </w:tc>
        <w:tc>
          <w:tcPr>
            <w:tcW w:w="1606"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eastAsia="zh-CN"/>
              </w:rPr>
              <w:t>合价</w:t>
            </w:r>
            <w:r>
              <w:rPr>
                <w:rFonts w:hint="eastAsia" w:ascii="宋体" w:hAnsi="宋体" w:eastAsia="宋体" w:cs="宋体"/>
                <w:szCs w:val="24"/>
                <w:shd w:val="clear" w:color="auto" w:fill="FFFFFF"/>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11"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eastAsia="zh-CN"/>
              </w:rPr>
              <w:t>第</w:t>
            </w:r>
            <w:r>
              <w:rPr>
                <w:rFonts w:hint="eastAsia" w:ascii="宋体" w:hAnsi="宋体" w:eastAsia="宋体" w:cs="宋体"/>
                <w:szCs w:val="24"/>
                <w:shd w:val="clear" w:color="auto" w:fill="FFFFFF"/>
                <w:vertAlign w:val="baseline"/>
                <w:lang w:val="en-US" w:eastAsia="zh-CN"/>
              </w:rPr>
              <w:t>1包</w:t>
            </w:r>
          </w:p>
        </w:tc>
        <w:tc>
          <w:tcPr>
            <w:tcW w:w="4093"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szCs w:val="21"/>
                <w:lang w:val="en-US" w:eastAsia="zh-CN"/>
              </w:rPr>
              <w:t>鄂茶1号</w:t>
            </w:r>
          </w:p>
        </w:tc>
        <w:tc>
          <w:tcPr>
            <w:tcW w:w="1098" w:type="dxa"/>
            <w:vAlign w:val="center"/>
          </w:tcPr>
          <w:p>
            <w:pPr>
              <w:spacing w:line="500" w:lineRule="exact"/>
              <w:jc w:val="center"/>
              <w:rPr>
                <w:rFonts w:hint="default" w:ascii="宋体" w:hAnsi="宋体" w:eastAsia="宋体" w:cs="宋体"/>
                <w:szCs w:val="24"/>
                <w:shd w:val="clear" w:color="auto" w:fill="FFFFFF"/>
                <w:vertAlign w:val="baseline"/>
                <w:lang w:val="en-US" w:eastAsia="zh-CN"/>
              </w:rPr>
            </w:pPr>
            <w:r>
              <w:rPr>
                <w:rFonts w:hint="eastAsia" w:ascii="宋体" w:hAnsi="宋体" w:eastAsia="宋体"/>
                <w:b w:val="0"/>
                <w:bCs/>
                <w:szCs w:val="21"/>
                <w:lang w:val="en-US" w:eastAsia="zh-CN"/>
              </w:rPr>
              <w:t>4000</w:t>
            </w: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szCs w:val="21"/>
                <w:lang w:val="en-US" w:eastAsia="zh-CN"/>
              </w:rPr>
              <w:t>株</w:t>
            </w: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szCs w:val="21"/>
                <w:lang w:val="en-US" w:eastAsia="zh-CN"/>
              </w:rPr>
              <w:t>12000000</w:t>
            </w:r>
          </w:p>
        </w:tc>
        <w:tc>
          <w:tcPr>
            <w:tcW w:w="1606"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1111"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eastAsia="zh-CN"/>
              </w:rPr>
              <w:t>第</w:t>
            </w:r>
            <w:r>
              <w:rPr>
                <w:rFonts w:hint="eastAsia" w:ascii="宋体" w:hAnsi="宋体" w:eastAsia="宋体" w:cs="宋体"/>
                <w:szCs w:val="24"/>
                <w:shd w:val="clear" w:color="auto" w:fill="FFFFFF"/>
                <w:vertAlign w:val="baseline"/>
                <w:lang w:val="en-US" w:eastAsia="zh-CN"/>
              </w:rPr>
              <w:t>2包</w:t>
            </w:r>
          </w:p>
        </w:tc>
        <w:tc>
          <w:tcPr>
            <w:tcW w:w="4093"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eastAsia="宋体"/>
                <w:szCs w:val="21"/>
                <w:lang w:val="en-US" w:eastAsia="zh-CN"/>
              </w:rPr>
              <w:t>鄂茶10号</w:t>
            </w:r>
          </w:p>
        </w:tc>
        <w:tc>
          <w:tcPr>
            <w:tcW w:w="1098" w:type="dxa"/>
            <w:vAlign w:val="center"/>
          </w:tcPr>
          <w:p>
            <w:pPr>
              <w:spacing w:line="500" w:lineRule="exact"/>
              <w:jc w:val="center"/>
              <w:rPr>
                <w:rFonts w:hint="eastAsia" w:ascii="宋体" w:hAnsi="宋体" w:eastAsia="宋体" w:cs="宋体"/>
                <w:szCs w:val="24"/>
                <w:shd w:val="clear" w:color="auto" w:fill="FFFFFF"/>
                <w:vertAlign w:val="baseline"/>
                <w:lang w:eastAsia="zh-CN"/>
              </w:rPr>
            </w:pPr>
            <w:r>
              <w:rPr>
                <w:rFonts w:hint="eastAsia" w:ascii="宋体" w:hAnsi="宋体" w:eastAsia="宋体"/>
                <w:b w:val="0"/>
                <w:bCs/>
                <w:szCs w:val="21"/>
                <w:lang w:val="en-US" w:eastAsia="zh-CN"/>
              </w:rPr>
              <w:t>4000</w:t>
            </w: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szCs w:val="21"/>
                <w:lang w:val="en-US" w:eastAsia="zh-CN"/>
              </w:rPr>
              <w:t>株</w:t>
            </w: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val="en-US" w:eastAsia="zh-CN"/>
              </w:rPr>
              <w:t>12000000</w:t>
            </w:r>
          </w:p>
        </w:tc>
        <w:tc>
          <w:tcPr>
            <w:tcW w:w="1606"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04" w:type="dxa"/>
            <w:gridSpan w:val="2"/>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r>
              <w:rPr>
                <w:rFonts w:hint="eastAsia" w:ascii="宋体" w:hAnsi="宋体" w:eastAsia="宋体" w:cs="宋体"/>
                <w:szCs w:val="24"/>
                <w:shd w:val="clear" w:color="auto" w:fill="FFFFFF"/>
                <w:vertAlign w:val="baseline"/>
                <w:lang w:eastAsia="zh-CN"/>
              </w:rPr>
              <w:t>合计</w:t>
            </w:r>
          </w:p>
        </w:tc>
        <w:tc>
          <w:tcPr>
            <w:tcW w:w="1098"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p>
        </w:tc>
        <w:tc>
          <w:tcPr>
            <w:tcW w:w="80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Cs w:val="24"/>
                <w:shd w:val="clear" w:color="auto" w:fill="FFFFFF"/>
                <w:vertAlign w:val="baseline"/>
                <w:lang w:eastAsia="zh-CN"/>
              </w:rPr>
            </w:pPr>
          </w:p>
        </w:tc>
        <w:tc>
          <w:tcPr>
            <w:tcW w:w="1606"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18" w:type="dxa"/>
            <w:gridSpan w:val="6"/>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left"/>
              <w:textAlignment w:val="auto"/>
              <w:rPr>
                <w:rFonts w:hint="eastAsia" w:ascii="宋体" w:hAnsi="宋体" w:eastAsia="宋体" w:cs="宋体"/>
                <w:szCs w:val="24"/>
                <w:shd w:val="clear" w:color="auto" w:fill="FFFFFF"/>
                <w:vertAlign w:val="baseline"/>
                <w:lang w:val="en-US" w:eastAsia="zh-CN"/>
              </w:rPr>
            </w:pPr>
            <w:r>
              <w:rPr>
                <w:rFonts w:hint="eastAsia" w:ascii="宋体" w:hAnsi="宋体" w:eastAsia="宋体" w:cs="宋体"/>
                <w:szCs w:val="24"/>
                <w:shd w:val="clear" w:color="auto" w:fill="FFFFFF"/>
                <w:vertAlign w:val="baseline"/>
                <w:lang w:eastAsia="zh-CN"/>
              </w:rPr>
              <w:t>注：</w:t>
            </w:r>
            <w:r>
              <w:rPr>
                <w:rFonts w:hint="eastAsia" w:ascii="宋体" w:hAnsi="宋体" w:eastAsia="宋体" w:cs="宋体"/>
                <w:color w:val="auto"/>
                <w:szCs w:val="24"/>
                <w:highlight w:val="none"/>
                <w:shd w:val="clear" w:color="auto" w:fill="FFFFFF"/>
                <w:vertAlign w:val="baseline"/>
                <w:lang w:eastAsia="zh-CN"/>
              </w:rPr>
              <w:t>按‘</w:t>
            </w:r>
            <w:r>
              <w:rPr>
                <w:rFonts w:hint="eastAsia" w:ascii="宋体" w:hAnsi="宋体" w:eastAsia="宋体" w:cs="宋体"/>
                <w:color w:val="auto"/>
                <w:szCs w:val="24"/>
                <w:highlight w:val="none"/>
                <w:shd w:val="clear" w:color="auto" w:fill="FFFFFF"/>
                <w:vertAlign w:val="baseline"/>
                <w:lang w:val="en-US" w:eastAsia="zh-CN"/>
              </w:rPr>
              <w:t>株</w:t>
            </w:r>
            <w:r>
              <w:rPr>
                <w:rFonts w:hint="eastAsia" w:ascii="宋体" w:hAnsi="宋体" w:eastAsia="宋体" w:cs="宋体"/>
                <w:color w:val="auto"/>
                <w:szCs w:val="24"/>
                <w:highlight w:val="none"/>
                <w:shd w:val="clear" w:color="auto" w:fill="FFFFFF"/>
                <w:vertAlign w:val="baseline"/>
                <w:lang w:eastAsia="zh-CN"/>
              </w:rPr>
              <w:t>’结算，</w:t>
            </w:r>
            <w:r>
              <w:rPr>
                <w:rFonts w:hint="eastAsia" w:ascii="宋体" w:hAnsi="宋体" w:eastAsia="宋体" w:cs="宋体"/>
                <w:color w:val="auto"/>
                <w:szCs w:val="24"/>
                <w:highlight w:val="none"/>
                <w:shd w:val="clear" w:color="auto" w:fill="FFFFFF"/>
                <w:vertAlign w:val="baseline"/>
                <w:lang w:val="en-US" w:eastAsia="zh-CN"/>
              </w:rPr>
              <w:t>每个投标单位只能投1个包</w:t>
            </w:r>
            <w:r>
              <w:rPr>
                <w:rFonts w:hint="eastAsia" w:ascii="宋体" w:hAnsi="宋体" w:eastAsia="宋体" w:cs="宋体"/>
                <w:color w:val="auto"/>
                <w:szCs w:val="24"/>
                <w:highlight w:val="none"/>
                <w:shd w:val="clear" w:color="auto" w:fill="FFFFFF"/>
                <w:vertAlign w:val="baseline"/>
                <w:lang w:eastAsia="zh-CN"/>
              </w:rPr>
              <w:t>。</w:t>
            </w:r>
          </w:p>
        </w:tc>
      </w:tr>
    </w:tbl>
    <w:p>
      <w:pPr>
        <w:pStyle w:val="21"/>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480"/>
        <w:textAlignment w:val="auto"/>
        <w:rPr>
          <w:rFonts w:eastAsia="宋体"/>
          <w:sz w:val="24"/>
          <w:szCs w:val="24"/>
        </w:rPr>
      </w:pPr>
      <w:r>
        <w:rPr>
          <w:rFonts w:hint="eastAsia" w:ascii="宋体" w:hAnsi="宋体" w:eastAsia="宋体" w:cs="宋体"/>
          <w:sz w:val="24"/>
          <w:szCs w:val="24"/>
          <w:shd w:val="clear" w:color="auto" w:fill="FFFFFF"/>
        </w:rPr>
        <w:t>合同履行期限：</w:t>
      </w:r>
      <w:r>
        <w:rPr>
          <w:rFonts w:hint="eastAsia" w:ascii="宋体" w:hAnsi="宋体" w:eastAsia="宋体" w:cs="宋体"/>
          <w:sz w:val="24"/>
          <w:szCs w:val="24"/>
          <w:shd w:val="clear" w:color="auto" w:fill="FFFFFF"/>
          <w:lang w:eastAsia="zh-CN"/>
        </w:rPr>
        <w:t>签订合同后</w:t>
      </w:r>
      <w:r>
        <w:rPr>
          <w:rFonts w:hint="eastAsia" w:ascii="宋体" w:hAnsi="宋体" w:eastAsia="宋体" w:cs="宋体"/>
          <w:color w:val="FF0000"/>
          <w:sz w:val="24"/>
          <w:szCs w:val="24"/>
          <w:u w:val="single"/>
          <w:shd w:val="clear" w:color="auto" w:fill="FFFFFF"/>
          <w:lang w:val="en-US" w:eastAsia="zh-CN"/>
        </w:rPr>
        <w:t>180</w:t>
      </w:r>
      <w:r>
        <w:rPr>
          <w:rFonts w:hint="eastAsia" w:ascii="宋体" w:hAnsi="宋体" w:eastAsia="宋体" w:cs="宋体"/>
          <w:sz w:val="24"/>
          <w:szCs w:val="24"/>
          <w:shd w:val="clear" w:color="auto" w:fill="FFFFFF"/>
          <w:lang w:val="en-US" w:eastAsia="zh-CN"/>
        </w:rPr>
        <w:t>个工作日</w:t>
      </w:r>
    </w:p>
    <w:p>
      <w:pPr>
        <w:pStyle w:val="21"/>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420"/>
        <w:textAlignment w:val="auto"/>
        <w:rPr>
          <w:sz w:val="24"/>
          <w:szCs w:val="24"/>
        </w:rPr>
      </w:pPr>
      <w:r>
        <w:rPr>
          <w:rStyle w:val="26"/>
          <w:rFonts w:hint="eastAsia" w:ascii="宋体" w:hAnsi="宋体" w:eastAsia="宋体" w:cs="宋体"/>
          <w:sz w:val="24"/>
          <w:szCs w:val="24"/>
          <w:shd w:val="clear" w:color="auto" w:fill="FFFFFF"/>
        </w:rPr>
        <w:t>二、申请人的资格要求：</w:t>
      </w:r>
    </w:p>
    <w:p>
      <w:pPr>
        <w:pStyle w:val="21"/>
        <w:keepNext w:val="0"/>
        <w:keepLines w:val="0"/>
        <w:pageBreakBefore w:val="0"/>
        <w:widowControl/>
        <w:kinsoku/>
        <w:wordWrap/>
        <w:overflowPunct/>
        <w:topLinePunct w:val="0"/>
        <w:autoSpaceDE/>
        <w:autoSpaceDN/>
        <w:bidi w:val="0"/>
        <w:adjustRightInd/>
        <w:snapToGrid/>
        <w:spacing w:beforeAutospacing="0" w:afterAutospacing="0" w:line="520" w:lineRule="exact"/>
        <w:ind w:right="0" w:rightChars="0" w:firstLine="48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1、应具备《政府采购法》第二十二条</w:t>
      </w:r>
      <w:r>
        <w:rPr>
          <w:rFonts w:hint="eastAsia" w:ascii="宋体" w:hAnsi="宋体" w:eastAsia="宋体" w:cs="宋体"/>
          <w:sz w:val="24"/>
          <w:szCs w:val="24"/>
          <w:shd w:val="clear" w:color="auto" w:fill="FFFFFF"/>
          <w:lang w:eastAsia="zh-CN"/>
        </w:rPr>
        <w:t>第一款</w:t>
      </w:r>
      <w:r>
        <w:rPr>
          <w:rFonts w:hint="eastAsia" w:ascii="宋体" w:hAnsi="宋体" w:eastAsia="宋体" w:cs="宋体"/>
          <w:sz w:val="24"/>
          <w:szCs w:val="24"/>
          <w:shd w:val="clear" w:color="auto" w:fill="FFFFFF"/>
        </w:rPr>
        <w:t>规定的条件</w:t>
      </w:r>
      <w:r>
        <w:rPr>
          <w:rFonts w:hint="eastAsia" w:ascii="宋体" w:hAnsi="宋体" w:eastAsia="宋体" w:cs="宋体"/>
          <w:sz w:val="24"/>
          <w:szCs w:val="24"/>
          <w:shd w:val="clear" w:color="auto" w:fill="FFFFFF"/>
          <w:lang w:eastAsia="zh-CN"/>
        </w:rPr>
        <w:t>，提供下列材料：</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szCs w:val="24"/>
          <w:lang w:val="hr-HR"/>
        </w:rPr>
      </w:pPr>
      <w:r>
        <w:rPr>
          <w:rFonts w:hint="eastAsia" w:ascii="宋体" w:hAnsi="宋体" w:eastAsia="宋体" w:cs="宋体"/>
          <w:kern w:val="0"/>
          <w:sz w:val="24"/>
          <w:szCs w:val="24"/>
          <w:shd w:val="clear" w:color="auto" w:fill="FFFFFF"/>
          <w:lang w:val="en-US" w:eastAsia="zh-CN" w:bidi="ar-SA"/>
        </w:rPr>
        <w:t>(1)</w:t>
      </w:r>
      <w:r>
        <w:rPr>
          <w:rFonts w:hint="eastAsia" w:ascii="宋体" w:hAnsi="宋体"/>
          <w:sz w:val="24"/>
          <w:szCs w:val="24"/>
          <w:lang w:val="hr-HR"/>
        </w:rPr>
        <w:t>具有独立承担民事责任的能力</w:t>
      </w:r>
      <w:r>
        <w:rPr>
          <w:rFonts w:hint="eastAsia" w:ascii="宋体" w:hAnsi="宋体" w:cs="宋体"/>
          <w:kern w:val="0"/>
          <w:sz w:val="24"/>
          <w:szCs w:val="24"/>
        </w:rPr>
        <w:t>(</w:t>
      </w:r>
      <w:r>
        <w:rPr>
          <w:rFonts w:hint="eastAsia" w:ascii="宋体" w:hAnsi="宋体"/>
          <w:sz w:val="24"/>
          <w:szCs w:val="24"/>
        </w:rPr>
        <w:t>提供法人或者其他组织的营业执照等证明文件，自然人的身份证明</w:t>
      </w:r>
      <w:r>
        <w:rPr>
          <w:rFonts w:hint="eastAsia" w:ascii="宋体" w:hAnsi="宋体" w:cs="宋体"/>
          <w:kern w:val="0"/>
          <w:sz w:val="24"/>
          <w:szCs w:val="24"/>
        </w:rPr>
        <w:t>)</w:t>
      </w:r>
      <w:r>
        <w:rPr>
          <w:rFonts w:hint="eastAsia" w:ascii="宋体" w:hAnsi="宋体"/>
          <w:sz w:val="24"/>
          <w:szCs w:val="24"/>
          <w:lang w:val="hr-HR"/>
        </w:rPr>
        <w:t xml:space="preserve">； </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szCs w:val="24"/>
          <w:lang w:val="hr-HR"/>
        </w:rPr>
      </w:pPr>
      <w:r>
        <w:rPr>
          <w:rFonts w:hint="eastAsia" w:ascii="宋体" w:hAnsi="宋体" w:eastAsia="宋体" w:cs="宋体"/>
          <w:kern w:val="0"/>
          <w:sz w:val="24"/>
          <w:szCs w:val="24"/>
          <w:shd w:val="clear" w:color="auto" w:fill="FFFFFF"/>
          <w:lang w:val="en-US" w:eastAsia="zh-CN" w:bidi="ar-SA"/>
        </w:rPr>
        <w:t>(2)</w:t>
      </w:r>
      <w:r>
        <w:rPr>
          <w:rFonts w:hint="eastAsia" w:ascii="宋体" w:hAnsi="宋体"/>
          <w:sz w:val="24"/>
          <w:szCs w:val="24"/>
          <w:lang w:val="hr-HR"/>
        </w:rPr>
        <w:t>具有良好的商业信誉和健全的财务会计制度</w:t>
      </w:r>
      <w:r>
        <w:rPr>
          <w:rFonts w:hint="eastAsia" w:ascii="宋体" w:hAnsi="宋体" w:cs="宋体"/>
          <w:kern w:val="0"/>
          <w:sz w:val="24"/>
          <w:szCs w:val="24"/>
        </w:rPr>
        <w:t>（提供</w:t>
      </w:r>
      <w:r>
        <w:rPr>
          <w:rFonts w:hint="eastAsia" w:ascii="宋体" w:hAnsi="宋体" w:cs="宋体"/>
          <w:kern w:val="0"/>
          <w:sz w:val="24"/>
          <w:szCs w:val="24"/>
          <w:lang w:val="en-US" w:eastAsia="zh-CN"/>
        </w:rPr>
        <w:t>参加本次活动前一年内至少一个月的财务报表或审计报告</w:t>
      </w:r>
      <w:r>
        <w:rPr>
          <w:rFonts w:hint="eastAsia" w:ascii="宋体" w:hAnsi="宋体" w:cs="宋体"/>
          <w:kern w:val="0"/>
          <w:sz w:val="24"/>
          <w:szCs w:val="24"/>
        </w:rPr>
        <w:t>）</w:t>
      </w:r>
      <w:r>
        <w:rPr>
          <w:rFonts w:hint="eastAsia" w:ascii="宋体" w:hAnsi="宋体"/>
          <w:sz w:val="24"/>
          <w:szCs w:val="24"/>
          <w:lang w:val="hr-HR"/>
        </w:rPr>
        <w:t xml:space="preserve">； </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szCs w:val="24"/>
          <w:lang w:val="hr-HR"/>
        </w:rPr>
      </w:pPr>
      <w:r>
        <w:rPr>
          <w:rFonts w:hint="eastAsia" w:ascii="宋体" w:hAnsi="宋体" w:eastAsia="宋体" w:cs="宋体"/>
          <w:kern w:val="0"/>
          <w:sz w:val="24"/>
          <w:szCs w:val="24"/>
          <w:shd w:val="clear" w:color="auto" w:fill="FFFFFF"/>
          <w:lang w:val="en-US" w:eastAsia="zh-CN" w:bidi="ar-SA"/>
        </w:rPr>
        <w:t>(3)</w:t>
      </w:r>
      <w:r>
        <w:rPr>
          <w:rFonts w:hint="eastAsia" w:ascii="宋体" w:hAnsi="宋体"/>
          <w:sz w:val="24"/>
          <w:szCs w:val="24"/>
          <w:lang w:val="hr-HR"/>
        </w:rPr>
        <w:t>具有履行合同所必需的设备和专业技术能力</w:t>
      </w:r>
      <w:r>
        <w:rPr>
          <w:rFonts w:hint="eastAsia" w:ascii="宋体" w:hAnsi="宋体" w:cs="宋体"/>
          <w:kern w:val="0"/>
          <w:sz w:val="24"/>
          <w:szCs w:val="24"/>
        </w:rPr>
        <w:t>（提供证明材料）</w:t>
      </w:r>
      <w:r>
        <w:rPr>
          <w:rFonts w:hint="eastAsia" w:ascii="宋体" w:hAnsi="宋体"/>
          <w:sz w:val="24"/>
          <w:szCs w:val="24"/>
          <w:lang w:val="hr-HR"/>
        </w:rPr>
        <w:t xml:space="preserve">； </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szCs w:val="24"/>
          <w:lang w:val="hr-HR"/>
        </w:rPr>
      </w:pPr>
      <w:r>
        <w:rPr>
          <w:rFonts w:hint="eastAsia" w:ascii="宋体" w:hAnsi="宋体" w:eastAsia="宋体" w:cs="宋体"/>
          <w:kern w:val="0"/>
          <w:sz w:val="24"/>
          <w:szCs w:val="24"/>
          <w:shd w:val="clear" w:color="auto" w:fill="FFFFFF"/>
          <w:lang w:val="en-US" w:eastAsia="zh-CN" w:bidi="ar-SA"/>
        </w:rPr>
        <w:t>(4)</w:t>
      </w:r>
      <w:r>
        <w:rPr>
          <w:rFonts w:hint="eastAsia" w:ascii="宋体" w:hAnsi="宋体"/>
          <w:sz w:val="24"/>
          <w:szCs w:val="24"/>
          <w:lang w:val="hr-HR"/>
        </w:rPr>
        <w:t>有依法缴纳税收和社会保障资金的良好记录</w:t>
      </w:r>
      <w:r>
        <w:rPr>
          <w:rFonts w:hint="eastAsia" w:ascii="宋体" w:hAnsi="宋体" w:cs="宋体"/>
          <w:kern w:val="0"/>
          <w:sz w:val="24"/>
          <w:szCs w:val="24"/>
        </w:rPr>
        <w:t>（提供</w:t>
      </w:r>
      <w:r>
        <w:rPr>
          <w:rFonts w:hint="eastAsia" w:ascii="宋体" w:hAnsi="宋体" w:cs="宋体"/>
          <w:kern w:val="0"/>
          <w:sz w:val="24"/>
          <w:szCs w:val="24"/>
          <w:lang w:val="en-US" w:eastAsia="zh-CN"/>
        </w:rPr>
        <w:t>参加本次政府采购活动前一年内，至少一个月的</w:t>
      </w:r>
      <w:r>
        <w:rPr>
          <w:rFonts w:hint="eastAsia" w:ascii="宋体" w:hAnsi="宋体" w:cs="宋体"/>
          <w:kern w:val="0"/>
          <w:sz w:val="24"/>
          <w:szCs w:val="24"/>
        </w:rPr>
        <w:t>纳税凭证</w:t>
      </w:r>
      <w:r>
        <w:rPr>
          <w:rFonts w:hint="eastAsia" w:ascii="宋体" w:hAnsi="宋体" w:cs="宋体"/>
          <w:kern w:val="0"/>
          <w:sz w:val="24"/>
          <w:szCs w:val="24"/>
          <w:lang w:val="en-US" w:eastAsia="zh-CN"/>
        </w:rPr>
        <w:t>和社会保险费</w:t>
      </w:r>
      <w:r>
        <w:rPr>
          <w:rFonts w:hint="eastAsia" w:ascii="宋体" w:hAnsi="宋体" w:cs="宋体"/>
          <w:kern w:val="0"/>
          <w:sz w:val="24"/>
          <w:szCs w:val="24"/>
        </w:rPr>
        <w:t>缴</w:t>
      </w:r>
      <w:r>
        <w:rPr>
          <w:rFonts w:hint="eastAsia" w:ascii="宋体" w:hAnsi="宋体" w:cs="宋体"/>
          <w:kern w:val="0"/>
          <w:sz w:val="24"/>
          <w:szCs w:val="24"/>
          <w:lang w:val="en-US" w:eastAsia="zh-CN"/>
        </w:rPr>
        <w:t>纳</w:t>
      </w:r>
      <w:r>
        <w:rPr>
          <w:rFonts w:hint="eastAsia" w:ascii="宋体" w:hAnsi="宋体" w:cs="宋体"/>
          <w:kern w:val="0"/>
          <w:sz w:val="24"/>
          <w:szCs w:val="24"/>
        </w:rPr>
        <w:t>凭证）</w:t>
      </w:r>
      <w:r>
        <w:rPr>
          <w:rFonts w:hint="eastAsia" w:ascii="宋体" w:hAnsi="宋体"/>
          <w:sz w:val="24"/>
          <w:szCs w:val="24"/>
          <w:lang w:val="hr-HR"/>
        </w:rPr>
        <w:t xml:space="preserve">； </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szCs w:val="24"/>
          <w:lang w:val="hr-HR"/>
        </w:rPr>
      </w:pPr>
      <w:r>
        <w:rPr>
          <w:rFonts w:hint="eastAsia" w:ascii="宋体" w:hAnsi="宋体" w:eastAsia="宋体" w:cs="宋体"/>
          <w:kern w:val="0"/>
          <w:sz w:val="24"/>
          <w:szCs w:val="24"/>
          <w:shd w:val="clear" w:color="auto" w:fill="FFFFFF"/>
          <w:lang w:val="en-US" w:eastAsia="zh-CN" w:bidi="ar-SA"/>
        </w:rPr>
        <w:t>(5)</w:t>
      </w:r>
      <w:r>
        <w:rPr>
          <w:rFonts w:hint="eastAsia" w:ascii="宋体" w:hAnsi="宋体"/>
          <w:sz w:val="24"/>
          <w:szCs w:val="24"/>
          <w:lang w:val="hr-HR"/>
        </w:rPr>
        <w:t>参加政府采购活动前三年内，在经营活动中没有重大违法记录</w:t>
      </w:r>
      <w:r>
        <w:rPr>
          <w:rFonts w:hint="eastAsia" w:ascii="宋体" w:hAnsi="宋体" w:cs="宋体"/>
          <w:kern w:val="0"/>
          <w:sz w:val="24"/>
          <w:szCs w:val="24"/>
        </w:rPr>
        <w:t>（提供声明函）</w:t>
      </w:r>
      <w:r>
        <w:rPr>
          <w:rFonts w:hint="eastAsia" w:ascii="宋体" w:hAnsi="宋体"/>
          <w:sz w:val="24"/>
          <w:szCs w:val="24"/>
          <w:lang w:val="hr-HR"/>
        </w:rPr>
        <w:t xml:space="preserve">； </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kern w:val="0"/>
          <w:sz w:val="24"/>
          <w:szCs w:val="24"/>
          <w:shd w:val="clear" w:color="auto" w:fill="FFFFFF"/>
          <w:lang w:val="en-US" w:eastAsia="zh-CN" w:bidi="ar-SA"/>
        </w:rPr>
        <w:t>(6)</w:t>
      </w:r>
      <w:r>
        <w:rPr>
          <w:rFonts w:hint="eastAsia" w:ascii="宋体" w:hAnsi="宋体"/>
          <w:sz w:val="24"/>
          <w:szCs w:val="24"/>
          <w:lang w:val="hr-HR"/>
        </w:rPr>
        <w:t>法律、行政法规规定的其他条件。</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80"/>
        <w:textAlignment w:val="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keepNext w:val="0"/>
        <w:keepLines w:val="0"/>
        <w:pageBreakBefore w:val="0"/>
        <w:widowControl w:val="0"/>
        <w:tabs>
          <w:tab w:val="left" w:pos="896"/>
        </w:tabs>
        <w:kinsoku/>
        <w:wordWrap/>
        <w:overflowPunct/>
        <w:topLinePunct w:val="0"/>
        <w:autoSpaceDE/>
        <w:autoSpaceDN/>
        <w:bidi w:val="0"/>
        <w:adjustRightInd/>
        <w:snapToGrid/>
        <w:spacing w:line="440" w:lineRule="atLeast"/>
        <w:ind w:left="482" w:right="0" w:rightChars="0"/>
        <w:textAlignment w:val="auto"/>
        <w:rPr>
          <w:rFonts w:hint="eastAsia"/>
          <w:sz w:val="24"/>
          <w:szCs w:val="24"/>
          <w:lang w:val="en-US" w:eastAsia="zh-CN"/>
        </w:rPr>
      </w:pPr>
      <w:r>
        <w:rPr>
          <w:rFonts w:hint="eastAsia" w:ascii="宋体" w:hAnsi="宋体" w:eastAsia="宋体" w:cs="宋体"/>
          <w:kern w:val="0"/>
          <w:sz w:val="24"/>
          <w:szCs w:val="24"/>
          <w:shd w:val="clear" w:color="auto" w:fill="FFFFFF"/>
          <w:lang w:val="en-US" w:eastAsia="zh-CN" w:bidi="ar-SA"/>
        </w:rPr>
        <w:t>3、特定条件：</w:t>
      </w:r>
    </w:p>
    <w:p>
      <w:pPr>
        <w:keepNext w:val="0"/>
        <w:keepLines w:val="0"/>
        <w:pageBreakBefore w:val="0"/>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kern w:val="0"/>
          <w:sz w:val="24"/>
          <w:szCs w:val="24"/>
          <w:shd w:val="clear" w:color="auto" w:fill="FFFFFF"/>
          <w:lang w:val="hr-HR" w:eastAsia="zh-CN" w:bidi="ar-SA"/>
        </w:rPr>
      </w:pPr>
      <w:r>
        <w:rPr>
          <w:rFonts w:hint="eastAsia" w:ascii="宋体" w:hAnsi="宋体" w:eastAsia="宋体" w:cs="宋体"/>
          <w:kern w:val="0"/>
          <w:sz w:val="24"/>
          <w:szCs w:val="24"/>
          <w:shd w:val="clear" w:color="auto" w:fill="FFFFFF"/>
          <w:lang w:val="en-US" w:eastAsia="zh-CN" w:bidi="ar-SA"/>
        </w:rPr>
        <w:t>（1）、第1包、第2包</w:t>
      </w:r>
      <w:r>
        <w:rPr>
          <w:rFonts w:hint="eastAsia" w:ascii="宋体" w:hAnsi="宋体" w:eastAsia="宋体" w:cs="宋体"/>
          <w:kern w:val="0"/>
          <w:sz w:val="24"/>
          <w:szCs w:val="24"/>
          <w:shd w:val="clear" w:color="auto" w:fill="FFFFFF"/>
          <w:lang w:val="hr-HR" w:eastAsia="zh-CN" w:bidi="ar-SA"/>
        </w:rPr>
        <w:t>供应商</w:t>
      </w:r>
      <w:r>
        <w:rPr>
          <w:rFonts w:hint="eastAsia" w:ascii="宋体" w:hAnsi="宋体" w:eastAsia="宋体" w:cs="宋体"/>
          <w:kern w:val="0"/>
          <w:sz w:val="24"/>
          <w:szCs w:val="24"/>
          <w:shd w:val="clear" w:color="auto" w:fill="FFFFFF"/>
          <w:lang w:val="en-US" w:eastAsia="zh-CN" w:bidi="ar-SA"/>
        </w:rPr>
        <w:t>须是合格的生产商、代理商或经销商，投标人应具有：①</w:t>
      </w:r>
      <w:r>
        <w:rPr>
          <w:rFonts w:hint="eastAsia" w:ascii="宋体" w:hAnsi="宋体" w:eastAsia="宋体" w:cs="宋体"/>
          <w:sz w:val="24"/>
          <w:szCs w:val="24"/>
          <w:highlight w:val="none"/>
          <w:lang w:eastAsia="zh-CN"/>
        </w:rPr>
        <w:t>营业执照经营范围应含有苗木，果木种植及销售等类似方面内容，以上证件需在有效期内。</w:t>
      </w:r>
      <w:r>
        <w:rPr>
          <w:rFonts w:hint="default" w:hAnsi="宋体" w:eastAsia="宋体" w:cs="宋体"/>
          <w:sz w:val="24"/>
          <w:szCs w:val="24"/>
          <w:highlight w:val="none"/>
          <w:lang w:val="en-US" w:eastAsia="zh-CN"/>
        </w:rPr>
        <w:t>②</w:t>
      </w:r>
      <w:r>
        <w:rPr>
          <w:rFonts w:hint="eastAsia" w:hAnsi="宋体" w:eastAsia="宋体" w:cs="宋体"/>
          <w:sz w:val="24"/>
          <w:szCs w:val="24"/>
          <w:highlight w:val="none"/>
          <w:lang w:val="en-US" w:eastAsia="zh-CN"/>
        </w:rPr>
        <w:t>具有县级以上农业行政主管部门核发的农作物种子（茶苗）生产经营许可证。</w:t>
      </w:r>
      <w:r>
        <w:rPr>
          <w:rFonts w:hint="default" w:hAnsi="宋体" w:eastAsia="宋体" w:cs="宋体"/>
          <w:sz w:val="24"/>
          <w:szCs w:val="24"/>
          <w:highlight w:val="none"/>
          <w:lang w:val="en-US" w:eastAsia="zh-CN"/>
        </w:rPr>
        <w:t>③</w:t>
      </w:r>
      <w:r>
        <w:rPr>
          <w:rFonts w:hint="eastAsia" w:ascii="宋体" w:hAnsi="宋体" w:eastAsia="宋体" w:cs="宋体"/>
          <w:color w:val="000000"/>
          <w:kern w:val="0"/>
          <w:sz w:val="24"/>
          <w:szCs w:val="21"/>
          <w:highlight w:val="none"/>
          <w:lang w:val="en-US" w:eastAsia="zh-CN"/>
        </w:rPr>
        <w:t>供应商须提供</w:t>
      </w:r>
      <w:r>
        <w:rPr>
          <w:rFonts w:hint="eastAsia" w:hAnsi="宋体" w:eastAsia="宋体" w:cs="宋体"/>
          <w:color w:val="000000"/>
          <w:kern w:val="0"/>
          <w:sz w:val="24"/>
          <w:szCs w:val="21"/>
          <w:highlight w:val="none"/>
          <w:lang w:val="en-US" w:eastAsia="zh-CN"/>
        </w:rPr>
        <w:t>企业所在地</w:t>
      </w:r>
      <w:r>
        <w:rPr>
          <w:rFonts w:hint="eastAsia" w:ascii="宋体" w:hAnsi="宋体" w:eastAsia="宋体" w:cs="宋体"/>
          <w:color w:val="000000"/>
          <w:kern w:val="0"/>
          <w:sz w:val="24"/>
          <w:szCs w:val="21"/>
          <w:highlight w:val="none"/>
          <w:lang w:val="en-US" w:eastAsia="zh-CN"/>
        </w:rPr>
        <w:t>农业业务主管部门出具的满足采购数量需求的育苗规模证明及苗圃基地照片。</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80"/>
        <w:textAlignment w:val="auto"/>
        <w:rPr>
          <w:rFonts w:hint="eastAsia"/>
        </w:rPr>
      </w:pPr>
      <w:r>
        <w:rPr>
          <w:rFonts w:hint="eastAsia" w:ascii="宋体" w:hAnsi="宋体" w:eastAsia="宋体" w:cs="宋体"/>
          <w:kern w:val="0"/>
          <w:sz w:val="24"/>
          <w:szCs w:val="24"/>
          <w:shd w:val="clear" w:color="auto" w:fill="FFFFFF"/>
          <w:lang w:val="en-US" w:eastAsia="zh-CN" w:bidi="ar-SA"/>
        </w:rPr>
        <w:t>（2）、</w:t>
      </w:r>
      <w:r>
        <w:rPr>
          <w:rFonts w:hint="eastAsia"/>
        </w:rPr>
        <w:t>各投标人只能就本招标项目（</w:t>
      </w:r>
      <w:r>
        <w:rPr>
          <w:rFonts w:hint="eastAsia" w:ascii="宋体" w:hAnsi="宋体" w:eastAsia="宋体" w:cs="宋体"/>
          <w:sz w:val="24"/>
          <w:szCs w:val="24"/>
          <w:shd w:val="clear" w:color="auto" w:fill="FFFFFF"/>
          <w:lang w:val="en-US" w:eastAsia="zh-CN"/>
        </w:rPr>
        <w:t>1包、2包</w:t>
      </w:r>
      <w:r>
        <w:rPr>
          <w:rFonts w:hint="eastAsia"/>
        </w:rPr>
        <w:t>）上述标段中的一个标段进行报名投标，否则作废标处理。</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80"/>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（3）、本项目不接受联合体形式的投标。</w:t>
      </w:r>
    </w:p>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firstLine="420"/>
        <w:textAlignment w:val="auto"/>
        <w:rPr>
          <w:sz w:val="24"/>
          <w:szCs w:val="24"/>
        </w:rPr>
      </w:pPr>
      <w:r>
        <w:rPr>
          <w:rStyle w:val="26"/>
          <w:rFonts w:hint="eastAsia" w:ascii="宋体" w:hAnsi="宋体" w:eastAsia="宋体" w:cs="宋体"/>
          <w:sz w:val="24"/>
          <w:szCs w:val="24"/>
          <w:shd w:val="clear" w:color="auto" w:fill="FFFFFF"/>
        </w:rPr>
        <w:t>三、获取招标文件</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eastAsia" w:ascii="宋体" w:hAnsi="宋体" w:eastAsia="宋体" w:cs="宋体"/>
          <w:szCs w:val="24"/>
        </w:rPr>
      </w:pPr>
      <w:r>
        <w:rPr>
          <w:rFonts w:hint="eastAsia" w:ascii="宋体" w:hAnsi="宋体" w:eastAsia="宋体" w:cs="宋体"/>
          <w:szCs w:val="24"/>
        </w:rPr>
        <w:t>时间：2022年3月</w:t>
      </w:r>
      <w:r>
        <w:rPr>
          <w:rFonts w:hint="eastAsia" w:ascii="宋体" w:hAnsi="宋体" w:eastAsia="宋体" w:cs="宋体"/>
          <w:szCs w:val="24"/>
          <w:lang w:val="en-US" w:eastAsia="zh-CN"/>
        </w:rPr>
        <w:t>17</w:t>
      </w:r>
      <w:r>
        <w:rPr>
          <w:rFonts w:hint="eastAsia" w:ascii="宋体" w:hAnsi="宋体" w:eastAsia="宋体" w:cs="宋体"/>
          <w:szCs w:val="24"/>
        </w:rPr>
        <w:t>日至2022年</w:t>
      </w:r>
      <w:r>
        <w:rPr>
          <w:rFonts w:hint="eastAsia" w:ascii="宋体" w:hAnsi="宋体" w:eastAsia="宋体" w:cs="宋体"/>
          <w:szCs w:val="24"/>
          <w:lang w:val="en-US" w:eastAsia="zh-CN"/>
        </w:rPr>
        <w:t xml:space="preserve"> 3</w:t>
      </w:r>
      <w:r>
        <w:rPr>
          <w:rFonts w:hint="eastAsia" w:ascii="宋体" w:hAnsi="宋体" w:eastAsia="宋体" w:cs="宋体"/>
          <w:szCs w:val="24"/>
        </w:rPr>
        <w:t>月</w:t>
      </w:r>
      <w:r>
        <w:rPr>
          <w:rFonts w:hint="eastAsia" w:ascii="宋体" w:hAnsi="宋体" w:eastAsia="宋体" w:cs="宋体"/>
          <w:szCs w:val="24"/>
          <w:lang w:val="en-US" w:eastAsia="zh-CN"/>
        </w:rPr>
        <w:t>24</w:t>
      </w:r>
      <w:r>
        <w:rPr>
          <w:rFonts w:hint="eastAsia" w:ascii="宋体" w:hAnsi="宋体" w:eastAsia="宋体" w:cs="宋体"/>
          <w:szCs w:val="24"/>
        </w:rPr>
        <w:t>日17:30(北京时间)</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eastAsia" w:ascii="宋体" w:hAnsi="宋体" w:eastAsia="宋体" w:cs="宋体"/>
          <w:sz w:val="24"/>
          <w:szCs w:val="24"/>
        </w:rPr>
      </w:pPr>
      <w:r>
        <w:rPr>
          <w:rFonts w:hint="eastAsia" w:ascii="宋体" w:hAnsi="宋体" w:eastAsia="宋体" w:cs="宋体"/>
          <w:szCs w:val="24"/>
        </w:rPr>
        <w:t>招标文件下载：见附件</w:t>
      </w:r>
    </w:p>
    <w:p>
      <w:pPr>
        <w:pStyle w:val="21"/>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40" w:lineRule="atLeast"/>
        <w:ind w:right="0" w:rightChars="0" w:firstLine="420"/>
        <w:textAlignment w:val="auto"/>
        <w:rPr>
          <w:rStyle w:val="26"/>
          <w:rFonts w:ascii="宋体" w:hAnsi="宋体" w:eastAsia="宋体" w:cs="宋体"/>
          <w:szCs w:val="24"/>
          <w:shd w:val="clear" w:color="auto" w:fill="FFFFFF"/>
        </w:rPr>
      </w:pPr>
      <w:r>
        <w:rPr>
          <w:rStyle w:val="26"/>
          <w:rFonts w:hint="eastAsia" w:ascii="宋体" w:hAnsi="宋体" w:eastAsia="宋体" w:cs="宋体"/>
          <w:szCs w:val="24"/>
          <w:shd w:val="clear" w:color="auto" w:fill="FFFFFF"/>
        </w:rPr>
        <w:t>提交投标文件截止时间、开标时间和地点</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auto"/>
          <w:szCs w:val="24"/>
          <w:shd w:val="clear" w:color="auto" w:fill="FFFFFF"/>
          <w:lang w:val="en-US" w:eastAsia="zh-CN"/>
        </w:rPr>
        <w:t>2022年</w:t>
      </w:r>
      <w:r>
        <w:rPr>
          <w:rFonts w:hint="eastAsia" w:ascii="宋体" w:hAnsi="宋体" w:eastAsia="宋体" w:cs="宋体"/>
          <w:color w:val="auto"/>
          <w:szCs w:val="24"/>
          <w:u w:val="single"/>
          <w:shd w:val="clear" w:color="auto" w:fill="FFFFFF"/>
          <w:lang w:val="en-US" w:eastAsia="zh-CN"/>
        </w:rPr>
        <w:t xml:space="preserve"> 4 </w:t>
      </w:r>
      <w:r>
        <w:rPr>
          <w:rFonts w:hint="eastAsia" w:ascii="宋体" w:hAnsi="宋体" w:eastAsia="宋体" w:cs="宋体"/>
          <w:color w:val="auto"/>
          <w:szCs w:val="24"/>
          <w:shd w:val="clear" w:color="auto" w:fill="FFFFFF"/>
          <w:lang w:val="en-US" w:eastAsia="zh-CN"/>
        </w:rPr>
        <w:t>月</w:t>
      </w:r>
      <w:r>
        <w:rPr>
          <w:rFonts w:hint="eastAsia" w:ascii="宋体" w:hAnsi="宋体" w:eastAsia="宋体" w:cs="宋体"/>
          <w:color w:val="auto"/>
          <w:szCs w:val="24"/>
          <w:u w:val="single"/>
          <w:shd w:val="clear" w:color="auto" w:fill="FFFFFF"/>
          <w:lang w:val="en-US" w:eastAsia="zh-CN"/>
        </w:rPr>
        <w:t xml:space="preserve">12 </w:t>
      </w:r>
      <w:r>
        <w:rPr>
          <w:rFonts w:hint="eastAsia" w:ascii="宋体" w:hAnsi="宋体" w:eastAsia="宋体" w:cs="宋体"/>
          <w:color w:val="auto"/>
          <w:szCs w:val="24"/>
          <w:shd w:val="clear" w:color="auto" w:fill="FFFFFF"/>
          <w:lang w:val="en-US" w:eastAsia="zh-CN"/>
        </w:rPr>
        <w:t>日</w:t>
      </w:r>
      <w:r>
        <w:rPr>
          <w:rFonts w:hint="eastAsia" w:ascii="宋体" w:hAnsi="宋体" w:eastAsia="宋体" w:cs="宋体"/>
          <w:color w:val="auto"/>
          <w:szCs w:val="24"/>
          <w:u w:val="single"/>
          <w:shd w:val="clear" w:color="auto" w:fill="FFFFFF"/>
          <w:lang w:val="en-US" w:eastAsia="zh-CN"/>
        </w:rPr>
        <w:t>9</w:t>
      </w:r>
      <w:r>
        <w:rPr>
          <w:rFonts w:hint="eastAsia" w:ascii="宋体" w:hAnsi="宋体" w:eastAsia="宋体" w:cs="宋体"/>
          <w:color w:val="auto"/>
          <w:szCs w:val="24"/>
          <w:shd w:val="clear" w:color="auto" w:fill="FFFFFF"/>
        </w:rPr>
        <w:t>时</w:t>
      </w:r>
      <w:r>
        <w:rPr>
          <w:rFonts w:hint="eastAsia" w:ascii="宋体" w:hAnsi="宋体" w:eastAsia="宋体" w:cs="宋体"/>
          <w:color w:val="auto"/>
          <w:szCs w:val="24"/>
          <w:u w:val="single"/>
          <w:shd w:val="clear" w:color="auto" w:fill="FFFFFF"/>
          <w:lang w:val="en-US" w:eastAsia="zh-CN"/>
        </w:rPr>
        <w:t xml:space="preserve">00 </w:t>
      </w:r>
      <w:r>
        <w:rPr>
          <w:rFonts w:hint="eastAsia" w:ascii="宋体" w:hAnsi="宋体" w:eastAsia="宋体" w:cs="宋体"/>
          <w:color w:val="auto"/>
          <w:szCs w:val="24"/>
          <w:shd w:val="clear" w:color="auto" w:fill="FFFFFF"/>
        </w:rPr>
        <w:t>分</w:t>
      </w:r>
      <w:r>
        <w:rPr>
          <w:rFonts w:hint="eastAsia" w:ascii="宋体" w:hAnsi="宋体" w:eastAsia="宋体" w:cs="宋体"/>
          <w:szCs w:val="24"/>
          <w:shd w:val="clear" w:color="auto" w:fill="FFFFFF"/>
        </w:rPr>
        <w:t>（</w:t>
      </w:r>
      <w:r>
        <w:rPr>
          <w:rFonts w:hint="eastAsia" w:ascii="宋体" w:hAnsi="宋体" w:cs="宋体"/>
          <w:szCs w:val="24"/>
          <w:shd w:val="clear" w:color="auto" w:fill="FFFFFF"/>
        </w:rPr>
        <w:t>提前半小时</w:t>
      </w:r>
      <w:r>
        <w:rPr>
          <w:rFonts w:hint="eastAsia" w:ascii="宋体" w:hAnsi="宋体" w:eastAsia="宋体" w:cs="宋体"/>
          <w:szCs w:val="24"/>
          <w:shd w:val="clear" w:color="auto" w:fill="FFFFFF"/>
        </w:rPr>
        <w:t>开始接收投标文件，拒收逾期送达或者未按招标文件要求密封的投标文件）</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w:t>
      </w:r>
      <w:r>
        <w:rPr>
          <w:rFonts w:hint="eastAsia" w:ascii="宋体" w:hAnsi="宋体" w:eastAsia="宋体" w:cs="宋体"/>
          <w:szCs w:val="24"/>
          <w:highlight w:val="none"/>
          <w:shd w:val="clear" w:color="auto" w:fill="FFFFFF"/>
        </w:rPr>
        <w:t>心</w:t>
      </w:r>
      <w:r>
        <w:rPr>
          <w:rFonts w:hint="eastAsia" w:ascii="宋体" w:hAnsi="宋体" w:eastAsia="宋体" w:cs="宋体"/>
          <w:color w:val="FF0000"/>
          <w:szCs w:val="24"/>
          <w:highlight w:val="none"/>
          <w:u w:val="single"/>
          <w:shd w:val="clear" w:color="auto" w:fill="FFFFFF"/>
          <w:lang w:val="en-US" w:eastAsia="zh-CN"/>
        </w:rPr>
        <w:t xml:space="preserve"> 一 </w:t>
      </w:r>
      <w:r>
        <w:rPr>
          <w:rFonts w:hint="eastAsia" w:ascii="宋体" w:hAnsi="宋体" w:eastAsia="宋体" w:cs="宋体"/>
          <w:color w:val="FF0000"/>
          <w:szCs w:val="24"/>
          <w:highlight w:val="none"/>
          <w:u w:val="none"/>
          <w:shd w:val="clear" w:color="auto" w:fill="FFFFFF"/>
        </w:rPr>
        <w:t>楼开标</w:t>
      </w:r>
      <w:r>
        <w:rPr>
          <w:rFonts w:hint="eastAsia" w:ascii="宋体" w:hAnsi="宋体" w:eastAsia="宋体" w:cs="宋体"/>
          <w:color w:val="FF0000"/>
          <w:szCs w:val="24"/>
          <w:highlight w:val="none"/>
          <w:u w:val="single"/>
          <w:shd w:val="clear" w:color="auto" w:fill="FFFFFF"/>
          <w:lang w:val="en-US" w:eastAsia="zh-CN"/>
        </w:rPr>
        <w:t xml:space="preserve"> 一</w:t>
      </w:r>
      <w:r>
        <w:rPr>
          <w:rFonts w:hint="eastAsia" w:ascii="宋体" w:hAnsi="宋体" w:eastAsia="宋体" w:cs="宋体"/>
          <w:szCs w:val="24"/>
          <w:highlight w:val="none"/>
          <w:shd w:val="clear" w:color="auto" w:fill="FFFFFF"/>
        </w:rPr>
        <w:t>厅</w:t>
      </w:r>
      <w:r>
        <w:rPr>
          <w:rFonts w:hint="eastAsia" w:ascii="宋体" w:hAnsi="宋体" w:eastAsia="宋体" w:cs="宋体"/>
          <w:szCs w:val="24"/>
          <w:shd w:val="clear" w:color="auto" w:fill="FFFFFF"/>
        </w:rPr>
        <w:t>（阳新县熊家垴安置小区东侧）</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6"/>
          <w:rFonts w:hint="eastAsia" w:ascii="宋体" w:hAnsi="宋体" w:eastAsia="宋体" w:cs="宋体"/>
          <w:szCs w:val="24"/>
          <w:shd w:val="clear" w:color="auto" w:fill="FFFFFF"/>
        </w:rPr>
        <w:t>五、公告期限</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pPr>
      <w:r>
        <w:rPr>
          <w:rFonts w:hint="eastAsia" w:ascii="宋体" w:hAnsi="宋体" w:eastAsia="宋体" w:cs="宋体"/>
          <w:szCs w:val="24"/>
          <w:shd w:val="clear" w:color="auto" w:fill="FFFFFF"/>
        </w:rPr>
        <w:t>自本公告发布之日起5个工作日。</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6"/>
          <w:rFonts w:hint="eastAsia" w:ascii="宋体" w:hAnsi="宋体" w:eastAsia="宋体" w:cs="宋体"/>
          <w:szCs w:val="24"/>
          <w:shd w:val="clear" w:color="auto" w:fill="FFFFFF"/>
        </w:rPr>
        <w:t>六、其他补充事宜</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80"/>
        <w:textAlignment w:val="auto"/>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1、是否专门面向中小企业</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是。</w:t>
      </w:r>
    </w:p>
    <w:p>
      <w:pPr>
        <w:pageBreakBefore w:val="0"/>
        <w:kinsoku/>
        <w:wordWrap/>
        <w:overflowPunct/>
        <w:topLinePunct w:val="0"/>
        <w:autoSpaceDE/>
        <w:autoSpaceDN/>
        <w:bidi w:val="0"/>
        <w:adjustRightInd/>
        <w:snapToGrid/>
        <w:spacing w:line="480" w:lineRule="exact"/>
        <w:ind w:right="0" w:rightChars="0"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21"/>
        <w:pageBreakBefore w:val="0"/>
        <w:widowControl/>
        <w:kinsoku/>
        <w:wordWrap/>
        <w:overflowPunct/>
        <w:topLinePunct w:val="0"/>
        <w:autoSpaceDE/>
        <w:autoSpaceDN/>
        <w:bidi w:val="0"/>
        <w:adjustRightInd/>
        <w:snapToGrid/>
        <w:spacing w:beforeAutospacing="0" w:afterAutospacing="0" w:line="480" w:lineRule="exact"/>
        <w:ind w:right="0" w:rightChars="0" w:firstLine="420"/>
        <w:textAlignment w:val="auto"/>
      </w:pPr>
      <w:r>
        <w:rPr>
          <w:rStyle w:val="26"/>
          <w:rFonts w:hint="eastAsia" w:ascii="宋体" w:hAnsi="宋体" w:eastAsia="宋体" w:cs="宋体"/>
          <w:szCs w:val="24"/>
          <w:shd w:val="clear" w:color="auto" w:fill="FFFFFF"/>
        </w:rPr>
        <w:t>七、对本次招标提出询问，请按以下方式联系。</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pPr>
      <w:r>
        <w:rPr>
          <w:rFonts w:hint="eastAsia" w:ascii="宋体" w:hAnsi="宋体" w:eastAsia="宋体" w:cs="宋体"/>
          <w:szCs w:val="24"/>
          <w:shd w:val="clear" w:color="auto" w:fill="FFFFFF"/>
        </w:rPr>
        <w:t>1.采购人信息</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eastAsia="宋体"/>
          <w:lang w:eastAsia="zh-CN"/>
        </w:rPr>
      </w:pPr>
      <w:r>
        <w:rPr>
          <w:rFonts w:hint="eastAsia" w:ascii="宋体" w:hAnsi="宋体" w:eastAsia="宋体" w:cs="宋体"/>
          <w:szCs w:val="24"/>
          <w:shd w:val="clear" w:color="auto" w:fill="FFFFFF"/>
        </w:rPr>
        <w:t xml:space="preserve">名 </w:t>
      </w:r>
      <w:r>
        <w:rPr>
          <w:rFonts w:hint="eastAsia" w:ascii="宋体"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 xml:space="preserve"> 称：</w:t>
      </w:r>
      <w:r>
        <w:rPr>
          <w:rFonts w:hint="eastAsia" w:ascii="宋体" w:hAnsi="宋体" w:eastAsia="宋体" w:cs="宋体"/>
          <w:color w:val="000000"/>
          <w:szCs w:val="24"/>
          <w:lang w:eastAsia="zh-CN"/>
        </w:rPr>
        <w:t>阳新县</w:t>
      </w:r>
      <w:r>
        <w:rPr>
          <w:rFonts w:hint="eastAsia" w:ascii="宋体" w:hAnsi="宋体" w:eastAsia="宋体" w:cs="宋体"/>
          <w:color w:val="000000"/>
          <w:szCs w:val="24"/>
          <w:lang w:val="en-US" w:eastAsia="zh-CN"/>
        </w:rPr>
        <w:t>农业农村局</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default" w:ascii="宋体" w:hAnsi="宋体" w:eastAsia="宋体" w:cs="宋体"/>
          <w:bCs/>
          <w:color w:val="auto"/>
          <w:lang w:val="en-US" w:eastAsia="zh-CN"/>
        </w:rPr>
      </w:pPr>
      <w:r>
        <w:rPr>
          <w:rFonts w:hint="eastAsia" w:ascii="宋体" w:hAnsi="宋体" w:eastAsia="宋体" w:cs="宋体"/>
          <w:szCs w:val="24"/>
          <w:shd w:val="clear" w:color="auto" w:fill="FFFFFF"/>
        </w:rPr>
        <w:t xml:space="preserve">地 </w:t>
      </w:r>
      <w:r>
        <w:rPr>
          <w:rFonts w:hint="eastAsia" w:ascii="宋体"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 xml:space="preserve"> 址：</w:t>
      </w:r>
      <w:r>
        <w:rPr>
          <w:rFonts w:hint="eastAsia" w:ascii="宋体" w:hAnsi="宋体" w:eastAsia="宋体" w:cs="宋体"/>
          <w:bCs/>
          <w:color w:val="auto"/>
          <w:lang w:eastAsia="zh-CN"/>
        </w:rPr>
        <w:t>阳新县兴国</w:t>
      </w:r>
      <w:r>
        <w:rPr>
          <w:rFonts w:hint="eastAsia" w:ascii="宋体" w:hAnsi="宋体" w:eastAsia="宋体" w:cs="宋体"/>
          <w:bCs/>
          <w:color w:val="auto"/>
          <w:lang w:val="en-US" w:eastAsia="zh-CN"/>
        </w:rPr>
        <w:t>镇枫林路40号</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bCs/>
          <w:lang w:val="en-US" w:eastAsia="zh-CN"/>
        </w:rPr>
      </w:pPr>
      <w:r>
        <w:rPr>
          <w:rFonts w:hint="eastAsia" w:ascii="宋体" w:hAnsi="宋体" w:eastAsia="宋体" w:cs="宋体"/>
          <w:bCs/>
          <w:lang w:val="en-US" w:eastAsia="zh-CN"/>
        </w:rPr>
        <w:t>联 系 人：陈志刚</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联系方式：</w:t>
      </w:r>
      <w:r>
        <w:rPr>
          <w:rFonts w:hint="eastAsia" w:ascii="宋体" w:hAnsi="宋体" w:eastAsia="宋体" w:cs="宋体"/>
          <w:szCs w:val="24"/>
          <w:shd w:val="clear" w:color="auto" w:fill="FFFFFF"/>
          <w:lang w:val="en-US" w:eastAsia="zh-CN"/>
        </w:rPr>
        <w:t>13886497425</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pPr>
      <w:r>
        <w:rPr>
          <w:rFonts w:hint="eastAsia" w:ascii="宋体" w:hAnsi="宋体" w:eastAsia="宋体" w:cs="宋体"/>
          <w:szCs w:val="24"/>
          <w:shd w:val="clear" w:color="auto" w:fill="FFFFFF"/>
        </w:rPr>
        <w:t>2.采购代理机构信息</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color w:val="000000"/>
          <w:szCs w:val="24"/>
          <w:lang w:eastAsia="zh-CN"/>
        </w:rPr>
      </w:pPr>
      <w:r>
        <w:rPr>
          <w:rFonts w:hint="eastAsia" w:ascii="宋体" w:hAnsi="宋体" w:eastAsia="宋体" w:cs="宋体"/>
          <w:szCs w:val="24"/>
          <w:shd w:val="clear" w:color="auto" w:fill="FFFFFF"/>
        </w:rPr>
        <w:t xml:space="preserve">名 </w:t>
      </w:r>
      <w:r>
        <w:rPr>
          <w:rFonts w:hint="eastAsia" w:ascii="宋体"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 xml:space="preserve"> 称：</w:t>
      </w:r>
      <w:r>
        <w:rPr>
          <w:rFonts w:hint="eastAsia" w:ascii="宋体" w:hAnsi="宋体" w:eastAsia="宋体" w:cs="宋体"/>
          <w:color w:val="000000"/>
          <w:szCs w:val="24"/>
          <w:lang w:val="en-US" w:eastAsia="zh-CN"/>
        </w:rPr>
        <w:t>湖北兴诚达工程</w:t>
      </w:r>
      <w:r>
        <w:rPr>
          <w:rFonts w:hint="eastAsia" w:ascii="宋体" w:hAnsi="宋体" w:eastAsia="宋体" w:cs="宋体"/>
          <w:color w:val="000000"/>
          <w:szCs w:val="24"/>
          <w:lang w:eastAsia="zh-CN"/>
        </w:rPr>
        <w:t xml:space="preserve">咨询有限公司 </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default" w:ascii="宋体" w:hAnsi="宋体" w:eastAsia="宋体" w:cs="宋体"/>
          <w:color w:val="auto"/>
          <w:szCs w:val="24"/>
          <w:shd w:val="clear" w:color="auto" w:fill="FFFFFF"/>
          <w:lang w:val="en-US" w:eastAsia="zh-CN"/>
        </w:rPr>
      </w:pPr>
      <w:r>
        <w:rPr>
          <w:rFonts w:hint="eastAsia" w:ascii="宋体" w:hAnsi="宋体" w:eastAsia="宋体" w:cs="宋体"/>
          <w:szCs w:val="24"/>
          <w:shd w:val="clear" w:color="auto" w:fill="FFFFFF"/>
        </w:rPr>
        <w:t xml:space="preserve">地 </w:t>
      </w:r>
      <w:r>
        <w:rPr>
          <w:rFonts w:hint="eastAsia" w:ascii="宋体"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 xml:space="preserve"> 址：</w:t>
      </w:r>
      <w:r>
        <w:rPr>
          <w:rFonts w:hint="eastAsia" w:ascii="宋体" w:hAnsi="宋体" w:eastAsia="宋体" w:cs="宋体"/>
          <w:color w:val="auto"/>
          <w:szCs w:val="24"/>
          <w:shd w:val="clear" w:color="auto" w:fill="FFFFFF"/>
          <w:lang w:val="en-US" w:eastAsia="zh-CN"/>
        </w:rPr>
        <w:t>阳新县澜桥世家8号隔壁</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default" w:eastAsia="宋体"/>
          <w:lang w:val="en-US" w:eastAsia="zh-CN"/>
        </w:rPr>
      </w:pPr>
      <w:r>
        <w:rPr>
          <w:rFonts w:hint="eastAsia" w:ascii="宋体" w:hAnsi="宋体" w:eastAsia="宋体" w:cs="宋体"/>
          <w:szCs w:val="24"/>
          <w:shd w:val="clear" w:color="auto" w:fill="FFFFFF"/>
        </w:rPr>
        <w:t>联系方式：</w:t>
      </w:r>
      <w:r>
        <w:rPr>
          <w:rFonts w:hint="eastAsia" w:ascii="宋体" w:hAnsi="宋体" w:eastAsia="宋体" w:cs="宋体"/>
          <w:szCs w:val="24"/>
          <w:shd w:val="clear" w:color="auto" w:fill="FFFFFF"/>
          <w:lang w:val="en-US" w:eastAsia="zh-CN"/>
        </w:rPr>
        <w:t>18972803988</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pPr>
      <w:r>
        <w:rPr>
          <w:rFonts w:hint="eastAsia" w:ascii="宋体" w:hAnsi="宋体" w:eastAsia="宋体" w:cs="宋体"/>
          <w:szCs w:val="24"/>
          <w:shd w:val="clear" w:color="auto" w:fill="FFFFFF"/>
        </w:rPr>
        <w:t>3.项目联系方式</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bCs/>
          <w:color w:val="auto"/>
          <w:szCs w:val="24"/>
          <w:shd w:val="clear" w:color="auto" w:fill="FFFFFF"/>
          <w:lang w:val="en-US" w:eastAsia="zh-CN"/>
        </w:rPr>
      </w:pPr>
      <w:r>
        <w:rPr>
          <w:rFonts w:hint="eastAsia" w:ascii="宋体" w:hAnsi="宋体" w:eastAsia="宋体" w:cs="宋体"/>
          <w:szCs w:val="24"/>
          <w:shd w:val="clear" w:color="auto" w:fill="FFFFFF"/>
        </w:rPr>
        <w:t>项目联系人：</w:t>
      </w:r>
      <w:r>
        <w:rPr>
          <w:rFonts w:hint="eastAsia" w:ascii="宋体" w:hAnsi="宋体" w:eastAsia="宋体" w:cs="宋体"/>
          <w:bCs/>
          <w:color w:val="auto"/>
          <w:szCs w:val="24"/>
          <w:shd w:val="clear" w:color="auto" w:fill="FFFFFF"/>
          <w:lang w:val="en-US" w:eastAsia="zh-CN"/>
        </w:rPr>
        <w:t>汪晶晶</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firstLine="482"/>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电　　话：</w:t>
      </w:r>
      <w:r>
        <w:rPr>
          <w:rFonts w:hint="eastAsia" w:ascii="宋体" w:hAnsi="宋体" w:eastAsia="宋体" w:cs="宋体"/>
          <w:szCs w:val="24"/>
          <w:shd w:val="clear" w:color="auto" w:fill="FFFFFF"/>
          <w:lang w:val="en-US" w:eastAsia="zh-CN"/>
        </w:rPr>
        <w:t>18972803988</w:t>
      </w:r>
    </w:p>
    <w:p>
      <w:pPr>
        <w:pStyle w:val="21"/>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textAlignment w:val="auto"/>
        <w:rPr>
          <w:rFonts w:hint="default" w:ascii="宋体" w:hAnsi="宋体" w:eastAsia="宋体" w:cs="宋体"/>
          <w:szCs w:val="24"/>
          <w:shd w:val="clear" w:color="auto" w:fill="FFFFFF"/>
          <w:lang w:val="en-US" w:eastAsia="zh-CN"/>
        </w:rPr>
      </w:pPr>
    </w:p>
    <w:p>
      <w:pPr>
        <w:spacing w:line="360" w:lineRule="auto"/>
        <w:jc w:val="righ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2022年3月17日</w:t>
      </w:r>
      <w:r>
        <w:rPr>
          <w:rFonts w:hint="eastAsia" w:ascii="黑体" w:hAnsi="黑体" w:eastAsia="黑体"/>
          <w:color w:val="000000" w:themeColor="text1"/>
          <w14:textFill>
            <w14:solidFill>
              <w14:schemeClr w14:val="tx1"/>
            </w14:solidFill>
          </w14:textFill>
        </w:rPr>
        <w:br w:type="page"/>
      </w:r>
    </w:p>
    <w:p>
      <w:pPr>
        <w:pStyle w:val="3"/>
        <w:numPr>
          <w:ilvl w:val="0"/>
          <w:numId w:val="1"/>
        </w:numPr>
        <w:spacing w:before="240" w:after="120"/>
        <w:ind w:left="883" w:hanging="880" w:hangingChars="200"/>
        <w:jc w:val="center"/>
        <w:rPr>
          <w:rFonts w:ascii="黑体" w:hAnsi="黑体" w:eastAsia="黑体"/>
        </w:rPr>
      </w:pPr>
      <w:bookmarkStart w:id="1" w:name="_Toc19187"/>
      <w:bookmarkStart w:id="2" w:name="_Toc22223"/>
      <w:r>
        <w:rPr>
          <w:rFonts w:hint="eastAsia" w:ascii="黑体" w:hAnsi="黑体" w:eastAsia="黑体"/>
        </w:rPr>
        <w:t>投标人须知</w:t>
      </w:r>
      <w:bookmarkEnd w:id="1"/>
      <w:bookmarkEnd w:id="2"/>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3" w:name="_Toc31472"/>
      <w:bookmarkStart w:id="4" w:name="_Toc12951"/>
      <w:bookmarkStart w:id="5" w:name="_Toc494561937"/>
      <w:r>
        <w:rPr>
          <w:rFonts w:cs="Times New Roman" w:asciiTheme="majorEastAsia" w:hAnsiTheme="majorEastAsia" w:eastAsiaTheme="majorEastAsia"/>
          <w:b/>
          <w:bCs/>
          <w:sz w:val="32"/>
          <w:szCs w:val="32"/>
          <w:lang w:val="zh-CN"/>
        </w:rPr>
        <w:t>投标须知前附表</w:t>
      </w:r>
      <w:bookmarkEnd w:id="3"/>
      <w:bookmarkEnd w:id="4"/>
      <w:bookmarkEnd w:id="5"/>
    </w:p>
    <w:tbl>
      <w:tblPr>
        <w:tblStyle w:val="23"/>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sz w:val="24"/>
                <w:szCs w:val="24"/>
                <w:lang w:val="en-US"/>
              </w:rPr>
            </w:pPr>
            <w:r>
              <w:rPr>
                <w:rFonts w:hint="eastAsia" w:ascii="Times New Roman" w:hAnsi="Times New Roman" w:eastAsia="宋体" w:cs="Times New Roman"/>
                <w:color w:val="auto"/>
                <w:sz w:val="24"/>
                <w:szCs w:val="24"/>
                <w:lang w:eastAsia="zh-CN"/>
              </w:rPr>
              <w:t>131-2022CG-</w:t>
            </w:r>
            <w:r>
              <w:rPr>
                <w:rFonts w:hint="eastAsia" w:ascii="Times New Roman" w:hAnsi="Times New Roman" w:eastAsia="宋体" w:cs="Times New Roman"/>
                <w:color w:val="auto"/>
                <w:sz w:val="24"/>
                <w:szCs w:val="24"/>
                <w:lang w:val="en-US" w:eastAsia="zh-CN"/>
              </w:rPr>
              <w:t>032</w:t>
            </w:r>
            <w:bookmarkStart w:id="271" w:name="_GoBack"/>
            <w:bookmarkEnd w:id="271"/>
            <w:r>
              <w:rPr>
                <w:rFonts w:hint="eastAsia" w:ascii="Times New Roman" w:hAnsi="Times New Roman" w:eastAsia="宋体" w:cs="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sz w:val="24"/>
                <w:szCs w:val="24"/>
                <w:lang w:eastAsia="zh-CN"/>
              </w:rPr>
              <w:t>阳新县2022年</w:t>
            </w:r>
            <w:r>
              <w:rPr>
                <w:rFonts w:hint="eastAsia" w:ascii="Times New Roman" w:hAnsi="Times New Roman" w:eastAsia="宋体" w:cs="Times New Roman"/>
                <w:sz w:val="24"/>
                <w:szCs w:val="24"/>
                <w:lang w:val="en-US" w:eastAsia="zh-CN"/>
              </w:rPr>
              <w:t>度茶叶苗木供苗</w:t>
            </w:r>
            <w:r>
              <w:rPr>
                <w:rFonts w:hint="eastAsia" w:ascii="Times New Roman" w:hAnsi="Times New Roman" w:eastAsia="宋体" w:cs="Times New Roman"/>
                <w:sz w:val="24"/>
                <w:szCs w:val="24"/>
                <w:lang w:eastAsia="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eastAsia="zh-CN"/>
              </w:rPr>
            </w:pPr>
            <w:r>
              <w:rPr>
                <w:rFonts w:hint="eastAsia" w:ascii="宋体" w:hAnsi="宋体" w:eastAsia="宋体" w:cs="宋体"/>
                <w:color w:val="0D0D0D"/>
                <w:kern w:val="0"/>
                <w:sz w:val="24"/>
                <w:szCs w:val="24"/>
                <w:lang w:val="en-US" w:eastAsia="zh-CN"/>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bCs/>
                <w:kern w:val="0"/>
                <w:sz w:val="24"/>
                <w:szCs w:val="24"/>
                <w:lang w:eastAsia="zh-CN"/>
              </w:rPr>
              <w:t>阳新县</w:t>
            </w:r>
            <w:r>
              <w:rPr>
                <w:rFonts w:hint="eastAsia" w:ascii="宋体" w:hAnsi="宋体" w:eastAsia="宋体" w:cs="宋体"/>
                <w:bCs/>
                <w:kern w:val="0"/>
                <w:sz w:val="24"/>
                <w:szCs w:val="24"/>
                <w:lang w:val="en-US" w:eastAsia="zh-CN"/>
              </w:rPr>
              <w:t>农业农村局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0D0D0D"/>
                <w:sz w:val="24"/>
                <w:szCs w:val="24"/>
                <w:lang w:val="en-US" w:eastAsia="zh-CN"/>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lang w:val="en-US" w:eastAsia="zh-CN"/>
              </w:rPr>
              <w:t>(电子U盘一份)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w:t>
            </w:r>
            <w:r>
              <w:rPr>
                <w:rFonts w:hint="eastAsia" w:ascii="宋体" w:hAnsi="宋体" w:eastAsia="宋体" w:cs="宋体"/>
                <w:color w:val="auto"/>
                <w:kern w:val="0"/>
                <w:sz w:val="24"/>
                <w:szCs w:val="24"/>
                <w:u w:val="none"/>
              </w:rPr>
              <w:t>起</w:t>
            </w:r>
            <w:r>
              <w:rPr>
                <w:rFonts w:hint="eastAsia" w:ascii="宋体" w:hAnsi="宋体" w:eastAsia="宋体" w:cs="宋体"/>
                <w:color w:val="auto"/>
                <w:kern w:val="0"/>
                <w:sz w:val="24"/>
                <w:szCs w:val="24"/>
                <w:u w:val="none"/>
                <w:lang w:val="en-US" w:eastAsia="zh-CN"/>
              </w:rPr>
              <w:t>90</w:t>
            </w:r>
            <w:r>
              <w:rPr>
                <w:rFonts w:hint="eastAsia" w:ascii="宋体" w:hAnsi="宋体" w:eastAsia="宋体" w:cs="宋体"/>
                <w:color w:val="auto"/>
                <w:kern w:val="0"/>
                <w:sz w:val="24"/>
                <w:szCs w:val="24"/>
                <w:u w:val="none"/>
              </w:rPr>
              <w:t>日</w:t>
            </w:r>
            <w:r>
              <w:rPr>
                <w:rFonts w:hint="eastAsia" w:ascii="宋体" w:hAnsi="宋体" w:eastAsia="宋体" w:cs="宋体"/>
                <w:color w:val="0D0D0D"/>
                <w:kern w:val="0"/>
                <w:sz w:val="24"/>
                <w:szCs w:val="24"/>
              </w:rPr>
              <w:t>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不提交</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不组织</w:t>
            </w:r>
          </w:p>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FF0000"/>
                <w:sz w:val="24"/>
                <w:szCs w:val="24"/>
                <w:lang w:val="en-US" w:eastAsia="zh-CN"/>
              </w:rPr>
            </w:pPr>
            <w:r>
              <w:rPr>
                <w:rFonts w:hint="eastAsia" w:ascii="宋体" w:hAnsi="宋体" w:eastAsia="宋体" w:cs="Times New Roman"/>
                <w:bCs/>
                <w:color w:val="FF0000"/>
                <w:sz w:val="24"/>
                <w:szCs w:val="20"/>
                <w:lang w:val="en-US" w:eastAsia="zh-CN"/>
              </w:rPr>
              <w:t>综合评估法</w:t>
            </w:r>
          </w:p>
          <w:p>
            <w:pPr>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rPr>
              <w:t>详见</w:t>
            </w:r>
            <w:r>
              <w:rPr>
                <w:rFonts w:hint="eastAsia" w:ascii="Times New Roman" w:hAnsi="Times New Roman" w:eastAsia="宋体" w:cs="Times New Roman"/>
                <w:color w:val="auto"/>
                <w:sz w:val="24"/>
                <w:szCs w:val="24"/>
                <w:highlight w:val="none"/>
              </w:rPr>
              <w:t>第五章</w:t>
            </w:r>
            <w:r>
              <w:rPr>
                <w:rFonts w:hint="eastAsia" w:ascii="Times New Roman" w:hAnsi="Times New Roman" w:eastAsia="宋体" w:cs="Times New Roman"/>
                <w:color w:val="auto"/>
                <w:sz w:val="24"/>
                <w:szCs w:val="24"/>
              </w:rPr>
              <w:t>“评标方法、程序及标准”要求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是否</w:t>
            </w:r>
            <w:r>
              <w:rPr>
                <w:rFonts w:hint="eastAsia" w:ascii="Times New Roman" w:hAnsi="Times New Roman" w:eastAsia="宋体" w:cs="Times New Roman"/>
                <w:color w:val="auto"/>
                <w:sz w:val="24"/>
                <w:szCs w:val="24"/>
              </w:rPr>
              <w:t>专门面向</w:t>
            </w:r>
            <w:r>
              <w:rPr>
                <w:rFonts w:hint="eastAsia" w:ascii="Times New Roman" w:hAnsi="Times New Roman" w:eastAsia="宋体" w:cs="Times New Roman"/>
                <w:color w:val="auto"/>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多标段投标</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各投标人只能就本招标项目（1包、2包）上述标段中的一个标段进行报名投标，否则作废标处理。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rPr>
          <w:rFonts w:ascii="宋体" w:hAnsi="宋体"/>
          <w:color w:val="000000" w:themeColor="text1"/>
          <w14:textFill>
            <w14:solidFill>
              <w14:schemeClr w14:val="tx1"/>
            </w14:solidFill>
          </w14:textFill>
        </w:rPr>
      </w:pPr>
    </w:p>
    <w:p>
      <w:pPr>
        <w:spacing w:line="360" w:lineRule="auto"/>
        <w:ind w:firstLine="240" w:firstLineChars="100"/>
        <w:rPr>
          <w:rFonts w:ascii="宋体" w:hAnsi="宋体"/>
          <w:color w:val="000000" w:themeColor="text1"/>
          <w:sz w:val="24"/>
          <w:szCs w:val="24"/>
          <w14:textFill>
            <w14:solidFill>
              <w14:schemeClr w14:val="tx1"/>
            </w14:solidFill>
          </w14:textFill>
        </w:rPr>
      </w:pPr>
    </w:p>
    <w:p>
      <w:pPr>
        <w:rPr>
          <w:rFonts w:cs="Times New Roman" w:asciiTheme="majorEastAsia" w:hAnsiTheme="majorEastAsia"/>
          <w:color w:val="000000" w:themeColor="text1"/>
          <w:lang w:val="zh-CN"/>
          <w14:textFill>
            <w14:solidFill>
              <w14:schemeClr w14:val="tx1"/>
            </w14:solidFill>
          </w14:textFill>
        </w:rPr>
      </w:pPr>
      <w:bookmarkStart w:id="6" w:name="_Toc494561938"/>
      <w:r>
        <w:rPr>
          <w:rFonts w:hint="eastAsia" w:cs="Times New Roman" w:asciiTheme="majorEastAsia" w:hAnsiTheme="majorEastAsia"/>
          <w:color w:val="000000" w:themeColor="text1"/>
          <w:lang w:val="zh-CN"/>
          <w14:textFill>
            <w14:solidFill>
              <w14:schemeClr w14:val="tx1"/>
            </w14:solidFill>
          </w14:textFill>
        </w:rPr>
        <w:br w:type="page"/>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7" w:name="_Toc18451"/>
      <w:r>
        <w:rPr>
          <w:rFonts w:hint="eastAsia" w:cs="Times New Roman" w:asciiTheme="majorEastAsia" w:hAnsiTheme="majorEastAsia"/>
          <w:bCs w:val="0"/>
          <w:color w:val="000000" w:themeColor="text1"/>
          <w:lang w:val="zh-CN"/>
          <w14:textFill>
            <w14:solidFill>
              <w14:schemeClr w14:val="tx1"/>
            </w14:solidFill>
          </w14:textFill>
        </w:rPr>
        <w:t>说  明</w:t>
      </w:r>
      <w:bookmarkEnd w:id="6"/>
      <w:bookmarkEnd w:id="7"/>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适用范围</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当事人定义</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“采购人”是指：</w:t>
      </w:r>
      <w:r>
        <w:rPr>
          <w:rFonts w:hint="eastAsia" w:cs="Times New Roman" w:asciiTheme="minorEastAsia" w:hAnsiTheme="minorEastAsia"/>
          <w:color w:val="000000" w:themeColor="text1"/>
          <w:sz w:val="24"/>
          <w:szCs w:val="24"/>
          <w:lang w:val="zh-CN"/>
          <w14:textFill>
            <w14:solidFill>
              <w14:schemeClr w14:val="tx1"/>
            </w14:solidFill>
          </w14:textFill>
        </w:rPr>
        <w:t>详见第一章“投标邀请书”。</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“监管部门”是指：</w:t>
      </w:r>
      <w:r>
        <w:rPr>
          <w:rFonts w:hint="eastAsia" w:cs="Times New Roman" w:asciiTheme="minorEastAsia" w:hAnsiTheme="minorEastAsia"/>
          <w:color w:val="000000" w:themeColor="text1"/>
          <w:sz w:val="24"/>
          <w:szCs w:val="24"/>
          <w:lang w:val="zh-CN"/>
          <w14:textFill>
            <w14:solidFill>
              <w14:schemeClr w14:val="tx1"/>
            </w14:solidFill>
          </w14:textFill>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“采购代理机构”是指：</w:t>
      </w:r>
      <w:r>
        <w:rPr>
          <w:rFonts w:hint="eastAsia" w:cs="Times New Roman" w:asciiTheme="minorEastAsia" w:hAnsiTheme="minorEastAsia"/>
          <w:color w:val="000000" w:themeColor="text1"/>
          <w:sz w:val="24"/>
          <w:szCs w:val="24"/>
          <w:u w:val="none"/>
          <w:lang w:val="en-US" w:eastAsia="zh-CN"/>
          <w14:textFill>
            <w14:solidFill>
              <w14:schemeClr w14:val="tx1"/>
            </w14:solidFill>
          </w14:textFill>
        </w:rPr>
        <w:t>湖北兴诚达工程咨询</w:t>
      </w:r>
      <w:r>
        <w:rPr>
          <w:rFonts w:hint="eastAsia" w:cs="Times New Roman" w:asciiTheme="minorEastAsia" w:hAnsiTheme="minorEastAsia"/>
          <w:color w:val="000000" w:themeColor="text1"/>
          <w:sz w:val="24"/>
          <w:szCs w:val="24"/>
          <w:u w:val="none"/>
          <w:lang w:val="zh-CN"/>
          <w14:textFill>
            <w14:solidFill>
              <w14:schemeClr w14:val="tx1"/>
            </w14:solidFill>
          </w14:textFill>
        </w:rPr>
        <w:t>有限公司</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“投标人”是指：</w:t>
      </w:r>
      <w:r>
        <w:rPr>
          <w:rFonts w:cs="Helvetica" w:asciiTheme="minorEastAsia" w:hAnsiTheme="minorEastAsi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6"/>
        </w:numPr>
        <w:spacing w:line="360" w:lineRule="auto"/>
        <w:ind w:left="476" w:hanging="47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“合格的投标人”是指：</w:t>
      </w:r>
      <w:r>
        <w:rPr>
          <w:rFonts w:hint="eastAsia" w:cs="Helvetica" w:asciiTheme="minorEastAsia" w:hAnsiTheme="minorEastAsia"/>
          <w:color w:val="000000" w:themeColor="text1"/>
          <w:kern w:val="0"/>
          <w:sz w:val="24"/>
          <w:szCs w:val="24"/>
          <w:lang w:val="zh-CN"/>
          <w14:textFill>
            <w14:solidFill>
              <w14:schemeClr w14:val="tx1"/>
            </w14:solidFill>
          </w14:textFill>
        </w:rPr>
        <w:t>资格审查和符合性审查合格的投标人。</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“中标人”是指：</w:t>
      </w:r>
      <w:r>
        <w:rPr>
          <w:rFonts w:hint="eastAsia" w:cs="Times New Roman" w:asciiTheme="minorEastAsia" w:hAnsiTheme="minorEastAsia"/>
          <w:color w:val="000000" w:themeColor="text1"/>
          <w:sz w:val="24"/>
          <w:szCs w:val="24"/>
          <w:lang w:val="zh-CN"/>
          <w14:textFill>
            <w14:solidFill>
              <w14:schemeClr w14:val="tx1"/>
            </w14:solidFill>
          </w14:textFill>
        </w:rPr>
        <w:t>经评标委员会评审，授予合同的投标人。</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项目属性及定义</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“货物”是指</w:t>
      </w:r>
      <w:r>
        <w:rPr>
          <w:rFonts w:hint="eastAsia" w:cs="Times New Roman" w:asciiTheme="minorEastAsia" w:hAnsiTheme="minorEastAsia"/>
          <w:color w:val="000000" w:themeColor="text1"/>
          <w:sz w:val="24"/>
          <w:szCs w:val="24"/>
          <w:lang w:val="zh-CN"/>
          <w14:textFill>
            <w14:solidFill>
              <w14:schemeClr w14:val="tx1"/>
            </w14:solidFill>
          </w14:textFill>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“工程”是指</w:t>
      </w:r>
      <w:r>
        <w:rPr>
          <w:rFonts w:hint="eastAsia" w:cs="Times New Roman" w:asciiTheme="minorEastAsia" w:hAnsiTheme="minorEastAsia"/>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“服务”是指：</w:t>
      </w:r>
      <w:r>
        <w:rPr>
          <w:rFonts w:hint="eastAsia" w:cs="Times New Roman" w:asciiTheme="minorEastAsia" w:hAnsiTheme="minorEastAsia"/>
          <w:color w:val="000000" w:themeColor="text1"/>
          <w:sz w:val="24"/>
          <w:szCs w:val="24"/>
          <w:lang w:val="zh-CN"/>
          <w14:textFill>
            <w14:solidFill>
              <w14:schemeClr w14:val="tx1"/>
            </w14:solidFill>
          </w14:textFill>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采购人应当按照财政部制定的《政府采购品目分类目录》确定采购项目属性</w:t>
      </w:r>
      <w:r>
        <w:rPr>
          <w:rFonts w:hint="eastAsia" w:cs="Times New Roman" w:asciiTheme="minorEastAsia" w:hAnsiTheme="minorEastAsia"/>
          <w:color w:val="000000" w:themeColor="text1"/>
          <w:sz w:val="24"/>
          <w:szCs w:val="24"/>
          <w:lang w:val="zh-CN"/>
          <w14:textFill>
            <w14:solidFill>
              <w14:schemeClr w14:val="tx1"/>
            </w14:solidFill>
          </w14:textFill>
        </w:rPr>
        <w:t>。</w:t>
      </w:r>
      <w:r>
        <w:rPr>
          <w:rFonts w:cs="Times New Roman" w:asciiTheme="minorEastAsia" w:hAnsiTheme="minorEastAsia"/>
          <w:color w:val="000000" w:themeColor="text1"/>
          <w:sz w:val="24"/>
          <w:szCs w:val="24"/>
          <w:lang w:val="zh-CN"/>
          <w14:textFill>
            <w14:solidFill>
              <w14:schemeClr w14:val="tx1"/>
            </w14:solidFill>
          </w14:textFill>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投标费用</w:t>
      </w:r>
    </w:p>
    <w:p>
      <w:pPr>
        <w:numPr>
          <w:ilvl w:val="0"/>
          <w:numId w:val="9"/>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53"/>
        <w:numPr>
          <w:ilvl w:val="0"/>
          <w:numId w:val="9"/>
        </w:numPr>
        <w:adjustRightInd w:val="0"/>
        <w:snapToGrid w:val="0"/>
        <w:spacing w:line="360" w:lineRule="auto"/>
        <w:ind w:firstLineChars="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spacing w:line="360" w:lineRule="auto"/>
        <w:ind w:firstLine="480" w:firstLineChars="20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经过采购代理机构与采购人协议，规定由中标单位支付。</w:t>
      </w:r>
      <w:r>
        <w:rPr>
          <w:rFonts w:hint="eastAsia" w:ascii="宋体" w:hAnsi="宋体" w:eastAsia="宋体" w:cs="宋体"/>
          <w:b/>
          <w:bCs/>
          <w:color w:val="000000" w:themeColor="text1"/>
          <w:sz w:val="24"/>
          <w:szCs w:val="24"/>
          <w:lang w:val="zh-CN"/>
          <w14:textFill>
            <w14:solidFill>
              <w14:schemeClr w14:val="tx1"/>
            </w14:solidFill>
          </w14:textFill>
        </w:rPr>
        <w:t>采购</w:t>
      </w:r>
      <w:r>
        <w:rPr>
          <w:rFonts w:hint="eastAsia" w:ascii="宋体" w:hAnsi="宋体" w:eastAsia="宋体" w:cs="宋体"/>
          <w:b/>
          <w:color w:val="000000" w:themeColor="text1"/>
          <w:sz w:val="24"/>
          <w:szCs w:val="24"/>
          <w:lang w:val="zh-CN"/>
          <w14:textFill>
            <w14:solidFill>
              <w14:schemeClr w14:val="tx1"/>
            </w14:solidFill>
          </w14:textFill>
        </w:rPr>
        <w:t>代理服务费收费标准如下：</w:t>
      </w:r>
    </w:p>
    <w:p>
      <w:pPr>
        <w:pStyle w:val="53"/>
        <w:spacing w:line="360" w:lineRule="auto"/>
        <w:ind w:left="420" w:firstLine="0" w:firstLineChars="0"/>
        <w:rPr>
          <w:rFonts w:ascii="宋体" w:hAnsi="宋体"/>
          <w:color w:val="000000" w:themeColor="text1"/>
          <w:sz w:val="24"/>
          <w:szCs w:val="24"/>
          <w14:textFill>
            <w14:solidFill>
              <w14:schemeClr w14:val="tx1"/>
            </w14:solidFill>
          </w14:textFill>
        </w:rPr>
      </w:pPr>
    </w:p>
    <w:tbl>
      <w:tblPr>
        <w:tblStyle w:val="23"/>
        <w:tblW w:w="857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985"/>
        <w:gridCol w:w="198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ind w:firstLine="873" w:firstLineChars="416"/>
              <w:rPr>
                <w:rFonts w:ascii="宋体" w:hAnsi="宋体" w:eastAsia="宋体" w:cs="宋体"/>
                <w:color w:val="000000" w:themeColor="text1"/>
                <w:sz w:val="24"/>
                <w:szCs w:val="24"/>
                <w14:textFill>
                  <w14:solidFill>
                    <w14:schemeClr w14:val="tx1"/>
                  </w14:solidFill>
                </w14:textFill>
              </w:rPr>
            </w:pPr>
            <w:r>
              <w:rPr>
                <w:rFonts w:ascii="Times New Roman" w:hAnsi="Times New Roman" w:eastAsia="宋体" w:cs="黑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3" name="直接连接符 3"/>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EZzrNEAAAAJAQAADwAAAAAAAAABACAAAAAiAAAAZHJzL2Rvd25y&#10;ZXYueG1sUEsBAhQAFAAAAAgAh07iQILz98YFAgAA/wMAAA4AAAAAAAAAAQAgAAAAIAEAAGRycy9l&#10;Mm9Eb2MueG1sUEsFBgAAAAAGAAYAWQEAAJcFAAAAAA==&#10;">
                      <v:fill on="f" focussize="0,0"/>
                      <v:stroke color="#000000" joinstyle="round"/>
                      <v:imagedata o:title=""/>
                      <o:lock v:ext="edit" aspectratio="f"/>
                    </v:line>
                  </w:pict>
                </mc:Fallback>
              </mc:AlternateContent>
            </w:r>
            <w:r>
              <w:rPr>
                <w:rFonts w:ascii="Times New Roman" w:hAnsi="Times New Roman" w:eastAsia="宋体" w:cs="黑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4" name="直接连接符 4"/>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LgKG1QAAAAgBAAAPAAAAAAAAAAEAIAAAACIAAABkcnMvZG93bnJl&#10;di54bWxQSwECFAAUAAAACACHTuJA9Px/6gACAAD/AwAADgAAAAAAAAABACAAAAAkAQAAZHJzL2Uy&#10;b0RvYy54bWxQSwUGAAAAAAYABgBZAQAAlgUAAAAA&#10;">
                      <v:fill on="f" focussize="0,0"/>
                      <v:stroke color="#000000" joinstyle="round"/>
                      <v:imagedata o:title=""/>
                      <o:lock v:ext="edit" aspectratio="f"/>
                    </v:line>
                  </w:pict>
                </mc:Fallback>
              </mc:AlternateContent>
            </w:r>
            <w:r>
              <w:rPr>
                <w:rFonts w:ascii="Times New Roman" w:hAnsi="Times New Roman" w:eastAsia="宋体" w:cs="黑体"/>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AvhuTo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14:textFill>
                  <w14:solidFill>
                    <w14:schemeClr w14:val="tx1"/>
                  </w14:solidFill>
                </w14:textFill>
              </w:rPr>
              <w:t>招标类型　　　</w:t>
            </w:r>
          </w:p>
          <w:p>
            <w:pPr>
              <w:spacing w:line="360" w:lineRule="auto"/>
              <w:ind w:firstLine="998" w:firstLineChars="41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1504" w:firstLineChars="627"/>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费率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金额（万元）</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货物招标</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服务招标</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100以下</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100-500</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0.8%</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500-1000</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0.8%</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0.45%</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1000-5000</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0.25%</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5000-1亿</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0.25%</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w:t>
            </w:r>
          </w:p>
        </w:tc>
      </w:tr>
    </w:tbl>
    <w:p>
      <w:pPr>
        <w:pStyle w:val="53"/>
        <w:spacing w:line="360" w:lineRule="auto"/>
        <w:ind w:left="420" w:firstLine="0" w:firstLineChars="0"/>
        <w:rPr>
          <w:rFonts w:ascii="宋体" w:hAnsi="宋体"/>
          <w:color w:val="000000" w:themeColor="text1"/>
          <w:sz w:val="24"/>
          <w:szCs w:val="24"/>
          <w14:textFill>
            <w14:solidFill>
              <w14:schemeClr w14:val="tx1"/>
            </w14:solidFill>
          </w14:textFill>
        </w:rPr>
      </w:pP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8" w:name="_Toc24530"/>
      <w:bookmarkStart w:id="9" w:name="_Toc494561939"/>
      <w:bookmarkStart w:id="10" w:name="_Toc272247695"/>
      <w:bookmarkStart w:id="11" w:name="_Toc278891592"/>
      <w:r>
        <w:rPr>
          <w:rFonts w:hint="eastAsia" w:cs="Times New Roman" w:asciiTheme="majorEastAsia" w:hAnsiTheme="majorEastAsia"/>
          <w:bCs w:val="0"/>
          <w:color w:val="000000" w:themeColor="text1"/>
          <w:lang w:val="zh-CN"/>
          <w14:textFill>
            <w14:solidFill>
              <w14:schemeClr w14:val="tx1"/>
            </w14:solidFill>
          </w14:textFill>
        </w:rPr>
        <w:t>招标文件</w:t>
      </w:r>
      <w:bookmarkEnd w:id="8"/>
      <w:bookmarkEnd w:id="9"/>
      <w:bookmarkEnd w:id="10"/>
      <w:bookmarkEnd w:id="11"/>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第一章 投标邀请书</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第二章 投标人须知</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其 他  在招标过程中由集中采购机构发出的修正和补充文件等</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招标文件疑问的提交</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潜在投标人对招标文件有疑问的，可以向采购代理机构提出询问，或在6.2规定的时间前以书面的形式向采购代理机构提交疑问函。</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潜在投标人在项目招标公告期限届满之日起7个工作日内未对招标文件提出疑问的，采购代理机构将视其认同招标文件，在规定的时间后就招标文件内容提出的疑问将不予受理。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招标文件的澄清、修改</w:t>
      </w:r>
    </w:p>
    <w:p>
      <w:pPr>
        <w:numPr>
          <w:ilvl w:val="0"/>
          <w:numId w:val="11"/>
        </w:numPr>
        <w:spacing w:line="360" w:lineRule="auto"/>
        <w:ind w:left="476" w:hanging="47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采购代理机构和采购人可以对已发出的招标文件进行必要的澄清或者修改。</w:t>
      </w:r>
      <w:r>
        <w:rPr>
          <w:rFonts w:hint="eastAsia" w:ascii="Helvetica" w:hAnsi="Helvetica" w:eastAsia="宋体"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Helvetica" w:hAnsi="Helvetica" w:eastAsia="宋体" w:cs="Helvetica"/>
          <w:color w:val="000000" w:themeColor="text1"/>
          <w:kern w:val="0"/>
          <w:sz w:val="24"/>
          <w:szCs w:val="24"/>
          <w:lang w:val="zh-CN"/>
          <w14:textFill>
            <w14:solidFill>
              <w14:schemeClr w14:val="tx1"/>
            </w14:solidFill>
          </w14:textFill>
        </w:rPr>
        <w:t>和采购人将在投标截止时间至少</w:t>
      </w:r>
      <w:r>
        <w:rPr>
          <w:rFonts w:hint="eastAsia" w:ascii="宋体" w:hAnsi="宋体" w:eastAsia="宋体" w:cs="Times New Roman"/>
          <w:color w:val="000000" w:themeColor="text1"/>
          <w:sz w:val="24"/>
          <w:szCs w:val="20"/>
          <w:lang w:val="zh-CN"/>
          <w14:textFill>
            <w14:solidFill>
              <w14:schemeClr w14:val="tx1"/>
            </w14:solidFill>
          </w14:textFill>
        </w:rPr>
        <w:t>15</w:t>
      </w:r>
      <w:r>
        <w:rPr>
          <w:rFonts w:hint="eastAsia" w:ascii="Helvetica" w:hAnsi="Helvetica" w:eastAsia="宋体" w:cs="Helvetica"/>
          <w:color w:val="000000" w:themeColor="text1"/>
          <w:kern w:val="0"/>
          <w:sz w:val="24"/>
          <w:szCs w:val="24"/>
          <w:lang w:val="zh-CN"/>
          <w14:textFill>
            <w14:solidFill>
              <w14:schemeClr w14:val="tx1"/>
            </w14:solidFill>
          </w14:textFill>
        </w:rPr>
        <w:t>日前，以书面</w:t>
      </w:r>
      <w:r>
        <w:rPr>
          <w:rFonts w:hint="eastAsia" w:ascii="宋体" w:hAnsi="宋体" w:eastAsia="宋体" w:cs="Times New Roman"/>
          <w:color w:val="000000" w:themeColor="text1"/>
          <w:sz w:val="24"/>
          <w:szCs w:val="20"/>
          <w:lang w:val="zh-CN"/>
          <w14:textFill>
            <w14:solidFill>
              <w14:schemeClr w14:val="tx1"/>
            </w14:solidFill>
          </w14:textFill>
        </w:rPr>
        <w:t>（或网上公告）</w:t>
      </w:r>
      <w:r>
        <w:rPr>
          <w:rFonts w:hint="eastAsia" w:ascii="Helvetica" w:hAnsi="Helvetica" w:eastAsia="宋体"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现场考察</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2" w:name="_Toc22514"/>
      <w:bookmarkStart w:id="13" w:name="_Toc494561940"/>
      <w:bookmarkStart w:id="14" w:name="_Toc272247696"/>
      <w:bookmarkStart w:id="15" w:name="_Toc278891593"/>
      <w:r>
        <w:rPr>
          <w:rFonts w:hint="eastAsia" w:cs="Times New Roman" w:asciiTheme="majorEastAsia" w:hAnsiTheme="majorEastAsia"/>
          <w:bCs w:val="0"/>
          <w:color w:val="000000" w:themeColor="text1"/>
          <w:lang w:val="zh-CN"/>
          <w14:textFill>
            <w14:solidFill>
              <w14:schemeClr w14:val="tx1"/>
            </w14:solidFill>
          </w14:textFill>
        </w:rPr>
        <w:t>投标文件</w:t>
      </w:r>
      <w:bookmarkEnd w:id="12"/>
      <w:bookmarkEnd w:id="13"/>
      <w:bookmarkEnd w:id="14"/>
      <w:bookmarkEnd w:id="15"/>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投标的语言</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投标人提交的投标文件以及投标人与</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Times New Roman" w:asciiTheme="minorEastAsia" w:hAnsiTheme="minorEastAsia"/>
          <w:color w:val="000000" w:themeColor="text1"/>
          <w:sz w:val="24"/>
          <w:szCs w:val="24"/>
          <w:lang w:val="zh-CN"/>
          <w14:textFill>
            <w14:solidFill>
              <w14:schemeClr w14:val="tx1"/>
            </w14:solidFill>
          </w14:textFill>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第一部分  资格证明文件（详见第七章“投标文件格式”中资格证明文件组成）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第二部分  商务文件（详见第七章“投标文件格式”中商务文件组成）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投标文件编制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投标文件用纸应统一为A4规格（图纸除外）。</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000000" w:themeColor="text1"/>
          <w:sz w:val="24"/>
          <w:szCs w:val="20"/>
          <w:lang w:val="zh-CN"/>
          <w14:textFill>
            <w14:solidFill>
              <w14:schemeClr w14:val="tx1"/>
            </w14:solidFill>
          </w14:textFill>
        </w:rPr>
        <w:t>各部分文件及内容详见第七章“投标文件格式”要求。</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w:t>
      </w:r>
      <w:r>
        <w:rPr>
          <w:rFonts w:hint="eastAsia" w:cs="Times New Roman" w:asciiTheme="minorEastAsia" w:hAnsiTheme="minorEastAsia"/>
          <w:b/>
          <w:color w:val="000000" w:themeColor="text1"/>
          <w:sz w:val="24"/>
          <w:szCs w:val="24"/>
          <w14:textFill>
            <w14:solidFill>
              <w14:schemeClr w14:val="tx1"/>
            </w14:solidFill>
          </w14:textFill>
        </w:rPr>
        <w:t>1份</w:t>
      </w:r>
      <w:r>
        <w:rPr>
          <w:rFonts w:hint="eastAsia" w:cs="Times New Roman" w:asciiTheme="minorEastAsia" w:hAnsiTheme="minorEastAsia"/>
          <w:b/>
          <w:color w:val="000000" w:themeColor="text1"/>
          <w:sz w:val="24"/>
          <w:szCs w:val="24"/>
          <w:lang w:val="zh-CN"/>
          <w14:textFill>
            <w14:solidFill>
              <w14:schemeClr w14:val="tx1"/>
            </w14:solidFill>
          </w14:textFill>
        </w:rPr>
        <w:t>、"副本"</w:t>
      </w:r>
      <w:r>
        <w:rPr>
          <w:rFonts w:hint="eastAsia" w:cs="Times New Roman" w:asciiTheme="minorEastAsia" w:hAnsiTheme="minorEastAsia"/>
          <w:b/>
          <w:color w:val="000000" w:themeColor="text1"/>
          <w:sz w:val="24"/>
          <w:szCs w:val="24"/>
          <w14:textFill>
            <w14:solidFill>
              <w14:schemeClr w14:val="tx1"/>
            </w14:solidFill>
          </w14:textFill>
        </w:rPr>
        <w:t>6份</w:t>
      </w:r>
      <w:r>
        <w:rPr>
          <w:rFonts w:hint="eastAsia" w:cs="Times New Roman" w:asciiTheme="minorEastAsia" w:hAnsiTheme="minorEastAsia"/>
          <w:b/>
          <w:color w:val="000000" w:themeColor="text1"/>
          <w:sz w:val="24"/>
          <w:szCs w:val="24"/>
          <w:lang w:val="zh-CN"/>
          <w14:textFill>
            <w14:solidFill>
              <w14:schemeClr w14:val="tx1"/>
            </w14:solidFill>
          </w14:textFill>
        </w:rPr>
        <w:t>字样。未单独提交或单独提交的上述资料未按照招标文件规定的要求填写完整并签字、盖章的</w:t>
      </w:r>
      <w:r>
        <w:rPr>
          <w:rFonts w:hint="eastAsia" w:cs="Times New Roman" w:asciiTheme="minorEastAsia" w:hAnsiTheme="minorEastAsia"/>
          <w:b/>
          <w:color w:val="000000" w:themeColor="text1"/>
          <w:sz w:val="24"/>
          <w:szCs w:val="24"/>
          <w14:textFill>
            <w14:solidFill>
              <w14:schemeClr w14:val="tx1"/>
            </w14:solidFill>
          </w14:textFill>
        </w:rPr>
        <w:t>,</w:t>
      </w:r>
      <w:r>
        <w:rPr>
          <w:rFonts w:hint="eastAsia" w:cs="Times New Roman" w:asciiTheme="minorEastAsia" w:hAnsiTheme="minorEastAsia"/>
          <w:b/>
          <w:color w:val="000000" w:themeColor="text1"/>
          <w:sz w:val="24"/>
          <w:szCs w:val="24"/>
          <w:lang w:val="zh-CN"/>
          <w14:textFill>
            <w14:solidFill>
              <w14:schemeClr w14:val="tx1"/>
            </w14:solidFill>
          </w14:textFill>
        </w:rPr>
        <w:t>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投标报价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投标人所提供的货物（工程或服务）均以人民币计价。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《投标报价明细表》填写时应响应下列要求：</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应详细提供《投标报价明细表》和《投标货物、服务清单》等内容，否则按照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每一种规格的货物（工程或服务）只允许有一个报价，否则按照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备选方案</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中标后分包</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招标文件规定</w:t>
      </w:r>
      <w:r>
        <w:rPr>
          <w:rFonts w:hint="eastAsia" w:cs="Times New Roman" w:asciiTheme="minorEastAsia" w:hAnsiTheme="minorEastAsia"/>
          <w:color w:val="000000" w:themeColor="text1"/>
          <w:sz w:val="24"/>
          <w:szCs w:val="24"/>
          <w:lang w:val="zh-CN"/>
          <w14:textFill>
            <w14:solidFill>
              <w14:schemeClr w14:val="tx1"/>
            </w14:solidFill>
          </w14:textFill>
        </w:rPr>
        <w:t>项目非主体、非关键性工作中标后可以分包</w:t>
      </w:r>
      <w:r>
        <w:rPr>
          <w:rFonts w:cs="Times New Roman" w:asciiTheme="minorEastAsia" w:hAnsiTheme="minorEastAsia"/>
          <w:color w:val="000000" w:themeColor="text1"/>
          <w:sz w:val="24"/>
          <w:szCs w:val="24"/>
          <w:lang w:val="zh-CN"/>
          <w14:textFill>
            <w14:solidFill>
              <w14:schemeClr w14:val="tx1"/>
            </w14:solidFill>
          </w14:textFill>
        </w:rPr>
        <w:t>的，投标人拟在中标后将项目的非主体、非关键性工作分包，应当在投标文件中载明</w:t>
      </w:r>
      <w:r>
        <w:rPr>
          <w:rFonts w:hint="eastAsia" w:cs="Times New Roman" w:asciiTheme="minorEastAsia" w:hAnsiTheme="minorEastAsia"/>
          <w:color w:val="000000" w:themeColor="text1"/>
          <w:sz w:val="24"/>
          <w:szCs w:val="24"/>
          <w:lang w:val="zh-CN"/>
          <w14:textFill>
            <w14:solidFill>
              <w14:schemeClr w14:val="tx1"/>
            </w14:solidFill>
          </w14:textFill>
        </w:rPr>
        <w:t>具备相应资质条件的</w:t>
      </w:r>
      <w:r>
        <w:rPr>
          <w:rFonts w:cs="Times New Roman" w:asciiTheme="minorEastAsia" w:hAnsiTheme="minorEastAsia"/>
          <w:color w:val="000000" w:themeColor="text1"/>
          <w:sz w:val="24"/>
          <w:szCs w:val="24"/>
          <w:lang w:val="zh-CN"/>
          <w14:textFill>
            <w14:solidFill>
              <w14:schemeClr w14:val="tx1"/>
            </w14:solidFill>
          </w14:textFill>
        </w:rPr>
        <w:t>分包承担主体，分包承担主体不得再次分包。</w:t>
      </w:r>
      <w:r>
        <w:rPr>
          <w:rFonts w:hint="eastAsia" w:cs="Times New Roman" w:asciiTheme="minorEastAsia" w:hAnsiTheme="minorEastAsia"/>
          <w:color w:val="000000" w:themeColor="text1"/>
          <w:sz w:val="24"/>
          <w:szCs w:val="24"/>
          <w:lang w:val="zh-CN"/>
          <w14:textFill>
            <w14:solidFill>
              <w14:schemeClr w14:val="tx1"/>
            </w14:solidFill>
          </w14:textFill>
        </w:rPr>
        <w:t>否则中标后不允许分包。</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联合体投标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联合体中标的，联合体各方应当共同与采购人签订采购合同，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cs="Times New Roman" w:asciiTheme="minorEastAsia" w:hAnsiTheme="minorEastAsia"/>
          <w:color w:val="000000" w:themeColor="text1"/>
          <w:sz w:val="24"/>
          <w:szCs w:val="24"/>
          <w:lang w:val="zh-CN"/>
          <w14:textFill>
            <w14:solidFill>
              <w14:schemeClr w14:val="tx1"/>
            </w14:solidFill>
          </w14:textFill>
        </w:rPr>
        <w:t>联合体主体单位负主要责任。</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招标文件第一章“投标人资格要求”中</w:t>
      </w:r>
      <w:r>
        <w:rPr>
          <w:rFonts w:cs="Times New Roman" w:asciiTheme="minorEastAsia" w:hAnsiTheme="minorEastAsia"/>
          <w:color w:val="000000" w:themeColor="text1"/>
          <w:sz w:val="24"/>
          <w:szCs w:val="24"/>
          <w:lang w:val="zh-CN"/>
          <w14:textFill>
            <w14:solidFill>
              <w14:schemeClr w14:val="tx1"/>
            </w14:solidFill>
          </w14:textFill>
        </w:rPr>
        <w:t>未载明</w:t>
      </w:r>
      <w:r>
        <w:rPr>
          <w:rFonts w:hint="eastAsia" w:cs="Times New Roman" w:asciiTheme="minorEastAsia" w:hAnsiTheme="minorEastAsia"/>
          <w:color w:val="000000" w:themeColor="text1"/>
          <w:sz w:val="24"/>
          <w:szCs w:val="24"/>
          <w:lang w:val="zh-CN"/>
          <w14:textFill>
            <w14:solidFill>
              <w14:schemeClr w14:val="tx1"/>
            </w14:solidFill>
          </w14:textFill>
        </w:rPr>
        <w:t>是否接受联合体投标的</w:t>
      </w:r>
      <w:r>
        <w:rPr>
          <w:rFonts w:cs="Times New Roman" w:asciiTheme="minorEastAsia" w:hAnsiTheme="minorEastAsia"/>
          <w:color w:val="000000" w:themeColor="text1"/>
          <w:sz w:val="24"/>
          <w:szCs w:val="24"/>
          <w:lang w:val="zh-CN"/>
          <w14:textFill>
            <w14:solidFill>
              <w14:schemeClr w14:val="tx1"/>
            </w14:solidFill>
          </w14:textFill>
        </w:rPr>
        <w:t>，</w:t>
      </w:r>
      <w:r>
        <w:rPr>
          <w:rFonts w:hint="eastAsia" w:cs="Times New Roman" w:asciiTheme="minorEastAsia" w:hAnsiTheme="minorEastAsia"/>
          <w:color w:val="000000" w:themeColor="text1"/>
          <w:sz w:val="24"/>
          <w:szCs w:val="24"/>
          <w:lang w:val="zh-CN"/>
          <w14:textFill>
            <w14:solidFill>
              <w14:schemeClr w14:val="tx1"/>
            </w14:solidFill>
          </w14:textFill>
        </w:rPr>
        <w:t>视同接受</w:t>
      </w:r>
      <w:r>
        <w:rPr>
          <w:rFonts w:cs="Times New Roman" w:asciiTheme="minorEastAsia" w:hAnsiTheme="minorEastAsia"/>
          <w:color w:val="000000" w:themeColor="text1"/>
          <w:sz w:val="24"/>
          <w:szCs w:val="24"/>
          <w:lang w:val="zh-CN"/>
          <w14:textFill>
            <w14:solidFill>
              <w14:schemeClr w14:val="tx1"/>
            </w14:solidFill>
          </w14:textFill>
        </w:rPr>
        <w:t>。</w:t>
      </w:r>
    </w:p>
    <w:p>
      <w:pPr>
        <w:numPr>
          <w:ilvl w:val="0"/>
          <w:numId w:val="16"/>
        </w:numPr>
        <w:spacing w:line="360" w:lineRule="auto"/>
        <w:ind w:left="728"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资格证明文件</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资格证明文件应真实、合法，并就此承担相应法律责任。</w:t>
      </w:r>
    </w:p>
    <w:p>
      <w:pPr>
        <w:numPr>
          <w:ilvl w:val="0"/>
          <w:numId w:val="17"/>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资格证明文件正本应为清晰彩色影印件且加盖单位公章，否则按照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资格证明文件内容详</w:t>
      </w:r>
      <w:r>
        <w:rPr>
          <w:rFonts w:hint="eastAsia" w:cs="Times New Roman" w:asciiTheme="minorEastAsia" w:hAnsiTheme="minorEastAsia"/>
          <w:color w:val="000000" w:themeColor="text1"/>
          <w:kern w:val="0"/>
          <w:sz w:val="24"/>
          <w:szCs w:val="24"/>
          <w:lang w:val="zh-CN"/>
          <w14:textFill>
            <w14:solidFill>
              <w14:schemeClr w14:val="tx1"/>
            </w14:solidFill>
          </w14:textFill>
        </w:rPr>
        <w:t>见</w:t>
      </w:r>
      <w:r>
        <w:rPr>
          <w:rFonts w:hint="eastAsia" w:cs="Times New Roman" w:asciiTheme="minorEastAsia" w:hAnsiTheme="minorEastAsia"/>
          <w:color w:val="000000" w:themeColor="text1"/>
          <w:sz w:val="24"/>
          <w:szCs w:val="24"/>
          <w:lang w:val="zh-CN"/>
          <w14:textFill>
            <w14:solidFill>
              <w14:schemeClr w14:val="tx1"/>
            </w14:solidFill>
          </w14:textFill>
        </w:rPr>
        <w:t>第四章“资格审查方法及标准”中资格审查内</w:t>
      </w:r>
      <w:r>
        <w:rPr>
          <w:rFonts w:hint="eastAsia" w:cs="Helvetica" w:asciiTheme="minorEastAsia" w:hAnsiTheme="minorEastAsia"/>
          <w:color w:val="000000" w:themeColor="text1"/>
          <w:kern w:val="0"/>
          <w:sz w:val="24"/>
          <w:szCs w:val="24"/>
          <w:lang w:val="zh-CN"/>
          <w14:textFill>
            <w14:solidFill>
              <w14:schemeClr w14:val="tx1"/>
            </w14:solidFill>
          </w14:textFill>
        </w:rPr>
        <w:t>容</w:t>
      </w:r>
      <w:r>
        <w:rPr>
          <w:rFonts w:hint="eastAsia" w:cs="Times New Roman" w:asciiTheme="minorEastAsia" w:hAnsiTheme="minorEastAsia"/>
          <w:color w:val="000000" w:themeColor="text1"/>
          <w:kern w:val="0"/>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投标有效期</w:t>
      </w:r>
    </w:p>
    <w:p>
      <w:pPr>
        <w:spacing w:line="360" w:lineRule="auto"/>
        <w:ind w:left="480" w:hanging="480" w:hanging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17.1</w:t>
      </w:r>
      <w:r>
        <w:rPr>
          <w:rFonts w:hint="eastAsia" w:cs="Times New Roman" w:asciiTheme="minorEastAsia" w:hAnsiTheme="minorEastAsia"/>
          <w:color w:val="000000" w:themeColor="text1"/>
          <w:sz w:val="24"/>
          <w:szCs w:val="24"/>
          <w:lang w:val="zh-CN"/>
          <w14:textFill>
            <w14:solidFill>
              <w14:schemeClr w14:val="tx1"/>
            </w14:solidFill>
          </w14:textFill>
        </w:rPr>
        <w:t>投标有效期详见本章“投标须知前附表”中规定。</w:t>
      </w:r>
      <w:r>
        <w:rPr>
          <w:rFonts w:cs="Helvetica" w:asciiTheme="minorEastAsia" w:hAnsiTheme="minorEastAsia"/>
          <w:color w:val="000000" w:themeColor="text1"/>
          <w:kern w:val="0"/>
          <w:sz w:val="24"/>
          <w:szCs w:val="24"/>
          <w:lang w:val="zh-CN"/>
          <w14:textFill>
            <w14:solidFill>
              <w14:schemeClr w14:val="tx1"/>
            </w14:solidFill>
          </w14:textFill>
        </w:rPr>
        <w:t>投标文件中承诺的投标有效期应当不少于招标文件中载明的投标有效期</w:t>
      </w:r>
      <w:r>
        <w:rPr>
          <w:rFonts w:hint="eastAsia" w:cs="Helvetica" w:asciiTheme="minorEastAsia" w:hAnsiTheme="minorEastAsia"/>
          <w:color w:val="000000" w:themeColor="text1"/>
          <w:kern w:val="0"/>
          <w:sz w:val="24"/>
          <w:szCs w:val="24"/>
          <w:lang w:val="zh-CN"/>
          <w14:textFill>
            <w14:solidFill>
              <w14:schemeClr w14:val="tx1"/>
            </w14:solidFill>
          </w14:textFill>
        </w:rPr>
        <w:t>。投标有效期不足的，</w:t>
      </w:r>
      <w:r>
        <w:rPr>
          <w:rFonts w:hint="eastAsia" w:cs="Times New Roman" w:asciiTheme="minorEastAsia" w:hAnsiTheme="minorEastAsia"/>
          <w:color w:val="000000" w:themeColor="text1"/>
          <w:sz w:val="24"/>
          <w:szCs w:val="24"/>
          <w:lang w:val="zh-CN"/>
          <w14:textFill>
            <w14:solidFill>
              <w14:schemeClr w14:val="tx1"/>
            </w14:solidFill>
          </w14:textFill>
        </w:rPr>
        <w:t>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spacing w:line="360" w:lineRule="auto"/>
        <w:ind w:left="480" w:hanging="480" w:hanging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17.2</w:t>
      </w:r>
      <w:r>
        <w:rPr>
          <w:rFonts w:hint="eastAsia" w:cs="Times New Roman" w:asciiTheme="minorEastAsia" w:hAnsiTheme="minorEastAsia"/>
          <w:color w:val="000000" w:themeColor="text1"/>
          <w:sz w:val="24"/>
          <w:szCs w:val="24"/>
          <w:lang w:val="zh-CN"/>
          <w14:textFill>
            <w14:solidFill>
              <w14:schemeClr w14:val="tx1"/>
            </w14:solidFill>
          </w14:textFill>
        </w:rPr>
        <w:t>特殊情况下，在原投标有效期截止之前，</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Times New Roman" w:asciiTheme="minorEastAsia" w:hAnsiTheme="minorEastAsia"/>
          <w:color w:val="000000" w:themeColor="text1"/>
          <w:sz w:val="24"/>
          <w:szCs w:val="24"/>
          <w:lang w:val="zh-CN"/>
          <w14:textFill>
            <w14:solidFill>
              <w14:schemeClr w14:val="tx1"/>
            </w14:solidFill>
          </w14:textFill>
        </w:rPr>
        <w:t>或采购人可要求投标人延长投标有效期。这种要求与答复均应以书面形式提交。投标人可拒绝</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Times New Roman" w:asciiTheme="minorEastAsia" w:hAnsiTheme="minorEastAsia"/>
          <w:color w:val="000000" w:themeColor="text1"/>
          <w:sz w:val="24"/>
          <w:szCs w:val="24"/>
          <w:lang w:val="zh-CN"/>
          <w14:textFill>
            <w14:solidFill>
              <w14:schemeClr w14:val="tx1"/>
            </w14:solidFill>
          </w14:textFill>
        </w:rPr>
        <w:t>或采购人的这种要求，但其投标在原投标有效期期满后将不再有效。同意延长投标有效期的投标人不会被要求和允许修正其投标内容。</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投标文件的数量和签署</w:t>
      </w:r>
    </w:p>
    <w:p>
      <w:pPr>
        <w:spacing w:line="360" w:lineRule="auto"/>
        <w:ind w:left="480" w:hanging="480" w:hanging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18.1</w:t>
      </w:r>
      <w:r>
        <w:rPr>
          <w:rFonts w:hint="eastAsia" w:cs="Times New Roman" w:asciiTheme="minorEastAsia" w:hAnsiTheme="minorEastAsia"/>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spacing w:line="360" w:lineRule="auto"/>
        <w:ind w:left="480" w:hanging="480" w:hanging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18.2</w:t>
      </w:r>
      <w:r>
        <w:rPr>
          <w:rFonts w:hint="eastAsia" w:cs="Times New Roman" w:asciiTheme="minorEastAsia" w:hAnsiTheme="minorEastAsia"/>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spacing w:line="360" w:lineRule="auto"/>
        <w:ind w:left="480" w:hanging="480" w:hanging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18.3</w:t>
      </w:r>
      <w:r>
        <w:rPr>
          <w:rFonts w:hint="eastAsia" w:cs="Times New Roman" w:asciiTheme="minorEastAsia" w:hAnsiTheme="minorEastAsia"/>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spacing w:line="360" w:lineRule="auto"/>
        <w:ind w:left="480" w:hanging="480" w:hanging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18.4</w:t>
      </w:r>
      <w:r>
        <w:rPr>
          <w:rFonts w:hint="eastAsia" w:cs="Times New Roman" w:asciiTheme="minorEastAsia" w:hAnsiTheme="minorEastAsia"/>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投标文件的密封和标记</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 xml:space="preserve">19.1 </w:t>
      </w:r>
      <w:r>
        <w:rPr>
          <w:rFonts w:hint="eastAsia" w:ascii="宋体" w:hAnsi="宋体" w:eastAsia="宋体" w:cs="Times New Roman"/>
          <w:color w:val="000000" w:themeColor="text1"/>
          <w:sz w:val="24"/>
          <w:szCs w:val="20"/>
          <w:lang w:val="zh-CN"/>
          <w14:textFill>
            <w14:solidFill>
              <w14:schemeClr w14:val="tx1"/>
            </w14:solidFill>
          </w14:textFill>
        </w:rPr>
        <w:t>投标人应将投标文件第一部分资格证明文件、第二部分商务文件、第三部分技术、服务文件</w:t>
      </w:r>
      <w:r>
        <w:rPr>
          <w:rFonts w:hint="eastAsia" w:ascii="宋体" w:hAnsi="宋体" w:eastAsia="宋体" w:cs="Times New Roman"/>
          <w:b/>
          <w:color w:val="000000" w:themeColor="text1"/>
          <w:sz w:val="24"/>
          <w:szCs w:val="20"/>
          <w:lang w:val="zh-CN"/>
          <w14:textFill>
            <w14:solidFill>
              <w14:schemeClr w14:val="tx1"/>
            </w14:solidFill>
          </w14:textFill>
        </w:rPr>
        <w:t>一起合并装订成一本投标文件，一起封装。</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 xml:space="preserve">19.2 </w:t>
      </w:r>
      <w:r>
        <w:rPr>
          <w:rFonts w:hint="eastAsia" w:ascii="宋体" w:hAnsi="宋体" w:eastAsia="宋体" w:cs="Times New Roman"/>
          <w:color w:val="000000" w:themeColor="text1"/>
          <w:sz w:val="24"/>
          <w:szCs w:val="20"/>
          <w:lang w:val="zh-CN"/>
          <w14:textFill>
            <w14:solidFill>
              <w14:schemeClr w14:val="tx1"/>
            </w14:solidFill>
          </w14:textFill>
        </w:rPr>
        <w:t>投标人应将投标文件正本和所有的副本一起密封装在文件袋（或封装袋）中，并在封包上标明“正本”</w:t>
      </w:r>
      <w:r>
        <w:rPr>
          <w:rFonts w:hint="eastAsia" w:ascii="宋体" w:hAnsi="宋体" w:eastAsia="宋体" w:cs="Times New Roman"/>
          <w:color w:val="000000" w:themeColor="text1"/>
          <w:sz w:val="24"/>
          <w:szCs w:val="20"/>
          <w14:textFill>
            <w14:solidFill>
              <w14:schemeClr w14:val="tx1"/>
            </w14:solidFill>
          </w14:textFill>
        </w:rPr>
        <w:t>1份</w:t>
      </w:r>
      <w:r>
        <w:rPr>
          <w:rFonts w:hint="eastAsia" w:ascii="宋体" w:hAnsi="宋体" w:eastAsia="宋体" w:cs="Times New Roman"/>
          <w:color w:val="000000" w:themeColor="text1"/>
          <w:sz w:val="24"/>
          <w:szCs w:val="20"/>
          <w:lang w:val="zh-CN"/>
          <w14:textFill>
            <w14:solidFill>
              <w14:schemeClr w14:val="tx1"/>
            </w14:solidFill>
          </w14:textFill>
        </w:rPr>
        <w:t>、“副本”</w:t>
      </w:r>
      <w:r>
        <w:rPr>
          <w:rFonts w:hint="eastAsia" w:ascii="宋体" w:hAnsi="宋体" w:eastAsia="宋体" w:cs="Times New Roman"/>
          <w:color w:val="000000" w:themeColor="text1"/>
          <w:sz w:val="24"/>
          <w:szCs w:val="20"/>
          <w:lang w:val="en-US" w:eastAsia="zh-CN"/>
          <w14:textFill>
            <w14:solidFill>
              <w14:schemeClr w14:val="tx1"/>
            </w14:solidFill>
          </w14:textFill>
        </w:rPr>
        <w:t>4</w:t>
      </w:r>
      <w:r>
        <w:rPr>
          <w:rFonts w:hint="eastAsia" w:ascii="宋体" w:hAnsi="宋体" w:eastAsia="宋体" w:cs="Times New Roman"/>
          <w:color w:val="000000" w:themeColor="text1"/>
          <w:sz w:val="24"/>
          <w:szCs w:val="20"/>
          <w14:textFill>
            <w14:solidFill>
              <w14:schemeClr w14:val="tx1"/>
            </w14:solidFill>
          </w14:textFill>
        </w:rPr>
        <w:t>份</w:t>
      </w:r>
      <w:r>
        <w:rPr>
          <w:rFonts w:hint="eastAsia" w:ascii="宋体" w:hAnsi="宋体" w:eastAsia="宋体" w:cs="Times New Roman"/>
          <w:color w:val="000000" w:themeColor="text1"/>
          <w:sz w:val="24"/>
          <w:szCs w:val="20"/>
          <w:lang w:val="zh-CN"/>
          <w14:textFill>
            <w14:solidFill>
              <w14:schemeClr w14:val="tx1"/>
            </w14:solidFill>
          </w14:textFill>
        </w:rPr>
        <w:t>字样。</w:t>
      </w:r>
    </w:p>
    <w:p>
      <w:pPr>
        <w:spacing w:line="360" w:lineRule="auto"/>
        <w:ind w:left="720" w:hanging="720" w:hangingChars="3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 xml:space="preserve">19.3 </w:t>
      </w:r>
      <w:r>
        <w:rPr>
          <w:rFonts w:hint="eastAsia" w:ascii="宋体" w:hAnsi="宋体" w:eastAsia="宋体" w:cs="Times New Roman"/>
          <w:color w:val="000000" w:themeColor="text1"/>
          <w:sz w:val="24"/>
          <w:szCs w:val="20"/>
          <w:lang w:val="zh-CN"/>
          <w14:textFill>
            <w14:solidFill>
              <w14:schemeClr w14:val="tx1"/>
            </w14:solidFill>
          </w14:textFill>
        </w:rPr>
        <w:t>如果未按要求加写密封、标记或存在错误，集中采购机构对其误投或提前启封概不负责。</w:t>
      </w:r>
    </w:p>
    <w:p>
      <w:pPr>
        <w:spacing w:line="360" w:lineRule="auto"/>
        <w:ind w:left="480" w:hanging="480" w:hangingChars="20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 xml:space="preserve">19.4 </w:t>
      </w:r>
      <w:r>
        <w:rPr>
          <w:rFonts w:hint="eastAsia" w:ascii="宋体" w:hAnsi="宋体" w:eastAsia="宋体" w:cs="Times New Roman"/>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eastAsia="宋体" w:cs="Times New Roman"/>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spacing w:line="360" w:lineRule="auto"/>
        <w:ind w:left="720" w:hanging="720" w:hangingChars="3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19.5</w:t>
      </w:r>
      <w:r>
        <w:rPr>
          <w:rFonts w:hint="eastAsia" w:ascii="宋体" w:hAnsi="宋体" w:eastAsia="宋体" w:cs="Times New Roman"/>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投标文件递交</w:t>
      </w:r>
    </w:p>
    <w:p>
      <w:pPr>
        <w:spacing w:line="360" w:lineRule="auto"/>
        <w:ind w:left="480" w:hanging="480" w:hanging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20.1</w:t>
      </w:r>
      <w:r>
        <w:rPr>
          <w:rFonts w:hint="eastAsia" w:ascii="Helvetica" w:hAnsi="Helvetica" w:eastAsia="宋体"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采购人（或代理公司）</w:t>
      </w:r>
      <w:r>
        <w:rPr>
          <w:rFonts w:hint="eastAsia" w:ascii="Helvetica" w:hAnsi="Helvetica" w:eastAsia="宋体" w:cs="Helvetica"/>
          <w:color w:val="000000" w:themeColor="text1"/>
          <w:kern w:val="0"/>
          <w:sz w:val="24"/>
          <w:szCs w:val="24"/>
          <w:lang w:val="zh-CN"/>
          <w14:textFill>
            <w14:solidFill>
              <w14:schemeClr w14:val="tx1"/>
            </w14:solidFill>
          </w14:textFill>
        </w:rPr>
        <w:t>规定的投标地点。</w:t>
      </w:r>
    </w:p>
    <w:p>
      <w:pPr>
        <w:spacing w:line="360" w:lineRule="auto"/>
        <w:rPr>
          <w:rFonts w:asciiTheme="majorEastAsia" w:hAnsiTheme="majorEastAsia" w:eastAsiaTheme="majorEastAsia" w:cstheme="majorEastAsia"/>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20.2 </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采购人（或代理公司）拒收逾期送达或者未按招标文件要求密封的投标文件。</w:t>
      </w:r>
    </w:p>
    <w:p>
      <w:pPr>
        <w:spacing w:line="360" w:lineRule="auto"/>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20.3 </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采购人（或代理公司）</w:t>
      </w:r>
      <w:r>
        <w:rPr>
          <w:rFonts w:ascii="Helvetica" w:hAnsi="Helvetica" w:eastAsia="宋体" w:cs="Helvetica"/>
          <w:color w:val="000000" w:themeColor="text1"/>
          <w:kern w:val="0"/>
          <w:sz w:val="24"/>
          <w:szCs w:val="24"/>
          <w:lang w:val="zh-CN"/>
          <w14:textFill>
            <w14:solidFill>
              <w14:schemeClr w14:val="tx1"/>
            </w14:solidFill>
          </w14:textFill>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投标文件的修改和撤回</w:t>
      </w:r>
    </w:p>
    <w:p>
      <w:pPr>
        <w:spacing w:line="360" w:lineRule="auto"/>
        <w:ind w:left="480" w:hanging="480" w:hangingChars="200"/>
        <w:rPr>
          <w:rFonts w:ascii="宋体" w:hAnsi="宋体" w:eastAsia="宋体" w:cs="Times New Roman"/>
          <w:strike/>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21.1</w:t>
      </w:r>
      <w:r>
        <w:rPr>
          <w:rFonts w:ascii="宋体" w:hAnsi="宋体" w:eastAsia="宋体" w:cs="Times New Roman"/>
          <w:color w:val="000000" w:themeColor="text1"/>
          <w:sz w:val="24"/>
          <w:szCs w:val="20"/>
          <w:lang w:val="zh-CN"/>
          <w14:textFill>
            <w14:solidFill>
              <w14:schemeClr w14:val="tx1"/>
            </w14:solidFill>
          </w14:textFill>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ascii="宋体" w:hAnsi="宋体" w:eastAsia="宋体" w:cs="Times New Roman"/>
          <w:color w:val="000000" w:themeColor="text1"/>
          <w:sz w:val="24"/>
          <w:szCs w:val="20"/>
          <w:lang w:val="zh-CN"/>
          <w14:textFill>
            <w14:solidFill>
              <w14:schemeClr w14:val="tx1"/>
            </w14:solidFill>
          </w14:textFill>
        </w:rPr>
        <w:t>。补充、修改的内容应当按照招标文件要求签署、盖章、密封后，作为投标文件的组成部分。</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21.2</w:t>
      </w:r>
      <w:r>
        <w:rPr>
          <w:rFonts w:hint="eastAsia" w:ascii="宋体" w:hAnsi="宋体" w:eastAsia="宋体" w:cs="Times New Roman"/>
          <w:color w:val="000000" w:themeColor="text1"/>
          <w:sz w:val="24"/>
          <w:szCs w:val="20"/>
          <w:lang w:val="zh-CN"/>
          <w14:textFill>
            <w14:solidFill>
              <w14:schemeClr w14:val="tx1"/>
            </w14:solidFill>
          </w14:textFill>
        </w:rPr>
        <w:t>投标有效期内投标人不得撤销其投标文件。</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21.3</w:t>
      </w:r>
      <w:r>
        <w:rPr>
          <w:rFonts w:hint="eastAsia" w:ascii="宋体" w:hAnsi="宋体" w:eastAsia="宋体" w:cs="Times New Roman"/>
          <w:color w:val="000000" w:themeColor="text1"/>
          <w:sz w:val="24"/>
          <w:szCs w:val="20"/>
          <w:lang w:val="zh-CN"/>
          <w14:textFill>
            <w14:solidFill>
              <w14:schemeClr w14:val="tx1"/>
            </w14:solidFill>
          </w14:textFill>
        </w:rPr>
        <w:t>投标人所递交的投标文件无论中标与否不予退还。</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6" w:name="_Toc494561942"/>
      <w:bookmarkStart w:id="17" w:name="_Toc6572"/>
      <w:bookmarkStart w:id="18" w:name="_Toc278891595"/>
      <w:bookmarkStart w:id="19" w:name="_Toc272247698"/>
      <w:r>
        <w:rPr>
          <w:rFonts w:hint="eastAsia" w:cs="Times New Roman" w:asciiTheme="majorEastAsia" w:hAnsiTheme="majorEastAsia"/>
          <w:bCs w:val="0"/>
          <w:color w:val="000000" w:themeColor="text1"/>
          <w:lang w:val="zh-CN"/>
          <w14:textFill>
            <w14:solidFill>
              <w14:schemeClr w14:val="tx1"/>
            </w14:solidFill>
          </w14:textFill>
        </w:rPr>
        <w:t>开标与评标</w:t>
      </w:r>
      <w:bookmarkEnd w:id="16"/>
      <w:bookmarkEnd w:id="17"/>
      <w:bookmarkEnd w:id="18"/>
      <w:bookmarkEnd w:id="19"/>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开标</w:t>
      </w:r>
    </w:p>
    <w:p>
      <w:pPr>
        <w:spacing w:line="360" w:lineRule="auto"/>
        <w:ind w:left="480" w:hanging="480" w:hangingChars="20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22.1</w:t>
      </w:r>
      <w:r>
        <w:rPr>
          <w:rFonts w:hint="eastAsia" w:ascii="宋体" w:hAnsi="宋体" w:eastAsia="宋体" w:cs="Times New Roman"/>
          <w:color w:val="000000" w:themeColor="text1"/>
          <w:sz w:val="24"/>
          <w:szCs w:val="20"/>
          <w:lang w:val="zh-CN"/>
          <w14:textFill>
            <w14:solidFill>
              <w14:schemeClr w14:val="tx1"/>
            </w14:solidFill>
          </w14:textFill>
        </w:rPr>
        <w:t>采购人（或代理公司）在第一章“投标邀请书”中约定的日期、时间和地点组织公开开标。开标时采购人和投标人代表（投标人法定代表人或其授权代表）参加,参加开标的代表应签到以证明其出席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14:textFill>
            <w14:solidFill>
              <w14:schemeClr w14:val="tx1"/>
            </w14:solidFill>
          </w14:textFill>
        </w:rPr>
        <w:t>，否则视同认可开标结果。</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22.2</w:t>
      </w:r>
      <w:r>
        <w:rPr>
          <w:rFonts w:hint="eastAsia" w:ascii="宋体" w:hAnsi="宋体" w:eastAsia="宋体" w:cs="Times New Roman"/>
          <w:color w:val="000000" w:themeColor="text1"/>
          <w:sz w:val="24"/>
          <w:szCs w:val="20"/>
          <w:lang w:val="zh-CN"/>
          <w14:textFill>
            <w14:solidFill>
              <w14:schemeClr w14:val="tx1"/>
            </w14:solidFill>
          </w14:textFill>
        </w:rPr>
        <w:t>投标人法定代表人或其授权代表应携带有效身份证明参加项目开标会，</w:t>
      </w:r>
      <w:r>
        <w:rPr>
          <w:rFonts w:ascii="宋体" w:hAnsi="宋体" w:eastAsia="宋体" w:cs="Times New Roman"/>
          <w:color w:val="000000" w:themeColor="text1"/>
          <w:sz w:val="24"/>
          <w:szCs w:val="20"/>
          <w:lang w:val="zh-CN"/>
          <w14:textFill>
            <w14:solidFill>
              <w14:schemeClr w14:val="tx1"/>
            </w14:solidFill>
          </w14:textFill>
        </w:rPr>
        <w:t>投标人未参加开标的，视同认可开标结果。</w:t>
      </w:r>
      <w:r>
        <w:rPr>
          <w:rFonts w:hint="eastAsia" w:ascii="宋体" w:hAnsi="宋体" w:eastAsia="宋体" w:cs="Times New Roman"/>
          <w:color w:val="000000" w:themeColor="text1"/>
          <w:sz w:val="24"/>
          <w:szCs w:val="20"/>
          <w:lang w:val="zh-CN"/>
          <w14:textFill>
            <w14:solidFill>
              <w14:schemeClr w14:val="tx1"/>
            </w14:solidFill>
          </w14:textFill>
        </w:rPr>
        <w:t>截止</w:t>
      </w:r>
      <w:r>
        <w:rPr>
          <w:rFonts w:hint="eastAsia" w:ascii="宋体" w:hAnsi="宋体" w:eastAsia="宋体" w:cs="宋体"/>
          <w:color w:val="000000" w:themeColor="text1"/>
          <w:kern w:val="0"/>
          <w:sz w:val="24"/>
          <w:szCs w:val="24"/>
          <w14:textFill>
            <w14:solidFill>
              <w14:schemeClr w14:val="tx1"/>
            </w14:solidFill>
          </w14:textFill>
        </w:rPr>
        <w:t>投标文件</w:t>
      </w:r>
      <w:r>
        <w:rPr>
          <w:rFonts w:hint="eastAsia" w:ascii="宋体" w:hAnsi="宋体" w:eastAsia="宋体" w:cs="Times New Roman"/>
          <w:color w:val="000000" w:themeColor="text1"/>
          <w:sz w:val="24"/>
          <w:szCs w:val="20"/>
          <w:lang w:val="zh-CN"/>
          <w14:textFill>
            <w14:solidFill>
              <w14:schemeClr w14:val="tx1"/>
            </w14:solidFill>
          </w14:textFill>
        </w:rPr>
        <w:t>递交时间，投标人不足3家的，不进行开标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22.3</w:t>
      </w:r>
      <w:r>
        <w:rPr>
          <w:rFonts w:hint="eastAsia" w:ascii="宋体" w:hAnsi="宋体" w:eastAsia="宋体" w:cs="Times New Roman"/>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工作人员当众拆封，</w:t>
      </w:r>
      <w:r>
        <w:rPr>
          <w:rFonts w:ascii="宋体" w:hAnsi="宋体" w:eastAsia="宋体" w:cs="Times New Roman"/>
          <w:color w:val="000000" w:themeColor="text1"/>
          <w:sz w:val="24"/>
          <w:szCs w:val="20"/>
          <w:lang w:val="zh-CN"/>
          <w14:textFill>
            <w14:solidFill>
              <w14:schemeClr w14:val="tx1"/>
            </w14:solidFill>
          </w14:textFill>
        </w:rPr>
        <w:t>宣布投标人名称、投标价格和招标文件规定的需要宣布的其他内容。</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22.4</w:t>
      </w:r>
      <w:r>
        <w:rPr>
          <w:rFonts w:hint="eastAsia" w:ascii="宋体" w:hAnsi="宋体" w:eastAsia="宋体" w:cs="Times New Roman"/>
          <w:color w:val="000000" w:themeColor="text1"/>
          <w:sz w:val="24"/>
          <w:szCs w:val="20"/>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负责</w:t>
      </w:r>
      <w:r>
        <w:rPr>
          <w:rFonts w:hint="eastAsia" w:ascii="宋体" w:hAnsi="宋体" w:eastAsia="宋体" w:cs="Times New Roman"/>
          <w:color w:val="000000" w:themeColor="text1"/>
          <w:sz w:val="24"/>
          <w:szCs w:val="20"/>
          <w:lang w:val="zh-CN"/>
          <w14:textFill>
            <w14:solidFill>
              <w14:schemeClr w14:val="tx1"/>
            </w14:solidFill>
          </w14:textFill>
        </w:rPr>
        <w:t>对</w:t>
      </w:r>
      <w:r>
        <w:rPr>
          <w:rFonts w:ascii="宋体" w:hAnsi="宋体" w:eastAsia="宋体" w:cs="Times New Roman"/>
          <w:color w:val="000000" w:themeColor="text1"/>
          <w:sz w:val="24"/>
          <w:szCs w:val="20"/>
          <w:lang w:val="zh-CN"/>
          <w14:textFill>
            <w14:solidFill>
              <w14:schemeClr w14:val="tx1"/>
            </w14:solidFill>
          </w14:textFill>
        </w:rPr>
        <w:t>开标过程</w:t>
      </w:r>
      <w:r>
        <w:rPr>
          <w:rFonts w:hint="eastAsia" w:ascii="宋体" w:hAnsi="宋体" w:eastAsia="宋体" w:cs="Times New Roman"/>
          <w:color w:val="000000" w:themeColor="text1"/>
          <w:sz w:val="24"/>
          <w:szCs w:val="20"/>
          <w:lang w:val="zh-CN"/>
          <w14:textFill>
            <w14:solidFill>
              <w14:schemeClr w14:val="tx1"/>
            </w14:solidFill>
          </w14:textFill>
        </w:rPr>
        <w:t>进行</w:t>
      </w:r>
      <w:r>
        <w:rPr>
          <w:rFonts w:ascii="宋体" w:hAnsi="宋体" w:eastAsia="宋体" w:cs="Times New Roman"/>
          <w:color w:val="000000" w:themeColor="text1"/>
          <w:sz w:val="24"/>
          <w:szCs w:val="20"/>
          <w:lang w:val="zh-CN"/>
          <w14:textFill>
            <w14:solidFill>
              <w14:schemeClr w14:val="tx1"/>
            </w14:solidFill>
          </w14:textFill>
        </w:rPr>
        <w:t>记录，由参加开标的各投标人代表和相关工作人员</w:t>
      </w:r>
      <w:r>
        <w:rPr>
          <w:rFonts w:hint="eastAsia" w:ascii="宋体" w:hAnsi="宋体" w:eastAsia="宋体" w:cs="Times New Roman"/>
          <w:color w:val="000000" w:themeColor="text1"/>
          <w:sz w:val="24"/>
          <w:szCs w:val="20"/>
          <w:lang w:val="zh-CN"/>
          <w14:textFill>
            <w14:solidFill>
              <w14:schemeClr w14:val="tx1"/>
            </w14:solidFill>
          </w14:textFill>
        </w:rPr>
        <w:t>对开标记录进行</w:t>
      </w:r>
      <w:r>
        <w:rPr>
          <w:rFonts w:ascii="宋体" w:hAnsi="宋体" w:eastAsia="宋体" w:cs="Times New Roman"/>
          <w:color w:val="000000" w:themeColor="text1"/>
          <w:sz w:val="24"/>
          <w:szCs w:val="20"/>
          <w:lang w:val="zh-CN"/>
          <w14:textFill>
            <w14:solidFill>
              <w14:schemeClr w14:val="tx1"/>
            </w14:solidFill>
          </w14:textFill>
        </w:rPr>
        <w:t>签字确认。</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22.5</w:t>
      </w:r>
      <w:r>
        <w:rPr>
          <w:rFonts w:ascii="宋体" w:hAnsi="宋体" w:eastAsia="宋体" w:cs="Times New Roman"/>
          <w:color w:val="000000" w:themeColor="text1"/>
          <w:sz w:val="24"/>
          <w:szCs w:val="20"/>
          <w:lang w:val="zh-CN"/>
          <w14:textFill>
            <w14:solidFill>
              <w14:schemeClr w14:val="tx1"/>
            </w14:solidFill>
          </w14:textFill>
        </w:rPr>
        <w:t>投标人代表对开标过程和开标记录有疑义，以及认为采购人、</w:t>
      </w:r>
      <w:r>
        <w:rPr>
          <w:rFonts w:hint="eastAsia" w:ascii="宋体" w:hAnsi="宋体" w:eastAsia="宋体" w:cs="Times New Roman"/>
          <w:color w:val="000000" w:themeColor="text1"/>
          <w:sz w:val="24"/>
          <w:szCs w:val="20"/>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宋体" w:hAnsi="宋体" w:eastAsia="宋体" w:cs="Times New Roman"/>
          <w:color w:val="000000" w:themeColor="text1"/>
          <w:sz w:val="24"/>
          <w:szCs w:val="20"/>
          <w:lang w:val="zh-CN"/>
          <w14:textFill>
            <w14:solidFill>
              <w14:schemeClr w14:val="tx1"/>
            </w14:solidFill>
          </w14:textFill>
        </w:rPr>
        <w:t>代理公司将</w:t>
      </w:r>
      <w:r>
        <w:rPr>
          <w:rFonts w:ascii="宋体" w:hAnsi="宋体" w:eastAsia="宋体" w:cs="Times New Roman"/>
          <w:color w:val="000000" w:themeColor="text1"/>
          <w:sz w:val="24"/>
          <w:szCs w:val="20"/>
          <w:lang w:val="zh-CN"/>
          <w14:textFill>
            <w14:solidFill>
              <w14:schemeClr w14:val="tx1"/>
            </w14:solidFill>
          </w14:textFill>
        </w:rPr>
        <w:t>及时处理投标人代表提出的询问或者回避申请。</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资格审查</w:t>
      </w:r>
    </w:p>
    <w:p>
      <w:pPr>
        <w:spacing w:line="360" w:lineRule="auto"/>
        <w:ind w:left="480" w:hanging="480" w:hanging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sz w:val="24"/>
          <w:szCs w:val="20"/>
          <w14:textFill>
            <w14:solidFill>
              <w14:schemeClr w14:val="tx1"/>
            </w14:solidFill>
          </w14:textFill>
        </w:rPr>
        <w:t>23.1</w:t>
      </w: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采购人和代理公司</w:t>
      </w:r>
      <w:r>
        <w:rPr>
          <w:rFonts w:hint="eastAsia" w:ascii="宋体" w:hAnsi="宋体" w:eastAsia="宋体" w:cs="Times New Roman"/>
          <w:bCs/>
          <w:color w:val="000000" w:themeColor="text1"/>
          <w:sz w:val="24"/>
          <w:szCs w:val="20"/>
          <w:lang w:val="zh-CN"/>
          <w14:textFill>
            <w14:solidFill>
              <w14:schemeClr w14:val="tx1"/>
            </w14:solidFill>
          </w14:textFill>
        </w:rPr>
        <w:t>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14:textFill>
            <w14:solidFill>
              <w14:schemeClr w14:val="tx1"/>
            </w14:solidFill>
          </w14:textFill>
        </w:rPr>
        <w:t>合格投标人不足</w:t>
      </w:r>
      <w:r>
        <w:rPr>
          <w:rFonts w:ascii="宋体" w:hAnsi="宋体" w:eastAsia="宋体" w:cs="Helvetica"/>
          <w:color w:val="000000" w:themeColor="text1"/>
          <w:kern w:val="0"/>
          <w:sz w:val="24"/>
          <w:szCs w:val="24"/>
          <w:lang w:val="zh-CN"/>
          <w14:textFill>
            <w14:solidFill>
              <w14:schemeClr w14:val="tx1"/>
            </w14:solidFill>
          </w14:textFill>
        </w:rPr>
        <w:t>3</w:t>
      </w:r>
      <w:r>
        <w:rPr>
          <w:rFonts w:ascii="Helvetica" w:hAnsi="Helvetica" w:eastAsia="宋体" w:cs="Helvetica"/>
          <w:color w:val="000000" w:themeColor="text1"/>
          <w:kern w:val="0"/>
          <w:sz w:val="24"/>
          <w:szCs w:val="24"/>
          <w:lang w:val="zh-CN"/>
          <w14:textFill>
            <w14:solidFill>
              <w14:schemeClr w14:val="tx1"/>
            </w14:solidFill>
          </w14:textFill>
        </w:rPr>
        <w:t>家的，不</w:t>
      </w:r>
      <w:r>
        <w:rPr>
          <w:rFonts w:hint="eastAsia" w:ascii="Helvetica" w:hAnsi="Helvetica" w:eastAsia="宋体" w:cs="Helvetica"/>
          <w:color w:val="000000" w:themeColor="text1"/>
          <w:kern w:val="0"/>
          <w:sz w:val="24"/>
          <w:szCs w:val="24"/>
          <w:lang w:val="zh-CN"/>
          <w14:textFill>
            <w14:solidFill>
              <w14:schemeClr w14:val="tx1"/>
            </w14:solidFill>
          </w14:textFill>
        </w:rPr>
        <w:t>进行</w:t>
      </w:r>
      <w:r>
        <w:rPr>
          <w:rFonts w:ascii="Helvetica" w:hAnsi="Helvetica" w:eastAsia="宋体" w:cs="Helvetica"/>
          <w:color w:val="000000" w:themeColor="text1"/>
          <w:kern w:val="0"/>
          <w:sz w:val="24"/>
          <w:szCs w:val="24"/>
          <w:lang w:val="zh-CN"/>
          <w14:textFill>
            <w14:solidFill>
              <w14:schemeClr w14:val="tx1"/>
            </w14:solidFill>
          </w14:textFill>
        </w:rPr>
        <w:t>评标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spacing w:line="360" w:lineRule="auto"/>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14:textFill>
            <w14:solidFill>
              <w14:schemeClr w14:val="tx1"/>
            </w14:solidFill>
          </w14:textFill>
        </w:rPr>
        <w:t>23.2</w:t>
      </w:r>
      <w:r>
        <w:rPr>
          <w:rFonts w:hint="eastAsia" w:ascii="宋体" w:hAnsi="宋体" w:eastAsia="宋体" w:cs="Times New Roman"/>
          <w:bCs/>
          <w:color w:val="000000" w:themeColor="text1"/>
          <w:sz w:val="24"/>
          <w:szCs w:val="20"/>
          <w:lang w:val="zh-CN"/>
          <w14:textFill>
            <w14:solidFill>
              <w14:schemeClr w14:val="tx1"/>
            </w14:solidFill>
          </w14:textFill>
        </w:rPr>
        <w:t>资格审查详见第四章“资格审查方法及标准”。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评标方法</w:t>
      </w:r>
    </w:p>
    <w:p>
      <w:pPr>
        <w:spacing w:line="360" w:lineRule="auto"/>
        <w:ind w:left="480" w:hanging="480" w:hanging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14:textFill>
            <w14:solidFill>
              <w14:schemeClr w14:val="tx1"/>
            </w14:solidFill>
          </w14:textFill>
        </w:rPr>
        <w:t>24.1</w:t>
      </w:r>
      <w:r>
        <w:rPr>
          <w:rFonts w:hint="eastAsia" w:ascii="宋体" w:hAnsi="宋体" w:eastAsia="宋体" w:cs="Times New Roman"/>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spacing w:line="360" w:lineRule="auto"/>
        <w:ind w:left="480" w:hanging="480" w:hanging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14:textFill>
            <w14:solidFill>
              <w14:schemeClr w14:val="tx1"/>
            </w14:solidFill>
          </w14:textFill>
        </w:rPr>
        <w:t>24.2</w:t>
      </w:r>
      <w:r>
        <w:rPr>
          <w:rFonts w:hint="eastAsia" w:ascii="宋体" w:hAnsi="宋体" w:eastAsia="宋体" w:cs="Times New Roman"/>
          <w:bCs/>
          <w:color w:val="000000" w:themeColor="text1"/>
          <w:sz w:val="24"/>
          <w:szCs w:val="20"/>
          <w:lang w:val="zh-CN"/>
          <w14:textFill>
            <w14:solidFill>
              <w14:schemeClr w14:val="tx1"/>
            </w14:solidFill>
          </w14:textFill>
        </w:rPr>
        <w:t>综合评分法。</w:t>
      </w:r>
      <w:r>
        <w:rPr>
          <w:rFonts w:ascii="宋体" w:hAnsi="宋体" w:eastAsia="宋体" w:cs="Times New Roman"/>
          <w:bCs/>
          <w:color w:val="000000" w:themeColor="text1"/>
          <w:sz w:val="24"/>
          <w:szCs w:val="20"/>
          <w:lang w:val="zh-CN"/>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14:textFill>
            <w14:solidFill>
              <w14:schemeClr w14:val="tx1"/>
            </w14:solidFill>
          </w14:textFill>
        </w:rPr>
        <w:t>24.3</w:t>
      </w:r>
      <w:r>
        <w:rPr>
          <w:rFonts w:hint="eastAsia" w:ascii="Helvetica" w:hAnsi="Helvetica" w:eastAsia="宋体"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评标委员会的组成</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Helvetica"/>
          <w:color w:val="000000" w:themeColor="text1"/>
          <w:kern w:val="0"/>
          <w:sz w:val="24"/>
          <w:szCs w:val="24"/>
          <w14:textFill>
            <w14:solidFill>
              <w14:schemeClr w14:val="tx1"/>
            </w14:solidFill>
          </w14:textFill>
        </w:rPr>
        <w:t>25.1</w:t>
      </w:r>
      <w:r>
        <w:rPr>
          <w:rFonts w:ascii="宋体" w:hAnsi="宋体" w:eastAsia="宋体" w:cs="Helvetica"/>
          <w:color w:val="000000" w:themeColor="text1"/>
          <w:kern w:val="0"/>
          <w:sz w:val="24"/>
          <w:szCs w:val="24"/>
          <w:lang w:val="zh-CN"/>
          <w14:textFill>
            <w14:solidFill>
              <w14:schemeClr w14:val="tx1"/>
            </w14:solidFill>
          </w14:textFill>
        </w:rPr>
        <w:t>评标委员会由评审专家组成，成员人数应当为5人</w:t>
      </w:r>
      <w:r>
        <w:rPr>
          <w:rFonts w:hint="eastAsia" w:ascii="宋体" w:hAnsi="宋体" w:eastAsia="宋体" w:cs="Helvetica"/>
          <w:color w:val="000000" w:themeColor="text1"/>
          <w:kern w:val="0"/>
          <w:sz w:val="24"/>
          <w:szCs w:val="24"/>
          <w:lang w:val="zh-CN"/>
          <w14:textFill>
            <w14:solidFill>
              <w14:schemeClr w14:val="tx1"/>
            </w14:solidFill>
          </w14:textFill>
        </w:rPr>
        <w:t>及</w:t>
      </w:r>
      <w:r>
        <w:rPr>
          <w:rFonts w:ascii="宋体" w:hAnsi="宋体" w:eastAsia="宋体" w:cs="Helvetica"/>
          <w:color w:val="000000" w:themeColor="text1"/>
          <w:kern w:val="0"/>
          <w:sz w:val="24"/>
          <w:szCs w:val="24"/>
          <w:lang w:val="zh-CN"/>
          <w14:textFill>
            <w14:solidFill>
              <w14:schemeClr w14:val="tx1"/>
            </w14:solidFill>
          </w14:textFill>
        </w:rPr>
        <w:t>以上单数，其中评审专家不得少于成员总数的三分之二</w:t>
      </w:r>
      <w:r>
        <w:rPr>
          <w:rFonts w:hint="eastAsia" w:ascii="宋体" w:hAnsi="宋体" w:eastAsia="宋体" w:cs="Helvetica"/>
          <w:color w:val="000000" w:themeColor="text1"/>
          <w:kern w:val="0"/>
          <w:sz w:val="24"/>
          <w:szCs w:val="24"/>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采购预算金额在1000万元</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w:t>
      </w:r>
      <w:r>
        <w:rPr>
          <w:rFonts w:hint="eastAsia" w:ascii="宋体" w:hAnsi="宋体" w:eastAsia="宋体" w:cs="Times New Roman"/>
          <w:color w:val="000000" w:themeColor="text1"/>
          <w:sz w:val="24"/>
          <w:szCs w:val="20"/>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技术复杂</w:t>
      </w:r>
      <w:r>
        <w:rPr>
          <w:rFonts w:hint="eastAsia" w:ascii="宋体" w:hAnsi="宋体" w:eastAsia="宋体" w:cs="Times New Roman"/>
          <w:color w:val="000000" w:themeColor="text1"/>
          <w:sz w:val="24"/>
          <w:szCs w:val="20"/>
          <w:lang w:val="zh-CN"/>
          <w14:textFill>
            <w14:solidFill>
              <w14:schemeClr w14:val="tx1"/>
            </w14:solidFill>
          </w14:textFill>
        </w:rPr>
        <w:t>或</w:t>
      </w:r>
      <w:r>
        <w:rPr>
          <w:rFonts w:ascii="宋体" w:hAnsi="宋体" w:eastAsia="宋体" w:cs="Times New Roman"/>
          <w:color w:val="000000" w:themeColor="text1"/>
          <w:sz w:val="24"/>
          <w:szCs w:val="20"/>
          <w:lang w:val="zh-CN"/>
          <w14:textFill>
            <w14:solidFill>
              <w14:schemeClr w14:val="tx1"/>
            </w14:solidFill>
          </w14:textFill>
        </w:rPr>
        <w:t>社会影响较大</w:t>
      </w:r>
      <w:r>
        <w:rPr>
          <w:rFonts w:hint="eastAsia" w:ascii="宋体" w:hAnsi="宋体" w:eastAsia="宋体" w:cs="Times New Roman"/>
          <w:color w:val="000000" w:themeColor="text1"/>
          <w:sz w:val="24"/>
          <w:szCs w:val="20"/>
          <w:lang w:val="zh-CN"/>
          <w14:textFill>
            <w14:solidFill>
              <w14:schemeClr w14:val="tx1"/>
            </w14:solidFill>
          </w14:textFill>
        </w:rPr>
        <w:t>的项目，</w:t>
      </w:r>
      <w:r>
        <w:rPr>
          <w:rFonts w:ascii="宋体" w:hAnsi="宋体" w:eastAsia="宋体" w:cs="Times New Roman"/>
          <w:color w:val="000000" w:themeColor="text1"/>
          <w:sz w:val="24"/>
          <w:szCs w:val="20"/>
          <w:lang w:val="zh-CN"/>
          <w14:textFill>
            <w14:solidFill>
              <w14:schemeClr w14:val="tx1"/>
            </w14:solidFill>
          </w14:textFill>
        </w:rPr>
        <w:t>评标委员会成员人数应当为7人</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以上单数</w:t>
      </w:r>
      <w:r>
        <w:rPr>
          <w:rFonts w:hint="eastAsia" w:ascii="宋体" w:hAnsi="宋体" w:eastAsia="宋体" w:cs="Times New Roman"/>
          <w:color w:val="000000" w:themeColor="text1"/>
          <w:sz w:val="24"/>
          <w:szCs w:val="20"/>
          <w:lang w:val="zh-CN"/>
          <w14:textFill>
            <w14:solidFill>
              <w14:schemeClr w14:val="tx1"/>
            </w14:solidFill>
          </w14:textFill>
        </w:rPr>
        <w:t>。</w:t>
      </w:r>
    </w:p>
    <w:p>
      <w:pPr>
        <w:spacing w:line="360" w:lineRule="auto"/>
        <w:ind w:left="482" w:hanging="480" w:hangingChars="20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14:textFill>
            <w14:solidFill>
              <w14:schemeClr w14:val="tx1"/>
            </w14:solidFill>
          </w14:textFill>
        </w:rPr>
        <w:t>25.2</w:t>
      </w:r>
      <w:r>
        <w:rPr>
          <w:rFonts w:hint="eastAsia" w:ascii="宋体" w:hAnsi="宋体" w:eastAsia="宋体" w:cs="Times New Roman"/>
          <w:b/>
          <w:color w:val="000000" w:themeColor="text1"/>
          <w:sz w:val="24"/>
          <w:szCs w:val="20"/>
          <w:lang w:val="zh-CN"/>
          <w14:textFill>
            <w14:solidFill>
              <w14:schemeClr w14:val="tx1"/>
            </w14:solidFill>
          </w14:textFill>
        </w:rPr>
        <w:t>评标委员会成员依法从政府采购专家库中随机抽取。</w:t>
      </w:r>
      <w:r>
        <w:rPr>
          <w:rFonts w:ascii="宋体" w:hAnsi="宋体" w:eastAsia="宋体" w:cs="Times New Roman"/>
          <w:b/>
          <w:color w:val="000000" w:themeColor="text1"/>
          <w:sz w:val="24"/>
          <w:szCs w:val="20"/>
          <w:lang w:val="zh-CN"/>
          <w14:textFill>
            <w14:solidFill>
              <w14:schemeClr w14:val="tx1"/>
            </w14:solidFill>
          </w14:textFill>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评标程序</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26.1</w:t>
      </w:r>
      <w:r>
        <w:rPr>
          <w:rFonts w:ascii="Helvetica" w:hAnsi="Helvetica" w:eastAsia="宋体" w:cs="Helvetica"/>
          <w:color w:val="000000" w:themeColor="text1"/>
          <w:kern w:val="0"/>
          <w:sz w:val="24"/>
          <w:szCs w:val="24"/>
          <w:lang w:val="zh-CN"/>
          <w14:textFill>
            <w14:solidFill>
              <w14:schemeClr w14:val="tx1"/>
            </w14:solidFill>
          </w14:textFill>
        </w:rPr>
        <w:t>评标委员会负责具体评标事务，并独立履行下列职责：</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26.1.1</w:t>
      </w:r>
      <w:r>
        <w:rPr>
          <w:rFonts w:ascii="宋体" w:hAnsi="宋体" w:eastAsia="宋体" w:cs="Times New Roman"/>
          <w:color w:val="000000" w:themeColor="text1"/>
          <w:sz w:val="24"/>
          <w:szCs w:val="20"/>
          <w:lang w:val="zh-CN"/>
          <w14:textFill>
            <w14:solidFill>
              <w14:schemeClr w14:val="tx1"/>
            </w14:solidFill>
          </w14:textFill>
        </w:rPr>
        <w:t>审查、评价投标文件是否符合招标文件的商务、技术等实质性要求；</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26.1.2</w:t>
      </w:r>
      <w:r>
        <w:rPr>
          <w:rFonts w:ascii="宋体" w:hAnsi="宋体" w:eastAsia="宋体" w:cs="Times New Roman"/>
          <w:color w:val="000000" w:themeColor="text1"/>
          <w:sz w:val="24"/>
          <w:szCs w:val="20"/>
          <w:lang w:val="zh-CN"/>
          <w14:textFill>
            <w14:solidFill>
              <w14:schemeClr w14:val="tx1"/>
            </w14:solidFill>
          </w14:textFill>
        </w:rPr>
        <w:t>要求投标人对投标文件有关事项作出澄清或者说明；</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26.1.3</w:t>
      </w:r>
      <w:r>
        <w:rPr>
          <w:rFonts w:ascii="宋体" w:hAnsi="宋体" w:eastAsia="宋体" w:cs="Times New Roman"/>
          <w:color w:val="000000" w:themeColor="text1"/>
          <w:sz w:val="24"/>
          <w:szCs w:val="20"/>
          <w:lang w:val="zh-CN"/>
          <w14:textFill>
            <w14:solidFill>
              <w14:schemeClr w14:val="tx1"/>
            </w14:solidFill>
          </w14:textFill>
        </w:rPr>
        <w:t>对投标文件进行</w:t>
      </w:r>
      <w:r>
        <w:rPr>
          <w:rFonts w:hint="eastAsia" w:ascii="宋体" w:hAnsi="宋体" w:eastAsia="宋体" w:cs="Times New Roman"/>
          <w:color w:val="000000" w:themeColor="text1"/>
          <w:sz w:val="24"/>
          <w:szCs w:val="20"/>
          <w:lang w:val="zh-CN"/>
          <w14:textFill>
            <w14:solidFill>
              <w14:schemeClr w14:val="tx1"/>
            </w14:solidFill>
          </w14:textFill>
        </w:rPr>
        <w:t>综合</w:t>
      </w:r>
      <w:r>
        <w:rPr>
          <w:rFonts w:ascii="宋体" w:hAnsi="宋体" w:eastAsia="宋体" w:cs="Times New Roman"/>
          <w:color w:val="000000" w:themeColor="text1"/>
          <w:sz w:val="24"/>
          <w:szCs w:val="20"/>
          <w:lang w:val="zh-CN"/>
          <w14:textFill>
            <w14:solidFill>
              <w14:schemeClr w14:val="tx1"/>
            </w14:solidFill>
          </w14:textFill>
        </w:rPr>
        <w:t>比较和评价；</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26.1.4</w:t>
      </w:r>
      <w:r>
        <w:rPr>
          <w:rFonts w:hint="eastAsia" w:ascii="宋体" w:hAnsi="宋体" w:eastAsia="宋体" w:cs="Times New Roman"/>
          <w:color w:val="000000" w:themeColor="text1"/>
          <w:sz w:val="24"/>
          <w:szCs w:val="20"/>
          <w:lang w:val="zh-CN"/>
          <w14:textFill>
            <w14:solidFill>
              <w14:schemeClr w14:val="tx1"/>
            </w14:solidFill>
          </w14:textFill>
        </w:rPr>
        <w:t>确定中标候选人名单或中标人；</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26.1.5</w:t>
      </w:r>
      <w:r>
        <w:rPr>
          <w:rFonts w:ascii="宋体" w:hAnsi="宋体" w:eastAsia="宋体" w:cs="Times New Roman"/>
          <w:color w:val="000000" w:themeColor="text1"/>
          <w:sz w:val="24"/>
          <w:szCs w:val="20"/>
          <w:lang w:val="zh-CN"/>
          <w14:textFill>
            <w14:solidFill>
              <w14:schemeClr w14:val="tx1"/>
            </w14:solidFill>
          </w14:textFill>
        </w:rPr>
        <w:t>向采购人、</w:t>
      </w:r>
      <w:r>
        <w:rPr>
          <w:rFonts w:hint="eastAsia" w:ascii="宋体" w:hAnsi="宋体" w:eastAsia="宋体" w:cs="Times New Roman"/>
          <w:color w:val="000000" w:themeColor="text1"/>
          <w:sz w:val="24"/>
          <w:szCs w:val="20"/>
          <w:lang w:val="zh-CN"/>
          <w14:textFill>
            <w14:solidFill>
              <w14:schemeClr w14:val="tx1"/>
            </w14:solidFill>
          </w14:textFill>
        </w:rPr>
        <w:t>集中采购</w:t>
      </w:r>
      <w:r>
        <w:rPr>
          <w:rFonts w:ascii="宋体" w:hAnsi="宋体" w:eastAsia="宋体" w:cs="Times New Roman"/>
          <w:color w:val="000000" w:themeColor="text1"/>
          <w:sz w:val="24"/>
          <w:szCs w:val="20"/>
          <w:lang w:val="zh-CN"/>
          <w14:textFill>
            <w14:solidFill>
              <w14:schemeClr w14:val="tx1"/>
            </w14:solidFill>
          </w14:textFill>
        </w:rPr>
        <w:t>机构或者有关部门报告评标中发现的违法行为。</w:t>
      </w:r>
    </w:p>
    <w:p>
      <w:pPr>
        <w:spacing w:line="360" w:lineRule="auto"/>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26.2</w:t>
      </w:r>
      <w:r>
        <w:rPr>
          <w:rFonts w:hint="eastAsia" w:ascii="Helvetica" w:hAnsi="Helvetica" w:eastAsia="宋体" w:cs="Helvetica"/>
          <w:color w:val="000000" w:themeColor="text1"/>
          <w:kern w:val="0"/>
          <w:sz w:val="24"/>
          <w:szCs w:val="24"/>
          <w:lang w:val="zh-CN"/>
          <w14:textFill>
            <w14:solidFill>
              <w14:schemeClr w14:val="tx1"/>
            </w14:solidFill>
          </w14:textFill>
        </w:rPr>
        <w:t>评标程序详见第五章“评标方法、程序及标准”。</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0" w:name="_Toc23964"/>
      <w:bookmarkStart w:id="21" w:name="_Toc494561943"/>
      <w:r>
        <w:rPr>
          <w:rFonts w:hint="eastAsia" w:cs="Times New Roman" w:asciiTheme="majorEastAsia" w:hAnsiTheme="majorEastAsia"/>
          <w:bCs w:val="0"/>
          <w:color w:val="000000" w:themeColor="text1"/>
          <w:lang w:val="zh-CN"/>
          <w14:textFill>
            <w14:solidFill>
              <w14:schemeClr w14:val="tx1"/>
            </w14:solidFill>
          </w14:textFill>
        </w:rPr>
        <w:t>投标人信用信息及查询</w:t>
      </w:r>
      <w:bookmarkEnd w:id="20"/>
      <w:bookmarkEnd w:id="21"/>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信用信息查询渠道及使用规则</w:t>
      </w:r>
    </w:p>
    <w:p>
      <w:pPr>
        <w:spacing w:line="360" w:lineRule="auto"/>
        <w:ind w:left="480" w:hanging="480" w:hangingChars="200"/>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14:textFill>
            <w14:solidFill>
              <w14:schemeClr w14:val="tx1"/>
            </w14:solidFill>
          </w14:textFill>
        </w:rPr>
        <w:t>27.1</w:t>
      </w:r>
      <w:r>
        <w:rPr>
          <w:rFonts w:hint="eastAsia" w:cs="Helvetica" w:asciiTheme="minorEastAsia" w:hAnsiTheme="minorEastAsi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color w:val="000000" w:themeColor="text1"/>
          <w:kern w:val="0"/>
          <w:sz w:val="24"/>
          <w:szCs w:val="24"/>
          <w:lang w:val="zh-CN"/>
          <w14:textFill>
            <w14:solidFill>
              <w14:schemeClr w14:val="tx1"/>
            </w14:solidFill>
          </w14:textFill>
        </w:rPr>
        <w:t>www.ccgp.gov.cn</w:t>
      </w:r>
      <w:r>
        <w:rPr>
          <w:rFonts w:hint="eastAsia" w:cs="Helvetica" w:asciiTheme="minorEastAsia" w:hAnsiTheme="minorEastAsia"/>
          <w:color w:val="000000" w:themeColor="text1"/>
          <w:kern w:val="0"/>
          <w:sz w:val="24"/>
          <w:szCs w:val="24"/>
          <w:lang w:val="zh-CN"/>
          <w14:textFill>
            <w14:solidFill>
              <w14:schemeClr w14:val="tx1"/>
            </w14:solidFill>
          </w14:textFill>
        </w:rPr>
        <w:fldChar w:fldCharType="end"/>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spacing w:line="360" w:lineRule="auto"/>
        <w:ind w:left="480" w:hanging="480" w:hangingChars="200"/>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14:textFill>
            <w14:solidFill>
              <w14:schemeClr w14:val="tx1"/>
            </w14:solidFill>
          </w14:textFill>
        </w:rPr>
        <w:t>27.2</w:t>
      </w:r>
      <w:r>
        <w:rPr>
          <w:rFonts w:hint="eastAsia" w:cs="Helvetica" w:asciiTheme="minorEastAsia" w:hAnsiTheme="minorEastAsia"/>
          <w:color w:val="000000" w:themeColor="text1"/>
          <w:kern w:val="0"/>
          <w:sz w:val="24"/>
          <w:szCs w:val="24"/>
          <w:lang w:val="zh-CN"/>
          <w14:textFill>
            <w14:solidFill>
              <w14:schemeClr w14:val="tx1"/>
            </w14:solidFill>
          </w14:textFill>
        </w:rPr>
        <w:t>列入失信被执行人、重大税收违法案件当事人名单、</w:t>
      </w:r>
      <w:r>
        <w:rPr>
          <w:rFonts w:hint="eastAsia" w:ascii="宋体" w:hAnsi="宋体" w:eastAsia="宋体" w:cs="Times New Roman"/>
          <w:color w:val="000000" w:themeColor="text1"/>
          <w:sz w:val="24"/>
          <w:szCs w:val="24"/>
          <w14:textFill>
            <w14:solidFill>
              <w14:schemeClr w14:val="tx1"/>
            </w14:solidFill>
          </w14:textFill>
        </w:rPr>
        <w:t>“中国政府采购网”（www.ccgp.gov.cn）</w:t>
      </w:r>
      <w:r>
        <w:rPr>
          <w:rFonts w:hint="eastAsia" w:cs="Helvetica" w:asciiTheme="minorEastAsia" w:hAnsiTheme="minorEastAsia"/>
          <w:color w:val="000000" w:themeColor="text1"/>
          <w:kern w:val="0"/>
          <w:sz w:val="24"/>
          <w:szCs w:val="24"/>
          <w:lang w:val="zh-CN"/>
          <w14:textFill>
            <w14:solidFill>
              <w14:schemeClr w14:val="tx1"/>
            </w14:solidFill>
          </w14:textFill>
        </w:rPr>
        <w:t>政府采购严重违法失信行为记录名单的供应商，采购人、采购代理机构</w:t>
      </w:r>
      <w:r>
        <w:rPr>
          <w:rFonts w:hint="eastAsia" w:cs="Helvetica" w:asciiTheme="minorEastAsia" w:hAnsiTheme="minorEastAsia"/>
          <w:b/>
          <w:color w:val="000000" w:themeColor="text1"/>
          <w:kern w:val="0"/>
          <w:sz w:val="24"/>
          <w:szCs w:val="24"/>
          <w:lang w:val="zh-CN"/>
          <w14:textFill>
            <w14:solidFill>
              <w14:schemeClr w14:val="tx1"/>
            </w14:solidFill>
          </w14:textFill>
        </w:rPr>
        <w:t>拒绝</w:t>
      </w:r>
      <w:r>
        <w:rPr>
          <w:rFonts w:hint="eastAsia" w:cs="Helvetica" w:asciiTheme="minorEastAsia" w:hAnsiTheme="minorEastAsia"/>
          <w:color w:val="000000" w:themeColor="text1"/>
          <w:kern w:val="0"/>
          <w:sz w:val="24"/>
          <w:szCs w:val="24"/>
          <w:lang w:val="zh-CN"/>
          <w14:textFill>
            <w14:solidFill>
              <w14:schemeClr w14:val="tx1"/>
            </w14:solidFill>
          </w14:textFill>
        </w:rPr>
        <w:t>其参与政府采购活动。</w:t>
      </w:r>
    </w:p>
    <w:p>
      <w:pPr>
        <w:spacing w:line="360" w:lineRule="auto"/>
        <w:ind w:left="480" w:hanging="480" w:hangingChars="200"/>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14:textFill>
            <w14:solidFill>
              <w14:schemeClr w14:val="tx1"/>
            </w14:solidFill>
          </w14:textFill>
        </w:rPr>
        <w:t>27.3</w:t>
      </w:r>
      <w:r>
        <w:rPr>
          <w:rFonts w:hint="eastAsia" w:cs="Helvetica" w:asciiTheme="minorEastAsia" w:hAnsiTheme="minorEastAsi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360" w:lineRule="auto"/>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14:textFill>
            <w14:solidFill>
              <w14:schemeClr w14:val="tx1"/>
            </w14:solidFill>
          </w14:textFill>
        </w:rPr>
        <w:t>27.4</w:t>
      </w:r>
      <w:r>
        <w:rPr>
          <w:rFonts w:hint="eastAsia" w:cs="Helvetica" w:asciiTheme="minorEastAsia" w:hAnsiTheme="minorEastAsia"/>
          <w:color w:val="000000" w:themeColor="text1"/>
          <w:kern w:val="0"/>
          <w:sz w:val="24"/>
          <w:szCs w:val="24"/>
          <w:lang w:val="zh-CN"/>
          <w14:textFill>
            <w14:solidFill>
              <w14:schemeClr w14:val="tx1"/>
            </w14:solidFill>
          </w14:textFill>
        </w:rPr>
        <w:t>投标人的信用记录，最终以评标时的“信用中国”网站发布的信息为准。</w:t>
      </w:r>
    </w:p>
    <w:p>
      <w:pPr>
        <w:spacing w:line="360" w:lineRule="auto"/>
        <w:ind w:left="480" w:hanging="480" w:hangingChars="200"/>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14:textFill>
            <w14:solidFill>
              <w14:schemeClr w14:val="tx1"/>
            </w14:solidFill>
          </w14:textFill>
        </w:rPr>
        <w:t>27.5</w:t>
      </w:r>
      <w:r>
        <w:rPr>
          <w:rFonts w:hint="eastAsia" w:cs="Helvetica" w:asciiTheme="minorEastAsia" w:hAnsiTheme="minorEastAsia"/>
          <w:color w:val="000000" w:themeColor="text1"/>
          <w:kern w:val="0"/>
          <w:sz w:val="24"/>
          <w:szCs w:val="24"/>
          <w:lang w:val="zh-CN"/>
          <w14:textFill>
            <w14:solidFill>
              <w14:schemeClr w14:val="tx1"/>
            </w14:solidFill>
          </w14:textFill>
        </w:rPr>
        <w:t>在资格审查与评标工作未同日进行的特殊情形下，</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采购人（或代理公司）</w:t>
      </w:r>
      <w:r>
        <w:rPr>
          <w:rFonts w:hint="eastAsia" w:cs="Helvetica" w:asciiTheme="minorEastAsia" w:hAnsiTheme="minorEastAsi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000000" w:themeColor="text1"/>
          <w:kern w:val="0"/>
          <w:sz w:val="24"/>
          <w:szCs w:val="24"/>
          <w:lang w:val="zh-CN"/>
          <w14:textFill>
            <w14:solidFill>
              <w14:schemeClr w14:val="tx1"/>
            </w14:solidFill>
          </w14:textFill>
        </w:rPr>
        <w:t>无效投标处理</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2" w:name="_Toc8226"/>
      <w:bookmarkStart w:id="23" w:name="_Toc494561944"/>
      <w:r>
        <w:rPr>
          <w:rFonts w:cs="Times New Roman" w:asciiTheme="majorEastAsia" w:hAnsiTheme="majorEastAsia"/>
          <w:bCs w:val="0"/>
          <w:color w:val="000000" w:themeColor="text1"/>
          <w:lang w:val="zh-CN"/>
          <w14:textFill>
            <w14:solidFill>
              <w14:schemeClr w14:val="tx1"/>
            </w14:solidFill>
          </w14:textFill>
        </w:rPr>
        <w:t>中标</w:t>
      </w:r>
      <w:r>
        <w:rPr>
          <w:rFonts w:hint="eastAsia" w:cs="Times New Roman" w:asciiTheme="majorEastAsia" w:hAnsiTheme="majorEastAsia"/>
          <w:bCs w:val="0"/>
          <w:color w:val="000000" w:themeColor="text1"/>
          <w:lang w:val="zh-CN"/>
          <w14:textFill>
            <w14:solidFill>
              <w14:schemeClr w14:val="tx1"/>
            </w14:solidFill>
          </w14:textFill>
        </w:rPr>
        <w:t>与</w:t>
      </w:r>
      <w:r>
        <w:rPr>
          <w:rFonts w:cs="Times New Roman" w:asciiTheme="majorEastAsia" w:hAnsiTheme="majorEastAsia"/>
          <w:bCs w:val="0"/>
          <w:color w:val="000000" w:themeColor="text1"/>
          <w:lang w:val="zh-CN"/>
          <w14:textFill>
            <w14:solidFill>
              <w14:schemeClr w14:val="tx1"/>
            </w14:solidFill>
          </w14:textFill>
        </w:rPr>
        <w:t>合同</w:t>
      </w:r>
      <w:bookmarkEnd w:id="22"/>
      <w:bookmarkEnd w:id="23"/>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确定中标人</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28.1</w:t>
      </w:r>
      <w:r>
        <w:rPr>
          <w:rFonts w:ascii="Helvetica" w:hAnsi="Helvetica" w:eastAsia="宋体" w:cs="Helvetica"/>
          <w:color w:val="000000" w:themeColor="text1"/>
          <w:kern w:val="0"/>
          <w:sz w:val="24"/>
          <w:szCs w:val="24"/>
          <w:lang w:val="zh-CN"/>
          <w14:textFill>
            <w14:solidFill>
              <w14:schemeClr w14:val="tx1"/>
            </w14:solidFill>
          </w14:textFill>
        </w:rPr>
        <w:t>采购人收到评标报告</w:t>
      </w:r>
      <w:r>
        <w:rPr>
          <w:rFonts w:ascii="宋体" w:hAnsi="宋体" w:eastAsia="宋体" w:cs="Helvetica"/>
          <w:color w:val="000000" w:themeColor="text1"/>
          <w:kern w:val="0"/>
          <w:sz w:val="24"/>
          <w:szCs w:val="24"/>
          <w:lang w:val="zh-CN"/>
          <w14:textFill>
            <w14:solidFill>
              <w14:schemeClr w14:val="tx1"/>
            </w14:solidFill>
          </w14:textFill>
        </w:rPr>
        <w:t>5个工作日内，</w:t>
      </w:r>
      <w:r>
        <w:rPr>
          <w:rFonts w:hint="eastAsia" w:ascii="宋体" w:hAnsi="宋体" w:eastAsia="宋体" w:cs="Helvetica"/>
          <w:color w:val="000000" w:themeColor="text1"/>
          <w:kern w:val="0"/>
          <w:sz w:val="24"/>
          <w:szCs w:val="24"/>
          <w:lang w:val="zh-CN"/>
          <w14:textFill>
            <w14:solidFill>
              <w14:schemeClr w14:val="tx1"/>
            </w14:solidFill>
          </w14:textFill>
        </w:rPr>
        <w:t>按</w:t>
      </w:r>
      <w:r>
        <w:rPr>
          <w:rFonts w:ascii="宋体" w:hAnsi="宋体" w:eastAsia="宋体" w:cs="Helvetica"/>
          <w:color w:val="000000" w:themeColor="text1"/>
          <w:kern w:val="0"/>
          <w:sz w:val="24"/>
          <w:szCs w:val="24"/>
          <w:lang w:val="zh-CN"/>
          <w14:textFill>
            <w14:solidFill>
              <w14:schemeClr w14:val="tx1"/>
            </w14:solidFill>
          </w14:textFill>
        </w:rPr>
        <w:t>评标报告推荐的中标候选人顺序确定中标人。</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28.2</w:t>
      </w:r>
      <w:r>
        <w:rPr>
          <w:rFonts w:ascii="Helvetica" w:hAnsi="Helvetica" w:eastAsia="宋体" w:cs="Helvetica"/>
          <w:color w:val="000000" w:themeColor="text1"/>
          <w:kern w:val="0"/>
          <w:sz w:val="24"/>
          <w:szCs w:val="24"/>
          <w:lang w:val="zh-CN"/>
          <w14:textFill>
            <w14:solidFill>
              <w14:schemeClr w14:val="tx1"/>
            </w14:solidFill>
          </w14:textFill>
        </w:rPr>
        <w:t>中标候选人并列的</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28.2.1</w:t>
      </w:r>
      <w:r>
        <w:rPr>
          <w:rFonts w:hint="eastAsia" w:ascii="宋体" w:hAnsi="宋体" w:eastAsia="宋体" w:cs="Times New Roman"/>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28.2.2</w:t>
      </w:r>
      <w:r>
        <w:rPr>
          <w:rFonts w:hint="eastAsia" w:ascii="宋体" w:hAnsi="宋体" w:eastAsia="宋体" w:cs="Times New Roman"/>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28.3</w:t>
      </w:r>
      <w:r>
        <w:rPr>
          <w:rFonts w:hint="eastAsia" w:ascii="宋体" w:hAnsi="宋体" w:eastAsia="宋体" w:cs="Times New Roman"/>
          <w:color w:val="000000" w:themeColor="text1"/>
          <w:sz w:val="24"/>
          <w:szCs w:val="20"/>
          <w:lang w:val="zh-CN"/>
          <w14:textFill>
            <w14:solidFill>
              <w14:schemeClr w14:val="tx1"/>
            </w14:solidFill>
          </w14:textFill>
        </w:rPr>
        <w:t>中标人的数量有其他规定的，按招标文件相关规定执行。</w:t>
      </w:r>
    </w:p>
    <w:p>
      <w:pPr>
        <w:spacing w:line="360" w:lineRule="auto"/>
        <w:ind w:left="480" w:hanging="480" w:hangingChars="200"/>
        <w:rPr>
          <w:rFonts w:ascii="宋体" w:hAnsi="宋体" w:eastAsia="宋体" w:cs="Times New Roman"/>
          <w:strike/>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28.4</w:t>
      </w:r>
      <w:r>
        <w:rPr>
          <w:rFonts w:hint="eastAsia" w:ascii="宋体" w:hAnsi="宋体" w:eastAsia="宋体" w:cs="Times New Roman"/>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spacing w:line="360" w:lineRule="auto"/>
        <w:rPr>
          <w:rFonts w:ascii="宋体" w:hAnsi="宋体" w:eastAsia="宋体" w:cs="Times New Roman"/>
          <w:strike/>
          <w:color w:val="000000" w:themeColor="text1"/>
          <w:sz w:val="24"/>
          <w:szCs w:val="20"/>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28.5</w:t>
      </w:r>
      <w:r>
        <w:rPr>
          <w:rFonts w:ascii="Helvetica" w:hAnsi="Helvetica" w:eastAsia="宋体"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28.6</w:t>
      </w:r>
      <w:r>
        <w:rPr>
          <w:rFonts w:hint="eastAsia" w:ascii="宋体" w:hAnsi="宋体" w:eastAsia="宋体" w:cs="Times New Roman"/>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合同签订</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bookmarkStart w:id="24" w:name="_Toc278891597"/>
      <w:bookmarkStart w:id="25" w:name="_Toc272247700"/>
      <w:r>
        <w:rPr>
          <w:rFonts w:hint="eastAsia" w:ascii="宋体" w:hAnsi="宋体" w:eastAsia="宋体" w:cs="Times New Roman"/>
          <w:color w:val="000000" w:themeColor="text1"/>
          <w:sz w:val="24"/>
          <w:szCs w:val="20"/>
          <w14:textFill>
            <w14:solidFill>
              <w14:schemeClr w14:val="tx1"/>
            </w14:solidFill>
          </w14:textFill>
        </w:rPr>
        <w:t>30.1</w:t>
      </w:r>
      <w:r>
        <w:rPr>
          <w:rFonts w:ascii="宋体" w:hAnsi="宋体" w:eastAsia="宋体" w:cs="Times New Roman"/>
          <w:color w:val="000000" w:themeColor="text1"/>
          <w:sz w:val="24"/>
          <w:szCs w:val="20"/>
          <w:lang w:val="zh-CN"/>
          <w14:textFill>
            <w14:solidFill>
              <w14:schemeClr w14:val="tx1"/>
            </w14:solidFill>
          </w14:textFill>
        </w:rPr>
        <w:t>采购人应当自中标通知书发出之日起30日内，按照招标文件</w:t>
      </w:r>
      <w:r>
        <w:rPr>
          <w:rFonts w:hint="eastAsia" w:ascii="宋体" w:hAnsi="宋体" w:eastAsia="宋体" w:cs="Times New Roman"/>
          <w:color w:val="000000" w:themeColor="text1"/>
          <w:sz w:val="24"/>
          <w:szCs w:val="20"/>
          <w:lang w:val="zh-CN"/>
          <w14:textFill>
            <w14:solidFill>
              <w14:schemeClr w14:val="tx1"/>
            </w14:solidFill>
          </w14:textFill>
        </w:rPr>
        <w:t>规定</w:t>
      </w:r>
      <w:r>
        <w:rPr>
          <w:rFonts w:ascii="宋体" w:hAnsi="宋体" w:eastAsia="宋体" w:cs="Times New Roman"/>
          <w:color w:val="000000" w:themeColor="text1"/>
          <w:sz w:val="24"/>
          <w:szCs w:val="20"/>
          <w:lang w:val="zh-CN"/>
          <w14:textFill>
            <w14:solidFill>
              <w14:schemeClr w14:val="tx1"/>
            </w14:solidFill>
          </w14:textFill>
        </w:rPr>
        <w:t>和中标人投标文件的</w:t>
      </w:r>
      <w:r>
        <w:rPr>
          <w:rFonts w:hint="eastAsia" w:ascii="宋体" w:hAnsi="宋体" w:eastAsia="宋体" w:cs="Times New Roman"/>
          <w:color w:val="000000" w:themeColor="text1"/>
          <w:sz w:val="24"/>
          <w:szCs w:val="20"/>
          <w:lang w:val="zh-CN"/>
          <w14:textFill>
            <w14:solidFill>
              <w14:schemeClr w14:val="tx1"/>
            </w14:solidFill>
          </w14:textFill>
        </w:rPr>
        <w:t>承诺</w:t>
      </w:r>
      <w:r>
        <w:rPr>
          <w:rFonts w:ascii="宋体" w:hAnsi="宋体" w:eastAsia="宋体" w:cs="Times New Roman"/>
          <w:color w:val="000000" w:themeColor="text1"/>
          <w:sz w:val="24"/>
          <w:szCs w:val="20"/>
          <w:lang w:val="zh-CN"/>
          <w14:textFill>
            <w14:solidFill>
              <w14:schemeClr w14:val="tx1"/>
            </w14:solidFill>
          </w14:textFill>
        </w:rPr>
        <w:t>，与中标人签订书面合同。所签订的合同不得对招标文件确定的事项和中标人投标文件作实质性修改。</w:t>
      </w:r>
    </w:p>
    <w:p>
      <w:pPr>
        <w:tabs>
          <w:tab w:val="left" w:pos="616"/>
        </w:tabs>
        <w:spacing w:line="360" w:lineRule="auto"/>
        <w:rPr>
          <w:rFonts w:asciiTheme="majorEastAsia" w:hAnsiTheme="majorEastAsia" w:eastAsiaTheme="majorEastAsia" w:cstheme="majorEastAsia"/>
          <w:color w:val="000000" w:themeColor="text1"/>
          <w:sz w:val="24"/>
          <w:szCs w:val="20"/>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30.2</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采购人不得向中标人提出任何不合理的要求作为签订合同的条件。</w:t>
      </w:r>
    </w:p>
    <w:p>
      <w:pPr>
        <w:tabs>
          <w:tab w:val="left" w:pos="616"/>
        </w:tabs>
        <w:spacing w:line="360" w:lineRule="auto"/>
        <w:rPr>
          <w:rFonts w:asciiTheme="majorEastAsia" w:hAnsiTheme="majorEastAsia" w:eastAsiaTheme="majorEastAsia" w:cstheme="majorEastAsia"/>
          <w:color w:val="000000" w:themeColor="text1"/>
          <w:sz w:val="24"/>
          <w:szCs w:val="20"/>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0"/>
          <w14:textFill>
            <w14:solidFill>
              <w14:schemeClr w14:val="tx1"/>
            </w14:solidFill>
          </w14:textFill>
        </w:rPr>
        <w:t>30.3</w:t>
      </w:r>
      <w:r>
        <w:rPr>
          <w:rFonts w:hint="eastAsia" w:asciiTheme="majorEastAsia" w:hAnsiTheme="majorEastAsia" w:eastAsiaTheme="majorEastAsia" w:cstheme="majorEastAsia"/>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tabs>
          <w:tab w:val="left" w:pos="616"/>
        </w:tabs>
        <w:spacing w:line="360" w:lineRule="auto"/>
        <w:rPr>
          <w:rFonts w:asciiTheme="majorEastAsia" w:hAnsiTheme="majorEastAsia" w:eastAsiaTheme="majorEastAsia" w:cstheme="majorEastAsia"/>
          <w:color w:val="000000" w:themeColor="text1"/>
          <w:sz w:val="24"/>
          <w:szCs w:val="20"/>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30.4</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tabs>
          <w:tab w:val="left" w:pos="616"/>
        </w:tabs>
        <w:spacing w:line="360" w:lineRule="auto"/>
        <w:rPr>
          <w:rFonts w:asciiTheme="majorEastAsia" w:hAnsiTheme="majorEastAsia" w:eastAsiaTheme="majorEastAsia" w:cstheme="majorEastAsia"/>
          <w:color w:val="000000" w:themeColor="text1"/>
          <w:sz w:val="24"/>
          <w:szCs w:val="20"/>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0"/>
          <w14:textFill>
            <w14:solidFill>
              <w14:schemeClr w14:val="tx1"/>
            </w14:solidFill>
          </w14:textFill>
        </w:rPr>
        <w:t>30.5采购人应当自政府采购合同签订之日起2个工作日内，将政府采购合同在省级以上人民政府财政部门指定的媒体上公告，但政府采购合同中涉及国家秘密、商业秘密的内容除外。</w:t>
      </w:r>
    </w:p>
    <w:p>
      <w:pPr>
        <w:tabs>
          <w:tab w:val="left" w:pos="616"/>
        </w:tabs>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30.6</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采购人应当加强对中标人的履约管理，并按照采购合同约定，及时向中标人支付采购</w:t>
      </w:r>
      <w:r>
        <w:rPr>
          <w:rFonts w:ascii="Helvetica" w:hAnsi="Helvetica" w:eastAsia="宋体" w:cs="Helvetica"/>
          <w:color w:val="000000" w:themeColor="text1"/>
          <w:kern w:val="0"/>
          <w:sz w:val="24"/>
          <w:szCs w:val="24"/>
          <w:lang w:val="zh-CN"/>
          <w14:textFill>
            <w14:solidFill>
              <w14:schemeClr w14:val="tx1"/>
            </w14:solidFill>
          </w14:textFill>
        </w:rPr>
        <w:t>资金。对于中标人违反采购合同约定的行为，采购人应当及时处理，依法追究其违约责任。</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6" w:name="_Toc28803"/>
      <w:bookmarkStart w:id="27" w:name="_Toc494561945"/>
      <w:r>
        <w:rPr>
          <w:rFonts w:hint="eastAsia" w:cs="Times New Roman" w:asciiTheme="majorEastAsia" w:hAnsiTheme="majorEastAsia"/>
          <w:bCs w:val="0"/>
          <w:color w:val="000000" w:themeColor="text1"/>
          <w:lang w:val="zh-CN"/>
          <w14:textFill>
            <w14:solidFill>
              <w14:schemeClr w14:val="tx1"/>
            </w14:solidFill>
          </w14:textFill>
        </w:rPr>
        <w:t>采购信息公告</w:t>
      </w:r>
      <w:bookmarkEnd w:id="26"/>
      <w:bookmarkEnd w:id="27"/>
    </w:p>
    <w:p>
      <w:pPr>
        <w:numPr>
          <w:ilvl w:val="0"/>
          <w:numId w:val="5"/>
        </w:numPr>
        <w:spacing w:line="360" w:lineRule="auto"/>
        <w:ind w:left="560" w:hanging="560"/>
        <w:rPr>
          <w:rFonts w:ascii="宋体" w:hAnsi="宋体" w:eastAsia="宋体" w:cs="Helvetica"/>
          <w:b/>
          <w:color w:val="000000" w:themeColor="text1"/>
          <w:kern w:val="0"/>
          <w:sz w:val="24"/>
          <w:szCs w:val="24"/>
          <w:lang w:val="zh-CN"/>
          <w14:textFill>
            <w14:solidFill>
              <w14:schemeClr w14:val="tx1"/>
            </w14:solidFill>
          </w14:textFill>
        </w:rPr>
      </w:pPr>
      <w:r>
        <w:rPr>
          <w:rFonts w:hint="eastAsia" w:ascii="宋体" w:hAnsi="宋体" w:eastAsia="宋体" w:cs="Helvetica"/>
          <w:b/>
          <w:color w:val="000000" w:themeColor="text1"/>
          <w:kern w:val="0"/>
          <w:sz w:val="24"/>
          <w:szCs w:val="24"/>
          <w:lang w:val="zh-CN"/>
          <w14:textFill>
            <w14:solidFill>
              <w14:schemeClr w14:val="tx1"/>
            </w14:solidFill>
          </w14:textFill>
        </w:rPr>
        <w:t>公告的媒体及规定</w:t>
      </w:r>
    </w:p>
    <w:p>
      <w:pPr>
        <w:tabs>
          <w:tab w:val="left" w:pos="616"/>
        </w:tabs>
        <w:spacing w:line="360" w:lineRule="auto"/>
        <w:ind w:left="480" w:hanging="480" w:hangingChars="200"/>
        <w:rPr>
          <w:rFonts w:cs="Helvetica" w:asciiTheme="minorEastAsia" w:hAnsiTheme="minorEastAsi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31.1</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Helvetica" w:asciiTheme="minorEastAsia" w:hAnsiTheme="minorEastAsia"/>
          <w:color w:val="000000" w:themeColor="text1"/>
          <w:kern w:val="0"/>
          <w:sz w:val="24"/>
          <w:szCs w:val="24"/>
          <w:lang w:val="zh-CN"/>
          <w14:textFill>
            <w14:solidFill>
              <w14:schemeClr w14:val="tx1"/>
            </w14:solidFill>
          </w14:textFill>
        </w:rPr>
        <w:t>在招标活动中的公告、补充、更正、结果等采购信息均依法在政府采购监管部门指定媒体上（中国湖北政府采购网http://www.ccgp-hubei.gov.cn/）发布。</w:t>
      </w:r>
    </w:p>
    <w:p>
      <w:pPr>
        <w:tabs>
          <w:tab w:val="left" w:pos="616"/>
        </w:tabs>
        <w:spacing w:line="360" w:lineRule="auto"/>
        <w:ind w:left="480" w:hanging="480" w:hangingChars="200"/>
        <w:rPr>
          <w:rFonts w:cs="Helvetica" w:asciiTheme="minorEastAsia" w:hAnsiTheme="minorEastAsia"/>
          <w:b/>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31.2</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cs="Helvetica" w:asciiTheme="minorEastAsia" w:hAnsiTheme="minorEastAsia"/>
          <w:color w:val="000000" w:themeColor="text1"/>
          <w:kern w:val="0"/>
          <w:sz w:val="24"/>
          <w:szCs w:val="24"/>
          <w:lang w:val="zh-CN"/>
          <w14:textFill>
            <w14:solidFill>
              <w14:schemeClr w14:val="tx1"/>
            </w14:solidFill>
          </w14:textFill>
        </w:rPr>
        <w:t>在自</w:t>
      </w:r>
      <w:r>
        <w:rPr>
          <w:rFonts w:cs="Helvetica" w:asciiTheme="minorEastAsia" w:hAnsiTheme="minorEastAsia"/>
          <w:color w:val="000000" w:themeColor="text1"/>
          <w:kern w:val="0"/>
          <w:sz w:val="24"/>
          <w:szCs w:val="24"/>
          <w:lang w:val="zh-CN"/>
          <w14:textFill>
            <w14:solidFill>
              <w14:schemeClr w14:val="tx1"/>
            </w14:solidFill>
          </w14:textFill>
        </w:rPr>
        <w:t>中标人确定之日起2个工作日内，</w:t>
      </w:r>
      <w:r>
        <w:rPr>
          <w:rFonts w:hint="eastAsia" w:cs="Helvetica" w:asciiTheme="minorEastAsia" w:hAnsiTheme="minorEastAsia"/>
          <w:color w:val="000000" w:themeColor="text1"/>
          <w:kern w:val="0"/>
          <w:sz w:val="24"/>
          <w:szCs w:val="24"/>
          <w:lang w:val="zh-CN"/>
          <w14:textFill>
            <w14:solidFill>
              <w14:schemeClr w14:val="tx1"/>
            </w14:solidFill>
          </w14:textFill>
        </w:rPr>
        <w:t>在政府采购监管部门指定媒体上</w:t>
      </w:r>
      <w:r>
        <w:rPr>
          <w:rFonts w:cs="Helvetica" w:asciiTheme="minorEastAsia" w:hAnsiTheme="minorEastAsia"/>
          <w:color w:val="000000" w:themeColor="text1"/>
          <w:kern w:val="0"/>
          <w:sz w:val="24"/>
          <w:szCs w:val="24"/>
          <w:lang w:val="zh-CN"/>
          <w14:textFill>
            <w14:solidFill>
              <w14:schemeClr w14:val="tx1"/>
            </w14:solidFill>
          </w14:textFill>
        </w:rPr>
        <w:t>公告中标结果</w:t>
      </w:r>
      <w:r>
        <w:rPr>
          <w:rFonts w:hint="eastAsia"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b/>
          <w:color w:val="000000" w:themeColor="text1"/>
          <w:kern w:val="0"/>
          <w:sz w:val="24"/>
          <w:szCs w:val="24"/>
          <w:lang w:val="zh-CN"/>
          <w14:textFill>
            <w14:solidFill>
              <w14:schemeClr w14:val="tx1"/>
            </w14:solidFill>
          </w14:textFill>
        </w:rPr>
        <w:t>中标公告的公示期为1个工作日。</w:t>
      </w:r>
    </w:p>
    <w:p>
      <w:pPr>
        <w:tabs>
          <w:tab w:val="left" w:pos="616"/>
        </w:tabs>
        <w:spacing w:line="360" w:lineRule="auto"/>
        <w:ind w:left="480" w:hanging="480" w:hangingChars="200"/>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14:textFill>
            <w14:solidFill>
              <w14:schemeClr w14:val="tx1"/>
            </w14:solidFill>
          </w14:textFill>
        </w:rPr>
        <w:t>31.3</w:t>
      </w:r>
      <w:r>
        <w:rPr>
          <w:rFonts w:hint="eastAsia" w:cs="Helvetica" w:asciiTheme="minorEastAsia" w:hAnsiTheme="minorEastAsia"/>
          <w:color w:val="000000" w:themeColor="text1"/>
          <w:kern w:val="0"/>
          <w:sz w:val="24"/>
          <w:szCs w:val="24"/>
          <w:lang w:val="zh-CN"/>
          <w14:textFill>
            <w14:solidFill>
              <w14:schemeClr w14:val="tx1"/>
            </w14:solidFill>
          </w14:textFill>
        </w:rPr>
        <w:t>资格审查未通过的投标人可在结果公告质疑有效期内按公告中的联系方式获知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w:t>
      </w:r>
      <w:r>
        <w:rPr>
          <w:rFonts w:hint="eastAsia" w:cs="Helvetica" w:asciiTheme="minorEastAsia" w:hAnsiTheme="minorEastAsia"/>
          <w:color w:val="000000" w:themeColor="text1"/>
          <w:kern w:val="0"/>
          <w:sz w:val="24"/>
          <w:szCs w:val="24"/>
          <w:lang w:val="zh-CN"/>
          <w14:textFill>
            <w14:solidFill>
              <w14:schemeClr w14:val="tx1"/>
            </w14:solidFill>
          </w14:textFill>
        </w:rPr>
        <w:t>资格审查情况</w:t>
      </w:r>
      <w:r>
        <w:rPr>
          <w:rFonts w:cs="Helvetica" w:asciiTheme="minorEastAsia" w:hAnsiTheme="minorEastAsia"/>
          <w:color w:val="000000" w:themeColor="text1"/>
          <w:kern w:val="0"/>
          <w:sz w:val="24"/>
          <w:szCs w:val="24"/>
          <w:lang w:val="zh-CN"/>
          <w14:textFill>
            <w14:solidFill>
              <w14:schemeClr w14:val="tx1"/>
            </w14:solidFill>
          </w14:textFill>
        </w:rPr>
        <w:t>。</w:t>
      </w:r>
    </w:p>
    <w:p>
      <w:pPr>
        <w:tabs>
          <w:tab w:val="left" w:pos="616"/>
        </w:tabs>
        <w:spacing w:line="360" w:lineRule="auto"/>
        <w:ind w:left="480" w:hanging="480" w:hangingChars="200"/>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14:textFill>
            <w14:solidFill>
              <w14:schemeClr w14:val="tx1"/>
            </w14:solidFill>
          </w14:textFill>
        </w:rPr>
        <w:t>31.4</w:t>
      </w:r>
      <w:r>
        <w:rPr>
          <w:rFonts w:cs="Helvetica" w:asciiTheme="minorEastAsia" w:hAnsiTheme="minorEastAsia"/>
          <w:color w:val="000000" w:themeColor="text1"/>
          <w:kern w:val="0"/>
          <w:sz w:val="24"/>
          <w:szCs w:val="24"/>
          <w:lang w:val="zh-CN"/>
          <w14:textFill>
            <w14:solidFill>
              <w14:schemeClr w14:val="tx1"/>
            </w14:solidFill>
          </w14:textFill>
        </w:rPr>
        <w:t>采用综合评分法评审的</w:t>
      </w:r>
      <w:r>
        <w:rPr>
          <w:rFonts w:hint="eastAsia" w:cs="Helvetica" w:asciiTheme="minorEastAsia" w:hAnsiTheme="minorEastAsia"/>
          <w:color w:val="000000" w:themeColor="text1"/>
          <w:kern w:val="0"/>
          <w:sz w:val="24"/>
          <w:szCs w:val="24"/>
          <w:lang w:val="zh-CN"/>
          <w14:textFill>
            <w14:solidFill>
              <w14:schemeClr w14:val="tx1"/>
            </w14:solidFill>
          </w14:textFill>
        </w:rPr>
        <w:t>项目</w:t>
      </w:r>
      <w:r>
        <w:rPr>
          <w:rFonts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color w:val="000000" w:themeColor="text1"/>
          <w:kern w:val="0"/>
          <w:sz w:val="24"/>
          <w:szCs w:val="24"/>
          <w:lang w:val="zh-CN"/>
          <w14:textFill>
            <w14:solidFill>
              <w14:schemeClr w14:val="tx1"/>
            </w14:solidFill>
          </w14:textFill>
        </w:rPr>
        <w:t>未中标人可在结果公告质疑有效期内按公告中的联系方式获知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的评审得分与排序。</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8" w:name="_Toc494561946"/>
      <w:bookmarkStart w:id="29" w:name="_Toc11957"/>
      <w:r>
        <w:rPr>
          <w:rFonts w:hint="eastAsia" w:cs="Times New Roman" w:asciiTheme="majorEastAsia" w:hAnsiTheme="majorEastAsia"/>
          <w:bCs w:val="0"/>
          <w:color w:val="000000" w:themeColor="text1"/>
          <w:lang w:val="zh-CN"/>
          <w14:textFill>
            <w14:solidFill>
              <w14:schemeClr w14:val="tx1"/>
            </w14:solidFill>
          </w14:textFill>
        </w:rPr>
        <w:t>质疑</w:t>
      </w:r>
      <w:bookmarkEnd w:id="24"/>
      <w:bookmarkEnd w:id="25"/>
      <w:r>
        <w:rPr>
          <w:rFonts w:hint="eastAsia" w:cs="Times New Roman" w:asciiTheme="majorEastAsia" w:hAnsiTheme="majorEastAsia"/>
          <w:bCs w:val="0"/>
          <w:color w:val="000000" w:themeColor="text1"/>
          <w:lang w:val="zh-CN"/>
          <w14:textFill>
            <w14:solidFill>
              <w14:schemeClr w14:val="tx1"/>
            </w14:solidFill>
          </w14:textFill>
        </w:rPr>
        <w:t>及提交</w:t>
      </w:r>
      <w:bookmarkEnd w:id="28"/>
      <w:bookmarkEnd w:id="29"/>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60" w:lineRule="auto"/>
        <w:ind w:left="420" w:right="32" w:firstLine="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14:textFill>
            <w14:solidFill>
              <w14:schemeClr w14:val="tx1"/>
            </w14:solidFill>
          </w14:textFill>
        </w:rPr>
        <w:t>向</w:t>
      </w:r>
      <w:r>
        <w:rPr>
          <w:rFonts w:hint="eastAsia" w:ascii="宋体" w:hAnsi="宋体" w:eastAsia="宋体" w:cs="Times New Roman"/>
          <w:color w:val="000000" w:themeColor="text1"/>
          <w:sz w:val="24"/>
          <w:szCs w:val="20"/>
          <w:lang w:val="zh-CN"/>
          <w14:textFill>
            <w14:solidFill>
              <w14:schemeClr w14:val="tx1"/>
            </w14:solidFill>
          </w14:textFill>
        </w:rPr>
        <w:t>代理公司</w:t>
      </w:r>
      <w:r>
        <w:rPr>
          <w:rFonts w:ascii="宋体" w:hAnsi="宋体" w:eastAsia="宋体" w:cs="Times New Roman"/>
          <w:color w:val="000000" w:themeColor="text1"/>
          <w:sz w:val="24"/>
          <w:szCs w:val="20"/>
          <w:lang w:val="zh-CN"/>
          <w14:textFill>
            <w14:solidFill>
              <w14:schemeClr w14:val="tx1"/>
            </w14:solidFill>
          </w14:textFill>
        </w:rPr>
        <w:t>提出</w:t>
      </w:r>
      <w:r>
        <w:rPr>
          <w:rFonts w:hint="eastAsia" w:ascii="宋体" w:hAnsi="宋体" w:eastAsia="宋体" w:cs="Times New Roman"/>
          <w:color w:val="000000" w:themeColor="text1"/>
          <w:sz w:val="24"/>
          <w:szCs w:val="20"/>
          <w:lang w:val="zh-CN"/>
          <w14:textFill>
            <w14:solidFill>
              <w14:schemeClr w14:val="tx1"/>
            </w14:solidFill>
          </w14:textFill>
        </w:rPr>
        <w:t>书面</w:t>
      </w:r>
      <w:r>
        <w:rPr>
          <w:rFonts w:ascii="宋体" w:hAnsi="宋体" w:eastAsia="宋体" w:cs="Times New Roman"/>
          <w:color w:val="000000" w:themeColor="text1"/>
          <w:sz w:val="24"/>
          <w:szCs w:val="20"/>
          <w:lang w:val="zh-CN"/>
          <w14:textFill>
            <w14:solidFill>
              <w14:schemeClr w14:val="tx1"/>
            </w14:solidFill>
          </w14:textFill>
        </w:rPr>
        <w:t>质疑</w:t>
      </w:r>
      <w:r>
        <w:rPr>
          <w:rFonts w:hint="eastAsia" w:ascii="宋体" w:hAnsi="宋体" w:eastAsia="宋体" w:cs="Times New Roman"/>
          <w:color w:val="000000" w:themeColor="text1"/>
          <w:sz w:val="24"/>
          <w:szCs w:val="20"/>
          <w:lang w:val="zh-CN"/>
          <w14:textFill>
            <w14:solidFill>
              <w14:schemeClr w14:val="tx1"/>
            </w14:solidFill>
          </w14:textFill>
        </w:rPr>
        <w:t>，质疑提出时间以收到之日为准。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w:t>
      </w:r>
      <w:r>
        <w:rPr>
          <w:rFonts w:ascii="宋体" w:hAnsi="宋体" w:eastAsia="宋体" w:cs="Times New Roman"/>
          <w:b/>
          <w:color w:val="000000" w:themeColor="text1"/>
          <w:sz w:val="24"/>
          <w:szCs w:val="20"/>
          <w:lang w:val="zh-CN"/>
          <w14:textFill>
            <w14:solidFill>
              <w14:schemeClr w14:val="tx1"/>
            </w14:solidFill>
          </w14:textFill>
        </w:rPr>
        <w:t>应知其权益受到损害之日是指：</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 xml:space="preserve">33.1 </w:t>
      </w:r>
      <w:r>
        <w:rPr>
          <w:rFonts w:ascii="宋体" w:hAnsi="宋体" w:eastAsia="宋体" w:cs="Times New Roman"/>
          <w:color w:val="000000" w:themeColor="text1"/>
          <w:sz w:val="24"/>
          <w:szCs w:val="20"/>
          <w:lang w:val="zh-CN"/>
          <w14:textFill>
            <w14:solidFill>
              <w14:schemeClr w14:val="tx1"/>
            </w14:solidFill>
          </w14:textFill>
        </w:rPr>
        <w:t>对可以质疑的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文件提出质疑的，为收到</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文件之日或者</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文件公告期限届满之日</w:t>
      </w:r>
      <w:r>
        <w:rPr>
          <w:rFonts w:hint="eastAsia" w:ascii="宋体" w:hAnsi="宋体" w:eastAsia="宋体" w:cs="Times New Roman"/>
          <w:color w:val="000000" w:themeColor="text1"/>
          <w:sz w:val="24"/>
          <w:szCs w:val="20"/>
          <w:lang w:val="zh-CN"/>
          <w14:textFill>
            <w14:solidFill>
              <w14:schemeClr w14:val="tx1"/>
            </w14:solidFill>
          </w14:textFill>
        </w:rPr>
        <w:t>；</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33.2</w:t>
      </w:r>
      <w:r>
        <w:rPr>
          <w:rFonts w:ascii="宋体" w:hAnsi="宋体" w:eastAsia="宋体" w:cs="Times New Roman"/>
          <w:color w:val="000000" w:themeColor="text1"/>
          <w:sz w:val="24"/>
          <w:szCs w:val="20"/>
          <w:lang w:val="zh-CN"/>
          <w14:textFill>
            <w14:solidFill>
              <w14:schemeClr w14:val="tx1"/>
            </w14:solidFill>
          </w14:textFill>
        </w:rPr>
        <w:t>对</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过程提出质疑的，为各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程序环节结束之日</w:t>
      </w:r>
      <w:r>
        <w:rPr>
          <w:rFonts w:hint="eastAsia" w:ascii="宋体" w:hAnsi="宋体" w:eastAsia="宋体" w:cs="Times New Roman"/>
          <w:color w:val="000000" w:themeColor="text1"/>
          <w:sz w:val="24"/>
          <w:szCs w:val="20"/>
          <w:lang w:val="zh-CN"/>
          <w14:textFill>
            <w14:solidFill>
              <w14:schemeClr w14:val="tx1"/>
            </w14:solidFill>
          </w14:textFill>
        </w:rPr>
        <w:t>；</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33.3</w:t>
      </w:r>
      <w:r>
        <w:rPr>
          <w:rFonts w:ascii="宋体" w:hAnsi="宋体" w:eastAsia="宋体" w:cs="Times New Roman"/>
          <w:color w:val="000000" w:themeColor="text1"/>
          <w:sz w:val="24"/>
          <w:szCs w:val="20"/>
          <w:lang w:val="zh-CN"/>
          <w14:textFill>
            <w14:solidFill>
              <w14:schemeClr w14:val="tx1"/>
            </w14:solidFill>
          </w14:textFill>
        </w:rPr>
        <w:t>对中标结果提出质疑的，为中标公告期限届满之日。</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质疑书应当包括下列主要内容：</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34.1</w:t>
      </w:r>
      <w:r>
        <w:rPr>
          <w:rFonts w:hint="eastAsia" w:ascii="宋体" w:hAnsi="宋体" w:eastAsia="宋体" w:cs="Times New Roman"/>
          <w:color w:val="000000" w:themeColor="text1"/>
          <w:sz w:val="24"/>
          <w:szCs w:val="20"/>
          <w:lang w:val="zh-CN"/>
          <w14:textFill>
            <w14:solidFill>
              <w14:schemeClr w14:val="tx1"/>
            </w14:solidFill>
          </w14:textFill>
        </w:rPr>
        <w:t>质疑人的名称、地址、联系人及联系电话等；</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34.2</w:t>
      </w:r>
      <w:r>
        <w:rPr>
          <w:rFonts w:hint="eastAsia" w:ascii="宋体" w:hAnsi="宋体" w:eastAsia="宋体" w:cs="Times New Roman"/>
          <w:color w:val="000000" w:themeColor="text1"/>
          <w:sz w:val="24"/>
          <w:szCs w:val="20"/>
          <w:lang w:val="zh-CN"/>
          <w14:textFill>
            <w14:solidFill>
              <w14:schemeClr w14:val="tx1"/>
            </w14:solidFill>
          </w14:textFill>
        </w:rPr>
        <w:t>被质疑人的名称、地址、联系人及联系电话等；</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34.3</w:t>
      </w:r>
      <w:r>
        <w:rPr>
          <w:rFonts w:hint="eastAsia" w:ascii="宋体" w:hAnsi="宋体" w:eastAsia="宋体" w:cs="Times New Roman"/>
          <w:color w:val="000000" w:themeColor="text1"/>
          <w:sz w:val="24"/>
          <w:szCs w:val="20"/>
          <w:lang w:val="zh-CN"/>
          <w14:textFill>
            <w14:solidFill>
              <w14:schemeClr w14:val="tx1"/>
            </w14:solidFill>
          </w14:textFill>
        </w:rPr>
        <w:t>质疑项目名称及编号、质疑事项和明确的请求；</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34.4</w:t>
      </w:r>
      <w:r>
        <w:rPr>
          <w:rFonts w:hint="eastAsia" w:ascii="宋体" w:hAnsi="宋体" w:eastAsia="宋体" w:cs="Times New Roman"/>
          <w:color w:val="000000" w:themeColor="text1"/>
          <w:sz w:val="24"/>
          <w:szCs w:val="20"/>
          <w:lang w:val="zh-CN"/>
          <w14:textFill>
            <w14:solidFill>
              <w14:schemeClr w14:val="tx1"/>
            </w14:solidFill>
          </w14:textFill>
        </w:rPr>
        <w:t>质疑事项的事实根据、法律依据及其他必要的证明材料；</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34.5</w:t>
      </w:r>
      <w:r>
        <w:rPr>
          <w:rFonts w:hint="eastAsia" w:ascii="宋体" w:hAnsi="宋体" w:eastAsia="宋体" w:cs="Times New Roman"/>
          <w:color w:val="000000" w:themeColor="text1"/>
          <w:sz w:val="24"/>
          <w:szCs w:val="20"/>
          <w:lang w:val="zh-CN"/>
          <w14:textFill>
            <w14:solidFill>
              <w14:schemeClr w14:val="tx1"/>
            </w14:solidFill>
          </w14:textFill>
        </w:rPr>
        <w:t>提出质疑的日期；</w:t>
      </w:r>
    </w:p>
    <w:p>
      <w:pPr>
        <w:spacing w:line="360" w:lineRule="auto"/>
        <w:ind w:left="480" w:hanging="480" w:hanging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34.6</w:t>
      </w:r>
      <w:r>
        <w:rPr>
          <w:rFonts w:hint="eastAsia" w:ascii="宋体" w:hAnsi="宋体" w:eastAsia="宋体" w:cs="Times New Roman"/>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spacing w:line="360" w:lineRule="auto"/>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 xml:space="preserve">34.7 </w:t>
      </w:r>
      <w:r>
        <w:rPr>
          <w:rFonts w:hint="eastAsia" w:ascii="宋体" w:hAnsi="宋体" w:eastAsia="宋体" w:cs="Times New Roman"/>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投标人未按本章“质疑及提交”规定的时限、内容及方式进行质疑的，代理公司不予受理。</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30" w:name="_Toc16531"/>
      <w:bookmarkStart w:id="31" w:name="_Toc494561947"/>
      <w:r>
        <w:rPr>
          <w:rFonts w:hint="eastAsia" w:cs="Times New Roman" w:asciiTheme="majorEastAsia" w:hAnsiTheme="majorEastAsia"/>
          <w:bCs w:val="0"/>
          <w:color w:val="000000" w:themeColor="text1"/>
          <w:lang w:val="zh-CN"/>
          <w14:textFill>
            <w14:solidFill>
              <w14:schemeClr w14:val="tx1"/>
            </w14:solidFill>
          </w14:textFill>
        </w:rPr>
        <w:t>相关条文解读</w:t>
      </w:r>
      <w:bookmarkEnd w:id="30"/>
      <w:bookmarkEnd w:id="31"/>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按照财政部《关于规范政府采购行政处罚有关问题的通知》的规定，</w:t>
      </w:r>
      <w:r>
        <w:rPr>
          <w:rFonts w:ascii="宋体" w:hAnsi="宋体" w:eastAsia="宋体" w:cs="Times New Roman"/>
          <w:color w:val="000000" w:themeColor="text1"/>
          <w:sz w:val="24"/>
          <w:szCs w:val="20"/>
          <w:lang w:val="zh-CN"/>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0" w:after="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32" w:name="_Toc494561948"/>
      <w:bookmarkStart w:id="33" w:name="_Toc22090"/>
      <w:r>
        <w:rPr>
          <w:rFonts w:hint="eastAsia" w:cs="Times New Roman" w:asciiTheme="majorEastAsia" w:hAnsiTheme="majorEastAsia"/>
          <w:bCs w:val="0"/>
          <w:color w:val="000000" w:themeColor="text1"/>
          <w:lang w:val="zh-CN"/>
          <w14:textFill>
            <w14:solidFill>
              <w14:schemeClr w14:val="tx1"/>
            </w14:solidFill>
          </w14:textFill>
        </w:rPr>
        <w:t>其他注意事项</w:t>
      </w:r>
      <w:bookmarkEnd w:id="32"/>
      <w:bookmarkEnd w:id="33"/>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4"/>
        <w:numPr>
          <w:ilvl w:val="0"/>
          <w:numId w:val="4"/>
        </w:numPr>
        <w:spacing w:before="0" w:after="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4" w:name="_Toc494561949"/>
      <w:bookmarkStart w:id="35" w:name="_Toc24863"/>
      <w:bookmarkStart w:id="36" w:name="_Toc278891598"/>
      <w:bookmarkStart w:id="37" w:name="_Toc272247701"/>
      <w:r>
        <w:rPr>
          <w:rFonts w:hint="eastAsia" w:cs="Times New Roman" w:asciiTheme="majorEastAsia" w:hAnsiTheme="majorEastAsia"/>
          <w:bCs w:val="0"/>
          <w:color w:val="000000" w:themeColor="text1"/>
          <w:lang w:val="zh-CN"/>
          <w14:textFill>
            <w14:solidFill>
              <w14:schemeClr w14:val="tx1"/>
            </w14:solidFill>
          </w14:textFill>
        </w:rPr>
        <w:t>适用法律</w:t>
      </w:r>
      <w:bookmarkEnd w:id="34"/>
      <w:bookmarkEnd w:id="35"/>
      <w:bookmarkEnd w:id="36"/>
      <w:bookmarkEnd w:id="37"/>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14:textFill>
            <w14:solidFill>
              <w14:schemeClr w14:val="tx1"/>
            </w14:solidFill>
          </w14:textFill>
        </w:rPr>
        <w:t>《政府采购货物和服务招标投标管理办法》</w:t>
      </w:r>
      <w:r>
        <w:rPr>
          <w:rFonts w:hint="eastAsia" w:ascii="宋体" w:hAnsi="宋体" w:eastAsia="宋体" w:cs="Times New Roman"/>
          <w:color w:val="000000" w:themeColor="text1"/>
          <w:sz w:val="24"/>
          <w:szCs w:val="20"/>
          <w:lang w:val="zh-CN"/>
          <w14:textFill>
            <w14:solidFill>
              <w14:schemeClr w14:val="tx1"/>
            </w14:solidFill>
          </w14:textFill>
        </w:rPr>
        <w:t>及相关法律法规。</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4"/>
        <w:numPr>
          <w:ilvl w:val="0"/>
          <w:numId w:val="4"/>
        </w:numPr>
        <w:spacing w:before="0" w:after="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8" w:name="_Toc272247702"/>
      <w:bookmarkStart w:id="39" w:name="_Toc494561950"/>
      <w:bookmarkStart w:id="40" w:name="_Toc278891599"/>
      <w:bookmarkStart w:id="41" w:name="_Toc4839"/>
      <w:r>
        <w:rPr>
          <w:rFonts w:hint="eastAsia" w:cs="Times New Roman" w:asciiTheme="majorEastAsia" w:hAnsiTheme="majorEastAsia"/>
          <w:bCs w:val="0"/>
          <w:color w:val="000000" w:themeColor="text1"/>
          <w:lang w:val="zh-CN"/>
          <w14:textFill>
            <w14:solidFill>
              <w14:schemeClr w14:val="tx1"/>
            </w14:solidFill>
          </w14:textFill>
        </w:rPr>
        <w:t>招标文件的解释权</w:t>
      </w:r>
      <w:bookmarkEnd w:id="38"/>
      <w:bookmarkEnd w:id="39"/>
      <w:bookmarkEnd w:id="40"/>
      <w:bookmarkEnd w:id="41"/>
    </w:p>
    <w:p>
      <w:pPr>
        <w:numPr>
          <w:ilvl w:val="0"/>
          <w:numId w:val="5"/>
        </w:numPr>
        <w:spacing w:line="360" w:lineRule="auto"/>
        <w:ind w:left="560" w:hanging="560"/>
        <w:rPr>
          <w:color w:val="000000" w:themeColor="text1"/>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招标文件的最终解释权为采购人、采购代理机构所有。</w:t>
      </w:r>
      <w:r>
        <w:rPr>
          <w:color w:val="000000" w:themeColor="text1"/>
          <w14:textFill>
            <w14:solidFill>
              <w14:schemeClr w14:val="tx1"/>
            </w14:solidFill>
          </w14:textFill>
        </w:rPr>
        <w:br w:type="page"/>
      </w:r>
    </w:p>
    <w:p>
      <w:pPr>
        <w:pStyle w:val="3"/>
        <w:numPr>
          <w:ilvl w:val="0"/>
          <w:numId w:val="1"/>
        </w:numPr>
        <w:spacing w:before="0" w:after="0" w:line="360" w:lineRule="auto"/>
        <w:jc w:val="center"/>
        <w:rPr>
          <w:rFonts w:ascii="黑体" w:hAnsi="黑体" w:eastAsia="黑体"/>
          <w:color w:val="000000" w:themeColor="text1"/>
          <w14:textFill>
            <w14:solidFill>
              <w14:schemeClr w14:val="tx1"/>
            </w14:solidFill>
          </w14:textFill>
        </w:rPr>
      </w:pPr>
      <w:bookmarkStart w:id="42" w:name="_Toc9252"/>
      <w:r>
        <w:rPr>
          <w:rFonts w:hint="eastAsia" w:ascii="黑体" w:hAnsi="黑体" w:eastAsia="黑体"/>
          <w:color w:val="000000" w:themeColor="text1"/>
          <w14:textFill>
            <w14:solidFill>
              <w14:schemeClr w14:val="tx1"/>
            </w14:solidFill>
          </w14:textFill>
        </w:rPr>
        <w:t>项目技术、服务及商务要求</w:t>
      </w:r>
      <w:bookmarkEnd w:id="42"/>
    </w:p>
    <w:p>
      <w:pPr>
        <w:spacing w:line="460" w:lineRule="exact"/>
        <w:jc w:val="center"/>
        <w:rPr>
          <w:rFonts w:hint="eastAsia" w:ascii="宋体" w:hAnsi="宋体"/>
          <w:b/>
          <w:bCs/>
          <w:sz w:val="28"/>
          <w:szCs w:val="28"/>
        </w:rPr>
      </w:pPr>
      <w:r>
        <w:rPr>
          <w:rFonts w:hint="eastAsia"/>
          <w:b/>
          <w:bCs/>
          <w:color w:val="000000"/>
          <w:sz w:val="28"/>
          <w:szCs w:val="28"/>
          <w:lang w:val="en-US" w:eastAsia="zh-CN"/>
        </w:rPr>
        <w:t>茶叶苗木</w:t>
      </w:r>
      <w:r>
        <w:rPr>
          <w:rFonts w:hint="eastAsia" w:ascii="宋体" w:hAnsi="宋体"/>
          <w:b/>
          <w:bCs/>
          <w:sz w:val="28"/>
          <w:szCs w:val="28"/>
          <w:lang w:eastAsia="zh-CN"/>
        </w:rPr>
        <w:t>需求</w:t>
      </w:r>
      <w:r>
        <w:rPr>
          <w:rFonts w:hint="eastAsia" w:ascii="宋体" w:hAnsi="宋体"/>
          <w:b/>
          <w:bCs/>
          <w:sz w:val="28"/>
          <w:szCs w:val="28"/>
        </w:rPr>
        <w:t>及</w:t>
      </w:r>
      <w:r>
        <w:rPr>
          <w:rFonts w:hint="eastAsia" w:ascii="宋体" w:hAnsi="宋体"/>
          <w:b/>
          <w:bCs/>
          <w:sz w:val="28"/>
          <w:szCs w:val="28"/>
          <w:lang w:eastAsia="zh-CN"/>
        </w:rPr>
        <w:t>技术参数</w:t>
      </w:r>
      <w:r>
        <w:rPr>
          <w:rFonts w:hint="eastAsia"/>
          <w:b/>
          <w:bCs/>
          <w:color w:val="000000"/>
          <w:sz w:val="28"/>
          <w:szCs w:val="28"/>
          <w:lang w:eastAsia="zh-CN"/>
        </w:rPr>
        <w:t>要求</w:t>
      </w:r>
    </w:p>
    <w:p>
      <w:pPr>
        <w:numPr>
          <w:ilvl w:val="0"/>
          <w:numId w:val="0"/>
        </w:numPr>
        <w:tabs>
          <w:tab w:val="left" w:pos="993"/>
        </w:tabs>
        <w:spacing w:line="500" w:lineRule="exact"/>
        <w:textAlignment w:val="baseline"/>
        <w:rPr>
          <w:rFonts w:ascii="宋体" w:hAnsi="宋体"/>
          <w:b/>
          <w:bCs/>
          <w:szCs w:val="21"/>
        </w:rPr>
      </w:pPr>
      <w:r>
        <w:rPr>
          <w:rFonts w:hint="eastAsia" w:ascii="宋体" w:hAnsi="宋体"/>
          <w:b/>
          <w:bCs/>
          <w:sz w:val="28"/>
          <w:szCs w:val="28"/>
          <w:lang w:eastAsia="zh-CN"/>
        </w:rPr>
        <w:t>一、</w:t>
      </w:r>
      <w:r>
        <w:rPr>
          <w:rFonts w:hint="eastAsia" w:ascii="宋体" w:hAnsi="宋体"/>
          <w:b/>
          <w:bCs/>
          <w:sz w:val="28"/>
          <w:szCs w:val="28"/>
        </w:rPr>
        <w:t>货物需求名称及数量：</w:t>
      </w:r>
    </w:p>
    <w:tbl>
      <w:tblPr>
        <w:tblStyle w:val="24"/>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57"/>
        <w:gridCol w:w="1185"/>
        <w:gridCol w:w="1500"/>
        <w:gridCol w:w="1725"/>
        <w:gridCol w:w="141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64"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 w:val="24"/>
                <w:szCs w:val="24"/>
                <w:shd w:val="clear" w:color="auto" w:fill="FFFFFF"/>
                <w:vertAlign w:val="baseline"/>
                <w:lang w:eastAsia="zh-CN"/>
              </w:rPr>
            </w:pPr>
            <w:r>
              <w:rPr>
                <w:rFonts w:hint="eastAsia" w:ascii="宋体" w:hAnsi="宋体" w:eastAsia="宋体" w:cs="宋体"/>
                <w:sz w:val="24"/>
                <w:szCs w:val="24"/>
                <w:shd w:val="clear" w:color="auto" w:fill="FFFFFF"/>
                <w:vertAlign w:val="baseline"/>
                <w:lang w:eastAsia="zh-CN"/>
              </w:rPr>
              <w:t>标包号</w:t>
            </w:r>
          </w:p>
        </w:tc>
        <w:tc>
          <w:tcPr>
            <w:tcW w:w="1557"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 w:val="24"/>
                <w:szCs w:val="24"/>
                <w:shd w:val="clear" w:color="auto" w:fill="FFFFFF"/>
                <w:vertAlign w:val="baseline"/>
                <w:lang w:eastAsia="zh-CN"/>
              </w:rPr>
            </w:pPr>
            <w:r>
              <w:rPr>
                <w:rFonts w:hint="eastAsia" w:ascii="宋体" w:hAnsi="宋体" w:eastAsia="宋体" w:cs="宋体"/>
                <w:sz w:val="24"/>
                <w:szCs w:val="24"/>
                <w:shd w:val="clear" w:color="auto" w:fill="FFFFFF"/>
                <w:vertAlign w:val="baseline"/>
                <w:lang w:eastAsia="zh-CN"/>
              </w:rPr>
              <w:t>货物名称</w:t>
            </w:r>
          </w:p>
        </w:tc>
        <w:tc>
          <w:tcPr>
            <w:tcW w:w="118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eastAsia="zh-CN"/>
              </w:rPr>
              <w:t>单位</w:t>
            </w:r>
          </w:p>
        </w:tc>
        <w:tc>
          <w:tcPr>
            <w:tcW w:w="1500"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 w:val="24"/>
                <w:szCs w:val="24"/>
                <w:shd w:val="clear" w:color="auto" w:fill="FFFFFF"/>
                <w:vertAlign w:val="baseline"/>
                <w:lang w:eastAsia="zh-CN"/>
              </w:rPr>
            </w:pPr>
            <w:r>
              <w:rPr>
                <w:rFonts w:hint="eastAsia" w:ascii="宋体" w:hAnsi="宋体" w:eastAsia="宋体" w:cs="宋体"/>
                <w:sz w:val="24"/>
                <w:szCs w:val="24"/>
                <w:shd w:val="clear" w:color="auto" w:fill="FFFFFF"/>
                <w:vertAlign w:val="baseline"/>
                <w:lang w:val="en-US" w:eastAsia="zh-CN"/>
              </w:rPr>
              <w:t>供货数量</w:t>
            </w:r>
          </w:p>
        </w:tc>
        <w:tc>
          <w:tcPr>
            <w:tcW w:w="172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单价（元）</w:t>
            </w:r>
          </w:p>
        </w:tc>
        <w:tc>
          <w:tcPr>
            <w:tcW w:w="1410"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合价（元）</w:t>
            </w:r>
          </w:p>
        </w:tc>
        <w:tc>
          <w:tcPr>
            <w:tcW w:w="2253"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064"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eastAsia="zh-CN"/>
              </w:rPr>
              <w:t>第</w:t>
            </w:r>
            <w:r>
              <w:rPr>
                <w:rFonts w:hint="eastAsia" w:ascii="宋体" w:hAnsi="宋体" w:eastAsia="宋体" w:cs="宋体"/>
                <w:sz w:val="24"/>
                <w:szCs w:val="24"/>
                <w:shd w:val="clear" w:color="auto" w:fill="FFFFFF"/>
                <w:vertAlign w:val="baseline"/>
                <w:lang w:val="en-US" w:eastAsia="zh-CN"/>
              </w:rPr>
              <w:t>1包</w:t>
            </w:r>
          </w:p>
        </w:tc>
        <w:tc>
          <w:tcPr>
            <w:tcW w:w="1557"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sz w:val="24"/>
                <w:szCs w:val="24"/>
                <w:lang w:eastAsia="zh-CN"/>
              </w:rPr>
              <w:t>鄂</w:t>
            </w:r>
            <w:r>
              <w:rPr>
                <w:rFonts w:hint="eastAsia" w:ascii="宋体" w:hAnsi="宋体" w:eastAsia="宋体"/>
                <w:sz w:val="24"/>
                <w:szCs w:val="24"/>
                <w:lang w:val="en-US" w:eastAsia="zh-CN"/>
              </w:rPr>
              <w:t>茶1号</w:t>
            </w:r>
          </w:p>
        </w:tc>
        <w:tc>
          <w:tcPr>
            <w:tcW w:w="118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株</w:t>
            </w:r>
          </w:p>
        </w:tc>
        <w:tc>
          <w:tcPr>
            <w:tcW w:w="1500"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1200万</w:t>
            </w:r>
          </w:p>
        </w:tc>
        <w:tc>
          <w:tcPr>
            <w:tcW w:w="1725" w:type="dxa"/>
            <w:vMerge w:val="restart"/>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p>
        </w:tc>
        <w:tc>
          <w:tcPr>
            <w:tcW w:w="1410" w:type="dxa"/>
            <w:vMerge w:val="restart"/>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p>
        </w:tc>
        <w:tc>
          <w:tcPr>
            <w:tcW w:w="2253" w:type="dxa"/>
            <w:vMerge w:val="restart"/>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按面积8000亩，每亩均3000株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064"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eastAsia="zh-CN"/>
              </w:rPr>
              <w:t>第</w:t>
            </w:r>
            <w:r>
              <w:rPr>
                <w:rFonts w:hint="eastAsia" w:ascii="宋体" w:hAnsi="宋体" w:eastAsia="宋体" w:cs="宋体"/>
                <w:sz w:val="24"/>
                <w:szCs w:val="24"/>
                <w:shd w:val="clear" w:color="auto" w:fill="FFFFFF"/>
                <w:vertAlign w:val="baseline"/>
                <w:lang w:val="en-US" w:eastAsia="zh-CN"/>
              </w:rPr>
              <w:t>2包</w:t>
            </w:r>
          </w:p>
        </w:tc>
        <w:tc>
          <w:tcPr>
            <w:tcW w:w="1557"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eastAsia="zh-CN"/>
              </w:rPr>
              <w:t>鄂</w:t>
            </w:r>
            <w:r>
              <w:rPr>
                <w:rFonts w:hint="eastAsia" w:ascii="宋体" w:hAnsi="宋体" w:eastAsia="宋体" w:cs="宋体"/>
                <w:sz w:val="24"/>
                <w:szCs w:val="24"/>
                <w:shd w:val="clear" w:color="auto" w:fill="FFFFFF"/>
                <w:vertAlign w:val="baseline"/>
                <w:lang w:val="en-US" w:eastAsia="zh-CN"/>
              </w:rPr>
              <w:t>茶10号</w:t>
            </w:r>
          </w:p>
        </w:tc>
        <w:tc>
          <w:tcPr>
            <w:tcW w:w="118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株</w:t>
            </w:r>
          </w:p>
        </w:tc>
        <w:tc>
          <w:tcPr>
            <w:tcW w:w="1500"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1200万</w:t>
            </w:r>
          </w:p>
        </w:tc>
        <w:tc>
          <w:tcPr>
            <w:tcW w:w="1725" w:type="dxa"/>
            <w:vMerge w:val="continue"/>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p>
        </w:tc>
        <w:tc>
          <w:tcPr>
            <w:tcW w:w="1410" w:type="dxa"/>
            <w:vMerge w:val="continue"/>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p>
        </w:tc>
        <w:tc>
          <w:tcPr>
            <w:tcW w:w="2253" w:type="dxa"/>
            <w:vMerge w:val="continue"/>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621" w:type="dxa"/>
            <w:gridSpan w:val="2"/>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eastAsia" w:ascii="宋体" w:hAnsi="宋体" w:eastAsia="宋体" w:cs="宋体"/>
                <w:sz w:val="24"/>
                <w:szCs w:val="24"/>
                <w:shd w:val="clear" w:color="auto" w:fill="FFFFFF"/>
                <w:vertAlign w:val="baseline"/>
                <w:lang w:eastAsia="zh-CN"/>
              </w:rPr>
            </w:pPr>
            <w:r>
              <w:rPr>
                <w:rFonts w:hint="eastAsia" w:ascii="宋体" w:hAnsi="宋体" w:eastAsia="宋体" w:cs="宋体"/>
                <w:sz w:val="24"/>
                <w:szCs w:val="24"/>
                <w:shd w:val="clear" w:color="auto" w:fill="FFFFFF"/>
                <w:vertAlign w:val="baseline"/>
                <w:lang w:eastAsia="zh-CN"/>
              </w:rPr>
              <w:t>合计</w:t>
            </w:r>
          </w:p>
        </w:tc>
        <w:tc>
          <w:tcPr>
            <w:tcW w:w="118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株</w:t>
            </w:r>
          </w:p>
        </w:tc>
        <w:tc>
          <w:tcPr>
            <w:tcW w:w="1500"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2400万</w:t>
            </w:r>
          </w:p>
        </w:tc>
        <w:tc>
          <w:tcPr>
            <w:tcW w:w="1725"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cs="Times New Roman"/>
                <w:sz w:val="24"/>
                <w:szCs w:val="24"/>
                <w:lang w:val="en-US" w:eastAsia="zh-CN"/>
              </w:rPr>
            </w:pPr>
          </w:p>
        </w:tc>
        <w:tc>
          <w:tcPr>
            <w:tcW w:w="1410"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cs="Times New Roman"/>
                <w:sz w:val="24"/>
                <w:szCs w:val="24"/>
                <w:lang w:val="en-US" w:eastAsia="zh-CN"/>
              </w:rPr>
            </w:pPr>
          </w:p>
        </w:tc>
        <w:tc>
          <w:tcPr>
            <w:tcW w:w="2253" w:type="dxa"/>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hint="default" w:ascii="宋体" w:hAnsi="宋体" w:eastAsia="宋体" w:cs="宋体"/>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694" w:type="dxa"/>
            <w:gridSpan w:val="7"/>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left"/>
              <w:textAlignment w:val="auto"/>
              <w:rPr>
                <w:rFonts w:hint="eastAsia" w:ascii="宋体" w:hAnsi="宋体" w:eastAsia="宋体" w:cs="宋体"/>
                <w:color w:val="auto"/>
                <w:sz w:val="24"/>
                <w:szCs w:val="24"/>
                <w:highlight w:val="none"/>
                <w:shd w:val="clear" w:color="auto" w:fill="FFFFFF"/>
                <w:vertAlign w:val="baseline"/>
                <w:lang w:eastAsia="zh-CN"/>
              </w:rPr>
            </w:pPr>
            <w:r>
              <w:rPr>
                <w:rFonts w:hint="eastAsia" w:ascii="宋体" w:hAnsi="宋体" w:eastAsia="宋体" w:cs="宋体"/>
                <w:color w:val="auto"/>
                <w:sz w:val="24"/>
                <w:szCs w:val="24"/>
                <w:highlight w:val="none"/>
                <w:shd w:val="clear" w:color="auto" w:fill="FFFFFF"/>
                <w:vertAlign w:val="baseline"/>
                <w:lang w:eastAsia="zh-CN"/>
              </w:rPr>
              <w:t>注：按‘</w:t>
            </w:r>
            <w:r>
              <w:rPr>
                <w:rFonts w:hint="eastAsia" w:ascii="宋体" w:hAnsi="宋体" w:eastAsia="宋体" w:cs="宋体"/>
                <w:color w:val="auto"/>
                <w:sz w:val="24"/>
                <w:szCs w:val="24"/>
                <w:highlight w:val="none"/>
                <w:shd w:val="clear" w:color="auto" w:fill="FFFFFF"/>
                <w:vertAlign w:val="baseline"/>
                <w:lang w:val="en-US" w:eastAsia="zh-CN"/>
              </w:rPr>
              <w:t>株</w:t>
            </w:r>
            <w:r>
              <w:rPr>
                <w:rFonts w:hint="eastAsia" w:ascii="宋体" w:hAnsi="宋体" w:eastAsia="宋体" w:cs="宋体"/>
                <w:color w:val="auto"/>
                <w:sz w:val="24"/>
                <w:szCs w:val="24"/>
                <w:highlight w:val="none"/>
                <w:shd w:val="clear" w:color="auto" w:fill="FFFFFF"/>
                <w:vertAlign w:val="baseline"/>
                <w:lang w:eastAsia="zh-CN"/>
              </w:rPr>
              <w:t>’结算，</w:t>
            </w:r>
            <w:r>
              <w:rPr>
                <w:rFonts w:hint="eastAsia" w:ascii="宋体" w:hAnsi="宋体" w:eastAsia="宋体" w:cs="宋体"/>
                <w:color w:val="auto"/>
                <w:sz w:val="24"/>
                <w:szCs w:val="24"/>
                <w:highlight w:val="none"/>
                <w:shd w:val="clear" w:color="auto" w:fill="FFFFFF"/>
                <w:vertAlign w:val="baseline"/>
                <w:lang w:val="en-US" w:eastAsia="zh-CN"/>
              </w:rPr>
              <w:t>每个投标单位只能投1个包</w:t>
            </w:r>
            <w:r>
              <w:rPr>
                <w:rFonts w:hint="eastAsia" w:ascii="宋体" w:hAnsi="宋体" w:eastAsia="宋体" w:cs="宋体"/>
                <w:color w:val="auto"/>
                <w:sz w:val="24"/>
                <w:szCs w:val="24"/>
                <w:highlight w:val="none"/>
                <w:shd w:val="clear" w:color="auto" w:fill="FFFFFF"/>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390" w:lineRule="exact"/>
        <w:jc w:val="both"/>
        <w:textAlignment w:val="auto"/>
        <w:rPr>
          <w:rFonts w:hint="eastAsia" w:ascii="宋体" w:hAnsi="宋体"/>
          <w:b w:val="0"/>
          <w:bCs/>
          <w:color w:val="auto"/>
          <w:sz w:val="24"/>
          <w:szCs w:val="24"/>
          <w:highlight w:val="none"/>
          <w:lang w:val="en-US" w:eastAsia="zh-CN"/>
        </w:rPr>
      </w:pPr>
      <w:r>
        <w:rPr>
          <w:rFonts w:hint="eastAsia" w:ascii="宋体" w:hAnsi="宋体"/>
          <w:b/>
          <w:bCs w:val="0"/>
          <w:color w:val="auto"/>
          <w:sz w:val="24"/>
          <w:szCs w:val="24"/>
          <w:highlight w:val="none"/>
          <w:lang w:eastAsia="zh-CN"/>
        </w:rPr>
        <w:t>第</w:t>
      </w:r>
      <w:r>
        <w:rPr>
          <w:rFonts w:hint="eastAsia" w:ascii="宋体" w:hAnsi="宋体"/>
          <w:b/>
          <w:bCs w:val="0"/>
          <w:color w:val="auto"/>
          <w:sz w:val="24"/>
          <w:szCs w:val="24"/>
          <w:highlight w:val="none"/>
          <w:lang w:val="en-US" w:eastAsia="zh-CN"/>
        </w:rPr>
        <w:t>1包、</w:t>
      </w:r>
      <w:r>
        <w:rPr>
          <w:rFonts w:hint="eastAsia" w:ascii="宋体" w:hAnsi="宋体"/>
          <w:b/>
          <w:bCs w:val="0"/>
          <w:color w:val="auto"/>
          <w:sz w:val="24"/>
          <w:szCs w:val="24"/>
          <w:highlight w:val="none"/>
          <w:lang w:eastAsia="zh-CN"/>
        </w:rPr>
        <w:t>第</w:t>
      </w:r>
      <w:r>
        <w:rPr>
          <w:rFonts w:hint="eastAsia" w:ascii="宋体" w:hAnsi="宋体"/>
          <w:b/>
          <w:bCs w:val="0"/>
          <w:color w:val="auto"/>
          <w:sz w:val="24"/>
          <w:szCs w:val="24"/>
          <w:highlight w:val="none"/>
          <w:lang w:val="en-US" w:eastAsia="zh-CN"/>
        </w:rPr>
        <w:t>2包茶叶苗木需求及技术参数要求</w:t>
      </w:r>
      <w:r>
        <w:rPr>
          <w:rFonts w:hint="eastAsia" w:ascii="宋体" w:hAnsi="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90" w:lineRule="exact"/>
        <w:ind w:firstLine="480" w:firstLineChars="200"/>
        <w:jc w:val="both"/>
        <w:textAlignment w:val="auto"/>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茶叶苗木</w:t>
      </w:r>
      <w:r>
        <w:rPr>
          <w:rFonts w:hint="default" w:ascii="宋体" w:hAnsi="宋体"/>
          <w:b w:val="0"/>
          <w:bCs/>
          <w:color w:val="auto"/>
          <w:sz w:val="24"/>
          <w:szCs w:val="24"/>
          <w:highlight w:val="none"/>
          <w:lang w:val="en-US" w:eastAsia="zh-CN"/>
        </w:rPr>
        <w:t>共计</w:t>
      </w:r>
      <w:r>
        <w:rPr>
          <w:rFonts w:hint="eastAsia" w:ascii="宋体" w:hAnsi="宋体"/>
          <w:b w:val="0"/>
          <w:bCs/>
          <w:color w:val="auto"/>
          <w:sz w:val="24"/>
          <w:szCs w:val="24"/>
          <w:highlight w:val="none"/>
          <w:lang w:val="en-US" w:eastAsia="zh-CN"/>
        </w:rPr>
        <w:t>2400</w:t>
      </w:r>
      <w:r>
        <w:rPr>
          <w:rFonts w:hint="default" w:ascii="宋体" w:hAnsi="宋体"/>
          <w:b w:val="0"/>
          <w:bCs/>
          <w:color w:val="auto"/>
          <w:sz w:val="24"/>
          <w:szCs w:val="24"/>
          <w:highlight w:val="none"/>
          <w:lang w:val="en-US" w:eastAsia="zh-CN"/>
        </w:rPr>
        <w:t>万株——鄂茶1号</w:t>
      </w:r>
      <w:r>
        <w:rPr>
          <w:rFonts w:hint="eastAsia" w:ascii="宋体" w:hAnsi="宋体"/>
          <w:b w:val="0"/>
          <w:bCs/>
          <w:color w:val="auto"/>
          <w:sz w:val="24"/>
          <w:szCs w:val="24"/>
          <w:highlight w:val="none"/>
          <w:lang w:val="en-US" w:eastAsia="zh-CN"/>
        </w:rPr>
        <w:t>1200万株</w:t>
      </w:r>
      <w:r>
        <w:rPr>
          <w:rFonts w:hint="default" w:ascii="宋体" w:hAnsi="宋体"/>
          <w:b w:val="0"/>
          <w:bCs/>
          <w:color w:val="auto"/>
          <w:sz w:val="24"/>
          <w:szCs w:val="24"/>
          <w:highlight w:val="none"/>
          <w:lang w:val="en-US" w:eastAsia="zh-CN"/>
        </w:rPr>
        <w:t>、</w:t>
      </w:r>
      <w:r>
        <w:rPr>
          <w:rFonts w:hint="eastAsia" w:ascii="宋体" w:hAnsi="宋体"/>
          <w:b w:val="0"/>
          <w:bCs/>
          <w:color w:val="auto"/>
          <w:sz w:val="24"/>
          <w:szCs w:val="24"/>
          <w:highlight w:val="none"/>
          <w:lang w:val="en-US" w:eastAsia="zh-CN"/>
        </w:rPr>
        <w:t>鄂茶10号1200万株。</w:t>
      </w:r>
      <w:r>
        <w:rPr>
          <w:rFonts w:hint="default" w:ascii="宋体" w:hAnsi="宋体"/>
          <w:b w:val="0"/>
          <w:bCs/>
          <w:color w:val="auto"/>
          <w:sz w:val="24"/>
          <w:szCs w:val="24"/>
          <w:highlight w:val="none"/>
          <w:lang w:val="en-US" w:eastAsia="zh-CN"/>
        </w:rPr>
        <w:t>要求：品种纯度</w:t>
      </w:r>
      <w:r>
        <w:rPr>
          <w:rFonts w:hint="eastAsia" w:ascii="宋体" w:hAnsi="宋体"/>
          <w:b w:val="0"/>
          <w:bCs/>
          <w:color w:val="auto"/>
          <w:sz w:val="24"/>
          <w:szCs w:val="24"/>
          <w:highlight w:val="none"/>
          <w:lang w:val="en-US" w:eastAsia="zh-CN"/>
        </w:rPr>
        <w:t>98</w:t>
      </w:r>
      <w:r>
        <w:rPr>
          <w:rFonts w:hint="default" w:ascii="宋体" w:hAnsi="宋体"/>
          <w:b w:val="0"/>
          <w:bCs/>
          <w:color w:val="auto"/>
          <w:sz w:val="24"/>
          <w:szCs w:val="24"/>
          <w:highlight w:val="none"/>
          <w:lang w:val="en-US" w:eastAsia="zh-CN"/>
        </w:rPr>
        <w:t>%，</w:t>
      </w:r>
      <w:r>
        <w:rPr>
          <w:rFonts w:hint="eastAsia" w:ascii="宋体" w:hAnsi="宋体"/>
          <w:b w:val="0"/>
          <w:bCs/>
          <w:color w:val="auto"/>
          <w:sz w:val="24"/>
          <w:szCs w:val="24"/>
          <w:highlight w:val="none"/>
          <w:lang w:val="en-US" w:eastAsia="zh-CN"/>
        </w:rPr>
        <w:t>品种为鄂茶1号、鄂茶10号，穴盘苗（或营养器苗），</w:t>
      </w:r>
      <w:r>
        <w:rPr>
          <w:rFonts w:hint="eastAsia" w:ascii="宋体" w:hAnsi="宋体"/>
          <w:b w:val="0"/>
          <w:bCs/>
          <w:color w:val="auto"/>
          <w:sz w:val="22"/>
          <w:szCs w:val="22"/>
          <w:highlight w:val="none"/>
          <w:lang w:val="en-US" w:eastAsia="zh-CN"/>
        </w:rPr>
        <w:t>株高12-15cm，</w:t>
      </w:r>
      <w:r>
        <w:rPr>
          <w:rFonts w:hint="eastAsia" w:ascii="宋体" w:hAnsi="宋体"/>
          <w:b w:val="0"/>
          <w:bCs/>
          <w:color w:val="auto"/>
          <w:sz w:val="24"/>
          <w:szCs w:val="24"/>
          <w:highlight w:val="none"/>
          <w:lang w:val="en-US" w:eastAsia="zh-CN"/>
        </w:rPr>
        <w:t>苗茎粗3mm，苗叶片数5-6片，根系健全发达，已形成良好根团，且无检疫性病虫害。</w:t>
      </w:r>
    </w:p>
    <w:p>
      <w:pPr>
        <w:numPr>
          <w:ilvl w:val="0"/>
          <w:numId w:val="0"/>
        </w:numPr>
        <w:spacing w:line="360" w:lineRule="auto"/>
        <w:jc w:val="both"/>
        <w:rPr>
          <w:rFonts w:hint="eastAsia" w:eastAsia="宋体" w:cs="宋体"/>
          <w:b/>
          <w:bCs/>
          <w:color w:val="auto"/>
          <w:sz w:val="32"/>
          <w:szCs w:val="32"/>
          <w:highlight w:val="none"/>
          <w:lang w:val="en-US" w:eastAsia="zh-CN"/>
        </w:rPr>
      </w:pPr>
      <w:r>
        <w:rPr>
          <w:rFonts w:hint="eastAsia" w:eastAsia="宋体" w:cs="宋体"/>
          <w:b/>
          <w:bCs/>
          <w:color w:val="auto"/>
          <w:sz w:val="32"/>
          <w:szCs w:val="32"/>
          <w:highlight w:val="none"/>
          <w:lang w:val="en-US" w:eastAsia="zh-CN"/>
        </w:rPr>
        <w:t>二、商务条款：</w:t>
      </w:r>
    </w:p>
    <w:p>
      <w:pPr>
        <w:pStyle w:val="2"/>
        <w:rPr>
          <w:rFonts w:hint="eastAsia" w:ascii="宋体" w:hAnsi="宋体" w:eastAsiaTheme="minorEastAsia" w:cstheme="minorBidi"/>
          <w:b w:val="0"/>
          <w:bCs/>
          <w:color w:val="auto"/>
          <w:kern w:val="2"/>
          <w:sz w:val="24"/>
          <w:szCs w:val="24"/>
          <w:highlight w:val="none"/>
          <w:lang w:val="en-US" w:eastAsia="zh-CN" w:bidi="ar-SA"/>
        </w:rPr>
      </w:pPr>
      <w:r>
        <w:rPr>
          <w:rFonts w:hint="eastAsia" w:ascii="宋体" w:hAnsi="宋体"/>
          <w:b w:val="0"/>
          <w:bCs/>
          <w:color w:val="auto"/>
          <w:sz w:val="24"/>
          <w:szCs w:val="24"/>
          <w:highlight w:val="none"/>
          <w:lang w:val="en-US" w:eastAsia="zh-CN"/>
        </w:rPr>
        <w:t>1</w:t>
      </w:r>
      <w:r>
        <w:rPr>
          <w:rFonts w:hint="eastAsia" w:ascii="宋体" w:hAnsi="宋体" w:eastAsiaTheme="minorEastAsia" w:cstheme="minorBidi"/>
          <w:b w:val="0"/>
          <w:bCs/>
          <w:color w:val="auto"/>
          <w:kern w:val="2"/>
          <w:sz w:val="24"/>
          <w:szCs w:val="24"/>
          <w:highlight w:val="none"/>
          <w:lang w:val="en-US" w:eastAsia="zh-CN" w:bidi="ar-SA"/>
        </w:rPr>
        <w:t>、最高限价：总价840 万元（1包420万元、2包420万元）超过最高限价为废标。</w:t>
      </w:r>
    </w:p>
    <w:p>
      <w:pPr>
        <w:pStyle w:val="2"/>
        <w:rPr>
          <w:rFonts w:hint="default" w:ascii="宋体" w:hAnsi="宋体" w:eastAsiaTheme="minorEastAsia" w:cstheme="minorBidi"/>
          <w:b w:val="0"/>
          <w:bCs/>
          <w:color w:val="auto"/>
          <w:kern w:val="2"/>
          <w:sz w:val="24"/>
          <w:szCs w:val="24"/>
          <w:highlight w:val="none"/>
          <w:lang w:val="en-US" w:eastAsia="zh-CN" w:bidi="ar-SA"/>
        </w:rPr>
      </w:pPr>
      <w:r>
        <w:rPr>
          <w:rFonts w:hint="eastAsia" w:ascii="宋体" w:hAnsi="宋体" w:eastAsiaTheme="minorEastAsia" w:cstheme="minorBidi"/>
          <w:b w:val="0"/>
          <w:bCs/>
          <w:color w:val="auto"/>
          <w:kern w:val="2"/>
          <w:sz w:val="24"/>
          <w:szCs w:val="24"/>
          <w:highlight w:val="none"/>
          <w:lang w:val="en-US" w:eastAsia="zh-CN" w:bidi="ar-SA"/>
        </w:rPr>
        <w:t>2、交货地点：运费由中标方承担，送到本项目涉及到的乡镇。</w:t>
      </w:r>
    </w:p>
    <w:p>
      <w:pPr>
        <w:pStyle w:val="2"/>
        <w:rPr>
          <w:rFonts w:hint="eastAsia" w:ascii="宋体" w:hAnsi="宋体" w:eastAsiaTheme="minorEastAsia" w:cstheme="minorBidi"/>
          <w:b w:val="0"/>
          <w:bCs/>
          <w:color w:val="auto"/>
          <w:kern w:val="2"/>
          <w:sz w:val="24"/>
          <w:szCs w:val="24"/>
          <w:highlight w:val="none"/>
          <w:lang w:val="en-US" w:eastAsia="zh-CN" w:bidi="ar-SA"/>
        </w:rPr>
      </w:pPr>
      <w:r>
        <w:rPr>
          <w:rFonts w:hint="eastAsia" w:ascii="宋体" w:hAnsi="宋体" w:eastAsiaTheme="minorEastAsia" w:cstheme="minorBidi"/>
          <w:b w:val="0"/>
          <w:bCs/>
          <w:color w:val="auto"/>
          <w:kern w:val="2"/>
          <w:sz w:val="24"/>
          <w:szCs w:val="24"/>
          <w:highlight w:val="none"/>
          <w:lang w:val="en-US" w:eastAsia="zh-CN" w:bidi="ar-SA"/>
        </w:rPr>
        <w:t>3、交货期限：签订合同后 6个月内。</w:t>
      </w:r>
    </w:p>
    <w:p>
      <w:pPr>
        <w:pStyle w:val="2"/>
        <w:rPr>
          <w:rFonts w:hint="eastAsia" w:ascii="宋体" w:hAnsi="宋体" w:eastAsiaTheme="minorEastAsia" w:cstheme="minorBidi"/>
          <w:b w:val="0"/>
          <w:bCs/>
          <w:color w:val="auto"/>
          <w:kern w:val="2"/>
          <w:sz w:val="24"/>
          <w:szCs w:val="24"/>
          <w:highlight w:val="none"/>
          <w:lang w:val="en-US" w:eastAsia="zh-CN" w:bidi="ar-SA"/>
        </w:rPr>
      </w:pPr>
      <w:r>
        <w:rPr>
          <w:rFonts w:hint="eastAsia" w:ascii="宋体" w:hAnsi="宋体" w:eastAsiaTheme="minorEastAsia" w:cstheme="minorBidi"/>
          <w:b w:val="0"/>
          <w:bCs/>
          <w:color w:val="auto"/>
          <w:kern w:val="2"/>
          <w:sz w:val="24"/>
          <w:szCs w:val="24"/>
          <w:highlight w:val="none"/>
          <w:lang w:val="en-US" w:eastAsia="zh-CN" w:bidi="ar-SA"/>
        </w:rPr>
        <w:t>4、质量标准：符合国家相关行业标准。</w:t>
      </w:r>
    </w:p>
    <w:p>
      <w:pPr>
        <w:pStyle w:val="2"/>
        <w:rPr>
          <w:rFonts w:hint="default"/>
          <w:color w:val="auto"/>
          <w:highlight w:val="none"/>
          <w:lang w:val="en-US" w:eastAsia="zh-CN"/>
        </w:rPr>
      </w:pPr>
      <w:r>
        <w:rPr>
          <w:rFonts w:hint="eastAsia" w:ascii="宋体" w:hAnsi="宋体" w:eastAsiaTheme="minorEastAsia" w:cstheme="minorBidi"/>
          <w:b w:val="0"/>
          <w:bCs/>
          <w:color w:val="auto"/>
          <w:kern w:val="2"/>
          <w:sz w:val="24"/>
          <w:szCs w:val="24"/>
          <w:highlight w:val="none"/>
          <w:lang w:val="en-US" w:eastAsia="zh-CN" w:bidi="ar-SA"/>
        </w:rPr>
        <w:t>5、付款方式：栽培种植在1个月以上经采购人验收存活率达到90%以上付全款，如存活率未达到90%，按成活率比例，每下降一个百分点按总货款的2%扣款。</w:t>
      </w:r>
    </w:p>
    <w:p>
      <w:pPr>
        <w:pStyle w:val="2"/>
        <w:rPr>
          <w:rFonts w:hint="eastAsia" w:ascii="宋体" w:hAnsi="宋体" w:eastAsiaTheme="minorEastAsia" w:cstheme="minorBidi"/>
          <w:b w:val="0"/>
          <w:bCs/>
          <w:color w:val="auto"/>
          <w:kern w:val="2"/>
          <w:sz w:val="24"/>
          <w:szCs w:val="24"/>
          <w:lang w:val="en-US" w:eastAsia="zh-CN" w:bidi="ar-SA"/>
        </w:rPr>
      </w:pPr>
      <w:r>
        <w:rPr>
          <w:rFonts w:hint="eastAsia" w:ascii="宋体" w:hAnsi="宋体" w:eastAsiaTheme="minorEastAsia" w:cstheme="minorBidi"/>
          <w:b w:val="0"/>
          <w:bCs/>
          <w:color w:val="auto"/>
          <w:kern w:val="2"/>
          <w:sz w:val="24"/>
          <w:szCs w:val="24"/>
          <w:highlight w:val="none"/>
          <w:lang w:val="en-US" w:eastAsia="zh-CN" w:bidi="ar-SA"/>
        </w:rPr>
        <w:t>7、供应商中标领取中标通知书后须携带相关证件原件到采购人处核实，方可签订合</w:t>
      </w:r>
      <w:r>
        <w:rPr>
          <w:rFonts w:hint="eastAsia" w:ascii="宋体" w:hAnsi="宋体" w:eastAsiaTheme="minorEastAsia" w:cstheme="minorBidi"/>
          <w:b w:val="0"/>
          <w:bCs/>
          <w:color w:val="auto"/>
          <w:kern w:val="2"/>
          <w:sz w:val="24"/>
          <w:szCs w:val="24"/>
          <w:lang w:val="en-US" w:eastAsia="zh-CN" w:bidi="ar-SA"/>
        </w:rPr>
        <w:t>同。</w:t>
      </w:r>
    </w:p>
    <w:p>
      <w:pPr>
        <w:pStyle w:val="2"/>
        <w:rPr>
          <w:rFonts w:hint="eastAsia" w:eastAsia="宋体" w:cs="宋体" w:asciiTheme="minorHAnsi" w:hAnsiTheme="minorHAnsi"/>
          <w:b/>
          <w:bCs/>
          <w:color w:val="auto"/>
          <w:kern w:val="2"/>
          <w:sz w:val="32"/>
          <w:szCs w:val="32"/>
          <w:lang w:val="en-US" w:eastAsia="zh-CN" w:bidi="ar-SA"/>
        </w:rPr>
      </w:pPr>
      <w:r>
        <w:rPr>
          <w:rFonts w:hint="eastAsia" w:eastAsia="宋体" w:cs="宋体" w:asciiTheme="minorHAnsi" w:hAnsiTheme="minorHAnsi"/>
          <w:b/>
          <w:bCs/>
          <w:color w:val="auto"/>
          <w:kern w:val="2"/>
          <w:sz w:val="32"/>
          <w:szCs w:val="32"/>
          <w:lang w:val="en-US" w:eastAsia="zh-CN" w:bidi="ar-SA"/>
        </w:rPr>
        <w:t>三、验收及培训要求</w:t>
      </w:r>
    </w:p>
    <w:p>
      <w:pPr>
        <w:pStyle w:val="2"/>
        <w:rPr>
          <w:rFonts w:hint="eastAsia" w:ascii="宋体" w:hAnsi="宋体" w:eastAsiaTheme="minorEastAsia" w:cstheme="minorBidi"/>
          <w:b w:val="0"/>
          <w:bCs/>
          <w:color w:val="auto"/>
          <w:kern w:val="2"/>
          <w:sz w:val="24"/>
          <w:szCs w:val="24"/>
          <w:lang w:val="en-US" w:eastAsia="zh-CN" w:bidi="ar-SA"/>
        </w:rPr>
      </w:pPr>
      <w:r>
        <w:rPr>
          <w:rFonts w:hint="eastAsia" w:ascii="宋体" w:hAnsi="宋体"/>
          <w:b w:val="0"/>
          <w:bCs/>
          <w:color w:val="auto"/>
          <w:sz w:val="24"/>
          <w:szCs w:val="24"/>
          <w:lang w:val="en-US" w:eastAsia="zh-CN"/>
        </w:rPr>
        <w:t>1、</w:t>
      </w:r>
      <w:r>
        <w:rPr>
          <w:rFonts w:hint="eastAsia" w:ascii="宋体" w:hAnsi="宋体" w:eastAsiaTheme="minorEastAsia" w:cstheme="minorBidi"/>
          <w:b w:val="0"/>
          <w:bCs/>
          <w:color w:val="auto"/>
          <w:kern w:val="2"/>
          <w:sz w:val="24"/>
          <w:szCs w:val="24"/>
          <w:lang w:val="en-US" w:eastAsia="zh-CN" w:bidi="ar-SA"/>
        </w:rPr>
        <w:t>货物到货栽培前由招标人与相关部门组成验收小组对苗木的验收合格后方可种植。</w:t>
      </w:r>
    </w:p>
    <w:p>
      <w:pPr>
        <w:pStyle w:val="2"/>
        <w:rPr>
          <w:rFonts w:hint="eastAsia" w:ascii="宋体" w:hAnsi="宋体" w:eastAsiaTheme="minorEastAsia" w:cstheme="minorBidi"/>
          <w:b w:val="0"/>
          <w:bCs/>
          <w:color w:val="auto"/>
          <w:kern w:val="2"/>
          <w:sz w:val="24"/>
          <w:szCs w:val="24"/>
          <w:lang w:val="en-US" w:eastAsia="zh-CN" w:bidi="ar-SA"/>
        </w:rPr>
      </w:pPr>
      <w:r>
        <w:rPr>
          <w:rFonts w:hint="eastAsia" w:ascii="宋体" w:hAnsi="宋体" w:eastAsiaTheme="minorEastAsia" w:cstheme="minorBidi"/>
          <w:b w:val="0"/>
          <w:bCs/>
          <w:color w:val="auto"/>
          <w:kern w:val="2"/>
          <w:sz w:val="24"/>
          <w:szCs w:val="24"/>
          <w:lang w:val="en-US" w:eastAsia="zh-CN" w:bidi="ar-SA"/>
        </w:rPr>
        <w:t>2、本项目验收结果经双方签字有效，如本项目验收不合格所造成的一切损失全部由成</w:t>
      </w:r>
    </w:p>
    <w:p>
      <w:pPr>
        <w:pStyle w:val="2"/>
        <w:rPr>
          <w:rFonts w:hint="eastAsia" w:ascii="宋体" w:hAnsi="宋体" w:eastAsiaTheme="minorEastAsia" w:cstheme="minorBidi"/>
          <w:b w:val="0"/>
          <w:bCs/>
          <w:color w:val="auto"/>
          <w:kern w:val="2"/>
          <w:sz w:val="24"/>
          <w:szCs w:val="24"/>
          <w:lang w:val="en-US" w:eastAsia="zh-CN" w:bidi="ar-SA"/>
        </w:rPr>
      </w:pPr>
      <w:r>
        <w:rPr>
          <w:rFonts w:hint="eastAsia" w:ascii="宋体" w:hAnsi="宋体" w:eastAsiaTheme="minorEastAsia" w:cstheme="minorBidi"/>
          <w:b w:val="0"/>
          <w:bCs/>
          <w:color w:val="auto"/>
          <w:kern w:val="2"/>
          <w:sz w:val="24"/>
          <w:szCs w:val="24"/>
          <w:lang w:val="en-US" w:eastAsia="zh-CN" w:bidi="ar-SA"/>
        </w:rPr>
        <w:t>交投标人承担。</w:t>
      </w:r>
    </w:p>
    <w:p>
      <w:pPr>
        <w:pStyle w:val="2"/>
        <w:rPr>
          <w:rFonts w:hint="eastAsia" w:ascii="宋体" w:hAnsi="宋体" w:eastAsiaTheme="minorEastAsia" w:cstheme="minorBidi"/>
          <w:b w:val="0"/>
          <w:bCs/>
          <w:color w:val="auto"/>
          <w:kern w:val="2"/>
          <w:sz w:val="24"/>
          <w:szCs w:val="24"/>
          <w:lang w:val="en-US" w:eastAsia="zh-CN" w:bidi="ar-SA"/>
        </w:rPr>
      </w:pPr>
      <w:r>
        <w:rPr>
          <w:rFonts w:hint="eastAsia" w:ascii="宋体" w:hAnsi="宋体" w:eastAsiaTheme="minorEastAsia" w:cstheme="minorBidi"/>
          <w:b w:val="0"/>
          <w:bCs/>
          <w:color w:val="auto"/>
          <w:kern w:val="2"/>
          <w:sz w:val="24"/>
          <w:szCs w:val="24"/>
          <w:lang w:val="en-US" w:eastAsia="zh-CN" w:bidi="ar-SA"/>
        </w:rPr>
        <w:t>3、 中标人必须在苗木验收完毕之后，对招标人及相关人员进行免费培训，保证招标</w:t>
      </w:r>
    </w:p>
    <w:p>
      <w:pPr>
        <w:pStyle w:val="2"/>
        <w:rPr>
          <w:rFonts w:hint="eastAsia" w:ascii="宋体" w:hAnsi="宋体" w:eastAsiaTheme="minorEastAsia" w:cstheme="minorBidi"/>
          <w:b w:val="0"/>
          <w:bCs/>
          <w:color w:val="auto"/>
          <w:kern w:val="2"/>
          <w:sz w:val="24"/>
          <w:szCs w:val="24"/>
          <w:lang w:val="en-US" w:eastAsia="zh-CN" w:bidi="ar-SA"/>
        </w:rPr>
      </w:pPr>
      <w:r>
        <w:rPr>
          <w:rFonts w:hint="eastAsia" w:ascii="宋体" w:hAnsi="宋体" w:eastAsiaTheme="minorEastAsia" w:cstheme="minorBidi"/>
          <w:b w:val="0"/>
          <w:bCs/>
          <w:color w:val="auto"/>
          <w:kern w:val="2"/>
          <w:sz w:val="24"/>
          <w:szCs w:val="24"/>
          <w:lang w:val="en-US" w:eastAsia="zh-CN" w:bidi="ar-SA"/>
        </w:rPr>
        <w:t>人能正常栽培，并长期提供技术支持以及相关知识和维护。</w:t>
      </w:r>
    </w:p>
    <w:p>
      <w:pPr>
        <w:pStyle w:val="2"/>
        <w:rPr>
          <w:rFonts w:hint="default" w:ascii="宋体" w:hAnsi="宋体" w:eastAsiaTheme="minorEastAsia" w:cstheme="minorBidi"/>
          <w:b w:val="0"/>
          <w:bCs/>
          <w:color w:val="auto"/>
          <w:kern w:val="2"/>
          <w:sz w:val="24"/>
          <w:szCs w:val="24"/>
          <w:u w:val="none"/>
          <w:lang w:val="en-US" w:eastAsia="zh-CN" w:bidi="ar-SA"/>
        </w:rPr>
      </w:pPr>
      <w:r>
        <w:rPr>
          <w:rFonts w:hint="eastAsia" w:eastAsia="宋体" w:cs="宋体" w:asciiTheme="minorHAnsi" w:hAnsiTheme="minorHAnsi"/>
          <w:b/>
          <w:bCs/>
          <w:color w:val="auto"/>
          <w:kern w:val="2"/>
          <w:sz w:val="32"/>
          <w:szCs w:val="32"/>
          <w:lang w:val="en-US" w:eastAsia="zh-CN" w:bidi="ar-SA"/>
        </w:rPr>
        <w:t>四、售后服务要求</w:t>
      </w:r>
    </w:p>
    <w:p>
      <w:pPr>
        <w:pStyle w:val="2"/>
        <w:rPr>
          <w:rFonts w:ascii="黑体" w:hAnsi="黑体" w:eastAsia="黑体"/>
          <w:b/>
          <w:bCs/>
          <w:color w:val="auto"/>
        </w:rPr>
      </w:pPr>
      <w:r>
        <w:rPr>
          <w:rFonts w:hint="eastAsia" w:ascii="宋体" w:hAnsi="宋体" w:eastAsiaTheme="minorEastAsia" w:cstheme="minorBidi"/>
          <w:b w:val="0"/>
          <w:bCs/>
          <w:color w:val="auto"/>
          <w:kern w:val="2"/>
          <w:sz w:val="24"/>
          <w:szCs w:val="24"/>
          <w:lang w:val="en-US" w:eastAsia="zh-CN" w:bidi="ar-SA"/>
        </w:rPr>
        <w:t>1、因中标人售后服务不及时而造成损失，中标人必须承担由此产生的一切费用。</w:t>
      </w:r>
    </w:p>
    <w:p>
      <w:pPr>
        <w:pStyle w:val="3"/>
        <w:numPr>
          <w:ilvl w:val="0"/>
          <w:numId w:val="1"/>
        </w:numPr>
        <w:tabs>
          <w:tab w:val="left" w:pos="1680"/>
        </w:tabs>
        <w:spacing w:before="0" w:after="0" w:line="360" w:lineRule="auto"/>
        <w:jc w:val="center"/>
        <w:rPr>
          <w:rFonts w:ascii="黑体" w:hAnsi="黑体" w:eastAsia="黑体"/>
          <w:color w:val="000000" w:themeColor="text1"/>
          <w14:textFill>
            <w14:solidFill>
              <w14:schemeClr w14:val="tx1"/>
            </w14:solidFill>
          </w14:textFill>
        </w:rPr>
      </w:pPr>
      <w:bookmarkStart w:id="43" w:name="_Toc25691"/>
      <w:r>
        <w:rPr>
          <w:rFonts w:hint="eastAsia" w:ascii="黑体" w:hAnsi="黑体" w:eastAsia="黑体"/>
          <w:color w:val="000000" w:themeColor="text1"/>
          <w14:textFill>
            <w14:solidFill>
              <w14:schemeClr w14:val="tx1"/>
            </w14:solidFill>
          </w14:textFill>
        </w:rPr>
        <w:t>资格审查方法及标准</w:t>
      </w:r>
      <w:bookmarkEnd w:id="43"/>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4"/>
        <w:numPr>
          <w:ilvl w:val="0"/>
          <w:numId w:val="18"/>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4" w:name="_Toc494561958"/>
      <w:bookmarkStart w:id="45" w:name="_Toc20701"/>
      <w:r>
        <w:rPr>
          <w:rFonts w:hint="eastAsia" w:cs="Times New Roman" w:asciiTheme="majorEastAsia" w:hAnsiTheme="majorEastAsia"/>
          <w:bCs w:val="0"/>
          <w:color w:val="000000" w:themeColor="text1"/>
          <w:sz w:val="30"/>
          <w:szCs w:val="30"/>
          <w:lang w:val="zh-CN"/>
          <w14:textFill>
            <w14:solidFill>
              <w14:schemeClr w14:val="tx1"/>
            </w14:solidFill>
          </w14:textFill>
        </w:rPr>
        <w:t>资格审查方法</w:t>
      </w:r>
      <w:bookmarkEnd w:id="44"/>
      <w:bookmarkEnd w:id="45"/>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公开招标采购项目开标结束后，采购人、采购代理机构成立资格审查小组，依据法律、法规及招标文件的规定，对投标人的资格进行审查，以确定投标人资格是否合格。</w:t>
      </w:r>
    </w:p>
    <w:p>
      <w:pPr>
        <w:pStyle w:val="4"/>
        <w:numPr>
          <w:ilvl w:val="0"/>
          <w:numId w:val="18"/>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6" w:name="_Toc494561959"/>
      <w:bookmarkStart w:id="47" w:name="_Toc10513"/>
      <w:r>
        <w:rPr>
          <w:rFonts w:hint="eastAsia" w:cs="Times New Roman" w:asciiTheme="majorEastAsia" w:hAnsiTheme="majorEastAsia"/>
          <w:bCs w:val="0"/>
          <w:color w:val="000000" w:themeColor="text1"/>
          <w:sz w:val="30"/>
          <w:szCs w:val="30"/>
          <w:lang w:val="zh-CN"/>
          <w14:textFill>
            <w14:solidFill>
              <w14:schemeClr w14:val="tx1"/>
            </w14:solidFill>
          </w14:textFill>
        </w:rPr>
        <w:t>资格审查标准</w:t>
      </w:r>
      <w:bookmarkEnd w:id="46"/>
      <w:bookmarkEnd w:id="47"/>
    </w:p>
    <w:p>
      <w:pPr>
        <w:numPr>
          <w:ilvl w:val="0"/>
          <w:numId w:val="19"/>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14:textFill>
            <w14:solidFill>
              <w14:schemeClr w14:val="tx1"/>
            </w14:solidFill>
          </w14:textFill>
        </w:rPr>
        <w:t>无效投标处理：</w:t>
      </w:r>
    </w:p>
    <w:p>
      <w:pPr>
        <w:pStyle w:val="42"/>
        <w:numPr>
          <w:ilvl w:val="0"/>
          <w:numId w:val="2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就具备</w:t>
      </w:r>
      <w:r>
        <w:rPr>
          <w:rFonts w:hint="eastAsia" w:hAnsi="宋体"/>
          <w:color w:val="000000" w:themeColor="text1"/>
          <w:sz w:val="24"/>
          <w:szCs w:val="24"/>
          <w14:textFill>
            <w14:solidFill>
              <w14:schemeClr w14:val="tx1"/>
            </w14:solidFill>
          </w14:textFill>
        </w:rPr>
        <w:t>下列材料</w:t>
      </w:r>
      <w:r>
        <w:rPr>
          <w:rFonts w:hint="eastAsia" w:ascii="宋体" w:hAnsi="宋体" w:eastAsia="宋体" w:cs="Times New Roman"/>
          <w:color w:val="000000" w:themeColor="text1"/>
          <w:sz w:val="24"/>
          <w:szCs w:val="24"/>
          <w:lang w:val="zh-CN"/>
          <w14:textFill>
            <w14:solidFill>
              <w14:schemeClr w14:val="tx1"/>
            </w14:solidFill>
          </w14:textFill>
        </w:rPr>
        <w:t>：</w:t>
      </w:r>
    </w:p>
    <w:p>
      <w:pPr>
        <w:pStyle w:val="42"/>
        <w:numPr>
          <w:ilvl w:val="0"/>
          <w:numId w:val="21"/>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法人或者其他组织的营业执照等证明文件，自然人的身份证明；</w:t>
      </w:r>
    </w:p>
    <w:p>
      <w:pPr>
        <w:pStyle w:val="42"/>
        <w:numPr>
          <w:ilvl w:val="0"/>
          <w:numId w:val="21"/>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近两年经审计的财务报告或基本开户银行出具的资信证明文件；</w:t>
      </w:r>
    </w:p>
    <w:p>
      <w:pPr>
        <w:pStyle w:val="42"/>
        <w:numPr>
          <w:ilvl w:val="0"/>
          <w:numId w:val="21"/>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具备履行合同所必需的设备和专业技术能力的证明材料；</w:t>
      </w:r>
    </w:p>
    <w:p>
      <w:pPr>
        <w:pStyle w:val="42"/>
        <w:numPr>
          <w:ilvl w:val="0"/>
          <w:numId w:val="21"/>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参加政府采购活动前3年内在经营活动中没有重大违法记录的书面声明；</w:t>
      </w:r>
    </w:p>
    <w:p>
      <w:pPr>
        <w:pStyle w:val="42"/>
        <w:numPr>
          <w:ilvl w:val="0"/>
          <w:numId w:val="21"/>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具备法律、行政法规规定的其他条件的证明材料。</w:t>
      </w:r>
    </w:p>
    <w:p>
      <w:pPr>
        <w:pStyle w:val="42"/>
        <w:numPr>
          <w:ilvl w:val="0"/>
          <w:numId w:val="2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未被“信用中国”网站(www.creditchina.gov.cn)列入失信被执行人、重大税收违法案件当事人名单、</w:t>
      </w:r>
      <w:r>
        <w:rPr>
          <w:rFonts w:hint="eastAsia" w:ascii="宋体" w:hAnsi="宋体" w:eastAsia="宋体" w:cs="Times New Roman"/>
          <w:color w:val="000000" w:themeColor="text1"/>
          <w:sz w:val="24"/>
          <w:szCs w:val="24"/>
          <w14:textFill>
            <w14:solidFill>
              <w14:schemeClr w14:val="tx1"/>
            </w14:solidFill>
          </w14:textFill>
        </w:rPr>
        <w:t>“中国政府采购网”（www.ccgp.gov.cn）</w:t>
      </w:r>
      <w:r>
        <w:rPr>
          <w:rFonts w:hint="eastAsia" w:ascii="宋体" w:hAnsi="宋体" w:eastAsia="宋体" w:cs="Times New Roman"/>
          <w:color w:val="000000" w:themeColor="text1"/>
          <w:sz w:val="24"/>
          <w:szCs w:val="24"/>
          <w:lang w:val="zh-CN"/>
          <w14:textFill>
            <w14:solidFill>
              <w14:schemeClr w14:val="tx1"/>
            </w14:solidFill>
          </w14:textFill>
        </w:rPr>
        <w:t>政府采购严重违法失信行为记录名单的书面申明及该网站查询结果页面截图；</w:t>
      </w:r>
    </w:p>
    <w:p>
      <w:pPr>
        <w:pStyle w:val="42"/>
        <w:numPr>
          <w:ilvl w:val="0"/>
          <w:numId w:val="2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42"/>
        <w:numPr>
          <w:ilvl w:val="0"/>
          <w:numId w:val="2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不符合联合体投标相关规定和要求的；</w:t>
      </w:r>
    </w:p>
    <w:p>
      <w:pPr>
        <w:pStyle w:val="42"/>
        <w:numPr>
          <w:ilvl w:val="0"/>
          <w:numId w:val="2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投标人认为需提供的其它相关资格证明材料；</w:t>
      </w:r>
    </w:p>
    <w:p>
      <w:pPr>
        <w:pStyle w:val="42"/>
        <w:numPr>
          <w:ilvl w:val="0"/>
          <w:numId w:val="2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资格证明文件正本应为清晰彩色影印件且加盖单位公章。</w:t>
      </w:r>
    </w:p>
    <w:p>
      <w:pPr>
        <w:numPr>
          <w:ilvl w:val="0"/>
          <w:numId w:val="19"/>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确定资格审查合格投标人</w:t>
      </w:r>
    </w:p>
    <w:p>
      <w:pPr>
        <w:pStyle w:val="42"/>
        <w:numPr>
          <w:ilvl w:val="0"/>
          <w:numId w:val="2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14:textFill>
            <w14:solidFill>
              <w14:schemeClr w14:val="tx1"/>
            </w14:solidFill>
          </w14:textFill>
        </w:rPr>
        <w:t>形成书面的资格审查报告。</w:t>
      </w:r>
    </w:p>
    <w:p>
      <w:pPr>
        <w:pStyle w:val="42"/>
        <w:numPr>
          <w:ilvl w:val="0"/>
          <w:numId w:val="2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资格审查合格投标人不足3家的，不进行评标。</w:t>
      </w:r>
    </w:p>
    <w:p>
      <w:pPr>
        <w:pStyle w:val="42"/>
        <w:numPr>
          <w:ilvl w:val="0"/>
          <w:numId w:val="2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资格审查未通过的投标人可在结果公告质疑有效期内按公告中的联系方式获知</w:t>
      </w:r>
      <w:r>
        <w:rPr>
          <w:rFonts w:ascii="宋体" w:hAnsi="宋体" w:eastAsia="宋体" w:cs="Times New Roman"/>
          <w:color w:val="000000" w:themeColor="text1"/>
          <w:sz w:val="24"/>
          <w:szCs w:val="24"/>
          <w:lang w:val="zh-CN"/>
          <w14:textFill>
            <w14:solidFill>
              <w14:schemeClr w14:val="tx1"/>
            </w14:solidFill>
          </w14:textFill>
        </w:rPr>
        <w:t>本</w:t>
      </w:r>
      <w:r>
        <w:rPr>
          <w:rFonts w:hint="eastAsia" w:ascii="宋体" w:hAnsi="宋体" w:eastAsia="宋体" w:cs="Times New Roman"/>
          <w:color w:val="000000" w:themeColor="text1"/>
          <w:sz w:val="24"/>
          <w:szCs w:val="24"/>
          <w:lang w:val="zh-CN"/>
          <w14:textFill>
            <w14:solidFill>
              <w14:schemeClr w14:val="tx1"/>
            </w14:solidFill>
          </w14:textFill>
        </w:rPr>
        <w:t>单位</w:t>
      </w:r>
      <w:r>
        <w:rPr>
          <w:rFonts w:ascii="宋体" w:hAnsi="宋体" w:eastAsia="宋体" w:cs="Times New Roman"/>
          <w:color w:val="000000" w:themeColor="text1"/>
          <w:sz w:val="24"/>
          <w:szCs w:val="24"/>
          <w:lang w:val="zh-CN"/>
          <w14:textFill>
            <w14:solidFill>
              <w14:schemeClr w14:val="tx1"/>
            </w14:solidFill>
          </w14:textFill>
        </w:rPr>
        <w:t>的</w:t>
      </w:r>
      <w:r>
        <w:rPr>
          <w:rFonts w:hint="eastAsia" w:ascii="宋体" w:hAnsi="宋体" w:eastAsia="宋体" w:cs="Times New Roman"/>
          <w:color w:val="000000" w:themeColor="text1"/>
          <w:sz w:val="24"/>
          <w:szCs w:val="24"/>
          <w:lang w:val="zh-CN"/>
          <w14:textFill>
            <w14:solidFill>
              <w14:schemeClr w14:val="tx1"/>
            </w14:solidFill>
          </w14:textFill>
        </w:rPr>
        <w:t>资格审查情况。</w:t>
      </w:r>
    </w:p>
    <w:p>
      <w:pPr>
        <w:pStyle w:val="42"/>
        <w:numPr>
          <w:ilvl w:val="0"/>
          <w:numId w:val="2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14:textFill>
            <w14:solidFill>
              <w14:schemeClr w14:val="tx1"/>
            </w14:solidFill>
          </w14:textFill>
        </w:rPr>
        <w:t>拒绝</w:t>
      </w:r>
      <w:r>
        <w:rPr>
          <w:rFonts w:hint="eastAsia" w:ascii="宋体" w:hAnsi="宋体" w:eastAsia="宋体" w:cs="Times New Roman"/>
          <w:color w:val="000000" w:themeColor="text1"/>
          <w:sz w:val="24"/>
          <w:szCs w:val="24"/>
          <w:lang w:val="zh-CN"/>
          <w14:textFill>
            <w14:solidFill>
              <w14:schemeClr w14:val="tx1"/>
            </w14:solidFill>
          </w14:textFill>
        </w:rPr>
        <w:t>其投标。</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spacing w:before="0" w:after="0" w:line="360" w:lineRule="auto"/>
        <w:jc w:val="center"/>
        <w:rPr>
          <w:rFonts w:ascii="黑体" w:hAnsi="黑体" w:eastAsia="黑体"/>
          <w:color w:val="000000" w:themeColor="text1"/>
          <w14:textFill>
            <w14:solidFill>
              <w14:schemeClr w14:val="tx1"/>
            </w14:solidFill>
          </w14:textFill>
        </w:rPr>
      </w:pPr>
      <w:bookmarkStart w:id="48" w:name="_Toc6075"/>
      <w:r>
        <w:rPr>
          <w:rFonts w:hint="eastAsia" w:ascii="黑体" w:hAnsi="黑体" w:eastAsia="黑体"/>
          <w:color w:val="000000" w:themeColor="text1"/>
          <w14:textFill>
            <w14:solidFill>
              <w14:schemeClr w14:val="tx1"/>
            </w14:solidFill>
          </w14:textFill>
        </w:rPr>
        <w:t>评标方法、程序及标准</w:t>
      </w:r>
      <w:bookmarkEnd w:id="48"/>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4"/>
        <w:numPr>
          <w:ilvl w:val="0"/>
          <w:numId w:val="23"/>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9" w:name="_Toc278891605"/>
      <w:bookmarkStart w:id="50" w:name="_Toc272247708"/>
      <w:bookmarkStart w:id="51" w:name="_Toc494561961"/>
      <w:bookmarkStart w:id="52" w:name="_Toc13473"/>
      <w:r>
        <w:rPr>
          <w:rFonts w:hint="eastAsia" w:cs="Times New Roman" w:asciiTheme="majorEastAsia" w:hAnsiTheme="majorEastAsia"/>
          <w:bCs w:val="0"/>
          <w:color w:val="000000" w:themeColor="text1"/>
          <w:sz w:val="30"/>
          <w:szCs w:val="30"/>
          <w:lang w:val="zh-CN"/>
          <w14:textFill>
            <w14:solidFill>
              <w14:schemeClr w14:val="tx1"/>
            </w14:solidFill>
          </w14:textFill>
        </w:rPr>
        <w:t>评标</w:t>
      </w:r>
      <w:bookmarkEnd w:id="49"/>
      <w:bookmarkEnd w:id="50"/>
      <w:r>
        <w:rPr>
          <w:rFonts w:hint="eastAsia" w:cs="Times New Roman" w:asciiTheme="majorEastAsia" w:hAnsiTheme="majorEastAsia"/>
          <w:bCs w:val="0"/>
          <w:color w:val="000000" w:themeColor="text1"/>
          <w:sz w:val="30"/>
          <w:szCs w:val="30"/>
          <w:lang w:val="zh-CN"/>
          <w14:textFill>
            <w14:solidFill>
              <w14:schemeClr w14:val="tx1"/>
            </w14:solidFill>
          </w14:textFill>
        </w:rPr>
        <w:t>方法</w:t>
      </w:r>
      <w:bookmarkEnd w:id="51"/>
      <w:bookmarkEnd w:id="52"/>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本项目评标采用综合评分法，</w:t>
      </w:r>
      <w:r>
        <w:rPr>
          <w:rFonts w:ascii="宋体" w:hAnsi="宋体" w:eastAsia="宋体" w:cs="Times New Roman"/>
          <w:bCs/>
          <w:color w:val="000000" w:themeColor="text1"/>
          <w:sz w:val="24"/>
          <w:szCs w:val="20"/>
          <w:lang w:val="zh-CN"/>
          <w14:textFill>
            <w14:solidFill>
              <w14:schemeClr w14:val="tx1"/>
            </w14:solidFill>
          </w14:textFill>
        </w:rPr>
        <w:t>是指投标文件满足招标文件全部实质性要求，且按照评审因素的量化指标评审得分最高的投标人为中标候选人的评标方法。</w:t>
      </w:r>
    </w:p>
    <w:p>
      <w:pPr>
        <w:pStyle w:val="4"/>
        <w:numPr>
          <w:ilvl w:val="0"/>
          <w:numId w:val="23"/>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3" w:name="_Toc272247709"/>
      <w:bookmarkStart w:id="54" w:name="_Toc278891606"/>
      <w:bookmarkStart w:id="55" w:name="_Toc30514"/>
      <w:bookmarkStart w:id="56" w:name="_Toc494561962"/>
      <w:r>
        <w:rPr>
          <w:rFonts w:hint="eastAsia" w:cs="Times New Roman" w:asciiTheme="majorEastAsia" w:hAnsiTheme="majorEastAsia"/>
          <w:bCs w:val="0"/>
          <w:color w:val="000000" w:themeColor="text1"/>
          <w:sz w:val="30"/>
          <w:szCs w:val="30"/>
          <w:lang w:val="zh-CN"/>
          <w14:textFill>
            <w14:solidFill>
              <w14:schemeClr w14:val="tx1"/>
            </w14:solidFill>
          </w14:textFill>
        </w:rPr>
        <w:t>评标程序</w:t>
      </w:r>
      <w:bookmarkEnd w:id="53"/>
      <w:bookmarkEnd w:id="54"/>
      <w:r>
        <w:rPr>
          <w:rFonts w:hint="eastAsia" w:cs="Times New Roman" w:asciiTheme="majorEastAsia" w:hAnsiTheme="majorEastAsia"/>
          <w:bCs w:val="0"/>
          <w:color w:val="000000" w:themeColor="text1"/>
          <w:sz w:val="30"/>
          <w:szCs w:val="30"/>
          <w:lang w:val="zh-CN"/>
          <w14:textFill>
            <w14:solidFill>
              <w14:schemeClr w14:val="tx1"/>
            </w14:solidFill>
          </w14:textFill>
        </w:rPr>
        <w:t>及标准</w:t>
      </w:r>
      <w:bookmarkEnd w:id="55"/>
      <w:bookmarkEnd w:id="56"/>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评标委员会按以下工作程序进行评标：</w:t>
      </w:r>
      <w:r>
        <w:rPr>
          <w:rFonts w:hint="eastAsia" w:ascii="宋体" w:hAnsi="宋体" w:eastAsia="宋体" w:cs="Times New Roman"/>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24"/>
        </w:numPr>
        <w:spacing w:line="360" w:lineRule="auto"/>
        <w:ind w:left="1311" w:leftChars="154" w:hanging="988" w:hangingChars="353"/>
        <w:rPr>
          <w:rFonts w:ascii="宋体" w:hAnsi="宋体" w:eastAsia="宋体" w:cs="Times New Roman"/>
          <w:strike/>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hAnsi="宋体" w:eastAsia="宋体" w:cs="Times New Roman"/>
          <w:bCs/>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14:textFill>
            <w14:solidFill>
              <w14:schemeClr w14:val="tx1"/>
            </w14:solidFill>
          </w14:textFill>
        </w:rPr>
        <w:t>符合性审查出现下列情形之一的投标按照</w:t>
      </w:r>
      <w:r>
        <w:rPr>
          <w:rFonts w:hint="eastAsia" w:ascii="宋体" w:hAnsi="宋体" w:eastAsia="宋体" w:cs="Times New Roman"/>
          <w:b/>
          <w:bCs/>
          <w:color w:val="000000" w:themeColor="text1"/>
          <w:sz w:val="24"/>
          <w:szCs w:val="20"/>
          <w:lang w:val="zh-CN"/>
          <w14:textFill>
            <w14:solidFill>
              <w14:schemeClr w14:val="tx1"/>
            </w14:solidFill>
          </w14:textFill>
        </w:rPr>
        <w:t>无效投标处理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投标总报价超过项目（分包）预算金额或最高限价的；</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工期（服务期限）、质保期不符合招标文件要求的；</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投标保证金的交纳不符合招标文件要求的；</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出现两个或两个以上不同报价的；</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投标报价存在缺项、漏项的；</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投标有效期不足的；</w:t>
      </w:r>
    </w:p>
    <w:p>
      <w:pPr>
        <w:numPr>
          <w:ilvl w:val="0"/>
          <w:numId w:val="2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25"/>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正本未按要求提供加盖公章及签字（签章）原件的；</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符合招标文件第二章“投标人须知”中40条中规定情形，以分公司形式参与投标的，法定代表人授权书未由总公司法定代表人签字（盖章）并加盖公章的；</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未按要求提供招标文件第二章“十一其他注意事项”中规定的书面声明的；</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不满足招标文件第三章“项目技术、服务和商务要求”的；</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含有采购人不能接受的附加条件的</w:t>
      </w:r>
      <w:r>
        <w:rPr>
          <w:rFonts w:hint="eastAsia" w:ascii="Times New Roman" w:hAnsi="宋体" w:eastAsia="宋体" w:cs="Times New Roman"/>
          <w:color w:val="000000" w:themeColor="text1"/>
          <w:sz w:val="24"/>
          <w:szCs w:val="24"/>
          <w:lang w:val="zh-CN"/>
          <w14:textFill>
            <w14:solidFill>
              <w14:schemeClr w14:val="tx1"/>
            </w14:solidFill>
          </w14:textFill>
        </w:rPr>
        <w:t>；</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w:t>
      </w:r>
    </w:p>
    <w:p>
      <w:pPr>
        <w:numPr>
          <w:ilvl w:val="0"/>
          <w:numId w:val="2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法律、法规</w:t>
      </w:r>
      <w:r>
        <w:rPr>
          <w:rFonts w:hint="eastAsia" w:ascii="Times New Roman" w:hAnsi="宋体" w:eastAsia="宋体" w:cs="Times New Roman"/>
          <w:color w:val="000000" w:themeColor="text1"/>
          <w:sz w:val="24"/>
          <w:szCs w:val="24"/>
          <w:lang w:val="zh-CN"/>
          <w14:textFill>
            <w14:solidFill>
              <w14:schemeClr w14:val="tx1"/>
            </w14:solidFill>
          </w14:textFill>
        </w:rPr>
        <w:t>和招标文件</w:t>
      </w:r>
      <w:r>
        <w:rPr>
          <w:rFonts w:ascii="Times New Roman" w:hAnsi="宋体" w:eastAsia="宋体" w:cs="Times New Roman"/>
          <w:color w:val="000000" w:themeColor="text1"/>
          <w:sz w:val="24"/>
          <w:szCs w:val="24"/>
          <w:lang w:val="zh-CN"/>
          <w14:textFill>
            <w14:solidFill>
              <w14:schemeClr w14:val="tx1"/>
            </w14:solidFill>
          </w14:textFill>
        </w:rPr>
        <w:t>规定的其他</w:t>
      </w:r>
      <w:r>
        <w:rPr>
          <w:rFonts w:hint="eastAsia" w:ascii="Times New Roman" w:hAnsi="宋体" w:eastAsia="宋体" w:cs="Times New Roman"/>
          <w:color w:val="000000" w:themeColor="text1"/>
          <w:sz w:val="24"/>
          <w:szCs w:val="24"/>
          <w:lang w:val="zh-CN"/>
          <w14:textFill>
            <w14:solidFill>
              <w14:schemeClr w14:val="tx1"/>
            </w14:solidFill>
          </w14:textFill>
        </w:rPr>
        <w:t>无效投标</w:t>
      </w:r>
      <w:r>
        <w:rPr>
          <w:rFonts w:ascii="Times New Roman" w:hAnsi="宋体" w:eastAsia="宋体" w:cs="Times New Roman"/>
          <w:color w:val="000000" w:themeColor="text1"/>
          <w:sz w:val="24"/>
          <w:szCs w:val="24"/>
          <w:lang w:val="zh-CN"/>
          <w14:textFill>
            <w14:solidFill>
              <w14:schemeClr w14:val="tx1"/>
            </w14:solidFill>
          </w14:textFill>
        </w:rPr>
        <w:t>情形。</w:t>
      </w:r>
    </w:p>
    <w:p>
      <w:pPr>
        <w:numPr>
          <w:ilvl w:val="0"/>
          <w:numId w:val="24"/>
        </w:numPr>
        <w:spacing w:line="360" w:lineRule="auto"/>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澄清有关问题</w:t>
      </w:r>
    </w:p>
    <w:p>
      <w:pPr>
        <w:numPr>
          <w:ilvl w:val="0"/>
          <w:numId w:val="2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评标期间，</w:t>
      </w:r>
      <w:r>
        <w:rPr>
          <w:rFonts w:ascii="Helvetica" w:hAnsi="Helvetica" w:eastAsia="宋体" w:cs="Helvetica"/>
          <w:color w:val="000000" w:themeColor="text1"/>
          <w:kern w:val="0"/>
          <w:sz w:val="24"/>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numPr>
          <w:ilvl w:val="0"/>
          <w:numId w:val="26"/>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投标人应按照评标委员会要求的澄清内容在规定时间内做出澄清。</w:t>
      </w:r>
      <w:r>
        <w:rPr>
          <w:rFonts w:ascii="宋体" w:hAnsi="宋体" w:eastAsia="宋体" w:cs="Times New Roman"/>
          <w:color w:val="000000" w:themeColor="text1"/>
          <w:sz w:val="24"/>
          <w:szCs w:val="20"/>
          <w:lang w:val="zh-CN"/>
          <w14:textFill>
            <w14:solidFill>
              <w14:schemeClr w14:val="tx1"/>
            </w14:solidFill>
          </w14:textFill>
        </w:rPr>
        <w:t>投标文件报价出现前后不一致的</w:t>
      </w:r>
      <w:r>
        <w:rPr>
          <w:rFonts w:hint="eastAsia" w:ascii="宋体" w:hAnsi="宋体" w:eastAsia="宋体" w:cs="Times New Roman"/>
          <w:color w:val="000000" w:themeColor="text1"/>
          <w:sz w:val="24"/>
          <w:szCs w:val="20"/>
          <w:lang w:val="zh-CN"/>
          <w14:textFill>
            <w14:solidFill>
              <w14:schemeClr w14:val="tx1"/>
            </w14:solidFill>
          </w14:textFill>
        </w:rPr>
        <w:t>，按照本节第3</w:t>
      </w:r>
      <w:r>
        <w:rPr>
          <w:rFonts w:hint="eastAsia" w:ascii="宋体" w:hAnsi="宋体" w:eastAsia="宋体" w:cs="Times New Roman"/>
          <w:bCs/>
          <w:color w:val="000000" w:themeColor="text1"/>
          <w:sz w:val="24"/>
          <w:szCs w:val="20"/>
          <w:lang w:val="zh-CN"/>
          <w14:textFill>
            <w14:solidFill>
              <w14:schemeClr w14:val="tx1"/>
            </w14:solidFill>
          </w14:textFill>
        </w:rPr>
        <w:t>条规定进行修正，</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26"/>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投标文件报价出现前后不一致的，按照下列规定修正：</w:t>
      </w:r>
    </w:p>
    <w:p>
      <w:pPr>
        <w:numPr>
          <w:ilvl w:val="0"/>
          <w:numId w:val="2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2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大写金额和小写金额不一致的，以大写金额为准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2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2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总价金额与按单价汇总金额不一致的，以单价金额计算结果为准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2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同时出现两种以上不一致的，按照前款规定的顺序修正</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2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修正后的报价按照</w:t>
      </w:r>
      <w:r>
        <w:rPr>
          <w:rFonts w:hint="eastAsia" w:ascii="宋体" w:hAnsi="宋体" w:eastAsia="宋体" w:cs="Times New Roman"/>
          <w:color w:val="000000" w:themeColor="text1"/>
          <w:sz w:val="24"/>
          <w:szCs w:val="24"/>
          <w:lang w:val="zh-CN"/>
          <w14:textFill>
            <w14:solidFill>
              <w14:schemeClr w14:val="tx1"/>
            </w14:solidFill>
          </w14:textFill>
        </w:rPr>
        <w:t>本节第4条规定</w:t>
      </w:r>
      <w:r>
        <w:rPr>
          <w:rFonts w:ascii="宋体" w:hAnsi="宋体" w:eastAsia="宋体" w:cs="Times New Roman"/>
          <w:color w:val="000000" w:themeColor="text1"/>
          <w:sz w:val="24"/>
          <w:szCs w:val="24"/>
          <w:lang w:val="zh-CN"/>
          <w14:textFill>
            <w14:solidFill>
              <w14:schemeClr w14:val="tx1"/>
            </w14:solidFill>
          </w14:textFill>
        </w:rPr>
        <w:t>经投标人确认后产生约束力，投标人不确认的，</w:t>
      </w:r>
      <w:r>
        <w:rPr>
          <w:rFonts w:hint="eastAsia" w:ascii="宋体" w:hAnsi="宋体" w:eastAsia="宋体" w:cs="Times New Roman"/>
          <w:color w:val="000000" w:themeColor="text1"/>
          <w:sz w:val="24"/>
          <w:szCs w:val="24"/>
          <w:lang w:val="zh-CN"/>
          <w14:textFill>
            <w14:solidFill>
              <w14:schemeClr w14:val="tx1"/>
            </w14:solidFill>
          </w14:textFill>
        </w:rPr>
        <w:t>按照</w:t>
      </w:r>
      <w:r>
        <w:rPr>
          <w:rFonts w:ascii="宋体" w:hAnsi="宋体" w:eastAsia="宋体" w:cs="Times New Roman"/>
          <w:b/>
          <w:color w:val="000000" w:themeColor="text1"/>
          <w:sz w:val="24"/>
          <w:szCs w:val="24"/>
          <w:lang w:val="zh-CN"/>
          <w14:textFill>
            <w14:solidFill>
              <w14:schemeClr w14:val="tx1"/>
            </w14:solidFill>
          </w14:textFill>
        </w:rPr>
        <w:t>无效</w:t>
      </w:r>
      <w:r>
        <w:rPr>
          <w:rFonts w:hint="eastAsia" w:ascii="宋体" w:hAnsi="宋体" w:eastAsia="宋体" w:cs="Times New Roman"/>
          <w:b/>
          <w:color w:val="000000" w:themeColor="text1"/>
          <w:sz w:val="24"/>
          <w:szCs w:val="24"/>
          <w:lang w:val="zh-CN"/>
          <w14:textFill>
            <w14:solidFill>
              <w14:schemeClr w14:val="tx1"/>
            </w14:solidFill>
          </w14:textFill>
        </w:rPr>
        <w:t>投标处理</w:t>
      </w:r>
      <w:r>
        <w:rPr>
          <w:rFonts w:ascii="宋体" w:hAnsi="宋体" w:eastAsia="宋体" w:cs="Times New Roman"/>
          <w:color w:val="000000" w:themeColor="text1"/>
          <w:sz w:val="24"/>
          <w:szCs w:val="24"/>
          <w:lang w:val="zh-CN"/>
          <w14:textFill>
            <w14:solidFill>
              <w14:schemeClr w14:val="tx1"/>
            </w14:solidFill>
          </w14:textFill>
        </w:rPr>
        <w:t>。</w:t>
      </w:r>
    </w:p>
    <w:p>
      <w:pPr>
        <w:numPr>
          <w:ilvl w:val="0"/>
          <w:numId w:val="26"/>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投标人的</w:t>
      </w:r>
      <w:r>
        <w:rPr>
          <w:rFonts w:ascii="Helvetica" w:hAnsi="Helvetica" w:eastAsia="宋体" w:cs="Helvetica"/>
          <w:color w:val="000000" w:themeColor="text1"/>
          <w:kern w:val="0"/>
          <w:sz w:val="24"/>
          <w:szCs w:val="24"/>
          <w:lang w:val="zh-CN"/>
          <w14:textFill>
            <w14:solidFill>
              <w14:schemeClr w14:val="tx1"/>
            </w14:solidFill>
          </w14:textFill>
        </w:rPr>
        <w:t>澄清、说明或者补正</w:t>
      </w:r>
      <w:r>
        <w:rPr>
          <w:rFonts w:hint="eastAsia" w:ascii="宋体" w:hAnsi="宋体" w:eastAsia="宋体" w:cs="Times New Roman"/>
          <w:color w:val="000000" w:themeColor="text1"/>
          <w:sz w:val="24"/>
          <w:szCs w:val="20"/>
          <w:lang w:val="zh-CN"/>
          <w14:textFill>
            <w14:solidFill>
              <w14:schemeClr w14:val="tx1"/>
            </w14:solidFill>
          </w14:textFill>
        </w:rPr>
        <w:t>是其投标文件的有效组成部分。</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24"/>
        </w:numPr>
        <w:spacing w:line="360" w:lineRule="auto"/>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评标委员会应当按照</w:t>
      </w:r>
      <w:r>
        <w:rPr>
          <w:rFonts w:hint="eastAsia" w:ascii="宋体" w:hAnsi="宋体" w:eastAsia="宋体" w:cs="Times New Roman"/>
          <w:bCs/>
          <w:color w:val="000000" w:themeColor="text1"/>
          <w:sz w:val="24"/>
          <w:szCs w:val="20"/>
          <w:lang w:val="zh-CN"/>
          <w14:textFill>
            <w14:solidFill>
              <w14:schemeClr w14:val="tx1"/>
            </w14:solidFill>
          </w14:textFill>
        </w:rPr>
        <w:t>本章</w:t>
      </w:r>
      <w:r>
        <w:rPr>
          <w:rFonts w:ascii="宋体" w:hAnsi="宋体" w:eastAsia="宋体" w:cs="Times New Roman"/>
          <w:bCs/>
          <w:color w:val="000000" w:themeColor="text1"/>
          <w:sz w:val="24"/>
          <w:szCs w:val="20"/>
          <w:lang w:val="zh-CN"/>
          <w14:textFill>
            <w14:solidFill>
              <w14:schemeClr w14:val="tx1"/>
            </w14:solidFill>
          </w14:textFill>
        </w:rPr>
        <w:t>中规定的</w:t>
      </w:r>
      <w:r>
        <w:rPr>
          <w:rFonts w:hint="eastAsia" w:ascii="宋体" w:hAnsi="宋体" w:eastAsia="宋体" w:cs="Times New Roman"/>
          <w:bCs/>
          <w:color w:val="000000" w:themeColor="text1"/>
          <w:sz w:val="24"/>
          <w:szCs w:val="20"/>
          <w:lang w:val="zh-CN"/>
          <w14:textFill>
            <w14:solidFill>
              <w14:schemeClr w14:val="tx1"/>
            </w14:solidFill>
          </w14:textFill>
        </w:rPr>
        <w:t>评标方法和标准</w:t>
      </w:r>
      <w:r>
        <w:rPr>
          <w:rFonts w:ascii="宋体" w:hAnsi="宋体" w:eastAsia="宋体" w:cs="Times New Roman"/>
          <w:bCs/>
          <w:color w:val="000000" w:themeColor="text1"/>
          <w:sz w:val="24"/>
          <w:szCs w:val="20"/>
          <w:lang w:val="zh-CN"/>
          <w14:textFill>
            <w14:solidFill>
              <w14:schemeClr w14:val="tx1"/>
            </w14:solidFill>
          </w14:textFill>
        </w:rPr>
        <w:t>，对符合性审查合格的投标文件进行商务和技术</w:t>
      </w:r>
      <w:r>
        <w:rPr>
          <w:rFonts w:hint="eastAsia" w:ascii="宋体" w:hAnsi="宋体" w:eastAsia="宋体" w:cs="Times New Roman"/>
          <w:bCs/>
          <w:color w:val="000000" w:themeColor="text1"/>
          <w:sz w:val="24"/>
          <w:szCs w:val="20"/>
          <w:lang w:val="zh-CN"/>
          <w14:textFill>
            <w14:solidFill>
              <w14:schemeClr w14:val="tx1"/>
            </w14:solidFill>
          </w14:textFill>
        </w:rPr>
        <w:t>、服务</w:t>
      </w:r>
      <w:r>
        <w:rPr>
          <w:rFonts w:ascii="宋体" w:hAnsi="宋体" w:eastAsia="宋体" w:cs="Times New Roman"/>
          <w:bCs/>
          <w:color w:val="000000" w:themeColor="text1"/>
          <w:sz w:val="24"/>
          <w:szCs w:val="20"/>
          <w:lang w:val="zh-CN"/>
          <w14:textFill>
            <w14:solidFill>
              <w14:schemeClr w14:val="tx1"/>
            </w14:solidFill>
          </w14:textFill>
        </w:rPr>
        <w:t>评估，综合比较与评价。</w:t>
      </w:r>
    </w:p>
    <w:p>
      <w:pPr>
        <w:numPr>
          <w:ilvl w:val="0"/>
          <w:numId w:val="2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商务评议</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2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技术、服务评议</w:t>
      </w:r>
    </w:p>
    <w:p>
      <w:pPr>
        <w:spacing w:line="360" w:lineRule="auto"/>
        <w:ind w:firstLine="480" w:firstLineChars="200"/>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2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价格评议</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评标委员会对符合性审查合格的投标文件进行价格评议（</w:t>
      </w:r>
      <w:r>
        <w:rPr>
          <w:rFonts w:hint="eastAsia" w:ascii="宋体" w:hAnsi="宋体" w:eastAsia="宋体" w:cs="Times New Roman"/>
          <w:bCs/>
          <w:color w:val="000000" w:themeColor="text1"/>
          <w:sz w:val="24"/>
          <w:szCs w:val="21"/>
          <w:lang w:val="zh-CN"/>
          <w14:textFill>
            <w14:solidFill>
              <w14:schemeClr w14:val="tx1"/>
            </w14:solidFill>
          </w14:textFill>
        </w:rPr>
        <w:t>执行国家统一定价标准和采用固定价格采购的项目，其价格不列为评审因素</w:t>
      </w:r>
      <w:r>
        <w:rPr>
          <w:rFonts w:hint="eastAsia" w:ascii="宋体" w:hAnsi="宋体" w:eastAsia="宋体" w:cs="Times New Roman"/>
          <w:bCs/>
          <w:color w:val="000000" w:themeColor="text1"/>
          <w:sz w:val="24"/>
          <w:szCs w:val="24"/>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29"/>
        </w:numPr>
        <w:adjustRightInd w:val="0"/>
        <w:spacing w:line="360" w:lineRule="auto"/>
        <w:ind w:left="742" w:hanging="493"/>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报价合理性说明：</w:t>
      </w:r>
      <w:r>
        <w:rPr>
          <w:rFonts w:ascii="宋体" w:hAnsi="宋体" w:eastAsia="宋体" w:cs="Helvetica"/>
          <w:color w:val="000000" w:themeColor="text1"/>
          <w:kern w:val="0"/>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lang w:val="zh-CN"/>
          <w14:textFill>
            <w14:solidFill>
              <w14:schemeClr w14:val="tx1"/>
            </w14:solidFill>
          </w14:textFill>
        </w:rPr>
        <w:t>应当将其作为</w:t>
      </w:r>
      <w:r>
        <w:rPr>
          <w:rFonts w:ascii="宋体" w:hAnsi="宋体" w:eastAsia="宋体" w:cs="Helvetica"/>
          <w:b/>
          <w:color w:val="000000" w:themeColor="text1"/>
          <w:kern w:val="0"/>
          <w:sz w:val="24"/>
          <w:szCs w:val="24"/>
          <w:lang w:val="zh-CN"/>
          <w14:textFill>
            <w14:solidFill>
              <w14:schemeClr w14:val="tx1"/>
            </w14:solidFill>
          </w14:textFill>
        </w:rPr>
        <w:t>无效投标处理</w:t>
      </w:r>
      <w:r>
        <w:rPr>
          <w:rFonts w:ascii="宋体" w:hAnsi="宋体" w:eastAsia="宋体" w:cs="Helvetica"/>
          <w:color w:val="000000" w:themeColor="text1"/>
          <w:kern w:val="0"/>
          <w:sz w:val="24"/>
          <w:szCs w:val="24"/>
          <w:lang w:val="zh-CN"/>
          <w14:textFill>
            <w14:solidFill>
              <w14:schemeClr w14:val="tx1"/>
            </w14:solidFill>
          </w14:textFill>
        </w:rPr>
        <w:t>。</w:t>
      </w:r>
    </w:p>
    <w:p>
      <w:pPr>
        <w:numPr>
          <w:ilvl w:val="0"/>
          <w:numId w:val="29"/>
        </w:numPr>
        <w:adjustRightInd w:val="0"/>
        <w:spacing w:line="360" w:lineRule="auto"/>
        <w:ind w:left="742" w:hanging="493"/>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小型和微型企业、监狱企业、残疾人福利性单位价格扣除：</w:t>
      </w:r>
    </w:p>
    <w:p>
      <w:pPr>
        <w:numPr>
          <w:ilvl w:val="0"/>
          <w:numId w:val="3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3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3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鼓励大中型企业和其他自然人</w:t>
      </w:r>
      <w:r>
        <w:rPr>
          <w:rFonts w:ascii="宋体" w:hAnsi="宋体" w:eastAsia="宋体" w:cs="Times New Roman"/>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14:textFill>
            <w14:solidFill>
              <w14:schemeClr w14:val="tx1"/>
            </w14:solidFill>
          </w14:textFill>
        </w:rPr>
        <w:t>30%</w:t>
      </w:r>
      <w:r>
        <w:rPr>
          <w:rFonts w:ascii="宋体" w:hAnsi="宋体" w:eastAsia="宋体" w:cs="Times New Roman"/>
          <w:bCs/>
          <w:color w:val="000000" w:themeColor="text1"/>
          <w:sz w:val="24"/>
          <w:szCs w:val="20"/>
          <w14:textFill>
            <w14:solidFill>
              <w14:schemeClr w14:val="tx1"/>
            </w14:solidFill>
          </w14:textFill>
        </w:rPr>
        <w:t>以上的，可给予联合体</w:t>
      </w:r>
      <w:r>
        <w:rPr>
          <w:rFonts w:ascii="宋体" w:hAnsi="宋体" w:eastAsia="宋体" w:cs="Times New Roman"/>
          <w:b/>
          <w:bCs/>
          <w:color w:val="000000" w:themeColor="text1"/>
          <w:sz w:val="24"/>
          <w:szCs w:val="20"/>
          <w:lang w:val="zh-CN"/>
          <w14:textFill>
            <w14:solidFill>
              <w14:schemeClr w14:val="tx1"/>
            </w14:solidFill>
          </w14:textFill>
        </w:rPr>
        <w:t>3%</w:t>
      </w:r>
      <w:r>
        <w:rPr>
          <w:rFonts w:ascii="宋体" w:hAnsi="宋体" w:eastAsia="宋体" w:cs="Times New Roman"/>
          <w:bCs/>
          <w:color w:val="000000" w:themeColor="text1"/>
          <w:sz w:val="24"/>
          <w:szCs w:val="20"/>
          <w14:textFill>
            <w14:solidFill>
              <w14:schemeClr w14:val="tx1"/>
            </w14:solidFill>
          </w14:textFill>
        </w:rPr>
        <w:t>的价格扣除</w:t>
      </w:r>
      <w:r>
        <w:rPr>
          <w:rFonts w:hint="eastAsia" w:ascii="宋体" w:hAnsi="宋体" w:eastAsia="宋体" w:cs="Times New Roman"/>
          <w:bCs/>
          <w:color w:val="000000" w:themeColor="text1"/>
          <w:sz w:val="24"/>
          <w:szCs w:val="20"/>
          <w14:textFill>
            <w14:solidFill>
              <w14:schemeClr w14:val="tx1"/>
            </w14:solidFill>
          </w14:textFill>
        </w:rPr>
        <w:t>，</w:t>
      </w:r>
      <w:r>
        <w:rPr>
          <w:rFonts w:hint="eastAsia" w:ascii="宋体" w:hAnsi="宋体" w:eastAsia="宋体" w:cs="Times New Roman"/>
          <w:bCs/>
          <w:color w:val="000000" w:themeColor="text1"/>
          <w:sz w:val="24"/>
          <w:szCs w:val="20"/>
          <w:lang w:val="zh-CN"/>
          <w14:textFill>
            <w14:solidFill>
              <w14:schemeClr w14:val="tx1"/>
            </w14:solidFill>
          </w14:textFill>
        </w:rPr>
        <w:t>不重复享受政策。</w:t>
      </w:r>
    </w:p>
    <w:p>
      <w:pPr>
        <w:numPr>
          <w:ilvl w:val="0"/>
          <w:numId w:val="3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监狱企业</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w:t>
      </w:r>
      <w:r>
        <w:rPr>
          <w:rFonts w:ascii="宋体" w:hAnsi="宋体" w:eastAsia="宋体" w:cs="Times New Roman"/>
          <w:bCs/>
          <w:color w:val="000000" w:themeColor="text1"/>
          <w:sz w:val="24"/>
          <w:szCs w:val="20"/>
          <w:lang w:val="zh-CN"/>
          <w14:textFill>
            <w14:solidFill>
              <w14:schemeClr w14:val="tx1"/>
            </w14:solidFill>
          </w14:textFill>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，残疾人福利性单位属于小型、微型企业的，不重复享受政策。</w:t>
      </w:r>
    </w:p>
    <w:p>
      <w:pPr>
        <w:numPr>
          <w:ilvl w:val="0"/>
          <w:numId w:val="3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2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相同品牌处理原则</w:t>
      </w:r>
    </w:p>
    <w:p>
      <w:pPr>
        <w:numPr>
          <w:ilvl w:val="0"/>
          <w:numId w:val="31"/>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确定一个投标人获得中标人推荐资格，其他同品牌投标人不作为中标候选人。</w:t>
      </w:r>
    </w:p>
    <w:p>
      <w:pPr>
        <w:numPr>
          <w:ilvl w:val="0"/>
          <w:numId w:val="31"/>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非单一产品采购项目，采购人应当根据采购项目技术构成、产品价格比重等合理确定</w:t>
      </w:r>
      <w:r>
        <w:rPr>
          <w:rFonts w:hint="eastAsia" w:ascii="Helvetica" w:hAnsi="Helvetica" w:eastAsia="宋体" w:cs="Helvetica"/>
          <w:b/>
          <w:color w:val="000000" w:themeColor="text1"/>
          <w:kern w:val="0"/>
          <w:sz w:val="24"/>
          <w:szCs w:val="24"/>
          <w:lang w:val="zh-CN"/>
          <w14:textFill>
            <w14:solidFill>
              <w14:schemeClr w14:val="tx1"/>
            </w14:solidFill>
          </w14:textFill>
        </w:rPr>
        <w:t>一个</w:t>
      </w:r>
      <w:r>
        <w:rPr>
          <w:rFonts w:ascii="Helvetica" w:hAnsi="Helvetica" w:eastAsia="宋体" w:cs="Helvetica"/>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color w:val="000000" w:themeColor="text1"/>
          <w:kern w:val="0"/>
          <w:sz w:val="24"/>
          <w:szCs w:val="24"/>
          <w:lang w:val="zh-CN"/>
          <w14:textFill>
            <w14:solidFill>
              <w14:schemeClr w14:val="tx1"/>
            </w14:solidFill>
          </w14:textFill>
        </w:rPr>
        <w:t>（采购清单中作“相同〈或同一〉品牌”实质性要求的产品，视为一个核心产品），</w:t>
      </w:r>
      <w:r>
        <w:rPr>
          <w:rFonts w:ascii="Helvetica" w:hAnsi="Helvetica" w:eastAsia="宋体" w:cs="Helvetica"/>
          <w:color w:val="000000" w:themeColor="text1"/>
          <w:kern w:val="0"/>
          <w:sz w:val="24"/>
          <w:szCs w:val="24"/>
          <w:lang w:val="zh-CN"/>
          <w14:textFill>
            <w14:solidFill>
              <w14:schemeClr w14:val="tx1"/>
            </w14:solidFill>
          </w14:textFill>
        </w:rPr>
        <w:t>并</w:t>
      </w:r>
      <w:r>
        <w:rPr>
          <w:rFonts w:hint="eastAsia" w:ascii="Helvetica" w:hAnsi="Helvetica" w:eastAsia="宋体" w:cs="Helvetica"/>
          <w:color w:val="000000" w:themeColor="text1"/>
          <w:kern w:val="0"/>
          <w:sz w:val="24"/>
          <w:szCs w:val="24"/>
          <w:lang w:val="zh-CN"/>
          <w14:textFill>
            <w14:solidFill>
              <w14:schemeClr w14:val="tx1"/>
            </w14:solidFill>
          </w14:textFill>
        </w:rPr>
        <w:t>以</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hint="eastAsia" w:ascii="MS Gothic" w:hAnsi="MS Gothic" w:eastAsia="宋体" w:cs="MS Gothic"/>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ascii="Helvetica" w:hAnsi="Helvetica" w:eastAsia="宋体" w:cs="Helvetica"/>
          <w:color w:val="000000" w:themeColor="text1"/>
          <w:kern w:val="0"/>
          <w:sz w:val="24"/>
          <w:szCs w:val="24"/>
          <w:lang w:val="zh-CN"/>
          <w14:textFill>
            <w14:solidFill>
              <w14:schemeClr w14:val="tx1"/>
            </w14:solidFill>
          </w14:textFill>
        </w:rPr>
        <w:t>在招标文件中</w:t>
      </w:r>
      <w:r>
        <w:rPr>
          <w:rFonts w:hint="eastAsia" w:ascii="Helvetica" w:hAnsi="Helvetica" w:eastAsia="宋体" w:cs="Helvetica"/>
          <w:color w:val="000000" w:themeColor="text1"/>
          <w:kern w:val="0"/>
          <w:sz w:val="24"/>
          <w:szCs w:val="24"/>
          <w:lang w:val="zh-CN"/>
          <w14:textFill>
            <w14:solidFill>
              <w14:schemeClr w14:val="tx1"/>
            </w14:solidFill>
          </w14:textFill>
        </w:rPr>
        <w:t>标注</w:t>
      </w:r>
      <w:r>
        <w:rPr>
          <w:rFonts w:ascii="Helvetica" w:hAnsi="Helvetica" w:eastAsia="宋体" w:cs="Helvetica"/>
          <w:color w:val="000000" w:themeColor="text1"/>
          <w:kern w:val="0"/>
          <w:sz w:val="24"/>
          <w:szCs w:val="24"/>
          <w:lang w:val="zh-CN"/>
          <w14:textFill>
            <w14:solidFill>
              <w14:schemeClr w14:val="tx1"/>
            </w14:solidFill>
          </w14:textFill>
        </w:rPr>
        <w:t>。</w:t>
      </w:r>
    </w:p>
    <w:p>
      <w:pPr>
        <w:numPr>
          <w:ilvl w:val="0"/>
          <w:numId w:val="2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计分办法</w:t>
      </w:r>
    </w:p>
    <w:p>
      <w:pPr>
        <w:numPr>
          <w:ilvl w:val="0"/>
          <w:numId w:val="3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集中采购机构对各评委的总分进行复核。各项统计结果均精确到小数点后两位。</w:t>
      </w:r>
    </w:p>
    <w:p>
      <w:pPr>
        <w:numPr>
          <w:ilvl w:val="0"/>
          <w:numId w:val="3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24"/>
        </w:numPr>
        <w:spacing w:line="360" w:lineRule="auto"/>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推荐中标候选人名单或确定中标人</w:t>
      </w:r>
    </w:p>
    <w:p>
      <w:pPr>
        <w:numPr>
          <w:ilvl w:val="0"/>
          <w:numId w:val="3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评标委员会按照招标文件确定的评标方法、程序及标准，对投标文件进行评审。</w:t>
      </w:r>
      <w:r>
        <w:rPr>
          <w:rFonts w:ascii="Helvetica" w:hAnsi="Helvetica" w:eastAsia="宋体" w:cs="Helvetica"/>
          <w:color w:val="000000" w:themeColor="text1"/>
          <w:kern w:val="0"/>
          <w:sz w:val="24"/>
          <w:szCs w:val="24"/>
          <w:lang w:val="zh-CN"/>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3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3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中标候选人并列的，</w:t>
      </w:r>
      <w:r>
        <w:rPr>
          <w:rFonts w:ascii="Helvetica" w:hAnsi="Helvetica" w:eastAsia="宋体" w:cs="Helvetica"/>
          <w:color w:val="000000" w:themeColor="text1"/>
          <w:kern w:val="0"/>
          <w:sz w:val="24"/>
          <w:szCs w:val="24"/>
          <w:lang w:val="zh-CN"/>
          <w14:textFill>
            <w14:solidFill>
              <w14:schemeClr w14:val="tx1"/>
            </w14:solidFill>
          </w14:textFill>
        </w:rPr>
        <w:t>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确定中标人。</w:t>
      </w:r>
    </w:p>
    <w:p>
      <w:pPr>
        <w:numPr>
          <w:ilvl w:val="0"/>
          <w:numId w:val="3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3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中标人的数量有其他规定的，应在此处明确方法、中标比例等。</w:t>
      </w:r>
    </w:p>
    <w:p>
      <w:pPr>
        <w:spacing w:line="360" w:lineRule="auto"/>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br w:type="page"/>
      </w:r>
    </w:p>
    <w:p>
      <w:pPr>
        <w:pStyle w:val="4"/>
        <w:numPr>
          <w:ilvl w:val="0"/>
          <w:numId w:val="23"/>
        </w:numPr>
        <w:spacing w:before="0" w:after="0" w:line="360" w:lineRule="auto"/>
        <w:ind w:left="616" w:hanging="616"/>
        <w:jc w:val="left"/>
        <w:rPr>
          <w:rFonts w:hint="eastAsia"/>
          <w:sz w:val="28"/>
          <w:szCs w:val="28"/>
          <w:lang w:val="en-US" w:eastAsia="zh-CN"/>
        </w:rPr>
      </w:pPr>
      <w:bookmarkStart w:id="57" w:name="_Toc10212"/>
      <w:bookmarkStart w:id="58" w:name="_Toc494561963"/>
      <w:r>
        <w:rPr>
          <w:rFonts w:hint="eastAsia" w:cs="Times New Roman" w:asciiTheme="majorEastAsia" w:hAnsiTheme="majorEastAsia"/>
          <w:bCs w:val="0"/>
          <w:color w:val="000000" w:themeColor="text1"/>
          <w:sz w:val="30"/>
          <w:szCs w:val="30"/>
          <w:lang w:val="zh-CN"/>
          <w14:textFill>
            <w14:solidFill>
              <w14:schemeClr w14:val="tx1"/>
            </w14:solidFill>
          </w14:textFill>
        </w:rPr>
        <w:t>评审因素及评分标准</w:t>
      </w:r>
      <w:bookmarkEnd w:id="57"/>
      <w:bookmarkEnd w:id="58"/>
      <w:bookmarkStart w:id="59" w:name="_Toc494721093"/>
      <w:bookmarkStart w:id="60" w:name="_Toc494665943"/>
      <w:bookmarkStart w:id="61" w:name="_Toc494664993"/>
      <w:bookmarkStart w:id="62" w:name="_Toc494702263"/>
      <w:bookmarkStart w:id="63" w:name="_Toc494665546"/>
      <w:bookmarkStart w:id="64" w:name="_Toc494745310"/>
    </w:p>
    <w:p>
      <w:pPr>
        <w:numPr>
          <w:ilvl w:val="0"/>
          <w:numId w:val="34"/>
        </w:numPr>
        <w:jc w:val="center"/>
        <w:rPr>
          <w:rFonts w:hint="eastAsia"/>
          <w:sz w:val="24"/>
          <w:szCs w:val="32"/>
          <w:lang w:val="en-US" w:eastAsia="zh-CN"/>
        </w:rPr>
      </w:pPr>
      <w:r>
        <w:rPr>
          <w:rFonts w:hint="eastAsia"/>
          <w:sz w:val="24"/>
          <w:szCs w:val="32"/>
          <w:lang w:val="en-US" w:eastAsia="zh-CN"/>
        </w:rPr>
        <w:t>资格审查标准</w:t>
      </w:r>
    </w:p>
    <w:tbl>
      <w:tblPr>
        <w:tblStyle w:val="24"/>
        <w:tblpPr w:leftFromText="180" w:rightFromText="180" w:vertAnchor="text" w:horzAnchor="page" w:tblpXSpec="center" w:tblpY="137"/>
        <w:tblOverlap w:val="never"/>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2420"/>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72" w:type="dxa"/>
            <w:gridSpan w:val="2"/>
            <w:vAlign w:val="center"/>
          </w:tcPr>
          <w:p>
            <w:pPr>
              <w:jc w:val="center"/>
              <w:rPr>
                <w:rFonts w:hint="eastAsia"/>
                <w:vertAlign w:val="baseline"/>
                <w:lang w:val="en-US" w:eastAsia="zh-CN"/>
              </w:rPr>
            </w:pPr>
            <w:r>
              <w:rPr>
                <w:rFonts w:hint="eastAsia"/>
                <w:vertAlign w:val="baseline"/>
                <w:lang w:val="en-US" w:eastAsia="zh-CN"/>
              </w:rPr>
              <w:t>序号</w:t>
            </w:r>
          </w:p>
        </w:tc>
        <w:tc>
          <w:tcPr>
            <w:tcW w:w="2420" w:type="dxa"/>
            <w:vAlign w:val="center"/>
          </w:tcPr>
          <w:p>
            <w:pPr>
              <w:jc w:val="center"/>
              <w:rPr>
                <w:rFonts w:hint="eastAsia"/>
                <w:vertAlign w:val="baseline"/>
                <w:lang w:val="en-US" w:eastAsia="zh-CN"/>
              </w:rPr>
            </w:pPr>
            <w:r>
              <w:rPr>
                <w:rFonts w:hint="eastAsia"/>
                <w:vertAlign w:val="baseline"/>
                <w:lang w:val="en-US" w:eastAsia="zh-CN"/>
              </w:rPr>
              <w:t>资格要求</w:t>
            </w:r>
          </w:p>
        </w:tc>
        <w:tc>
          <w:tcPr>
            <w:tcW w:w="5107" w:type="dxa"/>
            <w:vAlign w:val="center"/>
          </w:tcPr>
          <w:p>
            <w:pPr>
              <w:jc w:val="center"/>
              <w:rPr>
                <w:rFonts w:hint="eastAsia"/>
                <w:vertAlign w:val="baseline"/>
                <w:lang w:val="en-US" w:eastAsia="zh-CN"/>
              </w:rPr>
            </w:pPr>
            <w:r>
              <w:rPr>
                <w:rFonts w:hint="eastAsia"/>
                <w:vertAlign w:val="baseli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68" w:type="dxa"/>
            <w:vMerge w:val="restart"/>
            <w:vAlign w:val="center"/>
          </w:tcPr>
          <w:p>
            <w:pPr>
              <w:jc w:val="center"/>
              <w:rPr>
                <w:rFonts w:hint="default"/>
                <w:vertAlign w:val="baseline"/>
                <w:lang w:val="en-US" w:eastAsia="zh-CN"/>
              </w:rPr>
            </w:pPr>
            <w:r>
              <w:rPr>
                <w:rFonts w:hint="eastAsia"/>
                <w:vertAlign w:val="baseline"/>
                <w:lang w:val="en-US" w:eastAsia="zh-CN"/>
              </w:rPr>
              <w:t>1</w:t>
            </w:r>
          </w:p>
        </w:tc>
        <w:tc>
          <w:tcPr>
            <w:tcW w:w="704" w:type="dxa"/>
            <w:vMerge w:val="restart"/>
            <w:vAlign w:val="center"/>
          </w:tcPr>
          <w:p>
            <w:pPr>
              <w:jc w:val="center"/>
              <w:rPr>
                <w:rFonts w:hint="eastAsia"/>
                <w:vertAlign w:val="baseline"/>
                <w:lang w:val="en-US" w:eastAsia="zh-CN"/>
              </w:rPr>
            </w:pPr>
            <w:r>
              <w:rPr>
                <w:rFonts w:hint="eastAsia"/>
                <w:vertAlign w:val="baseline"/>
                <w:lang w:val="en-US" w:eastAsia="zh-CN"/>
              </w:rPr>
              <w:t>资</w:t>
            </w:r>
          </w:p>
          <w:p>
            <w:pPr>
              <w:jc w:val="center"/>
              <w:rPr>
                <w:rFonts w:hint="eastAsia"/>
                <w:vertAlign w:val="baseline"/>
                <w:lang w:val="en-US" w:eastAsia="zh-CN"/>
              </w:rPr>
            </w:pPr>
            <w:r>
              <w:rPr>
                <w:rFonts w:hint="eastAsia"/>
                <w:vertAlign w:val="baseline"/>
                <w:lang w:val="en-US" w:eastAsia="zh-CN"/>
              </w:rPr>
              <w:t>格</w:t>
            </w:r>
          </w:p>
          <w:p>
            <w:pPr>
              <w:jc w:val="center"/>
              <w:rPr>
                <w:rFonts w:hint="eastAsia"/>
                <w:vertAlign w:val="baseline"/>
                <w:lang w:val="en-US" w:eastAsia="zh-CN"/>
              </w:rPr>
            </w:pPr>
            <w:r>
              <w:rPr>
                <w:rFonts w:hint="eastAsia"/>
                <w:vertAlign w:val="baseline"/>
                <w:lang w:val="en-US" w:eastAsia="zh-CN"/>
              </w:rPr>
              <w:t>性</w:t>
            </w:r>
          </w:p>
          <w:p>
            <w:pPr>
              <w:jc w:val="center"/>
              <w:rPr>
                <w:rFonts w:hint="eastAsia"/>
                <w:vertAlign w:val="baseline"/>
                <w:lang w:val="en-US" w:eastAsia="zh-CN"/>
              </w:rPr>
            </w:pPr>
            <w:r>
              <w:rPr>
                <w:rFonts w:hint="eastAsia"/>
                <w:vertAlign w:val="baseline"/>
                <w:lang w:val="en-US" w:eastAsia="zh-CN"/>
              </w:rPr>
              <w:t>审</w:t>
            </w:r>
          </w:p>
          <w:p>
            <w:pPr>
              <w:jc w:val="center"/>
              <w:rPr>
                <w:rFonts w:hint="eastAsia"/>
                <w:vertAlign w:val="baseline"/>
                <w:lang w:val="en-US" w:eastAsia="zh-CN"/>
              </w:rPr>
            </w:pPr>
            <w:r>
              <w:rPr>
                <w:rFonts w:hint="eastAsia"/>
                <w:vertAlign w:val="baseline"/>
                <w:lang w:val="en-US" w:eastAsia="zh-CN"/>
              </w:rPr>
              <w:t>查</w:t>
            </w:r>
          </w:p>
        </w:tc>
        <w:tc>
          <w:tcPr>
            <w:tcW w:w="2420" w:type="dxa"/>
            <w:vAlign w:val="center"/>
          </w:tcPr>
          <w:p>
            <w:pPr>
              <w:jc w:val="center"/>
              <w:rPr>
                <w:rFonts w:hint="eastAsia"/>
                <w:vertAlign w:val="baseline"/>
                <w:lang w:val="en-US" w:eastAsia="zh-CN"/>
              </w:rPr>
            </w:pPr>
            <w:r>
              <w:rPr>
                <w:rFonts w:hint="eastAsia"/>
                <w:vertAlign w:val="baseline"/>
                <w:lang w:val="en-US" w:eastAsia="zh-CN"/>
              </w:rPr>
              <w:t>具有独立承担民事责任的能力</w:t>
            </w:r>
          </w:p>
        </w:tc>
        <w:tc>
          <w:tcPr>
            <w:tcW w:w="5107" w:type="dxa"/>
          </w:tcPr>
          <w:p>
            <w:pPr>
              <w:jc w:val="left"/>
              <w:rPr>
                <w:rFonts w:hint="eastAsia"/>
                <w:vertAlign w:val="baseline"/>
                <w:lang w:val="en-US" w:eastAsia="zh-CN"/>
              </w:rPr>
            </w:pPr>
            <w:r>
              <w:rPr>
                <w:rFonts w:hint="eastAsia"/>
                <w:vertAlign w:val="baseline"/>
                <w:lang w:val="en-US" w:eastAsia="zh-CN"/>
              </w:rPr>
              <w:t>供应商须具备合法有效的营业执照证书，经营范围包含茶苗、茶苗繁 育或销售的内容，具有足够资产并在人员、茶苗种苗资源、资金、技术等方面具有相应的能力来有效地履行合同（上传营业执照副本的彩色扫描件）。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Merge w:val="continue"/>
            <w:vAlign w:val="center"/>
          </w:tcPr>
          <w:p>
            <w:pPr>
              <w:rPr>
                <w:rFonts w:hint="eastAsia"/>
                <w:vertAlign w:val="baseline"/>
                <w:lang w:val="en-US" w:eastAsia="zh-CN"/>
              </w:rPr>
            </w:pPr>
          </w:p>
        </w:tc>
        <w:tc>
          <w:tcPr>
            <w:tcW w:w="704" w:type="dxa"/>
            <w:vMerge w:val="continue"/>
            <w:vAlign w:val="center"/>
          </w:tcPr>
          <w:p>
            <w:pPr>
              <w:rPr>
                <w:rFonts w:hint="eastAsia"/>
                <w:vertAlign w:val="baseline"/>
                <w:lang w:val="en-US" w:eastAsia="zh-CN"/>
              </w:rPr>
            </w:pPr>
          </w:p>
        </w:tc>
        <w:tc>
          <w:tcPr>
            <w:tcW w:w="2420" w:type="dxa"/>
            <w:vAlign w:val="center"/>
          </w:tcPr>
          <w:p>
            <w:pPr>
              <w:jc w:val="center"/>
              <w:rPr>
                <w:rFonts w:hint="eastAsia"/>
                <w:vertAlign w:val="baseline"/>
                <w:lang w:val="en-US" w:eastAsia="zh-CN"/>
              </w:rPr>
            </w:pPr>
            <w:r>
              <w:rPr>
                <w:rFonts w:hint="eastAsia"/>
                <w:vertAlign w:val="baseline"/>
                <w:lang w:val="en-US" w:eastAsia="zh-CN"/>
              </w:rPr>
              <w:t>具有履行合同所必需的设备和专业技术能力</w:t>
            </w:r>
          </w:p>
        </w:tc>
        <w:tc>
          <w:tcPr>
            <w:tcW w:w="5107" w:type="dxa"/>
          </w:tcPr>
          <w:p>
            <w:pPr>
              <w:jc w:val="left"/>
              <w:rPr>
                <w:rFonts w:hint="eastAsia"/>
                <w:vertAlign w:val="baseline"/>
                <w:lang w:val="en-US" w:eastAsia="zh-CN"/>
              </w:rPr>
            </w:pPr>
            <w:r>
              <w:rPr>
                <w:rFonts w:hint="eastAsia"/>
                <w:vertAlign w:val="baseline"/>
                <w:lang w:val="en-US" w:eastAsia="zh-CN"/>
              </w:rPr>
              <w:t>供应商提供苗木品种、苗木基地等书面声明</w:t>
            </w:r>
          </w:p>
          <w:p>
            <w:pPr>
              <w:jc w:val="left"/>
              <w:rPr>
                <w:rFonts w:hint="eastAsia"/>
                <w:vertAlign w:val="baseline"/>
                <w:lang w:val="en-US" w:eastAsia="zh-CN"/>
              </w:rPr>
            </w:pPr>
            <w:r>
              <w:rPr>
                <w:rFonts w:hint="eastAsia"/>
                <w:vertAlign w:val="baseline"/>
                <w:lang w:val="en-US" w:eastAsia="zh-CN"/>
              </w:rPr>
              <w:t>或 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668" w:type="dxa"/>
            <w:vMerge w:val="continue"/>
            <w:vAlign w:val="center"/>
          </w:tcPr>
          <w:p>
            <w:pPr>
              <w:rPr>
                <w:rFonts w:hint="eastAsia"/>
                <w:vertAlign w:val="baseline"/>
                <w:lang w:val="en-US" w:eastAsia="zh-CN"/>
              </w:rPr>
            </w:pPr>
          </w:p>
        </w:tc>
        <w:tc>
          <w:tcPr>
            <w:tcW w:w="704" w:type="dxa"/>
            <w:vMerge w:val="continue"/>
            <w:vAlign w:val="center"/>
          </w:tcPr>
          <w:p>
            <w:pPr>
              <w:rPr>
                <w:rFonts w:hint="eastAsia"/>
                <w:vertAlign w:val="baseline"/>
                <w:lang w:val="en-US" w:eastAsia="zh-CN"/>
              </w:rPr>
            </w:pPr>
          </w:p>
        </w:tc>
        <w:tc>
          <w:tcPr>
            <w:tcW w:w="2420" w:type="dxa"/>
            <w:vAlign w:val="center"/>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主体信用记录</w:t>
            </w:r>
          </w:p>
        </w:tc>
        <w:tc>
          <w:tcPr>
            <w:tcW w:w="5107" w:type="dxa"/>
          </w:tcPr>
          <w:p>
            <w:pPr>
              <w:jc w:val="left"/>
              <w:rPr>
                <w:rFonts w:hint="eastAsia"/>
                <w:vertAlign w:val="baseline"/>
                <w:lang w:val="en-US" w:eastAsia="zh-CN"/>
              </w:rPr>
            </w:pPr>
            <w:r>
              <w:rPr>
                <w:rFonts w:hint="eastAsia"/>
                <w:vertAlign w:val="baseline"/>
                <w:lang w:val="en-US" w:eastAsia="zh-CN"/>
              </w:rPr>
              <w:t>供应商通过“信用中国 ”网站 （www.c</w:t>
            </w:r>
          </w:p>
          <w:p>
            <w:pPr>
              <w:jc w:val="left"/>
              <w:rPr>
                <w:rFonts w:hint="eastAsia"/>
                <w:vertAlign w:val="baseline"/>
                <w:lang w:val="en-US" w:eastAsia="zh-CN"/>
              </w:rPr>
            </w:pPr>
            <w:r>
              <w:rPr>
                <w:rFonts w:hint="eastAsia"/>
                <w:vertAlign w:val="baseline"/>
                <w:lang w:val="en-US" w:eastAsia="zh-CN"/>
              </w:rPr>
              <w:t>reditchina .gov.cn）、中 国政府采购网</w:t>
            </w:r>
          </w:p>
          <w:p>
            <w:pPr>
              <w:jc w:val="left"/>
              <w:rPr>
                <w:rFonts w:hint="eastAsia"/>
                <w:vertAlign w:val="baseline"/>
                <w:lang w:val="en-US" w:eastAsia="zh-CN"/>
              </w:rPr>
            </w:pPr>
            <w:r>
              <w:rPr>
                <w:rFonts w:hint="eastAsia"/>
                <w:vertAlign w:val="baseline"/>
                <w:lang w:val="en-US" w:eastAsia="zh-CN"/>
              </w:rPr>
              <w:t>（www .ccgp.gov. cn）等渠道查询的主 体信用记录，未被列入 信用记录失信被执行人 、重大税收违法案件当 事人名单、政府采购严 重违法失信行为记录名 单网络截图证明资料（ 以现场查询结果为准）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668" w:type="dxa"/>
            <w:vMerge w:val="continue"/>
            <w:vAlign w:val="center"/>
          </w:tcPr>
          <w:p>
            <w:pPr>
              <w:rPr>
                <w:rFonts w:hint="eastAsia"/>
                <w:vertAlign w:val="baseline"/>
                <w:lang w:val="en-US" w:eastAsia="zh-CN"/>
              </w:rPr>
            </w:pPr>
          </w:p>
        </w:tc>
        <w:tc>
          <w:tcPr>
            <w:tcW w:w="704" w:type="dxa"/>
            <w:vMerge w:val="continue"/>
            <w:vAlign w:val="center"/>
          </w:tcPr>
          <w:p>
            <w:pPr>
              <w:rPr>
                <w:rFonts w:hint="eastAsia"/>
                <w:vertAlign w:val="baseline"/>
                <w:lang w:val="en-US" w:eastAsia="zh-CN"/>
              </w:rPr>
            </w:pPr>
          </w:p>
        </w:tc>
        <w:tc>
          <w:tcPr>
            <w:tcW w:w="2420" w:type="dxa"/>
            <w:vAlign w:val="center"/>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参加投标的供应商代表资格</w:t>
            </w:r>
          </w:p>
        </w:tc>
        <w:tc>
          <w:tcPr>
            <w:tcW w:w="5107" w:type="dxa"/>
          </w:tcPr>
          <w:p>
            <w:pPr>
              <w:jc w:val="left"/>
              <w:rPr>
                <w:rFonts w:hint="eastAsia"/>
                <w:vertAlign w:val="baseline"/>
                <w:lang w:val="en-US" w:eastAsia="zh-CN"/>
              </w:rPr>
            </w:pPr>
            <w:r>
              <w:rPr>
                <w:rFonts w:hint="eastAsia"/>
                <w:vertAlign w:val="baseline"/>
                <w:lang w:val="en-US" w:eastAsia="zh-CN"/>
              </w:rPr>
              <w:t>1、供应商法定代表人（或其他组织负责人或自然人）参加项目开标的，应提供法定代表人（或其他组织负责人或自然人）资格证明文件及第二代有效身份证原件； 2、委托代理人参加项目开标的，则委托代理人须具有合法有效的授权委托书,提供委托代理人授权委托书原件和第二代有效身份证原件 。</w:t>
            </w:r>
          </w:p>
        </w:tc>
      </w:tr>
    </w:tbl>
    <w:p>
      <w:pPr>
        <w:widowControl w:val="0"/>
        <w:numPr>
          <w:ilvl w:val="0"/>
          <w:numId w:val="0"/>
        </w:numPr>
        <w:jc w:val="both"/>
        <w:rPr>
          <w:rFonts w:hint="default"/>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center"/>
        <w:rPr>
          <w:rFonts w:hint="default"/>
          <w:sz w:val="24"/>
          <w:szCs w:val="24"/>
          <w:vertAlign w:val="baseline"/>
          <w:lang w:val="en-US" w:eastAsia="zh-CN"/>
        </w:rPr>
      </w:pPr>
      <w:r>
        <w:rPr>
          <w:rFonts w:hint="eastAsia"/>
          <w:sz w:val="24"/>
          <w:szCs w:val="24"/>
          <w:lang w:val="en-US" w:eastAsia="zh-CN"/>
        </w:rPr>
        <w:t>（二）符合性审查标准</w:t>
      </w:r>
    </w:p>
    <w:tbl>
      <w:tblPr>
        <w:tblStyle w:val="24"/>
        <w:tblpPr w:leftFromText="180" w:rightFromText="180" w:vertAnchor="text" w:horzAnchor="page" w:tblpX="1806" w:tblpY="27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96"/>
        <w:gridCol w:w="2432"/>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01" w:type="dxa"/>
            <w:gridSpan w:val="2"/>
          </w:tcPr>
          <w:p>
            <w:pPr>
              <w:widowControl w:val="0"/>
              <w:numPr>
                <w:ilvl w:val="0"/>
                <w:numId w:val="0"/>
              </w:numPr>
              <w:jc w:val="center"/>
              <w:rPr>
                <w:rFonts w:hint="default"/>
                <w:vertAlign w:val="baseline"/>
                <w:lang w:val="en-US" w:eastAsia="zh-CN"/>
              </w:rPr>
            </w:pPr>
            <w:r>
              <w:rPr>
                <w:rFonts w:hint="eastAsia"/>
                <w:vertAlign w:val="baseline"/>
                <w:lang w:val="en-US" w:eastAsia="zh-CN"/>
              </w:rPr>
              <w:t>序号</w:t>
            </w: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评审内容</w:t>
            </w:r>
          </w:p>
        </w:tc>
        <w:tc>
          <w:tcPr>
            <w:tcW w:w="5126" w:type="dxa"/>
          </w:tcPr>
          <w:p>
            <w:pPr>
              <w:widowControl w:val="0"/>
              <w:numPr>
                <w:ilvl w:val="0"/>
                <w:numId w:val="0"/>
              </w:numPr>
              <w:jc w:val="center"/>
              <w:rPr>
                <w:rFonts w:hint="default"/>
                <w:vertAlign w:val="baseline"/>
                <w:lang w:val="en-US" w:eastAsia="zh-CN"/>
              </w:rPr>
            </w:pPr>
            <w:r>
              <w:rPr>
                <w:rFonts w:hint="default"/>
                <w:vertAlign w:val="baseli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5" w:type="dxa"/>
            <w:vMerge w:val="restart"/>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2</w:t>
            </w:r>
          </w:p>
        </w:tc>
        <w:tc>
          <w:tcPr>
            <w:tcW w:w="696" w:type="dxa"/>
            <w:vMerge w:val="restart"/>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符</w:t>
            </w:r>
          </w:p>
          <w:p>
            <w:pPr>
              <w:widowControl w:val="0"/>
              <w:numPr>
                <w:ilvl w:val="0"/>
                <w:numId w:val="0"/>
              </w:numPr>
              <w:jc w:val="center"/>
              <w:rPr>
                <w:rFonts w:hint="default"/>
                <w:vertAlign w:val="baseline"/>
                <w:lang w:val="en-US" w:eastAsia="zh-CN"/>
              </w:rPr>
            </w:pPr>
            <w:r>
              <w:rPr>
                <w:rFonts w:hint="default"/>
                <w:vertAlign w:val="baseline"/>
                <w:lang w:val="en-US" w:eastAsia="zh-CN"/>
              </w:rPr>
              <w:t>合</w:t>
            </w:r>
          </w:p>
          <w:p>
            <w:pPr>
              <w:widowControl w:val="0"/>
              <w:numPr>
                <w:ilvl w:val="0"/>
                <w:numId w:val="0"/>
              </w:numPr>
              <w:jc w:val="center"/>
              <w:rPr>
                <w:rFonts w:hint="default"/>
                <w:vertAlign w:val="baseline"/>
                <w:lang w:val="en-US" w:eastAsia="zh-CN"/>
              </w:rPr>
            </w:pPr>
            <w:r>
              <w:rPr>
                <w:rFonts w:hint="default"/>
                <w:vertAlign w:val="baseline"/>
                <w:lang w:val="en-US" w:eastAsia="zh-CN"/>
              </w:rPr>
              <w:t>性</w:t>
            </w:r>
          </w:p>
          <w:p>
            <w:pPr>
              <w:widowControl w:val="0"/>
              <w:numPr>
                <w:ilvl w:val="0"/>
                <w:numId w:val="0"/>
              </w:numPr>
              <w:jc w:val="center"/>
              <w:rPr>
                <w:rFonts w:hint="default"/>
                <w:vertAlign w:val="baseline"/>
                <w:lang w:val="en-US" w:eastAsia="zh-CN"/>
              </w:rPr>
            </w:pPr>
            <w:r>
              <w:rPr>
                <w:rFonts w:hint="default"/>
                <w:vertAlign w:val="baseline"/>
                <w:lang w:val="en-US" w:eastAsia="zh-CN"/>
              </w:rPr>
              <w:t>审</w:t>
            </w:r>
          </w:p>
          <w:p>
            <w:pPr>
              <w:widowControl w:val="0"/>
              <w:numPr>
                <w:ilvl w:val="0"/>
                <w:numId w:val="0"/>
              </w:numPr>
              <w:jc w:val="center"/>
              <w:rPr>
                <w:rFonts w:hint="default"/>
                <w:vertAlign w:val="baseline"/>
                <w:lang w:val="en-US" w:eastAsia="zh-CN"/>
              </w:rPr>
            </w:pPr>
            <w:r>
              <w:rPr>
                <w:rFonts w:hint="default"/>
                <w:vertAlign w:val="baseline"/>
                <w:lang w:val="en-US" w:eastAsia="zh-CN"/>
              </w:rPr>
              <w:t>查</w:t>
            </w: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招标文件的获取</w:t>
            </w:r>
          </w:p>
        </w:tc>
        <w:tc>
          <w:tcPr>
            <w:tcW w:w="5126" w:type="dxa"/>
          </w:tcPr>
          <w:p>
            <w:pPr>
              <w:widowControl w:val="0"/>
              <w:numPr>
                <w:ilvl w:val="0"/>
                <w:numId w:val="0"/>
              </w:numPr>
              <w:jc w:val="left"/>
              <w:rPr>
                <w:rFonts w:hint="default"/>
                <w:vertAlign w:val="baseline"/>
                <w:lang w:val="en-US" w:eastAsia="zh-CN"/>
              </w:rPr>
            </w:pPr>
            <w:r>
              <w:rPr>
                <w:rFonts w:hint="default"/>
                <w:vertAlign w:val="baseline"/>
                <w:lang w:val="en-US" w:eastAsia="zh-CN"/>
              </w:rPr>
              <w:t>符合招标文件“第一章 招标公告”的规定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投标供应商名称</w:t>
            </w:r>
          </w:p>
        </w:tc>
        <w:tc>
          <w:tcPr>
            <w:tcW w:w="5126" w:type="dxa"/>
          </w:tcPr>
          <w:p>
            <w:pPr>
              <w:widowControl w:val="0"/>
              <w:numPr>
                <w:ilvl w:val="0"/>
                <w:numId w:val="0"/>
              </w:numPr>
              <w:jc w:val="left"/>
              <w:rPr>
                <w:rFonts w:hint="default"/>
                <w:vertAlign w:val="baseline"/>
                <w:lang w:val="en-US" w:eastAsia="zh-CN"/>
              </w:rPr>
            </w:pPr>
            <w:r>
              <w:rPr>
                <w:rFonts w:hint="default"/>
                <w:vertAlign w:val="baseline"/>
                <w:lang w:val="en-US" w:eastAsia="zh-CN"/>
              </w:rPr>
              <w:t>供应商名称与营业执照等其他证件一致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投标有效期</w:t>
            </w:r>
          </w:p>
        </w:tc>
        <w:tc>
          <w:tcPr>
            <w:tcW w:w="5126" w:type="dxa"/>
          </w:tcPr>
          <w:p>
            <w:pPr>
              <w:widowControl w:val="0"/>
              <w:numPr>
                <w:ilvl w:val="0"/>
                <w:numId w:val="0"/>
              </w:numPr>
              <w:jc w:val="left"/>
              <w:rPr>
                <w:rFonts w:hint="default"/>
                <w:vertAlign w:val="baseline"/>
                <w:lang w:val="en-US" w:eastAsia="zh-CN"/>
              </w:rPr>
            </w:pPr>
            <w:r>
              <w:rPr>
                <w:rFonts w:hint="default"/>
                <w:vertAlign w:val="baseline"/>
                <w:lang w:val="en-US" w:eastAsia="zh-CN"/>
              </w:rPr>
              <w:t>符合投标人须知前附表的规定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投标文件签署</w:t>
            </w:r>
          </w:p>
        </w:tc>
        <w:tc>
          <w:tcPr>
            <w:tcW w:w="5126" w:type="dxa"/>
          </w:tcPr>
          <w:p>
            <w:pPr>
              <w:widowControl w:val="0"/>
              <w:numPr>
                <w:ilvl w:val="0"/>
                <w:numId w:val="0"/>
              </w:numPr>
              <w:jc w:val="left"/>
              <w:rPr>
                <w:rFonts w:hint="default"/>
                <w:vertAlign w:val="baseline"/>
                <w:lang w:val="en-US" w:eastAsia="zh-CN"/>
              </w:rPr>
            </w:pPr>
            <w:r>
              <w:rPr>
                <w:rFonts w:hint="default"/>
                <w:vertAlign w:val="baseline"/>
                <w:lang w:val="en-US" w:eastAsia="zh-CN"/>
              </w:rPr>
              <w:t>符合招标文件要求在规定区域加盖单位公章和法定代表人印章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采购要求和货物清单</w:t>
            </w:r>
          </w:p>
        </w:tc>
        <w:tc>
          <w:tcPr>
            <w:tcW w:w="5126" w:type="dxa"/>
          </w:tcPr>
          <w:p>
            <w:pPr>
              <w:widowControl w:val="0"/>
              <w:numPr>
                <w:ilvl w:val="0"/>
                <w:numId w:val="0"/>
              </w:numPr>
              <w:jc w:val="left"/>
              <w:rPr>
                <w:rFonts w:hint="default"/>
                <w:highlight w:val="none"/>
                <w:vertAlign w:val="baseline"/>
                <w:lang w:val="en-US" w:eastAsia="zh-CN"/>
              </w:rPr>
            </w:pPr>
            <w:r>
              <w:rPr>
                <w:rFonts w:hint="default"/>
                <w:highlight w:val="none"/>
                <w:vertAlign w:val="baseline"/>
                <w:lang w:val="en-US" w:eastAsia="zh-CN"/>
              </w:rPr>
              <w:t>供应商提供的货物符合“第三章采购需求一览表”的相关要求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交货时间、地点及质保期</w:t>
            </w:r>
          </w:p>
        </w:tc>
        <w:tc>
          <w:tcPr>
            <w:tcW w:w="5126" w:type="dxa"/>
          </w:tcPr>
          <w:p>
            <w:pPr>
              <w:widowControl w:val="0"/>
              <w:numPr>
                <w:ilvl w:val="0"/>
                <w:numId w:val="0"/>
              </w:numPr>
              <w:jc w:val="left"/>
              <w:rPr>
                <w:rFonts w:hint="default"/>
                <w:highlight w:val="none"/>
                <w:vertAlign w:val="baseline"/>
                <w:lang w:val="en-US" w:eastAsia="zh-CN"/>
              </w:rPr>
            </w:pPr>
            <w:r>
              <w:rPr>
                <w:rFonts w:hint="default"/>
                <w:highlight w:val="none"/>
                <w:vertAlign w:val="baseline"/>
                <w:lang w:val="en-US" w:eastAsia="zh-CN"/>
              </w:rPr>
              <w:t>符合招标文件第三章采购需求的相关要求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投标报价</w:t>
            </w:r>
          </w:p>
        </w:tc>
        <w:tc>
          <w:tcPr>
            <w:tcW w:w="5126" w:type="dxa"/>
          </w:tcPr>
          <w:p>
            <w:pPr>
              <w:widowControl w:val="0"/>
              <w:numPr>
                <w:ilvl w:val="0"/>
                <w:numId w:val="0"/>
              </w:numPr>
              <w:jc w:val="left"/>
              <w:rPr>
                <w:rFonts w:hint="default"/>
                <w:vertAlign w:val="baseline"/>
                <w:lang w:val="en-US" w:eastAsia="zh-CN"/>
              </w:rPr>
            </w:pPr>
            <w:r>
              <w:rPr>
                <w:rFonts w:hint="default"/>
                <w:vertAlign w:val="baseline"/>
                <w:lang w:val="en-US" w:eastAsia="zh-CN"/>
              </w:rPr>
              <w:t>投标报价唯一；投标报价未超过预算金额或者最高限价；投标报价合理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rPr>
              <w:t>多标段投标</w:t>
            </w:r>
          </w:p>
        </w:tc>
        <w:tc>
          <w:tcPr>
            <w:tcW w:w="5126" w:type="dxa"/>
            <w:vAlign w:val="center"/>
          </w:tcPr>
          <w:p>
            <w:pPr>
              <w:rPr>
                <w:rFonts w:hint="default" w:asciiTheme="minorHAnsi" w:hAnsiTheme="minorHAnsi" w:eastAsiaTheme="minorEastAsia" w:cstheme="minorBidi"/>
                <w:kern w:val="2"/>
                <w:sz w:val="21"/>
                <w:szCs w:val="21"/>
                <w:lang w:val="en-US" w:eastAsia="zh-CN" w:bidi="ar-SA"/>
              </w:rPr>
            </w:pPr>
            <w:r>
              <w:rPr>
                <w:rFonts w:hint="eastAsia"/>
                <w:szCs w:val="21"/>
              </w:rPr>
              <w:t>符合第二章“投标人须知”第</w:t>
            </w:r>
            <w:r>
              <w:rPr>
                <w:rFonts w:hint="eastAsia" w:ascii="宋体" w:hAnsi="宋体"/>
                <w:szCs w:val="21"/>
                <w:lang w:val="en-US" w:eastAsia="zh-CN"/>
              </w:rPr>
              <w:t>18</w:t>
            </w:r>
            <w:r>
              <w:rPr>
                <w:rFonts w:hint="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5" w:type="dxa"/>
            <w:vMerge w:val="continue"/>
          </w:tcPr>
          <w:p>
            <w:pPr>
              <w:widowControl w:val="0"/>
              <w:numPr>
                <w:ilvl w:val="0"/>
                <w:numId w:val="0"/>
              </w:numPr>
              <w:jc w:val="both"/>
              <w:rPr>
                <w:rFonts w:hint="default"/>
                <w:vertAlign w:val="baseline"/>
                <w:lang w:val="en-US" w:eastAsia="zh-CN"/>
              </w:rPr>
            </w:pPr>
          </w:p>
        </w:tc>
        <w:tc>
          <w:tcPr>
            <w:tcW w:w="696" w:type="dxa"/>
            <w:vMerge w:val="continue"/>
          </w:tcPr>
          <w:p>
            <w:pPr>
              <w:widowControl w:val="0"/>
              <w:numPr>
                <w:ilvl w:val="0"/>
                <w:numId w:val="0"/>
              </w:numPr>
              <w:jc w:val="both"/>
              <w:rPr>
                <w:rFonts w:hint="default"/>
                <w:vertAlign w:val="baseline"/>
                <w:lang w:val="en-US" w:eastAsia="zh-CN"/>
              </w:rPr>
            </w:pPr>
          </w:p>
        </w:tc>
        <w:tc>
          <w:tcPr>
            <w:tcW w:w="2432"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其它要求</w:t>
            </w:r>
          </w:p>
        </w:tc>
        <w:tc>
          <w:tcPr>
            <w:tcW w:w="5126" w:type="dxa"/>
          </w:tcPr>
          <w:p>
            <w:pPr>
              <w:widowControl w:val="0"/>
              <w:numPr>
                <w:ilvl w:val="0"/>
                <w:numId w:val="0"/>
              </w:numPr>
              <w:jc w:val="left"/>
              <w:rPr>
                <w:rFonts w:hint="default"/>
                <w:vertAlign w:val="baseline"/>
                <w:lang w:val="en-US" w:eastAsia="zh-CN"/>
              </w:rPr>
            </w:pPr>
            <w:r>
              <w:rPr>
                <w:rFonts w:hint="default"/>
                <w:vertAlign w:val="baseline"/>
                <w:lang w:val="en-US" w:eastAsia="zh-CN"/>
              </w:rPr>
              <w:t>符合法律法规和招标文件规定的其它实质性条款</w:t>
            </w:r>
          </w:p>
        </w:tc>
      </w:tr>
    </w:tbl>
    <w:p>
      <w:pPr>
        <w:widowControl w:val="0"/>
        <w:numPr>
          <w:ilvl w:val="0"/>
          <w:numId w:val="0"/>
        </w:numPr>
        <w:jc w:val="both"/>
        <w:rPr>
          <w:rFonts w:hint="eastAsia"/>
          <w:sz w:val="24"/>
          <w:szCs w:val="24"/>
          <w:lang w:val="en-US" w:eastAsia="zh-CN"/>
        </w:rPr>
      </w:pPr>
    </w:p>
    <w:p>
      <w:pPr>
        <w:widowControl w:val="0"/>
        <w:numPr>
          <w:ilvl w:val="0"/>
          <w:numId w:val="0"/>
        </w:numPr>
        <w:jc w:val="both"/>
        <w:rPr>
          <w:rFonts w:hint="default"/>
          <w:lang w:val="en-US" w:eastAsia="zh-CN"/>
        </w:rPr>
      </w:pPr>
    </w:p>
    <w:p>
      <w:pPr>
        <w:widowControl w:val="0"/>
        <w:numPr>
          <w:ilvl w:val="0"/>
          <w:numId w:val="0"/>
        </w:numPr>
        <w:jc w:val="center"/>
        <w:rPr>
          <w:rFonts w:hint="default"/>
          <w:sz w:val="24"/>
          <w:szCs w:val="24"/>
          <w:lang w:val="en-US" w:eastAsia="zh-CN"/>
        </w:rPr>
      </w:pPr>
    </w:p>
    <w:p>
      <w:pPr>
        <w:widowControl w:val="0"/>
        <w:numPr>
          <w:ilvl w:val="0"/>
          <w:numId w:val="0"/>
        </w:numPr>
        <w:jc w:val="center"/>
        <w:rPr>
          <w:rFonts w:hint="default"/>
          <w:sz w:val="24"/>
          <w:szCs w:val="24"/>
          <w:lang w:val="en-US" w:eastAsia="zh-CN"/>
        </w:rPr>
      </w:pPr>
    </w:p>
    <w:p>
      <w:pPr>
        <w:widowControl w:val="0"/>
        <w:numPr>
          <w:ilvl w:val="0"/>
          <w:numId w:val="0"/>
        </w:numPr>
        <w:jc w:val="center"/>
        <w:rPr>
          <w:rFonts w:hint="default"/>
          <w:sz w:val="24"/>
          <w:szCs w:val="24"/>
          <w:vertAlign w:val="baseline"/>
          <w:lang w:val="en-US" w:eastAsia="zh-CN"/>
        </w:rPr>
      </w:pPr>
      <w:r>
        <w:rPr>
          <w:rFonts w:hint="default"/>
          <w:sz w:val="24"/>
          <w:szCs w:val="24"/>
          <w:lang w:val="en-US" w:eastAsia="zh-CN"/>
        </w:rPr>
        <w:t>（三）商务、技术、价格评审标准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849"/>
        <w:gridCol w:w="1564"/>
        <w:gridCol w:w="858"/>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gridSpan w:val="2"/>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序号</w:t>
            </w: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评审内容</w:t>
            </w:r>
          </w:p>
        </w:tc>
        <w:tc>
          <w:tcPr>
            <w:tcW w:w="858"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分值</w:t>
            </w:r>
          </w:p>
        </w:tc>
        <w:tc>
          <w:tcPr>
            <w:tcW w:w="4696"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r>
              <w:rPr>
                <w:rFonts w:hint="eastAsia"/>
                <w:vertAlign w:val="baseline"/>
                <w:lang w:val="en-US" w:eastAsia="zh-CN"/>
              </w:rPr>
              <w:t>3</w:t>
            </w:r>
          </w:p>
          <w:p>
            <w:pPr>
              <w:widowControl w:val="0"/>
              <w:numPr>
                <w:ilvl w:val="0"/>
                <w:numId w:val="0"/>
              </w:numPr>
              <w:jc w:val="both"/>
              <w:rPr>
                <w:rFonts w:hint="eastAsia"/>
                <w:vertAlign w:val="baseline"/>
                <w:lang w:val="en-US" w:eastAsia="zh-CN"/>
              </w:rPr>
            </w:pPr>
          </w:p>
          <w:p>
            <w:pPr>
              <w:widowControl w:val="0"/>
              <w:numPr>
                <w:ilvl w:val="0"/>
                <w:numId w:val="0"/>
              </w:numPr>
              <w:jc w:val="both"/>
              <w:rPr>
                <w:rFonts w:hint="default"/>
                <w:vertAlign w:val="baseline"/>
                <w:lang w:val="en-US" w:eastAsia="zh-CN"/>
              </w:rPr>
            </w:pPr>
          </w:p>
        </w:tc>
        <w:tc>
          <w:tcPr>
            <w:tcW w:w="849" w:type="dxa"/>
            <w:vMerge w:val="restart"/>
            <w:vAlign w:val="center"/>
          </w:tcPr>
          <w:p>
            <w:pPr>
              <w:widowControl w:val="0"/>
              <w:numPr>
                <w:ilvl w:val="0"/>
                <w:numId w:val="0"/>
              </w:numPr>
              <w:jc w:val="center"/>
              <w:rPr>
                <w:rFonts w:hint="eastAsia"/>
                <w:vertAlign w:val="baseline"/>
                <w:lang w:val="en-US" w:eastAsia="zh-CN"/>
              </w:rPr>
            </w:pPr>
          </w:p>
          <w:p>
            <w:pPr>
              <w:widowControl w:val="0"/>
              <w:numPr>
                <w:ilvl w:val="0"/>
                <w:numId w:val="0"/>
              </w:numPr>
              <w:jc w:val="center"/>
              <w:rPr>
                <w:rFonts w:hint="eastAsia"/>
                <w:vertAlign w:val="baseline"/>
                <w:lang w:val="en-US" w:eastAsia="zh-CN"/>
              </w:rPr>
            </w:pPr>
          </w:p>
          <w:p>
            <w:pPr>
              <w:widowControl w:val="0"/>
              <w:numPr>
                <w:ilvl w:val="0"/>
                <w:numId w:val="0"/>
              </w:numPr>
              <w:jc w:val="center"/>
              <w:rPr>
                <w:rFonts w:hint="eastAsia"/>
                <w:vertAlign w:val="baseline"/>
                <w:lang w:val="en-US" w:eastAsia="zh-CN"/>
              </w:rPr>
            </w:pPr>
          </w:p>
          <w:p>
            <w:pPr>
              <w:widowControl w:val="0"/>
              <w:numPr>
                <w:ilvl w:val="0"/>
                <w:numId w:val="0"/>
              </w:numPr>
              <w:jc w:val="center"/>
              <w:rPr>
                <w:rFonts w:hint="eastAsia"/>
                <w:vertAlign w:val="baseline"/>
                <w:lang w:val="en-US" w:eastAsia="zh-CN"/>
              </w:rPr>
            </w:pPr>
          </w:p>
          <w:p>
            <w:pPr>
              <w:widowControl w:val="0"/>
              <w:numPr>
                <w:ilvl w:val="0"/>
                <w:numId w:val="0"/>
              </w:numPr>
              <w:jc w:val="center"/>
              <w:rPr>
                <w:rFonts w:hint="eastAsia"/>
                <w:vertAlign w:val="baseline"/>
                <w:lang w:val="en-US" w:eastAsia="zh-CN"/>
              </w:rPr>
            </w:pPr>
          </w:p>
          <w:p>
            <w:pPr>
              <w:widowControl w:val="0"/>
              <w:numPr>
                <w:ilvl w:val="0"/>
                <w:numId w:val="0"/>
              </w:numPr>
              <w:jc w:val="center"/>
              <w:rPr>
                <w:rFonts w:hint="default"/>
                <w:vertAlign w:val="baseline"/>
                <w:lang w:val="en-US" w:eastAsia="zh-CN"/>
              </w:rPr>
            </w:pPr>
            <w:r>
              <w:rPr>
                <w:rFonts w:hint="eastAsia"/>
                <w:vertAlign w:val="baseline"/>
                <w:lang w:val="en-US" w:eastAsia="zh-CN"/>
              </w:rPr>
              <w:t>商务评价（42）</w:t>
            </w: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响应文件制作</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4</w:t>
            </w:r>
          </w:p>
        </w:tc>
        <w:tc>
          <w:tcPr>
            <w:tcW w:w="4696" w:type="dxa"/>
            <w:vAlign w:val="center"/>
          </w:tcPr>
          <w:p>
            <w:pPr>
              <w:widowControl w:val="0"/>
              <w:numPr>
                <w:ilvl w:val="0"/>
                <w:numId w:val="0"/>
              </w:numPr>
              <w:jc w:val="both"/>
              <w:rPr>
                <w:rFonts w:hint="default"/>
                <w:vertAlign w:val="baseline"/>
                <w:lang w:val="en-US" w:eastAsia="zh-CN"/>
              </w:rPr>
            </w:pPr>
            <w:r>
              <w:rPr>
                <w:rFonts w:hint="default"/>
                <w:vertAlign w:val="baseline"/>
                <w:lang w:val="en-US" w:eastAsia="zh-CN"/>
              </w:rPr>
              <w:t>按下列标准累计评分： 1、响应文件目录 与有关材料装订顺序对应清晰、查阅方便的得2分</w:t>
            </w:r>
            <w:r>
              <w:rPr>
                <w:rFonts w:hint="eastAsia"/>
                <w:vertAlign w:val="baseline"/>
                <w:lang w:val="en-US" w:eastAsia="zh-CN"/>
              </w:rPr>
              <w:t>；</w:t>
            </w:r>
          </w:p>
          <w:p>
            <w:pPr>
              <w:widowControl w:val="0"/>
              <w:numPr>
                <w:ilvl w:val="0"/>
                <w:numId w:val="0"/>
              </w:numPr>
              <w:jc w:val="both"/>
              <w:rPr>
                <w:rFonts w:hint="default"/>
                <w:vertAlign w:val="baseline"/>
                <w:lang w:val="en-US" w:eastAsia="zh-CN"/>
              </w:rPr>
            </w:pPr>
            <w:r>
              <w:rPr>
                <w:rFonts w:hint="default"/>
                <w:vertAlign w:val="baseline"/>
                <w:lang w:val="en-US" w:eastAsia="zh-CN"/>
              </w:rPr>
              <w:t>每出现一处错误扣0.5分</w:t>
            </w:r>
            <w:r>
              <w:rPr>
                <w:rFonts w:hint="eastAsia"/>
                <w:vertAlign w:val="baseline"/>
                <w:lang w:val="en-US" w:eastAsia="zh-CN"/>
              </w:rPr>
              <w:t>；</w:t>
            </w:r>
            <w:r>
              <w:rPr>
                <w:rFonts w:hint="default"/>
                <w:vertAlign w:val="baseline"/>
                <w:lang w:val="en-US" w:eastAsia="zh-CN"/>
              </w:rPr>
              <w:t>扣完为止；2、响应文件制作不漏页，页码无错误的得2分</w:t>
            </w:r>
            <w:r>
              <w:rPr>
                <w:rFonts w:hint="eastAsia"/>
                <w:vertAlign w:val="baseline"/>
                <w:lang w:val="en-US" w:eastAsia="zh-CN"/>
              </w:rPr>
              <w:t>；</w:t>
            </w:r>
            <w:r>
              <w:rPr>
                <w:rFonts w:hint="default"/>
                <w:vertAlign w:val="baseline"/>
                <w:lang w:val="en-US" w:eastAsia="zh-CN"/>
              </w:rPr>
              <w:t>每出现一处错误扣0.5分</w:t>
            </w:r>
            <w:r>
              <w:rPr>
                <w:rFonts w:hint="eastAsia"/>
                <w:vertAlign w:val="baseline"/>
                <w:lang w:val="en-US" w:eastAsia="zh-CN"/>
              </w:rPr>
              <w:t>；</w:t>
            </w:r>
            <w:r>
              <w:rPr>
                <w:rFonts w:hint="default"/>
                <w:vertAlign w:val="baseli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both"/>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生产经营基地</w:t>
            </w:r>
          </w:p>
        </w:tc>
        <w:tc>
          <w:tcPr>
            <w:tcW w:w="858" w:type="dxa"/>
            <w:vAlign w:val="center"/>
          </w:tcPr>
          <w:p>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vertAlign w:val="baseline"/>
                <w:lang w:val="en-US" w:eastAsia="zh-CN"/>
              </w:rPr>
            </w:pPr>
            <w:r>
              <w:rPr>
                <w:rFonts w:hint="eastAsia" w:ascii="宋体" w:hAnsi="宋体" w:eastAsia="宋体" w:cs="宋体"/>
                <w:color w:val="auto"/>
                <w:highlight w:val="none"/>
                <w:vertAlign w:val="baseline"/>
                <w:lang w:val="en-US" w:eastAsia="zh-CN"/>
              </w:rPr>
              <w:t>供应商具有专业苗圃生产经营基地的，且基地面积≥15亩的，得3分；基地面积≥25亩的，得5分；基地面积30亩以上的，得7分；（须提供：①苗圃生产经营基地土地租凭合同或土地使用证证明资料；②供应商须提供企业所在地农业业务主管出具的满足采购数量需求的育苗规模证明及苗圃基地照片。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both"/>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农作物种子生产经营许可证</w:t>
            </w:r>
          </w:p>
        </w:tc>
        <w:tc>
          <w:tcPr>
            <w:tcW w:w="858" w:type="dxa"/>
            <w:vAlign w:val="center"/>
          </w:tcPr>
          <w:p>
            <w:pPr>
              <w:widowControl w:val="0"/>
              <w:numPr>
                <w:ilvl w:val="0"/>
                <w:numId w:val="0"/>
              </w:numPr>
              <w:jc w:val="center"/>
              <w:rPr>
                <w:rFonts w:hint="default"/>
                <w:color w:val="auto"/>
                <w:vertAlign w:val="baseline"/>
                <w:lang w:val="en-US" w:eastAsia="zh-CN"/>
              </w:rPr>
            </w:pPr>
            <w:r>
              <w:rPr>
                <w:rFonts w:hint="eastAsia"/>
                <w:color w:val="auto"/>
                <w:vertAlign w:val="baseline"/>
                <w:lang w:val="en-US" w:eastAsia="zh-CN"/>
              </w:rPr>
              <w:t>2</w:t>
            </w:r>
          </w:p>
        </w:tc>
        <w:tc>
          <w:tcPr>
            <w:tcW w:w="4696" w:type="dxa"/>
            <w:vAlign w:val="center"/>
          </w:tcPr>
          <w:p>
            <w:pPr>
              <w:widowControl w:val="0"/>
              <w:numPr>
                <w:ilvl w:val="0"/>
                <w:numId w:val="0"/>
              </w:numPr>
              <w:jc w:val="both"/>
              <w:rPr>
                <w:rFonts w:hint="default"/>
                <w:color w:val="auto"/>
                <w:vertAlign w:val="baseline"/>
                <w:lang w:val="en-US" w:eastAsia="zh-CN"/>
              </w:rPr>
            </w:pPr>
            <w:r>
              <w:rPr>
                <w:rFonts w:hint="eastAsia"/>
                <w:color w:val="auto"/>
                <w:vertAlign w:val="baseline"/>
                <w:lang w:val="en-US" w:eastAsia="zh-CN"/>
              </w:rPr>
              <w:t>具有县级以上农业行政主管部门核发的农作物种子（茶苗）生产经营许可证</w:t>
            </w:r>
            <w:r>
              <w:rPr>
                <w:rFonts w:hint="default"/>
                <w:color w:val="auto"/>
                <w:vertAlign w:val="baseline"/>
                <w:lang w:val="en-US" w:eastAsia="zh-CN"/>
              </w:rPr>
              <w:t>，本项加</w:t>
            </w:r>
            <w:r>
              <w:rPr>
                <w:rFonts w:hint="eastAsia"/>
                <w:color w:val="auto"/>
                <w:vertAlign w:val="baseline"/>
                <w:lang w:val="en-US" w:eastAsia="zh-CN"/>
              </w:rPr>
              <w:t>2</w:t>
            </w:r>
            <w:r>
              <w:rPr>
                <w:rFonts w:hint="default"/>
                <w:color w:val="auto"/>
                <w:vertAlign w:val="baseline"/>
                <w:lang w:val="en-US" w:eastAsia="zh-CN"/>
              </w:rPr>
              <w:t>分</w:t>
            </w:r>
            <w:r>
              <w:rPr>
                <w:rFonts w:hint="eastAsia"/>
                <w:color w:val="auto"/>
                <w:vertAlign w:val="baseline"/>
                <w:lang w:val="en-US" w:eastAsia="zh-CN"/>
              </w:rPr>
              <w:t>；</w:t>
            </w:r>
            <w:r>
              <w:rPr>
                <w:rFonts w:hint="default"/>
                <w:color w:val="auto"/>
                <w:vertAlign w:val="baseline"/>
                <w:lang w:val="en-US" w:eastAsia="zh-CN"/>
              </w:rPr>
              <w:t>不提供本项不得分（上传许可证书 的彩色扫描件）。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both"/>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技术人员配备</w:t>
            </w:r>
          </w:p>
        </w:tc>
        <w:tc>
          <w:tcPr>
            <w:tcW w:w="858" w:type="dxa"/>
            <w:vAlign w:val="center"/>
          </w:tcPr>
          <w:p>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4696" w:type="dxa"/>
            <w:vAlign w:val="center"/>
          </w:tcPr>
          <w:p>
            <w:pPr>
              <w:widowControl w:val="0"/>
              <w:numPr>
                <w:ilvl w:val="0"/>
                <w:numId w:val="0"/>
              </w:numPr>
              <w:jc w:val="both"/>
              <w:rPr>
                <w:rFonts w:hint="default"/>
                <w:color w:val="auto"/>
                <w:highlight w:val="none"/>
                <w:vertAlign w:val="baseline"/>
                <w:lang w:val="en-US" w:eastAsia="zh-CN"/>
              </w:rPr>
            </w:pPr>
            <w:r>
              <w:rPr>
                <w:rFonts w:hint="default"/>
                <w:color w:val="auto"/>
                <w:highlight w:val="none"/>
                <w:vertAlign w:val="baseline"/>
                <w:lang w:val="en-US" w:eastAsia="zh-CN"/>
              </w:rPr>
              <w:t>供应商拟派本项目的技术人员应具备林业类或 农业类中级及以上技术职称的，得</w:t>
            </w:r>
            <w:r>
              <w:rPr>
                <w:rFonts w:hint="eastAsia"/>
                <w:color w:val="auto"/>
                <w:highlight w:val="none"/>
                <w:vertAlign w:val="baseline"/>
                <w:lang w:val="en-US" w:eastAsia="zh-CN"/>
              </w:rPr>
              <w:t>2</w:t>
            </w:r>
            <w:r>
              <w:rPr>
                <w:rFonts w:hint="default"/>
                <w:color w:val="auto"/>
                <w:highlight w:val="none"/>
                <w:vertAlign w:val="baseline"/>
                <w:lang w:val="en-US" w:eastAsia="zh-CN"/>
              </w:rPr>
              <w:t>分。（须提供职称证和聘书或聘用合同的原件彩色扫描件等证明资料）</w:t>
            </w:r>
            <w:r>
              <w:rPr>
                <w:rFonts w:hint="eastAsia"/>
                <w:color w:val="auto"/>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both"/>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类似项目业绩</w:t>
            </w:r>
          </w:p>
        </w:tc>
        <w:tc>
          <w:tcPr>
            <w:tcW w:w="858" w:type="dxa"/>
            <w:vAlign w:val="center"/>
          </w:tcPr>
          <w:p>
            <w:pPr>
              <w:widowControl w:val="0"/>
              <w:numPr>
                <w:ilvl w:val="0"/>
                <w:numId w:val="0"/>
              </w:numPr>
              <w:jc w:val="center"/>
              <w:rPr>
                <w:rFonts w:hint="default"/>
                <w:color w:val="auto"/>
                <w:vertAlign w:val="baseline"/>
                <w:lang w:val="en-US" w:eastAsia="zh-CN"/>
              </w:rPr>
            </w:pPr>
            <w:r>
              <w:rPr>
                <w:rFonts w:hint="eastAsia"/>
                <w:color w:val="auto"/>
                <w:vertAlign w:val="baseline"/>
                <w:lang w:val="en-US" w:eastAsia="zh-CN"/>
              </w:rPr>
              <w:t>12</w:t>
            </w:r>
          </w:p>
        </w:tc>
        <w:tc>
          <w:tcPr>
            <w:tcW w:w="4696" w:type="dxa"/>
            <w:vAlign w:val="center"/>
          </w:tcPr>
          <w:p>
            <w:pPr>
              <w:widowControl w:val="0"/>
              <w:numPr>
                <w:ilvl w:val="0"/>
                <w:numId w:val="0"/>
              </w:numPr>
              <w:jc w:val="both"/>
              <w:rPr>
                <w:rFonts w:hint="default"/>
                <w:color w:val="auto"/>
                <w:vertAlign w:val="baseline"/>
                <w:lang w:val="en-US" w:eastAsia="zh-CN"/>
              </w:rPr>
            </w:pPr>
            <w:r>
              <w:rPr>
                <w:rFonts w:hint="default"/>
                <w:color w:val="auto"/>
                <w:vertAlign w:val="baseline"/>
                <w:lang w:val="en-US" w:eastAsia="zh-CN"/>
              </w:rPr>
              <w:t>供应商2016年1月至今具有类似项目茶苗种苗供货业绩的，每提供1项的，得2分</w:t>
            </w:r>
            <w:r>
              <w:rPr>
                <w:rFonts w:hint="eastAsia"/>
                <w:color w:val="auto"/>
                <w:vertAlign w:val="baseline"/>
                <w:lang w:val="en-US" w:eastAsia="zh-CN"/>
              </w:rPr>
              <w:t>；</w:t>
            </w:r>
            <w:r>
              <w:rPr>
                <w:rFonts w:hint="default"/>
                <w:color w:val="auto"/>
                <w:vertAlign w:val="baseline"/>
                <w:lang w:val="en-US" w:eastAsia="zh-CN"/>
              </w:rPr>
              <w:t xml:space="preserve">本项最高得 </w:t>
            </w:r>
            <w:r>
              <w:rPr>
                <w:rFonts w:hint="eastAsia"/>
                <w:color w:val="auto"/>
                <w:vertAlign w:val="baseline"/>
                <w:lang w:val="en-US" w:eastAsia="zh-CN"/>
              </w:rPr>
              <w:t>12</w:t>
            </w:r>
            <w:r>
              <w:rPr>
                <w:rFonts w:hint="default"/>
                <w:color w:val="auto"/>
                <w:vertAlign w:val="baseline"/>
                <w:lang w:val="en-US" w:eastAsia="zh-CN"/>
              </w:rPr>
              <w:t xml:space="preserve"> 分</w:t>
            </w:r>
            <w:r>
              <w:rPr>
                <w:rFonts w:hint="eastAsia"/>
                <w:color w:val="auto"/>
                <w:vertAlign w:val="baseline"/>
                <w:lang w:val="en-US" w:eastAsia="zh-CN"/>
              </w:rPr>
              <w:t>，</w:t>
            </w:r>
            <w:r>
              <w:rPr>
                <w:rFonts w:hint="default"/>
                <w:color w:val="auto"/>
                <w:vertAlign w:val="baseline"/>
                <w:lang w:val="en-US" w:eastAsia="zh-CN"/>
              </w:rPr>
              <w:t>（类似项目指茶叶种苗销售或供货，须提供中标（成交 ）通知书</w:t>
            </w:r>
            <w:r>
              <w:rPr>
                <w:rFonts w:hint="eastAsia"/>
                <w:color w:val="auto"/>
                <w:vertAlign w:val="baseline"/>
                <w:lang w:val="en-US" w:eastAsia="zh-CN"/>
              </w:rPr>
              <w:t>及</w:t>
            </w:r>
            <w:r>
              <w:rPr>
                <w:rFonts w:hint="default"/>
                <w:color w:val="auto"/>
                <w:vertAlign w:val="baseline"/>
                <w:lang w:val="en-US" w:eastAsia="zh-CN"/>
              </w:rPr>
              <w:t>合同彩色扫描件等证明资料）</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both"/>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荣誉证书</w:t>
            </w:r>
          </w:p>
        </w:tc>
        <w:tc>
          <w:tcPr>
            <w:tcW w:w="858" w:type="dxa"/>
            <w:vAlign w:val="center"/>
          </w:tcPr>
          <w:p>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4696" w:type="dxa"/>
            <w:vAlign w:val="center"/>
          </w:tcPr>
          <w:p>
            <w:pPr>
              <w:widowControl w:val="0"/>
              <w:numPr>
                <w:ilvl w:val="0"/>
                <w:numId w:val="35"/>
              </w:numPr>
              <w:jc w:val="both"/>
              <w:rPr>
                <w:rFonts w:hint="default"/>
                <w:color w:val="auto"/>
                <w:highlight w:val="none"/>
                <w:vertAlign w:val="baseline"/>
                <w:lang w:val="en-US" w:eastAsia="zh-CN"/>
              </w:rPr>
            </w:pPr>
            <w:r>
              <w:rPr>
                <w:rFonts w:hint="eastAsia"/>
                <w:color w:val="auto"/>
                <w:highlight w:val="none"/>
                <w:vertAlign w:val="baseline"/>
                <w:lang w:val="en-US" w:eastAsia="zh-CN"/>
              </w:rPr>
              <w:t>.湖北省农业产业化龙头企业、湖北省农民合作社示范社（或示范家庭农场）证书，</w:t>
            </w:r>
            <w:r>
              <w:rPr>
                <w:rFonts w:hint="default"/>
                <w:color w:val="auto"/>
                <w:highlight w:val="none"/>
                <w:vertAlign w:val="baseline"/>
                <w:lang w:val="en-US" w:eastAsia="zh-CN"/>
              </w:rPr>
              <w:t>(</w:t>
            </w:r>
            <w:r>
              <w:rPr>
                <w:rFonts w:hint="eastAsia"/>
                <w:color w:val="auto"/>
                <w:highlight w:val="none"/>
                <w:vertAlign w:val="baseline"/>
                <w:lang w:val="en-US" w:eastAsia="zh-CN"/>
              </w:rPr>
              <w:t>2</w:t>
            </w:r>
            <w:r>
              <w:rPr>
                <w:rFonts w:hint="default"/>
                <w:color w:val="auto"/>
                <w:highlight w:val="none"/>
                <w:vertAlign w:val="baseline"/>
                <w:lang w:val="en-US" w:eastAsia="zh-CN"/>
              </w:rPr>
              <w:t>)</w:t>
            </w:r>
            <w:r>
              <w:rPr>
                <w:rFonts w:hint="eastAsia"/>
                <w:color w:val="auto"/>
                <w:highlight w:val="none"/>
                <w:vertAlign w:val="baseline"/>
                <w:lang w:val="en-US" w:eastAsia="zh-CN"/>
              </w:rPr>
              <w:t>.高新技术企业证书，</w:t>
            </w:r>
            <w:r>
              <w:rPr>
                <w:rFonts w:hint="default"/>
                <w:color w:val="auto"/>
                <w:highlight w:val="none"/>
                <w:vertAlign w:val="baseline"/>
                <w:lang w:val="en-US" w:eastAsia="zh-CN"/>
              </w:rPr>
              <w:t>(</w:t>
            </w:r>
            <w:r>
              <w:rPr>
                <w:rFonts w:hint="eastAsia"/>
                <w:color w:val="auto"/>
                <w:highlight w:val="none"/>
                <w:vertAlign w:val="baseline"/>
                <w:lang w:val="en-US" w:eastAsia="zh-CN"/>
              </w:rPr>
              <w:t>3</w:t>
            </w:r>
            <w:r>
              <w:rPr>
                <w:rFonts w:hint="default"/>
                <w:color w:val="auto"/>
                <w:highlight w:val="none"/>
                <w:vertAlign w:val="baseline"/>
                <w:lang w:val="en-US" w:eastAsia="zh-CN"/>
              </w:rPr>
              <w:t>)</w:t>
            </w:r>
            <w:r>
              <w:rPr>
                <w:rFonts w:hint="eastAsia"/>
                <w:color w:val="auto"/>
                <w:highlight w:val="none"/>
                <w:vertAlign w:val="baseline"/>
                <w:lang w:val="en-US" w:eastAsia="zh-CN"/>
              </w:rPr>
              <w:t>.农业（农村）部颁发的国家区域性茶树良种繁育基地，（4）企业获得县级以上表彰的；（5）企业商标获得市级及以上知名商标的。每项3分；最高15分。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4</w:t>
            </w:r>
          </w:p>
        </w:tc>
        <w:tc>
          <w:tcPr>
            <w:tcW w:w="849" w:type="dxa"/>
            <w:vMerge w:val="restart"/>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技术评价（28）</w:t>
            </w: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技术指标</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3</w:t>
            </w:r>
          </w:p>
        </w:tc>
        <w:tc>
          <w:tcPr>
            <w:tcW w:w="4696" w:type="dxa"/>
            <w:vAlign w:val="center"/>
          </w:tcPr>
          <w:p>
            <w:pPr>
              <w:widowControl w:val="0"/>
              <w:numPr>
                <w:ilvl w:val="0"/>
                <w:numId w:val="0"/>
              </w:numPr>
              <w:jc w:val="both"/>
              <w:rPr>
                <w:rFonts w:hint="default"/>
                <w:vertAlign w:val="baseline"/>
                <w:lang w:val="en-US" w:eastAsia="zh-CN"/>
              </w:rPr>
            </w:pPr>
            <w:r>
              <w:rPr>
                <w:rFonts w:hint="default"/>
                <w:vertAlign w:val="baseline"/>
                <w:lang w:val="en-US" w:eastAsia="zh-CN"/>
              </w:rPr>
              <w:t>供应商所提供苗木的技术参数完全满足招标文 件第三章采购需求“ 二、采购清 单”的，得</w:t>
            </w:r>
            <w:r>
              <w:rPr>
                <w:rFonts w:hint="eastAsia"/>
                <w:vertAlign w:val="baseline"/>
                <w:lang w:val="en-US" w:eastAsia="zh-CN"/>
              </w:rPr>
              <w:t>3</w:t>
            </w:r>
            <w:r>
              <w:rPr>
                <w:rFonts w:hint="default"/>
                <w:vertAlign w:val="baseline"/>
                <w:lang w:val="en-US" w:eastAsia="zh-CN"/>
              </w:rPr>
              <w:t xml:space="preserve"> 分，评标委员会根据供应商提供的技术 响应、偏离说明表进行 综合评比打分 ，有一项不满足的扣 </w:t>
            </w:r>
            <w:r>
              <w:rPr>
                <w:rFonts w:hint="eastAsia"/>
                <w:vertAlign w:val="baseline"/>
                <w:lang w:val="en-US" w:eastAsia="zh-CN"/>
              </w:rPr>
              <w:t>1</w:t>
            </w:r>
            <w:r>
              <w:rPr>
                <w:rFonts w:hint="default"/>
                <w:vertAlign w:val="baseline"/>
                <w:lang w:val="en-US" w:eastAsia="zh-CN"/>
              </w:rPr>
              <w:t xml:space="preserve">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center"/>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技术服务方案</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12</w:t>
            </w:r>
          </w:p>
        </w:tc>
        <w:tc>
          <w:tcPr>
            <w:tcW w:w="4696" w:type="dxa"/>
            <w:vAlign w:val="center"/>
          </w:tcPr>
          <w:p>
            <w:pPr>
              <w:widowControl w:val="0"/>
              <w:numPr>
                <w:ilvl w:val="0"/>
                <w:numId w:val="0"/>
              </w:numPr>
              <w:jc w:val="both"/>
              <w:rPr>
                <w:rFonts w:hint="default"/>
                <w:vertAlign w:val="baseline"/>
                <w:lang w:val="en-US" w:eastAsia="zh-CN"/>
              </w:rPr>
            </w:pPr>
            <w:r>
              <w:rPr>
                <w:rFonts w:hint="default"/>
                <w:vertAlign w:val="baseline"/>
                <w:lang w:val="en-US" w:eastAsia="zh-CN"/>
              </w:rPr>
              <w:t>评标委员会根据供应商 提供的技术方案从以下 几个方面进行综合评比 打分：（1）有提供详细的种苗是否能够适应本地区自然条件、 温度、湿度、土壤及周围环境的分析及技术处理方案的（在 0-</w:t>
            </w:r>
            <w:r>
              <w:rPr>
                <w:rFonts w:hint="eastAsia"/>
                <w:vertAlign w:val="baseline"/>
                <w:lang w:val="en-US" w:eastAsia="zh-CN"/>
              </w:rPr>
              <w:t>2</w:t>
            </w:r>
            <w:r>
              <w:rPr>
                <w:rFonts w:hint="default"/>
                <w:vertAlign w:val="baseline"/>
                <w:lang w:val="en-US" w:eastAsia="zh-CN"/>
              </w:rPr>
              <w:t>分间打分）；（2）有提供种苗实物照片，且有挑选、起挖、检验 、包装、运输、卸载方 案，并符合采购需求及 其他要求的（在 0-</w:t>
            </w:r>
            <w:r>
              <w:rPr>
                <w:rFonts w:hint="eastAsia"/>
                <w:vertAlign w:val="baseline"/>
                <w:lang w:val="en-US" w:eastAsia="zh-CN"/>
              </w:rPr>
              <w:t>2</w:t>
            </w:r>
            <w:r>
              <w:rPr>
                <w:rFonts w:hint="default"/>
                <w:vertAlign w:val="baseline"/>
                <w:lang w:val="en-US" w:eastAsia="zh-CN"/>
              </w:rPr>
              <w:t>分间打分）； （3 ）有提供满足苗木生长 特性的种植技术方案（ 在 0-</w:t>
            </w:r>
            <w:r>
              <w:rPr>
                <w:rFonts w:hint="eastAsia"/>
                <w:vertAlign w:val="baseline"/>
                <w:lang w:val="en-US" w:eastAsia="zh-CN"/>
              </w:rPr>
              <w:t>2</w:t>
            </w:r>
            <w:r>
              <w:rPr>
                <w:rFonts w:hint="default"/>
                <w:vertAlign w:val="baseline"/>
                <w:lang w:val="en-US" w:eastAsia="zh-CN"/>
              </w:rPr>
              <w:t>分间打分）；（4）有提供修剪 、整形、养护管理方案 的（在 0-</w:t>
            </w:r>
            <w:r>
              <w:rPr>
                <w:rFonts w:hint="eastAsia"/>
                <w:vertAlign w:val="baseline"/>
                <w:lang w:val="en-US" w:eastAsia="zh-CN"/>
              </w:rPr>
              <w:t>2</w:t>
            </w:r>
            <w:r>
              <w:rPr>
                <w:rFonts w:hint="default"/>
                <w:vertAlign w:val="baseline"/>
                <w:lang w:val="en-US" w:eastAsia="zh-CN"/>
              </w:rPr>
              <w:t>分间打分 ）；（5）有提供 专业苗木病虫害防治方案的（在 0-</w:t>
            </w:r>
            <w:r>
              <w:rPr>
                <w:rFonts w:hint="eastAsia"/>
                <w:vertAlign w:val="baseline"/>
                <w:lang w:val="en-US" w:eastAsia="zh-CN"/>
              </w:rPr>
              <w:t>2</w:t>
            </w:r>
            <w:r>
              <w:rPr>
                <w:rFonts w:hint="default"/>
                <w:vertAlign w:val="baseline"/>
                <w:lang w:val="en-US" w:eastAsia="zh-CN"/>
              </w:rPr>
              <w:t xml:space="preserve"> 分间打分）；（6）有提供灌溉、施肥要求及详细技术方案（在 0-</w:t>
            </w:r>
            <w:r>
              <w:rPr>
                <w:rFonts w:hint="eastAsia"/>
                <w:vertAlign w:val="baseline"/>
                <w:lang w:val="en-US" w:eastAsia="zh-CN"/>
              </w:rPr>
              <w:t>2</w:t>
            </w:r>
            <w:r>
              <w:rPr>
                <w:rFonts w:hint="default"/>
                <w:vertAlign w:val="baseline"/>
                <w:lang w:val="en-US" w:eastAsia="zh-CN"/>
              </w:rPr>
              <w:t>分间打分）</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center"/>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质量保证措施</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2</w:t>
            </w:r>
          </w:p>
        </w:tc>
        <w:tc>
          <w:tcPr>
            <w:tcW w:w="4696" w:type="dxa"/>
            <w:vAlign w:val="center"/>
          </w:tcPr>
          <w:p>
            <w:pPr>
              <w:widowControl w:val="0"/>
              <w:numPr>
                <w:ilvl w:val="0"/>
                <w:numId w:val="0"/>
              </w:numPr>
              <w:jc w:val="both"/>
              <w:rPr>
                <w:rFonts w:hint="default"/>
                <w:vertAlign w:val="baseline"/>
                <w:lang w:val="en-US" w:eastAsia="zh-CN"/>
              </w:rPr>
            </w:pPr>
            <w:r>
              <w:rPr>
                <w:rFonts w:hint="default"/>
                <w:vertAlign w:val="baseline"/>
                <w:lang w:val="en-US" w:eastAsia="zh-CN"/>
              </w:rPr>
              <w:t>供应商有编制详细的质量保证措施及苗木起运 、运输管理方案及措施的，评标委员会根据质量保证措施编制的情况进行综合评比打分，在 0-</w:t>
            </w:r>
            <w:r>
              <w:rPr>
                <w:rFonts w:hint="eastAsia"/>
                <w:vertAlign w:val="baseline"/>
                <w:lang w:val="en-US" w:eastAsia="zh-CN"/>
              </w:rPr>
              <w:t>2</w:t>
            </w:r>
            <w:r>
              <w:rPr>
                <w:rFonts w:hint="default"/>
                <w:vertAlign w:val="baseline"/>
                <w:lang w:val="en-US" w:eastAsia="zh-CN"/>
              </w:rPr>
              <w:t>分间打分</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center"/>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技术支撑</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6</w:t>
            </w:r>
          </w:p>
        </w:tc>
        <w:tc>
          <w:tcPr>
            <w:tcW w:w="4696" w:type="dxa"/>
            <w:vAlign w:val="center"/>
          </w:tcPr>
          <w:p>
            <w:pPr>
              <w:widowControl w:val="0"/>
              <w:numPr>
                <w:ilvl w:val="0"/>
                <w:numId w:val="0"/>
              </w:numPr>
              <w:jc w:val="both"/>
              <w:rPr>
                <w:rFonts w:hint="default"/>
                <w:vertAlign w:val="baseline"/>
                <w:lang w:val="en-US" w:eastAsia="zh-CN"/>
              </w:rPr>
            </w:pPr>
            <w:r>
              <w:rPr>
                <w:rFonts w:hint="eastAsia"/>
                <w:vertAlign w:val="baseline"/>
                <w:lang w:val="en-US" w:eastAsia="zh-CN"/>
              </w:rPr>
              <w:t>1.与品种育成单位有技术合作关系的得3分；2.有当地市县级农业农村部门技术支撑的得3分。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center"/>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技术培训方案</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2</w:t>
            </w:r>
          </w:p>
        </w:tc>
        <w:tc>
          <w:tcPr>
            <w:tcW w:w="4696" w:type="dxa"/>
            <w:vAlign w:val="center"/>
          </w:tcPr>
          <w:p>
            <w:pPr>
              <w:widowControl w:val="0"/>
              <w:numPr>
                <w:ilvl w:val="0"/>
                <w:numId w:val="0"/>
              </w:numPr>
              <w:jc w:val="both"/>
              <w:rPr>
                <w:rFonts w:hint="default"/>
                <w:vertAlign w:val="baseline"/>
                <w:lang w:val="en-US" w:eastAsia="zh-CN"/>
              </w:rPr>
            </w:pPr>
            <w:r>
              <w:rPr>
                <w:rFonts w:hint="default"/>
                <w:vertAlign w:val="baseline"/>
                <w:lang w:val="en-US" w:eastAsia="zh-CN"/>
              </w:rPr>
              <w:t>供应商有编制详细具体的技术培训方案，并拟 派专人实地进行技术指导的，评标委员会根据方案的编制情况进行综合评比打分，在 0-</w:t>
            </w:r>
            <w:r>
              <w:rPr>
                <w:rFonts w:hint="eastAsia"/>
                <w:vertAlign w:val="baseline"/>
                <w:lang w:val="en-US" w:eastAsia="zh-CN"/>
              </w:rPr>
              <w:t>2</w:t>
            </w:r>
            <w:r>
              <w:rPr>
                <w:rFonts w:hint="default"/>
                <w:vertAlign w:val="baseline"/>
                <w:lang w:val="en-US" w:eastAsia="zh-CN"/>
              </w:rPr>
              <w:t>分间打分。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widowControl w:val="0"/>
              <w:numPr>
                <w:ilvl w:val="0"/>
                <w:numId w:val="0"/>
              </w:numPr>
              <w:jc w:val="center"/>
              <w:rPr>
                <w:rFonts w:hint="default"/>
                <w:vertAlign w:val="baseline"/>
                <w:lang w:val="en-US" w:eastAsia="zh-CN"/>
              </w:rPr>
            </w:pPr>
          </w:p>
        </w:tc>
        <w:tc>
          <w:tcPr>
            <w:tcW w:w="849" w:type="dxa"/>
            <w:vMerge w:val="continue"/>
            <w:vAlign w:val="center"/>
          </w:tcPr>
          <w:p>
            <w:pPr>
              <w:widowControl w:val="0"/>
              <w:numPr>
                <w:ilvl w:val="0"/>
                <w:numId w:val="0"/>
              </w:numPr>
              <w:jc w:val="center"/>
              <w:rPr>
                <w:rFonts w:hint="default"/>
                <w:vertAlign w:val="baseline"/>
                <w:lang w:val="en-US" w:eastAsia="zh-CN"/>
              </w:rPr>
            </w:pP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售后服务方案</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3</w:t>
            </w:r>
          </w:p>
        </w:tc>
        <w:tc>
          <w:tcPr>
            <w:tcW w:w="4696" w:type="dxa"/>
            <w:vAlign w:val="center"/>
          </w:tcPr>
          <w:p>
            <w:pPr>
              <w:widowControl w:val="0"/>
              <w:numPr>
                <w:ilvl w:val="0"/>
                <w:numId w:val="0"/>
              </w:numPr>
              <w:jc w:val="both"/>
              <w:rPr>
                <w:rFonts w:hint="default"/>
                <w:vertAlign w:val="baseline"/>
                <w:lang w:val="en-US" w:eastAsia="zh-CN"/>
              </w:rPr>
            </w:pPr>
            <w:r>
              <w:rPr>
                <w:rFonts w:hint="default"/>
                <w:vertAlign w:val="baseline"/>
                <w:lang w:val="en-US" w:eastAsia="zh-CN"/>
              </w:rPr>
              <w:t>供应商有编制售后服务方案的，评标委员会根 据方案的编制情况和承诺进行综合评比打分， 在 0-</w:t>
            </w:r>
            <w:r>
              <w:rPr>
                <w:rFonts w:hint="eastAsia"/>
                <w:vertAlign w:val="baseline"/>
                <w:lang w:val="en-US" w:eastAsia="zh-CN"/>
              </w:rPr>
              <w:t>3</w:t>
            </w:r>
            <w:r>
              <w:rPr>
                <w:rFonts w:hint="default"/>
                <w:vertAlign w:val="baseline"/>
                <w:lang w:val="en-US" w:eastAsia="zh-CN"/>
              </w:rPr>
              <w:t xml:space="preserve"> 分间打分。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5</w:t>
            </w:r>
          </w:p>
        </w:tc>
        <w:tc>
          <w:tcPr>
            <w:tcW w:w="849"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价格评价（30）</w:t>
            </w:r>
          </w:p>
        </w:tc>
        <w:tc>
          <w:tcPr>
            <w:tcW w:w="1564" w:type="dxa"/>
            <w:vAlign w:val="center"/>
          </w:tcPr>
          <w:p>
            <w:pPr>
              <w:widowControl w:val="0"/>
              <w:numPr>
                <w:ilvl w:val="0"/>
                <w:numId w:val="0"/>
              </w:numPr>
              <w:jc w:val="center"/>
              <w:rPr>
                <w:rFonts w:hint="default"/>
                <w:vertAlign w:val="baseline"/>
                <w:lang w:val="en-US" w:eastAsia="zh-CN"/>
              </w:rPr>
            </w:pPr>
            <w:r>
              <w:rPr>
                <w:rFonts w:hint="default"/>
                <w:vertAlign w:val="baseline"/>
                <w:lang w:val="en-US" w:eastAsia="zh-CN"/>
              </w:rPr>
              <w:t>价格分</w:t>
            </w:r>
          </w:p>
        </w:tc>
        <w:tc>
          <w:tcPr>
            <w:tcW w:w="85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30</w:t>
            </w:r>
          </w:p>
        </w:tc>
        <w:tc>
          <w:tcPr>
            <w:tcW w:w="4696" w:type="dxa"/>
            <w:vAlign w:val="center"/>
          </w:tcPr>
          <w:p>
            <w:pPr>
              <w:widowControl w:val="0"/>
              <w:numPr>
                <w:ilvl w:val="0"/>
                <w:numId w:val="0"/>
              </w:numPr>
              <w:jc w:val="both"/>
              <w:rPr>
                <w:rFonts w:hint="default"/>
                <w:vertAlign w:val="baseline"/>
                <w:lang w:val="en-US" w:eastAsia="zh-CN"/>
              </w:rPr>
            </w:pPr>
            <w:r>
              <w:rPr>
                <w:rFonts w:hint="default"/>
                <w:vertAlign w:val="baseline"/>
                <w:lang w:val="en-US" w:eastAsia="zh-CN"/>
              </w:rPr>
              <w:t>评标委员会只对资格和符合性审查合格的投标 文件进行价格评价，报价分采用低价优先法计 算，即满足招标文件要求且投标价格最低的投标报价为评标基准价，其价格分为分数分。其他投标人的价格分按照下列公式计算：投标报 价得分=(评标基准价／投标报价)×价格分。</w:t>
            </w:r>
          </w:p>
        </w:tc>
      </w:tr>
    </w:tbl>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3"/>
        <w:numPr>
          <w:ilvl w:val="0"/>
          <w:numId w:val="1"/>
        </w:numPr>
        <w:spacing w:before="0" w:after="0" w:line="360" w:lineRule="auto"/>
        <w:jc w:val="center"/>
        <w:rPr>
          <w:rFonts w:ascii="黑体" w:hAnsi="黑体" w:eastAsia="黑体"/>
          <w:color w:val="000000" w:themeColor="text1"/>
          <w14:textFill>
            <w14:solidFill>
              <w14:schemeClr w14:val="tx1"/>
            </w14:solidFill>
          </w14:textFill>
        </w:rPr>
      </w:pPr>
      <w:bookmarkStart w:id="65" w:name="_Toc8203"/>
      <w:r>
        <w:rPr>
          <w:rFonts w:hint="eastAsia" w:ascii="黑体" w:hAnsi="黑体" w:eastAsia="黑体"/>
          <w:color w:val="000000" w:themeColor="text1"/>
          <w14:textFill>
            <w14:solidFill>
              <w14:schemeClr w14:val="tx1"/>
            </w14:solidFill>
          </w14:textFill>
        </w:rPr>
        <w:t>合同书格式（参考）</w:t>
      </w:r>
      <w:bookmarkEnd w:id="59"/>
      <w:bookmarkEnd w:id="60"/>
      <w:bookmarkEnd w:id="61"/>
      <w:bookmarkEnd w:id="62"/>
      <w:bookmarkEnd w:id="63"/>
      <w:bookmarkEnd w:id="64"/>
      <w:bookmarkEnd w:id="65"/>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spacing w:line="360" w:lineRule="auto"/>
        <w:jc w:val="center"/>
        <w:rPr>
          <w:rFonts w:ascii="宋体" w:hAnsi="宋体" w:eastAsia="宋体" w:cs="Times New Roman"/>
          <w:b/>
          <w:color w:val="000000" w:themeColor="text1"/>
          <w:kern w:val="0"/>
          <w:sz w:val="36"/>
          <w:szCs w:val="36"/>
          <w14:textFill>
            <w14:solidFill>
              <w14:schemeClr w14:val="tx1"/>
            </w14:solidFill>
          </w14:textFill>
        </w:rPr>
      </w:pPr>
      <w:r>
        <w:rPr>
          <w:rFonts w:hint="eastAsia" w:ascii="宋体" w:hAnsi="宋体" w:eastAsia="宋体" w:cs="Times New Roman"/>
          <w:b/>
          <w:color w:val="000000" w:themeColor="text1"/>
          <w:kern w:val="0"/>
          <w:sz w:val="36"/>
          <w:szCs w:val="36"/>
          <w14:textFill>
            <w14:solidFill>
              <w14:schemeClr w14:val="tx1"/>
            </w14:solidFill>
          </w14:textFill>
        </w:rPr>
        <w:t>合   同   书</w:t>
      </w:r>
    </w:p>
    <w:p>
      <w:pPr>
        <w:spacing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项目名称：</w:t>
      </w:r>
    </w:p>
    <w:p>
      <w:pPr>
        <w:spacing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合同编号：</w:t>
      </w:r>
    </w:p>
    <w:p>
      <w:pPr>
        <w:spacing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签订日期：</w:t>
      </w:r>
    </w:p>
    <w:p>
      <w:pPr>
        <w:spacing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签订合同地点：</w:t>
      </w:r>
    </w:p>
    <w:p>
      <w:pPr>
        <w:spacing w:line="360" w:lineRule="auto"/>
        <w:ind w:firstLine="480" w:firstLine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本合同由</w:t>
      </w:r>
      <w:r>
        <w:rPr>
          <w:rFonts w:hint="eastAsia" w:ascii="Helvetica" w:hAnsi="Helvetica" w:eastAsia="宋体" w:cs="Helvetica"/>
          <w:color w:val="000000" w:themeColor="text1"/>
          <w:kern w:val="0"/>
          <w:sz w:val="24"/>
          <w:szCs w:val="24"/>
          <w:u w:val="single"/>
          <w:lang w:val="zh-CN"/>
          <w14:textFill>
            <w14:solidFill>
              <w14:schemeClr w14:val="tx1"/>
            </w14:solidFill>
          </w14:textFill>
        </w:rPr>
        <w:t>（采购人）</w:t>
      </w:r>
      <w:r>
        <w:rPr>
          <w:rFonts w:hint="eastAsia" w:ascii="Helvetica" w:hAnsi="Helvetica" w:eastAsia="宋体" w:cs="Helvetica"/>
          <w:color w:val="000000" w:themeColor="text1"/>
          <w:kern w:val="0"/>
          <w:sz w:val="24"/>
          <w:szCs w:val="24"/>
          <w:lang w:val="zh-CN"/>
          <w14:textFill>
            <w14:solidFill>
              <w14:schemeClr w14:val="tx1"/>
            </w14:solidFill>
          </w14:textFill>
        </w:rPr>
        <w:t>（以下简称“甲方”）与</w:t>
      </w:r>
      <w:r>
        <w:rPr>
          <w:rFonts w:hint="eastAsia" w:ascii="Helvetica" w:hAnsi="Helvetica" w:eastAsia="宋体" w:cs="Helvetica"/>
          <w:color w:val="000000" w:themeColor="text1"/>
          <w:kern w:val="0"/>
          <w:sz w:val="24"/>
          <w:szCs w:val="24"/>
          <w:u w:val="single"/>
          <w:lang w:val="zh-CN"/>
          <w14:textFill>
            <w14:solidFill>
              <w14:schemeClr w14:val="tx1"/>
            </w14:solidFill>
          </w14:textFill>
        </w:rPr>
        <w:t>（中标人）</w:t>
      </w:r>
      <w:r>
        <w:rPr>
          <w:rFonts w:hint="eastAsia" w:ascii="Helvetica" w:hAnsi="Helvetica" w:eastAsia="宋体"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line="360" w:lineRule="auto"/>
        <w:ind w:firstLine="489" w:firstLineChars="204"/>
        <w:contextualSpacing/>
        <w:rPr>
          <w:rFonts w:ascii="宋体" w:hAnsi="宋体" w:eastAsia="宋体" w:cs="Times New Roman"/>
          <w:b/>
          <w:color w:val="000000" w:themeColor="text1"/>
          <w:kern w:val="0"/>
          <w:sz w:val="24"/>
          <w:szCs w:val="20"/>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经双方协商，同意按下列条文执行：</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合同文件。下列文件为本合同不可分割的部分：</w:t>
      </w:r>
    </w:p>
    <w:p>
      <w:pPr>
        <w:numPr>
          <w:ilvl w:val="0"/>
          <w:numId w:val="37"/>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招标文件（项目编号：</w:t>
      </w:r>
      <w:r>
        <w:rPr>
          <w:rFonts w:hint="eastAsia" w:ascii="宋体" w:hAnsi="宋体" w:eastAsia="宋体" w:cs="Times New Roman"/>
          <w:color w:val="000000" w:themeColor="text1"/>
          <w:kern w:val="0"/>
          <w:sz w:val="24"/>
          <w:szCs w:val="20"/>
          <w:u w:val="single"/>
          <w:lang w:val="zh-CN"/>
          <w14:textFill>
            <w14:solidFill>
              <w14:schemeClr w14:val="tx1"/>
            </w14:solidFill>
          </w14:textFill>
        </w:rPr>
        <w:t>　　            　</w:t>
      </w:r>
      <w:r>
        <w:rPr>
          <w:rFonts w:hint="eastAsia" w:ascii="宋体" w:hAnsi="宋体" w:eastAsia="宋体" w:cs="Times New Roman"/>
          <w:color w:val="000000" w:themeColor="text1"/>
          <w:kern w:val="0"/>
          <w:sz w:val="24"/>
          <w:szCs w:val="20"/>
          <w:lang w:val="zh-CN"/>
          <w14:textFill>
            <w14:solidFill>
              <w14:schemeClr w14:val="tx1"/>
            </w14:solidFill>
          </w14:textFill>
        </w:rPr>
        <w:t>）；</w:t>
      </w:r>
    </w:p>
    <w:p>
      <w:pPr>
        <w:numPr>
          <w:ilvl w:val="0"/>
          <w:numId w:val="37"/>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中标的投标文件；</w:t>
      </w:r>
    </w:p>
    <w:p>
      <w:pPr>
        <w:numPr>
          <w:ilvl w:val="0"/>
          <w:numId w:val="37"/>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合同书；</w:t>
      </w:r>
    </w:p>
    <w:p>
      <w:pPr>
        <w:numPr>
          <w:ilvl w:val="0"/>
          <w:numId w:val="37"/>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合同条款；</w:t>
      </w:r>
    </w:p>
    <w:p>
      <w:pPr>
        <w:numPr>
          <w:ilvl w:val="0"/>
          <w:numId w:val="37"/>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集中采购机构发出的中标通知书；</w:t>
      </w:r>
    </w:p>
    <w:p>
      <w:pPr>
        <w:numPr>
          <w:ilvl w:val="0"/>
          <w:numId w:val="37"/>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附件；</w:t>
      </w:r>
    </w:p>
    <w:p>
      <w:pPr>
        <w:numPr>
          <w:ilvl w:val="0"/>
          <w:numId w:val="38"/>
        </w:numPr>
        <w:spacing w:line="360" w:lineRule="auto"/>
        <w:ind w:left="1358" w:hanging="72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甲方</w:t>
      </w:r>
      <w:r>
        <w:rPr>
          <w:rFonts w:hint="eastAsia" w:ascii="宋体" w:hAnsi="宋体" w:eastAsia="宋体" w:cs="Times New Roman"/>
          <w:color w:val="000000" w:themeColor="text1"/>
          <w:sz w:val="24"/>
          <w:szCs w:val="20"/>
          <w:lang w:val="zh-CN"/>
          <w14:textFill>
            <w14:solidFill>
              <w14:schemeClr w14:val="tx1"/>
            </w14:solidFill>
          </w14:textFill>
        </w:rPr>
        <w:t>在招标期间发布的所有补充通知；</w:t>
      </w:r>
    </w:p>
    <w:p>
      <w:pPr>
        <w:numPr>
          <w:ilvl w:val="0"/>
          <w:numId w:val="38"/>
        </w:numPr>
        <w:spacing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乙方在投标期内补充的所有书面文件；</w:t>
      </w:r>
    </w:p>
    <w:p>
      <w:pPr>
        <w:numPr>
          <w:ilvl w:val="0"/>
          <w:numId w:val="38"/>
        </w:numPr>
        <w:spacing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38"/>
        </w:numPr>
        <w:spacing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付款条件。本合同的付款条件按招标文件规定执行。</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36"/>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36"/>
        </w:numPr>
        <w:tabs>
          <w:tab w:val="left" w:pos="980"/>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36"/>
        </w:numPr>
        <w:tabs>
          <w:tab w:val="left" w:pos="980"/>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合同的份数。本合同正本一式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份；副本一式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w:t>
      </w:r>
    </w:p>
    <w:p>
      <w:pPr>
        <w:numPr>
          <w:ilvl w:val="3"/>
          <w:numId w:val="36"/>
        </w:numPr>
        <w:tabs>
          <w:tab w:val="left" w:pos="980"/>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合同的失效。本合同在合同价款全部结清后失效。</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　　方：</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乙　　方：</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单位名称（盖章）：</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单位名称（盖章）：</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单位地址：</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单位地址：</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法人代表授权人(签字)：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法人代表授权人(签字)：</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联 系 人：</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联 系 人：</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电　　话：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电　　话：</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传　　真：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传　　真：</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邮政编码：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邮政编码：</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开户银行：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开户银行：</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帐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帐　　号：</w:t>
      </w:r>
    </w:p>
    <w:p>
      <w:pPr>
        <w:spacing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税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税　　号：</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spacing w:before="0" w:after="0" w:line="360" w:lineRule="auto"/>
        <w:jc w:val="center"/>
        <w:rPr>
          <w:rFonts w:ascii="黑体" w:hAnsi="黑体" w:eastAsia="黑体"/>
          <w:color w:val="000000" w:themeColor="text1"/>
          <w14:textFill>
            <w14:solidFill>
              <w14:schemeClr w14:val="tx1"/>
            </w14:solidFill>
          </w14:textFill>
        </w:rPr>
      </w:pPr>
      <w:bookmarkStart w:id="66" w:name="_Toc32397"/>
      <w:bookmarkStart w:id="67" w:name="_Toc494665547"/>
      <w:bookmarkStart w:id="68" w:name="_Toc494665944"/>
      <w:bookmarkStart w:id="69" w:name="_Toc494664994"/>
      <w:bookmarkStart w:id="70" w:name="_Toc494745311"/>
      <w:bookmarkStart w:id="71" w:name="_Toc494721094"/>
      <w:bookmarkStart w:id="72" w:name="_Toc494702264"/>
      <w:r>
        <w:rPr>
          <w:rFonts w:hint="eastAsia" w:ascii="黑体" w:hAnsi="黑体" w:eastAsia="黑体"/>
          <w:color w:val="000000" w:themeColor="text1"/>
          <w14:textFill>
            <w14:solidFill>
              <w14:schemeClr w14:val="tx1"/>
            </w14:solidFill>
          </w14:textFill>
        </w:rPr>
        <w:t>投标文件格式（参考）</w:t>
      </w:r>
      <w:bookmarkEnd w:id="66"/>
      <w:bookmarkEnd w:id="67"/>
      <w:bookmarkEnd w:id="68"/>
      <w:bookmarkEnd w:id="69"/>
      <w:bookmarkEnd w:id="70"/>
      <w:bookmarkEnd w:id="71"/>
      <w:bookmarkEnd w:id="72"/>
    </w:p>
    <w:p>
      <w:pPr>
        <w:spacing w:line="360" w:lineRule="auto"/>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line="360" w:lineRule="auto"/>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spacing w:line="360" w:lineRule="auto"/>
        <w:jc w:val="center"/>
        <w:rPr>
          <w:rFonts w:ascii="黑体" w:hAnsi="黑体" w:eastAsia="黑体"/>
          <w:b/>
          <w:color w:val="000000" w:themeColor="text1"/>
          <w:sz w:val="144"/>
          <w:szCs w:val="144"/>
          <w14:textFill>
            <w14:solidFill>
              <w14:schemeClr w14:val="tx1"/>
            </w14:solidFill>
          </w14:textFill>
        </w:rPr>
      </w:pPr>
    </w:p>
    <w:p>
      <w:pPr>
        <w:pStyle w:val="4"/>
        <w:spacing w:before="0" w:after="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73" w:name="_Toc494665945"/>
      <w:bookmarkStart w:id="74" w:name="_Toc494664995"/>
      <w:bookmarkStart w:id="75" w:name="_Toc494721095"/>
      <w:bookmarkStart w:id="76" w:name="_Toc494702265"/>
      <w:bookmarkStart w:id="77" w:name="_Toc494665548"/>
      <w:bookmarkStart w:id="78" w:name="_Toc494745312"/>
    </w:p>
    <w:p>
      <w:pPr>
        <w:pStyle w:val="4"/>
        <w:numPr>
          <w:ilvl w:val="0"/>
          <w:numId w:val="39"/>
        </w:numPr>
        <w:spacing w:before="0" w:after="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79" w:name="_Toc7442"/>
      <w:r>
        <w:rPr>
          <w:rFonts w:hint="eastAsia" w:cs="Times New Roman" w:asciiTheme="majorEastAsia" w:hAnsiTheme="majorEastAsia"/>
          <w:bCs w:val="0"/>
          <w:color w:val="000000" w:themeColor="text1"/>
          <w:sz w:val="44"/>
          <w:szCs w:val="44"/>
          <w:lang w:val="zh-CN"/>
          <w14:textFill>
            <w14:solidFill>
              <w14:schemeClr w14:val="tx1"/>
            </w14:solidFill>
          </w14:textFill>
        </w:rPr>
        <w:t>资格证明文件</w:t>
      </w:r>
      <w:bookmarkEnd w:id="73"/>
      <w:bookmarkEnd w:id="74"/>
      <w:bookmarkEnd w:id="75"/>
      <w:bookmarkEnd w:id="76"/>
      <w:bookmarkEnd w:id="77"/>
      <w:bookmarkEnd w:id="78"/>
      <w:bookmarkEnd w:id="79"/>
    </w:p>
    <w:p>
      <w:pPr>
        <w:spacing w:line="360" w:lineRule="auto"/>
        <w:rPr>
          <w:color w:val="000000" w:themeColor="text1"/>
          <w:lang w:val="zh-CN"/>
          <w14:textFill>
            <w14:solidFill>
              <w14:schemeClr w14:val="tx1"/>
            </w14:solidFill>
          </w14:textFill>
        </w:rPr>
      </w:pPr>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right="1287" w:rightChars="613"/>
        <w:jc w:val="center"/>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 xml:space="preserve">   </w:t>
      </w:r>
    </w:p>
    <w:p>
      <w:pPr>
        <w:spacing w:line="360" w:lineRule="auto"/>
        <w:ind w:right="1287" w:rightChars="613"/>
        <w:jc w:val="center"/>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939" w:right="1287" w:rightChars="613" w:firstLine="1104" w:firstLineChars="345"/>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val="en-US" w:eastAsia="zh-CN"/>
          <w14:textFill>
            <w14:solidFill>
              <w14:schemeClr w14:val="tx1"/>
            </w14:solidFill>
          </w14:textFill>
        </w:rPr>
        <w:t>2022</w:t>
      </w:r>
      <w:r>
        <w:rPr>
          <w:rFonts w:hint="eastAsia" w:ascii="宋体" w:hAnsi="宋体"/>
          <w:b/>
          <w:color w:val="000000" w:themeColor="text1"/>
          <w:sz w:val="36"/>
          <w:szCs w:val="36"/>
          <w14:textFill>
            <w14:solidFill>
              <w14:schemeClr w14:val="tx1"/>
            </w14:solidFill>
          </w14:textFill>
        </w:rPr>
        <w:t>年 月</w:t>
      </w:r>
    </w:p>
    <w:p>
      <w:pPr>
        <w:spacing w:line="360" w:lineRule="auto"/>
        <w:jc w:val="left"/>
        <w:rPr>
          <w:rFonts w:ascii="宋体" w:hAnsi="宋体" w:eastAsia="宋体" w:cs="Times New Roman"/>
          <w:b/>
          <w:bCs/>
          <w:color w:val="000000" w:themeColor="text1"/>
          <w:sz w:val="30"/>
          <w:szCs w:val="30"/>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rFonts w:ascii="宋体" w:hAnsi="宋体" w:eastAsia="宋体" w:cs="Times New Roman"/>
          <w:b/>
          <w:bCs/>
          <w:color w:val="000000" w:themeColor="text1"/>
          <w:sz w:val="30"/>
          <w:szCs w:val="30"/>
          <w:lang w:val="zh-CN"/>
          <w14:textFill>
            <w14:solidFill>
              <w14:schemeClr w14:val="tx1"/>
            </w14:solidFill>
          </w14:textFill>
        </w:rPr>
      </w:pPr>
    </w:p>
    <w:p>
      <w:pPr>
        <w:spacing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line="360" w:lineRule="auto"/>
        <w:jc w:val="center"/>
        <w:rPr>
          <w:rFonts w:ascii="黑体" w:hAnsi="黑体" w:eastAsia="黑体" w:cs="Times New Roman"/>
          <w:b/>
          <w:color w:val="000000" w:themeColor="text1"/>
          <w:sz w:val="36"/>
          <w:szCs w:val="36"/>
          <w14:textFill>
            <w14:solidFill>
              <w14:schemeClr w14:val="tx1"/>
            </w14:solidFill>
          </w14:textFill>
        </w:rPr>
      </w:pPr>
      <w:bookmarkStart w:id="80" w:name="_Toc494721096"/>
      <w:bookmarkStart w:id="81" w:name="_Toc494665549"/>
      <w:bookmarkStart w:id="82" w:name="_Toc494745313"/>
      <w:bookmarkStart w:id="83" w:name="_Toc494665946"/>
      <w:bookmarkStart w:id="84" w:name="_Toc494664996"/>
      <w:bookmarkStart w:id="85" w:name="_Toc494702266"/>
      <w:r>
        <w:rPr>
          <w:rFonts w:hint="eastAsia" w:ascii="黑体" w:hAnsi="黑体" w:eastAsia="黑体" w:cs="Times New Roman"/>
          <w:b/>
          <w:color w:val="000000" w:themeColor="text1"/>
          <w:sz w:val="36"/>
          <w:szCs w:val="36"/>
          <w14:textFill>
            <w14:solidFill>
              <w14:schemeClr w14:val="tx1"/>
            </w14:solidFill>
          </w14:textFill>
        </w:rPr>
        <w:t>资格证明文件组成</w:t>
      </w:r>
      <w:bookmarkEnd w:id="80"/>
      <w:bookmarkEnd w:id="81"/>
      <w:bookmarkEnd w:id="82"/>
      <w:bookmarkEnd w:id="83"/>
      <w:bookmarkEnd w:id="84"/>
      <w:bookmarkEnd w:id="85"/>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4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资格证明文件目录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40"/>
        </w:numPr>
        <w:autoSpaceDE w:val="0"/>
        <w:autoSpaceDN w:val="0"/>
        <w:adjustRightInd w:val="0"/>
        <w:spacing w:line="360" w:lineRule="auto"/>
        <w:ind w:left="490" w:hanging="370"/>
        <w:rPr>
          <w:rFonts w:ascii="宋体" w:hAnsi="宋体" w:eastAsia="宋体" w:cs="Times New Roman"/>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42"/>
        <w:numPr>
          <w:ilvl w:val="0"/>
          <w:numId w:val="41"/>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法人或者其他组织的营业执照等证明文件，自然人的身份证明；</w:t>
      </w:r>
    </w:p>
    <w:p>
      <w:pPr>
        <w:pStyle w:val="42"/>
        <w:numPr>
          <w:ilvl w:val="0"/>
          <w:numId w:val="41"/>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财务状况报告，依法缴纳税收和社会保障资金的相关材料；</w:t>
      </w:r>
    </w:p>
    <w:p>
      <w:pPr>
        <w:pStyle w:val="42"/>
        <w:numPr>
          <w:ilvl w:val="0"/>
          <w:numId w:val="41"/>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具备履行合同所必需的设备和专业技术能力的证明材料；</w:t>
      </w:r>
    </w:p>
    <w:p>
      <w:pPr>
        <w:pStyle w:val="42"/>
        <w:numPr>
          <w:ilvl w:val="0"/>
          <w:numId w:val="41"/>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参加政府采购活动前3年内在经营活动中没有重大违法记录的书面声明；</w:t>
      </w:r>
    </w:p>
    <w:p>
      <w:pPr>
        <w:pStyle w:val="42"/>
        <w:numPr>
          <w:ilvl w:val="0"/>
          <w:numId w:val="41"/>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具备法律、行政法规规定的其他条件的证明材料；</w:t>
      </w:r>
    </w:p>
    <w:p>
      <w:pPr>
        <w:numPr>
          <w:ilvl w:val="0"/>
          <w:numId w:val="4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未被“信用中国”网站(www.creditchina.gov.cn)列入失信被执行人、重大税收违法案件当事人名单、</w:t>
      </w:r>
      <w:r>
        <w:rPr>
          <w:rFonts w:hint="eastAsia" w:ascii="宋体" w:hAnsi="宋体" w:eastAsia="宋体" w:cs="Times New Roman"/>
          <w:color w:val="000000" w:themeColor="text1"/>
          <w:sz w:val="24"/>
          <w:szCs w:val="24"/>
          <w14:textFill>
            <w14:solidFill>
              <w14:schemeClr w14:val="tx1"/>
            </w14:solidFill>
          </w14:textFill>
        </w:rPr>
        <w:t>“中国政府采购网”（www.ccgp.gov.cn）</w:t>
      </w:r>
      <w:r>
        <w:rPr>
          <w:rFonts w:hint="eastAsia" w:ascii="宋体" w:hAnsi="宋体" w:eastAsia="宋体" w:cs="Courier New"/>
          <w:color w:val="000000" w:themeColor="text1"/>
          <w:sz w:val="24"/>
          <w:szCs w:val="24"/>
          <w14:textFill>
            <w14:solidFill>
              <w14:schemeClr w14:val="tx1"/>
            </w14:solidFill>
          </w14:textFill>
        </w:rPr>
        <w:t>政府采购严重违法失信行为记录名单的书面申明及该网站查询结果页面截图；</w:t>
      </w:r>
    </w:p>
    <w:p>
      <w:pPr>
        <w:numPr>
          <w:ilvl w:val="0"/>
          <w:numId w:val="4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4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不符合联合体投标相关规定和要求的（适用于接受联合体投标的项目）；</w:t>
      </w:r>
    </w:p>
    <w:p>
      <w:pPr>
        <w:numPr>
          <w:ilvl w:val="0"/>
          <w:numId w:val="4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360" w:lineRule="auto"/>
        <w:ind w:left="490"/>
        <w:rPr>
          <w:rFonts w:ascii="Calibri" w:hAnsi="宋体" w:eastAsia="宋体" w:cs="Times New Roman"/>
          <w:color w:val="000000" w:themeColor="text1"/>
          <w:sz w:val="24"/>
          <w:szCs w:val="24"/>
          <w14:textFill>
            <w14:solidFill>
              <w14:schemeClr w14:val="tx1"/>
            </w14:solidFill>
          </w14:textFill>
        </w:rPr>
      </w:pPr>
    </w:p>
    <w:p>
      <w:pPr>
        <w:autoSpaceDE w:val="0"/>
        <w:autoSpaceDN w:val="0"/>
        <w:adjustRightInd w:val="0"/>
        <w:spacing w:line="360" w:lineRule="auto"/>
        <w:ind w:left="490"/>
        <w:rPr>
          <w:rFonts w:ascii="Calibri" w:hAnsi="宋体" w:eastAsia="宋体" w:cs="Times New Roman"/>
          <w:color w:val="000000" w:themeColor="text1"/>
          <w:sz w:val="24"/>
          <w:szCs w:val="24"/>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eastAsia="宋体" w:cs="Helvetica"/>
          <w:color w:val="000000" w:themeColor="text1"/>
          <w:kern w:val="0"/>
          <w:sz w:val="24"/>
          <w:szCs w:val="24"/>
          <w14:textFill>
            <w14:solidFill>
              <w14:schemeClr w14:val="tx1"/>
            </w14:solidFill>
          </w14:textFill>
        </w:rPr>
        <w:t>按照</w:t>
      </w:r>
      <w:r>
        <w:rPr>
          <w:rFonts w:hint="eastAsia" w:ascii="Helvetica" w:hAnsi="Helvetica" w:eastAsia="宋体" w:cs="Helvetica"/>
          <w:b/>
          <w:color w:val="000000" w:themeColor="text1"/>
          <w:kern w:val="0"/>
          <w:sz w:val="24"/>
          <w:szCs w:val="24"/>
          <w14:textFill>
            <w14:solidFill>
              <w14:schemeClr w14:val="tx1"/>
            </w14:solidFill>
          </w14:textFill>
        </w:rPr>
        <w:t>无效投标处理</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line="360" w:lineRule="auto"/>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4"/>
        <w:spacing w:before="0" w:after="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86" w:name="_Toc494664997"/>
      <w:bookmarkStart w:id="87" w:name="_Toc494665550"/>
      <w:bookmarkStart w:id="88" w:name="_Toc494721097"/>
      <w:bookmarkStart w:id="89" w:name="_Toc494665947"/>
      <w:bookmarkStart w:id="90" w:name="_Toc494702267"/>
      <w:bookmarkStart w:id="91" w:name="_Toc494745314"/>
    </w:p>
    <w:p>
      <w:pPr>
        <w:pStyle w:val="4"/>
        <w:numPr>
          <w:ilvl w:val="0"/>
          <w:numId w:val="42"/>
        </w:numPr>
        <w:spacing w:before="0" w:after="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2" w:name="_Toc9874"/>
      <w:r>
        <w:rPr>
          <w:rFonts w:hint="eastAsia" w:cs="Times New Roman" w:asciiTheme="majorEastAsia" w:hAnsiTheme="majorEastAsia"/>
          <w:bCs w:val="0"/>
          <w:color w:val="000000" w:themeColor="text1"/>
          <w:sz w:val="44"/>
          <w:szCs w:val="44"/>
          <w:lang w:val="zh-CN"/>
          <w14:textFill>
            <w14:solidFill>
              <w14:schemeClr w14:val="tx1"/>
            </w14:solidFill>
          </w14:textFill>
        </w:rPr>
        <w:t>商务文件</w:t>
      </w:r>
      <w:bookmarkEnd w:id="86"/>
      <w:bookmarkEnd w:id="87"/>
      <w:bookmarkEnd w:id="88"/>
      <w:bookmarkEnd w:id="89"/>
      <w:bookmarkEnd w:id="90"/>
      <w:bookmarkEnd w:id="91"/>
      <w:bookmarkEnd w:id="92"/>
    </w:p>
    <w:p>
      <w:pPr>
        <w:spacing w:line="360" w:lineRule="auto"/>
        <w:rPr>
          <w:color w:val="000000" w:themeColor="text1"/>
          <w:lang w:val="zh-CN"/>
          <w14:textFill>
            <w14:solidFill>
              <w14:schemeClr w14:val="tx1"/>
            </w14:solidFill>
          </w14:textFill>
        </w:rPr>
      </w:pPr>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val="en-US" w:eastAsia="zh-CN"/>
          <w14:textFill>
            <w14:solidFill>
              <w14:schemeClr w14:val="tx1"/>
            </w14:solidFill>
          </w14:textFill>
        </w:rPr>
        <w:t>2022</w:t>
      </w:r>
      <w:r>
        <w:rPr>
          <w:rFonts w:hint="eastAsia" w:ascii="宋体" w:hAnsi="宋体"/>
          <w:b/>
          <w:color w:val="000000" w:themeColor="text1"/>
          <w:sz w:val="36"/>
          <w:szCs w:val="36"/>
          <w14:textFill>
            <w14:solidFill>
              <w14:schemeClr w14:val="tx1"/>
            </w14:solidFill>
          </w14:textFill>
        </w:rPr>
        <w:t xml:space="preserve"> 年 月</w:t>
      </w:r>
    </w:p>
    <w:p>
      <w:pPr>
        <w:spacing w:line="360" w:lineRule="auto"/>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br w:type="page"/>
      </w:r>
    </w:p>
    <w:p>
      <w:pPr>
        <w:spacing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line="360" w:lineRule="auto"/>
        <w:jc w:val="center"/>
        <w:rPr>
          <w:rFonts w:ascii="黑体" w:hAnsi="黑体" w:eastAsia="黑体" w:cs="Times New Roman"/>
          <w:b/>
          <w:color w:val="000000" w:themeColor="text1"/>
          <w:sz w:val="36"/>
          <w:szCs w:val="36"/>
          <w14:textFill>
            <w14:solidFill>
              <w14:schemeClr w14:val="tx1"/>
            </w14:solidFill>
          </w14:textFill>
        </w:rPr>
      </w:pPr>
      <w:bookmarkStart w:id="93" w:name="_Toc494665551"/>
      <w:bookmarkStart w:id="94" w:name="_Toc494721098"/>
      <w:bookmarkStart w:id="95" w:name="_Toc494702268"/>
      <w:bookmarkStart w:id="96" w:name="_Toc494745315"/>
      <w:bookmarkStart w:id="97" w:name="_Toc494665948"/>
      <w:bookmarkStart w:id="98" w:name="_Toc494664998"/>
      <w:r>
        <w:rPr>
          <w:rFonts w:hint="eastAsia" w:ascii="黑体" w:hAnsi="黑体" w:eastAsia="黑体" w:cs="Times New Roman"/>
          <w:b/>
          <w:color w:val="000000" w:themeColor="text1"/>
          <w:sz w:val="36"/>
          <w:szCs w:val="36"/>
          <w14:textFill>
            <w14:solidFill>
              <w14:schemeClr w14:val="tx1"/>
            </w14:solidFill>
          </w14:textFill>
        </w:rPr>
        <w:t>商务文件组成</w:t>
      </w:r>
      <w:bookmarkEnd w:id="93"/>
      <w:bookmarkEnd w:id="94"/>
      <w:bookmarkEnd w:id="95"/>
      <w:bookmarkEnd w:id="96"/>
      <w:bookmarkEnd w:id="97"/>
      <w:bookmarkEnd w:id="98"/>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43"/>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商务文件目录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43"/>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投标书（附件一）；</w:t>
      </w:r>
    </w:p>
    <w:p>
      <w:pPr>
        <w:numPr>
          <w:ilvl w:val="0"/>
          <w:numId w:val="43"/>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制造商中小企业声明函（附件二）；</w:t>
      </w:r>
    </w:p>
    <w:p>
      <w:pPr>
        <w:numPr>
          <w:ilvl w:val="0"/>
          <w:numId w:val="43"/>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中小企业声明函（附件三）；</w:t>
      </w:r>
    </w:p>
    <w:p>
      <w:pPr>
        <w:numPr>
          <w:ilvl w:val="0"/>
          <w:numId w:val="43"/>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残疾人福利性单位声明函（附件四）</w:t>
      </w:r>
      <w:r>
        <w:rPr>
          <w:rFonts w:hint="eastAsia" w:ascii="宋体" w:hAnsi="宋体" w:eastAsia="宋体" w:cs="Times New Roman"/>
          <w:color w:val="000000" w:themeColor="text1"/>
          <w:kern w:val="0"/>
          <w:sz w:val="24"/>
          <w:szCs w:val="32"/>
          <w:lang w:eastAsia="zh-CN"/>
          <w14:textFill>
            <w14:solidFill>
              <w14:schemeClr w14:val="tx1"/>
            </w14:solidFill>
          </w14:textFill>
        </w:rPr>
        <w:t>；</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开标一览表（附件五）；</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投标报价明细表（附件六）；</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小型和微型企业、监狱企业、残疾人福利性单位货物汇总表（附件七）；</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投标货物、服务清单（附件八）；</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法定代表人授权书（附件九）；</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关于不存在招标文件第二章“十一 其他注意事项”中规定禁止情形的书面声明；</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投标人的资格声明（附件十）；</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项目负责人、技术负责人简历表（附件十一）；</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项目班子成员情况表（附件十二）；</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投标人类似项目业绩表（附件十三）；</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招标文件要求提供或投标人认为需提供的其它资料；</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符合性审查对照表（附件十四）；</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商务要求响应、偏离说明表（附件十五）；</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商务要求“★”号条款响应、偏离说明表（附件十六）；</w:t>
      </w:r>
    </w:p>
    <w:p>
      <w:pPr>
        <w:numPr>
          <w:ilvl w:val="0"/>
          <w:numId w:val="43"/>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商务评议对照表（附件十七）；</w:t>
      </w:r>
    </w:p>
    <w:p>
      <w:pPr>
        <w:spacing w:line="360" w:lineRule="auto"/>
        <w:rPr>
          <w:rFonts w:eastAsia="宋体"/>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line="360" w:lineRule="auto"/>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4"/>
        <w:spacing w:before="0" w:after="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9" w:name="_Toc494702269"/>
      <w:bookmarkStart w:id="100" w:name="_Toc494745316"/>
      <w:bookmarkStart w:id="101" w:name="_Toc494665949"/>
      <w:bookmarkStart w:id="102" w:name="_Toc494664999"/>
      <w:bookmarkStart w:id="103" w:name="_Toc494665552"/>
      <w:bookmarkStart w:id="104" w:name="_Toc494721099"/>
    </w:p>
    <w:p>
      <w:pPr>
        <w:pStyle w:val="4"/>
        <w:spacing w:before="0" w:after="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spacing w:line="360" w:lineRule="auto"/>
        <w:rPr>
          <w:color w:val="000000" w:themeColor="text1"/>
          <w:lang w:val="zh-CN"/>
          <w14:textFill>
            <w14:solidFill>
              <w14:schemeClr w14:val="tx1"/>
            </w14:solidFill>
          </w14:textFill>
        </w:rPr>
      </w:pPr>
    </w:p>
    <w:p>
      <w:pPr>
        <w:pStyle w:val="4"/>
        <w:spacing w:before="0" w:after="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105" w:name="_Toc24917"/>
      <w:r>
        <w:rPr>
          <w:rFonts w:hint="eastAsia" w:cs="Times New Roman" w:asciiTheme="majorEastAsia" w:hAnsiTheme="majorEastAsia"/>
          <w:bCs w:val="0"/>
          <w:color w:val="000000" w:themeColor="text1"/>
          <w:sz w:val="44"/>
          <w:szCs w:val="44"/>
          <w:lang w:val="zh-CN"/>
          <w14:textFill>
            <w14:solidFill>
              <w14:schemeClr w14:val="tx1"/>
            </w14:solidFill>
          </w14:textFill>
        </w:rPr>
        <w:t>第三部分 技术、服务文件</w:t>
      </w:r>
      <w:bookmarkEnd w:id="99"/>
      <w:bookmarkEnd w:id="100"/>
      <w:bookmarkEnd w:id="101"/>
      <w:bookmarkEnd w:id="102"/>
      <w:bookmarkEnd w:id="103"/>
      <w:bookmarkEnd w:id="104"/>
      <w:bookmarkEnd w:id="105"/>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pStyle w:val="5"/>
        <w:spacing w:line="360" w:lineRule="auto"/>
        <w:rPr>
          <w:rFonts w:ascii="宋体" w:hAnsi="宋体" w:eastAsia="宋体" w:cs="Times New Roman"/>
          <w:color w:val="000000" w:themeColor="text1"/>
          <w:sz w:val="36"/>
          <w:szCs w:val="36"/>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val="en-US" w:eastAsia="zh-CN"/>
          <w14:textFill>
            <w14:solidFill>
              <w14:schemeClr w14:val="tx1"/>
            </w14:solidFill>
          </w14:textFill>
        </w:rPr>
        <w:t>2022</w:t>
      </w:r>
      <w:r>
        <w:rPr>
          <w:rFonts w:hint="eastAsia" w:ascii="宋体" w:hAnsi="宋体"/>
          <w:b/>
          <w:color w:val="000000" w:themeColor="text1"/>
          <w:sz w:val="36"/>
          <w:szCs w:val="36"/>
          <w14:textFill>
            <w14:solidFill>
              <w14:schemeClr w14:val="tx1"/>
            </w14:solidFill>
          </w14:textFill>
        </w:rPr>
        <w:t>年 月</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line="360" w:lineRule="auto"/>
        <w:jc w:val="center"/>
        <w:rPr>
          <w:rFonts w:ascii="黑体" w:hAnsi="黑体" w:eastAsia="黑体" w:cs="Times New Roman"/>
          <w:b/>
          <w:color w:val="000000" w:themeColor="text1"/>
          <w:sz w:val="36"/>
          <w:szCs w:val="36"/>
          <w14:textFill>
            <w14:solidFill>
              <w14:schemeClr w14:val="tx1"/>
            </w14:solidFill>
          </w14:textFill>
        </w:rPr>
      </w:pPr>
      <w:bookmarkStart w:id="106" w:name="_Toc494745317"/>
      <w:bookmarkStart w:id="107" w:name="_Toc494665000"/>
      <w:bookmarkStart w:id="108" w:name="_Toc494665950"/>
      <w:bookmarkStart w:id="109" w:name="_Toc494702270"/>
      <w:bookmarkStart w:id="110" w:name="_Toc494665553"/>
      <w:bookmarkStart w:id="111" w:name="_Toc494721100"/>
      <w:r>
        <w:rPr>
          <w:rFonts w:hint="eastAsia" w:ascii="黑体" w:hAnsi="黑体" w:eastAsia="黑体" w:cs="Times New Roman"/>
          <w:b/>
          <w:bCs/>
          <w:color w:val="000000" w:themeColor="text1"/>
          <w:sz w:val="36"/>
          <w:szCs w:val="36"/>
          <w:lang w:val="zh-CN"/>
          <w14:textFill>
            <w14:solidFill>
              <w14:schemeClr w14:val="tx1"/>
            </w14:solidFill>
          </w14:textFill>
        </w:rPr>
        <w:t>技术</w:t>
      </w:r>
      <w:r>
        <w:rPr>
          <w:rFonts w:hint="eastAsia" w:ascii="黑体" w:hAnsi="黑体" w:eastAsia="黑体" w:cs="Times New Roman"/>
          <w:b/>
          <w:color w:val="000000" w:themeColor="text1"/>
          <w:sz w:val="36"/>
          <w:szCs w:val="36"/>
          <w14:textFill>
            <w14:solidFill>
              <w14:schemeClr w14:val="tx1"/>
            </w14:solidFill>
          </w14:textFill>
        </w:rPr>
        <w:t>、服务文件组成</w:t>
      </w:r>
      <w:bookmarkEnd w:id="106"/>
      <w:bookmarkEnd w:id="107"/>
      <w:bookmarkEnd w:id="108"/>
      <w:bookmarkEnd w:id="109"/>
      <w:bookmarkEnd w:id="110"/>
      <w:bookmarkEnd w:id="111"/>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44"/>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44"/>
        </w:numPr>
        <w:autoSpaceDE w:val="0"/>
        <w:autoSpaceDN w:val="0"/>
        <w:adjustRightInd w:val="0"/>
        <w:spacing w:line="360" w:lineRule="auto"/>
        <w:ind w:left="488" w:hanging="369"/>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投标货物（工程或服务）介绍，项目建设（服务）方案；</w:t>
      </w:r>
    </w:p>
    <w:p>
      <w:pPr>
        <w:numPr>
          <w:ilvl w:val="0"/>
          <w:numId w:val="44"/>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技术、服务要求响应、偏离说明表（附件十九）；</w:t>
      </w:r>
    </w:p>
    <w:p>
      <w:pPr>
        <w:numPr>
          <w:ilvl w:val="0"/>
          <w:numId w:val="44"/>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技术、服务要求“★”号条款响应、偏离说明表（附件二十）；</w:t>
      </w:r>
    </w:p>
    <w:p>
      <w:pPr>
        <w:numPr>
          <w:ilvl w:val="0"/>
          <w:numId w:val="44"/>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技术、服务评议对照表（附件二十一）；</w:t>
      </w:r>
    </w:p>
    <w:p>
      <w:pPr>
        <w:numPr>
          <w:ilvl w:val="0"/>
          <w:numId w:val="44"/>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12" w:name="_Toc494745318"/>
      <w:bookmarkStart w:id="113" w:name="_Toc494721101"/>
      <w:bookmarkStart w:id="114" w:name="_Toc236473298"/>
      <w:bookmarkStart w:id="115" w:name="_Toc238276242"/>
      <w:bookmarkStart w:id="116" w:name="_Toc494665554"/>
      <w:bookmarkStart w:id="117" w:name="_Toc22515"/>
      <w:bookmarkStart w:id="118" w:name="_Toc494702271"/>
      <w:bookmarkStart w:id="119" w:name="_Toc494665951"/>
      <w:bookmarkStart w:id="120" w:name="_Toc494665001"/>
      <w:r>
        <w:rPr>
          <w:rFonts w:hint="eastAsia" w:ascii="宋体" w:hAnsi="宋体" w:eastAsia="宋体"/>
          <w:color w:val="000000" w:themeColor="text1"/>
          <w14:textFill>
            <w14:solidFill>
              <w14:schemeClr w14:val="tx1"/>
            </w14:solidFill>
          </w14:textFill>
        </w:rPr>
        <w:t>投标书</w:t>
      </w:r>
      <w:bookmarkEnd w:id="112"/>
      <w:bookmarkEnd w:id="113"/>
      <w:bookmarkEnd w:id="114"/>
      <w:bookmarkEnd w:id="115"/>
      <w:bookmarkEnd w:id="116"/>
      <w:bookmarkEnd w:id="117"/>
      <w:bookmarkEnd w:id="118"/>
      <w:bookmarkEnd w:id="119"/>
      <w:bookmarkEnd w:id="120"/>
    </w:p>
    <w:p>
      <w:pPr>
        <w:spacing w:line="360" w:lineRule="auto"/>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采购人（或采购代理公司）：</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依据贵方___</w:t>
      </w:r>
      <w:r>
        <w:rPr>
          <w:rFonts w:hint="eastAsia" w:asciiTheme="minorEastAsia" w:hAnsiTheme="minorEastAsia"/>
          <w:color w:val="000000" w:themeColor="text1"/>
          <w:sz w:val="24"/>
          <w:szCs w:val="24"/>
          <w:u w:val="single"/>
          <w14:textFill>
            <w14:solidFill>
              <w14:schemeClr w14:val="tx1"/>
            </w14:solidFill>
          </w14:textFill>
        </w:rPr>
        <w:t xml:space="preserve">  _</w:t>
      </w:r>
      <w:r>
        <w:rPr>
          <w:rFonts w:hint="eastAsia" w:asciiTheme="minorEastAsia" w:hAnsiTheme="minorEastAsia"/>
          <w:color w:val="000000" w:themeColor="text1"/>
          <w:sz w:val="24"/>
          <w:szCs w:val="24"/>
          <w14:textFill>
            <w14:solidFill>
              <w14:schemeClr w14:val="tx1"/>
            </w14:solidFill>
          </w14:textFill>
        </w:rPr>
        <w:t>项目（项目编号：_____）招标的投标邀请，我方代表</w:t>
      </w:r>
      <w:r>
        <w:rPr>
          <w:rFonts w:hint="eastAsia" w:asciiTheme="minorEastAsia" w:hAnsiTheme="minorEastAsia"/>
          <w:color w:val="000000" w:themeColor="text1"/>
          <w:sz w:val="24"/>
          <w:szCs w:val="24"/>
          <w:u w:val="single"/>
          <w14:textFill>
            <w14:solidFill>
              <w14:schemeClr w14:val="tx1"/>
            </w14:solidFill>
          </w14:textFill>
        </w:rPr>
        <w:t>（姓名、职务）</w:t>
      </w:r>
      <w:r>
        <w:rPr>
          <w:rFonts w:hint="eastAsia" w:asciiTheme="minorEastAsia" w:hAnsiTheme="minorEastAsia"/>
          <w:color w:val="000000" w:themeColor="text1"/>
          <w:sz w:val="24"/>
          <w:szCs w:val="24"/>
          <w14:textFill>
            <w14:solidFill>
              <w14:schemeClr w14:val="tx1"/>
            </w14:solidFill>
          </w14:textFill>
        </w:rPr>
        <w:t>经正式授权并代表投标人</w:t>
      </w:r>
      <w:r>
        <w:rPr>
          <w:rFonts w:hint="eastAsia" w:asciiTheme="minorEastAsia" w:hAnsiTheme="minorEastAsia"/>
          <w:color w:val="000000" w:themeColor="text1"/>
          <w:sz w:val="24"/>
          <w:szCs w:val="24"/>
          <w:u w:val="single"/>
          <w14:textFill>
            <w14:solidFill>
              <w14:schemeClr w14:val="tx1"/>
            </w14:solidFill>
          </w14:textFill>
        </w:rPr>
        <w:t>（投标人全称 ）</w:t>
      </w:r>
      <w:r>
        <w:rPr>
          <w:rFonts w:hint="eastAsia" w:asciiTheme="minorEastAsia" w:hAnsiTheme="minorEastAsia"/>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1.资格证明文件； </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2.商务文件；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3.技术、服务文件。</w:t>
      </w:r>
    </w:p>
    <w:p>
      <w:pPr>
        <w:spacing w:line="360" w:lineRule="auto"/>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1．《开标一览表》中规定的应提交和交付的</w:t>
      </w:r>
      <w:r>
        <w:rPr>
          <w:rFonts w:hint="eastAsia" w:asciiTheme="minorEastAsia" w:hAnsiTheme="minorEastAsia"/>
          <w:color w:val="000000" w:themeColor="text1"/>
          <w:sz w:val="24"/>
          <w:szCs w:val="24"/>
          <w:u w:val="single"/>
          <w14:textFill>
            <w14:solidFill>
              <w14:schemeClr w14:val="tx1"/>
            </w14:solidFill>
          </w14:textFill>
        </w:rPr>
        <w:t xml:space="preserve">  （包号）  </w:t>
      </w:r>
      <w:r>
        <w:rPr>
          <w:rFonts w:hint="eastAsia" w:asciiTheme="minorEastAsia" w:hAnsiTheme="minorEastAsia"/>
          <w:color w:val="000000" w:themeColor="text1"/>
          <w:sz w:val="24"/>
          <w:szCs w:val="24"/>
          <w14:textFill>
            <w14:solidFill>
              <w14:schemeClr w14:val="tx1"/>
            </w14:solidFill>
          </w14:textFill>
        </w:rPr>
        <w:t>货物（工程或服务）投标总价为</w:t>
      </w:r>
      <w:r>
        <w:rPr>
          <w:rFonts w:hint="eastAsia" w:asciiTheme="minorEastAsia" w:hAnsiTheme="minorEastAsia"/>
          <w:color w:val="000000" w:themeColor="text1"/>
          <w:sz w:val="24"/>
          <w:szCs w:val="24"/>
          <w:u w:val="single"/>
          <w14:textFill>
            <w14:solidFill>
              <w14:schemeClr w14:val="tx1"/>
            </w14:solidFill>
          </w14:textFill>
        </w:rPr>
        <w:t>（注明币种，并用大写和小写表述投标总价）</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2．按招标文件的约定履行合同责任和义务；</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3．已详细审查全部招标文件，包括</w:t>
      </w:r>
      <w:r>
        <w:rPr>
          <w:rFonts w:hint="eastAsia" w:asciiTheme="minorEastAsia" w:hAnsiTheme="minorEastAsia"/>
          <w:color w:val="000000" w:themeColor="text1"/>
          <w:sz w:val="24"/>
          <w:szCs w:val="24"/>
          <w:u w:val="single"/>
          <w14:textFill>
            <w14:solidFill>
              <w14:schemeClr w14:val="tx1"/>
            </w14:solidFill>
          </w14:textFill>
        </w:rPr>
        <w:t>（修正或补充文件）（如果有的话）</w:t>
      </w:r>
      <w:r>
        <w:rPr>
          <w:rFonts w:hint="eastAsia" w:asciiTheme="minorEastAsia" w:hAnsiTheme="minorEastAsia"/>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4．投标有效期为自</w:t>
      </w:r>
      <w:r>
        <w:rPr>
          <w:rFonts w:hint="eastAsia" w:ascii="宋体" w:hAnsi="宋体"/>
          <w:color w:val="000000" w:themeColor="text1"/>
          <w:kern w:val="0"/>
          <w:sz w:val="24"/>
          <w14:textFill>
            <w14:solidFill>
              <w14:schemeClr w14:val="tx1"/>
            </w14:solidFill>
          </w14:textFill>
        </w:rPr>
        <w:t>递交投标文件截止之日</w:t>
      </w:r>
      <w:r>
        <w:rPr>
          <w:rFonts w:hint="eastAsia" w:asciiTheme="minorEastAsia" w:hAnsiTheme="minorEastAsia"/>
          <w:color w:val="000000" w:themeColor="text1"/>
          <w:sz w:val="24"/>
          <w:szCs w:val="24"/>
          <w14:textFill>
            <w14:solidFill>
              <w14:schemeClr w14:val="tx1"/>
            </w14:solidFill>
          </w14:textFill>
        </w:rPr>
        <w:t>起，共个</w:t>
      </w:r>
      <w:r>
        <w:rPr>
          <w:rFonts w:hint="eastAsia" w:asciiTheme="minorEastAsia" w:hAnsiTheme="minorEastAsia"/>
          <w:color w:val="000000" w:themeColor="text1"/>
          <w:sz w:val="24"/>
          <w:szCs w:val="24"/>
          <w:lang w:val="en-US" w:eastAsia="zh-CN"/>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日历日；</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5．接受招标文件关于不予退还投标保证金的约定；</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6．提供按照贵方可能要求的与投标有关的一切数据或资料；</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7．与投标有关的一切正式往来信函请寄：。</w:t>
      </w:r>
    </w:p>
    <w:p>
      <w:pPr>
        <w:autoSpaceDE w:val="0"/>
        <w:autoSpaceDN w:val="0"/>
        <w:adjustRightInd w:val="0"/>
        <w:spacing w:line="360" w:lineRule="auto"/>
        <w:ind w:right="246" w:firstLine="480" w:firstLineChars="200"/>
        <w:rPr>
          <w:rFonts w:ascii="宋体" w:hAnsi="宋体" w:eastAsia="宋体" w:cs="Times New Roman"/>
          <w:color w:val="000000" w:themeColor="text1"/>
          <w:kern w:val="0"/>
          <w:sz w:val="24"/>
          <w:szCs w:val="24"/>
          <w14:textFill>
            <w14:solidFill>
              <w14:schemeClr w14:val="tx1"/>
            </w14:solidFill>
          </w14:textFill>
        </w:rPr>
      </w:pP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  址：</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电话/传真：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电子邮件：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投标人(公章)：</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    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开户银行：</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帐号/行号：</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21" w:name="_Toc14680"/>
      <w:bookmarkStart w:id="122" w:name="_Toc494745319"/>
      <w:bookmarkStart w:id="123" w:name="_Toc494665952"/>
      <w:bookmarkStart w:id="124" w:name="_Toc494721102"/>
      <w:bookmarkStart w:id="125" w:name="_Toc494665555"/>
      <w:bookmarkStart w:id="126" w:name="_Toc494665002"/>
      <w:bookmarkStart w:id="127" w:name="_Toc494702272"/>
      <w:r>
        <w:rPr>
          <w:rFonts w:hint="eastAsia" w:ascii="宋体" w:hAnsi="宋体" w:eastAsia="宋体"/>
          <w:color w:val="000000" w:themeColor="text1"/>
          <w14:textFill>
            <w14:solidFill>
              <w14:schemeClr w14:val="tx1"/>
            </w14:solidFill>
          </w14:textFill>
        </w:rPr>
        <w:t>制造商中小企业声明函</w:t>
      </w:r>
      <w:bookmarkEnd w:id="121"/>
      <w:bookmarkEnd w:id="122"/>
      <w:bookmarkEnd w:id="123"/>
      <w:bookmarkEnd w:id="124"/>
      <w:bookmarkEnd w:id="125"/>
      <w:bookmarkEnd w:id="126"/>
      <w:bookmarkEnd w:id="127"/>
    </w:p>
    <w:p>
      <w:pPr>
        <w:adjustRightInd w:val="0"/>
        <w:snapToGrid w:val="0"/>
        <w:spacing w:line="360" w:lineRule="auto"/>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制造商中小企业声明函</w:t>
      </w:r>
    </w:p>
    <w:p>
      <w:pPr>
        <w:adjustRightInd w:val="0"/>
        <w:snapToGrid w:val="0"/>
        <w:spacing w:line="360" w:lineRule="auto"/>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2.本公司授权</w:t>
      </w: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  </w:t>
      </w:r>
      <w:r>
        <w:rPr>
          <w:rFonts w:hint="eastAsia" w:ascii="宋体" w:hAnsi="宋体" w:eastAsia="宋体" w:cs="Times New Roman"/>
          <w:color w:val="000000" w:themeColor="text1"/>
          <w:sz w:val="24"/>
          <w:szCs w:val="21"/>
          <w:lang w:val="zh-CN"/>
          <w14:textFill>
            <w14:solidFill>
              <w14:schemeClr w14:val="tx1"/>
            </w14:solidFill>
          </w14:textFill>
        </w:rPr>
        <w:t>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_（采购人）_</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lang w:val="zh-CN"/>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.由本公司制造的货物清单见下表：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6"/>
              </w:numPr>
              <w:tabs>
                <w:tab w:val="left" w:pos="82"/>
              </w:tabs>
              <w:adjustRightInd w:val="0"/>
              <w:snapToGrid w:val="0"/>
              <w:spacing w:line="360" w:lineRule="auto"/>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360" w:lineRule="auto"/>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6"/>
              </w:numPr>
              <w:tabs>
                <w:tab w:val="left" w:pos="82"/>
              </w:tabs>
              <w:adjustRightInd w:val="0"/>
              <w:snapToGrid w:val="0"/>
              <w:spacing w:line="360" w:lineRule="auto"/>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14"/>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14"/>
        <w:spacing w:line="360" w:lineRule="auto"/>
        <w:ind w:left="958" w:leftChars="342" w:hanging="240" w:hangingChars="1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2、组成联合体的大中型企业和其他自然人、法人或者其他组织，与小型、微型企业之间不得存在投资关系。</w:t>
      </w:r>
    </w:p>
    <w:p>
      <w:pPr>
        <w:pStyle w:val="14"/>
        <w:spacing w:line="360" w:lineRule="auto"/>
        <w:ind w:left="958" w:leftChars="342" w:hanging="240" w:hangingChars="100"/>
        <w:jc w:val="left"/>
        <w:rPr>
          <w:rFonts w:hAnsi="宋体" w:eastAsia="宋体" w:cs="Times New Roman"/>
          <w:bCs/>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3、如以联合体方式参与本项目投标的供应商，则应由联合体双方签字盖章。</w:t>
      </w:r>
    </w:p>
    <w:p>
      <w:pPr>
        <w:spacing w:line="360" w:lineRule="auto"/>
        <w:ind w:firstLine="3316" w:firstLineChars="1382"/>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制造商（公章）：</w:t>
      </w:r>
    </w:p>
    <w:p>
      <w:pPr>
        <w:spacing w:line="360" w:lineRule="auto"/>
        <w:ind w:firstLine="3316" w:firstLineChars="1382"/>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制造商法定代表人（签字或盖章）：</w:t>
      </w:r>
    </w:p>
    <w:p>
      <w:pPr>
        <w:spacing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日  期：</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28" w:name="_Toc494665953"/>
      <w:bookmarkStart w:id="129" w:name="_Toc22428"/>
      <w:bookmarkStart w:id="130" w:name="_Toc456264006"/>
      <w:bookmarkStart w:id="131" w:name="_Toc494665003"/>
      <w:bookmarkStart w:id="132" w:name="_Toc494745320"/>
      <w:bookmarkStart w:id="133" w:name="_Toc494702273"/>
      <w:bookmarkStart w:id="134" w:name="_Toc494721103"/>
      <w:bookmarkStart w:id="135" w:name="_Toc494665556"/>
      <w:r>
        <w:rPr>
          <w:rFonts w:hint="eastAsia" w:ascii="宋体" w:hAnsi="宋体" w:eastAsia="宋体"/>
          <w:color w:val="000000" w:themeColor="text1"/>
          <w14:textFill>
            <w14:solidFill>
              <w14:schemeClr w14:val="tx1"/>
            </w14:solidFill>
          </w14:textFill>
        </w:rPr>
        <w:t>中小企业声明函</w:t>
      </w:r>
      <w:bookmarkEnd w:id="128"/>
      <w:bookmarkEnd w:id="129"/>
      <w:bookmarkEnd w:id="130"/>
      <w:bookmarkEnd w:id="131"/>
      <w:bookmarkEnd w:id="132"/>
      <w:bookmarkEnd w:id="133"/>
      <w:bookmarkEnd w:id="134"/>
      <w:bookmarkEnd w:id="135"/>
    </w:p>
    <w:p>
      <w:pPr>
        <w:adjustRightInd w:val="0"/>
        <w:snapToGrid w:val="0"/>
        <w:spacing w:line="360" w:lineRule="auto"/>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中小企业声明函</w:t>
      </w:r>
    </w:p>
    <w:p>
      <w:pPr>
        <w:adjustRightInd w:val="0"/>
        <w:snapToGrid w:val="0"/>
        <w:spacing w:line="360" w:lineRule="auto"/>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3316" w:firstLineChars="1382"/>
        <w:rPr>
          <w:rFonts w:ascii="宋体" w:hAnsi="宋体" w:eastAsia="宋体" w:cs="Times New Roman"/>
          <w:color w:val="000000" w:themeColor="text1"/>
          <w:sz w:val="24"/>
          <w:szCs w:val="21"/>
          <w:u w:val="single"/>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投标人（公章）：</w:t>
      </w:r>
    </w:p>
    <w:p>
      <w:pPr>
        <w:spacing w:line="360" w:lineRule="auto"/>
        <w:ind w:firstLine="3316" w:firstLineChars="1382"/>
        <w:rPr>
          <w:rFonts w:ascii="宋体" w:hAnsi="宋体" w:eastAsia="宋体" w:cs="Times New Roman"/>
          <w:color w:val="000000" w:themeColor="text1"/>
          <w:sz w:val="24"/>
          <w:szCs w:val="21"/>
          <w:u w:val="single"/>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投标时间：</w:t>
      </w:r>
    </w:p>
    <w:p>
      <w:pPr>
        <w:spacing w:line="360" w:lineRule="auto"/>
        <w:rPr>
          <w:color w:val="000000" w:themeColor="text1"/>
          <w14:textFill>
            <w14:solidFill>
              <w14:schemeClr w14:val="tx1"/>
            </w14:solidFill>
          </w14:textFill>
        </w:rPr>
        <w:sectPr>
          <w:footerReference r:id="rId5" w:type="default"/>
          <w:pgSz w:w="11906" w:h="16838"/>
          <w:pgMar w:top="1134" w:right="1417" w:bottom="1134" w:left="1417" w:header="851" w:footer="624" w:gutter="0"/>
          <w:pgNumType w:start="1"/>
          <w:cols w:space="0" w:num="1"/>
          <w:docGrid w:type="linesAndChars" w:linePitch="312" w:charSpace="0"/>
        </w:sectPr>
      </w:pPr>
    </w:p>
    <w:p>
      <w:pPr>
        <w:spacing w:line="360" w:lineRule="auto"/>
        <w:ind w:left="-48" w:leftChars="-23" w:right="-65" w:rightChars="-31"/>
        <w:jc w:val="center"/>
        <w:rPr>
          <w:rFonts w:ascii="宋体" w:hAnsi="宋体" w:eastAsia="宋体" w:cs="Times New Roman"/>
          <w:b/>
          <w:color w:val="000000" w:themeColor="text1"/>
          <w:sz w:val="30"/>
          <w:szCs w:val="30"/>
          <w:lang w:val="zh-CN"/>
          <w14:textFill>
            <w14:solidFill>
              <w14:schemeClr w14:val="tx1"/>
            </w14:solidFill>
          </w14:textFill>
        </w:rPr>
      </w:pPr>
      <w:bookmarkStart w:id="136" w:name="_Toc476153619"/>
      <w:r>
        <w:rPr>
          <w:rFonts w:hint="eastAsia" w:ascii="宋体" w:hAnsi="宋体" w:eastAsia="宋体" w:cs="Times New Roman"/>
          <w:b/>
          <w:color w:val="000000" w:themeColor="text1"/>
          <w:sz w:val="30"/>
          <w:szCs w:val="30"/>
          <w:lang w:val="zh-CN"/>
          <w14:textFill>
            <w14:solidFill>
              <w14:schemeClr w14:val="tx1"/>
            </w14:solidFill>
          </w14:textFill>
        </w:rPr>
        <w:t>中小企业划型标准</w:t>
      </w:r>
      <w:bookmarkEnd w:id="136"/>
    </w:p>
    <w:tbl>
      <w:tblPr>
        <w:tblStyle w:val="23"/>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shd w:val="clear" w:color="auto" w:fill="auto"/>
            <w:vAlign w:val="center"/>
          </w:tcPr>
          <w:p>
            <w:pPr>
              <w:spacing w:line="360" w:lineRule="auto"/>
              <w:ind w:left="-48" w:leftChars="-23" w:right="-65" w:rightChars="-31"/>
              <w:jc w:val="left"/>
              <w:rPr>
                <w:rFonts w:ascii="宋体" w:hAnsi="宋体" w:eastAsia="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2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41"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4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9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61" w:type="dxa"/>
            <w:tcBorders>
              <w:top w:val="nil"/>
              <w:left w:val="nil"/>
              <w:bottom w:val="single" w:color="auto" w:sz="4" w:space="0"/>
              <w:right w:val="single" w:color="auto" w:sz="4" w:space="0"/>
            </w:tcBorders>
            <w:shd w:val="clear" w:color="auto" w:fill="auto"/>
            <w:vAlign w:val="center"/>
          </w:tcPr>
          <w:p>
            <w:pPr>
              <w:spacing w:line="360" w:lineRule="auto"/>
              <w:ind w:left="119" w:leftChars="-23" w:right="-65" w:rightChars="-31" w:hanging="167" w:hangingChars="79"/>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1004"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88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851"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360" w:lineRule="auto"/>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16</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bl>
    <w:p>
      <w:pPr>
        <w:spacing w:line="360" w:lineRule="auto"/>
        <w:rPr>
          <w:color w:val="000000" w:themeColor="text1"/>
          <w14:textFill>
            <w14:solidFill>
              <w14:schemeClr w14:val="tx1"/>
            </w14:solidFill>
          </w14:textFill>
        </w:rPr>
        <w:sectPr>
          <w:pgSz w:w="16838" w:h="11906" w:orient="landscape"/>
          <w:pgMar w:top="1191" w:right="1134" w:bottom="1191" w:left="1134" w:header="851" w:footer="851" w:gutter="0"/>
          <w:cols w:space="425" w:num="1"/>
          <w:docGrid w:type="lines" w:linePitch="312" w:charSpace="0"/>
        </w:sectPr>
      </w:pPr>
      <w:r>
        <w:rPr>
          <w:color w:val="000000" w:themeColor="text1"/>
          <w14:textFill>
            <w14:solidFill>
              <w14:schemeClr w14:val="tx1"/>
            </w14:solidFill>
          </w14:textFill>
        </w:rPr>
        <w:br w:type="page"/>
      </w: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37" w:name="_Toc494721104"/>
      <w:bookmarkStart w:id="138" w:name="_Toc494665004"/>
      <w:bookmarkStart w:id="139" w:name="_Toc494665557"/>
      <w:bookmarkStart w:id="140" w:name="_Toc494702274"/>
      <w:bookmarkStart w:id="141" w:name="_Toc494665954"/>
      <w:bookmarkStart w:id="142" w:name="_Toc494745321"/>
      <w:bookmarkStart w:id="143" w:name="_Toc16103"/>
      <w:r>
        <w:rPr>
          <w:rFonts w:hint="eastAsia" w:ascii="宋体" w:hAnsi="宋体" w:eastAsia="宋体"/>
          <w:color w:val="000000" w:themeColor="text1"/>
          <w14:textFill>
            <w14:solidFill>
              <w14:schemeClr w14:val="tx1"/>
            </w14:solidFill>
          </w14:textFill>
        </w:rPr>
        <w:t>残疾人福利性单位声明函</w:t>
      </w:r>
      <w:bookmarkEnd w:id="137"/>
      <w:bookmarkEnd w:id="138"/>
      <w:bookmarkEnd w:id="139"/>
      <w:bookmarkEnd w:id="140"/>
      <w:bookmarkEnd w:id="141"/>
      <w:bookmarkEnd w:id="142"/>
      <w:bookmarkEnd w:id="143"/>
    </w:p>
    <w:p>
      <w:pPr>
        <w:adjustRightInd w:val="0"/>
        <w:snapToGrid w:val="0"/>
        <w:spacing w:line="360" w:lineRule="auto"/>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line="360" w:lineRule="auto"/>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Cs/>
          <w:color w:val="000000" w:themeColor="text1"/>
          <w:sz w:val="24"/>
          <w:szCs w:val="24"/>
          <w14:textFill>
            <w14:solidFill>
              <w14:schemeClr w14:val="tx1"/>
            </w14:solidFill>
          </w14:textFill>
        </w:rPr>
        <w:t>采购人（或采购代理公司）</w:t>
      </w:r>
      <w:r>
        <w:rPr>
          <w:rFonts w:hint="eastAsia"/>
          <w:bCs/>
          <w:color w:val="000000" w:themeColor="text1"/>
          <w:sz w:val="28"/>
          <w:szCs w:val="28"/>
          <w14:textFill>
            <w14:solidFill>
              <w14:schemeClr w14:val="tx1"/>
            </w14:solidFill>
          </w14:textFill>
        </w:rPr>
        <w:t>：</w:t>
      </w:r>
    </w:p>
    <w:p>
      <w:pPr>
        <w:pStyle w:val="14"/>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1.本单位授权</w:t>
      </w:r>
      <w:r>
        <w:rPr>
          <w:rFonts w:hint="eastAsia" w:hAnsi="宋体"/>
          <w:color w:val="000000" w:themeColor="text1"/>
          <w:sz w:val="24"/>
          <w:u w:val="single"/>
          <w14:textFill>
            <w14:solidFill>
              <w14:schemeClr w14:val="tx1"/>
            </w14:solidFill>
          </w14:textFill>
        </w:rPr>
        <w:t xml:space="preserve"> （投标人） </w:t>
      </w:r>
      <w:r>
        <w:rPr>
          <w:rFonts w:hint="eastAsia" w:hAnsi="宋体"/>
          <w:color w:val="000000" w:themeColor="text1"/>
          <w:sz w:val="24"/>
          <w14:textFill>
            <w14:solidFill>
              <w14:schemeClr w14:val="tx1"/>
            </w14:solidFill>
          </w14:textFill>
        </w:rPr>
        <w:t>参加_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的__</w:t>
      </w:r>
      <w:r>
        <w:rPr>
          <w:rFonts w:hint="eastAsia"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2</w:t>
      </w:r>
      <w:r>
        <w:rPr>
          <w:rFonts w:hint="eastAsia" w:ascii="宋体" w:hAnsi="宋体"/>
          <w:bCs/>
          <w:color w:val="000000" w:themeColor="text1"/>
          <w:sz w:val="24"/>
          <w14:textFill>
            <w14:solidFill>
              <w14:schemeClr w14:val="tx1"/>
            </w14:solidFill>
          </w14:textFill>
        </w:rPr>
        <w:t>.由本单位制造的货物清单见下表：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7"/>
              </w:numPr>
              <w:tabs>
                <w:tab w:val="left" w:pos="82"/>
              </w:tabs>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360" w:lineRule="auto"/>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7"/>
              </w:numPr>
              <w:tabs>
                <w:tab w:val="left" w:pos="82"/>
              </w:tabs>
              <w:adjustRightInd w:val="0"/>
              <w:snapToGrid w:val="0"/>
              <w:spacing w:line="360" w:lineRule="auto"/>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14"/>
        <w:spacing w:line="360" w:lineRule="auto"/>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14"/>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2、组成联合体的大中型企业和其他自然人、法人或者其他组织，与残疾人福利性单位之间不得存在投资关系。</w:t>
      </w:r>
    </w:p>
    <w:p>
      <w:pPr>
        <w:pStyle w:val="14"/>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3、以联合体方式参与本项目投标的供应商，应由联合体双方签字盖章。</w:t>
      </w:r>
    </w:p>
    <w:p>
      <w:pPr>
        <w:spacing w:line="360" w:lineRule="auto"/>
        <w:rPr>
          <w:rFonts w:ascii="宋体" w:hAnsi="宋体"/>
          <w:color w:val="000000" w:themeColor="text1"/>
          <w:sz w:val="24"/>
          <w14:textFill>
            <w14:solidFill>
              <w14:schemeClr w14:val="tx1"/>
            </w14:solidFill>
          </w14:textFill>
        </w:rPr>
      </w:pPr>
    </w:p>
    <w:p>
      <w:pPr>
        <w:spacing w:line="360" w:lineRule="auto"/>
        <w:ind w:firstLine="3316" w:firstLineChars="1382"/>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制造商（公章）：</w:t>
      </w:r>
    </w:p>
    <w:p>
      <w:pPr>
        <w:spacing w:line="360" w:lineRule="auto"/>
        <w:ind w:firstLine="3316" w:firstLineChars="1382"/>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制造商法定代表人（签字或盖章）：</w:t>
      </w:r>
    </w:p>
    <w:p>
      <w:pPr>
        <w:spacing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日  期：</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60" w:lineRule="auto"/>
        <w:jc w:val="center"/>
        <w:rPr>
          <w:rFonts w:ascii="宋体" w:hAnsi="宋体" w:eastAsia="宋体" w:cs="Times New Roman"/>
          <w:b/>
          <w:color w:val="000000" w:themeColor="text1"/>
          <w:sz w:val="30"/>
          <w:szCs w:val="30"/>
          <w:lang w:val="zh-CN"/>
          <w14:textFill>
            <w14:solidFill>
              <w14:schemeClr w14:val="tx1"/>
            </w14:solidFill>
          </w14:textFill>
        </w:rPr>
      </w:pPr>
    </w:p>
    <w:p>
      <w:pPr>
        <w:adjustRightInd w:val="0"/>
        <w:snapToGrid w:val="0"/>
        <w:spacing w:line="360" w:lineRule="auto"/>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line="360" w:lineRule="auto"/>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Cs/>
          <w:color w:val="000000" w:themeColor="text1"/>
          <w:sz w:val="28"/>
          <w:szCs w:val="28"/>
          <w14:textFill>
            <w14:solidFill>
              <w14:schemeClr w14:val="tx1"/>
            </w14:solidFill>
          </w14:textFill>
        </w:rPr>
      </w:pPr>
      <w:r>
        <w:rPr>
          <w:rFonts w:hint="eastAsia"/>
          <w:bCs/>
          <w:color w:val="000000" w:themeColor="text1"/>
          <w:sz w:val="24"/>
          <w:szCs w:val="24"/>
          <w14:textFill>
            <w14:solidFill>
              <w14:schemeClr w14:val="tx1"/>
            </w14:solidFill>
          </w14:textFill>
        </w:rPr>
        <w:t>采购人（或采购代理公司）：</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eastAsia="宋体" w:cs="Times New Roman"/>
          <w:color w:val="000000" w:themeColor="text1"/>
          <w:sz w:val="24"/>
          <w:szCs w:val="24"/>
          <w14:textFill>
            <w14:solidFill>
              <w14:schemeClr w14:val="tx1"/>
            </w14:solidFill>
          </w14:textFill>
        </w:rPr>
        <w:t>，且本单位参加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Times New Roman" w:hAnsi="宋体" w:eastAsia="宋体" w:cs="Times New Roman"/>
          <w:color w:val="000000" w:themeColor="text1"/>
          <w:sz w:val="24"/>
          <w:szCs w:val="24"/>
          <w:u w:val="single"/>
          <w14:textFill>
            <w14:solidFill>
              <w14:schemeClr w14:val="tx1"/>
            </w14:solidFill>
          </w14:textFill>
        </w:rPr>
        <w:t>采购</w:t>
      </w:r>
      <w:r>
        <w:rPr>
          <w:rFonts w:hint="eastAsia" w:ascii="宋体" w:hAnsi="宋体" w:eastAsia="宋体" w:cs="Times New Roman"/>
          <w:color w:val="000000" w:themeColor="text1"/>
          <w:sz w:val="24"/>
          <w:szCs w:val="24"/>
          <w:u w:val="single"/>
          <w14:textFill>
            <w14:solidFill>
              <w14:schemeClr w14:val="tx1"/>
            </w14:solidFill>
          </w14:textFill>
        </w:rPr>
        <w:t>人）</w:t>
      </w:r>
      <w:r>
        <w:rPr>
          <w:rFonts w:hint="eastAsia" w:ascii="Times New Roman" w:hAnsi="宋体" w:eastAsia="宋体" w:cs="Times New Roman"/>
          <w:color w:val="000000" w:themeColor="text1"/>
          <w:sz w:val="24"/>
          <w:szCs w:val="24"/>
          <w14:textFill>
            <w14:solidFill>
              <w14:schemeClr w14:val="tx1"/>
            </w14:solidFill>
          </w14:textFill>
        </w:rPr>
        <w:t>的</w:t>
      </w:r>
      <w:r>
        <w:rPr>
          <w:rFonts w:hint="eastAsia" w:cs="Times New Roman" w:asciiTheme="minorEastAsia" w:hAnsiTheme="minorEastAsia"/>
          <w:color w:val="000000" w:themeColor="text1"/>
          <w:sz w:val="24"/>
          <w:szCs w:val="24"/>
          <w:u w:val="single"/>
          <w14:textFill>
            <w14:solidFill>
              <w14:schemeClr w14:val="tx1"/>
            </w14:solidFill>
          </w14:textFill>
        </w:rPr>
        <w:t>__   _</w:t>
      </w:r>
      <w:r>
        <w:rPr>
          <w:rFonts w:hint="eastAsia" w:ascii="Times New Roman" w:hAnsi="宋体" w:eastAsia="宋体" w:cs="Times New Roman"/>
          <w:color w:val="000000" w:themeColor="text1"/>
          <w:sz w:val="24"/>
          <w:szCs w:val="24"/>
          <w14:textFill>
            <w14:solidFill>
              <w14:schemeClr w14:val="tx1"/>
            </w14:solidFill>
          </w14:textFill>
        </w:rPr>
        <w:t>项目（项目编号：______）</w:t>
      </w:r>
      <w:r>
        <w:rPr>
          <w:rFonts w:hint="eastAsia" w:ascii="宋体" w:hAnsi="宋体" w:eastAsia="宋体" w:cs="Times New Roman"/>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080" w:hanging="1080" w:hangingChars="45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2、以联合体方式参与本项目投标的供应商，应由联合体双方签字盖章。</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firstLine="3316" w:firstLineChars="1382"/>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制造商（公章）：</w:t>
      </w:r>
    </w:p>
    <w:p>
      <w:pPr>
        <w:spacing w:line="360" w:lineRule="auto"/>
        <w:ind w:firstLine="3316" w:firstLineChars="1382"/>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投标人授权代表（签字）：</w:t>
      </w:r>
    </w:p>
    <w:p>
      <w:pPr>
        <w:spacing w:line="360" w:lineRule="auto"/>
        <w:ind w:firstLine="3316" w:firstLineChars="1382"/>
        <w:rPr>
          <w:rFonts w:ascii="Times New Roman" w:hAnsi="宋体" w:eastAsia="宋体" w:cs="Times New Roman"/>
          <w:color w:val="000000" w:themeColor="text1"/>
          <w:sz w:val="24"/>
          <w:szCs w:val="24"/>
          <w:u w:val="single"/>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日  期：</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享受政府采购支持政策的残疾人福利性单位应当同时满足以下条件：</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（二）依法与安置的每位残疾人签订了一年以上（含一年）的劳动合同或服务协议；</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44" w:name="_Toc494577410"/>
      <w:bookmarkStart w:id="145" w:name="_Toc494665005"/>
      <w:bookmarkStart w:id="146" w:name="_Toc494665955"/>
      <w:bookmarkStart w:id="147" w:name="_Toc494665558"/>
      <w:bookmarkStart w:id="148" w:name="_Toc494702275"/>
      <w:bookmarkStart w:id="149" w:name="_Toc494745322"/>
      <w:bookmarkStart w:id="150" w:name="_Toc494721105"/>
      <w:bookmarkStart w:id="151" w:name="_Toc26230"/>
      <w:r>
        <w:rPr>
          <w:rFonts w:hint="eastAsia" w:ascii="宋体" w:hAnsi="宋体" w:eastAsia="宋体"/>
          <w:color w:val="000000" w:themeColor="text1"/>
          <w14:textFill>
            <w14:solidFill>
              <w14:schemeClr w14:val="tx1"/>
            </w14:solidFill>
          </w14:textFill>
        </w:rPr>
        <w:t>开标一览表</w:t>
      </w:r>
      <w:bookmarkEnd w:id="144"/>
      <w:bookmarkEnd w:id="145"/>
      <w:bookmarkEnd w:id="146"/>
      <w:bookmarkEnd w:id="147"/>
      <w:bookmarkEnd w:id="148"/>
      <w:bookmarkEnd w:id="149"/>
      <w:bookmarkEnd w:id="150"/>
      <w:r>
        <w:rPr>
          <w:rFonts w:hint="eastAsia" w:ascii="宋体" w:hAnsi="宋体" w:eastAsia="宋体"/>
          <w:color w:val="000000" w:themeColor="text1"/>
          <w14:textFill>
            <w14:solidFill>
              <w14:schemeClr w14:val="tx1"/>
            </w14:solidFill>
          </w14:textFill>
        </w:rPr>
        <w:t>（一包）</w:t>
      </w:r>
      <w:bookmarkEnd w:id="151"/>
    </w:p>
    <w:p>
      <w:pPr>
        <w:spacing w:line="360" w:lineRule="auto"/>
        <w:jc w:val="left"/>
        <w:rPr>
          <w:rFonts w:ascii="宋体" w:hAnsi="宋体" w:eastAsia="宋体" w:cs="Times New Roman"/>
          <w:bCs/>
          <w:color w:val="000000" w:themeColor="text1"/>
          <w:sz w:val="24"/>
          <w:szCs w:val="21"/>
          <w:u w:val="single"/>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Cs/>
          <w:color w:val="000000" w:themeColor="text1"/>
          <w:sz w:val="24"/>
          <w:szCs w:val="21"/>
          <w:u w:val="single"/>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17"/>
        <w:gridCol w:w="468"/>
        <w:gridCol w:w="1804"/>
        <w:gridCol w:w="1606"/>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1" w:type="dxa"/>
            <w:tcBorders>
              <w:top w:val="double" w:color="auto" w:sz="4" w:space="0"/>
              <w:left w:val="doub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标包号</w:t>
            </w:r>
          </w:p>
        </w:tc>
        <w:tc>
          <w:tcPr>
            <w:tcW w:w="1185"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货物名称</w:t>
            </w:r>
          </w:p>
        </w:tc>
        <w:tc>
          <w:tcPr>
            <w:tcW w:w="1804"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单位</w:t>
            </w:r>
          </w:p>
        </w:tc>
        <w:tc>
          <w:tcPr>
            <w:tcW w:w="1606"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供货数量</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单价（元）</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合价（元）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dxa"/>
            <w:tcBorders>
              <w:top w:val="single" w:color="auto" w:sz="4" w:space="0"/>
              <w:left w:val="doub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第</w:t>
            </w:r>
            <w:r>
              <w:rPr>
                <w:rFonts w:hint="eastAsia" w:ascii="宋体" w:hAnsi="宋体" w:eastAsia="宋体" w:cs="宋体"/>
                <w:sz w:val="24"/>
                <w:szCs w:val="24"/>
                <w:shd w:val="clear" w:color="auto" w:fill="FFFFFF"/>
                <w:vertAlign w:val="baseline"/>
                <w:lang w:val="en-US" w:eastAsia="zh-CN"/>
              </w:rPr>
              <w:t>1包</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sz w:val="24"/>
                <w:szCs w:val="24"/>
                <w:lang w:eastAsia="zh-CN"/>
              </w:rPr>
              <w:t>鄂</w:t>
            </w:r>
            <w:r>
              <w:rPr>
                <w:rFonts w:hint="eastAsia" w:ascii="宋体" w:hAnsi="宋体" w:eastAsia="宋体"/>
                <w:sz w:val="24"/>
                <w:szCs w:val="24"/>
                <w:lang w:val="en-US" w:eastAsia="zh-CN"/>
              </w:rPr>
              <w:t>茶1号</w:t>
            </w:r>
          </w:p>
        </w:tc>
        <w:tc>
          <w:tcPr>
            <w:tcW w:w="1804"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株</w:t>
            </w:r>
          </w:p>
        </w:tc>
        <w:tc>
          <w:tcPr>
            <w:tcW w:w="1606"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bCs/>
                <w:color w:val="000000" w:themeColor="text1"/>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1200万</w:t>
            </w:r>
          </w:p>
        </w:tc>
        <w:tc>
          <w:tcPr>
            <w:tcW w:w="111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按面积8000亩，每亩均3000株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dxa"/>
            <w:tcBorders>
              <w:top w:val="single" w:color="auto" w:sz="4" w:space="0"/>
              <w:left w:val="doub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bCs/>
                <w:color w:val="000000" w:themeColor="text1"/>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投标单价</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205" w:leftChars="98" w:right="-65" w:rightChars="-31"/>
              <w:jc w:val="left"/>
              <w:rPr>
                <w:rFonts w:ascii="宋体" w:hAnsi="宋体" w:eastAsia="宋体" w:cs="宋体"/>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（服务期限）</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质保期</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备注</w:t>
            </w:r>
          </w:p>
        </w:tc>
        <w:tc>
          <w:tcPr>
            <w:tcW w:w="7839" w:type="dxa"/>
            <w:gridSpan w:val="6"/>
            <w:tcBorders>
              <w:top w:val="single" w:color="auto" w:sz="4" w:space="0"/>
              <w:left w:val="single" w:color="auto" w:sz="4" w:space="0"/>
              <w:bottom w:val="double" w:color="auto" w:sz="4" w:space="0"/>
              <w:right w:val="double" w:color="auto" w:sz="4" w:space="0"/>
            </w:tcBorders>
            <w:vAlign w:val="center"/>
          </w:tcPr>
          <w:p>
            <w:pPr>
              <w:spacing w:line="360" w:lineRule="auto"/>
              <w:ind w:left="-48" w:leftChars="-23" w:right="-65" w:rightChars="-31"/>
              <w:jc w:val="left"/>
              <w:rPr>
                <w:rFonts w:ascii="宋体" w:hAnsi="宋体" w:eastAsia="宋体" w:cs="Times New Roman"/>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中小</w:t>
            </w:r>
            <w:r>
              <w:rPr>
                <w:rFonts w:hint="eastAsia" w:ascii="Times New Roman" w:hAnsi="宋体" w:eastAsia="宋体" w:cs="Times New Roman"/>
                <w:bCs/>
                <w:color w:val="000000" w:themeColor="text1"/>
                <w:sz w:val="24"/>
                <w:szCs w:val="24"/>
                <w14:textFill>
                  <w14:solidFill>
                    <w14:schemeClr w14:val="tx1"/>
                  </w14:solidFill>
                </w14:textFill>
              </w:rPr>
              <w:t>型和微型企业、监狱企业、残疾人福利性单位价格扣除</w:t>
            </w:r>
            <w:r>
              <w:rPr>
                <w:rFonts w:hint="eastAsia" w:ascii="宋体" w:hAnsi="宋体" w:eastAsia="宋体" w:cs="Times New Roman"/>
                <w:bCs/>
                <w:color w:val="000000" w:themeColor="text1"/>
                <w:sz w:val="24"/>
                <w14:textFill>
                  <w14:solidFill>
                    <w14:schemeClr w14:val="tx1"/>
                  </w14:solidFill>
                </w14:textFill>
              </w:rPr>
              <w:t>合计（</w:t>
            </w:r>
            <w:r>
              <w:rPr>
                <w:rFonts w:hint="eastAsia" w:ascii="宋体" w:hAnsi="宋体" w:eastAsia="宋体" w:cs="宋体"/>
                <w:bCs/>
                <w:color w:val="000000" w:themeColor="text1"/>
                <w:kern w:val="0"/>
                <w:sz w:val="24"/>
                <w:szCs w:val="24"/>
                <w14:textFill>
                  <w14:solidFill>
                    <w14:schemeClr w14:val="tx1"/>
                  </w14:solidFill>
                </w14:textFill>
              </w:rPr>
              <w:t>大写</w:t>
            </w:r>
            <w:r>
              <w:rPr>
                <w:rFonts w:hint="eastAsia" w:ascii="宋体" w:hAnsi="宋体" w:eastAsia="宋体" w:cs="Times New Roman"/>
                <w:bCs/>
                <w:color w:val="000000" w:themeColor="text1"/>
                <w:sz w:val="24"/>
                <w14:textFill>
                  <w14:solidFill>
                    <w14:schemeClr w14:val="tx1"/>
                  </w14:solidFill>
                </w14:textFill>
              </w:rPr>
              <w:t>）：</w:t>
            </w:r>
          </w:p>
          <w:p>
            <w:pPr>
              <w:spacing w:line="360" w:lineRule="auto"/>
              <w:ind w:left="-48" w:leftChars="-23" w:right="-65" w:rightChars="-31"/>
              <w:jc w:val="left"/>
              <w:rPr>
                <w:rFonts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万仟佰拾元整</w:t>
            </w:r>
            <w:r>
              <w:rPr>
                <w:rFonts w:hint="eastAsia" w:ascii="宋体" w:hAnsi="宋体" w:cs="宋体"/>
                <w:bCs/>
                <w:color w:val="000000" w:themeColor="text1"/>
                <w:kern w:val="0"/>
                <w:sz w:val="24"/>
                <w14:textFill>
                  <w14:solidFill>
                    <w14:schemeClr w14:val="tx1"/>
                  </w14:solidFill>
                </w14:textFill>
              </w:rPr>
              <w:t>（或以联合体投标的，</w:t>
            </w:r>
            <w:r>
              <w:rPr>
                <w:rFonts w:ascii="宋体" w:hAnsi="宋体"/>
                <w:bCs/>
                <w:color w:val="000000" w:themeColor="text1"/>
                <w:sz w:val="24"/>
                <w14:textFill>
                  <w14:solidFill>
                    <w14:schemeClr w14:val="tx1"/>
                  </w14:solidFill>
                </w14:textFill>
              </w:rPr>
              <w:t>联合协议中约定中小型、微型企业的协议合同金额占到联合体协议合同总金额的</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说明：1．所有价格均用人民币表示，单位为</w:t>
      </w:r>
      <w:r>
        <w:rPr>
          <w:rFonts w:hint="eastAsia" w:ascii="宋体" w:hAnsi="宋体"/>
          <w:bCs/>
          <w:color w:val="000000" w:themeColor="text1"/>
          <w:sz w:val="24"/>
          <w:lang w:val="en-US" w:eastAsia="zh-CN"/>
          <w14:textFill>
            <w14:solidFill>
              <w14:schemeClr w14:val="tx1"/>
            </w14:solidFill>
          </w14:textFill>
        </w:rPr>
        <w:t>万</w:t>
      </w:r>
      <w:r>
        <w:rPr>
          <w:rFonts w:hint="eastAsia" w:ascii="宋体" w:hAnsi="宋体"/>
          <w:bCs/>
          <w:color w:val="000000" w:themeColor="text1"/>
          <w:sz w:val="24"/>
          <w14:textFill>
            <w14:solidFill>
              <w14:schemeClr w14:val="tx1"/>
            </w14:solidFill>
          </w14:textFill>
        </w:rPr>
        <w:t>元。</w:t>
      </w:r>
    </w:p>
    <w:p>
      <w:pPr>
        <w:spacing w:line="360" w:lineRule="auto"/>
        <w:ind w:left="1061" w:leftChars="339" w:hanging="350" w:hangingChars="146"/>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3．为方便开标时唱标，投标人应另附《开标一览表》及《交纳投标保证金的银行凭证》（如有交纳保证金要求的）各一份一并</w:t>
      </w:r>
      <w:r>
        <w:rPr>
          <w:rFonts w:hint="eastAsia" w:ascii="宋体" w:hAnsi="宋体" w:eastAsia="宋体" w:cs="Times New Roman"/>
          <w:bCs/>
          <w:color w:val="000000" w:themeColor="text1"/>
          <w:spacing w:val="-6"/>
          <w:kern w:val="0"/>
          <w:sz w:val="24"/>
          <w:szCs w:val="24"/>
          <w14:textFill>
            <w14:solidFill>
              <w14:schemeClr w14:val="tx1"/>
            </w14:solidFill>
          </w14:textFill>
        </w:rPr>
        <w:t>装入一个信封，单独密封提交</w:t>
      </w:r>
      <w:r>
        <w:rPr>
          <w:rFonts w:hint="eastAsia" w:ascii="宋体" w:hAnsi="宋体" w:eastAsia="宋体" w:cs="Times New Roman"/>
          <w:bCs/>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eastAsia="宋体" w:cs="Times New Roman"/>
          <w:bCs/>
          <w:color w:val="000000" w:themeColor="text1"/>
          <w:sz w:val="24"/>
          <w:szCs w:val="20"/>
          <w:lang w:val="zh-CN"/>
          <w14:textFill>
            <w14:solidFill>
              <w14:schemeClr w14:val="tx1"/>
            </w14:solidFill>
          </w14:textFill>
        </w:rPr>
        <w:t>的采购机构拒绝其投标。</w:t>
      </w:r>
    </w:p>
    <w:p>
      <w:pPr>
        <w:spacing w:line="360" w:lineRule="auto"/>
        <w:ind w:left="1061" w:leftChars="339" w:hanging="350" w:hangingChars="146"/>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 本表应按要求由投标人法人授权代表签字，并加盖投标单位公章，否则将被视为非响应性投标，将按照无效投标处理。</w:t>
      </w:r>
    </w:p>
    <w:p>
      <w:pPr>
        <w:spacing w:line="360" w:lineRule="auto"/>
        <w:ind w:firstLine="3316" w:firstLineChars="1382"/>
        <w:rPr>
          <w:rFonts w:ascii="宋体" w:hAnsi="宋体" w:eastAsia="宋体" w:cs="Times New Roman"/>
          <w:bCs/>
          <w:color w:val="000000" w:themeColor="text1"/>
          <w:sz w:val="24"/>
          <w:szCs w:val="21"/>
          <w:u w:val="single"/>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投标人（公章）：</w:t>
      </w:r>
    </w:p>
    <w:p>
      <w:pPr>
        <w:spacing w:line="360" w:lineRule="auto"/>
        <w:ind w:firstLine="3316" w:firstLineChars="1382"/>
        <w:rPr>
          <w:rFonts w:ascii="宋体" w:hAnsi="宋体" w:eastAsia="宋体" w:cs="Times New Roman"/>
          <w:bCs/>
          <w:color w:val="000000" w:themeColor="text1"/>
          <w:sz w:val="24"/>
          <w:szCs w:val="21"/>
          <w:u w:val="single"/>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投标人授权代表（签字）：</w:t>
      </w:r>
    </w:p>
    <w:p>
      <w:pPr>
        <w:spacing w:line="360" w:lineRule="auto"/>
        <w:ind w:firstLine="3316" w:firstLineChars="1382"/>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投标时间：</w:t>
      </w:r>
    </w:p>
    <w:p>
      <w:pPr>
        <w:spacing w:line="360" w:lineRule="auto"/>
        <w:rPr>
          <w:rFonts w:ascii="宋体" w:hAnsi="宋体" w:eastAsia="宋体"/>
          <w:color w:val="000000" w:themeColor="text1"/>
          <w14:textFill>
            <w14:solidFill>
              <w14:schemeClr w14:val="tx1"/>
            </w14:solidFill>
          </w14:textFill>
        </w:rPr>
      </w:pPr>
    </w:p>
    <w:p>
      <w:pPr>
        <w:pStyle w:val="4"/>
        <w:spacing w:before="0" w:after="0" w:line="360" w:lineRule="auto"/>
        <w:rPr>
          <w:rFonts w:ascii="宋体" w:hAnsi="宋体" w:eastAsia="宋体"/>
          <w:color w:val="000000" w:themeColor="text1"/>
          <w14:textFill>
            <w14:solidFill>
              <w14:schemeClr w14:val="tx1"/>
            </w14:solidFill>
          </w14:textFill>
        </w:rPr>
      </w:pPr>
      <w:bookmarkStart w:id="152" w:name="_Toc11368"/>
      <w:r>
        <w:rPr>
          <w:rFonts w:hint="eastAsia" w:ascii="宋体" w:hAnsi="宋体" w:eastAsia="宋体"/>
          <w:color w:val="000000" w:themeColor="text1"/>
          <w14:textFill>
            <w14:solidFill>
              <w14:schemeClr w14:val="tx1"/>
            </w14:solidFill>
          </w14:textFill>
        </w:rPr>
        <w:t>开标一览表（二包）</w:t>
      </w:r>
      <w:bookmarkEnd w:id="152"/>
    </w:p>
    <w:p>
      <w:pPr>
        <w:pStyle w:val="4"/>
        <w:spacing w:before="0" w:after="0" w:line="360" w:lineRule="auto"/>
        <w:rPr>
          <w:rFonts w:ascii="宋体" w:hAnsi="宋体" w:eastAsia="宋体" w:cs="Times New Roman"/>
          <w:b w:val="0"/>
          <w:bCs w:val="0"/>
          <w:color w:val="000000" w:themeColor="text1"/>
          <w:sz w:val="24"/>
          <w:szCs w:val="21"/>
          <w:u w:val="single"/>
          <w:lang w:val="zh-CN"/>
          <w14:textFill>
            <w14:solidFill>
              <w14:schemeClr w14:val="tx1"/>
            </w14:solidFill>
          </w14:textFill>
        </w:rPr>
      </w:pPr>
      <w:bookmarkStart w:id="153" w:name="_Toc26084"/>
      <w:r>
        <w:rPr>
          <w:rFonts w:hint="eastAsia" w:ascii="宋体" w:hAnsi="宋体" w:eastAsia="宋体" w:cs="Times New Roman"/>
          <w:b w:val="0"/>
          <w:bCs w:val="0"/>
          <w:color w:val="000000" w:themeColor="text1"/>
          <w:sz w:val="24"/>
          <w:szCs w:val="21"/>
          <w:lang w:val="zh-CN"/>
          <w14:textFill>
            <w14:solidFill>
              <w14:schemeClr w14:val="tx1"/>
            </w14:solidFill>
          </w14:textFill>
        </w:rPr>
        <w:t>投 标 人：</w:t>
      </w:r>
      <w:bookmarkEnd w:id="153"/>
    </w:p>
    <w:p>
      <w:pPr>
        <w:spacing w:line="360" w:lineRule="auto"/>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项目名称：</w:t>
      </w:r>
    </w:p>
    <w:p>
      <w:pPr>
        <w:spacing w:line="420" w:lineRule="exact"/>
        <w:rPr>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项目编号：                所投包号：</w:t>
      </w:r>
      <w:r>
        <w:rPr>
          <w:rFonts w:hint="eastAsia"/>
          <w:color w:val="000000" w:themeColor="text1"/>
          <w:sz w:val="24"/>
          <w:szCs w:val="24"/>
          <w14:textFill>
            <w14:solidFill>
              <w14:schemeClr w14:val="tx1"/>
            </w14:solidFill>
          </w14:textFill>
        </w:rPr>
        <w:t xml:space="preserve">  </w:t>
      </w:r>
    </w:p>
    <w:tbl>
      <w:tblPr>
        <w:tblStyle w:val="2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17"/>
        <w:gridCol w:w="725"/>
        <w:gridCol w:w="1547"/>
        <w:gridCol w:w="1606"/>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1" w:type="dxa"/>
            <w:tcBorders>
              <w:top w:val="double" w:color="auto" w:sz="4" w:space="0"/>
              <w:left w:val="doub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标包号</w:t>
            </w:r>
          </w:p>
        </w:tc>
        <w:tc>
          <w:tcPr>
            <w:tcW w:w="1442"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货物名称</w:t>
            </w:r>
          </w:p>
        </w:tc>
        <w:tc>
          <w:tcPr>
            <w:tcW w:w="1547"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单位</w:t>
            </w:r>
          </w:p>
        </w:tc>
        <w:tc>
          <w:tcPr>
            <w:tcW w:w="1606"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供货数量</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单价（元）</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合价（元）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cs="宋体"/>
                <w:bCs/>
                <w:color w:val="000000" w:themeColor="text1"/>
                <w:kern w:val="0"/>
                <w:sz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dxa"/>
            <w:tcBorders>
              <w:top w:val="single" w:color="auto" w:sz="4" w:space="0"/>
              <w:left w:val="doub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eastAsia="zh-CN"/>
              </w:rPr>
              <w:t>第</w:t>
            </w:r>
            <w:r>
              <w:rPr>
                <w:rFonts w:hint="eastAsia" w:ascii="宋体" w:hAnsi="宋体" w:eastAsia="宋体" w:cs="宋体"/>
                <w:sz w:val="24"/>
                <w:szCs w:val="24"/>
                <w:shd w:val="clear" w:color="auto" w:fill="FFFFFF"/>
                <w:vertAlign w:val="baseline"/>
                <w:lang w:val="en-US" w:eastAsia="zh-CN"/>
              </w:rPr>
              <w:t>2包</w:t>
            </w:r>
          </w:p>
        </w:tc>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sz w:val="24"/>
                <w:szCs w:val="24"/>
                <w:lang w:eastAsia="zh-CN"/>
              </w:rPr>
              <w:t>鄂</w:t>
            </w:r>
            <w:r>
              <w:rPr>
                <w:rFonts w:hint="eastAsia" w:ascii="宋体" w:hAnsi="宋体" w:eastAsia="宋体"/>
                <w:sz w:val="24"/>
                <w:szCs w:val="24"/>
                <w:lang w:val="en-US" w:eastAsia="zh-CN"/>
              </w:rPr>
              <w:t>茶10号</w:t>
            </w:r>
          </w:p>
        </w:tc>
        <w:tc>
          <w:tcPr>
            <w:tcW w:w="154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株</w:t>
            </w:r>
          </w:p>
        </w:tc>
        <w:tc>
          <w:tcPr>
            <w:tcW w:w="1606"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bCs/>
                <w:color w:val="000000" w:themeColor="text1"/>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1200万</w:t>
            </w:r>
          </w:p>
        </w:tc>
        <w:tc>
          <w:tcPr>
            <w:tcW w:w="111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sz w:val="24"/>
                <w:szCs w:val="24"/>
                <w:shd w:val="clear" w:color="auto" w:fill="FFFFFF"/>
                <w:vertAlign w:val="baseline"/>
                <w:lang w:val="en-US" w:eastAsia="zh-CN"/>
              </w:rPr>
              <w:t>按面积8000亩，每亩均3000株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dxa"/>
            <w:tcBorders>
              <w:top w:val="single" w:color="auto" w:sz="4" w:space="0"/>
              <w:left w:val="doub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547"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bCs/>
                <w:color w:val="000000" w:themeColor="text1"/>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pStyle w:val="21"/>
              <w:keepNext w:val="0"/>
              <w:keepLines w:val="0"/>
              <w:pageBreakBefore w:val="0"/>
              <w:widowControl/>
              <w:kinsoku/>
              <w:wordWrap/>
              <w:overflowPunct/>
              <w:topLinePunct w:val="0"/>
              <w:autoSpaceDE/>
              <w:autoSpaceDN/>
              <w:bidi w:val="0"/>
              <w:adjustRightInd/>
              <w:snapToGrid/>
              <w:spacing w:beforeAutospacing="0" w:afterAutospacing="0" w:line="440" w:lineRule="atLeast"/>
              <w:ind w:right="0" w:rightChars="0"/>
              <w:jc w:val="center"/>
              <w:textAlignment w:val="auto"/>
              <w:rPr>
                <w:rFonts w:ascii="宋体" w:hAnsi="宋体" w:eastAsia="宋体" w:cs="宋体"/>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投标单价</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205" w:leftChars="98" w:right="-65" w:rightChars="-31"/>
              <w:jc w:val="left"/>
              <w:rPr>
                <w:rFonts w:ascii="宋体" w:hAnsi="宋体" w:eastAsia="宋体" w:cs="宋体"/>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（服务期限）</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质保期</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备注</w:t>
            </w:r>
          </w:p>
        </w:tc>
        <w:tc>
          <w:tcPr>
            <w:tcW w:w="7839" w:type="dxa"/>
            <w:gridSpan w:val="6"/>
            <w:tcBorders>
              <w:top w:val="single" w:color="auto" w:sz="4" w:space="0"/>
              <w:left w:val="single" w:color="auto" w:sz="4" w:space="0"/>
              <w:bottom w:val="double" w:color="auto" w:sz="4" w:space="0"/>
              <w:right w:val="double" w:color="auto" w:sz="4" w:space="0"/>
            </w:tcBorders>
            <w:vAlign w:val="center"/>
          </w:tcPr>
          <w:p>
            <w:pPr>
              <w:spacing w:line="360" w:lineRule="auto"/>
              <w:ind w:left="-48" w:leftChars="-23" w:right="-65" w:rightChars="-31"/>
              <w:jc w:val="left"/>
              <w:rPr>
                <w:rFonts w:ascii="宋体" w:hAnsi="宋体" w:eastAsia="宋体" w:cs="Times New Roman"/>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中小</w:t>
            </w:r>
            <w:r>
              <w:rPr>
                <w:rFonts w:hint="eastAsia" w:ascii="Times New Roman" w:hAnsi="宋体" w:eastAsia="宋体" w:cs="Times New Roman"/>
                <w:bCs/>
                <w:color w:val="000000" w:themeColor="text1"/>
                <w:sz w:val="24"/>
                <w:szCs w:val="24"/>
                <w14:textFill>
                  <w14:solidFill>
                    <w14:schemeClr w14:val="tx1"/>
                  </w14:solidFill>
                </w14:textFill>
              </w:rPr>
              <w:t>型和微型企业、监狱企业、残疾人福利性单位价格扣除</w:t>
            </w:r>
            <w:r>
              <w:rPr>
                <w:rFonts w:hint="eastAsia" w:ascii="宋体" w:hAnsi="宋体" w:eastAsia="宋体" w:cs="Times New Roman"/>
                <w:bCs/>
                <w:color w:val="000000" w:themeColor="text1"/>
                <w:sz w:val="24"/>
                <w14:textFill>
                  <w14:solidFill>
                    <w14:schemeClr w14:val="tx1"/>
                  </w14:solidFill>
                </w14:textFill>
              </w:rPr>
              <w:t>合计（</w:t>
            </w:r>
            <w:r>
              <w:rPr>
                <w:rFonts w:hint="eastAsia" w:ascii="宋体" w:hAnsi="宋体" w:eastAsia="宋体" w:cs="宋体"/>
                <w:bCs/>
                <w:color w:val="000000" w:themeColor="text1"/>
                <w:kern w:val="0"/>
                <w:sz w:val="24"/>
                <w:szCs w:val="24"/>
                <w14:textFill>
                  <w14:solidFill>
                    <w14:schemeClr w14:val="tx1"/>
                  </w14:solidFill>
                </w14:textFill>
              </w:rPr>
              <w:t>大写</w:t>
            </w:r>
            <w:r>
              <w:rPr>
                <w:rFonts w:hint="eastAsia" w:ascii="宋体" w:hAnsi="宋体" w:eastAsia="宋体" w:cs="Times New Roman"/>
                <w:bCs/>
                <w:color w:val="000000" w:themeColor="text1"/>
                <w:sz w:val="24"/>
                <w14:textFill>
                  <w14:solidFill>
                    <w14:schemeClr w14:val="tx1"/>
                  </w14:solidFill>
                </w14:textFill>
              </w:rPr>
              <w:t>）：</w:t>
            </w:r>
          </w:p>
          <w:p>
            <w:pPr>
              <w:spacing w:line="360" w:lineRule="auto"/>
              <w:ind w:left="-48" w:leftChars="-23" w:right="-65" w:rightChars="-31"/>
              <w:jc w:val="left"/>
              <w:rPr>
                <w:rFonts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万仟佰拾元整</w:t>
            </w:r>
            <w:r>
              <w:rPr>
                <w:rFonts w:hint="eastAsia" w:ascii="宋体" w:hAnsi="宋体" w:cs="宋体"/>
                <w:bCs/>
                <w:color w:val="000000" w:themeColor="text1"/>
                <w:kern w:val="0"/>
                <w:sz w:val="24"/>
                <w14:textFill>
                  <w14:solidFill>
                    <w14:schemeClr w14:val="tx1"/>
                  </w14:solidFill>
                </w14:textFill>
              </w:rPr>
              <w:t>（或以联合体投标的，</w:t>
            </w:r>
            <w:r>
              <w:rPr>
                <w:rFonts w:ascii="宋体" w:hAnsi="宋体"/>
                <w:bCs/>
                <w:color w:val="000000" w:themeColor="text1"/>
                <w:sz w:val="24"/>
                <w14:textFill>
                  <w14:solidFill>
                    <w14:schemeClr w14:val="tx1"/>
                  </w14:solidFill>
                </w14:textFill>
              </w:rPr>
              <w:t>联合协议中约定中小型、微型企业的协议合同金额占到联合体协议合同总金额的</w:t>
            </w:r>
            <w:r>
              <w:rPr>
                <w:rFonts w:hint="eastAsia" w:ascii="宋体" w:hAnsi="宋体"/>
                <w:bCs/>
                <w:color w:val="000000" w:themeColor="text1"/>
                <w:sz w:val="24"/>
                <w14:textFill>
                  <w14:solidFill>
                    <w14:schemeClr w14:val="tx1"/>
                  </w14:solidFill>
                </w14:textFill>
              </w:rPr>
              <w:t>%）</w:t>
            </w:r>
          </w:p>
        </w:tc>
      </w:tr>
    </w:tbl>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w:t>
      </w:r>
      <w:r>
        <w:rPr>
          <w:rFonts w:hint="eastAsia" w:ascii="宋体" w:hAnsi="宋体"/>
          <w:color w:val="000000" w:themeColor="text1"/>
          <w:sz w:val="24"/>
          <w:lang w:val="en-US" w:eastAsia="zh-CN"/>
          <w14:textFill>
            <w14:solidFill>
              <w14:schemeClr w14:val="tx1"/>
            </w14:solidFill>
          </w14:textFill>
        </w:rPr>
        <w:t>万</w:t>
      </w:r>
      <w:r>
        <w:rPr>
          <w:rFonts w:hint="eastAsia" w:ascii="宋体" w:hAnsi="宋体"/>
          <w:color w:val="000000" w:themeColor="text1"/>
          <w:sz w:val="24"/>
          <w14:textFill>
            <w14:solidFill>
              <w14:schemeClr w14:val="tx1"/>
            </w14:solidFill>
          </w14:textFill>
        </w:rPr>
        <w:t>元。</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14:textFill>
            <w14:solidFill>
              <w14:schemeClr w14:val="tx1"/>
            </w14:solidFill>
          </w14:textFill>
        </w:rPr>
        <w:t>装入一个信封，单独密封提交</w:t>
      </w:r>
      <w:r>
        <w:rPr>
          <w:rFonts w:hint="eastAsia" w:ascii="宋体" w:hAnsi="宋体" w:eastAsia="宋体" w:cs="Times New Roman"/>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14:textFill>
            <w14:solidFill>
              <w14:schemeClr w14:val="tx1"/>
            </w14:solidFill>
          </w14:textFill>
        </w:rPr>
        <w:t>的采购机构</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14:textFill>
            <w14:solidFill>
              <w14:schemeClr w14:val="tx1"/>
            </w14:solidFill>
          </w14:textFill>
        </w:rPr>
        <w:t>无效投标处理</w:t>
      </w:r>
      <w:r>
        <w:rPr>
          <w:rFonts w:hint="eastAsia" w:ascii="宋体" w:hAnsi="宋体" w:eastAsia="宋体" w:cs="Times New Roman"/>
          <w:color w:val="000000" w:themeColor="text1"/>
          <w:sz w:val="24"/>
          <w:szCs w:val="24"/>
          <w14:textFill>
            <w14:solidFill>
              <w14:schemeClr w14:val="tx1"/>
            </w14:solidFill>
          </w14:textFill>
        </w:rPr>
        <w:t>。</w:t>
      </w:r>
    </w:p>
    <w:p>
      <w:pPr>
        <w:spacing w:line="360" w:lineRule="auto"/>
        <w:rPr>
          <w:rFonts w:ascii="宋体" w:hAnsi="宋体" w:eastAsia="宋体" w:cs="Times New Roman"/>
          <w:b/>
          <w:bCs/>
          <w:color w:val="000000" w:themeColor="text1"/>
          <w:sz w:val="24"/>
          <w:szCs w:val="21"/>
          <w:lang w:val="zh-CN"/>
          <w14:textFill>
            <w14:solidFill>
              <w14:schemeClr w14:val="tx1"/>
            </w14:solidFill>
          </w14:textFill>
        </w:rPr>
      </w:pPr>
    </w:p>
    <w:p>
      <w:pPr>
        <w:spacing w:line="360" w:lineRule="auto"/>
        <w:ind w:firstLine="3316" w:firstLineChars="1382"/>
        <w:rPr>
          <w:rFonts w:ascii="宋体" w:hAnsi="宋体" w:eastAsia="宋体" w:cs="Times New Roman"/>
          <w:color w:val="000000" w:themeColor="text1"/>
          <w:sz w:val="24"/>
          <w:szCs w:val="21"/>
          <w:u w:val="single"/>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投标人（公章）：</w:t>
      </w:r>
    </w:p>
    <w:p>
      <w:pPr>
        <w:spacing w:line="360" w:lineRule="auto"/>
        <w:ind w:firstLine="3316" w:firstLineChars="1382"/>
        <w:rPr>
          <w:rFonts w:ascii="宋体" w:hAnsi="宋体" w:eastAsia="宋体" w:cs="Times New Roman"/>
          <w:color w:val="000000" w:themeColor="text1"/>
          <w:sz w:val="24"/>
          <w:szCs w:val="21"/>
          <w:u w:val="single"/>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投标人授权代表（签字）：</w:t>
      </w:r>
    </w:p>
    <w:p>
      <w:pPr>
        <w:spacing w:line="360" w:lineRule="auto"/>
        <w:ind w:firstLine="3316" w:firstLineChars="1382"/>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投标时间：</w:t>
      </w:r>
    </w:p>
    <w:p>
      <w:pPr>
        <w:spacing w:line="360" w:lineRule="auto"/>
        <w:rPr>
          <w:rFonts w:ascii="宋体" w:hAnsi="宋体" w:eastAsia="宋体" w:cs="Times New Roman"/>
          <w:bCs/>
          <w:color w:val="000000" w:themeColor="text1"/>
          <w:sz w:val="24"/>
          <w:szCs w:val="21"/>
          <w:lang w:val="zh-CN"/>
          <w14:textFill>
            <w14:solidFill>
              <w14:schemeClr w14:val="tx1"/>
            </w14:solidFill>
          </w14:textFill>
        </w:rPr>
      </w:pPr>
      <w:r>
        <w:rPr>
          <w:color w:val="000000" w:themeColor="text1"/>
          <w14:textFill>
            <w14:solidFill>
              <w14:schemeClr w14:val="tx1"/>
            </w14:solidFill>
          </w14:textFill>
        </w:rPr>
        <w:br w:type="page"/>
      </w:r>
      <w:bookmarkStart w:id="154" w:name="_Toc494665559"/>
      <w:bookmarkStart w:id="155" w:name="_Toc494665956"/>
      <w:bookmarkStart w:id="156" w:name="_Toc494702276"/>
      <w:bookmarkStart w:id="157" w:name="_Toc494721106"/>
      <w:bookmarkStart w:id="158" w:name="_Toc494745323"/>
      <w:bookmarkStart w:id="159" w:name="_Toc494665006"/>
      <w:bookmarkStart w:id="160" w:name="_Toc494577411"/>
    </w:p>
    <w:p>
      <w:pPr>
        <w:spacing w:line="360" w:lineRule="auto"/>
        <w:rPr>
          <w:rFonts w:ascii="宋体" w:hAnsi="宋体" w:eastAsia="宋体" w:cs="Times New Roman"/>
          <w:bCs/>
          <w:color w:val="000000" w:themeColor="text1"/>
          <w:sz w:val="24"/>
          <w:szCs w:val="21"/>
          <w:lang w:val="zh-CN"/>
          <w14:textFill>
            <w14:solidFill>
              <w14:schemeClr w14:val="tx1"/>
            </w14:solidFill>
          </w14:textFill>
        </w:rPr>
      </w:pP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61" w:name="_Toc5091"/>
      <w:r>
        <w:rPr>
          <w:rFonts w:hint="eastAsia" w:ascii="宋体" w:hAnsi="宋体" w:eastAsia="宋体"/>
          <w:color w:val="000000" w:themeColor="text1"/>
          <w14:textFill>
            <w14:solidFill>
              <w14:schemeClr w14:val="tx1"/>
            </w14:solidFill>
          </w14:textFill>
        </w:rPr>
        <w:t>投标报价明细表</w:t>
      </w:r>
      <w:bookmarkEnd w:id="154"/>
      <w:bookmarkEnd w:id="155"/>
      <w:bookmarkEnd w:id="156"/>
      <w:bookmarkEnd w:id="157"/>
      <w:bookmarkEnd w:id="158"/>
      <w:bookmarkEnd w:id="159"/>
      <w:bookmarkEnd w:id="160"/>
      <w:bookmarkEnd w:id="161"/>
    </w:p>
    <w:p>
      <w:pPr>
        <w:spacing w:line="360" w:lineRule="auto"/>
        <w:jc w:val="left"/>
        <w:rPr>
          <w:rFonts w:ascii="宋体" w:hAnsi="宋体" w:eastAsia="宋体" w:cs="Times New Roman"/>
          <w:bCs/>
          <w:color w:val="000000" w:themeColor="text1"/>
          <w:sz w:val="24"/>
          <w:szCs w:val="21"/>
          <w:u w:val="single"/>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Cs/>
          <w:color w:val="000000" w:themeColor="text1"/>
          <w:sz w:val="24"/>
          <w:szCs w:val="21"/>
          <w:u w:val="single"/>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名称</w:t>
            </w:r>
          </w:p>
        </w:tc>
        <w:tc>
          <w:tcPr>
            <w:tcW w:w="1134"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8"/>
              </w:num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spacing w:line="360" w:lineRule="auto"/>
              <w:ind w:left="547" w:hanging="547" w:hangingChars="228"/>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货物1（工程或服务）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375" w:rightChars="-179"/>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8"/>
              </w:num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货物2（工程或服务）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8"/>
              </w:num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货物3（工程或服务）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8"/>
              </w:num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货物4（工程或服务）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8"/>
              </w:num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货物5（工程或服务）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8"/>
              </w:num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货物6（工程或服务）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8"/>
              </w:num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货物7（工程或服务）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p>
        </w:tc>
        <w:tc>
          <w:tcPr>
            <w:tcW w:w="2611"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合计</w:t>
            </w:r>
          </w:p>
        </w:tc>
        <w:tc>
          <w:tcPr>
            <w:tcW w:w="2673" w:type="dxa"/>
            <w:gridSpan w:val="2"/>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说明：1．所有价格均用人民币表示，单位为元。</w:t>
      </w:r>
    </w:p>
    <w:p>
      <w:pPr>
        <w:spacing w:line="360" w:lineRule="auto"/>
        <w:ind w:left="1061" w:leftChars="339" w:hanging="350" w:hangingChars="146"/>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2．报价明细表合计应与《开标一览表》中的投标总报价一致。</w:t>
      </w:r>
    </w:p>
    <w:p>
      <w:pPr>
        <w:spacing w:line="360" w:lineRule="auto"/>
        <w:ind w:left="1061" w:leftChars="339" w:hanging="350" w:hangingChars="146"/>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3．未提供详细的货物（工程或服务）报价明细</w:t>
      </w:r>
      <w:r>
        <w:rPr>
          <w:rFonts w:hint="eastAsia" w:ascii="宋体" w:hAnsi="宋体" w:cs="Corbel"/>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hAnsi="宋体" w:eastAsia="宋体" w:cs="Times New Roman"/>
          <w:bCs/>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bCs/>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bCs/>
          <w:color w:val="000000" w:themeColor="text1"/>
          <w:sz w:val="24"/>
          <w:szCs w:val="24"/>
          <w14:textFill>
            <w14:solidFill>
              <w14:schemeClr w14:val="tx1"/>
            </w14:solidFill>
          </w14:textFill>
        </w:rPr>
      </w:pPr>
    </w:p>
    <w:p>
      <w:pPr>
        <w:spacing w:line="360" w:lineRule="auto"/>
        <w:ind w:firstLine="3316" w:firstLineChars="1382"/>
        <w:rPr>
          <w:rFonts w:hAnsi="宋体"/>
          <w:bCs/>
          <w:color w:val="000000" w:themeColor="text1"/>
          <w:sz w:val="24"/>
          <w:u w:val="single"/>
          <w14:textFill>
            <w14:solidFill>
              <w14:schemeClr w14:val="tx1"/>
            </w14:solidFill>
          </w14:textFill>
        </w:rPr>
      </w:pPr>
      <w:r>
        <w:rPr>
          <w:rFonts w:hint="eastAsia" w:hAnsi="宋体"/>
          <w:bCs/>
          <w:color w:val="000000" w:themeColor="text1"/>
          <w:sz w:val="24"/>
          <w14:textFill>
            <w14:solidFill>
              <w14:schemeClr w14:val="tx1"/>
            </w14:solidFill>
          </w14:textFill>
        </w:rPr>
        <w:t>投标人（公章）：</w:t>
      </w:r>
    </w:p>
    <w:p>
      <w:pPr>
        <w:spacing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投标人</w:t>
      </w:r>
      <w:r>
        <w:rPr>
          <w:rFonts w:hint="eastAsia" w:hAnsi="宋体"/>
          <w:bCs/>
          <w:color w:val="000000" w:themeColor="text1"/>
          <w:sz w:val="24"/>
          <w14:textFill>
            <w14:solidFill>
              <w14:schemeClr w14:val="tx1"/>
            </w14:solidFill>
          </w14:textFill>
        </w:rPr>
        <w:t>授权代表（签字）：</w:t>
      </w:r>
    </w:p>
    <w:p>
      <w:pPr>
        <w:spacing w:line="360" w:lineRule="auto"/>
        <w:ind w:firstLine="3316" w:firstLineChars="1382"/>
        <w:rPr>
          <w:rFonts w:hAnsi="宋体"/>
          <w:bCs/>
          <w:color w:val="000000" w:themeColor="text1"/>
          <w:sz w:val="24"/>
          <w:u w:val="single"/>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投标</w:t>
      </w:r>
      <w:r>
        <w:rPr>
          <w:rFonts w:hint="eastAsia" w:hAnsi="宋体"/>
          <w:bCs/>
          <w:color w:val="000000" w:themeColor="text1"/>
          <w:sz w:val="24"/>
          <w14:textFill>
            <w14:solidFill>
              <w14:schemeClr w14:val="tx1"/>
            </w14:solidFill>
          </w14:textFill>
        </w:rPr>
        <w:t>时间：</w:t>
      </w:r>
    </w:p>
    <w:p>
      <w:pPr>
        <w:spacing w:line="360" w:lineRule="auto"/>
        <w:rPr>
          <w:bCs/>
          <w:color w:val="000000" w:themeColor="text1"/>
          <w14:textFill>
            <w14:solidFill>
              <w14:schemeClr w14:val="tx1"/>
            </w14:solidFill>
          </w14:textFill>
        </w:rPr>
      </w:pPr>
      <w:r>
        <w:rPr>
          <w:bCs/>
          <w:color w:val="000000" w:themeColor="text1"/>
          <w14:textFill>
            <w14:solidFill>
              <w14:schemeClr w14:val="tx1"/>
            </w14:solidFill>
          </w14:textFill>
        </w:rPr>
        <w:br w:type="page"/>
      </w:r>
    </w:p>
    <w:p>
      <w:pPr>
        <w:pStyle w:val="4"/>
        <w:numPr>
          <w:ilvl w:val="0"/>
          <w:numId w:val="45"/>
        </w:numPr>
        <w:spacing w:before="0" w:after="0" w:line="360" w:lineRule="auto"/>
        <w:ind w:left="1288" w:hanging="1288"/>
        <w:rPr>
          <w:rFonts w:ascii="宋体" w:hAnsi="宋体" w:eastAsia="宋体"/>
          <w:color w:val="000000" w:themeColor="text1"/>
          <w:sz w:val="31"/>
          <w:szCs w:val="31"/>
          <w14:textFill>
            <w14:solidFill>
              <w14:schemeClr w14:val="tx1"/>
            </w14:solidFill>
          </w14:textFill>
        </w:rPr>
      </w:pPr>
      <w:bookmarkStart w:id="162" w:name="_Toc494745324"/>
      <w:bookmarkStart w:id="163" w:name="_Toc494702277"/>
      <w:bookmarkStart w:id="164" w:name="_Toc17728"/>
      <w:bookmarkStart w:id="165" w:name="_Toc494665007"/>
      <w:bookmarkStart w:id="166" w:name="_Toc494577412"/>
      <w:bookmarkStart w:id="167" w:name="_Toc494665560"/>
      <w:bookmarkStart w:id="168" w:name="_Toc494665957"/>
      <w:bookmarkStart w:id="169" w:name="_Toc494721107"/>
      <w:r>
        <w:rPr>
          <w:rFonts w:hint="eastAsia" w:ascii="宋体" w:hAnsi="宋体" w:eastAsia="宋体"/>
          <w:color w:val="000000" w:themeColor="text1"/>
          <w:sz w:val="31"/>
          <w:szCs w:val="31"/>
          <w14:textFill>
            <w14:solidFill>
              <w14:schemeClr w14:val="tx1"/>
            </w14:solidFill>
          </w14:textFill>
        </w:rPr>
        <w:t>小型和微型企业、监狱企业、残疾人福利性单位货物汇总表</w:t>
      </w:r>
      <w:bookmarkEnd w:id="162"/>
      <w:bookmarkEnd w:id="163"/>
      <w:bookmarkEnd w:id="164"/>
      <w:bookmarkEnd w:id="165"/>
      <w:bookmarkEnd w:id="166"/>
      <w:bookmarkEnd w:id="167"/>
      <w:bookmarkEnd w:id="168"/>
      <w:bookmarkEnd w:id="169"/>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Cs/>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序号</w:t>
            </w:r>
          </w:p>
        </w:tc>
        <w:tc>
          <w:tcPr>
            <w:tcW w:w="1552"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制造商名称</w:t>
            </w:r>
          </w:p>
        </w:tc>
        <w:tc>
          <w:tcPr>
            <w:tcW w:w="1560"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货物名称</w:t>
            </w:r>
          </w:p>
        </w:tc>
        <w:tc>
          <w:tcPr>
            <w:tcW w:w="1133"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规格型号</w:t>
            </w:r>
          </w:p>
        </w:tc>
        <w:tc>
          <w:tcPr>
            <w:tcW w:w="848"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数量</w:t>
            </w:r>
          </w:p>
        </w:tc>
        <w:tc>
          <w:tcPr>
            <w:tcW w:w="1100"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单价</w:t>
            </w:r>
          </w:p>
        </w:tc>
        <w:tc>
          <w:tcPr>
            <w:tcW w:w="1134"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分项</w:t>
            </w:r>
          </w:p>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1468"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shd w:val="clear" w:color="auto" w:fill="auto"/>
            <w:vAlign w:val="center"/>
          </w:tcPr>
          <w:p>
            <w:pPr>
              <w:spacing w:line="360" w:lineRule="auto"/>
              <w:jc w:val="left"/>
              <w:rPr>
                <w:rFonts w:ascii="宋体" w:hAns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70" w:name="_Toc494702278"/>
      <w:bookmarkStart w:id="171" w:name="_Toc494665561"/>
      <w:bookmarkStart w:id="172" w:name="_Toc494665008"/>
      <w:bookmarkStart w:id="173" w:name="_Toc494721108"/>
      <w:bookmarkStart w:id="174" w:name="_Toc494745325"/>
      <w:bookmarkStart w:id="175" w:name="_Toc494665958"/>
      <w:bookmarkStart w:id="176" w:name="_Toc24339"/>
      <w:r>
        <w:rPr>
          <w:rFonts w:hint="eastAsia" w:ascii="宋体" w:hAnsi="宋体" w:eastAsia="宋体"/>
          <w:color w:val="000000" w:themeColor="text1"/>
          <w14:textFill>
            <w14:solidFill>
              <w14:schemeClr w14:val="tx1"/>
            </w14:solidFill>
          </w14:textFill>
        </w:rPr>
        <w:t>投标货物（工程或服务）清单</w:t>
      </w:r>
      <w:bookmarkEnd w:id="170"/>
      <w:bookmarkEnd w:id="171"/>
      <w:bookmarkEnd w:id="172"/>
      <w:bookmarkEnd w:id="173"/>
      <w:bookmarkEnd w:id="174"/>
      <w:bookmarkEnd w:id="175"/>
      <w:bookmarkEnd w:id="176"/>
    </w:p>
    <w:p>
      <w:pPr>
        <w:adjustRightInd w:val="0"/>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 标 人：</w:t>
      </w:r>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r>
        <w:rPr>
          <w:rFonts w:hint="eastAsia" w:ascii="宋体" w:hAnsi="宋体" w:eastAsia="宋体" w:cs="Times New Roman"/>
          <w:b/>
          <w:bCs/>
          <w:color w:val="000000" w:themeColor="text1"/>
          <w:sz w:val="24"/>
          <w:szCs w:val="21"/>
          <w:lang w:val="zh-CN"/>
          <w14:textFill>
            <w14:solidFill>
              <w14:schemeClr w14:val="tx1"/>
            </w14:solidFill>
          </w14:textFill>
        </w:rPr>
        <w:t>：</w:t>
      </w:r>
    </w:p>
    <w:tbl>
      <w:tblPr>
        <w:tblStyle w:val="23"/>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722" w:type="dxa"/>
            <w:tcBorders>
              <w:top w:val="single" w:color="auto" w:sz="4" w:space="0"/>
            </w:tcBorders>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851" w:type="dxa"/>
            <w:tcBorders>
              <w:top w:val="single" w:color="auto" w:sz="4" w:space="0"/>
            </w:tcBorders>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593" w:type="dxa"/>
            <w:tcBorders>
              <w:top w:val="single" w:color="auto" w:sz="4" w:space="0"/>
            </w:tcBorders>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722"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722"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722"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722"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722"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722"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vAlign w:val="center"/>
          </w:tcPr>
          <w:p>
            <w:pPr>
              <w:adjustRightInd w:val="0"/>
              <w:snapToGrid w:val="0"/>
              <w:spacing w:line="360" w:lineRule="auto"/>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bl>
    <w:p>
      <w:pPr>
        <w:spacing w:line="360" w:lineRule="auto"/>
        <w:ind w:left="1078" w:hanging="1077" w:hangingChars="4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r>
        <w:rPr>
          <w:color w:val="000000" w:themeColor="text1"/>
          <w14:textFill>
            <w14:solidFill>
              <w14:schemeClr w14:val="tx1"/>
            </w14:solidFill>
          </w14:textFill>
        </w:rPr>
        <w:br w:type="page"/>
      </w:r>
    </w:p>
    <w:p>
      <w:pPr>
        <w:spacing w:line="360" w:lineRule="auto"/>
        <w:rPr>
          <w:color w:val="000000" w:themeColor="text1"/>
          <w14:textFill>
            <w14:solidFill>
              <w14:schemeClr w14:val="tx1"/>
            </w14:solidFill>
          </w14:textFill>
        </w:rPr>
      </w:pPr>
    </w:p>
    <w:p>
      <w:pPr>
        <w:pStyle w:val="4"/>
        <w:numPr>
          <w:ilvl w:val="0"/>
          <w:numId w:val="45"/>
        </w:numPr>
        <w:spacing w:before="0" w:after="0" w:line="360" w:lineRule="auto"/>
        <w:ind w:left="1288" w:hanging="1288"/>
        <w:rPr>
          <w:rFonts w:ascii="宋体" w:hAnsi="宋体" w:eastAsia="宋体"/>
          <w:color w:val="000000" w:themeColor="text1"/>
          <w14:textFill>
            <w14:solidFill>
              <w14:schemeClr w14:val="tx1"/>
            </w14:solidFill>
          </w14:textFill>
        </w:rPr>
      </w:pPr>
      <w:bookmarkStart w:id="177" w:name="_Toc494702280"/>
      <w:bookmarkStart w:id="178" w:name="_Toc238276247"/>
      <w:bookmarkStart w:id="179" w:name="_Toc494721110"/>
      <w:bookmarkStart w:id="180" w:name="_Toc494745327"/>
      <w:bookmarkStart w:id="181" w:name="_Toc494665563"/>
      <w:bookmarkStart w:id="182" w:name="_Toc236473303"/>
      <w:bookmarkStart w:id="183" w:name="_Toc494665960"/>
      <w:bookmarkStart w:id="184" w:name="_Toc494665010"/>
      <w:bookmarkStart w:id="185" w:name="_Toc10250"/>
      <w:r>
        <w:rPr>
          <w:rFonts w:hint="eastAsia" w:ascii="宋体" w:hAnsi="宋体" w:eastAsia="宋体"/>
          <w:color w:val="000000" w:themeColor="text1"/>
          <w14:textFill>
            <w14:solidFill>
              <w14:schemeClr w14:val="tx1"/>
            </w14:solidFill>
          </w14:textFill>
        </w:rPr>
        <w:t>法定代表人授权书</w:t>
      </w:r>
      <w:bookmarkEnd w:id="177"/>
      <w:bookmarkEnd w:id="178"/>
      <w:bookmarkEnd w:id="179"/>
      <w:bookmarkEnd w:id="180"/>
      <w:bookmarkEnd w:id="181"/>
      <w:bookmarkEnd w:id="182"/>
      <w:bookmarkEnd w:id="183"/>
      <w:bookmarkEnd w:id="184"/>
      <w:bookmarkEnd w:id="185"/>
    </w:p>
    <w:p>
      <w:pPr>
        <w:spacing w:line="360" w:lineRule="auto"/>
        <w:rPr>
          <w:rFonts w:ascii="宋体" w:hAnsi="宋体" w:eastAsia="宋体" w:cs="Times New Roman"/>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采购人（或代理公司）</w:t>
      </w:r>
      <w:r>
        <w:rPr>
          <w:rFonts w:hint="eastAsia" w:ascii="宋体" w:hAnsi="宋体" w:cs="Courier New"/>
          <w:bCs/>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兹授权</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同志为我单位参加贵方组织的</w:t>
      </w:r>
      <w:r>
        <w:rPr>
          <w:rFonts w:hint="eastAsia" w:ascii="Times New Roman" w:hAnsi="宋体" w:eastAsia="宋体" w:cs="Times New Roman"/>
          <w:color w:val="000000" w:themeColor="text1"/>
          <w:sz w:val="24"/>
          <w:szCs w:val="24"/>
          <w14:textFill>
            <w14:solidFill>
              <w14:schemeClr w14:val="tx1"/>
            </w14:solidFill>
          </w14:textFill>
        </w:rPr>
        <w:t>____项目（项目编号：______）</w:t>
      </w:r>
      <w:r>
        <w:rPr>
          <w:rFonts w:hint="eastAsia" w:ascii="宋体" w:hAnsi="宋体" w:eastAsia="宋体" w:cs="Times New Roman"/>
          <w:color w:val="000000" w:themeColor="text1"/>
          <w:sz w:val="24"/>
          <w:szCs w:val="24"/>
          <w14:textFill>
            <w14:solidFill>
              <w14:schemeClr w14:val="tx1"/>
            </w14:solidFill>
          </w14:textFill>
        </w:rPr>
        <w:t>采购活动的投标人授权代表，全权代表我公司处理在</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项目采购活动中的一切事宜。代理期限从</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日起至</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 xml:space="preserve">日止。 </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授权单位（公章）：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法定代表人（签字或盖章）</w:t>
      </w:r>
      <w:r>
        <w:rPr>
          <w:rFonts w:hint="eastAsia" w:hAnsi="宋体"/>
          <w:color w:val="000000" w:themeColor="text1"/>
          <w:sz w:val="24"/>
          <w14:textFill>
            <w14:solidFill>
              <w14:schemeClr w14:val="tx1"/>
            </w14:solidFill>
          </w14:textFill>
        </w:rPr>
        <w:t>：</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签发日期：</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1"/>
          <w:lang w:val="zh-CN"/>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1"/>
          <w:lang w:val="zh-CN"/>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1"/>
          <w:lang w:val="zh-CN"/>
          <w14:textFill>
            <w14:solidFill>
              <w14:schemeClr w14:val="tx1"/>
            </w14:solidFill>
          </w14:textFill>
        </w:rPr>
        <w:t>日</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职务： 性别：</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身份证号码：</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粘贴被授权人身份证（清晰影印件）</w:t>
            </w:r>
          </w:p>
        </w:tc>
      </w:tr>
    </w:tbl>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186" w:name="_Toc494721111"/>
      <w:bookmarkStart w:id="187" w:name="_Toc236473304"/>
      <w:bookmarkStart w:id="188" w:name="_Toc494745328"/>
      <w:bookmarkStart w:id="189" w:name="_Toc238276248"/>
      <w:bookmarkStart w:id="190" w:name="_Toc494665961"/>
      <w:bookmarkStart w:id="191" w:name="_Toc494702281"/>
      <w:bookmarkStart w:id="192" w:name="_Toc494665011"/>
      <w:bookmarkStart w:id="193" w:name="_Toc494665564"/>
      <w:bookmarkStart w:id="194" w:name="_Toc26945"/>
      <w:r>
        <w:rPr>
          <w:rFonts w:hint="eastAsia" w:ascii="宋体" w:hAnsi="宋体" w:eastAsia="宋体"/>
          <w:color w:val="000000" w:themeColor="text1"/>
          <w14:textFill>
            <w14:solidFill>
              <w14:schemeClr w14:val="tx1"/>
            </w14:solidFill>
          </w14:textFill>
        </w:rPr>
        <w:t>投标人的资格声明</w:t>
      </w:r>
      <w:bookmarkEnd w:id="186"/>
      <w:bookmarkEnd w:id="187"/>
      <w:bookmarkEnd w:id="188"/>
      <w:bookmarkEnd w:id="189"/>
      <w:bookmarkEnd w:id="190"/>
      <w:bookmarkEnd w:id="191"/>
      <w:bookmarkEnd w:id="192"/>
      <w:bookmarkEnd w:id="193"/>
      <w:bookmarkEnd w:id="194"/>
    </w:p>
    <w:p>
      <w:pPr>
        <w:spacing w:line="360" w:lineRule="auto"/>
        <w:ind w:left="1078" w:hanging="1077" w:hangingChars="449"/>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1．名称及基本情况：</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（2）地址：     邮编：</w:t>
      </w:r>
    </w:p>
    <w:p>
      <w:pPr>
        <w:spacing w:line="360" w:lineRule="auto"/>
        <w:ind w:firstLine="840" w:firstLineChars="35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     传真：</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（3）成立或注册日期：</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（4）单位性质：</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（5）法定代表人或主要负责人：</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（6）员工人数：</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（7）注册资本：</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（8）实收资本：</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（9）上年末资产负债表：</w:t>
      </w:r>
    </w:p>
    <w:p>
      <w:pPr>
        <w:spacing w:line="360" w:lineRule="auto"/>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1）固定资产</w:t>
      </w:r>
    </w:p>
    <w:p>
      <w:pPr>
        <w:spacing w:line="360" w:lineRule="auto"/>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原   值：    净   值： </w:t>
      </w:r>
    </w:p>
    <w:p>
      <w:pPr>
        <w:spacing w:line="360" w:lineRule="auto"/>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2）流动资金：</w:t>
      </w:r>
    </w:p>
    <w:p>
      <w:pPr>
        <w:spacing w:line="360" w:lineRule="auto"/>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3）长期负债：</w:t>
      </w:r>
    </w:p>
    <w:p>
      <w:pPr>
        <w:spacing w:line="360" w:lineRule="auto"/>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4）短期负债：</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2．投标人认为需要声明的其它情况：                         </w:t>
      </w:r>
    </w:p>
    <w:p>
      <w:pPr>
        <w:spacing w:line="360" w:lineRule="auto"/>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w:t>
      </w:r>
      <w:r>
        <w:rPr>
          <w:rFonts w:hint="eastAsia" w:ascii="Times New Roman" w:hAnsi="宋体" w:eastAsia="宋体" w:cs="Times New Roman"/>
          <w:bCs/>
          <w:color w:val="000000" w:themeColor="text1"/>
          <w:sz w:val="24"/>
          <w:szCs w:val="24"/>
          <w14:textFill>
            <w14:solidFill>
              <w14:schemeClr w14:val="tx1"/>
            </w14:solidFill>
          </w14:textFill>
        </w:rPr>
        <w:t>（公章）</w:t>
      </w:r>
      <w:r>
        <w:rPr>
          <w:rFonts w:hint="eastAsia" w:ascii="宋体" w:hAnsi="宋体" w:eastAsia="宋体" w:cs="Times New Roman"/>
          <w:bCs/>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Cs/>
          <w:color w:val="000000" w:themeColor="text1"/>
          <w:sz w:val="24"/>
          <w:szCs w:val="24"/>
          <w14:textFill>
            <w14:solidFill>
              <w14:schemeClr w14:val="tx1"/>
            </w14:solidFill>
          </w14:textFill>
        </w:rPr>
      </w:pPr>
      <w:r>
        <w:rPr>
          <w:rFonts w:hint="eastAsia" w:ascii="Times New Roman" w:hAnsi="宋体" w:eastAsia="宋体" w:cs="Times New Roman"/>
          <w:bCs/>
          <w:color w:val="000000" w:themeColor="text1"/>
          <w:sz w:val="24"/>
          <w:szCs w:val="24"/>
          <w14:textFill>
            <w14:solidFill>
              <w14:schemeClr w14:val="tx1"/>
            </w14:solidFill>
          </w14:textFill>
        </w:rPr>
        <w:t>法定代表人（签字或盖章）</w:t>
      </w:r>
      <w:r>
        <w:rPr>
          <w:rFonts w:hint="eastAsia" w:ascii="宋体" w:hAnsi="宋体" w:eastAsia="宋体" w:cs="Times New Roman"/>
          <w:bCs/>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电    话：</w:t>
      </w:r>
    </w:p>
    <w:p>
      <w:pPr>
        <w:spacing w:line="360" w:lineRule="auto"/>
        <w:ind w:left="504" w:leftChars="240"/>
        <w:rPr>
          <w:rFonts w:ascii="宋体" w:hAnsi="宋体" w:eastAsia="宋体" w:cs="Times New Roman"/>
          <w:bCs/>
          <w:color w:val="000000" w:themeColor="text1"/>
          <w:sz w:val="24"/>
          <w:szCs w:val="24"/>
          <w:u w:val="single"/>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传    真：</w:t>
      </w:r>
    </w:p>
    <w:p>
      <w:pPr>
        <w:spacing w:line="360" w:lineRule="auto"/>
        <w:ind w:left="504" w:leftChars="24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日    期：年月 日</w:t>
      </w: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17"/>
        <w:spacing w:line="360" w:lineRule="auto"/>
        <w:rPr>
          <w:color w:val="000000" w:themeColor="text1"/>
          <w14:textFill>
            <w14:solidFill>
              <w14:schemeClr w14:val="tx1"/>
            </w14:solidFill>
          </w14:textFill>
        </w:rPr>
      </w:pP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195" w:name="_Toc494665565"/>
      <w:bookmarkStart w:id="196" w:name="_Toc494665012"/>
      <w:bookmarkStart w:id="197" w:name="_Toc29430"/>
      <w:bookmarkStart w:id="198" w:name="_Toc494702282"/>
      <w:bookmarkStart w:id="199" w:name="_Toc494665962"/>
      <w:bookmarkStart w:id="200" w:name="_Toc494745329"/>
      <w:bookmarkStart w:id="201" w:name="_Toc494721112"/>
      <w:r>
        <w:rPr>
          <w:rFonts w:hint="eastAsia" w:ascii="宋体" w:hAnsi="宋体" w:eastAsia="宋体"/>
          <w:color w:val="000000" w:themeColor="text1"/>
          <w14:textFill>
            <w14:solidFill>
              <w14:schemeClr w14:val="tx1"/>
            </w14:solidFill>
          </w14:textFill>
        </w:rPr>
        <w:t>项目负责人、技术负责人简历表</w:t>
      </w:r>
      <w:bookmarkEnd w:id="195"/>
      <w:bookmarkEnd w:id="196"/>
      <w:bookmarkEnd w:id="197"/>
      <w:bookmarkEnd w:id="198"/>
      <w:bookmarkEnd w:id="199"/>
      <w:bookmarkEnd w:id="200"/>
      <w:bookmarkEnd w:id="201"/>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02" w:name="_Toc494665963"/>
      <w:bookmarkStart w:id="203" w:name="_Toc494665566"/>
      <w:bookmarkStart w:id="204" w:name="_Toc494665013"/>
      <w:bookmarkStart w:id="205" w:name="_Toc494721113"/>
      <w:bookmarkStart w:id="206" w:name="_Toc494745330"/>
      <w:bookmarkStart w:id="207" w:name="_Toc494702283"/>
      <w:bookmarkStart w:id="208" w:name="_Toc18619"/>
      <w:bookmarkStart w:id="209" w:name="_Toc238276251"/>
      <w:bookmarkStart w:id="210" w:name="_Toc236473307"/>
      <w:r>
        <w:rPr>
          <w:rFonts w:hint="eastAsia" w:ascii="宋体" w:hAnsi="宋体" w:eastAsia="宋体"/>
          <w:color w:val="000000" w:themeColor="text1"/>
          <w14:textFill>
            <w14:solidFill>
              <w14:schemeClr w14:val="tx1"/>
            </w14:solidFill>
          </w14:textFill>
        </w:rPr>
        <w:t>项目班子成员情况表</w:t>
      </w:r>
      <w:bookmarkEnd w:id="202"/>
      <w:bookmarkEnd w:id="203"/>
      <w:bookmarkEnd w:id="204"/>
      <w:bookmarkEnd w:id="205"/>
      <w:bookmarkEnd w:id="206"/>
      <w:bookmarkEnd w:id="207"/>
      <w:bookmarkEnd w:id="208"/>
      <w:bookmarkEnd w:id="209"/>
      <w:bookmarkEnd w:id="210"/>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Cs/>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eastAsia="宋体" w:cs="Corbel"/>
          <w:color w:val="000000" w:themeColor="text1"/>
          <w:sz w:val="24"/>
          <w:szCs w:val="21"/>
          <w:lang w:val="zh-CN"/>
          <w14:textFill>
            <w14:solidFill>
              <w14:schemeClr w14:val="tx1"/>
            </w14:solidFill>
          </w14:textFill>
        </w:rPr>
        <w:t>未按照要求详细完整填写此表，</w:t>
      </w:r>
      <w:r>
        <w:rPr>
          <w:rFonts w:hint="eastAsia" w:ascii="宋体" w:hAnsi="宋体" w:eastAsia="宋体" w:cs="Times New Roman"/>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11" w:name="_Toc494702284"/>
      <w:bookmarkStart w:id="212" w:name="_Toc494721114"/>
      <w:bookmarkStart w:id="213" w:name="_Toc238276256"/>
      <w:bookmarkStart w:id="214" w:name="_Toc494665567"/>
      <w:bookmarkStart w:id="215" w:name="_Toc494665964"/>
      <w:bookmarkStart w:id="216" w:name="_Toc7669"/>
      <w:bookmarkStart w:id="217" w:name="_Toc236473312"/>
      <w:bookmarkStart w:id="218" w:name="_Toc494745331"/>
      <w:bookmarkStart w:id="219" w:name="_Toc494665014"/>
      <w:r>
        <w:rPr>
          <w:rFonts w:hint="eastAsia" w:ascii="宋体" w:hAnsi="宋体" w:eastAsia="宋体"/>
          <w:color w:val="000000" w:themeColor="text1"/>
          <w14:textFill>
            <w14:solidFill>
              <w14:schemeClr w14:val="tx1"/>
            </w14:solidFill>
          </w14:textFill>
        </w:rPr>
        <w:t>投标人类似项目业绩一览表</w:t>
      </w:r>
      <w:bookmarkEnd w:id="211"/>
      <w:bookmarkEnd w:id="212"/>
      <w:bookmarkEnd w:id="213"/>
      <w:bookmarkEnd w:id="214"/>
      <w:bookmarkEnd w:id="215"/>
      <w:bookmarkEnd w:id="216"/>
      <w:bookmarkEnd w:id="217"/>
      <w:bookmarkEnd w:id="218"/>
      <w:bookmarkEnd w:id="219"/>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p>
      <w:pPr>
        <w:pStyle w:val="17"/>
        <w:spacing w:line="360" w:lineRule="auto"/>
        <w:rPr>
          <w:bCs/>
          <w:color w:val="000000" w:themeColor="text1"/>
          <w:lang w:val="zh-CN"/>
          <w14:textFill>
            <w14:solidFill>
              <w14:schemeClr w14:val="tx1"/>
            </w14:solidFill>
          </w14:textFill>
        </w:rPr>
      </w:pPr>
    </w:p>
    <w:tbl>
      <w:tblPr>
        <w:tblStyle w:val="23"/>
        <w:tblW w:w="10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32"/>
        <w:gridCol w:w="2396"/>
        <w:gridCol w:w="708"/>
        <w:gridCol w:w="1418"/>
        <w:gridCol w:w="1134"/>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序号</w:t>
            </w:r>
          </w:p>
        </w:tc>
        <w:tc>
          <w:tcPr>
            <w:tcW w:w="143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服务时间</w:t>
            </w:r>
          </w:p>
        </w:tc>
        <w:tc>
          <w:tcPr>
            <w:tcW w:w="2396"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项目名称</w:t>
            </w:r>
          </w:p>
        </w:tc>
        <w:tc>
          <w:tcPr>
            <w:tcW w:w="70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供货内容</w:t>
            </w:r>
          </w:p>
        </w:tc>
        <w:tc>
          <w:tcPr>
            <w:tcW w:w="141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合同总额</w:t>
            </w:r>
          </w:p>
        </w:tc>
        <w:tc>
          <w:tcPr>
            <w:tcW w:w="1134"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买方名称</w:t>
            </w:r>
          </w:p>
        </w:tc>
        <w:tc>
          <w:tcPr>
            <w:tcW w:w="1417"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联系人</w:t>
            </w:r>
          </w:p>
        </w:tc>
        <w:tc>
          <w:tcPr>
            <w:tcW w:w="1276"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1</w:t>
            </w:r>
          </w:p>
        </w:tc>
        <w:tc>
          <w:tcPr>
            <w:tcW w:w="143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239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41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134"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417"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27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2</w:t>
            </w:r>
          </w:p>
        </w:tc>
        <w:tc>
          <w:tcPr>
            <w:tcW w:w="143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239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41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134"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1417"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27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3</w:t>
            </w:r>
          </w:p>
        </w:tc>
        <w:tc>
          <w:tcPr>
            <w:tcW w:w="143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239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41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134"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1417"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27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4</w:t>
            </w:r>
          </w:p>
        </w:tc>
        <w:tc>
          <w:tcPr>
            <w:tcW w:w="143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239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41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134"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1417"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27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r>
              <w:rPr>
                <w:rFonts w:hint="eastAsia" w:ascii="华文细黑" w:hAnsi="华文细黑" w:cs="宋体"/>
                <w:color w:val="000000" w:themeColor="text1"/>
                <w:szCs w:val="21"/>
                <w14:textFill>
                  <w14:solidFill>
                    <w14:schemeClr w14:val="tx1"/>
                  </w14:solidFill>
                </w14:textFill>
              </w:rPr>
              <w:t>5</w:t>
            </w:r>
          </w:p>
        </w:tc>
        <w:tc>
          <w:tcPr>
            <w:tcW w:w="1432"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239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418"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134"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c>
          <w:tcPr>
            <w:tcW w:w="1417" w:type="dxa"/>
          </w:tcPr>
          <w:p>
            <w:pPr>
              <w:adjustRightInd w:val="0"/>
              <w:snapToGrid w:val="0"/>
              <w:spacing w:line="360" w:lineRule="auto"/>
              <w:jc w:val="center"/>
              <w:rPr>
                <w:rFonts w:ascii="华文细黑" w:hAnsi="华文细黑" w:cs="宋体"/>
                <w:color w:val="000000" w:themeColor="text1"/>
                <w:szCs w:val="21"/>
                <w14:textFill>
                  <w14:solidFill>
                    <w14:schemeClr w14:val="tx1"/>
                  </w14:solidFill>
                </w14:textFill>
              </w:rPr>
            </w:pPr>
          </w:p>
        </w:tc>
        <w:tc>
          <w:tcPr>
            <w:tcW w:w="1276" w:type="dxa"/>
          </w:tcPr>
          <w:p>
            <w:pPr>
              <w:adjustRightInd w:val="0"/>
              <w:snapToGrid w:val="0"/>
              <w:spacing w:line="360" w:lineRule="auto"/>
              <w:rPr>
                <w:rFonts w:ascii="华文细黑" w:hAnsi="华文细黑" w:cs="宋体"/>
                <w:color w:val="000000" w:themeColor="text1"/>
                <w:szCs w:val="21"/>
                <w14:textFill>
                  <w14:solidFill>
                    <w14:schemeClr w14:val="tx1"/>
                  </w14:solidFill>
                </w14:textFill>
              </w:rPr>
            </w:pPr>
          </w:p>
        </w:tc>
      </w:tr>
    </w:tbl>
    <w:p>
      <w:pPr>
        <w:pStyle w:val="17"/>
        <w:spacing w:line="360" w:lineRule="auto"/>
        <w:rPr>
          <w:color w:val="000000" w:themeColor="text1"/>
          <w:lang w:val="zh-CN"/>
          <w14:textFill>
            <w14:solidFill>
              <w14:schemeClr w14:val="tx1"/>
            </w14:solidFill>
          </w14:textFill>
        </w:rPr>
      </w:pP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注：供应商须按上表提供业绩证明资料（中标通知书或合同复印件加盖公章）。</w:t>
      </w: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20" w:name="_Toc494745332"/>
      <w:bookmarkStart w:id="221" w:name="_Toc494665568"/>
      <w:bookmarkStart w:id="222" w:name="_Toc19735"/>
      <w:bookmarkStart w:id="223" w:name="_Toc494665965"/>
      <w:bookmarkStart w:id="224" w:name="_Toc494665015"/>
      <w:bookmarkStart w:id="225" w:name="_Toc494702285"/>
      <w:bookmarkStart w:id="226" w:name="_Toc494721115"/>
      <w:r>
        <w:rPr>
          <w:rFonts w:hint="eastAsia" w:ascii="宋体" w:hAnsi="宋体" w:eastAsia="宋体"/>
          <w:color w:val="000000" w:themeColor="text1"/>
          <w14:textFill>
            <w14:solidFill>
              <w14:schemeClr w14:val="tx1"/>
            </w14:solidFill>
          </w14:textFill>
        </w:rPr>
        <w:t>符合性审查对照表</w:t>
      </w:r>
      <w:bookmarkEnd w:id="220"/>
      <w:bookmarkEnd w:id="221"/>
      <w:bookmarkEnd w:id="222"/>
      <w:bookmarkEnd w:id="223"/>
      <w:bookmarkEnd w:id="224"/>
      <w:bookmarkEnd w:id="225"/>
      <w:bookmarkEnd w:id="226"/>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符合性审查条款</w:t>
            </w:r>
          </w:p>
        </w:tc>
        <w:tc>
          <w:tcPr>
            <w:tcW w:w="2754"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3"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02"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投标人</w:t>
      </w:r>
      <w:r>
        <w:rPr>
          <w:rFonts w:hint="eastAsia" w:ascii="宋体" w:hAnsi="宋体" w:eastAsia="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27" w:name="_Toc494665569"/>
      <w:bookmarkStart w:id="228" w:name="_Toc494702286"/>
      <w:bookmarkStart w:id="229" w:name="_Toc23530"/>
      <w:bookmarkStart w:id="230" w:name="_Toc494665966"/>
      <w:bookmarkStart w:id="231" w:name="_Toc494721116"/>
      <w:bookmarkStart w:id="232" w:name="_Toc494665016"/>
      <w:bookmarkStart w:id="233" w:name="_Toc494745333"/>
      <w:r>
        <w:rPr>
          <w:rFonts w:hint="eastAsia" w:ascii="宋体" w:hAnsi="宋体" w:eastAsia="宋体"/>
          <w:color w:val="000000" w:themeColor="text1"/>
          <w14:textFill>
            <w14:solidFill>
              <w14:schemeClr w14:val="tx1"/>
            </w14:solidFill>
          </w14:textFill>
        </w:rPr>
        <w:t>商务要求响应、偏离说明表</w:t>
      </w:r>
      <w:bookmarkEnd w:id="227"/>
      <w:bookmarkEnd w:id="228"/>
      <w:bookmarkEnd w:id="229"/>
      <w:bookmarkEnd w:id="230"/>
      <w:bookmarkEnd w:id="231"/>
      <w:bookmarkEnd w:id="232"/>
      <w:bookmarkEnd w:id="233"/>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Cs/>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招标文件商务要求条款</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w:t>
      </w:r>
      <w:r>
        <w:rPr>
          <w:rFonts w:hint="eastAsia" w:ascii="宋体" w:hAnsi="宋体" w:eastAsia="宋体" w:cs="Times New Roman"/>
          <w:color w:val="000000" w:themeColor="text1"/>
          <w:sz w:val="24"/>
          <w:szCs w:val="24"/>
          <w14:textFill>
            <w14:solidFill>
              <w14:schemeClr w14:val="tx1"/>
            </w14:solidFill>
          </w14:textFill>
        </w:rPr>
        <w:t>提供</w:t>
      </w:r>
      <w:r>
        <w:rPr>
          <w:rFonts w:hint="eastAsia" w:ascii="宋体" w:hAnsi="宋体" w:eastAsia="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34" w:name="_Toc494665570"/>
      <w:bookmarkStart w:id="235" w:name="_Toc494745334"/>
      <w:bookmarkStart w:id="236" w:name="_Toc8375"/>
      <w:bookmarkStart w:id="237" w:name="_Toc494665017"/>
      <w:bookmarkStart w:id="238" w:name="_Toc494702287"/>
      <w:bookmarkStart w:id="239" w:name="_Toc494665967"/>
      <w:bookmarkStart w:id="240" w:name="_Toc494721117"/>
      <w:r>
        <w:rPr>
          <w:rFonts w:hint="eastAsia" w:ascii="宋体" w:hAnsi="宋体" w:eastAsia="宋体"/>
          <w:color w:val="000000" w:themeColor="text1"/>
          <w14:textFill>
            <w14:solidFill>
              <w14:schemeClr w14:val="tx1"/>
            </w14:solidFill>
          </w14:textFill>
        </w:rPr>
        <w:t>商务要求“★”号条款响应、偏离说明表</w:t>
      </w:r>
      <w:bookmarkEnd w:id="234"/>
      <w:bookmarkEnd w:id="235"/>
      <w:bookmarkEnd w:id="236"/>
      <w:bookmarkEnd w:id="237"/>
      <w:bookmarkEnd w:id="238"/>
      <w:bookmarkEnd w:id="239"/>
      <w:bookmarkEnd w:id="240"/>
    </w:p>
    <w:p>
      <w:pPr>
        <w:pStyle w:val="4"/>
        <w:spacing w:before="0" w:after="0" w:line="360" w:lineRule="auto"/>
        <w:rPr>
          <w:rFonts w:ascii="宋体" w:hAnsi="宋体" w:eastAsia="宋体"/>
          <w:color w:val="000000" w:themeColor="text1"/>
          <w14:textFill>
            <w14:solidFill>
              <w14:schemeClr w14:val="tx1"/>
            </w14:solidFill>
          </w14:textFill>
        </w:rPr>
      </w:pPr>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Cs/>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商务要求“★”号条款</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widowControl/>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color w:val="000000" w:themeColor="text1"/>
          <w14:textFill>
            <w14:solidFill>
              <w14:schemeClr w14:val="tx1"/>
            </w14:solidFill>
          </w14:textFill>
        </w:rPr>
      </w:pP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41" w:name="_Toc494665968"/>
      <w:bookmarkStart w:id="242" w:name="_Toc494721118"/>
      <w:bookmarkStart w:id="243" w:name="_Toc494745335"/>
      <w:bookmarkStart w:id="244" w:name="_Toc494665571"/>
      <w:bookmarkStart w:id="245" w:name="_Toc27824"/>
      <w:bookmarkStart w:id="246" w:name="_Toc494702288"/>
      <w:bookmarkStart w:id="247" w:name="_Toc494665018"/>
      <w:r>
        <w:rPr>
          <w:rFonts w:hint="eastAsia" w:ascii="宋体" w:hAnsi="宋体" w:eastAsia="宋体"/>
          <w:color w:val="000000" w:themeColor="text1"/>
          <w14:textFill>
            <w14:solidFill>
              <w14:schemeClr w14:val="tx1"/>
            </w14:solidFill>
          </w14:textFill>
        </w:rPr>
        <w:t>商务评议对照表</w:t>
      </w:r>
      <w:bookmarkEnd w:id="241"/>
      <w:bookmarkEnd w:id="242"/>
      <w:bookmarkEnd w:id="243"/>
      <w:bookmarkEnd w:id="244"/>
      <w:bookmarkEnd w:id="245"/>
      <w:bookmarkEnd w:id="246"/>
      <w:bookmarkEnd w:id="247"/>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r>
        <w:rPr>
          <w:rFonts w:hint="eastAsia" w:ascii="宋体" w:hAnsi="宋体" w:eastAsia="宋体" w:cs="Times New Roman"/>
          <w:b/>
          <w:bCs/>
          <w:color w:val="000000" w:themeColor="text1"/>
          <w:sz w:val="24"/>
          <w:szCs w:val="21"/>
          <w:lang w:val="zh-CN"/>
          <w14:textFill>
            <w14:solidFill>
              <w14:schemeClr w14:val="tx1"/>
            </w14:solidFill>
          </w14:textFill>
        </w:rPr>
        <w:t>：</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spacing w:line="360" w:lineRule="auto"/>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848"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招标文件商务评分标准</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49"/>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49"/>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49"/>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49"/>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49"/>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49"/>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848"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48" w:name="_Toc494665572"/>
      <w:bookmarkStart w:id="249" w:name="_Toc494721119"/>
      <w:bookmarkStart w:id="250" w:name="_Toc494702289"/>
      <w:bookmarkStart w:id="251" w:name="_Toc494665969"/>
      <w:bookmarkStart w:id="252" w:name="_Toc494665019"/>
      <w:bookmarkStart w:id="253" w:name="_Toc494745336"/>
      <w:bookmarkStart w:id="254" w:name="_Toc12056"/>
      <w:r>
        <w:rPr>
          <w:rFonts w:hint="eastAsia" w:ascii="宋体" w:hAnsi="宋体" w:eastAsia="宋体"/>
          <w:color w:val="000000" w:themeColor="text1"/>
          <w14:textFill>
            <w14:solidFill>
              <w14:schemeClr w14:val="tx1"/>
            </w14:solidFill>
          </w14:textFill>
        </w:rPr>
        <w:t>技术、服务要求响应、偏离说明表</w:t>
      </w:r>
      <w:bookmarkEnd w:id="248"/>
      <w:bookmarkEnd w:id="249"/>
      <w:bookmarkEnd w:id="250"/>
      <w:bookmarkEnd w:id="251"/>
      <w:bookmarkEnd w:id="252"/>
      <w:bookmarkEnd w:id="253"/>
      <w:bookmarkEnd w:id="254"/>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Cs/>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1"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招标文件技术、服务要求条款</w:t>
            </w:r>
          </w:p>
        </w:tc>
        <w:tc>
          <w:tcPr>
            <w:tcW w:w="2755"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4"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1"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jc w:val="left"/>
        <w:rPr>
          <w:rFonts w:hAnsi="宋体"/>
          <w:color w:val="000000" w:themeColor="text1"/>
          <w:sz w:val="24"/>
          <w14:textFill>
            <w14:solidFill>
              <w14:schemeClr w14:val="tx1"/>
            </w14:solidFill>
          </w14:textFill>
        </w:rPr>
      </w:pPr>
      <w:bookmarkStart w:id="255" w:name="_Toc21651"/>
      <w:bookmarkStart w:id="256" w:name="_Toc494721120"/>
      <w:bookmarkStart w:id="257" w:name="_Toc494665020"/>
      <w:bookmarkStart w:id="258" w:name="_Toc494665970"/>
      <w:bookmarkStart w:id="259" w:name="_Toc494745337"/>
      <w:bookmarkStart w:id="260" w:name="_Toc494665573"/>
      <w:bookmarkStart w:id="261" w:name="_Toc494702290"/>
      <w:bookmarkStart w:id="262" w:name="_Toc329859066"/>
      <w:r>
        <w:rPr>
          <w:rFonts w:hint="eastAsia" w:ascii="宋体" w:hAnsi="宋体" w:eastAsia="宋体"/>
          <w:color w:val="000000" w:themeColor="text1"/>
          <w14:textFill>
            <w14:solidFill>
              <w14:schemeClr w14:val="tx1"/>
            </w14:solidFill>
          </w14:textFill>
        </w:rPr>
        <w:t>技术、服务要求“★”号条款响应、偏离说明表</w:t>
      </w:r>
      <w:bookmarkEnd w:id="255"/>
      <w:bookmarkEnd w:id="256"/>
      <w:bookmarkEnd w:id="257"/>
      <w:bookmarkEnd w:id="258"/>
      <w:bookmarkEnd w:id="259"/>
      <w:bookmarkEnd w:id="260"/>
      <w:bookmarkEnd w:id="261"/>
    </w:p>
    <w:p>
      <w:pPr>
        <w:pStyle w:val="4"/>
        <w:spacing w:before="0" w:after="0" w:line="360" w:lineRule="auto"/>
        <w:jc w:val="left"/>
        <w:rPr>
          <w:rFonts w:hAnsi="宋体"/>
          <w:b w:val="0"/>
          <w:bCs w:val="0"/>
          <w:color w:val="000000" w:themeColor="text1"/>
          <w:sz w:val="24"/>
          <w14:textFill>
            <w14:solidFill>
              <w14:schemeClr w14:val="tx1"/>
            </w14:solidFill>
          </w14:textFill>
        </w:rPr>
      </w:pPr>
      <w:bookmarkStart w:id="263" w:name="_Toc16120"/>
      <w:r>
        <w:rPr>
          <w:rFonts w:hint="eastAsia" w:hAnsi="宋体"/>
          <w:b w:val="0"/>
          <w:bCs w:val="0"/>
          <w:color w:val="000000" w:themeColor="text1"/>
          <w:sz w:val="24"/>
          <w14:textFill>
            <w14:solidFill>
              <w14:schemeClr w14:val="tx1"/>
            </w14:solidFill>
          </w14:textFill>
        </w:rPr>
        <w:t>投标人：</w:t>
      </w:r>
      <w:bookmarkEnd w:id="263"/>
    </w:p>
    <w:p>
      <w:pPr>
        <w:spacing w:line="360" w:lineRule="auto"/>
        <w:jc w:val="left"/>
        <w:rPr>
          <w:rFonts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技术、服务要求“★”号条款</w:t>
            </w:r>
          </w:p>
        </w:tc>
        <w:tc>
          <w:tcPr>
            <w:tcW w:w="287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50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w:t>
      </w:r>
      <w:r>
        <w:rPr>
          <w:rFonts w:hint="eastAsia" w:ascii="Times New Roman" w:hAnsi="宋体" w:eastAsia="宋体" w:cs="Times New Roman"/>
          <w:color w:val="000000" w:themeColor="text1"/>
          <w:sz w:val="24"/>
          <w:szCs w:val="24"/>
          <w14:textFill>
            <w14:solidFill>
              <w14:schemeClr w14:val="tx1"/>
            </w14:solidFill>
          </w14:textFill>
        </w:rPr>
        <w:t>“★”号</w:t>
      </w:r>
      <w:r>
        <w:rPr>
          <w:rFonts w:hint="eastAsia" w:ascii="宋体" w:hAnsi="宋体" w:eastAsia="宋体" w:cs="Corbel"/>
          <w:color w:val="000000" w:themeColor="text1"/>
          <w:sz w:val="24"/>
          <w:szCs w:val="24"/>
          <w14:textFill>
            <w14:solidFill>
              <w14:schemeClr w14:val="tx1"/>
            </w14:solidFill>
          </w14:textFill>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bookmarkEnd w:id="262"/>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45"/>
        </w:numPr>
        <w:spacing w:before="0" w:after="0" w:line="360" w:lineRule="auto"/>
        <w:ind w:left="1610" w:hanging="1610"/>
        <w:rPr>
          <w:rFonts w:ascii="宋体" w:hAnsi="宋体" w:eastAsia="宋体"/>
          <w:color w:val="000000" w:themeColor="text1"/>
          <w14:textFill>
            <w14:solidFill>
              <w14:schemeClr w14:val="tx1"/>
            </w14:solidFill>
          </w14:textFill>
        </w:rPr>
      </w:pPr>
      <w:bookmarkStart w:id="264" w:name="_Toc494665021"/>
      <w:bookmarkStart w:id="265" w:name="_Toc19576"/>
      <w:bookmarkStart w:id="266" w:name="_Toc494702291"/>
      <w:bookmarkStart w:id="267" w:name="_Toc494665574"/>
      <w:bookmarkStart w:id="268" w:name="_Toc494665971"/>
      <w:bookmarkStart w:id="269" w:name="_Toc494745338"/>
      <w:bookmarkStart w:id="270" w:name="_Toc494721121"/>
      <w:r>
        <w:rPr>
          <w:rFonts w:hint="eastAsia" w:ascii="宋体" w:hAnsi="宋体" w:eastAsia="宋体"/>
          <w:color w:val="000000" w:themeColor="text1"/>
          <w14:textFill>
            <w14:solidFill>
              <w14:schemeClr w14:val="tx1"/>
            </w14:solidFill>
          </w14:textFill>
        </w:rPr>
        <w:t>技术、服务评议对照表</w:t>
      </w:r>
      <w:bookmarkEnd w:id="264"/>
      <w:bookmarkEnd w:id="265"/>
      <w:bookmarkEnd w:id="266"/>
      <w:bookmarkEnd w:id="267"/>
      <w:bookmarkEnd w:id="268"/>
      <w:bookmarkEnd w:id="269"/>
      <w:bookmarkEnd w:id="270"/>
    </w:p>
    <w:p>
      <w:pPr>
        <w:spacing w:line="36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投标人：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Cs/>
          <w:color w:val="000000" w:themeColor="text1"/>
          <w:sz w:val="24"/>
          <w:szCs w:val="21"/>
          <w:lang w:val="zh-CN"/>
          <w14:textFill>
            <w14:solidFill>
              <w14:schemeClr w14:val="tx1"/>
            </w14:solidFill>
          </w14:textFill>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spacing w:line="360" w:lineRule="auto"/>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38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招标文件技术、服务评分标准</w:t>
            </w:r>
          </w:p>
        </w:tc>
        <w:tc>
          <w:tcPr>
            <w:tcW w:w="322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256"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983"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0"/>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0"/>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0"/>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0"/>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0"/>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0"/>
              </w:num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389"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spacing w:line="360" w:lineRule="auto"/>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60" w:lineRule="auto"/>
        <w:ind w:left="720" w:hanging="720" w:hangingChars="300"/>
        <w:rPr>
          <w:rFonts w:ascii="宋体" w:hAnsi="宋体" w:eastAsia="宋体" w:cs="Corbel"/>
          <w:color w:val="000000" w:themeColor="text1"/>
          <w:sz w:val="24"/>
          <w:szCs w:val="24"/>
          <w14:textFill>
            <w14:solidFill>
              <w14:schemeClr w14:val="tx1"/>
            </w14:solidFill>
          </w14:textFill>
        </w:rPr>
      </w:pP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投标人（公章）：</w:t>
      </w:r>
    </w:p>
    <w:p>
      <w:pPr>
        <w:spacing w:line="360" w:lineRule="auto"/>
        <w:ind w:firstLine="3316" w:firstLineChars="1382"/>
        <w:rPr>
          <w:rFonts w:hAnsi="宋体"/>
          <w:color w:val="000000" w:themeColor="text1"/>
          <w:sz w:val="24"/>
          <w:u w:val="single"/>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投标人</w:t>
      </w:r>
      <w:r>
        <w:rPr>
          <w:rFonts w:hint="eastAsia" w:hAnsi="宋体"/>
          <w:color w:val="000000" w:themeColor="text1"/>
          <w:sz w:val="24"/>
          <w14:textFill>
            <w14:solidFill>
              <w14:schemeClr w14:val="tx1"/>
            </w14:solidFill>
          </w14:textFill>
        </w:rPr>
        <w:t>授权代表（签字）：</w:t>
      </w:r>
    </w:p>
    <w:p>
      <w:pPr>
        <w:spacing w:line="360" w:lineRule="auto"/>
        <w:ind w:firstLine="3316" w:firstLineChars="1382"/>
        <w:rPr>
          <w:color w:val="000000" w:themeColor="text1"/>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投标</w:t>
      </w:r>
      <w:r>
        <w:rPr>
          <w:rFonts w:hint="eastAsia" w:hAnsi="宋体"/>
          <w:color w:val="000000" w:themeColor="text1"/>
          <w:sz w:val="24"/>
          <w14:textFill>
            <w14:solidFill>
              <w14:schemeClr w14:val="tx1"/>
            </w14:solidFill>
          </w14:textFill>
        </w:rPr>
        <w:t>时间：</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tabs>
          <w:tab w:val="left" w:pos="5460"/>
        </w:tabs>
        <w:spacing w:line="360" w:lineRule="auto"/>
        <w:rPr>
          <w:color w:val="000000" w:themeColor="text1"/>
          <w14:textFill>
            <w14:solidFill>
              <w14:schemeClr w14:val="tx1"/>
            </w14:solidFill>
          </w14:textFill>
        </w:rPr>
      </w:pPr>
    </w:p>
    <w:sectPr>
      <w:pgSz w:w="11906" w:h="16838"/>
      <w:pgMar w:top="1134" w:right="1191" w:bottom="1134" w:left="141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wordWrap w:val="0"/>
      <w:ind w:right="171" w:firstLine="360" w:firstLineChars="200"/>
      <w:jc w:val="right"/>
    </w:pPr>
    <w:r>
      <w:rPr>
        <w:rFonts w:hint="eastAsia" w:asciiTheme="minorEastAsia" w:hAnsiTheme="minorEastAsia"/>
        <w:u w:val="single"/>
        <w:lang w:val="en-US" w:eastAsia="zh-CN"/>
      </w:rPr>
      <w:t>湖北兴诚达工程咨询有限公司</w:t>
    </w:r>
    <w:r>
      <w:rPr>
        <w:rFonts w:hint="eastAsia" w:asciiTheme="minorEastAsia" w:hAnsiTheme="minorEastAsia"/>
      </w:rPr>
      <w:t>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湖北兴诚达工程咨询</w:t>
    </w:r>
    <w:r>
      <w:rPr>
        <w:rFonts w:hint="eastAsia" w:asciiTheme="minorEastAsia" w:hAnsiTheme="minorEastAsia"/>
        <w:u w:val="single"/>
      </w:rPr>
      <w:t>有限公司</w:t>
    </w:r>
    <w:r>
      <w:rPr>
        <w:rFonts w:hint="eastAsia" w:asciiTheme="minorEastAsia" w:hAnsiTheme="minorEastAsia"/>
      </w:rPr>
      <w:t>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ind w:right="-9" w:firstLine="360" w:firstLineChars="200"/>
      <w:jc w:val="right"/>
    </w:pPr>
    <w:r>
      <w:rPr>
        <w:rFonts w:hint="default"/>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lang w:val="en-US" w:eastAsia="zh-CN"/>
      </w:rPr>
      <w:t>湖北兴诚达工程咨询</w:t>
    </w:r>
    <w:r>
      <w:rPr>
        <w:rFonts w:hint="eastAsia" w:asciiTheme="minorEastAsia" w:hAnsiTheme="minorEastAsia"/>
      </w:rPr>
      <w:t>有限公司制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CE881"/>
    <w:multiLevelType w:val="singleLevel"/>
    <w:tmpl w:val="BE7CE881"/>
    <w:lvl w:ilvl="0" w:tentative="0">
      <w:start w:val="1"/>
      <w:numFmt w:val="chineseCounting"/>
      <w:suff w:val="space"/>
      <w:lvlText w:val="第%1部分"/>
      <w:lvlJc w:val="left"/>
      <w:rPr>
        <w:rFonts w:hint="eastAsia"/>
      </w:r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
    <w:nsid w:val="11D4169B"/>
    <w:multiLevelType w:val="singleLevel"/>
    <w:tmpl w:val="11D4169B"/>
    <w:lvl w:ilvl="0" w:tentative="0">
      <w:start w:val="2"/>
      <w:numFmt w:val="chineseCounting"/>
      <w:suff w:val="space"/>
      <w:lvlText w:val="第%1部分"/>
      <w:lvlJc w:val="left"/>
      <w:rPr>
        <w:rFonts w:hint="eastAsia"/>
      </w:rPr>
    </w:lvl>
  </w:abstractNum>
  <w:abstractNum w:abstractNumId="9">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2">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2C927A"/>
    <w:multiLevelType w:val="singleLevel"/>
    <w:tmpl w:val="212C927A"/>
    <w:lvl w:ilvl="0" w:tentative="0">
      <w:start w:val="1"/>
      <w:numFmt w:val="decimal"/>
      <w:lvlText w:val="(%1)"/>
      <w:lvlJc w:val="left"/>
      <w:pPr>
        <w:tabs>
          <w:tab w:val="left" w:pos="312"/>
        </w:tabs>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0">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3">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6">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1">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4">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9">
    <w:nsid w:val="5A0B11B2"/>
    <w:multiLevelType w:val="multilevel"/>
    <w:tmpl w:val="5A0B11B2"/>
    <w:lvl w:ilvl="0" w:tentative="0">
      <w:start w:val="1"/>
      <w:numFmt w:val="decimal"/>
      <w:lvlText w:val="%1. "/>
      <w:lvlJc w:val="left"/>
      <w:pPr>
        <w:ind w:left="987"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0">
    <w:nsid w:val="63469778"/>
    <w:multiLevelType w:val="singleLevel"/>
    <w:tmpl w:val="63469778"/>
    <w:lvl w:ilvl="0" w:tentative="0">
      <w:start w:val="1"/>
      <w:numFmt w:val="chineseCounting"/>
      <w:suff w:val="nothing"/>
      <w:lvlText w:val="（%1）"/>
      <w:lvlJc w:val="left"/>
      <w:rPr>
        <w:rFonts w:hint="eastAsia"/>
      </w:rPr>
    </w:lvl>
  </w:abstractNum>
  <w:abstractNum w:abstractNumId="4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2">
    <w:nsid w:val="6B81BFFD"/>
    <w:multiLevelType w:val="singleLevel"/>
    <w:tmpl w:val="6B81BFFD"/>
    <w:lvl w:ilvl="0" w:tentative="0">
      <w:start w:val="4"/>
      <w:numFmt w:val="chineseCounting"/>
      <w:suff w:val="nothing"/>
      <w:lvlText w:val="%1、"/>
      <w:lvlJc w:val="left"/>
      <w:rPr>
        <w:rFonts w:hint="eastAsia"/>
      </w:rPr>
    </w:lvl>
  </w:abstractNum>
  <w:abstractNum w:abstractNumId="43">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45">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6">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7">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4"/>
  </w:num>
  <w:num w:numId="2">
    <w:abstractNumId w:val="42"/>
  </w:num>
  <w:num w:numId="3">
    <w:abstractNumId w:val="26"/>
  </w:num>
  <w:num w:numId="4">
    <w:abstractNumId w:val="2"/>
  </w:num>
  <w:num w:numId="5">
    <w:abstractNumId w:val="31"/>
  </w:num>
  <w:num w:numId="6">
    <w:abstractNumId w:val="13"/>
  </w:num>
  <w:num w:numId="7">
    <w:abstractNumId w:val="5"/>
  </w:num>
  <w:num w:numId="8">
    <w:abstractNumId w:val="41"/>
  </w:num>
  <w:num w:numId="9">
    <w:abstractNumId w:val="28"/>
  </w:num>
  <w:num w:numId="10">
    <w:abstractNumId w:val="37"/>
  </w:num>
  <w:num w:numId="11">
    <w:abstractNumId w:val="25"/>
  </w:num>
  <w:num w:numId="12">
    <w:abstractNumId w:val="4"/>
  </w:num>
  <w:num w:numId="13">
    <w:abstractNumId w:val="20"/>
  </w:num>
  <w:num w:numId="14">
    <w:abstractNumId w:val="21"/>
  </w:num>
  <w:num w:numId="15">
    <w:abstractNumId w:val="7"/>
  </w:num>
  <w:num w:numId="16">
    <w:abstractNumId w:val="6"/>
  </w:num>
  <w:num w:numId="17">
    <w:abstractNumId w:val="47"/>
  </w:num>
  <w:num w:numId="18">
    <w:abstractNumId w:val="36"/>
  </w:num>
  <w:num w:numId="19">
    <w:abstractNumId w:val="23"/>
  </w:num>
  <w:num w:numId="20">
    <w:abstractNumId w:val="35"/>
  </w:num>
  <w:num w:numId="21">
    <w:abstractNumId w:val="27"/>
  </w:num>
  <w:num w:numId="22">
    <w:abstractNumId w:val="32"/>
  </w:num>
  <w:num w:numId="23">
    <w:abstractNumId w:val="29"/>
  </w:num>
  <w:num w:numId="24">
    <w:abstractNumId w:val="16"/>
  </w:num>
  <w:num w:numId="25">
    <w:abstractNumId w:val="39"/>
  </w:num>
  <w:num w:numId="26">
    <w:abstractNumId w:val="49"/>
  </w:num>
  <w:num w:numId="27">
    <w:abstractNumId w:val="17"/>
  </w:num>
  <w:num w:numId="28">
    <w:abstractNumId w:val="15"/>
  </w:num>
  <w:num w:numId="29">
    <w:abstractNumId w:val="1"/>
  </w:num>
  <w:num w:numId="30">
    <w:abstractNumId w:val="38"/>
    <w:lvlOverride w:ilvl="0">
      <w:startOverride w:val="1"/>
    </w:lvlOverride>
  </w:num>
  <w:num w:numId="31">
    <w:abstractNumId w:val="11"/>
  </w:num>
  <w:num w:numId="32">
    <w:abstractNumId w:val="22"/>
  </w:num>
  <w:num w:numId="33">
    <w:abstractNumId w:val="48"/>
  </w:num>
  <w:num w:numId="34">
    <w:abstractNumId w:val="40"/>
  </w:num>
  <w:num w:numId="35">
    <w:abstractNumId w:val="14"/>
  </w:num>
  <w:num w:numId="36">
    <w:abstractNumId w:val="44"/>
  </w:num>
  <w:num w:numId="37">
    <w:abstractNumId w:val="33"/>
  </w:num>
  <w:num w:numId="38">
    <w:abstractNumId w:val="10"/>
  </w:num>
  <w:num w:numId="39">
    <w:abstractNumId w:val="0"/>
  </w:num>
  <w:num w:numId="40">
    <w:abstractNumId w:val="19"/>
  </w:num>
  <w:num w:numId="41">
    <w:abstractNumId w:val="45"/>
  </w:num>
  <w:num w:numId="42">
    <w:abstractNumId w:val="8"/>
  </w:num>
  <w:num w:numId="43">
    <w:abstractNumId w:val="30"/>
  </w:num>
  <w:num w:numId="44">
    <w:abstractNumId w:val="46"/>
  </w:num>
  <w:num w:numId="45">
    <w:abstractNumId w:val="9"/>
  </w:num>
  <w:num w:numId="46">
    <w:abstractNumId w:val="43"/>
  </w:num>
  <w:num w:numId="47">
    <w:abstractNumId w:val="18"/>
  </w:num>
  <w:num w:numId="48">
    <w:abstractNumId w:val="3"/>
  </w:num>
  <w:num w:numId="49">
    <w:abstractNumId w:val="1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48FD"/>
    <w:rsid w:val="00016562"/>
    <w:rsid w:val="00017BE8"/>
    <w:rsid w:val="00020344"/>
    <w:rsid w:val="00040B72"/>
    <w:rsid w:val="00041F0E"/>
    <w:rsid w:val="000426FC"/>
    <w:rsid w:val="00046CAA"/>
    <w:rsid w:val="000550C8"/>
    <w:rsid w:val="000658A4"/>
    <w:rsid w:val="0007680A"/>
    <w:rsid w:val="00077E85"/>
    <w:rsid w:val="000812D6"/>
    <w:rsid w:val="00081EFC"/>
    <w:rsid w:val="000855FE"/>
    <w:rsid w:val="00092450"/>
    <w:rsid w:val="00093560"/>
    <w:rsid w:val="00093DE3"/>
    <w:rsid w:val="00095415"/>
    <w:rsid w:val="000A69D9"/>
    <w:rsid w:val="000B1EA5"/>
    <w:rsid w:val="000B3053"/>
    <w:rsid w:val="000B42CE"/>
    <w:rsid w:val="000C1DBB"/>
    <w:rsid w:val="000C2224"/>
    <w:rsid w:val="000C46E9"/>
    <w:rsid w:val="000C7B79"/>
    <w:rsid w:val="000D274B"/>
    <w:rsid w:val="000E0271"/>
    <w:rsid w:val="000E4686"/>
    <w:rsid w:val="000E71BE"/>
    <w:rsid w:val="000F64E0"/>
    <w:rsid w:val="00100585"/>
    <w:rsid w:val="00105BC5"/>
    <w:rsid w:val="00122C84"/>
    <w:rsid w:val="00131D63"/>
    <w:rsid w:val="00133220"/>
    <w:rsid w:val="001338E8"/>
    <w:rsid w:val="001356ED"/>
    <w:rsid w:val="001373CE"/>
    <w:rsid w:val="00155D1D"/>
    <w:rsid w:val="001641C9"/>
    <w:rsid w:val="001756AE"/>
    <w:rsid w:val="001761B7"/>
    <w:rsid w:val="00177C62"/>
    <w:rsid w:val="00185E9A"/>
    <w:rsid w:val="001A0AB1"/>
    <w:rsid w:val="001A1335"/>
    <w:rsid w:val="001A2B2A"/>
    <w:rsid w:val="001A5359"/>
    <w:rsid w:val="001A54E8"/>
    <w:rsid w:val="001B03BB"/>
    <w:rsid w:val="001B0E69"/>
    <w:rsid w:val="001B172D"/>
    <w:rsid w:val="001B38CD"/>
    <w:rsid w:val="001C23B5"/>
    <w:rsid w:val="001C6A22"/>
    <w:rsid w:val="001C7B23"/>
    <w:rsid w:val="001D0604"/>
    <w:rsid w:val="001D2460"/>
    <w:rsid w:val="001D3EE7"/>
    <w:rsid w:val="001E157C"/>
    <w:rsid w:val="001E5D69"/>
    <w:rsid w:val="001E7CEA"/>
    <w:rsid w:val="0020384B"/>
    <w:rsid w:val="00216A3E"/>
    <w:rsid w:val="00220470"/>
    <w:rsid w:val="00222B0D"/>
    <w:rsid w:val="00223408"/>
    <w:rsid w:val="002334D5"/>
    <w:rsid w:val="00236772"/>
    <w:rsid w:val="002426EA"/>
    <w:rsid w:val="002446C6"/>
    <w:rsid w:val="00244712"/>
    <w:rsid w:val="0024686D"/>
    <w:rsid w:val="002600C1"/>
    <w:rsid w:val="0026342E"/>
    <w:rsid w:val="00270435"/>
    <w:rsid w:val="00276CFD"/>
    <w:rsid w:val="00277541"/>
    <w:rsid w:val="0028458B"/>
    <w:rsid w:val="00293211"/>
    <w:rsid w:val="00295F64"/>
    <w:rsid w:val="0029797A"/>
    <w:rsid w:val="002B7581"/>
    <w:rsid w:val="002C38E4"/>
    <w:rsid w:val="002C7FA6"/>
    <w:rsid w:val="002D07BB"/>
    <w:rsid w:val="002D2531"/>
    <w:rsid w:val="002D412B"/>
    <w:rsid w:val="002D5EE6"/>
    <w:rsid w:val="002E460A"/>
    <w:rsid w:val="0030359D"/>
    <w:rsid w:val="00303EDA"/>
    <w:rsid w:val="00305F42"/>
    <w:rsid w:val="00310B7E"/>
    <w:rsid w:val="00310F98"/>
    <w:rsid w:val="0031181B"/>
    <w:rsid w:val="00314B08"/>
    <w:rsid w:val="00316026"/>
    <w:rsid w:val="003170B3"/>
    <w:rsid w:val="00320ACF"/>
    <w:rsid w:val="0032265C"/>
    <w:rsid w:val="00323F1C"/>
    <w:rsid w:val="0032633F"/>
    <w:rsid w:val="00333225"/>
    <w:rsid w:val="0033323B"/>
    <w:rsid w:val="0034373E"/>
    <w:rsid w:val="00352AE1"/>
    <w:rsid w:val="003532AD"/>
    <w:rsid w:val="00353542"/>
    <w:rsid w:val="003540BC"/>
    <w:rsid w:val="0035468A"/>
    <w:rsid w:val="00360712"/>
    <w:rsid w:val="00362CBA"/>
    <w:rsid w:val="0036309F"/>
    <w:rsid w:val="00363C3C"/>
    <w:rsid w:val="0036474B"/>
    <w:rsid w:val="003661C8"/>
    <w:rsid w:val="00366E30"/>
    <w:rsid w:val="00370701"/>
    <w:rsid w:val="00377B5F"/>
    <w:rsid w:val="00383221"/>
    <w:rsid w:val="00393E94"/>
    <w:rsid w:val="003A20CE"/>
    <w:rsid w:val="003B0D5A"/>
    <w:rsid w:val="003B4F8E"/>
    <w:rsid w:val="003B718F"/>
    <w:rsid w:val="003B7A0D"/>
    <w:rsid w:val="003C2008"/>
    <w:rsid w:val="003C2241"/>
    <w:rsid w:val="003C6083"/>
    <w:rsid w:val="003C7699"/>
    <w:rsid w:val="003D1759"/>
    <w:rsid w:val="003D5E80"/>
    <w:rsid w:val="003D792E"/>
    <w:rsid w:val="003E5AE0"/>
    <w:rsid w:val="003F2B92"/>
    <w:rsid w:val="003F3007"/>
    <w:rsid w:val="0040329E"/>
    <w:rsid w:val="0040679C"/>
    <w:rsid w:val="004110F8"/>
    <w:rsid w:val="00414A80"/>
    <w:rsid w:val="00415E8D"/>
    <w:rsid w:val="004161BA"/>
    <w:rsid w:val="004201EE"/>
    <w:rsid w:val="00436CC2"/>
    <w:rsid w:val="004475F1"/>
    <w:rsid w:val="0045683E"/>
    <w:rsid w:val="00457308"/>
    <w:rsid w:val="00460023"/>
    <w:rsid w:val="004605F3"/>
    <w:rsid w:val="00461DFE"/>
    <w:rsid w:val="00476E59"/>
    <w:rsid w:val="004840B3"/>
    <w:rsid w:val="0048446E"/>
    <w:rsid w:val="004871A8"/>
    <w:rsid w:val="004A4F81"/>
    <w:rsid w:val="004B0CC2"/>
    <w:rsid w:val="004B118F"/>
    <w:rsid w:val="004B4BED"/>
    <w:rsid w:val="004B6A4B"/>
    <w:rsid w:val="004C1027"/>
    <w:rsid w:val="004C221E"/>
    <w:rsid w:val="004C62F7"/>
    <w:rsid w:val="004C7507"/>
    <w:rsid w:val="004C750B"/>
    <w:rsid w:val="004D548F"/>
    <w:rsid w:val="004E00F2"/>
    <w:rsid w:val="004E40B4"/>
    <w:rsid w:val="004E48AF"/>
    <w:rsid w:val="004E5A44"/>
    <w:rsid w:val="004E62B0"/>
    <w:rsid w:val="004F15CB"/>
    <w:rsid w:val="004F21F4"/>
    <w:rsid w:val="004F3CBA"/>
    <w:rsid w:val="004F4302"/>
    <w:rsid w:val="004F43AD"/>
    <w:rsid w:val="004F6DB5"/>
    <w:rsid w:val="00501BB9"/>
    <w:rsid w:val="005025B6"/>
    <w:rsid w:val="0050732D"/>
    <w:rsid w:val="00511E96"/>
    <w:rsid w:val="005130B9"/>
    <w:rsid w:val="00520B11"/>
    <w:rsid w:val="005215EA"/>
    <w:rsid w:val="005223DE"/>
    <w:rsid w:val="00522D80"/>
    <w:rsid w:val="00525A93"/>
    <w:rsid w:val="005437D7"/>
    <w:rsid w:val="005445A9"/>
    <w:rsid w:val="00545B0F"/>
    <w:rsid w:val="00545EDA"/>
    <w:rsid w:val="00551F3F"/>
    <w:rsid w:val="00552BFE"/>
    <w:rsid w:val="0055447A"/>
    <w:rsid w:val="00556850"/>
    <w:rsid w:val="0056071E"/>
    <w:rsid w:val="00560FA5"/>
    <w:rsid w:val="00573437"/>
    <w:rsid w:val="0057573F"/>
    <w:rsid w:val="00580FFF"/>
    <w:rsid w:val="005813AA"/>
    <w:rsid w:val="00585DDC"/>
    <w:rsid w:val="005967BA"/>
    <w:rsid w:val="005A39B3"/>
    <w:rsid w:val="005A58A0"/>
    <w:rsid w:val="005B12FC"/>
    <w:rsid w:val="005B6D3E"/>
    <w:rsid w:val="005B713A"/>
    <w:rsid w:val="005B748C"/>
    <w:rsid w:val="005C31D8"/>
    <w:rsid w:val="005D5398"/>
    <w:rsid w:val="005D6632"/>
    <w:rsid w:val="005E077C"/>
    <w:rsid w:val="005E3CD4"/>
    <w:rsid w:val="005E418E"/>
    <w:rsid w:val="005F1588"/>
    <w:rsid w:val="00601112"/>
    <w:rsid w:val="00601990"/>
    <w:rsid w:val="00605C0D"/>
    <w:rsid w:val="0061424B"/>
    <w:rsid w:val="00614D82"/>
    <w:rsid w:val="00623CBB"/>
    <w:rsid w:val="006269B4"/>
    <w:rsid w:val="006302AC"/>
    <w:rsid w:val="00630B71"/>
    <w:rsid w:val="006440C5"/>
    <w:rsid w:val="006505EF"/>
    <w:rsid w:val="006508E8"/>
    <w:rsid w:val="00657A56"/>
    <w:rsid w:val="00662962"/>
    <w:rsid w:val="00663B35"/>
    <w:rsid w:val="00666B23"/>
    <w:rsid w:val="00667D69"/>
    <w:rsid w:val="0067786F"/>
    <w:rsid w:val="00680A96"/>
    <w:rsid w:val="006852F6"/>
    <w:rsid w:val="00690659"/>
    <w:rsid w:val="006919A3"/>
    <w:rsid w:val="006A0CE4"/>
    <w:rsid w:val="006A383C"/>
    <w:rsid w:val="006A56C6"/>
    <w:rsid w:val="006A6C1D"/>
    <w:rsid w:val="006A6C51"/>
    <w:rsid w:val="006A7A3D"/>
    <w:rsid w:val="006C0B5F"/>
    <w:rsid w:val="006C0B7B"/>
    <w:rsid w:val="006C1AF1"/>
    <w:rsid w:val="006C6FDC"/>
    <w:rsid w:val="006D1D6E"/>
    <w:rsid w:val="006E5F1B"/>
    <w:rsid w:val="006F0C69"/>
    <w:rsid w:val="006F0D07"/>
    <w:rsid w:val="00715E44"/>
    <w:rsid w:val="00722075"/>
    <w:rsid w:val="007220EC"/>
    <w:rsid w:val="00723103"/>
    <w:rsid w:val="00725899"/>
    <w:rsid w:val="00725F67"/>
    <w:rsid w:val="007308BA"/>
    <w:rsid w:val="007318D6"/>
    <w:rsid w:val="00732E91"/>
    <w:rsid w:val="00734B13"/>
    <w:rsid w:val="00735920"/>
    <w:rsid w:val="00737211"/>
    <w:rsid w:val="00752F21"/>
    <w:rsid w:val="0075376D"/>
    <w:rsid w:val="00773A2C"/>
    <w:rsid w:val="00774EB7"/>
    <w:rsid w:val="00775A96"/>
    <w:rsid w:val="00780DBA"/>
    <w:rsid w:val="00782541"/>
    <w:rsid w:val="00784AEB"/>
    <w:rsid w:val="00784ED7"/>
    <w:rsid w:val="00786601"/>
    <w:rsid w:val="00786E84"/>
    <w:rsid w:val="00796078"/>
    <w:rsid w:val="007A27DA"/>
    <w:rsid w:val="007A2D91"/>
    <w:rsid w:val="007A427D"/>
    <w:rsid w:val="007A6F5F"/>
    <w:rsid w:val="007B223D"/>
    <w:rsid w:val="007C0DA7"/>
    <w:rsid w:val="007C132C"/>
    <w:rsid w:val="007C1D03"/>
    <w:rsid w:val="007C442D"/>
    <w:rsid w:val="007D72CF"/>
    <w:rsid w:val="007E3D3C"/>
    <w:rsid w:val="007F03C8"/>
    <w:rsid w:val="007F4B95"/>
    <w:rsid w:val="007F504A"/>
    <w:rsid w:val="007F6863"/>
    <w:rsid w:val="007F6F97"/>
    <w:rsid w:val="00802536"/>
    <w:rsid w:val="00804419"/>
    <w:rsid w:val="00805325"/>
    <w:rsid w:val="0081114F"/>
    <w:rsid w:val="00816910"/>
    <w:rsid w:val="00820E08"/>
    <w:rsid w:val="0082486D"/>
    <w:rsid w:val="0083070A"/>
    <w:rsid w:val="00837726"/>
    <w:rsid w:val="00844B87"/>
    <w:rsid w:val="008456E3"/>
    <w:rsid w:val="00860C81"/>
    <w:rsid w:val="00863EDD"/>
    <w:rsid w:val="00871AA7"/>
    <w:rsid w:val="00876E59"/>
    <w:rsid w:val="00877211"/>
    <w:rsid w:val="0088586B"/>
    <w:rsid w:val="00885E86"/>
    <w:rsid w:val="008879F9"/>
    <w:rsid w:val="008966BE"/>
    <w:rsid w:val="008A1434"/>
    <w:rsid w:val="008A30BA"/>
    <w:rsid w:val="008B4111"/>
    <w:rsid w:val="008B4F32"/>
    <w:rsid w:val="008B5601"/>
    <w:rsid w:val="008B6529"/>
    <w:rsid w:val="008D35F1"/>
    <w:rsid w:val="008D3612"/>
    <w:rsid w:val="008D5777"/>
    <w:rsid w:val="008D65DE"/>
    <w:rsid w:val="008D7D59"/>
    <w:rsid w:val="008E2203"/>
    <w:rsid w:val="008E3F8B"/>
    <w:rsid w:val="008E78DC"/>
    <w:rsid w:val="008F1B81"/>
    <w:rsid w:val="008F3383"/>
    <w:rsid w:val="008F639F"/>
    <w:rsid w:val="009020C7"/>
    <w:rsid w:val="0090240A"/>
    <w:rsid w:val="00903A2D"/>
    <w:rsid w:val="00907388"/>
    <w:rsid w:val="00914F14"/>
    <w:rsid w:val="00926655"/>
    <w:rsid w:val="0093723A"/>
    <w:rsid w:val="009402E6"/>
    <w:rsid w:val="00943F98"/>
    <w:rsid w:val="00947542"/>
    <w:rsid w:val="00954A2F"/>
    <w:rsid w:val="009552B8"/>
    <w:rsid w:val="00956AAC"/>
    <w:rsid w:val="00967BB9"/>
    <w:rsid w:val="00967D22"/>
    <w:rsid w:val="0097080D"/>
    <w:rsid w:val="009714FE"/>
    <w:rsid w:val="00973398"/>
    <w:rsid w:val="00982AD3"/>
    <w:rsid w:val="009849C0"/>
    <w:rsid w:val="00985447"/>
    <w:rsid w:val="0098774A"/>
    <w:rsid w:val="009944A9"/>
    <w:rsid w:val="00996DEE"/>
    <w:rsid w:val="009B10AF"/>
    <w:rsid w:val="009B11C0"/>
    <w:rsid w:val="009B3048"/>
    <w:rsid w:val="009B3424"/>
    <w:rsid w:val="009B69B8"/>
    <w:rsid w:val="009C0CA8"/>
    <w:rsid w:val="009D36C0"/>
    <w:rsid w:val="009D3A00"/>
    <w:rsid w:val="009E04AF"/>
    <w:rsid w:val="009F014B"/>
    <w:rsid w:val="00A05AF5"/>
    <w:rsid w:val="00A0777C"/>
    <w:rsid w:val="00A2347E"/>
    <w:rsid w:val="00A24B45"/>
    <w:rsid w:val="00A27E87"/>
    <w:rsid w:val="00A30AE5"/>
    <w:rsid w:val="00A30DFD"/>
    <w:rsid w:val="00A33A80"/>
    <w:rsid w:val="00A36FFA"/>
    <w:rsid w:val="00A40BC9"/>
    <w:rsid w:val="00A46DEF"/>
    <w:rsid w:val="00A51D8F"/>
    <w:rsid w:val="00A52A2B"/>
    <w:rsid w:val="00A54E82"/>
    <w:rsid w:val="00A56A59"/>
    <w:rsid w:val="00A62860"/>
    <w:rsid w:val="00A678FB"/>
    <w:rsid w:val="00A75148"/>
    <w:rsid w:val="00A813D2"/>
    <w:rsid w:val="00A879DB"/>
    <w:rsid w:val="00A97AD4"/>
    <w:rsid w:val="00AA4E37"/>
    <w:rsid w:val="00AA6806"/>
    <w:rsid w:val="00AB1620"/>
    <w:rsid w:val="00AB2B17"/>
    <w:rsid w:val="00AB3343"/>
    <w:rsid w:val="00AB698B"/>
    <w:rsid w:val="00AC034A"/>
    <w:rsid w:val="00AC298C"/>
    <w:rsid w:val="00AC399F"/>
    <w:rsid w:val="00AC584B"/>
    <w:rsid w:val="00AD18FC"/>
    <w:rsid w:val="00AD52A3"/>
    <w:rsid w:val="00AD634F"/>
    <w:rsid w:val="00AD693E"/>
    <w:rsid w:val="00AE02A5"/>
    <w:rsid w:val="00AF0DE0"/>
    <w:rsid w:val="00AF18BF"/>
    <w:rsid w:val="00B002B6"/>
    <w:rsid w:val="00B0070A"/>
    <w:rsid w:val="00B14753"/>
    <w:rsid w:val="00B161F2"/>
    <w:rsid w:val="00B20815"/>
    <w:rsid w:val="00B20FD9"/>
    <w:rsid w:val="00B24B0B"/>
    <w:rsid w:val="00B279FB"/>
    <w:rsid w:val="00B27BEE"/>
    <w:rsid w:val="00B36D9B"/>
    <w:rsid w:val="00B4118F"/>
    <w:rsid w:val="00B43A5D"/>
    <w:rsid w:val="00B52520"/>
    <w:rsid w:val="00B63D5E"/>
    <w:rsid w:val="00B67CCB"/>
    <w:rsid w:val="00B71D62"/>
    <w:rsid w:val="00B73369"/>
    <w:rsid w:val="00B84A3B"/>
    <w:rsid w:val="00B94CFC"/>
    <w:rsid w:val="00B956F2"/>
    <w:rsid w:val="00BA438A"/>
    <w:rsid w:val="00BA4681"/>
    <w:rsid w:val="00BB78CC"/>
    <w:rsid w:val="00BC386C"/>
    <w:rsid w:val="00BC3AA1"/>
    <w:rsid w:val="00BD0C54"/>
    <w:rsid w:val="00BD2144"/>
    <w:rsid w:val="00BD5754"/>
    <w:rsid w:val="00BD62C1"/>
    <w:rsid w:val="00BD681B"/>
    <w:rsid w:val="00BE3563"/>
    <w:rsid w:val="00BF5732"/>
    <w:rsid w:val="00C0257A"/>
    <w:rsid w:val="00C040D1"/>
    <w:rsid w:val="00C139A6"/>
    <w:rsid w:val="00C1592E"/>
    <w:rsid w:val="00C279EC"/>
    <w:rsid w:val="00C37FEA"/>
    <w:rsid w:val="00C45AFE"/>
    <w:rsid w:val="00C52140"/>
    <w:rsid w:val="00C5718B"/>
    <w:rsid w:val="00C6438A"/>
    <w:rsid w:val="00C64D3E"/>
    <w:rsid w:val="00C6680F"/>
    <w:rsid w:val="00C66ACC"/>
    <w:rsid w:val="00C72415"/>
    <w:rsid w:val="00C77E82"/>
    <w:rsid w:val="00C8468C"/>
    <w:rsid w:val="00C911B1"/>
    <w:rsid w:val="00C9289E"/>
    <w:rsid w:val="00C92F51"/>
    <w:rsid w:val="00CA0253"/>
    <w:rsid w:val="00CA0F95"/>
    <w:rsid w:val="00CB10F9"/>
    <w:rsid w:val="00CB3DF8"/>
    <w:rsid w:val="00CB413B"/>
    <w:rsid w:val="00CF76A5"/>
    <w:rsid w:val="00D123DC"/>
    <w:rsid w:val="00D14987"/>
    <w:rsid w:val="00D14E3A"/>
    <w:rsid w:val="00D204F5"/>
    <w:rsid w:val="00D32F66"/>
    <w:rsid w:val="00D5042D"/>
    <w:rsid w:val="00D50BE4"/>
    <w:rsid w:val="00D57CBF"/>
    <w:rsid w:val="00D64AB9"/>
    <w:rsid w:val="00D7177A"/>
    <w:rsid w:val="00D90694"/>
    <w:rsid w:val="00D94CD4"/>
    <w:rsid w:val="00DA4143"/>
    <w:rsid w:val="00DB00B6"/>
    <w:rsid w:val="00DB115D"/>
    <w:rsid w:val="00DB3C8A"/>
    <w:rsid w:val="00DC08BE"/>
    <w:rsid w:val="00DC4938"/>
    <w:rsid w:val="00DD6657"/>
    <w:rsid w:val="00DD7F3C"/>
    <w:rsid w:val="00DE0E8F"/>
    <w:rsid w:val="00DE300D"/>
    <w:rsid w:val="00DE4A9E"/>
    <w:rsid w:val="00E02B75"/>
    <w:rsid w:val="00E04D53"/>
    <w:rsid w:val="00E05B42"/>
    <w:rsid w:val="00E14D3C"/>
    <w:rsid w:val="00E1507B"/>
    <w:rsid w:val="00E15A50"/>
    <w:rsid w:val="00E22388"/>
    <w:rsid w:val="00E2369D"/>
    <w:rsid w:val="00E32C21"/>
    <w:rsid w:val="00E34D2C"/>
    <w:rsid w:val="00E3763E"/>
    <w:rsid w:val="00E41743"/>
    <w:rsid w:val="00E43952"/>
    <w:rsid w:val="00E54453"/>
    <w:rsid w:val="00E54FFA"/>
    <w:rsid w:val="00E564EC"/>
    <w:rsid w:val="00E63CF0"/>
    <w:rsid w:val="00E674AB"/>
    <w:rsid w:val="00E971BC"/>
    <w:rsid w:val="00EA0C6D"/>
    <w:rsid w:val="00EB1E3A"/>
    <w:rsid w:val="00EB1E78"/>
    <w:rsid w:val="00EB4033"/>
    <w:rsid w:val="00EC09F8"/>
    <w:rsid w:val="00EC26C4"/>
    <w:rsid w:val="00EC6049"/>
    <w:rsid w:val="00ED0545"/>
    <w:rsid w:val="00ED4AE9"/>
    <w:rsid w:val="00EE3C83"/>
    <w:rsid w:val="00EE715C"/>
    <w:rsid w:val="00EE7236"/>
    <w:rsid w:val="00F04B4C"/>
    <w:rsid w:val="00F05FC4"/>
    <w:rsid w:val="00F1193F"/>
    <w:rsid w:val="00F152FA"/>
    <w:rsid w:val="00F17360"/>
    <w:rsid w:val="00F242DA"/>
    <w:rsid w:val="00F24BF3"/>
    <w:rsid w:val="00F42684"/>
    <w:rsid w:val="00F47226"/>
    <w:rsid w:val="00F5567D"/>
    <w:rsid w:val="00F56D9F"/>
    <w:rsid w:val="00F621A3"/>
    <w:rsid w:val="00F63420"/>
    <w:rsid w:val="00F65CE2"/>
    <w:rsid w:val="00F71D83"/>
    <w:rsid w:val="00F90477"/>
    <w:rsid w:val="00F90515"/>
    <w:rsid w:val="00FB2B31"/>
    <w:rsid w:val="00FC24F7"/>
    <w:rsid w:val="00FC2E73"/>
    <w:rsid w:val="00FC60B5"/>
    <w:rsid w:val="00FD44A8"/>
    <w:rsid w:val="00FE2024"/>
    <w:rsid w:val="00FE25B7"/>
    <w:rsid w:val="00FE51C1"/>
    <w:rsid w:val="00FE6860"/>
    <w:rsid w:val="00FF4FBA"/>
    <w:rsid w:val="00FF6E00"/>
    <w:rsid w:val="01143A6C"/>
    <w:rsid w:val="016B757D"/>
    <w:rsid w:val="01AB1278"/>
    <w:rsid w:val="0201402C"/>
    <w:rsid w:val="024452F8"/>
    <w:rsid w:val="025E1424"/>
    <w:rsid w:val="0266685A"/>
    <w:rsid w:val="02805DB9"/>
    <w:rsid w:val="0286730A"/>
    <w:rsid w:val="028C090F"/>
    <w:rsid w:val="028D3E75"/>
    <w:rsid w:val="029D5781"/>
    <w:rsid w:val="02CB6DFA"/>
    <w:rsid w:val="030A3DA9"/>
    <w:rsid w:val="031C5952"/>
    <w:rsid w:val="0341645D"/>
    <w:rsid w:val="039901E2"/>
    <w:rsid w:val="03AA1C11"/>
    <w:rsid w:val="03C74658"/>
    <w:rsid w:val="03D910D3"/>
    <w:rsid w:val="03E130B0"/>
    <w:rsid w:val="040A16A0"/>
    <w:rsid w:val="043334AF"/>
    <w:rsid w:val="043E0372"/>
    <w:rsid w:val="049F2029"/>
    <w:rsid w:val="04AA753F"/>
    <w:rsid w:val="04AC6649"/>
    <w:rsid w:val="04BB25B1"/>
    <w:rsid w:val="04D029D1"/>
    <w:rsid w:val="04DA23A6"/>
    <w:rsid w:val="051166F9"/>
    <w:rsid w:val="054244B9"/>
    <w:rsid w:val="0550036A"/>
    <w:rsid w:val="0562059F"/>
    <w:rsid w:val="05881B56"/>
    <w:rsid w:val="05A76D02"/>
    <w:rsid w:val="05EC3974"/>
    <w:rsid w:val="05ED6411"/>
    <w:rsid w:val="05F578D9"/>
    <w:rsid w:val="0611656E"/>
    <w:rsid w:val="06531C6E"/>
    <w:rsid w:val="06624FC3"/>
    <w:rsid w:val="06814416"/>
    <w:rsid w:val="06BE2CEE"/>
    <w:rsid w:val="0722033E"/>
    <w:rsid w:val="072A3771"/>
    <w:rsid w:val="075A77A2"/>
    <w:rsid w:val="07751C03"/>
    <w:rsid w:val="07812754"/>
    <w:rsid w:val="0795299A"/>
    <w:rsid w:val="079E03E4"/>
    <w:rsid w:val="07A768CD"/>
    <w:rsid w:val="07AE65B6"/>
    <w:rsid w:val="07B15F3F"/>
    <w:rsid w:val="07BE7635"/>
    <w:rsid w:val="07DA37A8"/>
    <w:rsid w:val="07E61DE1"/>
    <w:rsid w:val="07F162D0"/>
    <w:rsid w:val="081D7E45"/>
    <w:rsid w:val="084478C2"/>
    <w:rsid w:val="08561834"/>
    <w:rsid w:val="0862484D"/>
    <w:rsid w:val="087A5DAC"/>
    <w:rsid w:val="089E47B2"/>
    <w:rsid w:val="089F75B7"/>
    <w:rsid w:val="08C85913"/>
    <w:rsid w:val="092044E9"/>
    <w:rsid w:val="095C41FC"/>
    <w:rsid w:val="097A33C1"/>
    <w:rsid w:val="09854DA8"/>
    <w:rsid w:val="099F403F"/>
    <w:rsid w:val="09A5713F"/>
    <w:rsid w:val="09AD2DA1"/>
    <w:rsid w:val="09DA6D23"/>
    <w:rsid w:val="09E25985"/>
    <w:rsid w:val="0A0072FE"/>
    <w:rsid w:val="0A111CF8"/>
    <w:rsid w:val="0A2C3F7D"/>
    <w:rsid w:val="0A2E69CD"/>
    <w:rsid w:val="0AA63937"/>
    <w:rsid w:val="0B2C1C19"/>
    <w:rsid w:val="0B775150"/>
    <w:rsid w:val="0B894070"/>
    <w:rsid w:val="0BB45FBA"/>
    <w:rsid w:val="0BE73A43"/>
    <w:rsid w:val="0BFF4AD3"/>
    <w:rsid w:val="0C053C48"/>
    <w:rsid w:val="0C28797E"/>
    <w:rsid w:val="0C414439"/>
    <w:rsid w:val="0C5D414E"/>
    <w:rsid w:val="0C7A15AE"/>
    <w:rsid w:val="0C8B1ACE"/>
    <w:rsid w:val="0CBF16D9"/>
    <w:rsid w:val="0CD21FB8"/>
    <w:rsid w:val="0CE12017"/>
    <w:rsid w:val="0CF83B8A"/>
    <w:rsid w:val="0D002424"/>
    <w:rsid w:val="0D3D27E6"/>
    <w:rsid w:val="0D673EA6"/>
    <w:rsid w:val="0D6E1EAC"/>
    <w:rsid w:val="0D871C84"/>
    <w:rsid w:val="0D99084E"/>
    <w:rsid w:val="0DB7037C"/>
    <w:rsid w:val="0DBD3824"/>
    <w:rsid w:val="0DBD5E66"/>
    <w:rsid w:val="0DE405D2"/>
    <w:rsid w:val="0E1745B1"/>
    <w:rsid w:val="0E5C2625"/>
    <w:rsid w:val="0E6F4DEC"/>
    <w:rsid w:val="0EE837B0"/>
    <w:rsid w:val="0EEE6DF9"/>
    <w:rsid w:val="0F2A37B4"/>
    <w:rsid w:val="0F396ED0"/>
    <w:rsid w:val="0F3D31A9"/>
    <w:rsid w:val="0F465105"/>
    <w:rsid w:val="0F7B331A"/>
    <w:rsid w:val="0F7D2BF0"/>
    <w:rsid w:val="0F94155C"/>
    <w:rsid w:val="0FB3062A"/>
    <w:rsid w:val="0FC038AD"/>
    <w:rsid w:val="103B43C8"/>
    <w:rsid w:val="107C1DD7"/>
    <w:rsid w:val="10C07413"/>
    <w:rsid w:val="10F706BA"/>
    <w:rsid w:val="10FC4805"/>
    <w:rsid w:val="1149074C"/>
    <w:rsid w:val="11603C32"/>
    <w:rsid w:val="11902ADA"/>
    <w:rsid w:val="11920B22"/>
    <w:rsid w:val="11923040"/>
    <w:rsid w:val="11A04D76"/>
    <w:rsid w:val="11A44066"/>
    <w:rsid w:val="11AE5737"/>
    <w:rsid w:val="11BA5751"/>
    <w:rsid w:val="11BB5292"/>
    <w:rsid w:val="11DA3077"/>
    <w:rsid w:val="11F82FED"/>
    <w:rsid w:val="120F771A"/>
    <w:rsid w:val="121047A8"/>
    <w:rsid w:val="121B340F"/>
    <w:rsid w:val="122A0AFD"/>
    <w:rsid w:val="12457929"/>
    <w:rsid w:val="124D069B"/>
    <w:rsid w:val="126D6281"/>
    <w:rsid w:val="12767FFB"/>
    <w:rsid w:val="12A511AB"/>
    <w:rsid w:val="12C2421D"/>
    <w:rsid w:val="132E6008"/>
    <w:rsid w:val="1330349F"/>
    <w:rsid w:val="13514712"/>
    <w:rsid w:val="135F3564"/>
    <w:rsid w:val="138560F3"/>
    <w:rsid w:val="13DB2942"/>
    <w:rsid w:val="13FF6321"/>
    <w:rsid w:val="140030AA"/>
    <w:rsid w:val="14282746"/>
    <w:rsid w:val="147F5E2B"/>
    <w:rsid w:val="14D1104C"/>
    <w:rsid w:val="14F42C35"/>
    <w:rsid w:val="14FB08E3"/>
    <w:rsid w:val="15001156"/>
    <w:rsid w:val="1505402E"/>
    <w:rsid w:val="15092208"/>
    <w:rsid w:val="15361E70"/>
    <w:rsid w:val="1536500A"/>
    <w:rsid w:val="154B71D0"/>
    <w:rsid w:val="15852B10"/>
    <w:rsid w:val="159A33B0"/>
    <w:rsid w:val="15B02535"/>
    <w:rsid w:val="15BE351F"/>
    <w:rsid w:val="15EC735D"/>
    <w:rsid w:val="16175E9C"/>
    <w:rsid w:val="16260CFE"/>
    <w:rsid w:val="163907EA"/>
    <w:rsid w:val="16707D1A"/>
    <w:rsid w:val="16900642"/>
    <w:rsid w:val="16B13BA4"/>
    <w:rsid w:val="16C27909"/>
    <w:rsid w:val="16C841BB"/>
    <w:rsid w:val="16F32510"/>
    <w:rsid w:val="171D5D05"/>
    <w:rsid w:val="175A7982"/>
    <w:rsid w:val="177C3B4C"/>
    <w:rsid w:val="17813795"/>
    <w:rsid w:val="17833A78"/>
    <w:rsid w:val="17983D23"/>
    <w:rsid w:val="17B4165D"/>
    <w:rsid w:val="17BC6C8A"/>
    <w:rsid w:val="17DC44B8"/>
    <w:rsid w:val="18001B24"/>
    <w:rsid w:val="18482D7B"/>
    <w:rsid w:val="18936635"/>
    <w:rsid w:val="18996F7C"/>
    <w:rsid w:val="18A73550"/>
    <w:rsid w:val="19197C43"/>
    <w:rsid w:val="19312693"/>
    <w:rsid w:val="197B16DE"/>
    <w:rsid w:val="197D1C64"/>
    <w:rsid w:val="198B641D"/>
    <w:rsid w:val="198D54F7"/>
    <w:rsid w:val="19A54E71"/>
    <w:rsid w:val="19D32ACC"/>
    <w:rsid w:val="19EF2DE5"/>
    <w:rsid w:val="1A3033ED"/>
    <w:rsid w:val="1A316B16"/>
    <w:rsid w:val="1A462D4D"/>
    <w:rsid w:val="1A501712"/>
    <w:rsid w:val="1A733D2A"/>
    <w:rsid w:val="1A84557F"/>
    <w:rsid w:val="1A883271"/>
    <w:rsid w:val="1A8A4D15"/>
    <w:rsid w:val="1A8B46C1"/>
    <w:rsid w:val="1A920038"/>
    <w:rsid w:val="1A9756D0"/>
    <w:rsid w:val="1A983C76"/>
    <w:rsid w:val="1AA754A7"/>
    <w:rsid w:val="1AB1400D"/>
    <w:rsid w:val="1ABA7996"/>
    <w:rsid w:val="1B012D16"/>
    <w:rsid w:val="1B375B58"/>
    <w:rsid w:val="1B4235EC"/>
    <w:rsid w:val="1B4D5A4C"/>
    <w:rsid w:val="1B612929"/>
    <w:rsid w:val="1B614BB5"/>
    <w:rsid w:val="1B730228"/>
    <w:rsid w:val="1B8F744A"/>
    <w:rsid w:val="1B917CF0"/>
    <w:rsid w:val="1BC5171E"/>
    <w:rsid w:val="1BFF0756"/>
    <w:rsid w:val="1C0D6823"/>
    <w:rsid w:val="1C21584D"/>
    <w:rsid w:val="1C342179"/>
    <w:rsid w:val="1C351CF0"/>
    <w:rsid w:val="1C59379D"/>
    <w:rsid w:val="1C885B16"/>
    <w:rsid w:val="1D2767EB"/>
    <w:rsid w:val="1D3968E0"/>
    <w:rsid w:val="1D490D8D"/>
    <w:rsid w:val="1D676C4A"/>
    <w:rsid w:val="1D9D3D5D"/>
    <w:rsid w:val="1DB17274"/>
    <w:rsid w:val="1DBE61C6"/>
    <w:rsid w:val="1E1D5A7A"/>
    <w:rsid w:val="1E3D49A4"/>
    <w:rsid w:val="1E530BA2"/>
    <w:rsid w:val="1E9E4069"/>
    <w:rsid w:val="1EA07366"/>
    <w:rsid w:val="1EA53344"/>
    <w:rsid w:val="1ECD553E"/>
    <w:rsid w:val="1ED9558F"/>
    <w:rsid w:val="1EF2045A"/>
    <w:rsid w:val="1F03793D"/>
    <w:rsid w:val="1F120945"/>
    <w:rsid w:val="1F310A7D"/>
    <w:rsid w:val="1F777449"/>
    <w:rsid w:val="1F941D82"/>
    <w:rsid w:val="1FE33B27"/>
    <w:rsid w:val="20196D38"/>
    <w:rsid w:val="20307D4B"/>
    <w:rsid w:val="20373616"/>
    <w:rsid w:val="204A01E9"/>
    <w:rsid w:val="20643417"/>
    <w:rsid w:val="207F074F"/>
    <w:rsid w:val="20B24D81"/>
    <w:rsid w:val="20D33241"/>
    <w:rsid w:val="21220441"/>
    <w:rsid w:val="21410872"/>
    <w:rsid w:val="216C5842"/>
    <w:rsid w:val="216C61B5"/>
    <w:rsid w:val="21A16473"/>
    <w:rsid w:val="21AE082B"/>
    <w:rsid w:val="21C67917"/>
    <w:rsid w:val="21DB4A99"/>
    <w:rsid w:val="22117DC0"/>
    <w:rsid w:val="2268149F"/>
    <w:rsid w:val="227A7704"/>
    <w:rsid w:val="22912CD8"/>
    <w:rsid w:val="22D351E4"/>
    <w:rsid w:val="235517C0"/>
    <w:rsid w:val="23A823B8"/>
    <w:rsid w:val="23B442EA"/>
    <w:rsid w:val="23D40F14"/>
    <w:rsid w:val="23E11963"/>
    <w:rsid w:val="24252614"/>
    <w:rsid w:val="244D1953"/>
    <w:rsid w:val="24970F96"/>
    <w:rsid w:val="24CD3F86"/>
    <w:rsid w:val="24FD23BA"/>
    <w:rsid w:val="253675D5"/>
    <w:rsid w:val="255D1894"/>
    <w:rsid w:val="256E5998"/>
    <w:rsid w:val="25AF04DE"/>
    <w:rsid w:val="25DF3EC1"/>
    <w:rsid w:val="25FE2AB1"/>
    <w:rsid w:val="25FF1B5B"/>
    <w:rsid w:val="26327A54"/>
    <w:rsid w:val="266A3F3D"/>
    <w:rsid w:val="269878FD"/>
    <w:rsid w:val="26EA76FA"/>
    <w:rsid w:val="26F23215"/>
    <w:rsid w:val="26F56AB5"/>
    <w:rsid w:val="26F855C1"/>
    <w:rsid w:val="27547017"/>
    <w:rsid w:val="27687E75"/>
    <w:rsid w:val="27C06EDB"/>
    <w:rsid w:val="27C8420D"/>
    <w:rsid w:val="28466262"/>
    <w:rsid w:val="287B0075"/>
    <w:rsid w:val="288542AB"/>
    <w:rsid w:val="28954F6C"/>
    <w:rsid w:val="28B76B6E"/>
    <w:rsid w:val="28DD2E72"/>
    <w:rsid w:val="28EC6CA4"/>
    <w:rsid w:val="28F12300"/>
    <w:rsid w:val="28F9644D"/>
    <w:rsid w:val="29074377"/>
    <w:rsid w:val="290756D0"/>
    <w:rsid w:val="293552DE"/>
    <w:rsid w:val="293C663C"/>
    <w:rsid w:val="296B2AAF"/>
    <w:rsid w:val="29A62B4F"/>
    <w:rsid w:val="29AB4598"/>
    <w:rsid w:val="29E95868"/>
    <w:rsid w:val="2A0F5DDC"/>
    <w:rsid w:val="2A277402"/>
    <w:rsid w:val="2A3A2BA0"/>
    <w:rsid w:val="2A5579F5"/>
    <w:rsid w:val="2A5909F1"/>
    <w:rsid w:val="2A6A5ACB"/>
    <w:rsid w:val="2A777522"/>
    <w:rsid w:val="2A7A0571"/>
    <w:rsid w:val="2A916579"/>
    <w:rsid w:val="2AAF75E2"/>
    <w:rsid w:val="2ABB3868"/>
    <w:rsid w:val="2AC97D37"/>
    <w:rsid w:val="2ACC4AAF"/>
    <w:rsid w:val="2AE83BA8"/>
    <w:rsid w:val="2B032A0A"/>
    <w:rsid w:val="2B2922BA"/>
    <w:rsid w:val="2B3B23BD"/>
    <w:rsid w:val="2B500F55"/>
    <w:rsid w:val="2B647E8E"/>
    <w:rsid w:val="2B6D5AD2"/>
    <w:rsid w:val="2B7924BB"/>
    <w:rsid w:val="2B930A23"/>
    <w:rsid w:val="2C7B192D"/>
    <w:rsid w:val="2CA21E29"/>
    <w:rsid w:val="2CC41E56"/>
    <w:rsid w:val="2CEC5B44"/>
    <w:rsid w:val="2D4C25DF"/>
    <w:rsid w:val="2D575F4F"/>
    <w:rsid w:val="2D5838E8"/>
    <w:rsid w:val="2D5B2F16"/>
    <w:rsid w:val="2D633537"/>
    <w:rsid w:val="2D735329"/>
    <w:rsid w:val="2DA53071"/>
    <w:rsid w:val="2DCC2148"/>
    <w:rsid w:val="2DD3358A"/>
    <w:rsid w:val="2E1C0DA8"/>
    <w:rsid w:val="2E313A91"/>
    <w:rsid w:val="2E4616E3"/>
    <w:rsid w:val="2EEC61B4"/>
    <w:rsid w:val="2F1F1EB6"/>
    <w:rsid w:val="2F440A1A"/>
    <w:rsid w:val="2F4C5B18"/>
    <w:rsid w:val="2FA42BCF"/>
    <w:rsid w:val="2FCA58ED"/>
    <w:rsid w:val="2FDA39CA"/>
    <w:rsid w:val="309A47A9"/>
    <w:rsid w:val="309E0D2B"/>
    <w:rsid w:val="310C79FA"/>
    <w:rsid w:val="31182D49"/>
    <w:rsid w:val="313512A4"/>
    <w:rsid w:val="31440D1D"/>
    <w:rsid w:val="31614F93"/>
    <w:rsid w:val="3171039B"/>
    <w:rsid w:val="3193079B"/>
    <w:rsid w:val="31C1583E"/>
    <w:rsid w:val="31DD7001"/>
    <w:rsid w:val="32336177"/>
    <w:rsid w:val="32423486"/>
    <w:rsid w:val="32862846"/>
    <w:rsid w:val="329A51B5"/>
    <w:rsid w:val="329F0C29"/>
    <w:rsid w:val="32D039D4"/>
    <w:rsid w:val="32D601C6"/>
    <w:rsid w:val="33B518E7"/>
    <w:rsid w:val="33BB4C5E"/>
    <w:rsid w:val="33CF2C6A"/>
    <w:rsid w:val="33ED5FBE"/>
    <w:rsid w:val="34190E59"/>
    <w:rsid w:val="34276FB1"/>
    <w:rsid w:val="343B50E4"/>
    <w:rsid w:val="345D6031"/>
    <w:rsid w:val="346059BD"/>
    <w:rsid w:val="3477754B"/>
    <w:rsid w:val="34857840"/>
    <w:rsid w:val="34900EA8"/>
    <w:rsid w:val="34A1196D"/>
    <w:rsid w:val="34AF301F"/>
    <w:rsid w:val="34D5654E"/>
    <w:rsid w:val="34E025A9"/>
    <w:rsid w:val="35130D87"/>
    <w:rsid w:val="351A4295"/>
    <w:rsid w:val="352A5E64"/>
    <w:rsid w:val="352F5C9D"/>
    <w:rsid w:val="353B5538"/>
    <w:rsid w:val="353C3AD3"/>
    <w:rsid w:val="35455863"/>
    <w:rsid w:val="35476989"/>
    <w:rsid w:val="35500757"/>
    <w:rsid w:val="35527189"/>
    <w:rsid w:val="355447E0"/>
    <w:rsid w:val="356E4FCD"/>
    <w:rsid w:val="3592616F"/>
    <w:rsid w:val="35AD431D"/>
    <w:rsid w:val="35BF25CA"/>
    <w:rsid w:val="35D5017A"/>
    <w:rsid w:val="35E02D54"/>
    <w:rsid w:val="35E93B1D"/>
    <w:rsid w:val="35F77A19"/>
    <w:rsid w:val="35FD0B25"/>
    <w:rsid w:val="362F7FBA"/>
    <w:rsid w:val="36437EF0"/>
    <w:rsid w:val="364F0FD1"/>
    <w:rsid w:val="3672397D"/>
    <w:rsid w:val="367D3107"/>
    <w:rsid w:val="36936DF8"/>
    <w:rsid w:val="36B66F7C"/>
    <w:rsid w:val="36B77304"/>
    <w:rsid w:val="36BC2F16"/>
    <w:rsid w:val="36C40EEF"/>
    <w:rsid w:val="3709796B"/>
    <w:rsid w:val="370D3CE2"/>
    <w:rsid w:val="3744259A"/>
    <w:rsid w:val="3763197C"/>
    <w:rsid w:val="37684561"/>
    <w:rsid w:val="377E1B3C"/>
    <w:rsid w:val="37AA28C7"/>
    <w:rsid w:val="37CF10CC"/>
    <w:rsid w:val="37EE7A91"/>
    <w:rsid w:val="37FC47BB"/>
    <w:rsid w:val="37FF0238"/>
    <w:rsid w:val="382605E7"/>
    <w:rsid w:val="382B67B9"/>
    <w:rsid w:val="38436245"/>
    <w:rsid w:val="385E5146"/>
    <w:rsid w:val="38615280"/>
    <w:rsid w:val="389B79E4"/>
    <w:rsid w:val="38A04389"/>
    <w:rsid w:val="38B65AE2"/>
    <w:rsid w:val="38C127C5"/>
    <w:rsid w:val="38E01139"/>
    <w:rsid w:val="38EA6212"/>
    <w:rsid w:val="39281225"/>
    <w:rsid w:val="396C31B9"/>
    <w:rsid w:val="39966722"/>
    <w:rsid w:val="39ED7AB2"/>
    <w:rsid w:val="3A2A1A1A"/>
    <w:rsid w:val="3A9B535D"/>
    <w:rsid w:val="3AA326F8"/>
    <w:rsid w:val="3AA40320"/>
    <w:rsid w:val="3AB9471D"/>
    <w:rsid w:val="3AC32F81"/>
    <w:rsid w:val="3AC859F8"/>
    <w:rsid w:val="3B022729"/>
    <w:rsid w:val="3B6A03C3"/>
    <w:rsid w:val="3B992962"/>
    <w:rsid w:val="3B9B537E"/>
    <w:rsid w:val="3BB60946"/>
    <w:rsid w:val="3BE9135E"/>
    <w:rsid w:val="3C033B3E"/>
    <w:rsid w:val="3C477B6A"/>
    <w:rsid w:val="3C4E6BBF"/>
    <w:rsid w:val="3C6527F8"/>
    <w:rsid w:val="3C79402D"/>
    <w:rsid w:val="3CB235B5"/>
    <w:rsid w:val="3CCF6A87"/>
    <w:rsid w:val="3CE13093"/>
    <w:rsid w:val="3D31257A"/>
    <w:rsid w:val="3D4E49C5"/>
    <w:rsid w:val="3D731CAB"/>
    <w:rsid w:val="3D732315"/>
    <w:rsid w:val="3D763CD0"/>
    <w:rsid w:val="3D960BF2"/>
    <w:rsid w:val="3DC64825"/>
    <w:rsid w:val="3DCA0996"/>
    <w:rsid w:val="3DEF0CC1"/>
    <w:rsid w:val="3E263579"/>
    <w:rsid w:val="3E341F32"/>
    <w:rsid w:val="3E820E20"/>
    <w:rsid w:val="3EDE6979"/>
    <w:rsid w:val="3EF24237"/>
    <w:rsid w:val="3EFE19DF"/>
    <w:rsid w:val="3F055B24"/>
    <w:rsid w:val="3F7D0C92"/>
    <w:rsid w:val="3F813FBE"/>
    <w:rsid w:val="3FA37766"/>
    <w:rsid w:val="3FA60AFB"/>
    <w:rsid w:val="3FBF1E11"/>
    <w:rsid w:val="3FE76376"/>
    <w:rsid w:val="404956FE"/>
    <w:rsid w:val="404D16D9"/>
    <w:rsid w:val="405259CF"/>
    <w:rsid w:val="40930225"/>
    <w:rsid w:val="40C03751"/>
    <w:rsid w:val="40C71CB9"/>
    <w:rsid w:val="40E86052"/>
    <w:rsid w:val="40FE3D95"/>
    <w:rsid w:val="4159651B"/>
    <w:rsid w:val="41737DF2"/>
    <w:rsid w:val="4175474F"/>
    <w:rsid w:val="41B06545"/>
    <w:rsid w:val="41C32F69"/>
    <w:rsid w:val="41CD53C0"/>
    <w:rsid w:val="41F6541F"/>
    <w:rsid w:val="42157D71"/>
    <w:rsid w:val="42187B5D"/>
    <w:rsid w:val="421B339A"/>
    <w:rsid w:val="42722BCE"/>
    <w:rsid w:val="42807925"/>
    <w:rsid w:val="42901E3F"/>
    <w:rsid w:val="429B570E"/>
    <w:rsid w:val="429C6ADA"/>
    <w:rsid w:val="42A44D11"/>
    <w:rsid w:val="42B60474"/>
    <w:rsid w:val="42CE4508"/>
    <w:rsid w:val="4305053C"/>
    <w:rsid w:val="43112B98"/>
    <w:rsid w:val="432D0E68"/>
    <w:rsid w:val="434823E2"/>
    <w:rsid w:val="438C1A4E"/>
    <w:rsid w:val="438F78CF"/>
    <w:rsid w:val="43AE3495"/>
    <w:rsid w:val="43B75909"/>
    <w:rsid w:val="43BB4908"/>
    <w:rsid w:val="43CC6C1A"/>
    <w:rsid w:val="43CF0DC1"/>
    <w:rsid w:val="43F7502A"/>
    <w:rsid w:val="445F76C4"/>
    <w:rsid w:val="446573C1"/>
    <w:rsid w:val="447436CB"/>
    <w:rsid w:val="448B352D"/>
    <w:rsid w:val="44A11A6B"/>
    <w:rsid w:val="44C1233E"/>
    <w:rsid w:val="44DE63F2"/>
    <w:rsid w:val="450052FE"/>
    <w:rsid w:val="4525715A"/>
    <w:rsid w:val="454A3D99"/>
    <w:rsid w:val="45C5105D"/>
    <w:rsid w:val="45F331F6"/>
    <w:rsid w:val="460F02CA"/>
    <w:rsid w:val="464057E6"/>
    <w:rsid w:val="464C0E3F"/>
    <w:rsid w:val="4660437F"/>
    <w:rsid w:val="466D1F19"/>
    <w:rsid w:val="466D6FEB"/>
    <w:rsid w:val="466F27E1"/>
    <w:rsid w:val="467668DF"/>
    <w:rsid w:val="467F03C4"/>
    <w:rsid w:val="46CC2420"/>
    <w:rsid w:val="46D700BA"/>
    <w:rsid w:val="46E576A0"/>
    <w:rsid w:val="46EF403D"/>
    <w:rsid w:val="47973FAB"/>
    <w:rsid w:val="47AF3E5D"/>
    <w:rsid w:val="47B72A33"/>
    <w:rsid w:val="47B74373"/>
    <w:rsid w:val="47BE3BAD"/>
    <w:rsid w:val="48002448"/>
    <w:rsid w:val="48056AF7"/>
    <w:rsid w:val="482640F1"/>
    <w:rsid w:val="48466CB2"/>
    <w:rsid w:val="48A24CFC"/>
    <w:rsid w:val="48B4158C"/>
    <w:rsid w:val="48B83ADB"/>
    <w:rsid w:val="48B929F6"/>
    <w:rsid w:val="48CD0453"/>
    <w:rsid w:val="49277AC7"/>
    <w:rsid w:val="493E34F5"/>
    <w:rsid w:val="49540F9B"/>
    <w:rsid w:val="498A7C9E"/>
    <w:rsid w:val="498D69E8"/>
    <w:rsid w:val="49BB647A"/>
    <w:rsid w:val="49E37921"/>
    <w:rsid w:val="4A0726D0"/>
    <w:rsid w:val="4A47044F"/>
    <w:rsid w:val="4A4E7CC2"/>
    <w:rsid w:val="4A7810AB"/>
    <w:rsid w:val="4A923483"/>
    <w:rsid w:val="4AAC0504"/>
    <w:rsid w:val="4AE2267D"/>
    <w:rsid w:val="4B0A44F7"/>
    <w:rsid w:val="4B0F7903"/>
    <w:rsid w:val="4B510E5B"/>
    <w:rsid w:val="4B68679F"/>
    <w:rsid w:val="4B9D24E8"/>
    <w:rsid w:val="4BB541C1"/>
    <w:rsid w:val="4BD60E63"/>
    <w:rsid w:val="4BD978DE"/>
    <w:rsid w:val="4C3D3C1C"/>
    <w:rsid w:val="4C5B1FDF"/>
    <w:rsid w:val="4CA15E1A"/>
    <w:rsid w:val="4CA71DFD"/>
    <w:rsid w:val="4CB72929"/>
    <w:rsid w:val="4CBE45E0"/>
    <w:rsid w:val="4D63028A"/>
    <w:rsid w:val="4D882424"/>
    <w:rsid w:val="4D8B7729"/>
    <w:rsid w:val="4DD234C1"/>
    <w:rsid w:val="4DD4069F"/>
    <w:rsid w:val="4DDB33A7"/>
    <w:rsid w:val="4E226464"/>
    <w:rsid w:val="4E2B2442"/>
    <w:rsid w:val="4E3F06FB"/>
    <w:rsid w:val="4E492B77"/>
    <w:rsid w:val="4E6906A7"/>
    <w:rsid w:val="4E8307EF"/>
    <w:rsid w:val="4E9C5519"/>
    <w:rsid w:val="4EA1547B"/>
    <w:rsid w:val="4EB12D06"/>
    <w:rsid w:val="4EFB1AEC"/>
    <w:rsid w:val="4F0C7314"/>
    <w:rsid w:val="4F122C30"/>
    <w:rsid w:val="4F1E46B3"/>
    <w:rsid w:val="4F2F2088"/>
    <w:rsid w:val="4F6F6BE9"/>
    <w:rsid w:val="4F732B0F"/>
    <w:rsid w:val="4FC2146F"/>
    <w:rsid w:val="4FC65350"/>
    <w:rsid w:val="4FE10E2F"/>
    <w:rsid w:val="50131E0B"/>
    <w:rsid w:val="50740891"/>
    <w:rsid w:val="508703D9"/>
    <w:rsid w:val="50BF7DB2"/>
    <w:rsid w:val="50DA2E40"/>
    <w:rsid w:val="50FF5FC1"/>
    <w:rsid w:val="51A514CE"/>
    <w:rsid w:val="51AD517C"/>
    <w:rsid w:val="51D2772F"/>
    <w:rsid w:val="51E4186C"/>
    <w:rsid w:val="525A474C"/>
    <w:rsid w:val="528C3170"/>
    <w:rsid w:val="531625FB"/>
    <w:rsid w:val="53377A61"/>
    <w:rsid w:val="53433E95"/>
    <w:rsid w:val="53446065"/>
    <w:rsid w:val="53900D1D"/>
    <w:rsid w:val="53A9548F"/>
    <w:rsid w:val="53AE0BD8"/>
    <w:rsid w:val="53DA43B5"/>
    <w:rsid w:val="53DE646A"/>
    <w:rsid w:val="53EC1D6D"/>
    <w:rsid w:val="5406559E"/>
    <w:rsid w:val="54077850"/>
    <w:rsid w:val="54097DC6"/>
    <w:rsid w:val="54233608"/>
    <w:rsid w:val="54301DD8"/>
    <w:rsid w:val="543B4EB4"/>
    <w:rsid w:val="54466C98"/>
    <w:rsid w:val="54477960"/>
    <w:rsid w:val="544A086D"/>
    <w:rsid w:val="548D0C7D"/>
    <w:rsid w:val="549522B1"/>
    <w:rsid w:val="54ED7D27"/>
    <w:rsid w:val="54F55E45"/>
    <w:rsid w:val="550E37F8"/>
    <w:rsid w:val="55213436"/>
    <w:rsid w:val="55377220"/>
    <w:rsid w:val="55681AC9"/>
    <w:rsid w:val="556D6EEC"/>
    <w:rsid w:val="55725BDD"/>
    <w:rsid w:val="55782CD1"/>
    <w:rsid w:val="559C7CFD"/>
    <w:rsid w:val="55B505FC"/>
    <w:rsid w:val="55B8060A"/>
    <w:rsid w:val="55F44A25"/>
    <w:rsid w:val="55FC3499"/>
    <w:rsid w:val="56166497"/>
    <w:rsid w:val="5617003C"/>
    <w:rsid w:val="561F08D3"/>
    <w:rsid w:val="562C3B69"/>
    <w:rsid w:val="566C18F8"/>
    <w:rsid w:val="569D2674"/>
    <w:rsid w:val="56C67EC2"/>
    <w:rsid w:val="56C97731"/>
    <w:rsid w:val="56DB2E29"/>
    <w:rsid w:val="56E05EB7"/>
    <w:rsid w:val="56ED5B3B"/>
    <w:rsid w:val="57187F28"/>
    <w:rsid w:val="573E03F9"/>
    <w:rsid w:val="574B646D"/>
    <w:rsid w:val="57590B0A"/>
    <w:rsid w:val="57BC64D1"/>
    <w:rsid w:val="57E36A38"/>
    <w:rsid w:val="580666AD"/>
    <w:rsid w:val="58422A44"/>
    <w:rsid w:val="584C5771"/>
    <w:rsid w:val="585B347A"/>
    <w:rsid w:val="58AA3460"/>
    <w:rsid w:val="5910704C"/>
    <w:rsid w:val="596C7E8F"/>
    <w:rsid w:val="597D5EE2"/>
    <w:rsid w:val="59A35FD9"/>
    <w:rsid w:val="59D7534F"/>
    <w:rsid w:val="59E244F3"/>
    <w:rsid w:val="59FF6B39"/>
    <w:rsid w:val="5A171C13"/>
    <w:rsid w:val="5A1E59BB"/>
    <w:rsid w:val="5AA81E92"/>
    <w:rsid w:val="5B0F66C9"/>
    <w:rsid w:val="5B334D3F"/>
    <w:rsid w:val="5B495CDC"/>
    <w:rsid w:val="5B6D17E2"/>
    <w:rsid w:val="5B7F73B4"/>
    <w:rsid w:val="5B863EAF"/>
    <w:rsid w:val="5BA93288"/>
    <w:rsid w:val="5BCF05A1"/>
    <w:rsid w:val="5BD668B8"/>
    <w:rsid w:val="5BDC6859"/>
    <w:rsid w:val="5C095EE9"/>
    <w:rsid w:val="5C1F0BC8"/>
    <w:rsid w:val="5C3254CC"/>
    <w:rsid w:val="5C660AC0"/>
    <w:rsid w:val="5C7D0EF7"/>
    <w:rsid w:val="5C911D47"/>
    <w:rsid w:val="5C9B1F99"/>
    <w:rsid w:val="5CA00639"/>
    <w:rsid w:val="5CAD7D56"/>
    <w:rsid w:val="5CB816BB"/>
    <w:rsid w:val="5CCB5CF1"/>
    <w:rsid w:val="5CDA2815"/>
    <w:rsid w:val="5D354FEB"/>
    <w:rsid w:val="5D510DF2"/>
    <w:rsid w:val="5D577FA7"/>
    <w:rsid w:val="5D8A0B8A"/>
    <w:rsid w:val="5D8D1DC3"/>
    <w:rsid w:val="5DDD0C97"/>
    <w:rsid w:val="5DE640E8"/>
    <w:rsid w:val="5DE81AF7"/>
    <w:rsid w:val="5E48769E"/>
    <w:rsid w:val="5E6A70D4"/>
    <w:rsid w:val="5EBD1AC0"/>
    <w:rsid w:val="5EBE3B7F"/>
    <w:rsid w:val="5F01496B"/>
    <w:rsid w:val="5F5702E5"/>
    <w:rsid w:val="5F6B206F"/>
    <w:rsid w:val="5F8108E9"/>
    <w:rsid w:val="5F917BE3"/>
    <w:rsid w:val="5FAC4183"/>
    <w:rsid w:val="5FD247F3"/>
    <w:rsid w:val="5FF3614D"/>
    <w:rsid w:val="600A435D"/>
    <w:rsid w:val="602B1CB3"/>
    <w:rsid w:val="603A4943"/>
    <w:rsid w:val="60A4403C"/>
    <w:rsid w:val="60B849C5"/>
    <w:rsid w:val="60D14824"/>
    <w:rsid w:val="60F751BA"/>
    <w:rsid w:val="61064A79"/>
    <w:rsid w:val="610C5927"/>
    <w:rsid w:val="61130A16"/>
    <w:rsid w:val="613B65D5"/>
    <w:rsid w:val="615C7B1A"/>
    <w:rsid w:val="616A1152"/>
    <w:rsid w:val="618118F1"/>
    <w:rsid w:val="618D567C"/>
    <w:rsid w:val="61995DF8"/>
    <w:rsid w:val="61BA1432"/>
    <w:rsid w:val="61EC689E"/>
    <w:rsid w:val="62195895"/>
    <w:rsid w:val="622E7DF0"/>
    <w:rsid w:val="6238442F"/>
    <w:rsid w:val="624C494A"/>
    <w:rsid w:val="62A73644"/>
    <w:rsid w:val="63063EF8"/>
    <w:rsid w:val="630D1EF1"/>
    <w:rsid w:val="63466F33"/>
    <w:rsid w:val="63751F96"/>
    <w:rsid w:val="63914881"/>
    <w:rsid w:val="63AC704E"/>
    <w:rsid w:val="63D475BB"/>
    <w:rsid w:val="640F71F4"/>
    <w:rsid w:val="64647E28"/>
    <w:rsid w:val="647C567B"/>
    <w:rsid w:val="64B2428D"/>
    <w:rsid w:val="64BE76EB"/>
    <w:rsid w:val="64D87715"/>
    <w:rsid w:val="64E94F32"/>
    <w:rsid w:val="65F56BFB"/>
    <w:rsid w:val="66361487"/>
    <w:rsid w:val="664239AC"/>
    <w:rsid w:val="66A67527"/>
    <w:rsid w:val="67051F22"/>
    <w:rsid w:val="672A6C18"/>
    <w:rsid w:val="673834DE"/>
    <w:rsid w:val="67912143"/>
    <w:rsid w:val="67D36E39"/>
    <w:rsid w:val="67E067A9"/>
    <w:rsid w:val="68304E12"/>
    <w:rsid w:val="6853053A"/>
    <w:rsid w:val="68766038"/>
    <w:rsid w:val="687D42F5"/>
    <w:rsid w:val="68962343"/>
    <w:rsid w:val="68DC147D"/>
    <w:rsid w:val="692D1A99"/>
    <w:rsid w:val="693F4D3B"/>
    <w:rsid w:val="69442D22"/>
    <w:rsid w:val="694C4738"/>
    <w:rsid w:val="695D6E18"/>
    <w:rsid w:val="69672A5A"/>
    <w:rsid w:val="696D6786"/>
    <w:rsid w:val="69BF04FE"/>
    <w:rsid w:val="6A444182"/>
    <w:rsid w:val="6A783A56"/>
    <w:rsid w:val="6A8A0850"/>
    <w:rsid w:val="6AA601F2"/>
    <w:rsid w:val="6AB15D94"/>
    <w:rsid w:val="6AF87724"/>
    <w:rsid w:val="6B194AAE"/>
    <w:rsid w:val="6B536126"/>
    <w:rsid w:val="6B731CB8"/>
    <w:rsid w:val="6B945CBC"/>
    <w:rsid w:val="6BC22E74"/>
    <w:rsid w:val="6BC75EE5"/>
    <w:rsid w:val="6BDF65ED"/>
    <w:rsid w:val="6BF26BA9"/>
    <w:rsid w:val="6C1578B9"/>
    <w:rsid w:val="6C260A10"/>
    <w:rsid w:val="6C3C27FC"/>
    <w:rsid w:val="6C3F0F83"/>
    <w:rsid w:val="6C4B7F70"/>
    <w:rsid w:val="6C515718"/>
    <w:rsid w:val="6C9C6B07"/>
    <w:rsid w:val="6CAA3E61"/>
    <w:rsid w:val="6CC14A02"/>
    <w:rsid w:val="6CE1113B"/>
    <w:rsid w:val="6D111E45"/>
    <w:rsid w:val="6D1E19C3"/>
    <w:rsid w:val="6D5F00EB"/>
    <w:rsid w:val="6D64447A"/>
    <w:rsid w:val="6D847EF3"/>
    <w:rsid w:val="6D9D3429"/>
    <w:rsid w:val="6DAB03BC"/>
    <w:rsid w:val="6DD003FC"/>
    <w:rsid w:val="6DD0528D"/>
    <w:rsid w:val="6DD22305"/>
    <w:rsid w:val="6DE16FB7"/>
    <w:rsid w:val="6E105EC7"/>
    <w:rsid w:val="6E1D53FC"/>
    <w:rsid w:val="6E22598D"/>
    <w:rsid w:val="6E817500"/>
    <w:rsid w:val="6EB1207D"/>
    <w:rsid w:val="6EB30CC1"/>
    <w:rsid w:val="6EFA7A00"/>
    <w:rsid w:val="6F1E7709"/>
    <w:rsid w:val="6F4946F6"/>
    <w:rsid w:val="6F86181D"/>
    <w:rsid w:val="6F9550CF"/>
    <w:rsid w:val="6FCF39EE"/>
    <w:rsid w:val="6FDC6384"/>
    <w:rsid w:val="6FDF1AD2"/>
    <w:rsid w:val="6FF07DDF"/>
    <w:rsid w:val="700A1F16"/>
    <w:rsid w:val="701D33C0"/>
    <w:rsid w:val="70216B99"/>
    <w:rsid w:val="70221C18"/>
    <w:rsid w:val="702B6460"/>
    <w:rsid w:val="70787892"/>
    <w:rsid w:val="70915040"/>
    <w:rsid w:val="70935015"/>
    <w:rsid w:val="70A9349D"/>
    <w:rsid w:val="70AA1237"/>
    <w:rsid w:val="70B2275A"/>
    <w:rsid w:val="70F440DF"/>
    <w:rsid w:val="70F51B91"/>
    <w:rsid w:val="710C49C5"/>
    <w:rsid w:val="7119710C"/>
    <w:rsid w:val="712901A1"/>
    <w:rsid w:val="713A1578"/>
    <w:rsid w:val="7140190A"/>
    <w:rsid w:val="714B51FB"/>
    <w:rsid w:val="716D5763"/>
    <w:rsid w:val="71A35B78"/>
    <w:rsid w:val="71AE4044"/>
    <w:rsid w:val="71B9675B"/>
    <w:rsid w:val="71BE3CEA"/>
    <w:rsid w:val="71CF5BC3"/>
    <w:rsid w:val="71D71D1A"/>
    <w:rsid w:val="721A231F"/>
    <w:rsid w:val="723B6DEF"/>
    <w:rsid w:val="723D3FD5"/>
    <w:rsid w:val="728366C5"/>
    <w:rsid w:val="72AE0222"/>
    <w:rsid w:val="72FA26BA"/>
    <w:rsid w:val="732B6807"/>
    <w:rsid w:val="73876BB3"/>
    <w:rsid w:val="739F1CA8"/>
    <w:rsid w:val="73A6487D"/>
    <w:rsid w:val="73EE7781"/>
    <w:rsid w:val="73F0678F"/>
    <w:rsid w:val="73F7473B"/>
    <w:rsid w:val="73FD11BA"/>
    <w:rsid w:val="740D2FB4"/>
    <w:rsid w:val="74283703"/>
    <w:rsid w:val="749E3CAC"/>
    <w:rsid w:val="74A17E0C"/>
    <w:rsid w:val="74D1756F"/>
    <w:rsid w:val="74F70BBE"/>
    <w:rsid w:val="75034F98"/>
    <w:rsid w:val="75207FB6"/>
    <w:rsid w:val="75460847"/>
    <w:rsid w:val="7552486A"/>
    <w:rsid w:val="755C41CC"/>
    <w:rsid w:val="75674A21"/>
    <w:rsid w:val="758A02DB"/>
    <w:rsid w:val="759B4FF2"/>
    <w:rsid w:val="75BA64AB"/>
    <w:rsid w:val="75D30A2A"/>
    <w:rsid w:val="75FC7C39"/>
    <w:rsid w:val="76215F7A"/>
    <w:rsid w:val="762415AB"/>
    <w:rsid w:val="763526A7"/>
    <w:rsid w:val="763F13EA"/>
    <w:rsid w:val="765A56AE"/>
    <w:rsid w:val="766656F2"/>
    <w:rsid w:val="76800346"/>
    <w:rsid w:val="76DE6A9A"/>
    <w:rsid w:val="76F86BB1"/>
    <w:rsid w:val="770144CB"/>
    <w:rsid w:val="770C46A5"/>
    <w:rsid w:val="77407F8E"/>
    <w:rsid w:val="774A3B71"/>
    <w:rsid w:val="776A0349"/>
    <w:rsid w:val="77755280"/>
    <w:rsid w:val="778D7280"/>
    <w:rsid w:val="77B602F2"/>
    <w:rsid w:val="77B730B3"/>
    <w:rsid w:val="77D06E0E"/>
    <w:rsid w:val="77DF6229"/>
    <w:rsid w:val="78200235"/>
    <w:rsid w:val="78500513"/>
    <w:rsid w:val="786309D8"/>
    <w:rsid w:val="78A30056"/>
    <w:rsid w:val="78F245D9"/>
    <w:rsid w:val="791652EA"/>
    <w:rsid w:val="792876E6"/>
    <w:rsid w:val="794C08D1"/>
    <w:rsid w:val="7960070E"/>
    <w:rsid w:val="79602B7C"/>
    <w:rsid w:val="79B80725"/>
    <w:rsid w:val="79D4466C"/>
    <w:rsid w:val="79DB2554"/>
    <w:rsid w:val="7A18329D"/>
    <w:rsid w:val="7A26595F"/>
    <w:rsid w:val="7A2B629E"/>
    <w:rsid w:val="7A51352E"/>
    <w:rsid w:val="7A5B0914"/>
    <w:rsid w:val="7A83776E"/>
    <w:rsid w:val="7AA25E09"/>
    <w:rsid w:val="7AE64A43"/>
    <w:rsid w:val="7B390CEC"/>
    <w:rsid w:val="7B3D3052"/>
    <w:rsid w:val="7B513C20"/>
    <w:rsid w:val="7B802F97"/>
    <w:rsid w:val="7B8A4150"/>
    <w:rsid w:val="7B920B9F"/>
    <w:rsid w:val="7B9215AF"/>
    <w:rsid w:val="7B937DFF"/>
    <w:rsid w:val="7BA95CC4"/>
    <w:rsid w:val="7BB453F6"/>
    <w:rsid w:val="7BCB13AB"/>
    <w:rsid w:val="7BF42BD1"/>
    <w:rsid w:val="7C126EE4"/>
    <w:rsid w:val="7C4343A3"/>
    <w:rsid w:val="7C4B2B79"/>
    <w:rsid w:val="7C5E4767"/>
    <w:rsid w:val="7C626DC5"/>
    <w:rsid w:val="7C701C03"/>
    <w:rsid w:val="7CD6263B"/>
    <w:rsid w:val="7CF22357"/>
    <w:rsid w:val="7CFC0E33"/>
    <w:rsid w:val="7D0F3FA6"/>
    <w:rsid w:val="7D2A1CAD"/>
    <w:rsid w:val="7D6261A6"/>
    <w:rsid w:val="7D8638B4"/>
    <w:rsid w:val="7D883202"/>
    <w:rsid w:val="7DA00D9E"/>
    <w:rsid w:val="7DA17198"/>
    <w:rsid w:val="7DA96494"/>
    <w:rsid w:val="7DDC499A"/>
    <w:rsid w:val="7DDE4907"/>
    <w:rsid w:val="7E0B123D"/>
    <w:rsid w:val="7E0B6E46"/>
    <w:rsid w:val="7E106DBE"/>
    <w:rsid w:val="7E11390A"/>
    <w:rsid w:val="7E2E7BC2"/>
    <w:rsid w:val="7E337B39"/>
    <w:rsid w:val="7E47157E"/>
    <w:rsid w:val="7E495843"/>
    <w:rsid w:val="7E61262E"/>
    <w:rsid w:val="7E931191"/>
    <w:rsid w:val="7E941BB2"/>
    <w:rsid w:val="7EBB1A5F"/>
    <w:rsid w:val="7EE869CB"/>
    <w:rsid w:val="7F165389"/>
    <w:rsid w:val="7F39485A"/>
    <w:rsid w:val="7F90327B"/>
    <w:rsid w:val="7F9739B3"/>
    <w:rsid w:val="7FBC3AB6"/>
    <w:rsid w:val="7FD46A91"/>
    <w:rsid w:val="7FDF2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5"/>
    <w:basedOn w:val="1"/>
    <w:next w:val="1"/>
    <w:link w:val="57"/>
    <w:qFormat/>
    <w:uiPriority w:val="9"/>
    <w:pPr>
      <w:ind w:left="840"/>
      <w:outlineLvl w:val="4"/>
    </w:pPr>
    <w:rPr>
      <w:b/>
      <w:bCs/>
      <w:szCs w:val="21"/>
    </w:rPr>
  </w:style>
  <w:style w:type="paragraph" w:styleId="6">
    <w:name w:val="heading 6"/>
    <w:basedOn w:val="1"/>
    <w:next w:val="1"/>
    <w:qFormat/>
    <w:uiPriority w:val="1"/>
    <w:pPr>
      <w:ind w:left="1251" w:hanging="484"/>
      <w:outlineLvl w:val="5"/>
    </w:pPr>
    <w:rPr>
      <w:rFonts w:ascii="宋体" w:hAnsi="宋体" w:eastAsia="宋体" w:cs="宋体"/>
      <w:b/>
      <w:bCs/>
      <w:sz w:val="24"/>
      <w:szCs w:val="24"/>
      <w:lang w:val="zh-CN" w:bidi="zh-CN"/>
    </w:rPr>
  </w:style>
  <w:style w:type="paragraph" w:styleId="7">
    <w:name w:val="heading 7"/>
    <w:basedOn w:val="1"/>
    <w:next w:val="1"/>
    <w:qFormat/>
    <w:uiPriority w:val="1"/>
    <w:pPr>
      <w:spacing w:before="66"/>
      <w:ind w:left="768"/>
      <w:outlineLvl w:val="6"/>
    </w:pPr>
    <w:rPr>
      <w:rFonts w:ascii="宋体" w:hAnsi="宋体" w:eastAsia="宋体" w:cs="宋体"/>
      <w:sz w:val="24"/>
      <w:szCs w:val="24"/>
      <w:lang w:val="zh-CN" w:bidi="zh-CN"/>
    </w:rPr>
  </w:style>
  <w:style w:type="paragraph" w:styleId="8">
    <w:name w:val="heading 8"/>
    <w:basedOn w:val="1"/>
    <w:next w:val="1"/>
    <w:qFormat/>
    <w:uiPriority w:val="1"/>
    <w:pPr>
      <w:ind w:left="1025" w:hanging="908"/>
      <w:outlineLvl w:val="7"/>
    </w:pPr>
    <w:rPr>
      <w:rFonts w:ascii="宋体" w:hAnsi="宋体" w:eastAsia="宋体" w:cs="宋体"/>
      <w:b/>
      <w:bCs/>
      <w:szCs w:val="21"/>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9">
    <w:name w:val="Normal Indent"/>
    <w:basedOn w:val="1"/>
    <w:link w:val="51"/>
    <w:qFormat/>
    <w:uiPriority w:val="0"/>
    <w:pPr>
      <w:ind w:firstLine="420"/>
    </w:pPr>
  </w:style>
  <w:style w:type="paragraph" w:styleId="10">
    <w:name w:val="annotation text"/>
    <w:basedOn w:val="1"/>
    <w:link w:val="45"/>
    <w:unhideWhenUsed/>
    <w:qFormat/>
    <w:uiPriority w:val="99"/>
    <w:pPr>
      <w:jc w:val="left"/>
    </w:pPr>
  </w:style>
  <w:style w:type="paragraph" w:styleId="11">
    <w:name w:val="Body Text 3"/>
    <w:basedOn w:val="1"/>
    <w:unhideWhenUsed/>
    <w:qFormat/>
    <w:uiPriority w:val="99"/>
    <w:rPr>
      <w:sz w:val="16"/>
      <w:szCs w:val="16"/>
    </w:rPr>
  </w:style>
  <w:style w:type="paragraph" w:styleId="12">
    <w:name w:val="Body Text"/>
    <w:basedOn w:val="1"/>
    <w:qFormat/>
    <w:uiPriority w:val="1"/>
    <w:rPr>
      <w:rFonts w:ascii="宋体" w:hAnsi="宋体" w:eastAsia="宋体" w:cs="宋体"/>
      <w:szCs w:val="21"/>
      <w:lang w:val="zh-CN" w:bidi="zh-CN"/>
    </w:r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48"/>
    <w:qFormat/>
    <w:uiPriority w:val="0"/>
    <w:rPr>
      <w:rFonts w:ascii="宋体" w:hAnsi="Courier New" w:cs="Courier New"/>
      <w:szCs w:val="21"/>
    </w:rPr>
  </w:style>
  <w:style w:type="paragraph" w:styleId="15">
    <w:name w:val="endnote text"/>
    <w:basedOn w:val="1"/>
    <w:link w:val="47"/>
    <w:unhideWhenUsed/>
    <w:qFormat/>
    <w:uiPriority w:val="99"/>
    <w:pPr>
      <w:snapToGrid w:val="0"/>
      <w:jc w:val="left"/>
    </w:pPr>
  </w:style>
  <w:style w:type="paragraph" w:styleId="16">
    <w:name w:val="Balloon Text"/>
    <w:basedOn w:val="1"/>
    <w:link w:val="41"/>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2"/>
    <w:basedOn w:val="20"/>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20">
    <w:name w:val="引用1"/>
    <w:basedOn w:val="1"/>
    <w:next w:val="1"/>
    <w:link w:val="50"/>
    <w:qFormat/>
    <w:uiPriority w:val="29"/>
    <w:rPr>
      <w:i/>
      <w:iCs/>
      <w:color w:val="000000" w:themeColor="text1"/>
      <w14:textFill>
        <w14:solidFill>
          <w14:schemeClr w14:val="tx1"/>
        </w14:solidFill>
      </w14:textFill>
    </w:rPr>
  </w:style>
  <w:style w:type="paragraph" w:styleId="21">
    <w:name w:val="Normal (Web)"/>
    <w:basedOn w:val="1"/>
    <w:unhideWhenUsed/>
    <w:qFormat/>
    <w:uiPriority w:val="99"/>
    <w:pPr>
      <w:spacing w:before="100" w:beforeAutospacing="1" w:after="100" w:afterAutospacing="1"/>
      <w:jc w:val="left"/>
    </w:pPr>
    <w:rPr>
      <w:kern w:val="0"/>
      <w:sz w:val="24"/>
      <w:szCs w:val="24"/>
    </w:rPr>
  </w:style>
  <w:style w:type="paragraph" w:styleId="22">
    <w:name w:val="annotation subject"/>
    <w:basedOn w:val="10"/>
    <w:next w:val="10"/>
    <w:link w:val="52"/>
    <w:unhideWhenUsed/>
    <w:qFormat/>
    <w:uiPriority w:val="99"/>
    <w:rPr>
      <w:b/>
      <w:bCs/>
    </w:rPr>
  </w:style>
  <w:style w:type="table" w:styleId="24">
    <w:name w:val="Table Grid"/>
    <w:basedOn w:val="2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endnote reference"/>
    <w:basedOn w:val="25"/>
    <w:unhideWhenUsed/>
    <w:qFormat/>
    <w:uiPriority w:val="99"/>
    <w:rPr>
      <w:vertAlign w:val="superscript"/>
    </w:rPr>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20"/>
  </w:style>
  <w:style w:type="character" w:styleId="30">
    <w:name w:val="HTML Definition"/>
    <w:basedOn w:val="25"/>
    <w:semiHidden/>
    <w:unhideWhenUsed/>
    <w:qFormat/>
    <w:uiPriority w:val="99"/>
  </w:style>
  <w:style w:type="character" w:styleId="31">
    <w:name w:val="HTML Variable"/>
    <w:basedOn w:val="25"/>
    <w:semiHidden/>
    <w:unhideWhenUsed/>
    <w:qFormat/>
    <w:uiPriority w:val="99"/>
  </w:style>
  <w:style w:type="character" w:styleId="32">
    <w:name w:val="Hyperlink"/>
    <w:basedOn w:val="25"/>
    <w:unhideWhenUsed/>
    <w:qFormat/>
    <w:uiPriority w:val="99"/>
    <w:rPr>
      <w:color w:val="0000FF" w:themeColor="hyperlink"/>
      <w:u w:val="single"/>
      <w14:textFill>
        <w14:solidFill>
          <w14:schemeClr w14:val="hlink"/>
        </w14:solidFill>
      </w14:textFill>
    </w:rPr>
  </w:style>
  <w:style w:type="character" w:styleId="33">
    <w:name w:val="HTML Code"/>
    <w:basedOn w:val="25"/>
    <w:semiHidden/>
    <w:unhideWhenUsed/>
    <w:qFormat/>
    <w:uiPriority w:val="99"/>
    <w:rPr>
      <w:rFonts w:ascii="Consolas" w:hAnsi="Consolas" w:eastAsia="Consolas" w:cs="Consolas"/>
      <w:color w:val="C7254E"/>
      <w:sz w:val="21"/>
      <w:szCs w:val="21"/>
      <w:shd w:val="clear" w:fill="F9F2F4"/>
    </w:rPr>
  </w:style>
  <w:style w:type="character" w:styleId="34">
    <w:name w:val="annotation reference"/>
    <w:qFormat/>
    <w:uiPriority w:val="99"/>
    <w:rPr>
      <w:sz w:val="21"/>
    </w:rPr>
  </w:style>
  <w:style w:type="character" w:styleId="35">
    <w:name w:val="HTML Cite"/>
    <w:basedOn w:val="25"/>
    <w:semiHidden/>
    <w:unhideWhenUsed/>
    <w:qFormat/>
    <w:uiPriority w:val="99"/>
  </w:style>
  <w:style w:type="character" w:styleId="36">
    <w:name w:val="HTML Keyboard"/>
    <w:basedOn w:val="25"/>
    <w:semiHidden/>
    <w:unhideWhenUsed/>
    <w:qFormat/>
    <w:uiPriority w:val="99"/>
    <w:rPr>
      <w:rFonts w:hint="default" w:ascii="Consolas" w:hAnsi="Consolas" w:eastAsia="Consolas" w:cs="Consolas"/>
      <w:color w:val="FFFFFF"/>
      <w:sz w:val="21"/>
      <w:szCs w:val="21"/>
      <w:shd w:val="clear" w:fill="333333"/>
    </w:rPr>
  </w:style>
  <w:style w:type="character" w:styleId="37">
    <w:name w:val="HTML Sample"/>
    <w:basedOn w:val="25"/>
    <w:semiHidden/>
    <w:unhideWhenUsed/>
    <w:qFormat/>
    <w:uiPriority w:val="99"/>
    <w:rPr>
      <w:rFonts w:hint="default" w:ascii="Consolas" w:hAnsi="Consolas" w:eastAsia="Consolas" w:cs="Consolas"/>
      <w:sz w:val="21"/>
      <w:szCs w:val="21"/>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页眉 Char"/>
    <w:basedOn w:val="25"/>
    <w:link w:val="18"/>
    <w:qFormat/>
    <w:uiPriority w:val="99"/>
    <w:rPr>
      <w:sz w:val="18"/>
      <w:szCs w:val="18"/>
    </w:rPr>
  </w:style>
  <w:style w:type="character" w:customStyle="1" w:styleId="40">
    <w:name w:val="页脚 Char"/>
    <w:basedOn w:val="25"/>
    <w:link w:val="17"/>
    <w:qFormat/>
    <w:uiPriority w:val="99"/>
    <w:rPr>
      <w:sz w:val="18"/>
      <w:szCs w:val="18"/>
    </w:rPr>
  </w:style>
  <w:style w:type="character" w:customStyle="1" w:styleId="41">
    <w:name w:val="批注框文本 Char"/>
    <w:basedOn w:val="25"/>
    <w:link w:val="16"/>
    <w:semiHidden/>
    <w:qFormat/>
    <w:uiPriority w:val="99"/>
    <w:rPr>
      <w:sz w:val="18"/>
      <w:szCs w:val="18"/>
    </w:rPr>
  </w:style>
  <w:style w:type="paragraph" w:customStyle="1" w:styleId="42">
    <w:name w:val="列出段落1"/>
    <w:basedOn w:val="1"/>
    <w:qFormat/>
    <w:uiPriority w:val="34"/>
    <w:pPr>
      <w:ind w:firstLine="420" w:firstLineChars="200"/>
    </w:pPr>
  </w:style>
  <w:style w:type="character" w:customStyle="1" w:styleId="43">
    <w:name w:val="标题 1 Char"/>
    <w:basedOn w:val="25"/>
    <w:link w:val="3"/>
    <w:qFormat/>
    <w:uiPriority w:val="9"/>
    <w:rPr>
      <w:b/>
      <w:bCs/>
      <w:kern w:val="44"/>
      <w:sz w:val="44"/>
      <w:szCs w:val="44"/>
    </w:rPr>
  </w:style>
  <w:style w:type="paragraph" w:customStyle="1" w:styleId="4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批注文字 Char"/>
    <w:basedOn w:val="25"/>
    <w:link w:val="10"/>
    <w:qFormat/>
    <w:uiPriority w:val="99"/>
  </w:style>
  <w:style w:type="character" w:customStyle="1" w:styleId="46">
    <w:name w:val="标题 2 Char"/>
    <w:basedOn w:val="25"/>
    <w:link w:val="4"/>
    <w:qFormat/>
    <w:uiPriority w:val="9"/>
    <w:rPr>
      <w:rFonts w:asciiTheme="majorHAnsi" w:hAnsiTheme="majorHAnsi" w:eastAsiaTheme="majorEastAsia" w:cstheme="majorBidi"/>
      <w:b/>
      <w:bCs/>
      <w:sz w:val="32"/>
      <w:szCs w:val="32"/>
    </w:rPr>
  </w:style>
  <w:style w:type="character" w:customStyle="1" w:styleId="47">
    <w:name w:val="尾注文本 Char"/>
    <w:basedOn w:val="25"/>
    <w:link w:val="15"/>
    <w:semiHidden/>
    <w:qFormat/>
    <w:uiPriority w:val="99"/>
  </w:style>
  <w:style w:type="character" w:customStyle="1" w:styleId="48">
    <w:name w:val="纯文本 Char"/>
    <w:link w:val="14"/>
    <w:qFormat/>
    <w:uiPriority w:val="0"/>
    <w:rPr>
      <w:rFonts w:ascii="宋体" w:hAnsi="Courier New" w:cs="Courier New"/>
      <w:szCs w:val="21"/>
    </w:rPr>
  </w:style>
  <w:style w:type="character" w:customStyle="1" w:styleId="49">
    <w:name w:val="纯文本 Char1"/>
    <w:basedOn w:val="25"/>
    <w:semiHidden/>
    <w:qFormat/>
    <w:uiPriority w:val="99"/>
    <w:rPr>
      <w:rFonts w:ascii="宋体" w:hAnsi="Courier New" w:eastAsia="宋体" w:cs="Courier New"/>
      <w:szCs w:val="21"/>
    </w:rPr>
  </w:style>
  <w:style w:type="character" w:customStyle="1" w:styleId="50">
    <w:name w:val="引用 Char"/>
    <w:basedOn w:val="25"/>
    <w:link w:val="20"/>
    <w:qFormat/>
    <w:uiPriority w:val="29"/>
    <w:rPr>
      <w:i/>
      <w:iCs/>
      <w:color w:val="000000" w:themeColor="text1"/>
      <w14:textFill>
        <w14:solidFill>
          <w14:schemeClr w14:val="tx1"/>
        </w14:solidFill>
      </w14:textFill>
    </w:rPr>
  </w:style>
  <w:style w:type="character" w:customStyle="1" w:styleId="51">
    <w:name w:val="正文缩进 Char"/>
    <w:link w:val="9"/>
    <w:qFormat/>
    <w:uiPriority w:val="0"/>
  </w:style>
  <w:style w:type="character" w:customStyle="1" w:styleId="52">
    <w:name w:val="批注主题 Char"/>
    <w:basedOn w:val="45"/>
    <w:link w:val="22"/>
    <w:semiHidden/>
    <w:qFormat/>
    <w:uiPriority w:val="99"/>
    <w:rPr>
      <w:b/>
      <w:bCs/>
    </w:rPr>
  </w:style>
  <w:style w:type="paragraph" w:customStyle="1" w:styleId="53">
    <w:name w:val="列出段落2"/>
    <w:basedOn w:val="1"/>
    <w:unhideWhenUsed/>
    <w:qFormat/>
    <w:uiPriority w:val="99"/>
    <w:pPr>
      <w:ind w:firstLine="420" w:firstLineChars="200"/>
    </w:pPr>
  </w:style>
  <w:style w:type="paragraph" w:customStyle="1" w:styleId="54">
    <w:name w:val="Table Paragraph"/>
    <w:basedOn w:val="1"/>
    <w:qFormat/>
    <w:uiPriority w:val="0"/>
    <w:pPr>
      <w:autoSpaceDE w:val="0"/>
      <w:autoSpaceDN w:val="0"/>
      <w:jc w:val="left"/>
    </w:pPr>
    <w:rPr>
      <w:rFonts w:ascii="仿宋" w:hAnsi="仿宋" w:eastAsia="仿宋" w:cs="宋体"/>
      <w:kern w:val="0"/>
      <w:sz w:val="22"/>
    </w:rPr>
  </w:style>
  <w:style w:type="paragraph" w:styleId="55">
    <w:name w:val="List Paragraph"/>
    <w:basedOn w:val="1"/>
    <w:unhideWhenUsed/>
    <w:qFormat/>
    <w:uiPriority w:val="99"/>
    <w:pPr>
      <w:ind w:firstLine="420" w:firstLineChars="200"/>
    </w:pPr>
  </w:style>
  <w:style w:type="paragraph" w:customStyle="1" w:styleId="56">
    <w:name w:val="段"/>
    <w:next w:val="1"/>
    <w:qFormat/>
    <w:uiPriority w:val="0"/>
    <w:pPr>
      <w:autoSpaceDE w:val="0"/>
      <w:autoSpaceDN w:val="0"/>
      <w:adjustRightInd w:val="0"/>
      <w:snapToGrid w:val="0"/>
      <w:spacing w:line="360" w:lineRule="auto"/>
      <w:ind w:firstLine="200" w:firstLineChars="200"/>
      <w:jc w:val="both"/>
    </w:pPr>
    <w:rPr>
      <w:rFonts w:ascii="宋体" w:hAnsi="Calibri" w:eastAsia="微软雅黑" w:cstheme="minorBidi"/>
      <w:sz w:val="24"/>
      <w:szCs w:val="22"/>
      <w:lang w:val="en-US" w:eastAsia="zh-CN" w:bidi="ar-SA"/>
    </w:rPr>
  </w:style>
  <w:style w:type="character" w:customStyle="1" w:styleId="57">
    <w:name w:val="标题 5 Char"/>
    <w:basedOn w:val="25"/>
    <w:link w:val="5"/>
    <w:qFormat/>
    <w:uiPriority w:val="0"/>
    <w:rPr>
      <w:b/>
      <w:kern w:val="2"/>
      <w:sz w:val="28"/>
      <w:szCs w:val="28"/>
    </w:rPr>
  </w:style>
  <w:style w:type="character" w:customStyle="1" w:styleId="58">
    <w:name w:val="last-child"/>
    <w:basedOn w:val="25"/>
    <w:qFormat/>
    <w:uiPriority w:val="0"/>
  </w:style>
  <w:style w:type="character" w:customStyle="1" w:styleId="59">
    <w:name w:val="is_active"/>
    <w:basedOn w:val="25"/>
    <w:qFormat/>
    <w:uiPriority w:val="0"/>
    <w:rPr>
      <w:color w:val="FFFFFF"/>
      <w:shd w:val="clear" w:color="auto" w:fill="F07C17"/>
    </w:rPr>
  </w:style>
  <w:style w:type="character" w:customStyle="1" w:styleId="60">
    <w:name w:val="is_active1"/>
    <w:basedOn w:val="25"/>
    <w:qFormat/>
    <w:uiPriority w:val="0"/>
    <w:rPr>
      <w:color w:val="FFFFFF"/>
      <w:shd w:val="clear" w:color="auto" w:fill="F07C17"/>
    </w:rPr>
  </w:style>
  <w:style w:type="paragraph" w:customStyle="1" w:styleId="61">
    <w:name w:val="msolistparagraph"/>
    <w:basedOn w:val="1"/>
    <w:qFormat/>
    <w:uiPriority w:val="0"/>
    <w:pPr>
      <w:ind w:firstLine="420" w:firstLineChars="200"/>
    </w:pPr>
    <w:rPr>
      <w:rFonts w:ascii="Calibri" w:hAnsi="Calibri" w:eastAsia="宋体" w:cs="Times New Roman"/>
    </w:rPr>
  </w:style>
  <w:style w:type="character" w:customStyle="1" w:styleId="62">
    <w:name w:val="hover"/>
    <w:basedOn w:val="25"/>
    <w:qFormat/>
    <w:uiPriority w:val="0"/>
    <w:rPr>
      <w:color w:val="FFFFFF"/>
      <w:shd w:val="clear" w:fill="2D66A5"/>
    </w:rPr>
  </w:style>
  <w:style w:type="character" w:customStyle="1" w:styleId="63">
    <w:name w:val="current7"/>
    <w:basedOn w:val="25"/>
    <w:qFormat/>
    <w:uiPriority w:val="0"/>
    <w:rPr>
      <w:color w:val="FFFFFF"/>
      <w:shd w:val="clear" w:fill="2D66A5"/>
    </w:rPr>
  </w:style>
  <w:style w:type="character" w:customStyle="1" w:styleId="64">
    <w:name w:val="layui-this"/>
    <w:basedOn w:val="25"/>
    <w:qFormat/>
    <w:uiPriority w:val="0"/>
    <w:rPr>
      <w:bdr w:val="single" w:color="EEEEEE" w:sz="6" w:space="0"/>
      <w:shd w:val="clear" w:fill="FFFFFF"/>
    </w:rPr>
  </w:style>
  <w:style w:type="character" w:customStyle="1" w:styleId="65">
    <w:name w:val="xx"/>
    <w:basedOn w:val="25"/>
    <w:qFormat/>
    <w:uiPriority w:val="0"/>
    <w:rPr>
      <w:color w:val="3A77B9"/>
    </w:rPr>
  </w:style>
  <w:style w:type="character" w:customStyle="1" w:styleId="66">
    <w:name w:val="first-child"/>
    <w:basedOn w:val="25"/>
    <w:qFormat/>
    <w:uiPriority w:val="0"/>
  </w:style>
  <w:style w:type="character" w:customStyle="1" w:styleId="67">
    <w:name w:val="more6"/>
    <w:basedOn w:val="25"/>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C8C2E-249C-4573-BEBD-58EF09D4A35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7986</Words>
  <Characters>45523</Characters>
  <Lines>379</Lines>
  <Paragraphs>106</Paragraphs>
  <TotalTime>124</TotalTime>
  <ScaleCrop>false</ScaleCrop>
  <LinksUpToDate>false</LinksUpToDate>
  <CharactersWithSpaces>53403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lenovo</cp:lastModifiedBy>
  <cp:lastPrinted>2022-03-17T02:12:00Z</cp:lastPrinted>
  <dcterms:modified xsi:type="dcterms:W3CDTF">2022-03-17T09:12:46Z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7D153C258A0742B28F1DEC5CC89D4C1F</vt:lpwstr>
  </property>
</Properties>
</file>