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100" w:afterLines="300"/>
        <w:jc w:val="center"/>
        <w:rPr>
          <w:rFonts w:hint="eastAsia" w:ascii="黑体" w:hAnsi="黑体" w:eastAsia="黑体"/>
          <w:b/>
          <w:sz w:val="52"/>
          <w:szCs w:val="52"/>
        </w:rPr>
      </w:pPr>
      <w:r>
        <w:rPr>
          <w:rFonts w:hint="eastAsia" w:ascii="黑体" w:hAnsi="黑体" w:eastAsia="黑体"/>
          <w:b/>
          <w:sz w:val="52"/>
          <w:szCs w:val="52"/>
        </w:rPr>
        <w:t>阳新县县级政府采购</w:t>
      </w:r>
    </w:p>
    <w:p>
      <w:pPr>
        <w:pStyle w:val="32"/>
      </w:pPr>
    </w:p>
    <w:p>
      <w:pPr>
        <w:spacing w:afterLines="300"/>
        <w:jc w:val="center"/>
        <w:rPr>
          <w:rFonts w:ascii="黑体" w:hAnsi="黑体" w:eastAsia="黑体"/>
          <w:b/>
          <w:sz w:val="144"/>
          <w:szCs w:val="144"/>
        </w:rPr>
      </w:pPr>
      <w:r>
        <w:rPr>
          <w:rFonts w:hint="eastAsia" w:ascii="黑体" w:hAnsi="黑体" w:eastAsia="黑体"/>
          <w:b/>
          <w:sz w:val="144"/>
          <w:szCs w:val="144"/>
        </w:rPr>
        <w:t>招 标 文 件</w:t>
      </w:r>
    </w:p>
    <w:p>
      <w:pPr>
        <w:spacing w:line="360" w:lineRule="auto"/>
        <w:ind w:right="1306" w:rightChars="622"/>
        <w:rPr>
          <w:rFonts w:ascii="黑体" w:hAnsi="黑体" w:eastAsia="黑体" w:cs="Times New Roman"/>
          <w:b/>
          <w:bCs/>
          <w:sz w:val="36"/>
          <w:szCs w:val="24"/>
        </w:rPr>
      </w:pPr>
    </w:p>
    <w:p>
      <w:pPr>
        <w:pStyle w:val="32"/>
      </w:pPr>
    </w:p>
    <w:p>
      <w:pPr>
        <w:spacing w:line="360" w:lineRule="auto"/>
        <w:ind w:left="2055" w:leftChars="619" w:right="1306" w:rightChars="622" w:hanging="755" w:hangingChars="209"/>
        <w:rPr>
          <w:rFonts w:ascii="黑体" w:hAnsi="黑体" w:eastAsia="黑体" w:cs="Times New Roman"/>
          <w:b/>
          <w:bCs/>
          <w:sz w:val="36"/>
          <w:szCs w:val="24"/>
        </w:rPr>
      </w:pPr>
    </w:p>
    <w:p>
      <w:pPr>
        <w:spacing w:line="360" w:lineRule="auto"/>
        <w:ind w:right="63" w:rightChars="30" w:firstLine="600" w:firstLineChars="200"/>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项目编号：</w:t>
      </w:r>
      <w:r>
        <w:rPr>
          <w:rFonts w:hint="eastAsia" w:ascii="宋体" w:hAnsi="宋体" w:eastAsia="宋体" w:cs="Times New Roman"/>
          <w:kern w:val="0"/>
          <w:sz w:val="30"/>
          <w:szCs w:val="30"/>
          <w:highlight w:val="none"/>
          <w:lang w:val="zh-CN" w:bidi="zh-CN"/>
        </w:rPr>
        <w:t>131-2022CG</w:t>
      </w:r>
      <w:r>
        <w:rPr>
          <w:rFonts w:hint="eastAsia" w:ascii="宋体" w:hAnsi="宋体" w:eastAsia="宋体" w:cs="Times New Roman"/>
          <w:kern w:val="0"/>
          <w:sz w:val="30"/>
          <w:szCs w:val="30"/>
          <w:highlight w:val="none"/>
          <w:lang w:bidi="zh-CN"/>
        </w:rPr>
        <w:t>-</w:t>
      </w:r>
      <w:r>
        <w:rPr>
          <w:rFonts w:hint="eastAsia" w:ascii="宋体" w:hAnsi="宋体" w:eastAsia="宋体" w:cs="Times New Roman"/>
          <w:kern w:val="0"/>
          <w:sz w:val="30"/>
          <w:szCs w:val="30"/>
          <w:highlight w:val="none"/>
          <w:lang w:val="en-US" w:bidi="zh-CN"/>
        </w:rPr>
        <w:t>042</w:t>
      </w:r>
      <w:r>
        <w:rPr>
          <w:rFonts w:hint="eastAsia" w:ascii="宋体" w:hAnsi="宋体" w:eastAsia="宋体" w:cs="Times New Roman"/>
          <w:kern w:val="0"/>
          <w:sz w:val="30"/>
          <w:szCs w:val="30"/>
          <w:highlight w:val="none"/>
          <w:lang w:val="zh-CN" w:bidi="zh-CN"/>
        </w:rPr>
        <w:t xml:space="preserve">  </w:t>
      </w:r>
      <w:r>
        <w:rPr>
          <w:rFonts w:hint="eastAsia" w:ascii="宋体" w:hAnsi="宋体" w:eastAsia="宋体" w:cs="Times New Roman"/>
          <w:kern w:val="0"/>
          <w:sz w:val="30"/>
          <w:szCs w:val="30"/>
          <w:lang w:val="zh-CN" w:bidi="zh-CN"/>
        </w:rPr>
        <w:t xml:space="preserve">                            </w:t>
      </w:r>
    </w:p>
    <w:p>
      <w:pPr>
        <w:spacing w:line="360" w:lineRule="auto"/>
        <w:ind w:left="2130" w:leftChars="300" w:right="63" w:rightChars="30" w:hanging="1500" w:hangingChars="500"/>
        <w:jc w:val="left"/>
        <w:rPr>
          <w:rFonts w:hint="eastAsia"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项目名称：</w:t>
      </w:r>
      <w:r>
        <w:rPr>
          <w:rFonts w:hint="eastAsia" w:ascii="宋体" w:hAnsi="宋体" w:eastAsia="宋体" w:cs="Times New Roman"/>
          <w:kern w:val="0"/>
          <w:sz w:val="30"/>
          <w:szCs w:val="30"/>
          <w:u w:val="single"/>
          <w:lang w:val="zh-CN" w:bidi="zh-CN"/>
        </w:rPr>
        <w:t>阳新县长江大保护水环境综合治理PPP项目（一期工程）建设项目</w:t>
      </w:r>
      <w:r>
        <w:rPr>
          <w:rFonts w:hint="eastAsia" w:ascii="宋体" w:hAnsi="宋体" w:eastAsia="宋体" w:cs="Times New Roman"/>
          <w:kern w:val="0"/>
          <w:sz w:val="30"/>
          <w:szCs w:val="30"/>
          <w:u w:val="single"/>
          <w:lang w:val="en-US" w:bidi="zh-CN"/>
        </w:rPr>
        <w:t>造价咨询</w:t>
      </w:r>
      <w:r>
        <w:rPr>
          <w:rFonts w:hint="eastAsia" w:ascii="宋体" w:hAnsi="宋体" w:eastAsia="宋体" w:cs="Times New Roman"/>
          <w:kern w:val="0"/>
          <w:sz w:val="30"/>
          <w:szCs w:val="30"/>
          <w:u w:val="single"/>
          <w:lang w:val="zh-CN" w:bidi="zh-CN"/>
        </w:rPr>
        <w:t>服务</w:t>
      </w:r>
    </w:p>
    <w:p>
      <w:pPr>
        <w:spacing w:line="360" w:lineRule="auto"/>
        <w:ind w:left="2130" w:leftChars="300" w:right="63" w:rightChars="30" w:hanging="1500" w:hangingChars="500"/>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采 购 人：</w:t>
      </w:r>
      <w:r>
        <w:rPr>
          <w:rFonts w:hint="eastAsia" w:ascii="宋体" w:hAnsi="宋体" w:eastAsia="宋体" w:cs="Times New Roman"/>
          <w:kern w:val="0"/>
          <w:sz w:val="30"/>
          <w:szCs w:val="30"/>
          <w:u w:val="single"/>
          <w:lang w:val="zh-CN" w:bidi="zh-CN"/>
        </w:rPr>
        <w:t xml:space="preserve">阳新县住房和城乡建设局 </w:t>
      </w:r>
      <w:r>
        <w:rPr>
          <w:rFonts w:hint="eastAsia" w:ascii="宋体" w:hAnsi="宋体" w:eastAsia="宋体" w:cs="Times New Roman"/>
          <w:kern w:val="0"/>
          <w:sz w:val="30"/>
          <w:szCs w:val="30"/>
          <w:lang w:val="zh-CN" w:bidi="zh-CN"/>
        </w:rPr>
        <w:t xml:space="preserve"> </w:t>
      </w:r>
    </w:p>
    <w:p>
      <w:pPr>
        <w:spacing w:line="360" w:lineRule="auto"/>
        <w:ind w:right="-134" w:rightChars="-64" w:firstLine="600" w:firstLineChars="200"/>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 xml:space="preserve">                   </w:t>
      </w:r>
    </w:p>
    <w:p>
      <w:pPr>
        <w:autoSpaceDE w:val="0"/>
        <w:autoSpaceDN w:val="0"/>
        <w:adjustRightInd w:val="0"/>
        <w:snapToGrid w:val="0"/>
        <w:spacing w:line="360" w:lineRule="auto"/>
        <w:jc w:val="center"/>
        <w:rPr>
          <w:rFonts w:ascii="Times New Roman" w:hAnsi="Times New Roman" w:eastAsia="宋体" w:cs="Times New Roman"/>
          <w:bCs/>
          <w:color w:val="000000"/>
          <w:kern w:val="0"/>
          <w:sz w:val="56"/>
          <w:szCs w:val="56"/>
          <w:lang w:val="zh-CN" w:bidi="zh-CN"/>
        </w:rPr>
      </w:pPr>
    </w:p>
    <w:p>
      <w:pPr>
        <w:jc w:val="center"/>
        <w:rPr>
          <w:rFonts w:hint="default" w:ascii="Times New Roman" w:hAnsi="Times New Roman" w:eastAsia="宋体" w:cs="Times New Roman"/>
          <w:b/>
          <w:bCs w:val="0"/>
          <w:color w:val="000000"/>
          <w:kern w:val="0"/>
          <w:sz w:val="56"/>
          <w:szCs w:val="56"/>
          <w:lang w:val="en-US" w:bidi="zh-CN"/>
        </w:rPr>
      </w:pPr>
      <w:r>
        <w:rPr>
          <w:rFonts w:hint="eastAsia" w:ascii="Times New Roman" w:hAnsi="Times New Roman" w:eastAsia="宋体" w:cs="Times New Roman"/>
          <w:b/>
          <w:bCs w:val="0"/>
          <w:color w:val="000000"/>
          <w:kern w:val="0"/>
          <w:sz w:val="56"/>
          <w:szCs w:val="56"/>
          <w:lang w:val="en-US" w:bidi="zh-CN"/>
        </w:rPr>
        <w:t>金策工程管理有限公司</w:t>
      </w:r>
    </w:p>
    <w:p>
      <w:pPr>
        <w:jc w:val="center"/>
        <w:rPr>
          <w:rFonts w:ascii="黑体" w:hAnsi="黑体" w:eastAsia="黑体" w:cs="Times New Roman"/>
          <w:b/>
          <w:bCs/>
          <w:sz w:val="32"/>
        </w:rPr>
        <w:sectPr>
          <w:headerReference r:id="rId3" w:type="default"/>
          <w:footerReference r:id="rId4" w:type="default"/>
          <w:pgSz w:w="11906" w:h="16838"/>
          <w:pgMar w:top="1440" w:right="1800" w:bottom="1440" w:left="1800" w:header="113" w:footer="992" w:gutter="0"/>
          <w:cols w:space="720" w:num="1"/>
          <w:docGrid w:linePitch="286" w:charSpace="0"/>
        </w:sectPr>
      </w:pPr>
      <w:r>
        <w:rPr>
          <w:rFonts w:hint="eastAsia" w:ascii="黑体" w:hAnsi="黑体" w:eastAsia="黑体" w:cs="Times New Roman"/>
          <w:b/>
          <w:bCs/>
          <w:sz w:val="44"/>
          <w:szCs w:val="44"/>
          <w:u w:val="single"/>
        </w:rPr>
        <w:t>2022</w:t>
      </w:r>
      <w:r>
        <w:rPr>
          <w:rFonts w:hint="eastAsia" w:ascii="黑体" w:hAnsi="黑体" w:eastAsia="黑体"/>
          <w:b/>
          <w:sz w:val="44"/>
          <w:szCs w:val="44"/>
        </w:rPr>
        <w:t>年</w:t>
      </w:r>
      <w:r>
        <w:rPr>
          <w:rFonts w:hint="eastAsia" w:ascii="黑体" w:hAnsi="黑体" w:eastAsia="黑体" w:cs="Times New Roman"/>
          <w:b/>
          <w:bCs/>
          <w:sz w:val="44"/>
          <w:szCs w:val="44"/>
          <w:u w:val="single"/>
          <w:lang w:val="en-US" w:eastAsia="zh-CN"/>
        </w:rPr>
        <w:t>3</w:t>
      </w:r>
      <w:r>
        <w:rPr>
          <w:rFonts w:hint="eastAsia" w:ascii="黑体" w:hAnsi="黑体" w:eastAsia="黑体"/>
          <w:b/>
          <w:sz w:val="44"/>
          <w:szCs w:val="44"/>
        </w:rPr>
        <w:t>月</w:t>
      </w:r>
    </w:p>
    <w:p>
      <w:pPr>
        <w:jc w:val="center"/>
        <w:rPr>
          <w:rFonts w:ascii="宋体" w:hAnsi="宋体"/>
          <w:b/>
          <w:sz w:val="44"/>
          <w:szCs w:val="44"/>
        </w:rPr>
      </w:pPr>
      <w:r>
        <w:rPr>
          <w:rFonts w:hint="eastAsia" w:ascii="宋体" w:hAnsi="宋体"/>
          <w:b/>
          <w:sz w:val="44"/>
          <w:szCs w:val="44"/>
        </w:rPr>
        <w:t>招标文件审核意见表</w:t>
      </w:r>
    </w:p>
    <w:p>
      <w:pPr>
        <w:rPr>
          <w:rFonts w:hint="default" w:ascii="宋体" w:hAnsi="宋体" w:eastAsiaTheme="minorEastAsia"/>
          <w:sz w:val="28"/>
          <w:szCs w:val="28"/>
          <w:lang w:val="en-US" w:eastAsia="zh-CN"/>
        </w:rPr>
      </w:pPr>
      <w:r>
        <w:rPr>
          <w:rFonts w:hint="eastAsia" w:ascii="宋体" w:hAnsi="宋体"/>
          <w:sz w:val="28"/>
          <w:szCs w:val="28"/>
        </w:rPr>
        <w:t>项目编号：</w:t>
      </w:r>
      <w:r>
        <w:rPr>
          <w:rFonts w:ascii="宋体" w:hAnsi="宋体"/>
          <w:sz w:val="28"/>
          <w:szCs w:val="28"/>
          <w:highlight w:val="none"/>
        </w:rPr>
        <w:t>131-</w:t>
      </w:r>
      <w:r>
        <w:rPr>
          <w:rFonts w:hint="eastAsia" w:ascii="宋体" w:hAnsi="宋体"/>
          <w:sz w:val="28"/>
          <w:szCs w:val="28"/>
          <w:highlight w:val="none"/>
        </w:rPr>
        <w:t>2022</w:t>
      </w:r>
      <w:r>
        <w:rPr>
          <w:rFonts w:ascii="宋体" w:hAnsi="宋体"/>
          <w:sz w:val="28"/>
          <w:szCs w:val="28"/>
          <w:highlight w:val="none"/>
        </w:rPr>
        <w:t>CG-</w:t>
      </w:r>
      <w:r>
        <w:rPr>
          <w:rFonts w:hint="eastAsia" w:ascii="宋体" w:hAnsi="宋体"/>
          <w:sz w:val="28"/>
          <w:szCs w:val="28"/>
          <w:highlight w:val="none"/>
          <w:lang w:val="en-US" w:eastAsia="zh-CN"/>
        </w:rPr>
        <w:t>042</w:t>
      </w:r>
    </w:p>
    <w:tbl>
      <w:tblPr>
        <w:tblStyle w:val="25"/>
        <w:tblW w:w="8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4"/>
        <w:gridCol w:w="6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104" w:type="dxa"/>
            <w:vAlign w:val="center"/>
          </w:tcPr>
          <w:p>
            <w:pPr>
              <w:jc w:val="center"/>
              <w:rPr>
                <w:rFonts w:ascii="宋体" w:hAnsi="宋体"/>
                <w:sz w:val="28"/>
                <w:szCs w:val="28"/>
              </w:rPr>
            </w:pPr>
            <w:r>
              <w:rPr>
                <w:rFonts w:hint="eastAsia" w:ascii="宋体" w:hAnsi="宋体"/>
                <w:sz w:val="28"/>
                <w:szCs w:val="28"/>
              </w:rPr>
              <w:t>项目名称</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阳新县长江大保护水环境综合治理PPP项目（一期工程）建设项目造价咨询服务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104" w:type="dxa"/>
            <w:vAlign w:val="center"/>
          </w:tcPr>
          <w:p>
            <w:pPr>
              <w:jc w:val="center"/>
              <w:rPr>
                <w:rFonts w:ascii="宋体" w:hAnsi="宋体" w:eastAsia="宋体"/>
                <w:sz w:val="28"/>
                <w:szCs w:val="28"/>
              </w:rPr>
            </w:pPr>
            <w:r>
              <w:rPr>
                <w:rFonts w:hint="eastAsia" w:ascii="宋体" w:hAnsi="宋体"/>
                <w:sz w:val="28"/>
                <w:szCs w:val="28"/>
              </w:rPr>
              <w:t>招标人</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 xml:space="preserve">阳新县住房和城乡建设局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2104" w:type="dxa"/>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t>代理采购机构</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金策工程管理有限公司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2104" w:type="dxa"/>
            <w:vAlign w:val="center"/>
          </w:tcPr>
          <w:p>
            <w:pPr>
              <w:jc w:val="center"/>
              <w:rPr>
                <w:rFonts w:ascii="宋体" w:hAnsi="宋体"/>
                <w:sz w:val="28"/>
                <w:szCs w:val="28"/>
              </w:rPr>
            </w:pPr>
            <w:r>
              <w:rPr>
                <w:rFonts w:hint="eastAsia" w:ascii="宋体" w:hAnsi="宋体"/>
                <w:sz w:val="28"/>
                <w:szCs w:val="28"/>
              </w:rPr>
              <w:t>送审内容</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阳新县长江大保护水环境综合治理PPP项目（一期工程）建设项目造价咨询服务招标公告及招标文件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3" w:hRule="atLeast"/>
        </w:trPr>
        <w:tc>
          <w:tcPr>
            <w:tcW w:w="2104" w:type="dxa"/>
            <w:vAlign w:val="center"/>
          </w:tcPr>
          <w:p>
            <w:pPr>
              <w:jc w:val="center"/>
              <w:rPr>
                <w:rFonts w:ascii="宋体" w:hAnsi="宋体"/>
                <w:sz w:val="28"/>
                <w:szCs w:val="28"/>
              </w:rPr>
            </w:pPr>
            <w:r>
              <w:rPr>
                <w:rFonts w:hint="eastAsia" w:ascii="宋体" w:hAnsi="宋体"/>
                <w:sz w:val="28"/>
                <w:szCs w:val="28"/>
              </w:rPr>
              <w:t>招标人对招标公告及招标文件审核意见</w:t>
            </w:r>
          </w:p>
        </w:tc>
        <w:tc>
          <w:tcPr>
            <w:tcW w:w="6675" w:type="dxa"/>
            <w:vAlign w:val="center"/>
          </w:tcPr>
          <w:p>
            <w:pPr>
              <w:rPr>
                <w:rFonts w:ascii="宋体" w:hAnsi="宋体"/>
                <w:sz w:val="28"/>
                <w:szCs w:val="28"/>
              </w:rPr>
            </w:pPr>
            <w:r>
              <w:rPr>
                <w:rFonts w:hint="eastAsia" w:ascii="宋体" w:hAnsi="宋体"/>
                <w:sz w:val="28"/>
                <w:szCs w:val="28"/>
              </w:rPr>
              <w:t>招标人签字（盖章）：</w:t>
            </w:r>
          </w:p>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p>
          <w:p>
            <w:pPr>
              <w:pStyle w:val="34"/>
            </w:pPr>
          </w:p>
          <w:p>
            <w:pPr>
              <w:rPr>
                <w:rFonts w:ascii="宋体" w:hAnsi="宋体"/>
                <w:sz w:val="28"/>
                <w:szCs w:val="28"/>
              </w:rPr>
            </w:pPr>
          </w:p>
          <w:p>
            <w:pPr>
              <w:rPr>
                <w:rFonts w:ascii="宋体" w:hAnsi="宋体"/>
                <w:sz w:val="28"/>
                <w:szCs w:val="28"/>
              </w:rPr>
            </w:pPr>
            <w:r>
              <w:rPr>
                <w:rFonts w:hint="eastAsia" w:ascii="宋体" w:hAnsi="宋体"/>
                <w:sz w:val="28"/>
                <w:szCs w:val="28"/>
              </w:rPr>
              <w:t xml:space="preserve">                             2022年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w:t>
            </w:r>
          </w:p>
        </w:tc>
      </w:tr>
    </w:tbl>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20"/>
            <w:tabs>
              <w:tab w:val="left" w:pos="1260"/>
              <w:tab w:val="right" w:leader="dot" w:pos="8222"/>
            </w:tabs>
          </w:pPr>
          <w:r>
            <w:fldChar w:fldCharType="begin"/>
          </w:r>
          <w:r>
            <w:instrText xml:space="preserve"> TOC \o "1-2" \h \z \u </w:instrText>
          </w:r>
          <w:r>
            <w:fldChar w:fldCharType="separate"/>
          </w:r>
        </w:p>
        <w:p>
          <w:pPr>
            <w:pStyle w:val="20"/>
            <w:tabs>
              <w:tab w:val="right" w:leader="dot" w:pos="8306"/>
            </w:tabs>
          </w:pPr>
          <w:r>
            <w:fldChar w:fldCharType="begin"/>
          </w:r>
          <w:r>
            <w:instrText xml:space="preserve"> HYPERLINK \l "_Toc21901" </w:instrText>
          </w:r>
          <w:r>
            <w:fldChar w:fldCharType="separate"/>
          </w:r>
          <w:r>
            <w:rPr>
              <w:rFonts w:hint="eastAsia" w:ascii="黑体" w:hAnsi="黑体"/>
            </w:rPr>
            <w:t>第一章 投标邀请书</w:t>
          </w:r>
          <w:r>
            <w:tab/>
          </w:r>
          <w:r>
            <w:fldChar w:fldCharType="begin"/>
          </w:r>
          <w:r>
            <w:instrText xml:space="preserve"> PAGEREF _Toc21901 \h </w:instrText>
          </w:r>
          <w:r>
            <w:fldChar w:fldCharType="separate"/>
          </w:r>
          <w:r>
            <w:t>4</w:t>
          </w:r>
          <w:r>
            <w:fldChar w:fldCharType="end"/>
          </w:r>
          <w:r>
            <w:fldChar w:fldCharType="end"/>
          </w:r>
        </w:p>
        <w:p>
          <w:pPr>
            <w:pStyle w:val="20"/>
            <w:tabs>
              <w:tab w:val="right" w:leader="dot" w:pos="8306"/>
            </w:tabs>
          </w:pPr>
          <w:r>
            <w:fldChar w:fldCharType="begin"/>
          </w:r>
          <w:r>
            <w:instrText xml:space="preserve"> HYPERLINK \l "_Toc10818" </w:instrText>
          </w:r>
          <w:r>
            <w:fldChar w:fldCharType="separate"/>
          </w:r>
          <w:r>
            <w:rPr>
              <w:rFonts w:hint="eastAsia" w:ascii="黑体" w:hAnsi="黑体"/>
            </w:rPr>
            <w:t>第二章 投标人须知</w:t>
          </w:r>
          <w:r>
            <w:tab/>
          </w:r>
          <w:r>
            <w:fldChar w:fldCharType="begin"/>
          </w:r>
          <w:r>
            <w:instrText xml:space="preserve"> PAGEREF _Toc10818 \h </w:instrText>
          </w:r>
          <w:r>
            <w:fldChar w:fldCharType="separate"/>
          </w:r>
          <w:r>
            <w:t>7</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"_Toc15540" </w:instrText>
          </w:r>
          <w: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_Toc15540 \h </w:instrText>
          </w:r>
          <w:r>
            <w:fldChar w:fldCharType="separate"/>
          </w:r>
          <w:r>
            <w:t>7</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"_Toc2338" </w:instrText>
          </w:r>
          <w:r>
            <w:fldChar w:fldCharType="separate"/>
          </w:r>
          <w:r>
            <w:rPr>
              <w:rFonts w:hint="eastAsia" w:cs="Times New Roman" w:asciiTheme="majorEastAsia" w:hAnsiTheme="majorEastAsia"/>
              <w:bCs/>
              <w:szCs w:val="40"/>
              <w:lang w:val="zh-CN"/>
            </w:rPr>
            <w:t>说  明</w:t>
          </w:r>
          <w:r>
            <w:tab/>
          </w:r>
          <w:r>
            <w:fldChar w:fldCharType="begin"/>
          </w:r>
          <w:r>
            <w:instrText xml:space="preserve"> PAGEREF _Toc2338 \h </w:instrText>
          </w:r>
          <w:r>
            <w:fldChar w:fldCharType="separate"/>
          </w:r>
          <w:r>
            <w:t>9</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"_Toc14394" </w:instrText>
          </w:r>
          <w:r>
            <w:fldChar w:fldCharType="separate"/>
          </w:r>
          <w:r>
            <w:rPr>
              <w:rFonts w:hint="eastAsia" w:cs="Times New Roman" w:asciiTheme="majorEastAsia" w:hAnsiTheme="majorEastAsia"/>
              <w:szCs w:val="30"/>
              <w:lang w:val="zh-CN"/>
            </w:rPr>
            <w:t xml:space="preserve">一、 </w:t>
          </w:r>
          <w:r>
            <w:rPr>
              <w:rFonts w:hint="eastAsia" w:cs="Times New Roman" w:asciiTheme="majorEastAsia" w:hAnsiTheme="majorEastAsia"/>
              <w:lang w:val="zh-CN"/>
            </w:rPr>
            <w:t>招标文件</w:t>
          </w:r>
          <w:r>
            <w:tab/>
          </w:r>
          <w:r>
            <w:fldChar w:fldCharType="begin"/>
          </w:r>
          <w:r>
            <w:instrText xml:space="preserve"> PAGEREF _Toc14394 \h </w:instrText>
          </w:r>
          <w:r>
            <w:fldChar w:fldCharType="separate"/>
          </w:r>
          <w:r>
            <w:t>10</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"_Toc20151" </w:instrText>
          </w:r>
          <w:r>
            <w:fldChar w:fldCharType="separate"/>
          </w:r>
          <w:r>
            <w:rPr>
              <w:rFonts w:hint="eastAsia" w:cs="Times New Roman" w:asciiTheme="majorEastAsia" w:hAnsiTheme="majorEastAsia"/>
              <w:szCs w:val="30"/>
              <w:lang w:val="zh-CN"/>
            </w:rPr>
            <w:t xml:space="preserve">二、 </w:t>
          </w:r>
          <w:r>
            <w:rPr>
              <w:rFonts w:hint="eastAsia" w:cs="Times New Roman" w:asciiTheme="majorEastAsia" w:hAnsiTheme="majorEastAsia"/>
              <w:lang w:val="zh-CN"/>
            </w:rPr>
            <w:t>投标文件</w:t>
          </w:r>
          <w:r>
            <w:tab/>
          </w:r>
          <w:r>
            <w:fldChar w:fldCharType="begin"/>
          </w:r>
          <w:r>
            <w:instrText xml:space="preserve"> PAGEREF _Toc20151 \h </w:instrText>
          </w:r>
          <w:r>
            <w:fldChar w:fldCharType="separate"/>
          </w:r>
          <w:r>
            <w:t>11</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"_Toc15648" </w:instrText>
          </w:r>
          <w:r>
            <w:fldChar w:fldCharType="separate"/>
          </w:r>
          <w:r>
            <w:rPr>
              <w:rFonts w:hint="eastAsia" w:cs="Times New Roman" w:asciiTheme="majorEastAsia" w:hAnsiTheme="majorEastAsia"/>
              <w:szCs w:val="30"/>
              <w:lang w:val="zh-CN"/>
            </w:rPr>
            <w:t xml:space="preserve">三、 </w:t>
          </w:r>
          <w:r>
            <w:rPr>
              <w:rFonts w:hint="eastAsia" w:cs="Times New Roman" w:asciiTheme="majorEastAsia" w:hAnsiTheme="majorEastAsia"/>
              <w:lang w:val="zh-CN"/>
            </w:rPr>
            <w:t>开标与评标</w:t>
          </w:r>
          <w:r>
            <w:tab/>
          </w:r>
          <w:r>
            <w:fldChar w:fldCharType="begin"/>
          </w:r>
          <w:r>
            <w:instrText xml:space="preserve"> PAGEREF _Toc15648 \h </w:instrText>
          </w:r>
          <w:r>
            <w:fldChar w:fldCharType="separate"/>
          </w:r>
          <w:r>
            <w:t>17</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"_Toc17591" </w:instrText>
          </w:r>
          <w:r>
            <w:fldChar w:fldCharType="separate"/>
          </w:r>
          <w:r>
            <w:rPr>
              <w:rFonts w:hint="eastAsia" w:cs="Times New Roman" w:asciiTheme="majorEastAsia" w:hAnsiTheme="majorEastAsia"/>
              <w:szCs w:val="30"/>
              <w:lang w:val="zh-CN"/>
            </w:rPr>
            <w:t xml:space="preserve">四、 </w:t>
          </w:r>
          <w:r>
            <w:rPr>
              <w:rFonts w:hint="eastAsia" w:cs="Times New Roman" w:asciiTheme="majorEastAsia" w:hAnsiTheme="majorEastAsia"/>
              <w:lang w:val="zh-CN"/>
            </w:rPr>
            <w:t>投标人信用信息及查询</w:t>
          </w:r>
          <w:r>
            <w:tab/>
          </w:r>
          <w:r>
            <w:fldChar w:fldCharType="begin"/>
          </w:r>
          <w:r>
            <w:instrText xml:space="preserve"> PAGEREF _Toc17591 \h </w:instrText>
          </w:r>
          <w:r>
            <w:fldChar w:fldCharType="separate"/>
          </w:r>
          <w:r>
            <w:t>18</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"_Toc15403" </w:instrText>
          </w:r>
          <w:r>
            <w:fldChar w:fldCharType="separate"/>
          </w:r>
          <w:r>
            <w:rPr>
              <w:rFonts w:hint="eastAsia" w:cs="Times New Roman" w:asciiTheme="majorEastAsia" w:hAnsiTheme="majorEastAsia"/>
              <w:szCs w:val="30"/>
              <w:lang w:val="zh-CN"/>
            </w:rPr>
            <w:t xml:space="preserve">五、 </w:t>
          </w:r>
          <w:r>
            <w:rPr>
              <w:rFonts w:cs="Times New Roman" w:asciiTheme="majorEastAsia" w:hAnsiTheme="majorEastAsia"/>
              <w:lang w:val="zh-CN"/>
            </w:rPr>
            <w:t>中标</w:t>
          </w:r>
          <w:r>
            <w:rPr>
              <w:rFonts w:hint="eastAsia" w:cs="Times New Roman" w:asciiTheme="majorEastAsia" w:hAnsiTheme="majorEastAsia"/>
              <w:lang w:val="zh-CN"/>
            </w:rPr>
            <w:t>与</w:t>
          </w:r>
          <w:r>
            <w:rPr>
              <w:rFonts w:cs="Times New Roman" w:asciiTheme="majorEastAsia" w:hAnsiTheme="majorEastAsia"/>
              <w:lang w:val="zh-CN"/>
            </w:rPr>
            <w:t>合同</w:t>
          </w:r>
          <w:r>
            <w:tab/>
          </w:r>
          <w:r>
            <w:fldChar w:fldCharType="begin"/>
          </w:r>
          <w:r>
            <w:instrText xml:space="preserve"> PAGEREF _Toc15403 \h </w:instrText>
          </w:r>
          <w:r>
            <w:fldChar w:fldCharType="separate"/>
          </w:r>
          <w:r>
            <w:t>19</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"_Toc22289" </w:instrText>
          </w:r>
          <w:r>
            <w:fldChar w:fldCharType="separate"/>
          </w:r>
          <w:r>
            <w:rPr>
              <w:rFonts w:hint="eastAsia" w:cs="Times New Roman" w:asciiTheme="majorEastAsia" w:hAnsiTheme="majorEastAsia"/>
              <w:szCs w:val="30"/>
              <w:lang w:val="zh-CN"/>
            </w:rPr>
            <w:t xml:space="preserve">六、 </w:t>
          </w:r>
          <w:r>
            <w:rPr>
              <w:rFonts w:hint="eastAsia" w:cs="Times New Roman" w:asciiTheme="majorEastAsia" w:hAnsiTheme="majorEastAsia"/>
              <w:lang w:val="zh-CN"/>
            </w:rPr>
            <w:t>采购信息公告</w:t>
          </w:r>
          <w:r>
            <w:tab/>
          </w:r>
          <w:r>
            <w:fldChar w:fldCharType="begin"/>
          </w:r>
          <w:r>
            <w:instrText xml:space="preserve"> PAGEREF _Toc22289 \h </w:instrText>
          </w:r>
          <w:r>
            <w:fldChar w:fldCharType="separate"/>
          </w:r>
          <w:r>
            <w:t>20</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"_Toc16076" </w:instrText>
          </w:r>
          <w:r>
            <w:fldChar w:fldCharType="separate"/>
          </w:r>
          <w:r>
            <w:rPr>
              <w:rFonts w:hint="eastAsia" w:cs="Times New Roman" w:asciiTheme="majorEastAsia" w:hAnsiTheme="majorEastAsia"/>
              <w:szCs w:val="30"/>
              <w:lang w:val="zh-CN"/>
            </w:rPr>
            <w:t xml:space="preserve">七、 </w:t>
          </w:r>
          <w:r>
            <w:rPr>
              <w:rFonts w:hint="eastAsia" w:cs="Times New Roman" w:asciiTheme="majorEastAsia" w:hAnsiTheme="majorEastAsia"/>
              <w:lang w:val="zh-CN"/>
            </w:rPr>
            <w:t>质疑及提交</w:t>
          </w:r>
          <w:r>
            <w:tab/>
          </w:r>
          <w:r>
            <w:fldChar w:fldCharType="begin"/>
          </w:r>
          <w:r>
            <w:instrText xml:space="preserve"> PAGEREF _Toc16076 \h </w:instrText>
          </w:r>
          <w:r>
            <w:fldChar w:fldCharType="separate"/>
          </w:r>
          <w:r>
            <w:t>20</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"_Toc27078" </w:instrText>
          </w:r>
          <w:r>
            <w:fldChar w:fldCharType="separate"/>
          </w:r>
          <w:r>
            <w:rPr>
              <w:rFonts w:hint="eastAsia" w:cs="Times New Roman" w:asciiTheme="majorEastAsia" w:hAnsiTheme="majorEastAsia"/>
              <w:szCs w:val="30"/>
              <w:lang w:val="zh-CN"/>
            </w:rPr>
            <w:t xml:space="preserve">八、 </w:t>
          </w:r>
          <w:r>
            <w:rPr>
              <w:rFonts w:hint="eastAsia" w:cs="Times New Roman" w:asciiTheme="majorEastAsia" w:hAnsiTheme="majorEastAsia"/>
              <w:lang w:val="zh-CN"/>
            </w:rPr>
            <w:t>相关条文解读</w:t>
          </w:r>
          <w:r>
            <w:tab/>
          </w:r>
          <w:r>
            <w:fldChar w:fldCharType="begin"/>
          </w:r>
          <w:r>
            <w:instrText xml:space="preserve"> PAGEREF _Toc27078 \h </w:instrText>
          </w:r>
          <w:r>
            <w:fldChar w:fldCharType="separate"/>
          </w:r>
          <w:r>
            <w:t>21</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"_Toc24582" </w:instrText>
          </w:r>
          <w:r>
            <w:fldChar w:fldCharType="separate"/>
          </w:r>
          <w:r>
            <w:rPr>
              <w:rFonts w:hint="eastAsia" w:cs="Times New Roman" w:asciiTheme="majorEastAsia" w:hAnsiTheme="majorEastAsia"/>
              <w:szCs w:val="30"/>
              <w:lang w:val="zh-CN"/>
            </w:rPr>
            <w:t xml:space="preserve">九、 </w:t>
          </w:r>
          <w:r>
            <w:rPr>
              <w:rFonts w:hint="eastAsia" w:cs="Times New Roman" w:asciiTheme="majorEastAsia" w:hAnsiTheme="majorEastAsia"/>
              <w:lang w:val="zh-CN"/>
            </w:rPr>
            <w:t>其他注意事项</w:t>
          </w:r>
          <w:r>
            <w:tab/>
          </w:r>
          <w:r>
            <w:fldChar w:fldCharType="begin"/>
          </w:r>
          <w:r>
            <w:instrText xml:space="preserve"> PAGEREF _Toc24582 \h </w:instrText>
          </w:r>
          <w:r>
            <w:fldChar w:fldCharType="separate"/>
          </w:r>
          <w:r>
            <w:t>22</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"_Toc32430" </w:instrText>
          </w:r>
          <w:r>
            <w:fldChar w:fldCharType="separate"/>
          </w:r>
          <w:r>
            <w:rPr>
              <w:rFonts w:hint="eastAsia" w:cs="Times New Roman" w:asciiTheme="majorEastAsia" w:hAnsiTheme="majorEastAsia"/>
              <w:szCs w:val="30"/>
              <w:lang w:val="zh-CN"/>
            </w:rPr>
            <w:t xml:space="preserve">十、 </w:t>
          </w:r>
          <w:r>
            <w:rPr>
              <w:rFonts w:hint="eastAsia" w:cs="Times New Roman" w:asciiTheme="majorEastAsia" w:hAnsiTheme="majorEastAsia"/>
              <w:lang w:val="zh-CN"/>
            </w:rPr>
            <w:t>适用法律</w:t>
          </w:r>
          <w:r>
            <w:tab/>
          </w:r>
          <w:r>
            <w:fldChar w:fldCharType="begin"/>
          </w:r>
          <w:r>
            <w:instrText xml:space="preserve"> PAGEREF _Toc32430 \h </w:instrText>
          </w:r>
          <w:r>
            <w:fldChar w:fldCharType="separate"/>
          </w:r>
          <w:r>
            <w:t>22</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"_Toc10667" </w:instrText>
          </w:r>
          <w:r>
            <w:fldChar w:fldCharType="separate"/>
          </w:r>
          <w:r>
            <w:rPr>
              <w:rFonts w:hint="eastAsia" w:cs="Times New Roman" w:asciiTheme="majorEastAsia" w:hAnsiTheme="majorEastAsia"/>
              <w:szCs w:val="30"/>
              <w:lang w:val="zh-CN"/>
            </w:rPr>
            <w:t xml:space="preserve">十一、 </w:t>
          </w:r>
          <w:r>
            <w:rPr>
              <w:rFonts w:hint="eastAsia" w:cs="Times New Roman" w:asciiTheme="majorEastAsia" w:hAnsiTheme="majorEastAsia"/>
              <w:lang w:val="zh-CN"/>
            </w:rPr>
            <w:t>招标文件的解释权</w:t>
          </w:r>
          <w:r>
            <w:tab/>
          </w:r>
          <w:r>
            <w:fldChar w:fldCharType="begin"/>
          </w:r>
          <w:r>
            <w:instrText xml:space="preserve"> PAGEREF _Toc10667 \h </w:instrText>
          </w:r>
          <w:r>
            <w:fldChar w:fldCharType="separate"/>
          </w:r>
          <w:r>
            <w:t>22</w:t>
          </w:r>
          <w:r>
            <w:fldChar w:fldCharType="end"/>
          </w:r>
          <w:r>
            <w:fldChar w:fldCharType="end"/>
          </w:r>
        </w:p>
        <w:p>
          <w:pPr>
            <w:pStyle w:val="20"/>
            <w:tabs>
              <w:tab w:val="right" w:leader="dot" w:pos="8306"/>
            </w:tabs>
          </w:pPr>
          <w:r>
            <w:fldChar w:fldCharType="begin"/>
          </w:r>
          <w:r>
            <w:instrText xml:space="preserve"> HYPERLINK \l "_Toc12871" </w:instrText>
          </w:r>
          <w:r>
            <w:fldChar w:fldCharType="separate"/>
          </w:r>
          <w:r>
            <w:rPr>
              <w:rFonts w:hint="eastAsia" w:ascii="黑体" w:hAnsi="黑体"/>
            </w:rPr>
            <w:t>第三章</w:t>
          </w:r>
          <w:r>
            <w:rPr>
              <w:rFonts w:hint="eastAsia" w:ascii="Wingdings" w:hAnsi="Wingdings"/>
            </w:rPr>
            <w:t xml:space="preserve"> </w:t>
          </w:r>
          <w:r>
            <w:rPr>
              <w:rFonts w:hint="eastAsia" w:ascii="黑体" w:hAnsi="黑体"/>
            </w:rPr>
            <w:t>项目技术、服务及商务要求</w:t>
          </w:r>
          <w:r>
            <w:tab/>
          </w:r>
          <w:r>
            <w:fldChar w:fldCharType="begin"/>
          </w:r>
          <w:r>
            <w:instrText xml:space="preserve"> PAGEREF _Toc12871 \h </w:instrText>
          </w:r>
          <w:r>
            <w:fldChar w:fldCharType="separate"/>
          </w:r>
          <w:r>
            <w:t>23</w:t>
          </w:r>
          <w:r>
            <w:fldChar w:fldCharType="end"/>
          </w:r>
          <w:r>
            <w:fldChar w:fldCharType="end"/>
          </w:r>
        </w:p>
        <w:p>
          <w:pPr>
            <w:pStyle w:val="20"/>
            <w:tabs>
              <w:tab w:val="right" w:leader="dot" w:pos="8306"/>
            </w:tabs>
          </w:pPr>
          <w:r>
            <w:fldChar w:fldCharType="begin"/>
          </w:r>
          <w:r>
            <w:instrText xml:space="preserve"> HYPERLINK \l "_Toc24687" </w:instrText>
          </w:r>
          <w:r>
            <w:fldChar w:fldCharType="separate"/>
          </w:r>
          <w:r>
            <w:rPr>
              <w:rFonts w:hint="eastAsia" w:ascii="黑体" w:hAnsi="黑体"/>
            </w:rPr>
            <w:t>第四章 资格审查方法及标准</w:t>
          </w:r>
          <w:r>
            <w:tab/>
          </w:r>
          <w:r>
            <w:fldChar w:fldCharType="begin"/>
          </w:r>
          <w:r>
            <w:instrText xml:space="preserve"> PAGEREF _Toc24687 \h </w:instrText>
          </w:r>
          <w:r>
            <w:fldChar w:fldCharType="separate"/>
          </w:r>
          <w:r>
            <w:t>26</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"_Toc4084" </w:instrText>
          </w:r>
          <w:r>
            <w:fldChar w:fldCharType="separate"/>
          </w:r>
          <w:r>
            <w:rPr>
              <w:rFonts w:hint="eastAsia" w:cs="Times New Roman"/>
              <w:szCs w:val="30"/>
            </w:rPr>
            <w:t>一、 资格审查方法</w:t>
          </w:r>
          <w:r>
            <w:tab/>
          </w:r>
          <w:r>
            <w:fldChar w:fldCharType="begin"/>
          </w:r>
          <w:r>
            <w:instrText xml:space="preserve"> PAGEREF _Toc4084 \h </w:instrText>
          </w:r>
          <w:r>
            <w:fldChar w:fldCharType="separate"/>
          </w:r>
          <w:r>
            <w:t>26</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"_Toc23966" </w:instrText>
          </w:r>
          <w:r>
            <w:fldChar w:fldCharType="separate"/>
          </w:r>
          <w:r>
            <w:rPr>
              <w:rFonts w:hint="eastAsia" w:cs="Times New Roman"/>
              <w:szCs w:val="30"/>
            </w:rPr>
            <w:t>二、 资格审查标准</w:t>
          </w:r>
          <w:r>
            <w:tab/>
          </w:r>
          <w:r>
            <w:fldChar w:fldCharType="begin"/>
          </w:r>
          <w:r>
            <w:instrText xml:space="preserve"> PAGEREF _Toc23966 \h </w:instrText>
          </w:r>
          <w:r>
            <w:fldChar w:fldCharType="separate"/>
          </w:r>
          <w:r>
            <w:t>26</w:t>
          </w:r>
          <w:r>
            <w:fldChar w:fldCharType="end"/>
          </w:r>
          <w:r>
            <w:fldChar w:fldCharType="end"/>
          </w:r>
        </w:p>
        <w:p>
          <w:pPr>
            <w:pStyle w:val="20"/>
            <w:tabs>
              <w:tab w:val="right" w:leader="dot" w:pos="8306"/>
            </w:tabs>
          </w:pPr>
          <w:r>
            <w:fldChar w:fldCharType="begin"/>
          </w:r>
          <w:r>
            <w:instrText xml:space="preserve"> HYPERLINK \l "_Toc355" </w:instrText>
          </w:r>
          <w:r>
            <w:fldChar w:fldCharType="separate"/>
          </w:r>
          <w:r>
            <w:rPr>
              <w:rFonts w:hint="eastAsia" w:ascii="黑体" w:hAnsi="黑体"/>
            </w:rPr>
            <w:t>第五章 评标方法、程序及标准</w:t>
          </w:r>
          <w:r>
            <w:tab/>
          </w:r>
          <w:r>
            <w:fldChar w:fldCharType="begin"/>
          </w:r>
          <w:r>
            <w:instrText xml:space="preserve"> PAGEREF _Toc355 \h </w:instrText>
          </w:r>
          <w:r>
            <w:fldChar w:fldCharType="separate"/>
          </w:r>
          <w:r>
            <w:t>29</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"_Toc19323" </w:instrText>
          </w:r>
          <w:r>
            <w:fldChar w:fldCharType="separate"/>
          </w:r>
          <w:r>
            <w:rPr>
              <w:rFonts w:hint="eastAsia" w:cs="Times New Roman" w:asciiTheme="majorEastAsia" w:hAnsiTheme="majorEastAsia"/>
              <w:szCs w:val="30"/>
              <w:lang w:val="zh-CN"/>
            </w:rPr>
            <w:t>一、 评标方法</w:t>
          </w:r>
          <w:r>
            <w:tab/>
          </w:r>
          <w:r>
            <w:fldChar w:fldCharType="begin"/>
          </w:r>
          <w:r>
            <w:instrText xml:space="preserve"> PAGEREF _Toc19323 \h </w:instrText>
          </w:r>
          <w:r>
            <w:fldChar w:fldCharType="separate"/>
          </w:r>
          <w:r>
            <w:t>29</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"_Toc31215" </w:instrText>
          </w:r>
          <w:r>
            <w:fldChar w:fldCharType="separate"/>
          </w:r>
          <w:r>
            <w:rPr>
              <w:rFonts w:hint="eastAsia" w:cs="Times New Roman" w:asciiTheme="majorEastAsia" w:hAnsiTheme="majorEastAsia"/>
              <w:szCs w:val="30"/>
              <w:lang w:val="zh-CN"/>
            </w:rPr>
            <w:t>二、 评标程序及标准</w:t>
          </w:r>
          <w:r>
            <w:tab/>
          </w:r>
          <w:r>
            <w:fldChar w:fldCharType="begin"/>
          </w:r>
          <w:r>
            <w:instrText xml:space="preserve"> PAGEREF _Toc31215 \h </w:instrText>
          </w:r>
          <w:r>
            <w:fldChar w:fldCharType="separate"/>
          </w:r>
          <w:r>
            <w:t>29</w:t>
          </w:r>
          <w:r>
            <w:fldChar w:fldCharType="end"/>
          </w:r>
          <w:r>
            <w:fldChar w:fldCharType="end"/>
          </w:r>
        </w:p>
        <w:p>
          <w:pPr>
            <w:pStyle w:val="20"/>
            <w:tabs>
              <w:tab w:val="right" w:leader="dot" w:pos="8306"/>
            </w:tabs>
          </w:pPr>
          <w:r>
            <w:fldChar w:fldCharType="begin"/>
          </w:r>
          <w:r>
            <w:instrText xml:space="preserve"> HYPERLINK \l "_Toc396" </w:instrText>
          </w:r>
          <w:r>
            <w:fldChar w:fldCharType="separate"/>
          </w:r>
          <w:r>
            <w:rPr>
              <w:rFonts w:hint="eastAsia" w:ascii="黑体" w:hAnsi="黑体"/>
            </w:rPr>
            <w:t xml:space="preserve">第六章 </w:t>
          </w:r>
          <w:r>
            <w:rPr>
              <w:rFonts w:ascii="黑体" w:hAnsi="黑体"/>
            </w:rPr>
            <w:t xml:space="preserve"> </w:t>
          </w:r>
          <w:r>
            <w:rPr>
              <w:rFonts w:hint="eastAsia" w:ascii="黑体" w:hAnsi="黑体"/>
            </w:rPr>
            <w:t>合同书格式（参考）</w:t>
          </w:r>
          <w:r>
            <w:tab/>
          </w:r>
          <w:r>
            <w:fldChar w:fldCharType="begin"/>
          </w:r>
          <w:r>
            <w:instrText xml:space="preserve"> PAGEREF _Toc396 \h </w:instrText>
          </w:r>
          <w:r>
            <w:fldChar w:fldCharType="separate"/>
          </w:r>
          <w:r>
            <w:t>37</w:t>
          </w:r>
          <w:r>
            <w:fldChar w:fldCharType="end"/>
          </w:r>
          <w:r>
            <w:fldChar w:fldCharType="end"/>
          </w:r>
        </w:p>
        <w:p>
          <w:pPr>
            <w:pStyle w:val="20"/>
            <w:tabs>
              <w:tab w:val="right" w:leader="dot" w:pos="8306"/>
            </w:tabs>
          </w:pPr>
          <w:r>
            <w:fldChar w:fldCharType="begin"/>
          </w:r>
          <w:r>
            <w:instrText xml:space="preserve"> HYPERLINK \l "_Toc17974" </w:instrText>
          </w:r>
          <w:r>
            <w:fldChar w:fldCharType="separate"/>
          </w:r>
          <w:r>
            <w:rPr>
              <w:rFonts w:hint="eastAsia" w:ascii="黑体" w:hAnsi="黑体"/>
            </w:rPr>
            <w:t xml:space="preserve">第七章 </w:t>
          </w:r>
          <w:r>
            <w:rPr>
              <w:rFonts w:ascii="黑体" w:hAnsi="黑体"/>
            </w:rPr>
            <w:t xml:space="preserve"> </w:t>
          </w:r>
          <w:r>
            <w:rPr>
              <w:rFonts w:hint="eastAsia" w:ascii="黑体" w:hAnsi="黑体"/>
            </w:rPr>
            <w:t>投标文件格式（参考）</w:t>
          </w:r>
          <w:r>
            <w:tab/>
          </w:r>
          <w:r>
            <w:fldChar w:fldCharType="begin"/>
          </w:r>
          <w:r>
            <w:instrText xml:space="preserve"> PAGEREF _Toc17974 \h </w:instrText>
          </w:r>
          <w:r>
            <w:fldChar w:fldCharType="separate"/>
          </w:r>
          <w:r>
            <w:t>39</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"_Toc26727" </w:instrText>
          </w:r>
          <w:r>
            <w:fldChar w:fldCharType="separate"/>
          </w:r>
          <w:r>
            <w:rPr>
              <w:rFonts w:hint="eastAsia" w:eastAsia="宋体"/>
            </w:rPr>
            <w:t>附件一、 投标书</w:t>
          </w:r>
          <w:r>
            <w:tab/>
          </w:r>
          <w:r>
            <w:fldChar w:fldCharType="begin"/>
          </w:r>
          <w:r>
            <w:instrText xml:space="preserve"> PAGEREF _Toc26727 \h </w:instrText>
          </w:r>
          <w:r>
            <w:fldChar w:fldCharType="separate"/>
          </w:r>
          <w:r>
            <w:t>47</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"_Toc26939" </w:instrText>
          </w:r>
          <w:r>
            <w:fldChar w:fldCharType="separate"/>
          </w:r>
          <w:r>
            <w:rPr>
              <w:rFonts w:hint="eastAsia" w:eastAsia="宋体"/>
            </w:rPr>
            <w:t>附件二、 中小企业声明函</w:t>
          </w:r>
          <w:r>
            <w:tab/>
          </w:r>
          <w:r>
            <w:fldChar w:fldCharType="begin"/>
          </w:r>
          <w:r>
            <w:instrText xml:space="preserve"> PAGEREF _Toc26939 \h </w:instrText>
          </w:r>
          <w:r>
            <w:fldChar w:fldCharType="separate"/>
          </w:r>
          <w:r>
            <w:t>49</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"_Toc18613" </w:instrText>
          </w:r>
          <w:r>
            <w:fldChar w:fldCharType="separate"/>
          </w:r>
          <w:r>
            <w:rPr>
              <w:rFonts w:hint="eastAsia" w:eastAsia="宋体"/>
              <w:lang w:val="zh-CN"/>
            </w:rPr>
            <w:t xml:space="preserve">附件三、 </w:t>
          </w:r>
          <w:r>
            <w:rPr>
              <w:rFonts w:hint="eastAsia" w:eastAsia="宋体"/>
            </w:rPr>
            <w:t>残疾人福利性单位声明函（不符合不提供）</w:t>
          </w:r>
          <w:r>
            <w:tab/>
          </w:r>
          <w:r>
            <w:fldChar w:fldCharType="begin"/>
          </w:r>
          <w:r>
            <w:instrText xml:space="preserve"> PAGEREF _Toc18613 \h </w:instrText>
          </w:r>
          <w:r>
            <w:fldChar w:fldCharType="separate"/>
          </w:r>
          <w:r>
            <w:t>52</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"_Toc31699" </w:instrText>
          </w:r>
          <w:r>
            <w:fldChar w:fldCharType="separate"/>
          </w:r>
          <w:r>
            <w:rPr>
              <w:rFonts w:hint="eastAsia" w:eastAsia="宋体"/>
            </w:rPr>
            <w:t>附件四、 开标一览表</w:t>
          </w:r>
          <w:r>
            <w:tab/>
          </w:r>
          <w:r>
            <w:fldChar w:fldCharType="begin"/>
          </w:r>
          <w:r>
            <w:instrText xml:space="preserve"> PAGEREF _Toc31699 \h </w:instrText>
          </w:r>
          <w:r>
            <w:fldChar w:fldCharType="separate"/>
          </w:r>
          <w:r>
            <w:t>54</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"_Toc18314" </w:instrText>
          </w:r>
          <w:r>
            <w:fldChar w:fldCharType="separate"/>
          </w:r>
          <w:r>
            <w:rPr>
              <w:rFonts w:hint="eastAsia" w:eastAsia="宋体"/>
              <w:szCs w:val="32"/>
            </w:rPr>
            <w:t xml:space="preserve">附件五、 </w:t>
          </w:r>
          <w:r>
            <w:rPr>
              <w:rFonts w:hint="eastAsia" w:eastAsia="宋体" w:cstheme="majorBidi"/>
              <w:bCs/>
              <w:kern w:val="2"/>
              <w:szCs w:val="32"/>
            </w:rPr>
            <w:t>联合体协议书（如有）</w:t>
          </w:r>
          <w:r>
            <w:tab/>
          </w:r>
          <w:r>
            <w:fldChar w:fldCharType="begin"/>
          </w:r>
          <w:r>
            <w:instrText xml:space="preserve"> PAGEREF _Toc18314 \h </w:instrText>
          </w:r>
          <w:r>
            <w:fldChar w:fldCharType="separate"/>
          </w:r>
          <w:r>
            <w:t>55</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"_Toc26661" </w:instrText>
          </w:r>
          <w:r>
            <w:fldChar w:fldCharType="separate"/>
          </w:r>
          <w:r>
            <w:rPr>
              <w:rFonts w:hint="eastAsia" w:eastAsia="宋体"/>
            </w:rPr>
            <w:t>附件六、 法定代表人授权书</w:t>
          </w:r>
          <w:r>
            <w:tab/>
          </w:r>
          <w:r>
            <w:fldChar w:fldCharType="begin"/>
          </w:r>
          <w:r>
            <w:instrText xml:space="preserve"> PAGEREF _Toc26661 \h </w:instrText>
          </w:r>
          <w:r>
            <w:fldChar w:fldCharType="separate"/>
          </w:r>
          <w:r>
            <w:t>56</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"_Toc8771" </w:instrText>
          </w:r>
          <w:r>
            <w:fldChar w:fldCharType="separate"/>
          </w:r>
          <w:r>
            <w:rPr>
              <w:rFonts w:hint="eastAsia" w:eastAsia="宋体"/>
            </w:rPr>
            <w:t>附件七、 投标人的资格声明</w:t>
          </w:r>
          <w:r>
            <w:tab/>
          </w:r>
          <w:r>
            <w:fldChar w:fldCharType="begin"/>
          </w:r>
          <w:r>
            <w:instrText xml:space="preserve"> PAGEREF _Toc8771 \h </w:instrText>
          </w:r>
          <w:r>
            <w:fldChar w:fldCharType="separate"/>
          </w:r>
          <w:r>
            <w:t>57</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"_Toc27272" </w:instrText>
          </w:r>
          <w:r>
            <w:fldChar w:fldCharType="separate"/>
          </w:r>
          <w:r>
            <w:rPr>
              <w:rFonts w:hint="eastAsia" w:eastAsia="宋体"/>
            </w:rPr>
            <w:t>附件八、 项目负责人、技术负责人简历表</w:t>
          </w:r>
          <w:r>
            <w:tab/>
          </w:r>
          <w:r>
            <w:fldChar w:fldCharType="begin"/>
          </w:r>
          <w:r>
            <w:instrText xml:space="preserve"> PAGEREF _Toc27272 \h </w:instrText>
          </w:r>
          <w:r>
            <w:fldChar w:fldCharType="separate"/>
          </w:r>
          <w:r>
            <w:t>58</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"_Toc3720" </w:instrText>
          </w:r>
          <w:r>
            <w:fldChar w:fldCharType="separate"/>
          </w:r>
          <w:r>
            <w:rPr>
              <w:rFonts w:hint="eastAsia" w:eastAsia="宋体"/>
            </w:rPr>
            <w:t>附件九、 项目班子成员情况表</w:t>
          </w:r>
          <w:r>
            <w:tab/>
          </w:r>
          <w:r>
            <w:fldChar w:fldCharType="begin"/>
          </w:r>
          <w:r>
            <w:instrText xml:space="preserve"> PAGEREF _Toc3720 \h </w:instrText>
          </w:r>
          <w:r>
            <w:fldChar w:fldCharType="separate"/>
          </w:r>
          <w:r>
            <w:t>59</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"_Toc18957" </w:instrText>
          </w:r>
          <w:r>
            <w:fldChar w:fldCharType="separate"/>
          </w:r>
          <w:r>
            <w:rPr>
              <w:rFonts w:hint="eastAsia" w:eastAsia="宋体"/>
            </w:rPr>
            <w:t>附件十、 投标人类似项目业绩表</w:t>
          </w:r>
          <w:r>
            <w:tab/>
          </w:r>
          <w:r>
            <w:fldChar w:fldCharType="begin"/>
          </w:r>
          <w:r>
            <w:instrText xml:space="preserve"> PAGEREF _Toc18957 \h </w:instrText>
          </w:r>
          <w:r>
            <w:fldChar w:fldCharType="separate"/>
          </w:r>
          <w:r>
            <w:t>60</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"_Toc1826" </w:instrText>
          </w:r>
          <w:r>
            <w:fldChar w:fldCharType="separate"/>
          </w:r>
          <w:r>
            <w:rPr>
              <w:rFonts w:hint="eastAsia" w:eastAsia="宋体"/>
            </w:rPr>
            <w:t>附件十一、 符合性审查对照表</w:t>
          </w:r>
          <w:r>
            <w:tab/>
          </w:r>
          <w:r>
            <w:fldChar w:fldCharType="begin"/>
          </w:r>
          <w:r>
            <w:instrText xml:space="preserve"> PAGEREF _Toc1826 \h </w:instrText>
          </w:r>
          <w:r>
            <w:fldChar w:fldCharType="separate"/>
          </w:r>
          <w:r>
            <w:t>61</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"_Toc3684" </w:instrText>
          </w:r>
          <w:r>
            <w:fldChar w:fldCharType="separate"/>
          </w:r>
          <w:r>
            <w:rPr>
              <w:rFonts w:hint="eastAsia" w:eastAsia="宋体"/>
            </w:rPr>
            <w:t>附件十二、 商务要求响应、偏离说明表</w:t>
          </w:r>
          <w:r>
            <w:tab/>
          </w:r>
          <w:r>
            <w:fldChar w:fldCharType="begin"/>
          </w:r>
          <w:r>
            <w:instrText xml:space="preserve"> PAGEREF _Toc3684 \h </w:instrText>
          </w:r>
          <w:r>
            <w:fldChar w:fldCharType="separate"/>
          </w:r>
          <w:r>
            <w:t>62</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"_Toc21705" </w:instrText>
          </w:r>
          <w:r>
            <w:fldChar w:fldCharType="separate"/>
          </w:r>
          <w:r>
            <w:rPr>
              <w:rFonts w:hint="eastAsia" w:eastAsia="宋体"/>
            </w:rPr>
            <w:t>附件十三、 商务要求“★”号条款响应、偏离说明表</w:t>
          </w:r>
          <w:r>
            <w:tab/>
          </w:r>
          <w:r>
            <w:fldChar w:fldCharType="begin"/>
          </w:r>
          <w:r>
            <w:instrText xml:space="preserve"> PAGEREF _Toc21705 \h </w:instrText>
          </w:r>
          <w:r>
            <w:fldChar w:fldCharType="separate"/>
          </w:r>
          <w:r>
            <w:t>63</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"_Toc26127" </w:instrText>
          </w:r>
          <w:r>
            <w:fldChar w:fldCharType="separate"/>
          </w:r>
          <w:r>
            <w:rPr>
              <w:rFonts w:hint="eastAsia" w:eastAsia="宋体"/>
            </w:rPr>
            <w:t>附件十四、 商务评议对照表</w:t>
          </w:r>
          <w:r>
            <w:tab/>
          </w:r>
          <w:r>
            <w:fldChar w:fldCharType="begin"/>
          </w:r>
          <w:r>
            <w:instrText xml:space="preserve"> PAGEREF _Toc26127 \h </w:instrText>
          </w:r>
          <w:r>
            <w:fldChar w:fldCharType="separate"/>
          </w:r>
          <w:r>
            <w:t>64</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"_Toc23058" </w:instrText>
          </w:r>
          <w:r>
            <w:fldChar w:fldCharType="separate"/>
          </w:r>
          <w:r>
            <w:rPr>
              <w:rFonts w:hint="eastAsia" w:eastAsia="宋体"/>
            </w:rPr>
            <w:t>附件十五、 技术、服务要求响应、偏离说明表</w:t>
          </w:r>
          <w:r>
            <w:tab/>
          </w:r>
          <w:r>
            <w:fldChar w:fldCharType="begin"/>
          </w:r>
          <w:r>
            <w:instrText xml:space="preserve"> PAGEREF _Toc23058 \h </w:instrText>
          </w:r>
          <w:r>
            <w:fldChar w:fldCharType="separate"/>
          </w:r>
          <w:r>
            <w:t>65</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"_Toc18167" </w:instrText>
          </w:r>
          <w:r>
            <w:fldChar w:fldCharType="separate"/>
          </w:r>
          <w:r>
            <w:rPr>
              <w:rFonts w:hint="eastAsia" w:eastAsia="宋体"/>
            </w:rPr>
            <w:t>附件十六、 技术、服务要求“★”号条款响应、偏离说明表</w:t>
          </w:r>
          <w:r>
            <w:tab/>
          </w:r>
          <w:r>
            <w:fldChar w:fldCharType="begin"/>
          </w:r>
          <w:r>
            <w:instrText xml:space="preserve"> PAGEREF _Toc18167 \h </w:instrText>
          </w:r>
          <w:r>
            <w:fldChar w:fldCharType="separate"/>
          </w:r>
          <w:r>
            <w:t>66</w:t>
          </w:r>
          <w:r>
            <w:fldChar w:fldCharType="end"/>
          </w:r>
          <w:r>
            <w:fldChar w:fldCharType="end"/>
          </w:r>
        </w:p>
        <w:p>
          <w:pPr>
            <w:pStyle w:val="21"/>
            <w:tabs>
              <w:tab w:val="right" w:leader="dot" w:pos="8306"/>
              <w:tab w:val="clear" w:pos="756"/>
              <w:tab w:val="clear" w:pos="966"/>
              <w:tab w:val="clear" w:pos="1204"/>
              <w:tab w:val="clear" w:pos="1442"/>
              <w:tab w:val="clear" w:pos="9514"/>
            </w:tabs>
          </w:pPr>
          <w:r>
            <w:fldChar w:fldCharType="begin"/>
          </w:r>
          <w:r>
            <w:instrText xml:space="preserve"> HYPERLINK \l "_Toc9257" </w:instrText>
          </w:r>
          <w:r>
            <w:fldChar w:fldCharType="separate"/>
          </w:r>
          <w:r>
            <w:rPr>
              <w:rFonts w:hint="eastAsia" w:eastAsia="宋体"/>
            </w:rPr>
            <w:t>附件十七、 技术、服务评议对照表</w:t>
          </w:r>
          <w:r>
            <w:tab/>
          </w:r>
          <w:r>
            <w:fldChar w:fldCharType="begin"/>
          </w:r>
          <w:r>
            <w:instrText xml:space="preserve"> PAGEREF _Toc9257 \h </w:instrText>
          </w:r>
          <w:r>
            <w:fldChar w:fldCharType="separate"/>
          </w:r>
          <w:r>
            <w:t>67</w:t>
          </w:r>
          <w:r>
            <w:fldChar w:fldCharType="end"/>
          </w:r>
          <w:r>
            <w:fldChar w:fldCharType="end"/>
          </w:r>
        </w:p>
        <w:p>
          <w:pPr>
            <w:pStyle w:val="20"/>
            <w:tabs>
              <w:tab w:val="left" w:pos="1260"/>
              <w:tab w:val="right" w:leader="dot" w:pos="8300"/>
            </w:tabs>
          </w:pPr>
          <w:r>
            <w:fldChar w:fldCharType="end"/>
          </w:r>
          <w:r>
            <w:rPr>
              <w:b w:val="0"/>
              <w:bCs/>
              <w:lang w:val="zh-CN"/>
            </w:rPr>
            <w:tab/>
          </w:r>
        </w:p>
      </w:sdtContent>
    </w:sdt>
    <w:p>
      <w:r>
        <w:br w:type="page"/>
      </w:r>
    </w:p>
    <w:p>
      <w:pPr>
        <w:pStyle w:val="4"/>
        <w:numPr>
          <w:ilvl w:val="0"/>
          <w:numId w:val="1"/>
        </w:numPr>
        <w:spacing w:before="240" w:after="0" w:line="240" w:lineRule="auto"/>
        <w:ind w:left="880" w:hanging="880" w:hangingChars="200"/>
        <w:jc w:val="center"/>
        <w:rPr>
          <w:rFonts w:ascii="黑体" w:hAnsi="黑体" w:eastAsia="黑体"/>
        </w:rPr>
      </w:pPr>
      <w:bookmarkStart w:id="0" w:name="_Toc21901"/>
      <w:r>
        <w:rPr>
          <w:rFonts w:hint="eastAsia" w:ascii="黑体" w:hAnsi="黑体" w:eastAsia="黑体"/>
        </w:rPr>
        <w:t>投标邀请书</w:t>
      </w:r>
      <w:bookmarkEnd w:id="0"/>
    </w:p>
    <w:tbl>
      <w:tblPr>
        <w:tblStyle w:val="26"/>
        <w:tblW w:w="8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8668" w:type="dxa"/>
          </w:tcPr>
          <w:p>
            <w:pPr>
              <w:pStyle w:val="23"/>
              <w:widowControl/>
              <w:snapToGrid w:val="0"/>
              <w:spacing w:beforeAutospacing="0" w:afterAutospacing="0" w:line="288" w:lineRule="auto"/>
              <w:ind w:right="330" w:firstLine="480" w:firstLineChars="200"/>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eastAsia="zh-CN"/>
                <w14:textFill>
                  <w14:solidFill>
                    <w14:schemeClr w14:val="tx1"/>
                  </w14:solidFill>
                </w14:textFill>
              </w:rPr>
              <w:t>阳新县长江大保护水环境综合治理PPP项目（一期工程）建设项目造价咨询服务</w:t>
            </w:r>
            <w:r>
              <w:rPr>
                <w:rFonts w:hint="eastAsia" w:ascii="Times New Roman" w:hAnsi="Times New Roman" w:eastAsia="宋体"/>
                <w:color w:val="000000" w:themeColor="text1"/>
                <w:kern w:val="2"/>
                <w:szCs w:val="24"/>
                <w:lang w:val="hr-HR"/>
                <w14:textFill>
                  <w14:solidFill>
                    <w14:schemeClr w14:val="tx1"/>
                  </w14:solidFill>
                </w14:textFill>
              </w:rPr>
              <w:t xml:space="preserve">的潜在投标人应在：可在 </w:t>
            </w:r>
            <w:r>
              <w:rPr>
                <w:rFonts w:hint="eastAsia" w:ascii="Times New Roman" w:hAnsi="Times New Roman" w:eastAsia="宋体"/>
                <w:color w:val="000000" w:themeColor="text1"/>
                <w:kern w:val="2"/>
                <w:szCs w:val="24"/>
                <w:lang w:val="hr-HR" w:eastAsia="zh-CN"/>
                <w14:textFill>
                  <w14:solidFill>
                    <w14:schemeClr w14:val="tx1"/>
                  </w14:solidFill>
                </w14:textFill>
              </w:rPr>
              <w:t>“</w:t>
            </w:r>
            <w:r>
              <w:rPr>
                <w:rFonts w:hint="eastAsia" w:ascii="Times New Roman" w:hAnsi="Times New Roman" w:eastAsia="宋体"/>
                <w:color w:val="000000" w:themeColor="text1"/>
                <w:kern w:val="2"/>
                <w:szCs w:val="24"/>
                <w:lang w:val="en-US" w:eastAsia="zh-CN"/>
                <w14:textFill>
                  <w14:solidFill>
                    <w14:schemeClr w14:val="tx1"/>
                  </w14:solidFill>
                </w14:textFill>
              </w:rPr>
              <w:t>湖北政府采购网</w:t>
            </w:r>
            <w:r>
              <w:rPr>
                <w:rFonts w:hint="eastAsia" w:ascii="Times New Roman" w:hAnsi="Times New Roman" w:eastAsia="宋体"/>
                <w:color w:val="000000" w:themeColor="text1"/>
                <w:kern w:val="2"/>
                <w:szCs w:val="24"/>
                <w:lang w:val="hr-HR" w:eastAsia="zh-CN"/>
                <w14:textFill>
                  <w14:solidFill>
                    <w14:schemeClr w14:val="tx1"/>
                  </w14:solidFill>
                </w14:textFill>
              </w:rPr>
              <w:t>”</w:t>
            </w:r>
            <w:r>
              <w:rPr>
                <w:rFonts w:hint="eastAsia" w:ascii="Times New Roman" w:hAnsi="Times New Roman" w:eastAsia="宋体"/>
                <w:color w:val="000000" w:themeColor="text1"/>
                <w:kern w:val="2"/>
                <w:szCs w:val="24"/>
                <w:lang w:val="hr-HR"/>
                <w14:textFill>
                  <w14:solidFill>
                    <w14:schemeClr w14:val="tx1"/>
                  </w14:solidFill>
                </w14:textFill>
              </w:rPr>
              <w:t>“黄石公共资源交易信息网”及“阳新县人民政府网”点击本公告中的链接下载获取招标文件，</w:t>
            </w:r>
            <w:r>
              <w:rPr>
                <w:rFonts w:hint="eastAsia" w:ascii="Times New Roman" w:hAnsi="Times New Roman" w:eastAsia="宋体"/>
                <w:color w:val="000000" w:themeColor="text1"/>
                <w:kern w:val="2"/>
                <w:szCs w:val="24"/>
                <w:highlight w:val="none"/>
                <w:lang w:val="hr-HR"/>
                <w14:textFill>
                  <w14:solidFill>
                    <w14:schemeClr w14:val="tx1"/>
                  </w14:solidFill>
                </w14:textFill>
              </w:rPr>
              <w:t>并于</w:t>
            </w:r>
            <w:r>
              <w:rPr>
                <w:rFonts w:hint="eastAsia" w:ascii="Times New Roman" w:hAnsi="Times New Roman" w:eastAsia="宋体"/>
                <w:color w:val="000000" w:themeColor="text1"/>
                <w:kern w:val="2"/>
                <w:szCs w:val="24"/>
                <w:highlight w:val="none"/>
                <w14:textFill>
                  <w14:solidFill>
                    <w14:schemeClr w14:val="tx1"/>
                  </w14:solidFill>
                </w14:textFill>
              </w:rPr>
              <w:t>2022</w:t>
            </w:r>
            <w:r>
              <w:rPr>
                <w:rFonts w:hint="eastAsia" w:ascii="Times New Roman" w:hAnsi="Times New Roman" w:eastAsia="宋体"/>
                <w:color w:val="000000" w:themeColor="text1"/>
                <w:kern w:val="2"/>
                <w:szCs w:val="24"/>
                <w:highlight w:val="none"/>
                <w:lang w:val="hr-HR"/>
                <w14:textFill>
                  <w14:solidFill>
                    <w14:schemeClr w14:val="tx1"/>
                  </w14:solidFill>
                </w14:textFill>
              </w:rPr>
              <w:t>年</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4</w:t>
            </w:r>
            <w:r>
              <w:rPr>
                <w:rFonts w:hint="eastAsia" w:ascii="Times New Roman" w:hAnsi="Times New Roman" w:eastAsia="宋体"/>
                <w:color w:val="000000" w:themeColor="text1"/>
                <w:kern w:val="2"/>
                <w:szCs w:val="24"/>
                <w:highlight w:val="none"/>
                <w:lang w:val="hr-HR"/>
                <w14:textFill>
                  <w14:solidFill>
                    <w14:schemeClr w14:val="tx1"/>
                  </w14:solidFill>
                </w14:textFill>
              </w:rPr>
              <w:t>月</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20</w:t>
            </w:r>
            <w:r>
              <w:rPr>
                <w:rFonts w:hint="eastAsia" w:ascii="Times New Roman" w:hAnsi="Times New Roman" w:eastAsia="宋体"/>
                <w:color w:val="000000" w:themeColor="text1"/>
                <w:kern w:val="2"/>
                <w:szCs w:val="24"/>
                <w:highlight w:val="none"/>
                <w:lang w:val="hr-HR"/>
                <w14:textFill>
                  <w14:solidFill>
                    <w14:schemeClr w14:val="tx1"/>
                  </w14:solidFill>
                </w14:textFill>
              </w:rPr>
              <w:t>日</w:t>
            </w:r>
            <w:r>
              <w:rPr>
                <w:rFonts w:hint="eastAsia" w:ascii="Times New Roman" w:hAnsi="Times New Roman" w:eastAsia="宋体"/>
                <w:color w:val="000000" w:themeColor="text1"/>
                <w:kern w:val="2"/>
                <w:szCs w:val="24"/>
                <w:highlight w:val="none"/>
                <w14:textFill>
                  <w14:solidFill>
                    <w14:schemeClr w14:val="tx1"/>
                  </w14:solidFill>
                </w14:textFill>
              </w:rPr>
              <w:t>9</w:t>
            </w:r>
            <w:r>
              <w:rPr>
                <w:rFonts w:hint="eastAsia" w:ascii="Times New Roman" w:hAnsi="Times New Roman" w:eastAsia="宋体"/>
                <w:color w:val="000000" w:themeColor="text1"/>
                <w:kern w:val="2"/>
                <w:szCs w:val="24"/>
                <w:highlight w:val="none"/>
                <w:lang w:val="hr-HR"/>
                <w14:textFill>
                  <w14:solidFill>
                    <w14:schemeClr w14:val="tx1"/>
                  </w14:solidFill>
                </w14:textFill>
              </w:rPr>
              <w:t>点</w:t>
            </w:r>
            <w:r>
              <w:rPr>
                <w:rFonts w:hint="eastAsia" w:ascii="Times New Roman" w:hAnsi="Times New Roman" w:eastAsia="宋体"/>
                <w:color w:val="000000" w:themeColor="text1"/>
                <w:kern w:val="2"/>
                <w:szCs w:val="24"/>
                <w:highlight w:val="none"/>
                <w14:textFill>
                  <w14:solidFill>
                    <w14:schemeClr w14:val="tx1"/>
                  </w14:solidFill>
                </w14:textFill>
              </w:rPr>
              <w:t>00</w:t>
            </w:r>
            <w:r>
              <w:rPr>
                <w:rFonts w:hint="eastAsia" w:ascii="Times New Roman" w:hAnsi="Times New Roman" w:eastAsia="宋体"/>
                <w:color w:val="000000" w:themeColor="text1"/>
                <w:kern w:val="2"/>
                <w:szCs w:val="24"/>
                <w:highlight w:val="none"/>
                <w:lang w:val="hr-HR"/>
                <w14:textFill>
                  <w14:solidFill>
                    <w14:schemeClr w14:val="tx1"/>
                  </w14:solidFill>
                </w14:textFill>
              </w:rPr>
              <w:t>分</w:t>
            </w:r>
            <w:r>
              <w:rPr>
                <w:rFonts w:hint="eastAsia" w:ascii="Times New Roman" w:hAnsi="Times New Roman" w:eastAsia="宋体"/>
                <w:color w:val="000000" w:themeColor="text1"/>
                <w:kern w:val="2"/>
                <w:szCs w:val="24"/>
                <w:lang w:val="hr-HR"/>
                <w14:textFill>
                  <w14:solidFill>
                    <w14:schemeClr w14:val="tx1"/>
                  </w14:solidFill>
                </w14:textFill>
              </w:rPr>
              <w:t>（北京时间）前递交投标文件。</w:t>
            </w:r>
          </w:p>
        </w:tc>
      </w:tr>
    </w:tbl>
    <w:p>
      <w:pPr>
        <w:pStyle w:val="23"/>
        <w:widowControl/>
        <w:snapToGrid w:val="0"/>
        <w:spacing w:beforeAutospacing="0" w:afterAutospacing="0" w:line="288" w:lineRule="auto"/>
        <w:ind w:left="330"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一、项目基本情况</w:t>
      </w:r>
    </w:p>
    <w:p>
      <w:pPr>
        <w:pStyle w:val="23"/>
        <w:widowControl/>
        <w:snapToGrid w:val="0"/>
        <w:spacing w:beforeAutospacing="0" w:afterAutospacing="0" w:line="288" w:lineRule="auto"/>
        <w:ind w:right="330"/>
        <w:jc w:val="both"/>
        <w:rPr>
          <w:rFonts w:hint="default" w:ascii="Times New Roman" w:hAnsi="Times New Roman" w:eastAsia="宋体"/>
          <w:color w:val="000000" w:themeColor="text1"/>
          <w:kern w:val="2"/>
          <w:szCs w:val="24"/>
          <w:lang w:val="en-US" w:eastAsia="zh-CN"/>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1、项目编号：</w:t>
      </w:r>
      <w:r>
        <w:rPr>
          <w:rFonts w:hint="eastAsia" w:ascii="Times New Roman" w:hAnsi="Times New Roman" w:eastAsia="宋体"/>
          <w:color w:val="000000" w:themeColor="text1"/>
          <w:kern w:val="2"/>
          <w:szCs w:val="24"/>
          <w:highlight w:val="none"/>
          <w:lang w:val="hr-HR"/>
          <w14:textFill>
            <w14:solidFill>
              <w14:schemeClr w14:val="tx1"/>
            </w14:solidFill>
          </w14:textFill>
        </w:rPr>
        <w:t>131-2022CG-</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042</w:t>
      </w:r>
    </w:p>
    <w:p>
      <w:pPr>
        <w:pStyle w:val="23"/>
        <w:widowControl/>
        <w:snapToGrid w:val="0"/>
        <w:spacing w:beforeAutospacing="0" w:afterAutospacing="0" w:line="288" w:lineRule="auto"/>
        <w:ind w:right="-54"/>
        <w:jc w:val="both"/>
        <w:rPr>
          <w:rFonts w:hint="eastAsia" w:ascii="Times New Roman" w:hAnsi="Times New Roman" w:eastAsia="宋体"/>
          <w:color w:val="000000" w:themeColor="text1"/>
          <w:kern w:val="2"/>
          <w:szCs w:val="24"/>
          <w:lang w:val="hr-HR" w:eastAsia="zh-CN"/>
          <w14:textFill>
            <w14:solidFill>
              <w14:schemeClr w14:val="tx1"/>
            </w14:solidFill>
          </w14:textFill>
        </w:rPr>
      </w:pPr>
      <w:r>
        <w:rPr>
          <w:rFonts w:hint="eastAsia" w:ascii="Times New Roman" w:hAnsi="Times New Roman" w:eastAsia="宋体"/>
          <w:color w:val="000000" w:themeColor="text1"/>
          <w:kern w:val="2"/>
          <w:szCs w:val="24"/>
          <w14:textFill>
            <w14:solidFill>
              <w14:schemeClr w14:val="tx1"/>
            </w14:solidFill>
          </w14:textFill>
        </w:rPr>
        <w:t>2</w:t>
      </w:r>
      <w:r>
        <w:rPr>
          <w:rFonts w:hint="eastAsia" w:ascii="Times New Roman" w:hAnsi="Times New Roman" w:eastAsia="宋体"/>
          <w:color w:val="000000" w:themeColor="text1"/>
          <w:kern w:val="2"/>
          <w:szCs w:val="24"/>
          <w:lang w:val="hr-HR"/>
          <w14:textFill>
            <w14:solidFill>
              <w14:schemeClr w14:val="tx1"/>
            </w14:solidFill>
          </w14:textFill>
        </w:rPr>
        <w:t>、项目名称：</w:t>
      </w:r>
      <w:r>
        <w:rPr>
          <w:rFonts w:hint="eastAsia" w:ascii="Times New Roman" w:hAnsi="Times New Roman" w:eastAsia="宋体"/>
          <w:color w:val="000000" w:themeColor="text1"/>
          <w:kern w:val="2"/>
          <w:szCs w:val="24"/>
          <w:lang w:val="hr-HR" w:eastAsia="zh-CN"/>
          <w14:textFill>
            <w14:solidFill>
              <w14:schemeClr w14:val="tx1"/>
            </w14:solidFill>
          </w14:textFill>
        </w:rPr>
        <w:t>阳新县长江大保护水环境综合治理PPP项目（一期工程）建设项目造价咨询服务</w:t>
      </w:r>
    </w:p>
    <w:p>
      <w:pPr>
        <w:pStyle w:val="23"/>
        <w:widowControl/>
        <w:snapToGrid w:val="0"/>
        <w:spacing w:beforeAutospacing="0" w:afterAutospacing="0" w:line="288" w:lineRule="auto"/>
        <w:ind w:right="-54"/>
        <w:jc w:val="both"/>
        <w:rPr>
          <w:rFonts w:hint="eastAsia" w:ascii="Times New Roman" w:hAnsi="Times New Roman" w:eastAsia="宋体" w:cs="Times New Roman"/>
          <w:color w:val="FF0000"/>
          <w:kern w:val="2"/>
          <w:szCs w:val="24"/>
          <w:lang w:val="hr-HR" w:eastAsia="zh-CN"/>
        </w:rPr>
      </w:pPr>
      <w:r>
        <w:rPr>
          <w:rFonts w:hint="eastAsia" w:ascii="Times New Roman" w:hAnsi="Times New Roman" w:eastAsia="宋体"/>
          <w:color w:val="000000" w:themeColor="text1"/>
          <w:kern w:val="2"/>
          <w:szCs w:val="24"/>
          <w14:textFill>
            <w14:solidFill>
              <w14:schemeClr w14:val="tx1"/>
            </w14:solidFill>
          </w14:textFill>
        </w:rPr>
        <w:t>3</w:t>
      </w:r>
      <w:r>
        <w:rPr>
          <w:rFonts w:hint="eastAsia" w:ascii="Times New Roman" w:hAnsi="Times New Roman" w:eastAsia="宋体"/>
          <w:color w:val="000000" w:themeColor="text1"/>
          <w:kern w:val="2"/>
          <w:szCs w:val="24"/>
          <w:lang w:val="hr-HR"/>
          <w14:textFill>
            <w14:solidFill>
              <w14:schemeClr w14:val="tx1"/>
            </w14:solidFill>
          </w14:textFill>
        </w:rPr>
        <w:t>、采购方式：</w:t>
      </w:r>
      <w:r>
        <w:rPr>
          <w:rFonts w:hint="eastAsia" w:ascii="Times New Roman" w:hAnsi="Times New Roman" w:eastAsia="宋体"/>
          <w:color w:val="000000" w:themeColor="text1"/>
          <w:kern w:val="2"/>
          <w:szCs w:val="24"/>
          <w:lang w:val="en-US" w:eastAsia="zh-CN"/>
          <w14:textFill>
            <w14:solidFill>
              <w14:schemeClr w14:val="tx1"/>
            </w14:solidFill>
          </w14:textFill>
        </w:rPr>
        <w:t>公开招标</w:t>
      </w:r>
    </w:p>
    <w:p>
      <w:pPr>
        <w:pStyle w:val="23"/>
        <w:widowControl/>
        <w:snapToGrid w:val="0"/>
        <w:spacing w:beforeAutospacing="0" w:afterAutospacing="0" w:line="288" w:lineRule="auto"/>
        <w:ind w:right="-54"/>
        <w:jc w:val="both"/>
        <w:rPr>
          <w:rFonts w:hint="default" w:ascii="Times New Roman" w:hAnsi="Times New Roman" w:eastAsia="宋体"/>
          <w:color w:val="000000" w:themeColor="text1"/>
          <w:kern w:val="2"/>
          <w:szCs w:val="24"/>
          <w:lang w:val="en-US" w:eastAsia="zh-CN"/>
          <w14:textFill>
            <w14:solidFill>
              <w14:schemeClr w14:val="tx1"/>
            </w14:solidFill>
          </w14:textFill>
        </w:rPr>
      </w:pPr>
      <w:r>
        <w:rPr>
          <w:rFonts w:hint="eastAsia" w:ascii="Times New Roman" w:hAnsi="Times New Roman" w:eastAsia="宋体" w:cs="Times New Roman"/>
          <w:color w:val="0D0D0D" w:themeColor="text1" w:themeTint="F2"/>
          <w:kern w:val="2"/>
          <w:szCs w:val="24"/>
          <w14:textFill>
            <w14:solidFill>
              <w14:schemeClr w14:val="tx1">
                <w14:lumMod w14:val="95000"/>
                <w14:lumOff w14:val="5000"/>
              </w14:schemeClr>
            </w14:solidFill>
          </w14:textFill>
        </w:rPr>
        <w:t>4</w:t>
      </w:r>
      <w:r>
        <w:rPr>
          <w:rFonts w:hint="eastAsia" w:ascii="Times New Roman" w:hAnsi="Times New Roman" w:eastAsia="宋体" w:cs="Times New Roman"/>
          <w:color w:val="0D0D0D" w:themeColor="text1" w:themeTint="F2"/>
          <w:kern w:val="2"/>
          <w:szCs w:val="24"/>
          <w:lang w:val="hr-HR"/>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kern w:val="2"/>
          <w:szCs w:val="24"/>
          <w:lang w:val="en-US" w:eastAsia="zh-CN"/>
          <w14:textFill>
            <w14:solidFill>
              <w14:schemeClr w14:val="tx1">
                <w14:lumMod w14:val="95000"/>
                <w14:lumOff w14:val="5000"/>
              </w14:schemeClr>
            </w14:solidFill>
          </w14:textFill>
        </w:rPr>
        <w:t>投标报价</w:t>
      </w:r>
      <w:r>
        <w:rPr>
          <w:rFonts w:hint="eastAsia" w:ascii="Times New Roman" w:hAnsi="Times New Roman" w:eastAsia="宋体" w:cs="Times New Roman"/>
          <w:color w:val="0D0D0D" w:themeColor="text1" w:themeTint="F2"/>
          <w:kern w:val="2"/>
          <w:szCs w:val="24"/>
          <w:lang w:val="hr-HR"/>
          <w14:textFill>
            <w14:solidFill>
              <w14:schemeClr w14:val="tx1">
                <w14:lumMod w14:val="95000"/>
                <w14:lumOff w14:val="5000"/>
              </w14:schemeClr>
            </w14:solidFill>
          </w14:textFill>
        </w:rPr>
        <w:t>：</w:t>
      </w:r>
      <w:r>
        <w:rPr>
          <w:rFonts w:hint="eastAsia" w:ascii="Times New Roman" w:hAnsi="Times New Roman" w:eastAsia="宋体" w:cs="Times New Roman"/>
          <w:color w:val="FF0000"/>
          <w:kern w:val="2"/>
          <w:szCs w:val="24"/>
          <w:lang w:val="hr-HR" w:eastAsia="zh-CN"/>
        </w:rPr>
        <w:t>以阳新县长江大保护水环境综合治理PPP项目(一期工程)建设项目中标价中建安工程费的11个单项分别作为计费基数（新建部分，不含存量工程），参照湖北省物价局和湖北省住房和城乡建设局关于印发《工程造价咨询服务收费标准》的通知（鄂价工服规【2012】149号）计算后的基准价</w:t>
      </w:r>
      <w:r>
        <w:rPr>
          <w:rFonts w:hint="eastAsia" w:ascii="Times New Roman" w:hAnsi="Times New Roman" w:eastAsia="宋体" w:cs="Times New Roman"/>
          <w:color w:val="FF0000"/>
          <w:kern w:val="2"/>
          <w:szCs w:val="24"/>
          <w:lang w:val="en-US" w:eastAsia="zh-CN"/>
        </w:rPr>
        <w:t>，下浮30%。（报下浮率）</w:t>
      </w:r>
      <w:r>
        <w:rPr>
          <w:rFonts w:hint="eastAsia" w:ascii="Times New Roman" w:hAnsi="Times New Roman" w:eastAsia="宋体" w:cs="Times New Roman"/>
          <w:color w:val="FF0000"/>
          <w:kern w:val="2"/>
          <w:szCs w:val="24"/>
          <w:lang w:val="hr-HR" w:eastAsia="zh-CN"/>
        </w:rPr>
        <w:t>。</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14:textFill>
            <w14:solidFill>
              <w14:schemeClr w14:val="tx1"/>
            </w14:solidFill>
          </w14:textFill>
        </w:rPr>
        <w:t>5</w:t>
      </w:r>
      <w:r>
        <w:rPr>
          <w:rFonts w:hint="eastAsia" w:ascii="Times New Roman" w:hAnsi="Times New Roman" w:eastAsia="宋体"/>
          <w:color w:val="000000" w:themeColor="text1"/>
          <w:kern w:val="2"/>
          <w:szCs w:val="24"/>
          <w:lang w:val="hr-HR"/>
          <w14:textFill>
            <w14:solidFill>
              <w14:schemeClr w14:val="tx1"/>
            </w14:solidFill>
          </w14:textFill>
        </w:rPr>
        <w:t>、采购需求：</w:t>
      </w:r>
      <w:r>
        <w:rPr>
          <w:rFonts w:hint="eastAsia" w:ascii="Times New Roman" w:hAnsi="Times New Roman" w:eastAsia="宋体"/>
          <w:color w:val="000000" w:themeColor="text1"/>
          <w:kern w:val="2"/>
          <w:szCs w:val="24"/>
          <w:highlight w:val="none"/>
          <w:lang w:val="hr-HR"/>
          <w14:textFill>
            <w14:solidFill>
              <w14:schemeClr w14:val="tx1"/>
            </w14:solidFill>
          </w14:textFill>
        </w:rPr>
        <w:t>阳新县长江大保护水环境综合治理PPP项目（一期工程）建设项目</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提供</w:t>
      </w:r>
      <w:r>
        <w:rPr>
          <w:rFonts w:hint="eastAsia" w:ascii="Times New Roman" w:hAnsi="Times New Roman" w:eastAsia="宋体"/>
          <w:color w:val="000000" w:themeColor="text1"/>
          <w:kern w:val="2"/>
          <w:szCs w:val="24"/>
          <w:highlight w:val="none"/>
          <w:lang w:val="hr-HR"/>
          <w14:textFill>
            <w14:solidFill>
              <w14:schemeClr w14:val="tx1"/>
            </w14:solidFill>
          </w14:textFill>
        </w:rPr>
        <w:t>工程</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造价咨询</w:t>
      </w:r>
      <w:r>
        <w:rPr>
          <w:rFonts w:hint="eastAsia" w:ascii="Times New Roman" w:hAnsi="Times New Roman" w:eastAsia="宋体"/>
          <w:color w:val="000000" w:themeColor="text1"/>
          <w:kern w:val="2"/>
          <w:szCs w:val="24"/>
          <w:highlight w:val="none"/>
          <w:lang w:val="hr-HR"/>
          <w14:textFill>
            <w14:solidFill>
              <w14:schemeClr w14:val="tx1"/>
            </w14:solidFill>
          </w14:textFill>
        </w:rPr>
        <w:t>服务</w:t>
      </w:r>
      <w:r>
        <w:rPr>
          <w:rFonts w:hint="eastAsia" w:ascii="Times New Roman" w:hAnsi="Times New Roman" w:eastAsia="宋体"/>
          <w:color w:val="000000" w:themeColor="text1"/>
          <w:kern w:val="2"/>
          <w:szCs w:val="24"/>
          <w:highlight w:val="none"/>
          <w:lang w:val="zh-CN"/>
          <w14:textFill>
            <w14:solidFill>
              <w14:schemeClr w14:val="tx1"/>
            </w14:solidFill>
          </w14:textFill>
        </w:rPr>
        <w:t>工作。</w:t>
      </w:r>
      <w:r>
        <w:rPr>
          <w:rFonts w:hint="eastAsia" w:ascii="Times New Roman" w:hAnsi="Times New Roman" w:eastAsia="宋体"/>
          <w:color w:val="000000" w:themeColor="text1"/>
          <w:kern w:val="2"/>
          <w:szCs w:val="24"/>
          <w:lang w:val="hr-HR"/>
          <w14:textFill>
            <w14:solidFill>
              <w14:schemeClr w14:val="tx1"/>
            </w14:solidFill>
          </w14:textFill>
        </w:rPr>
        <w:t>详见本项目招标文件第三章采购需求。</w:t>
      </w:r>
    </w:p>
    <w:p>
      <w:pPr>
        <w:pStyle w:val="23"/>
        <w:widowControl/>
        <w:snapToGrid w:val="0"/>
        <w:spacing w:beforeAutospacing="0" w:afterAutospacing="0" w:line="288" w:lineRule="auto"/>
        <w:ind w:right="330"/>
        <w:jc w:val="both"/>
        <w:rPr>
          <w:rFonts w:hint="eastAsia"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14:textFill>
            <w14:solidFill>
              <w14:schemeClr w14:val="tx1"/>
            </w14:solidFill>
          </w14:textFill>
        </w:rPr>
        <w:t>6</w:t>
      </w:r>
      <w:r>
        <w:rPr>
          <w:rFonts w:hint="eastAsia" w:ascii="Times New Roman" w:hAnsi="Times New Roman" w:eastAsia="宋体"/>
          <w:color w:val="000000" w:themeColor="text1"/>
          <w:kern w:val="2"/>
          <w:szCs w:val="24"/>
          <w:lang w:val="hr-HR"/>
          <w14:textFill>
            <w14:solidFill>
              <w14:schemeClr w14:val="tx1"/>
            </w14:solidFill>
          </w14:textFill>
        </w:rPr>
        <w:t>、合同履行期限：以合同签订日期为准。</w:t>
      </w:r>
    </w:p>
    <w:p>
      <w:pPr>
        <w:pStyle w:val="23"/>
        <w:widowControl/>
        <w:snapToGrid w:val="0"/>
        <w:spacing w:beforeAutospacing="0" w:afterAutospacing="0" w:line="288" w:lineRule="auto"/>
        <w:ind w:right="330"/>
        <w:jc w:val="both"/>
        <w:rPr>
          <w:rFonts w:hint="eastAsia" w:ascii="Times New Roman" w:hAnsi="Times New Roman" w:eastAsia="宋体"/>
          <w:color w:val="000000" w:themeColor="text1"/>
          <w:kern w:val="2"/>
          <w:szCs w:val="24"/>
          <w:lang w:val="hr-HR" w:eastAsia="zh-CN"/>
          <w14:textFill>
            <w14:solidFill>
              <w14:schemeClr w14:val="tx1"/>
            </w14:solidFill>
          </w14:textFill>
        </w:rPr>
      </w:pPr>
      <w:r>
        <w:rPr>
          <w:rFonts w:hint="eastAsia" w:ascii="Times New Roman" w:hAnsi="Times New Roman" w:eastAsia="宋体"/>
          <w:color w:val="000000" w:themeColor="text1"/>
          <w:kern w:val="2"/>
          <w:szCs w:val="24"/>
          <w14:textFill>
            <w14:solidFill>
              <w14:schemeClr w14:val="tx1"/>
            </w14:solidFill>
          </w14:textFill>
        </w:rPr>
        <w:t>7</w:t>
      </w:r>
      <w:r>
        <w:rPr>
          <w:rFonts w:hint="eastAsia" w:ascii="Times New Roman" w:hAnsi="Times New Roman" w:eastAsia="宋体"/>
          <w:color w:val="000000" w:themeColor="text1"/>
          <w:kern w:val="2"/>
          <w:szCs w:val="24"/>
          <w:lang w:val="hr-HR"/>
          <w14:textFill>
            <w14:solidFill>
              <w14:schemeClr w14:val="tx1"/>
            </w14:solidFill>
          </w14:textFill>
        </w:rPr>
        <w:t>、</w:t>
      </w:r>
      <w:r>
        <w:rPr>
          <w:rFonts w:hint="eastAsia" w:ascii="Times New Roman" w:hAnsi="Times New Roman" w:eastAsia="宋体"/>
          <w:color w:val="000000" w:themeColor="text1"/>
          <w:kern w:val="2"/>
          <w:szCs w:val="24"/>
          <w:highlight w:val="none"/>
          <w:lang w:val="hr-HR"/>
          <w14:textFill>
            <w14:solidFill>
              <w14:schemeClr w14:val="tx1"/>
            </w14:solidFill>
          </w14:textFill>
        </w:rPr>
        <w:t>本项目（是/否）接受联合体投标：</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否</w:t>
      </w:r>
    </w:p>
    <w:p>
      <w:pPr>
        <w:pStyle w:val="23"/>
        <w:widowControl/>
        <w:snapToGrid w:val="0"/>
        <w:spacing w:beforeAutospacing="0" w:afterAutospacing="0" w:line="288" w:lineRule="auto"/>
        <w:ind w:right="330"/>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14:textFill>
            <w14:solidFill>
              <w14:schemeClr w14:val="tx1"/>
            </w14:solidFill>
          </w14:textFill>
        </w:rPr>
        <w:t>8</w:t>
      </w:r>
      <w:r>
        <w:rPr>
          <w:rFonts w:hint="eastAsia" w:ascii="Times New Roman" w:hAnsi="Times New Roman" w:eastAsia="宋体"/>
          <w:color w:val="000000" w:themeColor="text1"/>
          <w:kern w:val="2"/>
          <w:szCs w:val="24"/>
          <w:lang w:val="hr-HR"/>
          <w14:textFill>
            <w14:solidFill>
              <w14:schemeClr w14:val="tx1"/>
            </w14:solidFill>
          </w14:textFill>
        </w:rPr>
        <w:t>、是否可采购进口产品：否</w:t>
      </w:r>
    </w:p>
    <w:p>
      <w:pPr>
        <w:pStyle w:val="23"/>
        <w:widowControl/>
        <w:snapToGrid w:val="0"/>
        <w:spacing w:beforeAutospacing="0" w:afterAutospacing="0" w:line="288" w:lineRule="auto"/>
        <w:ind w:right="329"/>
        <w:jc w:val="both"/>
        <w:rPr>
          <w:rFonts w:hint="eastAsia" w:ascii="Times New Roman" w:hAnsi="Times New Roman" w:eastAsia="宋体"/>
          <w:color w:val="000000" w:themeColor="text1"/>
          <w:kern w:val="2"/>
          <w:szCs w:val="24"/>
          <w:lang w:val="en-US" w:eastAsia="zh-CN"/>
          <w14:textFill>
            <w14:gradFill>
              <w14:gsLst>
                <w14:gs w14:pos="0">
                  <w14:srgbClr w14:val="FE4444"/>
                </w14:gs>
                <w14:gs w14:pos="100000">
                  <w14:srgbClr w14:val="832B2B"/>
                </w14:gs>
              </w14:gsLst>
              <w14:lin w14:scaled="0"/>
            </w14:gradFill>
          </w14:textFill>
        </w:rPr>
      </w:pPr>
      <w:r>
        <w:rPr>
          <w:rFonts w:hint="eastAsia" w:ascii="Times New Roman" w:hAnsi="Times New Roman" w:eastAsia="宋体"/>
          <w:color w:val="000000" w:themeColor="text1"/>
          <w:kern w:val="2"/>
          <w:szCs w:val="24"/>
          <w14:textFill>
            <w14:solidFill>
              <w14:schemeClr w14:val="tx1"/>
            </w14:solidFill>
          </w14:textFill>
        </w:rPr>
        <w:t>9</w:t>
      </w:r>
      <w:r>
        <w:rPr>
          <w:rFonts w:hint="eastAsia" w:ascii="Times New Roman" w:hAnsi="Times New Roman" w:eastAsia="宋体"/>
          <w:color w:val="000000" w:themeColor="text1"/>
          <w:kern w:val="2"/>
          <w:szCs w:val="24"/>
          <w:lang w:val="hr-HR"/>
          <w14:textFill>
            <w14:solidFill>
              <w14:schemeClr w14:val="tx1"/>
            </w14:solidFill>
          </w14:textFill>
        </w:rPr>
        <w:t>、本项目（是/否）专门面向中小微企业：</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否</w:t>
      </w:r>
    </w:p>
    <w:p>
      <w:pPr>
        <w:pStyle w:val="23"/>
        <w:widowControl/>
        <w:snapToGrid w:val="0"/>
        <w:spacing w:beforeAutospacing="0" w:afterAutospacing="0" w:line="288" w:lineRule="auto"/>
        <w:ind w:left="330"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二、申请人的资格要求</w:t>
      </w:r>
    </w:p>
    <w:p>
      <w:pPr>
        <w:pStyle w:val="23"/>
        <w:widowControl/>
        <w:snapToGrid w:val="0"/>
        <w:spacing w:beforeAutospacing="0" w:afterAutospacing="0" w:line="288" w:lineRule="auto"/>
        <w:ind w:left="228" w:leftChars="109" w:right="-54" w:firstLine="98" w:firstLineChars="41"/>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1、应具备《政府采购法》第二十二条第一款规定的条件；</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2、参加本次政府采购活动前三年内，在经营活动中没有重大违法记录并须提交《参加政府采购活动前3年内在经营活动中没有重大违法记录的书面声明》，且</w:t>
      </w:r>
      <w:r>
        <w:rPr>
          <w:rFonts w:hint="eastAsia" w:ascii="Times New Roman" w:hAnsi="Times New Roman" w:eastAsia="宋体"/>
          <w:color w:val="000000" w:themeColor="text1"/>
          <w:kern w:val="2"/>
          <w:szCs w:val="24"/>
          <w:lang w:val="en-US" w:eastAsia="zh-CN"/>
          <w14:textFill>
            <w14:solidFill>
              <w14:schemeClr w14:val="tx1"/>
            </w14:solidFill>
          </w14:textFill>
        </w:rPr>
        <w:t>投标人</w:t>
      </w:r>
      <w:r>
        <w:rPr>
          <w:rFonts w:hint="eastAsia" w:ascii="Times New Roman" w:hAnsi="Times New Roman" w:eastAsia="宋体"/>
          <w:color w:val="000000" w:themeColor="text1"/>
          <w:kern w:val="2"/>
          <w:szCs w:val="24"/>
          <w:lang w:val="zh-CN"/>
          <w14:textFill>
            <w14:solidFill>
              <w14:schemeClr w14:val="tx1"/>
            </w14:solidFill>
          </w14:textFill>
        </w:rPr>
        <w:t>及主要负责人未被列入"信用中国"网站(www.creditchina.gov.cn)失信被执行人、重大税收违法案件当事人、政府采购严重违法失信行为记录名单（</w:t>
      </w:r>
      <w:r>
        <w:rPr>
          <w:rFonts w:hint="eastAsia" w:ascii="Times New Roman" w:hAnsi="Times New Roman" w:eastAsia="宋体"/>
          <w:color w:val="000000" w:themeColor="text1"/>
          <w:kern w:val="2"/>
          <w:szCs w:val="24"/>
          <w:lang w:val="en-US" w:eastAsia="zh-CN"/>
          <w14:textFill>
            <w14:solidFill>
              <w14:schemeClr w14:val="tx1"/>
            </w14:solidFill>
          </w14:textFill>
        </w:rPr>
        <w:t>投标截止之前20日内网站</w:t>
      </w:r>
      <w:r>
        <w:rPr>
          <w:rFonts w:hint="eastAsia" w:ascii="Times New Roman" w:hAnsi="Times New Roman" w:eastAsia="宋体"/>
          <w:color w:val="000000" w:themeColor="text1"/>
          <w:kern w:val="2"/>
          <w:szCs w:val="24"/>
          <w:lang w:val="hr-HR"/>
          <w14:textFill>
            <w14:solidFill>
              <w14:schemeClr w14:val="tx1"/>
            </w14:solidFill>
          </w14:textFill>
        </w:rPr>
        <w:t>页面</w:t>
      </w:r>
      <w:r>
        <w:rPr>
          <w:rFonts w:hint="eastAsia" w:ascii="Times New Roman" w:hAnsi="Times New Roman" w:eastAsia="宋体"/>
          <w:color w:val="000000" w:themeColor="text1"/>
          <w:kern w:val="2"/>
          <w:szCs w:val="24"/>
          <w:lang w:val="en-US" w:eastAsia="zh-CN"/>
          <w14:textFill>
            <w14:solidFill>
              <w14:schemeClr w14:val="tx1"/>
            </w14:solidFill>
          </w14:textFill>
        </w:rPr>
        <w:t>查询</w:t>
      </w:r>
      <w:r>
        <w:rPr>
          <w:rFonts w:hint="eastAsia" w:ascii="Times New Roman" w:hAnsi="Times New Roman" w:eastAsia="宋体"/>
          <w:color w:val="000000" w:themeColor="text1"/>
          <w:kern w:val="2"/>
          <w:szCs w:val="24"/>
          <w:lang w:val="hr-HR"/>
          <w14:textFill>
            <w14:solidFill>
              <w14:schemeClr w14:val="tx1"/>
            </w14:solidFill>
          </w14:textFill>
        </w:rPr>
        <w:t>截图</w:t>
      </w:r>
      <w:r>
        <w:rPr>
          <w:rFonts w:hint="eastAsia" w:ascii="Times New Roman" w:hAnsi="Times New Roman" w:eastAsia="宋体"/>
          <w:color w:val="000000" w:themeColor="text1"/>
          <w:kern w:val="2"/>
          <w:szCs w:val="24"/>
          <w:lang w:val="zh-CN"/>
          <w14:textFill>
            <w14:solidFill>
              <w14:schemeClr w14:val="tx1"/>
            </w14:solidFill>
          </w14:textFill>
        </w:rPr>
        <w:t>）；</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highlight w:val="none"/>
          <w:lang w:val="zh-CN" w:eastAsia="zh-CN"/>
          <w14:textFill>
            <w14:solidFill>
              <w14:schemeClr w14:val="tx1"/>
            </w14:solidFill>
          </w14:textFill>
        </w:rPr>
      </w:pPr>
      <w:r>
        <w:rPr>
          <w:rFonts w:hint="eastAsia" w:ascii="Times New Roman" w:hAnsi="Times New Roman" w:eastAsia="宋体"/>
          <w:color w:val="000000" w:themeColor="text1"/>
          <w:kern w:val="2"/>
          <w:szCs w:val="24"/>
          <w:highlight w:val="none"/>
          <w14:textFill>
            <w14:solidFill>
              <w14:schemeClr w14:val="tx1"/>
            </w14:solidFill>
          </w14:textFill>
        </w:rPr>
        <w:t>3、特定条件：</w:t>
      </w:r>
      <w:r>
        <w:rPr>
          <w:rFonts w:hint="eastAsia" w:ascii="Times New Roman" w:hAnsi="Times New Roman" w:eastAsia="宋体"/>
          <w:color w:val="000000" w:themeColor="text1"/>
          <w:kern w:val="2"/>
          <w:szCs w:val="24"/>
          <w:highlight w:val="none"/>
          <w:lang w:val="zh-CN"/>
          <w14:textFill>
            <w14:solidFill>
              <w14:schemeClr w14:val="tx1"/>
            </w14:solidFill>
          </w14:textFill>
        </w:rPr>
        <w:br w:type="textWrapping"/>
      </w:r>
      <w:r>
        <w:rPr>
          <w:rFonts w:hint="eastAsia" w:ascii="Times New Roman" w:hAnsi="Times New Roman" w:eastAsia="宋体"/>
          <w:color w:val="000000" w:themeColor="text1"/>
          <w:kern w:val="2"/>
          <w:szCs w:val="24"/>
          <w:highlight w:val="none"/>
          <w:lang w:val="zh-CN"/>
          <w14:textFill>
            <w14:solidFill>
              <w14:schemeClr w14:val="tx1"/>
            </w14:solidFill>
          </w14:textFill>
        </w:rPr>
        <w:t>（</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1</w:t>
      </w:r>
      <w:r>
        <w:rPr>
          <w:rFonts w:hint="eastAsia" w:ascii="Times New Roman" w:hAnsi="Times New Roman" w:eastAsia="宋体"/>
          <w:color w:val="000000" w:themeColor="text1"/>
          <w:kern w:val="2"/>
          <w:szCs w:val="24"/>
          <w:highlight w:val="none"/>
          <w:lang w:val="zh-CN"/>
          <w14:textFill>
            <w14:solidFill>
              <w14:schemeClr w14:val="tx1"/>
            </w14:solidFill>
          </w14:textFill>
        </w:rPr>
        <w:t>）投</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标人须为在中国境内登记注册的、具有独立承担民事责任的法人或其他组织，且具有建设行政</w:t>
      </w:r>
      <w:r>
        <w:rPr>
          <w:rFonts w:hint="eastAsia" w:ascii="Times New Roman" w:hAnsi="Times New Roman" w:eastAsia="宋体"/>
          <w:color w:val="000000" w:themeColor="text1"/>
          <w:kern w:val="2"/>
          <w:szCs w:val="24"/>
          <w:highlight w:val="none"/>
          <w:lang w:val="zh-CN"/>
          <w14:textFill>
            <w14:solidFill>
              <w14:schemeClr w14:val="tx1"/>
            </w14:solidFill>
          </w14:textFill>
        </w:rPr>
        <w:t>主管部门颁发</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的乙级</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及以上</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工程造价咨询资质；</w:t>
      </w:r>
    </w:p>
    <w:p>
      <w:pPr>
        <w:pStyle w:val="23"/>
        <w:widowControl/>
        <w:snapToGrid w:val="0"/>
        <w:spacing w:beforeAutospacing="0" w:afterAutospacing="0" w:line="288" w:lineRule="auto"/>
        <w:ind w:left="226" w:leftChars="104" w:right="-54" w:hanging="8" w:firstLineChars="0"/>
        <w:jc w:val="both"/>
        <w:rPr>
          <w:rFonts w:hint="eastAsia" w:ascii="Times New Roman" w:hAnsi="Times New Roman" w:eastAsia="宋体"/>
          <w:color w:val="000000" w:themeColor="text1"/>
          <w:kern w:val="2"/>
          <w:szCs w:val="24"/>
          <w:highlight w:val="none"/>
          <w:lang w:val="zh-CN"/>
          <w14:textFill>
            <w14:solidFill>
              <w14:schemeClr w14:val="tx1"/>
            </w14:solidFill>
          </w14:textFill>
        </w:rPr>
      </w:pPr>
      <w:r>
        <w:rPr>
          <w:rFonts w:hint="eastAsia" w:ascii="Times New Roman" w:hAnsi="Times New Roman" w:eastAsia="宋体"/>
          <w:color w:val="000000" w:themeColor="text1"/>
          <w:kern w:val="2"/>
          <w:szCs w:val="24"/>
          <w:highlight w:val="none"/>
          <w:lang w:val="zh-CN"/>
          <w14:textFill>
            <w14:solidFill>
              <w14:schemeClr w14:val="tx1"/>
            </w14:solidFill>
          </w14:textFill>
        </w:rPr>
        <w:t>（</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2</w:t>
      </w:r>
      <w:r>
        <w:rPr>
          <w:rFonts w:hint="eastAsia" w:ascii="Times New Roman" w:hAnsi="Times New Roman" w:eastAsia="宋体"/>
          <w:color w:val="000000" w:themeColor="text1"/>
          <w:kern w:val="2"/>
          <w:szCs w:val="24"/>
          <w:highlight w:val="none"/>
          <w:lang w:val="zh-CN"/>
          <w14:textFill>
            <w14:solidFill>
              <w14:schemeClr w14:val="tx1"/>
            </w14:solidFill>
          </w14:textFill>
        </w:rPr>
        <w:t>）投标人拟派本项</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目</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负责人</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要求：</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项目负责人</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具有国家</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一级造价</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师注册执业证书</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及高级职称工程师职称并</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在本单位注册</w:t>
      </w:r>
      <w:r>
        <w:rPr>
          <w:rFonts w:hint="eastAsia" w:ascii="Times New Roman" w:hAnsi="Times New Roman" w:eastAsia="宋体"/>
          <w:color w:val="000000" w:themeColor="text1"/>
          <w:kern w:val="2"/>
          <w:szCs w:val="24"/>
          <w:highlight w:val="none"/>
          <w:lang w:val="zh-CN"/>
          <w14:textFill>
            <w14:solidFill>
              <w14:schemeClr w14:val="tx1"/>
            </w14:solidFill>
          </w14:textFill>
        </w:rPr>
        <w:t>；</w:t>
      </w:r>
    </w:p>
    <w:p>
      <w:pPr>
        <w:pStyle w:val="23"/>
        <w:widowControl/>
        <w:snapToGrid w:val="0"/>
        <w:spacing w:beforeAutospacing="0" w:afterAutospacing="0" w:line="288" w:lineRule="auto"/>
        <w:ind w:right="-54" w:firstLine="240" w:firstLineChars="100"/>
        <w:jc w:val="both"/>
        <w:rPr>
          <w:rFonts w:hint="eastAsia" w:ascii="Times New Roman" w:hAnsi="Times New Roman" w:eastAsia="宋体"/>
          <w:color w:val="000000" w:themeColor="text1"/>
          <w:kern w:val="2"/>
          <w:szCs w:val="24"/>
          <w:highlight w:val="none"/>
          <w:lang w:val="zh-CN"/>
          <w14:textFill>
            <w14:solidFill>
              <w14:schemeClr w14:val="tx1"/>
            </w14:solidFill>
          </w14:textFill>
        </w:rPr>
      </w:pPr>
      <w:r>
        <w:rPr>
          <w:rFonts w:hint="eastAsia" w:ascii="Times New Roman" w:hAnsi="Times New Roman" w:eastAsia="宋体"/>
          <w:color w:val="000000" w:themeColor="text1"/>
          <w:kern w:val="2"/>
          <w:szCs w:val="24"/>
          <w:highlight w:val="none"/>
          <w:lang w:val="zh-CN"/>
          <w14:textFill>
            <w14:solidFill>
              <w14:schemeClr w14:val="tx1"/>
            </w14:solidFill>
          </w14:textFill>
        </w:rPr>
        <w:t>（</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3</w:t>
      </w:r>
      <w:r>
        <w:rPr>
          <w:rFonts w:hint="eastAsia" w:ascii="Times New Roman" w:hAnsi="Times New Roman" w:eastAsia="宋体"/>
          <w:color w:val="000000" w:themeColor="text1"/>
          <w:kern w:val="2"/>
          <w:szCs w:val="24"/>
          <w:highlight w:val="none"/>
          <w:lang w:val="zh-CN"/>
          <w14:textFill>
            <w14:solidFill>
              <w14:schemeClr w14:val="tx1"/>
            </w14:solidFill>
          </w14:textFill>
        </w:rPr>
        <w:t>）投标人须提供近三</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年（201</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9</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、20</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20</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、202</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1</w:t>
      </w:r>
      <w:r>
        <w:rPr>
          <w:rFonts w:hint="eastAsia" w:ascii="Times New Roman" w:hAnsi="Times New Roman" w:eastAsia="宋体"/>
          <w:color w:val="000000" w:themeColor="text1"/>
          <w:kern w:val="2"/>
          <w:szCs w:val="24"/>
          <w:highlight w:val="none"/>
          <w:lang w:val="zh-CN" w:eastAsia="zh-CN"/>
          <w14:textFill>
            <w14:solidFill>
              <w14:schemeClr w14:val="tx1"/>
            </w14:solidFill>
          </w14:textFill>
        </w:rPr>
        <w:t>年度）经</w:t>
      </w:r>
      <w:r>
        <w:rPr>
          <w:rFonts w:hint="eastAsia" w:ascii="Times New Roman" w:hAnsi="Times New Roman" w:eastAsia="宋体"/>
          <w:color w:val="000000" w:themeColor="text1"/>
          <w:kern w:val="2"/>
          <w:szCs w:val="24"/>
          <w:highlight w:val="none"/>
          <w:lang w:val="zh-CN"/>
          <w14:textFill>
            <w14:solidFill>
              <w14:schemeClr w14:val="tx1"/>
            </w14:solidFill>
          </w14:textFill>
        </w:rPr>
        <w:t>会计师事务所或审计机构审计的财务会计报告；</w:t>
      </w:r>
    </w:p>
    <w:p>
      <w:pPr>
        <w:pStyle w:val="23"/>
        <w:widowControl/>
        <w:snapToGrid w:val="0"/>
        <w:spacing w:beforeAutospacing="0" w:afterAutospacing="0" w:line="288" w:lineRule="auto"/>
        <w:ind w:right="-54" w:firstLine="240" w:firstLineChars="100"/>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en-US" w:eastAsia="zh-CN"/>
          <w14:textFill>
            <w14:solidFill>
              <w14:schemeClr w14:val="tx1"/>
            </w14:solidFill>
          </w14:textFill>
        </w:rPr>
        <w:t>4</w:t>
      </w:r>
      <w:r>
        <w:rPr>
          <w:rFonts w:hint="eastAsia" w:ascii="Times New Roman" w:hAnsi="Times New Roman" w:eastAsia="宋体"/>
          <w:color w:val="000000" w:themeColor="text1"/>
          <w:kern w:val="2"/>
          <w:szCs w:val="24"/>
          <w:lang w:val="zh-CN"/>
          <w14:textFill>
            <w14:solidFill>
              <w14:schemeClr w14:val="tx1"/>
            </w14:solidFill>
          </w14:textFill>
        </w:rPr>
        <w:t>）投标人须具备良好信誉，未被责令停业；未被暂停或取消投标资格；财产未被接管或冻结；近三年（从投标截止日往前推算）没有骗取中标或严重违约或重大工程质量问题；</w:t>
      </w:r>
      <w:r>
        <w:rPr>
          <w:rFonts w:hint="eastAsia" w:ascii="Times New Roman" w:hAnsi="Times New Roman" w:eastAsia="宋体"/>
          <w:color w:val="000000" w:themeColor="text1"/>
          <w:kern w:val="2"/>
          <w:szCs w:val="24"/>
          <w:lang w:val="zh-CN"/>
          <w14:textFill>
            <w14:solidFill>
              <w14:schemeClr w14:val="tx1"/>
            </w14:solidFill>
          </w14:textFill>
        </w:rPr>
        <w:br w:type="textWrapping"/>
      </w:r>
      <w:r>
        <w:rPr>
          <w:rFonts w:hint="eastAsia" w:ascii="Times New Roman" w:hAnsi="Times New Roman" w:eastAsia="宋体"/>
          <w:color w:val="000000" w:themeColor="text1"/>
          <w:kern w:val="2"/>
          <w:szCs w:val="24"/>
          <w:lang w:val="en-US" w:eastAsia="zh-CN"/>
          <w14:textFill>
            <w14:solidFill>
              <w14:schemeClr w14:val="tx1"/>
            </w14:solidFill>
          </w14:textFill>
        </w:rPr>
        <w:t xml:space="preserve">  </w:t>
      </w: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en-US" w:eastAsia="zh-CN"/>
          <w14:textFill>
            <w14:solidFill>
              <w14:schemeClr w14:val="tx1"/>
            </w14:solidFill>
          </w14:textFill>
        </w:rPr>
        <w:t>5</w:t>
      </w:r>
      <w:r>
        <w:rPr>
          <w:rFonts w:hint="eastAsia" w:ascii="Times New Roman" w:hAnsi="Times New Roman" w:eastAsia="宋体"/>
          <w:color w:val="000000" w:themeColor="text1"/>
          <w:kern w:val="2"/>
          <w:szCs w:val="24"/>
          <w:lang w:val="zh-CN"/>
          <w14:textFill>
            <w14:solidFill>
              <w14:schemeClr w14:val="tx1"/>
            </w14:solidFill>
          </w14:textFill>
        </w:rPr>
        <w:t>）投标人须提供</w:t>
      </w:r>
      <w:r>
        <w:rPr>
          <w:rFonts w:hint="eastAsia" w:ascii="Times New Roman" w:hAnsi="Times New Roman" w:eastAsia="宋体"/>
          <w:color w:val="000000" w:themeColor="text1"/>
          <w:kern w:val="2"/>
          <w:szCs w:val="24"/>
          <w14:textFill>
            <w14:solidFill>
              <w14:schemeClr w14:val="tx1"/>
            </w14:solidFill>
          </w14:textFill>
        </w:rPr>
        <w:t>投标人</w:t>
      </w: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14:textFill>
            <w14:solidFill>
              <w14:schemeClr w14:val="tx1"/>
            </w14:solidFill>
          </w14:textFill>
        </w:rPr>
        <w:t>投标人</w:t>
      </w:r>
      <w:r>
        <w:rPr>
          <w:rFonts w:hint="eastAsia" w:ascii="Times New Roman" w:hAnsi="Times New Roman" w:eastAsia="宋体"/>
          <w:color w:val="000000" w:themeColor="text1"/>
          <w:kern w:val="2"/>
          <w:szCs w:val="24"/>
          <w:lang w:val="zh-CN"/>
          <w14:textFill>
            <w14:solidFill>
              <w14:schemeClr w14:val="tx1"/>
            </w14:solidFill>
          </w14:textFill>
        </w:rPr>
        <w:t>法定代表人、拟派本项目的</w:t>
      </w:r>
      <w:r>
        <w:rPr>
          <w:rFonts w:hint="eastAsia" w:ascii="Times New Roman" w:hAnsi="Times New Roman" w:eastAsia="宋体"/>
          <w:color w:val="000000" w:themeColor="text1"/>
          <w:kern w:val="2"/>
          <w:szCs w:val="24"/>
          <w:lang w:val="en-US" w:eastAsia="zh-CN"/>
          <w14:textFill>
            <w14:solidFill>
              <w14:schemeClr w14:val="tx1"/>
            </w14:solidFill>
          </w14:textFill>
        </w:rPr>
        <w:t>项目负责人</w:t>
      </w:r>
      <w:r>
        <w:rPr>
          <w:rFonts w:hint="eastAsia" w:ascii="Times New Roman" w:hAnsi="Times New Roman" w:eastAsia="宋体"/>
          <w:color w:val="000000" w:themeColor="text1"/>
          <w:kern w:val="2"/>
          <w:szCs w:val="24"/>
          <w:lang w:val="zh-CN"/>
          <w14:textFill>
            <w14:solidFill>
              <w14:schemeClr w14:val="tx1"/>
            </w14:solidFill>
          </w14:textFill>
        </w:rPr>
        <w:t>的无行贿犯罪记录的承诺或声明；</w:t>
      </w:r>
    </w:p>
    <w:p>
      <w:pPr>
        <w:pStyle w:val="23"/>
        <w:widowControl/>
        <w:snapToGrid w:val="0"/>
        <w:spacing w:beforeAutospacing="0" w:afterAutospacing="0" w:line="288" w:lineRule="auto"/>
        <w:ind w:right="-54" w:firstLine="240" w:firstLineChars="100"/>
        <w:jc w:val="both"/>
        <w:rPr>
          <w:rFonts w:hint="eastAsia" w:ascii="Times New Roman" w:hAnsi="Times New Roman" w:eastAsia="宋体"/>
          <w:color w:val="000000" w:themeColor="text1"/>
          <w:kern w:val="2"/>
          <w:szCs w:val="24"/>
          <w:lang w:val="en-US" w:eastAsia="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en-US" w:eastAsia="zh-CN"/>
          <w14:textFill>
            <w14:solidFill>
              <w14:schemeClr w14:val="tx1"/>
            </w14:solidFill>
          </w14:textFill>
        </w:rPr>
        <w:t>6</w:t>
      </w:r>
      <w:r>
        <w:rPr>
          <w:rFonts w:hint="eastAsia" w:ascii="Times New Roman" w:hAnsi="Times New Roman" w:eastAsia="宋体"/>
          <w:color w:val="000000" w:themeColor="text1"/>
          <w:kern w:val="2"/>
          <w:szCs w:val="24"/>
          <w:lang w:val="zh-CN"/>
          <w14:textFill>
            <w14:solidFill>
              <w14:schemeClr w14:val="tx1"/>
            </w14:solidFill>
          </w14:textFill>
        </w:rPr>
        <w:t>）投标人须提供投标人、投标人法定代表人、拟派本项目的</w:t>
      </w:r>
      <w:r>
        <w:rPr>
          <w:rFonts w:hint="eastAsia" w:ascii="Times New Roman" w:hAnsi="Times New Roman" w:eastAsia="宋体"/>
          <w:color w:val="000000" w:themeColor="text1"/>
          <w:kern w:val="2"/>
          <w:szCs w:val="24"/>
          <w:lang w:val="en-US" w:eastAsia="zh-CN"/>
          <w14:textFill>
            <w14:solidFill>
              <w14:schemeClr w14:val="tx1"/>
            </w14:solidFill>
          </w14:textFill>
        </w:rPr>
        <w:t>项目负责人等主要人员的近6个月的社保证明及劳动合同；</w:t>
      </w:r>
    </w:p>
    <w:p>
      <w:pPr>
        <w:pStyle w:val="23"/>
        <w:widowControl/>
        <w:snapToGrid w:val="0"/>
        <w:spacing w:beforeAutospacing="0" w:afterAutospacing="0" w:line="288" w:lineRule="auto"/>
        <w:ind w:right="-54" w:firstLine="240" w:firstLineChars="100"/>
        <w:jc w:val="both"/>
        <w:rPr>
          <w:rFonts w:hint="default" w:ascii="Times New Roman" w:hAnsi="Times New Roman" w:eastAsia="宋体"/>
          <w:color w:val="000000" w:themeColor="text1"/>
          <w:kern w:val="2"/>
          <w:szCs w:val="24"/>
          <w:lang w:val="en-US" w:eastAsia="zh-CN"/>
          <w14:textFill>
            <w14:solidFill>
              <w14:schemeClr w14:val="tx1"/>
            </w14:solidFill>
          </w14:textFill>
        </w:rPr>
      </w:pPr>
      <w:r>
        <w:rPr>
          <w:rFonts w:hint="eastAsia" w:ascii="Times New Roman" w:hAnsi="Times New Roman" w:eastAsia="宋体"/>
          <w:color w:val="000000" w:themeColor="text1"/>
          <w:kern w:val="2"/>
          <w:szCs w:val="24"/>
          <w:lang w:val="zh-CN" w:eastAsia="zh-CN"/>
          <w14:textFill>
            <w14:solidFill>
              <w14:schemeClr w14:val="tx1"/>
            </w14:solidFill>
          </w14:textFill>
        </w:rPr>
        <w:t>（</w:t>
      </w:r>
      <w:r>
        <w:rPr>
          <w:rFonts w:hint="eastAsia" w:ascii="Times New Roman" w:hAnsi="Times New Roman" w:eastAsia="宋体"/>
          <w:color w:val="000000" w:themeColor="text1"/>
          <w:kern w:val="2"/>
          <w:szCs w:val="24"/>
          <w:lang w:val="en-US" w:eastAsia="zh-CN"/>
          <w14:textFill>
            <w14:solidFill>
              <w14:schemeClr w14:val="tx1"/>
            </w14:solidFill>
          </w14:textFill>
        </w:rPr>
        <w:t>7</w:t>
      </w:r>
      <w:r>
        <w:rPr>
          <w:rFonts w:hint="eastAsia" w:ascii="Times New Roman" w:hAnsi="Times New Roman" w:eastAsia="宋体"/>
          <w:color w:val="000000" w:themeColor="text1"/>
          <w:kern w:val="2"/>
          <w:szCs w:val="24"/>
          <w:lang w:val="zh-CN" w:eastAsia="zh-CN"/>
          <w14:textFill>
            <w14:solidFill>
              <w14:schemeClr w14:val="tx1"/>
            </w14:solidFill>
          </w14:textFill>
        </w:rPr>
        <w:t>）投标人须</w:t>
      </w:r>
      <w:r>
        <w:rPr>
          <w:rFonts w:hint="eastAsia" w:ascii="Times New Roman" w:hAnsi="Times New Roman" w:eastAsia="宋体"/>
          <w:color w:val="000000" w:themeColor="text1"/>
          <w:kern w:val="2"/>
          <w:szCs w:val="24"/>
          <w:lang w:val="en-US" w:eastAsia="zh-CN"/>
          <w14:textFill>
            <w14:solidFill>
              <w14:schemeClr w14:val="tx1"/>
            </w14:solidFill>
          </w14:textFill>
        </w:rPr>
        <w:t>提供编制的清单及招标控制价符合GB50500-2013清单计价规范要求声明；项目负责人及主要项目管理人员进驻现场承诺声明；项目成果文件保密承诺声明（成果文件只提供委托方主要负责人）。</w:t>
      </w:r>
    </w:p>
    <w:p>
      <w:pPr>
        <w:pStyle w:val="23"/>
        <w:widowControl/>
        <w:snapToGrid w:val="0"/>
        <w:spacing w:beforeAutospacing="0" w:afterAutospacing="0" w:line="288" w:lineRule="auto"/>
        <w:ind w:right="330" w:firstLine="240" w:firstLineChars="100"/>
        <w:jc w:val="both"/>
        <w:rPr>
          <w:rFonts w:ascii="宋体" w:hAnsi="宋体" w:cs="宋体"/>
          <w:b/>
          <w:szCs w:val="24"/>
          <w:lang w:val="hr-HR"/>
        </w:rPr>
      </w:pPr>
      <w:r>
        <w:rPr>
          <w:rFonts w:hint="eastAsia" w:ascii="宋体" w:hAnsi="宋体" w:cs="宋体"/>
          <w:b/>
          <w:szCs w:val="24"/>
          <w:lang w:val="hr-HR"/>
        </w:rPr>
        <w:t>三、获取招标文件</w:t>
      </w:r>
    </w:p>
    <w:p>
      <w:pPr>
        <w:pStyle w:val="23"/>
        <w:widowControl/>
        <w:snapToGrid w:val="0"/>
        <w:spacing w:beforeAutospacing="0" w:afterAutospacing="0" w:line="288" w:lineRule="auto"/>
        <w:ind w:left="330" w:right="330"/>
        <w:jc w:val="both"/>
        <w:rPr>
          <w:rFonts w:ascii="宋体" w:hAnsi="宋体"/>
          <w:szCs w:val="24"/>
          <w:highlight w:val="yellow"/>
        </w:rPr>
      </w:pPr>
      <w:r>
        <w:rPr>
          <w:rFonts w:hint="eastAsia" w:ascii="宋体" w:hAnsi="宋体"/>
          <w:szCs w:val="24"/>
        </w:rPr>
        <w:t>本项目实行网上下载标书，招标文件与本招标公告同时</w:t>
      </w:r>
      <w:r>
        <w:rPr>
          <w:rFonts w:hint="eastAsia"/>
          <w:szCs w:val="24"/>
        </w:rPr>
        <w:t>在</w:t>
      </w:r>
      <w:r>
        <w:rPr>
          <w:rFonts w:hint="eastAsia"/>
          <w:szCs w:val="24"/>
          <w:lang w:eastAsia="zh-CN"/>
        </w:rPr>
        <w:t>“</w:t>
      </w:r>
      <w:r>
        <w:rPr>
          <w:rFonts w:hint="eastAsia"/>
          <w:szCs w:val="24"/>
          <w:lang w:val="en-US" w:eastAsia="zh-CN"/>
        </w:rPr>
        <w:t>湖北政府采购网</w:t>
      </w:r>
      <w:r>
        <w:rPr>
          <w:rFonts w:hint="eastAsia"/>
          <w:szCs w:val="24"/>
          <w:lang w:eastAsia="zh-CN"/>
        </w:rPr>
        <w:t>”“</w:t>
      </w:r>
      <w:r>
        <w:rPr>
          <w:rFonts w:hint="eastAsia"/>
          <w:szCs w:val="24"/>
        </w:rPr>
        <w:t>黄石市公共资源交易信息网”及“阳新县人民政府网”</w:t>
      </w:r>
      <w:r>
        <w:rPr>
          <w:rFonts w:hint="eastAsia" w:ascii="宋体" w:hAnsi="宋体"/>
          <w:szCs w:val="24"/>
        </w:rPr>
        <w:t>发布（见招标文件下载），凡自愿参加本项目投标者，请于</w:t>
      </w:r>
      <w:r>
        <w:rPr>
          <w:rFonts w:hint="eastAsia" w:ascii="宋体" w:hAnsi="宋体"/>
          <w:szCs w:val="24"/>
          <w:highlight w:val="none"/>
        </w:rPr>
        <w:t>2022年</w:t>
      </w:r>
      <w:r>
        <w:rPr>
          <w:rFonts w:hint="eastAsia" w:ascii="宋体" w:hAnsi="宋体"/>
          <w:szCs w:val="24"/>
          <w:highlight w:val="none"/>
          <w:lang w:val="en-US" w:eastAsia="zh-CN"/>
        </w:rPr>
        <w:t>03</w:t>
      </w:r>
      <w:r>
        <w:rPr>
          <w:rFonts w:hint="eastAsia" w:ascii="宋体" w:hAnsi="宋体"/>
          <w:szCs w:val="24"/>
          <w:highlight w:val="none"/>
        </w:rPr>
        <w:t>月</w:t>
      </w:r>
      <w:r>
        <w:rPr>
          <w:rFonts w:hint="eastAsia" w:ascii="宋体" w:hAnsi="宋体"/>
          <w:szCs w:val="24"/>
          <w:highlight w:val="none"/>
          <w:lang w:val="en-US" w:eastAsia="zh-CN"/>
        </w:rPr>
        <w:t>29</w:t>
      </w:r>
      <w:r>
        <w:rPr>
          <w:rFonts w:hint="eastAsia" w:ascii="宋体" w:hAnsi="宋体"/>
          <w:szCs w:val="24"/>
          <w:highlight w:val="none"/>
        </w:rPr>
        <w:t>日至2022年</w:t>
      </w:r>
      <w:r>
        <w:rPr>
          <w:rFonts w:hint="eastAsia" w:ascii="宋体" w:hAnsi="宋体"/>
          <w:szCs w:val="24"/>
          <w:highlight w:val="none"/>
          <w:lang w:val="en-US" w:eastAsia="zh-CN"/>
        </w:rPr>
        <w:t>4</w:t>
      </w:r>
      <w:r>
        <w:rPr>
          <w:rFonts w:hint="eastAsia" w:ascii="宋体" w:hAnsi="宋体"/>
          <w:szCs w:val="24"/>
          <w:highlight w:val="none"/>
        </w:rPr>
        <w:t>月</w:t>
      </w:r>
      <w:r>
        <w:rPr>
          <w:rFonts w:hint="eastAsia" w:ascii="宋体" w:hAnsi="宋体"/>
          <w:szCs w:val="24"/>
          <w:highlight w:val="none"/>
          <w:lang w:val="en-US" w:eastAsia="zh-CN"/>
        </w:rPr>
        <w:t>06</w:t>
      </w:r>
      <w:r>
        <w:rPr>
          <w:rFonts w:hint="eastAsia" w:ascii="宋体" w:hAnsi="宋体"/>
          <w:szCs w:val="24"/>
          <w:highlight w:val="none"/>
        </w:rPr>
        <w:t>日17时30分前点击项目招标公告中的链接下载招标文件，并在投标截止时间前递交投标文件。</w:t>
      </w:r>
    </w:p>
    <w:p>
      <w:pPr>
        <w:pStyle w:val="23"/>
        <w:widowControl/>
        <w:snapToGrid w:val="0"/>
        <w:spacing w:beforeAutospacing="0" w:afterAutospacing="0" w:line="288" w:lineRule="auto"/>
        <w:ind w:left="330"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四、提交投标文件截止时间、开标时间和地点</w:t>
      </w:r>
    </w:p>
    <w:p>
      <w:pPr>
        <w:pStyle w:val="23"/>
        <w:widowControl/>
        <w:snapToGrid w:val="0"/>
        <w:spacing w:beforeAutospacing="0" w:afterAutospacing="0" w:line="288" w:lineRule="auto"/>
        <w:ind w:left="330" w:right="330"/>
        <w:jc w:val="both"/>
        <w:rPr>
          <w:rFonts w:ascii="Times New Roman" w:hAnsi="Times New Roman" w:eastAsia="宋体"/>
          <w:color w:val="000000" w:themeColor="text1"/>
          <w:kern w:val="2"/>
          <w:szCs w:val="24"/>
          <w:highlight w:val="none"/>
          <w:lang w:val="hr-HR"/>
          <w14:textFill>
            <w14:solidFill>
              <w14:schemeClr w14:val="tx1"/>
            </w14:solidFill>
          </w14:textFill>
        </w:rPr>
      </w:pPr>
      <w:r>
        <w:rPr>
          <w:rFonts w:hint="eastAsia" w:ascii="Times New Roman" w:hAnsi="Times New Roman" w:eastAsia="宋体"/>
          <w:color w:val="000000" w:themeColor="text1"/>
          <w:kern w:val="2"/>
          <w:szCs w:val="24"/>
          <w:highlight w:val="none"/>
          <w:lang w:val="hr-HR"/>
          <w14:textFill>
            <w14:solidFill>
              <w14:schemeClr w14:val="tx1"/>
            </w14:solidFill>
          </w14:textFill>
        </w:rPr>
        <w:t>1、开始时间：202</w:t>
      </w:r>
      <w:r>
        <w:rPr>
          <w:rFonts w:hint="eastAsia" w:ascii="Times New Roman" w:hAnsi="Times New Roman" w:eastAsia="宋体"/>
          <w:color w:val="000000" w:themeColor="text1"/>
          <w:kern w:val="2"/>
          <w:szCs w:val="24"/>
          <w:highlight w:val="none"/>
          <w14:textFill>
            <w14:solidFill>
              <w14:schemeClr w14:val="tx1"/>
            </w14:solidFill>
          </w14:textFill>
        </w:rPr>
        <w:t>2</w:t>
      </w:r>
      <w:r>
        <w:rPr>
          <w:rFonts w:hint="eastAsia" w:ascii="Times New Roman" w:hAnsi="Times New Roman" w:eastAsia="宋体"/>
          <w:color w:val="000000" w:themeColor="text1"/>
          <w:kern w:val="2"/>
          <w:szCs w:val="24"/>
          <w:highlight w:val="none"/>
          <w:lang w:val="hr-HR"/>
          <w14:textFill>
            <w14:solidFill>
              <w14:schemeClr w14:val="tx1"/>
            </w14:solidFill>
          </w14:textFill>
        </w:rPr>
        <w:t>年</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4</w:t>
      </w:r>
      <w:r>
        <w:rPr>
          <w:rFonts w:hint="eastAsia" w:ascii="Times New Roman" w:hAnsi="Times New Roman" w:eastAsia="宋体"/>
          <w:color w:val="000000" w:themeColor="text1"/>
          <w:kern w:val="2"/>
          <w:szCs w:val="24"/>
          <w:highlight w:val="none"/>
          <w:lang w:val="hr-HR"/>
          <w14:textFill>
            <w14:solidFill>
              <w14:schemeClr w14:val="tx1"/>
            </w14:solidFill>
          </w14:textFill>
        </w:rPr>
        <w:t>月</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20</w:t>
      </w:r>
      <w:r>
        <w:rPr>
          <w:rFonts w:hint="eastAsia" w:ascii="Times New Roman" w:hAnsi="Times New Roman" w:eastAsia="宋体"/>
          <w:color w:val="000000" w:themeColor="text1"/>
          <w:kern w:val="2"/>
          <w:szCs w:val="24"/>
          <w:highlight w:val="none"/>
          <w:lang w:val="hr-HR"/>
          <w14:textFill>
            <w14:solidFill>
              <w14:schemeClr w14:val="tx1"/>
            </w14:solidFill>
          </w14:textFill>
        </w:rPr>
        <w:t>日</w:t>
      </w:r>
      <w:r>
        <w:rPr>
          <w:rFonts w:hint="eastAsia" w:ascii="Times New Roman" w:hAnsi="Times New Roman" w:eastAsia="宋体"/>
          <w:color w:val="000000" w:themeColor="text1"/>
          <w:kern w:val="2"/>
          <w:szCs w:val="24"/>
          <w:highlight w:val="none"/>
          <w14:textFill>
            <w14:solidFill>
              <w14:schemeClr w14:val="tx1"/>
            </w14:solidFill>
          </w14:textFill>
        </w:rPr>
        <w:t>8</w:t>
      </w:r>
      <w:r>
        <w:rPr>
          <w:rFonts w:hint="eastAsia" w:ascii="Times New Roman" w:hAnsi="Times New Roman" w:eastAsia="宋体"/>
          <w:color w:val="000000" w:themeColor="text1"/>
          <w:kern w:val="2"/>
          <w:szCs w:val="24"/>
          <w:highlight w:val="none"/>
          <w:lang w:val="hr-HR"/>
          <w14:textFill>
            <w14:solidFill>
              <w14:schemeClr w14:val="tx1"/>
            </w14:solidFill>
          </w14:textFill>
        </w:rPr>
        <w:t>点</w:t>
      </w:r>
      <w:r>
        <w:rPr>
          <w:rFonts w:hint="eastAsia" w:ascii="Times New Roman" w:hAnsi="Times New Roman" w:eastAsia="宋体"/>
          <w:color w:val="000000" w:themeColor="text1"/>
          <w:kern w:val="2"/>
          <w:szCs w:val="24"/>
          <w:highlight w:val="none"/>
          <w14:textFill>
            <w14:solidFill>
              <w14:schemeClr w14:val="tx1"/>
            </w14:solidFill>
          </w14:textFill>
        </w:rPr>
        <w:t>30</w:t>
      </w:r>
      <w:r>
        <w:rPr>
          <w:rFonts w:hint="eastAsia" w:ascii="Times New Roman" w:hAnsi="Times New Roman" w:eastAsia="宋体"/>
          <w:color w:val="000000" w:themeColor="text1"/>
          <w:kern w:val="2"/>
          <w:szCs w:val="24"/>
          <w:highlight w:val="none"/>
          <w:lang w:val="hr-HR"/>
          <w14:textFill>
            <w14:solidFill>
              <w14:schemeClr w14:val="tx1"/>
            </w14:solidFill>
          </w14:textFill>
        </w:rPr>
        <w:t>分（北京时间）</w:t>
      </w:r>
    </w:p>
    <w:p>
      <w:pPr>
        <w:pStyle w:val="23"/>
        <w:widowControl/>
        <w:snapToGrid w:val="0"/>
        <w:spacing w:beforeAutospacing="0" w:afterAutospacing="0" w:line="288" w:lineRule="auto"/>
        <w:ind w:left="330" w:right="330"/>
        <w:jc w:val="both"/>
        <w:rPr>
          <w:rFonts w:ascii="Times New Roman" w:hAnsi="Times New Roman" w:eastAsia="宋体"/>
          <w:color w:val="000000" w:themeColor="text1"/>
          <w:kern w:val="2"/>
          <w:szCs w:val="24"/>
          <w:highlight w:val="none"/>
          <w:lang w:val="hr-HR"/>
          <w14:textFill>
            <w14:solidFill>
              <w14:schemeClr w14:val="tx1"/>
            </w14:solidFill>
          </w14:textFill>
        </w:rPr>
      </w:pPr>
      <w:r>
        <w:rPr>
          <w:rFonts w:hint="eastAsia" w:ascii="Times New Roman" w:hAnsi="Times New Roman" w:eastAsia="宋体"/>
          <w:color w:val="000000" w:themeColor="text1"/>
          <w:kern w:val="2"/>
          <w:szCs w:val="24"/>
          <w:highlight w:val="none"/>
          <w:lang w:val="hr-HR"/>
          <w14:textFill>
            <w14:solidFill>
              <w14:schemeClr w14:val="tx1"/>
            </w14:solidFill>
          </w14:textFill>
        </w:rPr>
        <w:t>2、截止时间：202</w:t>
      </w:r>
      <w:r>
        <w:rPr>
          <w:rFonts w:hint="eastAsia" w:ascii="Times New Roman" w:hAnsi="Times New Roman" w:eastAsia="宋体"/>
          <w:color w:val="000000" w:themeColor="text1"/>
          <w:kern w:val="2"/>
          <w:szCs w:val="24"/>
          <w:highlight w:val="none"/>
          <w14:textFill>
            <w14:solidFill>
              <w14:schemeClr w14:val="tx1"/>
            </w14:solidFill>
          </w14:textFill>
        </w:rPr>
        <w:t>2</w:t>
      </w:r>
      <w:r>
        <w:rPr>
          <w:rFonts w:hint="eastAsia" w:ascii="Times New Roman" w:hAnsi="Times New Roman" w:eastAsia="宋体"/>
          <w:color w:val="000000" w:themeColor="text1"/>
          <w:kern w:val="2"/>
          <w:szCs w:val="24"/>
          <w:highlight w:val="none"/>
          <w:lang w:val="hr-HR"/>
          <w14:textFill>
            <w14:solidFill>
              <w14:schemeClr w14:val="tx1"/>
            </w14:solidFill>
          </w14:textFill>
        </w:rPr>
        <w:t>年</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4</w:t>
      </w:r>
      <w:r>
        <w:rPr>
          <w:rFonts w:hint="eastAsia" w:ascii="Times New Roman" w:hAnsi="Times New Roman" w:eastAsia="宋体"/>
          <w:color w:val="000000" w:themeColor="text1"/>
          <w:kern w:val="2"/>
          <w:szCs w:val="24"/>
          <w:highlight w:val="none"/>
          <w:lang w:val="hr-HR"/>
          <w14:textFill>
            <w14:solidFill>
              <w14:schemeClr w14:val="tx1"/>
            </w14:solidFill>
          </w14:textFill>
        </w:rPr>
        <w:t>月</w:t>
      </w:r>
      <w:r>
        <w:rPr>
          <w:rFonts w:hint="eastAsia" w:ascii="Times New Roman" w:hAnsi="Times New Roman" w:eastAsia="宋体"/>
          <w:color w:val="000000" w:themeColor="text1"/>
          <w:kern w:val="2"/>
          <w:szCs w:val="24"/>
          <w:highlight w:val="none"/>
          <w:lang w:val="en-US" w:eastAsia="zh-CN"/>
          <w14:textFill>
            <w14:solidFill>
              <w14:schemeClr w14:val="tx1"/>
            </w14:solidFill>
          </w14:textFill>
        </w:rPr>
        <w:t>20</w:t>
      </w:r>
      <w:r>
        <w:rPr>
          <w:rFonts w:hint="eastAsia" w:ascii="Times New Roman" w:hAnsi="Times New Roman" w:eastAsia="宋体"/>
          <w:color w:val="000000" w:themeColor="text1"/>
          <w:kern w:val="2"/>
          <w:szCs w:val="24"/>
          <w:highlight w:val="none"/>
          <w:lang w:val="hr-HR"/>
          <w14:textFill>
            <w14:solidFill>
              <w14:schemeClr w14:val="tx1"/>
            </w14:solidFill>
          </w14:textFill>
        </w:rPr>
        <w:t>日</w:t>
      </w:r>
      <w:r>
        <w:rPr>
          <w:rFonts w:hint="eastAsia" w:ascii="Times New Roman" w:hAnsi="Times New Roman" w:eastAsia="宋体"/>
          <w:color w:val="000000" w:themeColor="text1"/>
          <w:kern w:val="2"/>
          <w:szCs w:val="24"/>
          <w:highlight w:val="none"/>
          <w14:textFill>
            <w14:solidFill>
              <w14:schemeClr w14:val="tx1"/>
            </w14:solidFill>
          </w14:textFill>
        </w:rPr>
        <w:t>9</w:t>
      </w:r>
      <w:r>
        <w:rPr>
          <w:rFonts w:hint="eastAsia" w:ascii="Times New Roman" w:hAnsi="Times New Roman" w:eastAsia="宋体"/>
          <w:color w:val="000000" w:themeColor="text1"/>
          <w:kern w:val="2"/>
          <w:szCs w:val="24"/>
          <w:highlight w:val="none"/>
          <w:lang w:val="hr-HR"/>
          <w14:textFill>
            <w14:solidFill>
              <w14:schemeClr w14:val="tx1"/>
            </w14:solidFill>
          </w14:textFill>
        </w:rPr>
        <w:t>点</w:t>
      </w:r>
      <w:r>
        <w:rPr>
          <w:rFonts w:hint="eastAsia" w:ascii="Times New Roman" w:hAnsi="Times New Roman" w:eastAsia="宋体"/>
          <w:color w:val="000000" w:themeColor="text1"/>
          <w:kern w:val="2"/>
          <w:szCs w:val="24"/>
          <w:highlight w:val="none"/>
          <w14:textFill>
            <w14:solidFill>
              <w14:schemeClr w14:val="tx1"/>
            </w14:solidFill>
          </w14:textFill>
        </w:rPr>
        <w:t>00</w:t>
      </w:r>
      <w:r>
        <w:rPr>
          <w:rFonts w:hint="eastAsia" w:ascii="Times New Roman" w:hAnsi="Times New Roman" w:eastAsia="宋体"/>
          <w:color w:val="000000" w:themeColor="text1"/>
          <w:kern w:val="2"/>
          <w:szCs w:val="24"/>
          <w:highlight w:val="none"/>
          <w:lang w:val="hr-HR"/>
          <w14:textFill>
            <w14:solidFill>
              <w14:schemeClr w14:val="tx1"/>
            </w14:solidFill>
          </w14:textFill>
        </w:rPr>
        <w:t>分（北京时间）</w:t>
      </w:r>
    </w:p>
    <w:p>
      <w:pPr>
        <w:pStyle w:val="23"/>
        <w:widowControl/>
        <w:snapToGrid w:val="0"/>
        <w:spacing w:beforeAutospacing="0" w:afterAutospacing="0" w:line="288" w:lineRule="auto"/>
        <w:ind w:left="329" w:right="329"/>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3、地点：阳新县公共资源交易中心二楼开标二厅</w:t>
      </w:r>
    </w:p>
    <w:p>
      <w:pPr>
        <w:pStyle w:val="23"/>
        <w:widowControl/>
        <w:snapToGrid w:val="0"/>
        <w:spacing w:beforeAutospacing="0" w:afterAutospacing="0" w:line="288" w:lineRule="auto"/>
        <w:ind w:left="330"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五、公告期限</w:t>
      </w:r>
    </w:p>
    <w:p>
      <w:pPr>
        <w:pStyle w:val="23"/>
        <w:widowControl/>
        <w:snapToGrid w:val="0"/>
        <w:spacing w:beforeAutospacing="0" w:afterAutospacing="0" w:line="288" w:lineRule="auto"/>
        <w:ind w:left="329" w:right="329"/>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自本公告发布之日起5个工作日。</w:t>
      </w:r>
    </w:p>
    <w:p>
      <w:pPr>
        <w:pStyle w:val="23"/>
        <w:widowControl/>
        <w:snapToGrid w:val="0"/>
        <w:spacing w:beforeAutospacing="0" w:afterAutospacing="0" w:line="288" w:lineRule="auto"/>
        <w:ind w:left="330"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六、其他补充事宜</w:t>
      </w:r>
    </w:p>
    <w:p>
      <w:pPr>
        <w:snapToGrid w:val="0"/>
        <w:spacing w:line="288"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lang w:val="hr-HR"/>
          <w14:textFill>
            <w14:solidFill>
              <w14:schemeClr w14:val="tx1"/>
            </w14:solidFill>
          </w14:textFill>
        </w:rPr>
        <w:t>政府采购相关政策执行：落实政府采购强制、优先采购节能产品政策；政府采购优先采购环保产品政策；政府采购促进中小企业发展（监狱企业、残疾人福利性单位视同小微企业）等政策</w:t>
      </w:r>
      <w:r>
        <w:rPr>
          <w:rFonts w:hint="eastAsia" w:ascii="Times New Roman" w:hAnsi="Times New Roman" w:eastAsia="宋体" w:cs="Times New Roman"/>
          <w:color w:val="000000" w:themeColor="text1"/>
          <w:sz w:val="24"/>
          <w:szCs w:val="24"/>
          <w14:textFill>
            <w14:solidFill>
              <w14:schemeClr w14:val="tx1"/>
            </w14:solidFill>
          </w14:textFill>
        </w:rPr>
        <w:t>。</w:t>
      </w:r>
    </w:p>
    <w:p>
      <w:pPr>
        <w:snapToGrid w:val="0"/>
        <w:spacing w:line="288"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lang w:val="hr-HR"/>
          <w14:textFill>
            <w14:solidFill>
              <w14:schemeClr w14:val="tx1"/>
            </w14:solidFill>
          </w14:textFill>
        </w:rPr>
        <w:t>是否专门面向监狱企业、残疾人福利性单位：</w:t>
      </w:r>
      <w:r>
        <w:rPr>
          <w:rFonts w:hint="eastAsia" w:ascii="Times New Roman" w:hAnsi="Times New Roman" w:eastAsia="宋体" w:cs="Times New Roman"/>
          <w:color w:val="000000" w:themeColor="text1"/>
          <w:sz w:val="24"/>
          <w:szCs w:val="24"/>
          <w14:textFill>
            <w14:solidFill>
              <w14:schemeClr w14:val="tx1"/>
            </w14:solidFill>
          </w14:textFill>
        </w:rPr>
        <w:t>否</w:t>
      </w:r>
      <w:r>
        <w:rPr>
          <w:rFonts w:hint="eastAsia" w:ascii="Times New Roman" w:hAnsi="Times New Roman" w:eastAsia="宋体" w:cs="Times New Roman"/>
          <w:color w:val="000000" w:themeColor="text1"/>
          <w:sz w:val="24"/>
          <w:szCs w:val="24"/>
          <w:lang w:val="hr-HR"/>
          <w14:textFill>
            <w14:solidFill>
              <w14:schemeClr w14:val="tx1"/>
            </w14:solidFill>
          </w14:textFill>
        </w:rPr>
        <w:t>。</w:t>
      </w:r>
    </w:p>
    <w:p>
      <w:pPr>
        <w:snapToGrid w:val="0"/>
        <w:spacing w:line="288"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hint="eastAsia" w:ascii="Times New Roman" w:hAnsi="Times New Roman" w:eastAsia="宋体" w:cs="Times New Roman"/>
          <w:color w:val="000000" w:themeColor="text1"/>
          <w:sz w:val="24"/>
          <w:szCs w:val="24"/>
          <w:lang w:val="hr-HR"/>
          <w14:textFill>
            <w14:solidFill>
              <w14:schemeClr w14:val="tx1"/>
            </w14:solidFill>
          </w14:textFill>
        </w:rPr>
        <w:t>投标人认为招标文件、招标过程和中标结果使自己的权益受到损害的，可以在知道或者应知其权益受到损害之日起7个工作日内向采购人或</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采购中心</w:t>
      </w:r>
      <w:r>
        <w:rPr>
          <w:rFonts w:hint="eastAsia" w:ascii="Times New Roman" w:hAnsi="Times New Roman" w:eastAsia="宋体" w:cs="Times New Roman"/>
          <w:color w:val="000000" w:themeColor="text1"/>
          <w:sz w:val="24"/>
          <w:szCs w:val="24"/>
          <w:lang w:val="hr-HR"/>
          <w14:textFill>
            <w14:solidFill>
              <w14:schemeClr w14:val="tx1"/>
            </w14:solidFill>
          </w14:textFill>
        </w:rPr>
        <w:t>提出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书面</w:t>
      </w:r>
      <w:r>
        <w:rPr>
          <w:rFonts w:hint="eastAsia" w:ascii="Times New Roman" w:hAnsi="Times New Roman" w:eastAsia="宋体" w:cs="Times New Roman"/>
          <w:color w:val="000000" w:themeColor="text1"/>
          <w:sz w:val="24"/>
          <w:szCs w:val="24"/>
          <w:lang w:val="hr-HR"/>
          <w14:textFill>
            <w14:solidFill>
              <w14:schemeClr w14:val="tx1"/>
            </w14:solidFill>
          </w14:textFill>
        </w:rPr>
        <w:t>质疑</w:t>
      </w:r>
      <w:r>
        <w:rPr>
          <w:rFonts w:hint="eastAsia" w:ascii="Times New Roman" w:hAnsi="Times New Roman" w:eastAsia="宋体" w:cs="Times New Roman"/>
          <w:color w:val="000000" w:themeColor="text1"/>
          <w:sz w:val="24"/>
          <w:szCs w:val="24"/>
          <w:lang w:val="hr-HR" w:eastAsia="zh-CN"/>
          <w14:textFill>
            <w14:solidFill>
              <w14:schemeClr w14:val="tx1"/>
            </w14:solidFill>
          </w14:textFill>
        </w:rPr>
        <w:t>。</w:t>
      </w:r>
      <w:r>
        <w:rPr>
          <w:rFonts w:ascii="宋体" w:hAnsi="宋体" w:eastAsia="宋体" w:cs="宋体"/>
          <w:sz w:val="24"/>
          <w:szCs w:val="24"/>
        </w:rPr>
        <w:t>质疑时请提交书面质疑函一份（法人代表签字、加盖单位公章。具体要求详见本招标文件“第二章 投 标人须知”中的第八条之规定），并附相关证据材料。</w:t>
      </w:r>
    </w:p>
    <w:p>
      <w:pPr>
        <w:pStyle w:val="23"/>
        <w:widowControl/>
        <w:snapToGrid w:val="0"/>
        <w:spacing w:beforeAutospacing="0" w:afterAutospacing="0" w:line="288" w:lineRule="auto"/>
        <w:ind w:left="330"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七、对本次招标提出询问，请按以下方式联系</w:t>
      </w:r>
    </w:p>
    <w:p>
      <w:pPr>
        <w:snapToGrid w:val="0"/>
        <w:spacing w:line="240"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1、采购人信息</w:t>
      </w:r>
    </w:p>
    <w:p>
      <w:pPr>
        <w:snapToGrid w:val="0"/>
        <w:spacing w:line="240"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 xml:space="preserve">名   称：阳新县住房和城乡建设局 </w:t>
      </w:r>
    </w:p>
    <w:p>
      <w:pPr>
        <w:snapToGrid w:val="0"/>
        <w:spacing w:line="240" w:lineRule="auto"/>
        <w:ind w:firstLine="480" w:firstLineChars="200"/>
        <w:rPr>
          <w:rFonts w:ascii="Times New Roman" w:hAnsi="Times New Roman" w:eastAsia="宋体" w:cs="Times New Roman"/>
          <w:color w:val="000000" w:themeColor="text1"/>
          <w:sz w:val="24"/>
          <w:szCs w:val="24"/>
          <w:lang w:val="zh-CN"/>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地   址：阳新县陵园大道13号</w:t>
      </w:r>
    </w:p>
    <w:p>
      <w:pPr>
        <w:snapToGrid w:val="0"/>
        <w:spacing w:line="24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zh-CN"/>
          <w14:textFill>
            <w14:solidFill>
              <w14:schemeClr w14:val="tx1"/>
            </w14:solidFill>
          </w14:textFill>
        </w:rPr>
        <w:t>联系人：</w:t>
      </w:r>
      <w:r>
        <w:rPr>
          <w:rFonts w:hint="eastAsia" w:ascii="Times New Roman" w:hAnsi="Times New Roman" w:eastAsia="宋体" w:cs="Times New Roman"/>
          <w:color w:val="000000" w:themeColor="text1"/>
          <w:sz w:val="24"/>
          <w:szCs w:val="24"/>
          <w14:textFill>
            <w14:solidFill>
              <w14:schemeClr w14:val="tx1"/>
            </w14:solidFill>
          </w14:textFill>
        </w:rPr>
        <w:t>徐</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科长</w:t>
      </w:r>
    </w:p>
    <w:p>
      <w:pPr>
        <w:snapToGrid w:val="0"/>
        <w:spacing w:line="24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w:t>
      </w:r>
      <w:r>
        <w:rPr>
          <w:rFonts w:hint="eastAsia" w:ascii="Times New Roman" w:hAnsi="Times New Roman" w:eastAsia="宋体" w:cs="Times New Roman"/>
          <w:color w:val="000000" w:themeColor="text1"/>
          <w:sz w:val="24"/>
          <w:szCs w:val="24"/>
          <w:lang w:val="zh-CN"/>
          <w14:textFill>
            <w14:solidFill>
              <w14:schemeClr w14:val="tx1"/>
            </w14:solidFill>
          </w14:textFill>
        </w:rPr>
        <w:t>话：</w:t>
      </w:r>
      <w:r>
        <w:rPr>
          <w:rFonts w:hint="eastAsia" w:ascii="Times New Roman" w:hAnsi="Times New Roman" w:eastAsia="宋体" w:cs="Times New Roman"/>
          <w:color w:val="000000" w:themeColor="text1"/>
          <w:sz w:val="24"/>
          <w:szCs w:val="24"/>
          <w14:textFill>
            <w14:solidFill>
              <w14:schemeClr w14:val="tx1"/>
            </w14:solidFill>
          </w14:textFill>
        </w:rPr>
        <w:t>18972766686</w:t>
      </w:r>
    </w:p>
    <w:p>
      <w:pPr>
        <w:snapToGrid w:val="0"/>
        <w:spacing w:line="240"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2、</w:t>
      </w:r>
      <w:r>
        <w:rPr>
          <w:rFonts w:hint="eastAsia" w:ascii="Times New Roman" w:hAnsi="Times New Roman" w:eastAsia="宋体" w:cs="Times New Roman"/>
          <w:color w:val="000000" w:themeColor="text1"/>
          <w:sz w:val="24"/>
          <w:szCs w:val="24"/>
          <w:lang w:val="hr-HR" w:eastAsia="zh-CN"/>
          <w14:textFill>
            <w14:solidFill>
              <w14:schemeClr w14:val="tx1"/>
            </w14:solidFill>
          </w14:textFill>
        </w:rPr>
        <w:t>代理采购机构</w:t>
      </w:r>
      <w:r>
        <w:rPr>
          <w:rFonts w:hint="eastAsia" w:ascii="Times New Roman" w:hAnsi="Times New Roman" w:eastAsia="宋体" w:cs="Times New Roman"/>
          <w:color w:val="000000" w:themeColor="text1"/>
          <w:sz w:val="24"/>
          <w:szCs w:val="24"/>
          <w:lang w:val="hr-HR"/>
          <w14:textFill>
            <w14:solidFill>
              <w14:schemeClr w14:val="tx1"/>
            </w14:solidFill>
          </w14:textFill>
        </w:rPr>
        <w:t>信息</w:t>
      </w:r>
    </w:p>
    <w:p>
      <w:pPr>
        <w:snapToGrid w:val="0"/>
        <w:spacing w:line="240" w:lineRule="auto"/>
        <w:ind w:firstLine="480" w:firstLineChars="200"/>
        <w:rPr>
          <w:rFonts w:hint="eastAsia" w:ascii="Times New Roman" w:hAnsi="Times New Roman" w:eastAsia="宋体" w:cs="Times New Roman"/>
          <w:color w:val="000000" w:themeColor="text1"/>
          <w:sz w:val="24"/>
          <w:szCs w:val="24"/>
          <w:lang w:val="hr-HR" w:eastAsia="zh-CN"/>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名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lang w:val="hr-HR"/>
          <w14:textFill>
            <w14:solidFill>
              <w14:schemeClr w14:val="tx1"/>
            </w14:solidFill>
          </w14:textFill>
        </w:rPr>
        <w:t>称：</w:t>
      </w:r>
      <w:r>
        <w:rPr>
          <w:rFonts w:hint="eastAsia" w:ascii="Times New Roman" w:hAnsi="Times New Roman" w:eastAsia="宋体" w:cs="Times New Roman"/>
          <w:color w:val="000000" w:themeColor="text1"/>
          <w:sz w:val="24"/>
          <w:szCs w:val="24"/>
          <w:lang w:val="hr-HR" w:eastAsia="zh-CN"/>
          <w14:textFill>
            <w14:solidFill>
              <w14:schemeClr w14:val="tx1"/>
            </w14:solidFill>
          </w14:textFill>
        </w:rPr>
        <w:t>金策工程管理有限公司</w:t>
      </w:r>
    </w:p>
    <w:p>
      <w:pPr>
        <w:snapToGrid w:val="0"/>
        <w:spacing w:line="24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zh-CN"/>
          <w14:textFill>
            <w14:solidFill>
              <w14:schemeClr w14:val="tx1"/>
            </w14:solidFill>
          </w14:textFill>
        </w:rPr>
        <w:t>地   址：阳新县</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经济开发区银山村经九路原居民堂药店二楼</w:t>
      </w:r>
    </w:p>
    <w:p>
      <w:pPr>
        <w:pStyle w:val="2"/>
        <w:spacing w:line="240" w:lineRule="auto"/>
        <w:ind w:left="0" w:leftChars="0" w:firstLine="480" w:firstLineChars="200"/>
        <w:rPr>
          <w:rFonts w:hint="eastAsia"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联系人 ：费工 15071414225</w:t>
      </w:r>
    </w:p>
    <w:p>
      <w:pPr>
        <w:snapToGrid w:val="0"/>
        <w:spacing w:line="240" w:lineRule="auto"/>
        <w:rPr>
          <w:rFonts w:hint="eastAsia" w:ascii="Times New Roman" w:hAnsi="Times New Roman" w:eastAsia="宋体" w:cs="Times New Roman"/>
          <w:color w:val="000000" w:themeColor="text1"/>
          <w:sz w:val="24"/>
          <w:szCs w:val="24"/>
          <w:lang w:val="hr-HR"/>
          <w14:textFill>
            <w14:solidFill>
              <w14:schemeClr w14:val="tx1"/>
            </w14:solidFill>
          </w14:textFill>
        </w:rPr>
      </w:pPr>
    </w:p>
    <w:p>
      <w:pPr>
        <w:pStyle w:val="34"/>
        <w:snapToGrid w:val="0"/>
        <w:spacing w:line="240" w:lineRule="auto"/>
        <w:ind w:firstLine="0" w:firstLineChars="0"/>
        <w:jc w:val="right"/>
        <w:rPr>
          <w:rFonts w:ascii="Times New Roman" w:hAnsi="Times New Roman" w:eastAsia="宋体" w:cs="Times New Roman"/>
          <w:color w:val="000000" w:themeColor="text1"/>
          <w:szCs w:val="24"/>
          <w:lang w:val="hr-HR"/>
          <w14:textFill>
            <w14:solidFill>
              <w14:schemeClr w14:val="tx1"/>
            </w14:solidFill>
          </w14:textFill>
        </w:rPr>
      </w:pPr>
      <w:r>
        <w:rPr>
          <w:rFonts w:hint="eastAsia" w:ascii="Times New Roman" w:hAnsi="Times New Roman" w:eastAsia="宋体" w:cs="Times New Roman"/>
          <w:color w:val="000000" w:themeColor="text1"/>
          <w:szCs w:val="24"/>
          <w:lang w:val="hr-HR"/>
          <w14:textFill>
            <w14:solidFill>
              <w14:schemeClr w14:val="tx1"/>
            </w14:solidFill>
          </w14:textFill>
        </w:rPr>
        <w:t>2022年</w:t>
      </w:r>
      <w:r>
        <w:rPr>
          <w:rFonts w:hint="eastAsia" w:ascii="Times New Roman" w:hAnsi="Times New Roman" w:eastAsia="宋体" w:cs="Times New Roman"/>
          <w:color w:val="000000" w:themeColor="text1"/>
          <w:szCs w:val="24"/>
          <w:lang w:val="en-US" w:eastAsia="zh-CN"/>
          <w14:textFill>
            <w14:solidFill>
              <w14:schemeClr w14:val="tx1"/>
            </w14:solidFill>
          </w14:textFill>
        </w:rPr>
        <w:t>3</w:t>
      </w:r>
      <w:r>
        <w:rPr>
          <w:rFonts w:hint="eastAsia" w:ascii="Times New Roman" w:hAnsi="Times New Roman" w:eastAsia="宋体" w:cs="Times New Roman"/>
          <w:color w:val="000000" w:themeColor="text1"/>
          <w:szCs w:val="24"/>
          <w:lang w:val="hr-HR"/>
          <w14:textFill>
            <w14:solidFill>
              <w14:schemeClr w14:val="tx1"/>
            </w14:solidFill>
          </w14:textFill>
        </w:rPr>
        <w:t>月</w:t>
      </w:r>
      <w:r>
        <w:rPr>
          <w:rFonts w:hint="eastAsia" w:ascii="Times New Roman" w:hAnsi="Times New Roman" w:eastAsia="宋体" w:cs="Times New Roman"/>
          <w:color w:val="000000" w:themeColor="text1"/>
          <w:szCs w:val="24"/>
          <w:lang w:val="en-US" w:eastAsia="zh-CN"/>
          <w14:textFill>
            <w14:solidFill>
              <w14:schemeClr w14:val="tx1"/>
            </w14:solidFill>
          </w14:textFill>
        </w:rPr>
        <w:t>29</w:t>
      </w:r>
      <w:r>
        <w:rPr>
          <w:rFonts w:hint="eastAsia" w:ascii="Times New Roman" w:hAnsi="Times New Roman" w:eastAsia="宋体" w:cs="Times New Roman"/>
          <w:color w:val="000000" w:themeColor="text1"/>
          <w:szCs w:val="24"/>
          <w:lang w:val="hr-HR"/>
          <w14:textFill>
            <w14:solidFill>
              <w14:schemeClr w14:val="tx1"/>
            </w14:solidFill>
          </w14:textFill>
        </w:rPr>
        <w:t>日</w:t>
      </w:r>
    </w:p>
    <w:p>
      <w:pPr>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br w:type="page"/>
      </w:r>
    </w:p>
    <w:p>
      <w:pPr>
        <w:pStyle w:val="34"/>
        <w:ind w:firstLine="0" w:firstLineChars="0"/>
        <w:rPr>
          <w:lang w:val="hr-HR"/>
        </w:rPr>
      </w:pPr>
    </w:p>
    <w:p>
      <w:pPr>
        <w:pStyle w:val="4"/>
        <w:numPr>
          <w:ilvl w:val="0"/>
          <w:numId w:val="1"/>
        </w:numPr>
        <w:spacing w:before="240" w:after="120" w:line="240" w:lineRule="auto"/>
        <w:ind w:left="880" w:hanging="880" w:hangingChars="200"/>
        <w:jc w:val="center"/>
        <w:rPr>
          <w:rFonts w:ascii="黑体" w:hAnsi="黑体" w:eastAsia="黑体"/>
        </w:rPr>
      </w:pPr>
      <w:bookmarkStart w:id="1" w:name="_Toc10818"/>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15540"/>
      <w:bookmarkStart w:id="3" w:name="_Toc494561937"/>
      <w:r>
        <w:rPr>
          <w:rFonts w:cs="Times New Roman" w:asciiTheme="majorEastAsia" w:hAnsiTheme="majorEastAsia" w:eastAsiaTheme="majorEastAsia"/>
          <w:b/>
          <w:bCs/>
          <w:sz w:val="32"/>
          <w:szCs w:val="32"/>
          <w:lang w:val="zh-CN"/>
        </w:rPr>
        <w:t>投标须知前附表</w:t>
      </w:r>
      <w:bookmarkEnd w:id="2"/>
      <w:bookmarkEnd w:id="3"/>
    </w:p>
    <w:tbl>
      <w:tblPr>
        <w:tblStyle w:val="25"/>
        <w:tblW w:w="8659"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05"/>
        <w:gridCol w:w="5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5"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5"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5779"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5779"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FF0000"/>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131-2022CG-</w:t>
            </w:r>
            <w:r>
              <w:rPr>
                <w:rFonts w:hint="eastAsia" w:ascii="宋体" w:hAnsi="宋体" w:eastAsia="宋体" w:cs="宋体"/>
                <w:color w:val="000000" w:themeColor="text1"/>
                <w:kern w:val="0"/>
                <w:sz w:val="24"/>
                <w:szCs w:val="24"/>
                <w:lang w:val="en-US" w:eastAsia="zh-CN"/>
                <w14:textFill>
                  <w14:solidFill>
                    <w14:schemeClr w14:val="tx1"/>
                  </w14:solidFill>
                </w14:textFill>
              </w:rPr>
              <w:t>0</w:t>
            </w:r>
            <w:bookmarkStart w:id="228" w:name="_GoBack"/>
            <w:bookmarkEnd w:id="228"/>
            <w:r>
              <w:rPr>
                <w:rFonts w:hint="eastAsia" w:ascii="宋体" w:hAnsi="宋体" w:eastAsia="宋体" w:cs="宋体"/>
                <w:color w:val="000000" w:themeColor="text1"/>
                <w:kern w:val="0"/>
                <w:sz w:val="24"/>
                <w:szCs w:val="24"/>
                <w:lang w:val="en-US" w:eastAsia="zh-CN"/>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5779"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宋体" w:eastAsia="宋体" w:cs="Times New Roman"/>
                <w:sz w:val="24"/>
                <w:szCs w:val="24"/>
                <w:lang w:val="hr-HR" w:eastAsia="zh-CN"/>
              </w:rPr>
              <w:t>阳新县长江大保护水环境综合治理PPP项目（一期工程）建设项目造价咨询服务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阳新县住房和城乡建设局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资金来源</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由</w:t>
            </w:r>
            <w:r>
              <w:rPr>
                <w:rFonts w:hint="eastAsia" w:ascii="Times New Roman" w:hAnsi="Times New Roman" w:eastAsia="宋体" w:cs="Times New Roman"/>
                <w:color w:val="000000" w:themeColor="text1"/>
                <w:sz w:val="24"/>
                <w:szCs w:val="24"/>
                <w:lang w:val="hr-HR"/>
                <w14:textFill>
                  <w14:solidFill>
                    <w14:schemeClr w14:val="tx1"/>
                  </w14:solidFill>
                </w14:textFill>
              </w:rPr>
              <w:t>阳新县长江大保护水环境综合治理PPP项目</w:t>
            </w:r>
            <w:r>
              <w:rPr>
                <w:rFonts w:hint="eastAsia" w:ascii="Times New Roman" w:hAnsi="Times New Roman" w:eastAsia="宋体" w:cs="Times New Roman"/>
                <w:color w:val="000000" w:themeColor="text1"/>
                <w:sz w:val="24"/>
                <w:szCs w:val="24"/>
                <w14:textFill>
                  <w14:solidFill>
                    <w14:schemeClr w14:val="tx1"/>
                  </w14:solidFill>
                </w14:textFill>
              </w:rPr>
              <w:t>项目公司出资，出资比例100%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投标文件份数</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宋体" w:eastAsia="宋体" w:cs="Times New Roman"/>
                <w:sz w:val="24"/>
                <w:szCs w:val="24"/>
              </w:rPr>
              <w:t>资格预审</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00000" w:themeColor="text1"/>
                <w:sz w:val="24"/>
                <w:szCs w:val="24"/>
                <w:lang w:val="hr-HR"/>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投标文件递交时间</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宋体" w:eastAsia="宋体" w:cs="Times New Roman"/>
                <w:sz w:val="24"/>
                <w:szCs w:val="24"/>
              </w:rPr>
              <w:t>备选方案</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实物样品</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不提交</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不组织</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color w:val="0D0D0D"/>
                <w:sz w:val="24"/>
                <w:szCs w:val="24"/>
              </w:rPr>
              <w:t>中标后分包</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ascii="Times New Roman" w:hAnsi="宋体" w:eastAsia="宋体" w:cs="Times New Roman"/>
                <w:sz w:val="24"/>
                <w:szCs w:val="24"/>
              </w:rPr>
              <w:t>评标办法</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5779" w:type="dxa"/>
            <w:tcBorders>
              <w:top w:val="single" w:color="auto" w:sz="4" w:space="0"/>
              <w:left w:val="single" w:color="auto" w:sz="4" w:space="0"/>
              <w:bottom w:val="single" w:color="auto" w:sz="4" w:space="0"/>
            </w:tcBorders>
            <w:vAlign w:val="center"/>
          </w:tcPr>
          <w:p>
            <w:pPr>
              <w:widowControl/>
              <w:jc w:val="left"/>
            </w:pPr>
            <w:r>
              <w:rPr>
                <w:rFonts w:hint="eastAsia" w:ascii="宋体" w:hAnsi="宋体" w:eastAsia="宋体" w:cs="宋体"/>
                <w:color w:val="000000"/>
                <w:kern w:val="0"/>
                <w:sz w:val="24"/>
                <w:szCs w:val="24"/>
                <w:lang w:val="en-US" w:eastAsia="zh-CN"/>
              </w:rPr>
              <w:t>非专门面向</w:t>
            </w:r>
            <w:r>
              <w:rPr>
                <w:rFonts w:hint="eastAsia" w:ascii="宋体" w:hAnsi="宋体" w:eastAsia="宋体" w:cs="宋体"/>
                <w:color w:val="000000"/>
                <w:kern w:val="0"/>
                <w:sz w:val="24"/>
                <w:szCs w:val="24"/>
              </w:rPr>
              <w:t xml:space="preserve">，若投标人为中小企业，应符合《政府采购促进中小企业发展管理办法》（财库【2020】46号）相关规定（监狱企业、残疾人福利性单位均视同小型、微型企业）。 </w:t>
            </w:r>
          </w:p>
          <w:p>
            <w:pPr>
              <w:rPr>
                <w:rFonts w:ascii="Times New Roman" w:hAnsi="Times New Roman" w:eastAsia="宋体" w:cs="Times New Roman"/>
                <w:color w:val="FF0000"/>
                <w:sz w:val="24"/>
                <w:szCs w:val="24"/>
              </w:rPr>
            </w:pPr>
            <w:r>
              <w:rPr>
                <w:rFonts w:hint="eastAsia" w:ascii="宋体" w:hAnsi="宋体" w:eastAsia="宋体" w:cs="宋体"/>
                <w:color w:val="000000"/>
                <w:kern w:val="0"/>
                <w:sz w:val="24"/>
                <w:szCs w:val="24"/>
              </w:rPr>
              <w:t>本项目企业划分标准所属行业为“其他未列明行业”。需提供本单位的 《中小企业声明函》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宋体" w:hAnsi="宋体" w:eastAsia="宋体" w:cs="宋体"/>
                <w:color w:val="000000" w:themeColor="text1"/>
                <w:kern w:val="0"/>
                <w:sz w:val="24"/>
                <w:szCs w:val="24"/>
                <w14:textFill>
                  <w14:solidFill>
                    <w14:schemeClr w14:val="tx1"/>
                  </w14:solidFill>
                </w14:textFill>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cs="Times New Roman" w:asciiTheme="minorEastAsia" w:hAnsiTheme="minorEastAsia"/>
                <w:color w:val="0D0D0D"/>
                <w:sz w:val="24"/>
                <w:szCs w:val="24"/>
              </w:rPr>
              <w:t>详见本章“质疑及提交”要求</w:t>
            </w:r>
          </w:p>
        </w:tc>
      </w:tr>
    </w:tbl>
    <w:p>
      <w:pPr>
        <w:keepNext/>
        <w:keepLines/>
        <w:spacing w:before="100" w:beforeAutospacing="1" w:after="100" w:afterAutospacing="1" w:line="360" w:lineRule="auto"/>
        <w:jc w:val="center"/>
        <w:outlineLvl w:val="1"/>
        <w:rPr>
          <w:rFonts w:cs="Times New Roman" w:asciiTheme="majorEastAsia" w:hAnsiTheme="majorEastAsia"/>
          <w:b/>
          <w:bCs/>
          <w:lang w:val="zh-CN"/>
        </w:rPr>
      </w:pPr>
      <w:bookmarkStart w:id="4" w:name="_Toc494561938"/>
      <w:r>
        <w:rPr>
          <w:rFonts w:ascii="黑体" w:hAnsi="黑体" w:eastAsia="黑体" w:cs="Times New Roman"/>
          <w:b/>
          <w:bCs/>
          <w:sz w:val="32"/>
          <w:szCs w:val="32"/>
          <w:lang w:val="zh-CN"/>
        </w:rPr>
        <w:br w:type="page"/>
      </w:r>
      <w:bookmarkStart w:id="5" w:name="_Toc2338"/>
      <w:r>
        <w:rPr>
          <w:rFonts w:hint="eastAsia" w:cs="Times New Roman" w:asciiTheme="majorEastAsia" w:hAnsiTheme="majorEastAsia"/>
          <w:b/>
          <w:bCs/>
          <w:sz w:val="36"/>
          <w:szCs w:val="40"/>
          <w:lang w:val="zh-CN"/>
        </w:rPr>
        <w:t>说  明</w:t>
      </w:r>
      <w:bookmarkEnd w:id="4"/>
      <w:bookmarkEnd w:id="5"/>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ascii="宋体" w:hAnsi="宋体" w:eastAsia="宋体" w:cs="宋体"/>
          <w:color w:val="000000" w:themeColor="text1"/>
          <w:kern w:val="0"/>
          <w:sz w:val="24"/>
          <w:szCs w:val="24"/>
          <w14:textFill>
            <w14:solidFill>
              <w14:schemeClr w14:val="tx1"/>
            </w14:solidFill>
          </w14:textFill>
        </w:rPr>
        <w:t>阳新县住房和城乡建设局</w:t>
      </w:r>
      <w:r>
        <w:rPr>
          <w:rFonts w:hint="eastAsia" w:cs="Times New Roman" w:asciiTheme="minorEastAsia" w:hAnsiTheme="minorEastAsia"/>
          <w:sz w:val="24"/>
          <w:szCs w:val="24"/>
          <w:lang w:val="zh-CN"/>
        </w:rPr>
        <w:t>。</w:t>
      </w:r>
    </w:p>
    <w:p>
      <w:pPr>
        <w:numPr>
          <w:ilvl w:val="0"/>
          <w:numId w:val="4"/>
        </w:numPr>
        <w:spacing w:line="360" w:lineRule="auto"/>
        <w:ind w:left="476" w:hanging="476"/>
        <w:rPr>
          <w:rFonts w:cs="Times New Roman" w:asciiTheme="minorEastAsia" w:hAnsiTheme="minorEastAsia"/>
          <w:sz w:val="24"/>
          <w:szCs w:val="24"/>
          <w:highlight w:val="none"/>
          <w:lang w:val="zh-CN"/>
        </w:rPr>
      </w:pPr>
      <w:r>
        <w:rPr>
          <w:rFonts w:hint="eastAsia" w:cs="Times New Roman" w:asciiTheme="minorEastAsia" w:hAnsiTheme="minorEastAsia"/>
          <w:b/>
          <w:sz w:val="24"/>
          <w:szCs w:val="24"/>
          <w:highlight w:val="none"/>
          <w:lang w:val="zh-CN"/>
        </w:rPr>
        <w:t>“监管部门”是指：</w:t>
      </w:r>
      <w:r>
        <w:rPr>
          <w:rFonts w:hint="eastAsia" w:cs="Helvetica" w:asciiTheme="minorEastAsia" w:hAnsiTheme="minorEastAsia"/>
          <w:kern w:val="0"/>
          <w:sz w:val="24"/>
          <w:szCs w:val="24"/>
          <w:highlight w:val="none"/>
          <w:lang w:val="en-US" w:eastAsia="zh-CN"/>
        </w:rPr>
        <w:t>阳新县政务服务和大数据管理局。</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w:t>
      </w:r>
      <w:r>
        <w:rPr>
          <w:rFonts w:hint="eastAsia" w:cs="Times New Roman" w:asciiTheme="minorEastAsia" w:hAnsiTheme="minorEastAsia"/>
          <w:b/>
          <w:sz w:val="24"/>
          <w:szCs w:val="24"/>
          <w:lang w:val="en-US" w:eastAsia="zh-CN"/>
        </w:rPr>
        <w:t>代理采购机构</w:t>
      </w:r>
      <w:r>
        <w:rPr>
          <w:rFonts w:hint="eastAsia" w:cs="Times New Roman" w:asciiTheme="minorEastAsia" w:hAnsiTheme="minorEastAsia"/>
          <w:b/>
          <w:sz w:val="24"/>
          <w:szCs w:val="24"/>
          <w:lang w:val="zh-CN"/>
        </w:rPr>
        <w:t>”是指：</w:t>
      </w:r>
      <w:r>
        <w:rPr>
          <w:rFonts w:hint="eastAsia" w:cs="Helvetica" w:asciiTheme="minorEastAsia" w:hAnsiTheme="minorEastAsia"/>
          <w:kern w:val="0"/>
          <w:sz w:val="24"/>
          <w:szCs w:val="24"/>
          <w:lang w:val="zh-CN"/>
        </w:rPr>
        <w:t>金策工程管理有限公司。</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4"/>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5"/>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6"/>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6"/>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5"/>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5"/>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5"/>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3"/>
        </w:numPr>
        <w:spacing w:line="360" w:lineRule="auto"/>
        <w:rPr>
          <w:rFonts w:cs="Times New Roman" w:asciiTheme="minorEastAsia" w:hAnsiTheme="minorEastAsia"/>
          <w:b/>
          <w:sz w:val="24"/>
          <w:szCs w:val="24"/>
          <w:lang w:val="zh-CN"/>
        </w:rPr>
      </w:pPr>
      <w:bookmarkStart w:id="6" w:name="_Toc14394"/>
      <w:bookmarkStart w:id="7" w:name="_Toc494561939"/>
      <w:bookmarkStart w:id="8" w:name="_Toc272247695"/>
      <w:bookmarkStart w:id="9" w:name="_Toc278891592"/>
      <w:r>
        <w:rPr>
          <w:rFonts w:hint="eastAsia" w:cs="Times New Roman" w:asciiTheme="minorEastAsia" w:hAnsiTheme="minorEastAsia"/>
          <w:b/>
          <w:sz w:val="24"/>
          <w:szCs w:val="24"/>
          <w:lang w:val="zh-CN"/>
        </w:rPr>
        <w:t>投标费用</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9"/>
        <w:numPr>
          <w:ilvl w:val="0"/>
          <w:numId w:val="7"/>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49"/>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49"/>
        <w:ind w:left="420" w:firstLine="0" w:firstLineChars="0"/>
        <w:rPr>
          <w:rFonts w:ascii="宋体" w:hAnsi="宋体"/>
          <w:sz w:val="24"/>
          <w:szCs w:val="24"/>
        </w:rPr>
      </w:pP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1922"/>
        <w:gridCol w:w="192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37" w:type="pct"/>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101600</wp:posOffset>
                      </wp:positionV>
                      <wp:extent cx="1410970" cy="869950"/>
                      <wp:effectExtent l="2540" t="3810" r="8890" b="15240"/>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6" o:spid="_x0000_s1026" o:spt="20" style="position:absolute;left:0pt;flip:x y;margin-left:-1.05pt;margin-top:8pt;height:68.5pt;width:111.1pt;z-index:251663360;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EZzrNEAAAAJ&#10;AQAADwAAAAAAAAABACAAAAAiAAAAZHJzL2Rvd25yZXYueG1sUEsBAhQAFAAAAAgAh07iQDbaSUzq&#10;AQAA9QMAAA4AAAAAAAAAAQAgAAAAIAEAAGRycy9lMm9Eb2MueG1sUEsFBgAAAAAGAAYAWQEAAHwF&#10;A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5"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5HTftUAAAAJAQAADwAAAAAAAAABACAAAAAi&#10;AAAAZHJzL2Rvd25yZXYueG1sUEsBAhQAFAAAAAgAh07iQKiChf3UAQAA2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-83820</wp:posOffset>
                      </wp:positionH>
                      <wp:positionV relativeFrom="paragraph">
                        <wp:posOffset>-221615</wp:posOffset>
                      </wp:positionV>
                      <wp:extent cx="2023110" cy="453390"/>
                      <wp:effectExtent l="1270" t="4445" r="7620" b="12065"/>
                      <wp:wrapNone/>
                      <wp:docPr id="3" name="Line 17"/>
                      <wp:cNvGraphicFramePr/>
                      <a:graphic xmlns:a="http://schemas.openxmlformats.org/drawingml/2006/main">
                        <a:graphicData uri="http://schemas.microsoft.com/office/word/2010/wordprocessingShape">
                          <wps:wsp>
                            <wps:cNvCnPr/>
                            <wps:spPr>
                              <a:xfrm flipH="1" flipV="1">
                                <a:off x="0" y="0"/>
                                <a:ext cx="2023110" cy="4533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 y;margin-left:-6.6pt;margin-top:-17.45pt;height:35.7pt;width:159.3pt;z-index:251664384;mso-width-relative:page;mso-height-relative:page;" filled="f" stroked="t" coordsize="21600,21600" o:gfxdata="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TM&#10;JNYAAAAKAQAADwAAAAAAAAABACAAAAAiAAAAZHJzL2Rvd25yZXYueG1sUEsBAhQAFAAAAAgAh07i&#10;QCPPhErrAQAA9Q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1054" w:type="pct"/>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1054" w:type="pct"/>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1054" w:type="pct"/>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37" w:type="pct"/>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1.5%</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1.5%</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37" w:type="pct"/>
          </w:tcPr>
          <w:p>
            <w:pPr>
              <w:spacing w:line="300" w:lineRule="auto"/>
              <w:jc w:val="center"/>
              <w:rPr>
                <w:rFonts w:ascii="宋体" w:hAnsi="宋体" w:cs="宋体"/>
                <w:sz w:val="24"/>
                <w:szCs w:val="24"/>
              </w:rPr>
            </w:pPr>
            <w:r>
              <w:rPr>
                <w:rFonts w:hint="eastAsia" w:ascii="宋体" w:hAnsi="宋体" w:cs="宋体"/>
                <w:sz w:val="24"/>
                <w:szCs w:val="24"/>
              </w:rPr>
              <w:t>100-500</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1.1%</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0.8%</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37" w:type="pct"/>
          </w:tcPr>
          <w:p>
            <w:pPr>
              <w:spacing w:line="300" w:lineRule="auto"/>
              <w:jc w:val="center"/>
              <w:rPr>
                <w:rFonts w:ascii="宋体" w:hAnsi="宋体" w:cs="宋体"/>
                <w:sz w:val="24"/>
                <w:szCs w:val="24"/>
              </w:rPr>
            </w:pPr>
            <w:r>
              <w:rPr>
                <w:rFonts w:hint="eastAsia" w:ascii="宋体" w:hAnsi="宋体" w:cs="宋体"/>
                <w:sz w:val="24"/>
                <w:szCs w:val="24"/>
              </w:rPr>
              <w:t>500-1000</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0.8%</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0.45%</w:t>
            </w:r>
          </w:p>
        </w:tc>
        <w:tc>
          <w:tcPr>
            <w:tcW w:w="1054" w:type="pct"/>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9"/>
        <w:adjustRightInd w:val="0"/>
        <w:snapToGrid w:val="0"/>
        <w:spacing w:line="300" w:lineRule="auto"/>
        <w:ind w:left="420" w:firstLine="0" w:firstLineChars="0"/>
        <w:rPr>
          <w:rFonts w:ascii="宋体" w:hAnsi="宋体"/>
          <w:sz w:val="24"/>
          <w:szCs w:val="24"/>
        </w:rPr>
      </w:pPr>
    </w:p>
    <w:p>
      <w:pPr>
        <w:pStyle w:val="5"/>
        <w:numPr>
          <w:ilvl w:val="0"/>
          <w:numId w:val="8"/>
        </w:numPr>
        <w:spacing w:before="40" w:after="40" w:line="360" w:lineRule="auto"/>
        <w:ind w:left="658" w:hanging="658"/>
        <w:jc w:val="left"/>
        <w:rPr>
          <w:rFonts w:cs="Times New Roman" w:asciiTheme="majorEastAsia" w:hAnsiTheme="majorEastAsia"/>
          <w:bCs w:val="0"/>
          <w:lang w:val="zh-CN"/>
        </w:rPr>
      </w:pPr>
      <w:r>
        <w:rPr>
          <w:rFonts w:hint="eastAsia" w:cs="Times New Roman" w:asciiTheme="majorEastAsia" w:hAnsiTheme="majorEastAsia"/>
          <w:bCs w:val="0"/>
          <w:lang w:val="zh-CN"/>
        </w:rPr>
        <w:t>招标文件</w:t>
      </w:r>
      <w:bookmarkEnd w:id="6"/>
      <w:bookmarkEnd w:id="7"/>
      <w:bookmarkEnd w:id="8"/>
      <w:bookmarkEnd w:id="9"/>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在招标过程中由代理采购机构发出的修正和补充文件等</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潜在投标人对招标文件有疑问的，可以向代理采购机构提出询问，或在6.2规定的时间前以书面的形式向代理采购机构提交疑问函。</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潜在投标人在项目招标公告期限届满之日起7个工作日内未对招标文件提出疑问的，代理采购机构将视其认同招标文件，在规定的时间后就招标文件内容提出的疑问将不予受理。</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代理采购机构将组织采购人对潜在投标人所提交疑问以书面（或网上公告）的形式予以答复。必要时，代理采购机构将组织相关专家召开答疑会，并将会议内容以书面的形式发给每个领取招标文件的潜在投标人（答复中不包括问题的来源）。</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0"/>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代理采购机构和采购人可以对已发出的招标文件进行必要的澄清或者修改。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澄清或者修改将在原公告发布媒体上发布澄清公告。澄清或者修改的内容可能影响投标文件编制的，代理采购机构和采购人将在投标截止时间至少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为使潜在投标人有充足时间对招标文件的澄清或者修改的内容进行研究和响应，代理采购机构和采购人可适当顺延提交投标文件的截止时间，并以书面（或网上公告）的形式通知所有领取招标文件的潜在投标人。</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10" w:name="_Toc20151"/>
      <w:bookmarkStart w:id="11" w:name="_Toc494561940"/>
      <w:bookmarkStart w:id="12" w:name="_Toc278891593"/>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代理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2"/>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投标人应对投标文件中所提供资料的真实性负责，如有虚假，将依法承担相应责任。投标人应自觉接受代理采购机构对其中任何资料进一步核实的要求。</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2"/>
        </w:numPr>
        <w:spacing w:line="360" w:lineRule="auto"/>
        <w:ind w:left="616" w:hanging="616"/>
        <w:rPr>
          <w:rFonts w:cs="Times New Roman" w:asciiTheme="minorEastAsia" w:hAnsiTheme="minorEastAsia"/>
          <w:b/>
          <w:sz w:val="24"/>
          <w:szCs w:val="24"/>
          <w:highlight w:val="yellow"/>
          <w:lang w:val="zh-CN"/>
        </w:rPr>
      </w:pPr>
      <w:r>
        <w:rPr>
          <w:rFonts w:hint="eastAsia" w:cs="Times New Roman" w:asciiTheme="minorEastAsia" w:hAnsiTheme="minorEastAsia"/>
          <w:b/>
          <w:sz w:val="24"/>
          <w:szCs w:val="24"/>
          <w:highlight w:val="yellow"/>
          <w:lang w:val="zh-CN"/>
        </w:rPr>
        <w:t>投标文件共分为</w:t>
      </w:r>
      <w:r>
        <w:rPr>
          <w:rFonts w:hint="eastAsia" w:cs="Times New Roman" w:asciiTheme="minorEastAsia" w:hAnsiTheme="minorEastAsia"/>
          <w:b/>
          <w:sz w:val="24"/>
          <w:szCs w:val="24"/>
          <w:highlight w:val="yellow"/>
        </w:rPr>
        <w:t>第一部分资格证明文件、第二部分商务文件和第三部分技术、服务文件。投标人应将投标文件第一部分资格证明文件、第二部分商务文件、第三部分技术、服务文件分别用显著文字说明，统一编制合订成一本投标文件，统一连续标注页码，建立目录索引。各部分文件及内容详见第七章“投标文件格式”要求。</w:t>
      </w:r>
    </w:p>
    <w:p>
      <w:pPr>
        <w:numPr>
          <w:ilvl w:val="0"/>
          <w:numId w:val="12"/>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为方便开标时唱标，投标人应将《开标一览表》一份单独密封提交，并在信封上标明"开标一览表"字样。投标人应将投标文件正本和所有的副本一起密封装在文件袋（或封装袋）中，</w:t>
      </w:r>
      <w:r>
        <w:rPr>
          <w:rFonts w:hint="eastAsia" w:cs="Times New Roman" w:asciiTheme="minorEastAsia" w:hAnsiTheme="minorEastAsia"/>
          <w:b/>
          <w:sz w:val="24"/>
          <w:szCs w:val="24"/>
          <w:highlight w:val="yellow"/>
          <w:lang w:val="zh-CN"/>
        </w:rPr>
        <w:t>并在封面上标明"正本和副本"字样。</w:t>
      </w:r>
      <w:r>
        <w:rPr>
          <w:rFonts w:hint="eastAsia" w:cs="Times New Roman" w:asciiTheme="minorEastAsia" w:hAnsiTheme="minorEastAsia"/>
          <w:b/>
          <w:sz w:val="24"/>
          <w:szCs w:val="24"/>
          <w:lang w:val="zh-CN"/>
        </w:rPr>
        <w:t>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4"/>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4"/>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4"/>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5"/>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6"/>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3"/>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代理采购机构或采购人可要求投标人延长投标有效期。这种要求与答复均应以书面形式提交。投标人可拒绝代理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投标文件的密封和标记</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投标人应将投标文件第一部分资格证明文件、第二部分商务文件、第三部分技术、服务文件一起合并装订成一本投标文件，一起封装。</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投标人应将投标文件正本和副本密封合装在封包中。</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如果未按要求加写密封、标记或存在错误，代理采购机构对其误投或提前启封概不负责。</w:t>
      </w:r>
    </w:p>
    <w:p>
      <w:pPr>
        <w:numPr>
          <w:ilvl w:val="0"/>
          <w:numId w:val="19"/>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投标人应在不迟于投标邀请书中规定的投标截止日期和时间将投标文件密封递交至代理采购机构规定的投标地点。</w:t>
      </w:r>
    </w:p>
    <w:p>
      <w:pPr>
        <w:numPr>
          <w:ilvl w:val="0"/>
          <w:numId w:val="20"/>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代理采购机构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代理采购机构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1"/>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代理采购机构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14" w:name="_Toc15648"/>
      <w:bookmarkStart w:id="15" w:name="_Toc278891595"/>
      <w:bookmarkStart w:id="16" w:name="_Toc494561942"/>
      <w:bookmarkStart w:id="17" w:name="_Toc272247698"/>
      <w:r>
        <w:rPr>
          <w:rFonts w:hint="eastAsia" w:cs="Times New Roman" w:asciiTheme="majorEastAsia" w:hAnsiTheme="majorEastAsia"/>
          <w:bCs w:val="0"/>
          <w:lang w:val="zh-CN"/>
        </w:rPr>
        <w:t>开标与评标</w:t>
      </w:r>
      <w:bookmarkEnd w:id="14"/>
      <w:bookmarkEnd w:id="15"/>
      <w:bookmarkEnd w:id="16"/>
      <w:bookmarkEnd w:id="17"/>
    </w:p>
    <w:p>
      <w:pPr>
        <w:numPr>
          <w:ilvl w:val="0"/>
          <w:numId w:val="3"/>
        </w:numPr>
        <w:spacing w:line="360" w:lineRule="auto"/>
        <w:ind w:left="560" w:hanging="560"/>
        <w:rPr>
          <w:rFonts w:cs="Times New Roman" w:asciiTheme="minorEastAsia" w:hAnsiTheme="minorEastAsia"/>
          <w:sz w:val="24"/>
          <w:szCs w:val="24"/>
          <w:lang w:val="zh-CN"/>
        </w:rPr>
      </w:pPr>
      <w:r>
        <w:rPr>
          <w:rFonts w:hint="eastAsia" w:ascii="宋体" w:hAnsi="宋体" w:eastAsia="宋体" w:cs="Times New Roman"/>
          <w:b/>
          <w:sz w:val="24"/>
          <w:szCs w:val="20"/>
          <w:lang w:val="zh-CN"/>
        </w:rPr>
        <w:t>开标</w:t>
      </w:r>
    </w:p>
    <w:p>
      <w:pPr>
        <w:numPr>
          <w:ilvl w:val="0"/>
          <w:numId w:val="22"/>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w:t>
      </w:r>
      <w:r>
        <w:rPr>
          <w:rFonts w:hint="eastAsia" w:ascii="宋体" w:hAnsi="宋体" w:eastAsia="宋体" w:cs="Times New Roman"/>
          <w:b/>
          <w:bCs/>
          <w:color w:val="FF0000"/>
          <w:sz w:val="24"/>
          <w:szCs w:val="20"/>
          <w:lang w:val="zh-CN"/>
        </w:rPr>
        <w:t>（投标人法定代表人或</w:t>
      </w:r>
      <w:r>
        <w:rPr>
          <w:rFonts w:hint="eastAsia" w:ascii="宋体" w:hAnsi="宋体" w:eastAsia="宋体" w:cs="Times New Roman"/>
          <w:b/>
          <w:bCs/>
          <w:color w:val="FF0000"/>
          <w:sz w:val="24"/>
          <w:szCs w:val="20"/>
          <w:lang w:val="en-US" w:eastAsia="zh-CN"/>
        </w:rPr>
        <w:t>项目负责人</w:t>
      </w:r>
      <w:r>
        <w:rPr>
          <w:rFonts w:hint="eastAsia" w:ascii="宋体" w:hAnsi="宋体" w:eastAsia="宋体" w:cs="Times New Roman"/>
          <w:b/>
          <w:bCs/>
          <w:color w:val="FF0000"/>
          <w:sz w:val="24"/>
          <w:szCs w:val="20"/>
          <w:lang w:val="zh-CN"/>
        </w:rPr>
        <w:t>）</w:t>
      </w:r>
      <w:r>
        <w:rPr>
          <w:rFonts w:hint="eastAsia" w:ascii="宋体" w:hAnsi="宋体" w:eastAsia="宋体" w:cs="Times New Roman"/>
          <w:sz w:val="24"/>
          <w:szCs w:val="20"/>
          <w:lang w:val="zh-CN"/>
        </w:rPr>
        <w:t>参加,参加开标的</w:t>
      </w:r>
      <w:r>
        <w:rPr>
          <w:rFonts w:hint="eastAsia" w:ascii="宋体" w:hAnsi="宋体" w:eastAsia="宋体" w:cs="Times New Roman"/>
          <w:sz w:val="24"/>
          <w:szCs w:val="20"/>
          <w:lang w:val="en-US" w:eastAsia="zh-CN"/>
        </w:rPr>
        <w:t>授权</w:t>
      </w:r>
      <w:r>
        <w:rPr>
          <w:rFonts w:hint="eastAsia" w:ascii="宋体" w:hAnsi="宋体" w:eastAsia="宋体" w:cs="Times New Roman"/>
          <w:sz w:val="24"/>
          <w:szCs w:val="20"/>
          <w:lang w:val="zh-CN"/>
        </w:rPr>
        <w:t>代表应签到以证明其出席</w:t>
      </w:r>
      <w:r>
        <w:rPr>
          <w:rFonts w:hint="eastAsia" w:ascii="宋体" w:hAnsi="宋体" w:eastAsia="宋体" w:cs="Times New Roman"/>
          <w:b/>
          <w:sz w:val="24"/>
          <w:szCs w:val="20"/>
          <w:lang w:val="zh-CN"/>
        </w:rPr>
        <w:t>，否则视同认可开标结果。</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工作人员当众拆封，宣布投标人名称、投标价格和招标文件规定的需要宣布的其他内容。</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代理采购机构负责对开标过程进行记录，由参加开标的各投标人代表和相关工作人员对开标记录进行签字确认。</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代表对开标过程和开标记录有疑义，以及认为采购人、代理采购机构相关工作人员有需要回避的情形的，应当场提出询问或者回避申请。采购人、代理采购机构将及时处理投标人代表提出的询问或者回避申请。</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资格审查</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sz w:val="24"/>
          <w:szCs w:val="20"/>
          <w:lang w:val="zh-CN"/>
        </w:rPr>
        <w:t>公开招标采购项目开标结束后，采购人和代理采购机构依据法律、法规及招标文件的规定，对投标人的资格进行审查，以确定投</w:t>
      </w:r>
      <w:r>
        <w:rPr>
          <w:rFonts w:hint="eastAsia" w:ascii="宋体" w:hAnsi="宋体" w:eastAsia="宋体" w:cs="Times New Roman"/>
          <w:bCs/>
          <w:sz w:val="24"/>
          <w:szCs w:val="20"/>
          <w:lang w:val="zh-CN"/>
        </w:rPr>
        <w:t>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3"/>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w:t>
      </w:r>
      <w:r>
        <w:rPr>
          <w:rFonts w:hint="eastAsia" w:ascii="宋体" w:hAnsi="宋体" w:eastAsia="宋体" w:cs="Helvetica"/>
          <w:kern w:val="0"/>
          <w:sz w:val="24"/>
          <w:szCs w:val="24"/>
          <w:lang w:val="en-US" w:eastAsia="zh-CN"/>
        </w:rPr>
        <w:t>7</w:t>
      </w:r>
      <w:r>
        <w:rPr>
          <w:rFonts w:ascii="宋体" w:hAnsi="宋体" w:eastAsia="宋体" w:cs="Helvetica"/>
          <w:kern w:val="0"/>
          <w:sz w:val="24"/>
          <w:szCs w:val="24"/>
          <w:lang w:val="zh-CN"/>
        </w:rPr>
        <w:t>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Times New Roman"/>
          <w:sz w:val="24"/>
          <w:szCs w:val="20"/>
          <w:lang w:val="zh-CN"/>
        </w:rPr>
        <w:t>。</w:t>
      </w:r>
    </w:p>
    <w:p>
      <w:pPr>
        <w:numPr>
          <w:ilvl w:val="0"/>
          <w:numId w:val="25"/>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7"/>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代理采购机构</w:t>
      </w:r>
      <w:r>
        <w:rPr>
          <w:rFonts w:ascii="宋体" w:hAnsi="宋体" w:eastAsia="宋体" w:cs="Times New Roman"/>
          <w:sz w:val="24"/>
          <w:szCs w:val="20"/>
          <w:lang w:val="zh-CN"/>
        </w:rPr>
        <w:t>或者有关部门报告评标中发现的违法行为。</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18" w:name="_Toc17591"/>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w:t>
      </w:r>
      <w:r>
        <w:rPr>
          <w:rFonts w:hint="eastAsia" w:cs="Helvetica" w:asciiTheme="minorEastAsia" w:hAnsiTheme="minorEastAsia"/>
          <w:kern w:val="0"/>
          <w:sz w:val="24"/>
          <w:szCs w:val="24"/>
          <w:lang w:val="en-US" w:eastAsia="zh-CN"/>
        </w:rPr>
        <w:t>代理采购机构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15403"/>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29"/>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代理采购机构在政府采购监管部门指定的媒体上发布中标公告，同时向中标人和采购人发出《中标通知书》。《中标通知书》是政府采购合同的组成部分,对中标人和采购人具有同等法律效力。</w:t>
      </w:r>
    </w:p>
    <w:p>
      <w:pPr>
        <w:numPr>
          <w:ilvl w:val="0"/>
          <w:numId w:val="29"/>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1"/>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22289"/>
      <w:r>
        <w:rPr>
          <w:rFonts w:hint="eastAsia" w:cs="Times New Roman" w:asciiTheme="majorEastAsia" w:hAnsiTheme="majorEastAsia"/>
          <w:bCs w:val="0"/>
          <w:lang w:val="zh-CN"/>
        </w:rPr>
        <w:t>采购信息公告</w:t>
      </w:r>
      <w:bookmarkEnd w:id="24"/>
      <w:bookmarkEnd w:id="25"/>
    </w:p>
    <w:p>
      <w:pPr>
        <w:numPr>
          <w:ilvl w:val="0"/>
          <w:numId w:val="3"/>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代理采购机构在招标活动中的公告、补充、更正、结果等采购信息均依法在政府采购监管部门指定媒体上（中国湖北政府采购网http://www.ccgp-hubei.gov.cn/）发布。</w:t>
      </w:r>
    </w:p>
    <w:p>
      <w:pPr>
        <w:numPr>
          <w:ilvl w:val="0"/>
          <w:numId w:val="32"/>
        </w:numPr>
        <w:tabs>
          <w:tab w:val="left" w:pos="616"/>
        </w:tabs>
        <w:spacing w:line="360" w:lineRule="auto"/>
        <w:ind w:left="616" w:hanging="616"/>
        <w:rPr>
          <w:rFonts w:cs="Helvetica" w:asciiTheme="minorEastAsia" w:hAnsiTheme="minorEastAsia"/>
          <w:b/>
          <w:kern w:val="0"/>
          <w:sz w:val="24"/>
          <w:szCs w:val="24"/>
          <w:lang w:val="zh-CN"/>
        </w:rPr>
      </w:pPr>
      <w:r>
        <w:rPr>
          <w:rFonts w:hint="eastAsia" w:cs="Helvetica" w:asciiTheme="minorEastAsia" w:hAnsiTheme="minorEastAsia"/>
          <w:kern w:val="0"/>
          <w:sz w:val="24"/>
          <w:szCs w:val="24"/>
          <w:lang w:val="zh-CN"/>
        </w:rPr>
        <w:t>代理采购机构在自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16076"/>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投标人认为招标文件、招标过程和中标结果使自己的权益受到损害的，可以在知道或者应知其权益受到损害之日起7个工作日内，向代理采购机构</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投标人未按本章“质疑及提交”规定的时限、内容及方式进行质疑的，代理采购机构不予受理。</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27078"/>
      <w:r>
        <w:rPr>
          <w:rFonts w:hint="eastAsia" w:cs="Times New Roman" w:asciiTheme="majorEastAsia" w:hAnsiTheme="majorEastAsia"/>
          <w:bCs w:val="0"/>
          <w:lang w:val="zh-CN"/>
        </w:rPr>
        <w:t>相关条文解读</w:t>
      </w:r>
      <w:bookmarkEnd w:id="28"/>
      <w:bookmarkEnd w:id="29"/>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根据财政部《政府采购法实施条例》释义中关于供应商资格条件的解释，对于银行、保险、石油石化、电力、电信等有行业特殊情况的，采购人和代理采购机构允许其分支机构参与投标。</w:t>
      </w:r>
    </w:p>
    <w:p>
      <w:pPr>
        <w:pStyle w:val="5"/>
        <w:numPr>
          <w:ilvl w:val="0"/>
          <w:numId w:val="8"/>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24582"/>
      <w:r>
        <w:rPr>
          <w:rFonts w:hint="eastAsia" w:cs="Times New Roman" w:asciiTheme="majorEastAsia" w:hAnsiTheme="majorEastAsia"/>
          <w:bCs w:val="0"/>
          <w:lang w:val="zh-CN"/>
        </w:rPr>
        <w:t>其他注意事项</w:t>
      </w:r>
      <w:bookmarkEnd w:id="30"/>
      <w:bookmarkEnd w:id="31"/>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5"/>
        <w:numPr>
          <w:ilvl w:val="0"/>
          <w:numId w:val="8"/>
        </w:numPr>
        <w:spacing w:before="40" w:after="40" w:line="360" w:lineRule="auto"/>
        <w:ind w:left="966" w:hanging="966"/>
        <w:jc w:val="left"/>
        <w:rPr>
          <w:rFonts w:cs="Times New Roman" w:asciiTheme="majorEastAsia" w:hAnsiTheme="majorEastAsia"/>
          <w:bCs w:val="0"/>
          <w:lang w:val="zh-CN"/>
        </w:rPr>
      </w:pPr>
      <w:bookmarkStart w:id="32" w:name="_Toc278891598"/>
      <w:bookmarkStart w:id="33" w:name="_Toc32430"/>
      <w:bookmarkStart w:id="34" w:name="_Toc494561949"/>
      <w:bookmarkStart w:id="35" w:name="_Toc272247701"/>
      <w:r>
        <w:rPr>
          <w:rFonts w:hint="eastAsia" w:cs="Times New Roman" w:asciiTheme="majorEastAsia" w:hAnsiTheme="majorEastAsia"/>
          <w:bCs w:val="0"/>
          <w:lang w:val="zh-CN"/>
        </w:rPr>
        <w:t>适用法律</w:t>
      </w:r>
      <w:bookmarkEnd w:id="32"/>
      <w:bookmarkEnd w:id="33"/>
      <w:bookmarkEnd w:id="34"/>
      <w:bookmarkEnd w:id="35"/>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采购人、代理采购机构及投标人的一切招标投标活动均适用《政府采购法》、《政府采购法实施条例》、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3"/>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w:t>
      </w:r>
      <w:r>
        <w:rPr>
          <w:rFonts w:hint="eastAsia" w:ascii="Helvetica" w:hAnsi="Helvetica" w:eastAsia="宋体" w:cs="Helvetica"/>
          <w:kern w:val="0"/>
          <w:sz w:val="24"/>
          <w:szCs w:val="24"/>
          <w:lang w:val="en-US" w:eastAsia="zh-CN"/>
        </w:rPr>
        <w:t>民法典</w:t>
      </w:r>
      <w:r>
        <w:rPr>
          <w:rFonts w:ascii="Helvetica" w:hAnsi="Helvetica" w:eastAsia="宋体" w:cs="Helvetica"/>
          <w:kern w:val="0"/>
          <w:sz w:val="24"/>
          <w:szCs w:val="24"/>
          <w:lang w:val="zh-CN"/>
        </w:rPr>
        <w:t>》。</w:t>
      </w:r>
    </w:p>
    <w:p>
      <w:pPr>
        <w:pStyle w:val="5"/>
        <w:numPr>
          <w:ilvl w:val="0"/>
          <w:numId w:val="8"/>
        </w:numPr>
        <w:spacing w:before="40" w:after="40" w:line="360" w:lineRule="auto"/>
        <w:ind w:left="966" w:hanging="966"/>
        <w:jc w:val="left"/>
        <w:rPr>
          <w:rFonts w:cs="Times New Roman" w:asciiTheme="majorEastAsia" w:hAnsiTheme="majorEastAsia"/>
          <w:bCs w:val="0"/>
          <w:lang w:val="zh-CN"/>
        </w:rPr>
      </w:pPr>
      <w:bookmarkStart w:id="36" w:name="_Toc10667"/>
      <w:bookmarkStart w:id="37" w:name="_Toc272247702"/>
      <w:bookmarkStart w:id="38" w:name="_Toc494561950"/>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3"/>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采购人、代理采购机构</w:t>
      </w:r>
      <w:r>
        <w:rPr>
          <w:rFonts w:hint="eastAsia" w:ascii="宋体" w:hAnsi="宋体" w:eastAsia="宋体" w:cs="Times New Roman"/>
          <w:sz w:val="24"/>
          <w:szCs w:val="20"/>
          <w:lang w:val="zh-CN"/>
        </w:rPr>
        <w:t>所有。</w:t>
      </w:r>
      <w:r>
        <w:br w:type="page"/>
      </w:r>
    </w:p>
    <w:p>
      <w:pPr>
        <w:pStyle w:val="4"/>
        <w:spacing w:line="240" w:lineRule="auto"/>
        <w:jc w:val="center"/>
        <w:rPr>
          <w:rFonts w:ascii="黑体" w:hAnsi="黑体" w:eastAsia="黑体"/>
        </w:rPr>
      </w:pPr>
      <w:bookmarkStart w:id="40" w:name="_Toc12871"/>
      <w:r>
        <w:rPr>
          <w:rFonts w:hint="eastAsia" w:ascii="Wingdings" w:hAnsi="Wingdings" w:eastAsia="黑体"/>
          <w:b w:val="0"/>
          <w:highlight w:val="none"/>
        </w:rPr>
        <w:t>第三章</w:t>
      </w:r>
      <w:r>
        <w:rPr>
          <w:rFonts w:ascii="Wingdings" w:hAnsi="Wingdings" w:eastAsia="黑体"/>
          <w:b w:val="0"/>
        </w:rPr>
        <w:t></w:t>
      </w:r>
      <w:r>
        <w:rPr>
          <w:rFonts w:hint="eastAsia" w:ascii="黑体" w:hAnsi="黑体" w:eastAsia="黑体"/>
        </w:rPr>
        <w:t>项目技术、服务及商务要求</w:t>
      </w:r>
      <w:bookmarkEnd w:id="40"/>
    </w:p>
    <w:p>
      <w:pPr>
        <w:numPr>
          <w:ilvl w:val="0"/>
          <w:numId w:val="35"/>
        </w:numPr>
        <w:spacing w:line="360" w:lineRule="auto"/>
        <w:rPr>
          <w:rFonts w:hint="eastAsia" w:ascii="宋体" w:hAnsi="宋体" w:eastAsia="宋体" w:cs="宋体"/>
          <w:b/>
          <w:bCs/>
          <w:kern w:val="0"/>
          <w:sz w:val="28"/>
          <w:szCs w:val="28"/>
          <w:lang w:val="zh-CN" w:bidi="zh-CN"/>
        </w:rPr>
      </w:pPr>
      <w:bookmarkStart w:id="41" w:name="_Toc21666"/>
      <w:r>
        <w:rPr>
          <w:rFonts w:hint="eastAsia" w:ascii="宋体" w:hAnsi="宋体" w:eastAsia="宋体" w:cs="宋体"/>
          <w:b/>
          <w:bCs/>
          <w:kern w:val="0"/>
          <w:sz w:val="28"/>
          <w:szCs w:val="28"/>
          <w:lang w:val="zh-CN" w:bidi="zh-CN"/>
        </w:rPr>
        <w:t>项目概况：</w:t>
      </w:r>
    </w:p>
    <w:p>
      <w:pPr>
        <w:numPr>
          <w:ilvl w:val="0"/>
          <w:numId w:val="0"/>
        </w:numPr>
        <w:spacing w:line="360" w:lineRule="auto"/>
        <w:ind w:firstLine="480" w:firstLineChars="200"/>
        <w:rPr>
          <w:rFonts w:ascii="宋体" w:hAnsi="宋体" w:eastAsia="宋体" w:cs="宋体"/>
          <w:b w:val="0"/>
          <w:bCs w:val="0"/>
          <w:spacing w:val="-1"/>
          <w:kern w:val="0"/>
          <w:sz w:val="22"/>
          <w:szCs w:val="21"/>
          <w:lang w:val="zh-CN" w:bidi="zh-CN"/>
        </w:rPr>
      </w:pPr>
      <w:r>
        <w:rPr>
          <w:rFonts w:hint="eastAsia" w:ascii="宋体" w:hAnsi="宋体" w:eastAsia="宋体" w:cs="宋体"/>
          <w:b w:val="0"/>
          <w:bCs w:val="0"/>
          <w:kern w:val="0"/>
          <w:sz w:val="24"/>
          <w:szCs w:val="24"/>
          <w:lang w:val="en-US" w:eastAsia="zh-CN" w:bidi="zh-CN"/>
        </w:rPr>
        <w:t>1、</w:t>
      </w:r>
      <w:r>
        <w:rPr>
          <w:rFonts w:hint="eastAsia" w:ascii="宋体" w:hAnsi="宋体" w:eastAsia="宋体" w:cs="宋体"/>
          <w:b w:val="0"/>
          <w:bCs w:val="0"/>
          <w:kern w:val="0"/>
          <w:sz w:val="24"/>
          <w:szCs w:val="24"/>
          <w:lang w:val="zh-CN" w:eastAsia="zh-CN" w:bidi="zh-CN"/>
        </w:rPr>
        <w:t>我县已启动</w:t>
      </w:r>
      <w:r>
        <w:rPr>
          <w:rFonts w:hint="eastAsia" w:ascii="宋体" w:hAnsi="宋体" w:eastAsia="宋体" w:cs="宋体"/>
          <w:b w:val="0"/>
          <w:bCs w:val="0"/>
          <w:kern w:val="0"/>
          <w:sz w:val="24"/>
          <w:szCs w:val="24"/>
          <w:lang w:val="zh-CN" w:bidi="zh-CN"/>
        </w:rPr>
        <w:t>阳新县长江大保护水环境综合治理PPP项目(一期工程)</w:t>
      </w:r>
      <w:r>
        <w:rPr>
          <w:rFonts w:hint="eastAsia" w:ascii="宋体" w:hAnsi="宋体" w:eastAsia="宋体" w:cs="宋体"/>
          <w:b w:val="0"/>
          <w:bCs w:val="0"/>
          <w:kern w:val="0"/>
          <w:sz w:val="24"/>
          <w:szCs w:val="24"/>
          <w:lang w:val="zh-CN" w:eastAsia="zh-CN" w:bidi="zh-CN"/>
        </w:rPr>
        <w:t>，为确保工程质量、进度、投资等可控，现对该项目进行工程量清单及招标控制价编制。</w:t>
      </w:r>
    </w:p>
    <w:p>
      <w:pPr>
        <w:tabs>
          <w:tab w:val="left" w:pos="1314"/>
        </w:tabs>
        <w:autoSpaceDE w:val="0"/>
        <w:autoSpaceDN w:val="0"/>
        <w:spacing w:before="1" w:line="379" w:lineRule="auto"/>
        <w:ind w:right="310" w:firstLine="476" w:firstLineChars="200"/>
        <w:rPr>
          <w:rFonts w:hint="default" w:ascii="宋体" w:hAnsi="宋体" w:eastAsia="宋体" w:cs="宋体"/>
          <w:spacing w:val="-1"/>
          <w:kern w:val="0"/>
          <w:sz w:val="24"/>
          <w:lang w:val="en-US" w:bidi="zh-CN"/>
        </w:rPr>
      </w:pPr>
      <w:r>
        <w:rPr>
          <w:rFonts w:hint="eastAsia" w:ascii="宋体" w:hAnsi="宋体" w:eastAsia="宋体" w:cs="宋体"/>
          <w:spacing w:val="-1"/>
          <w:kern w:val="0"/>
          <w:sz w:val="24"/>
          <w:lang w:val="en-US" w:bidi="zh-CN"/>
        </w:rPr>
        <w:t>2、结算金额</w:t>
      </w:r>
      <w:r>
        <w:rPr>
          <w:rFonts w:hint="eastAsia" w:ascii="宋体" w:hAnsi="宋体" w:eastAsia="宋体" w:cs="宋体"/>
          <w:spacing w:val="-1"/>
          <w:kern w:val="0"/>
          <w:sz w:val="24"/>
          <w:lang w:bidi="zh-CN"/>
        </w:rPr>
        <w:t>：</w:t>
      </w:r>
      <w:r>
        <w:rPr>
          <w:rFonts w:hint="eastAsia" w:ascii="宋体" w:hAnsi="宋体" w:eastAsia="宋体" w:cs="宋体"/>
          <w:color w:val="0000FF"/>
          <w:spacing w:val="-1"/>
          <w:kern w:val="0"/>
          <w:sz w:val="24"/>
          <w:lang w:val="zh-CN" w:bidi="zh-CN"/>
        </w:rPr>
        <w:t>以阳新县长江大保护水环境综合治理PPP项目(一期工程)建设项目中标价中建安工程费的11个单项分别作为计费基数（新建部分，不含存量工程），参照湖北省物价局和湖北省住房和城乡建设厅关于印发《工程造价咨询服务收费标准》的通知（鄂价工服规【2012】149号）计算后的基准价</w:t>
      </w:r>
      <w:r>
        <w:rPr>
          <w:rFonts w:hint="eastAsia" w:ascii="宋体" w:hAnsi="宋体" w:eastAsia="宋体" w:cs="宋体"/>
          <w:color w:val="0000FF"/>
          <w:spacing w:val="-1"/>
          <w:kern w:val="0"/>
          <w:sz w:val="24"/>
          <w:lang w:val="zh-CN" w:eastAsia="zh-CN" w:bidi="zh-CN"/>
        </w:rPr>
        <w:t>，下浮30%。（报下浮率）。</w:t>
      </w:r>
    </w:p>
    <w:p>
      <w:pPr>
        <w:spacing w:line="360" w:lineRule="auto"/>
        <w:rPr>
          <w:rFonts w:ascii="宋体" w:hAnsi="宋体" w:eastAsia="宋体" w:cs="宋体"/>
          <w:b/>
          <w:bCs/>
          <w:kern w:val="0"/>
          <w:sz w:val="28"/>
          <w:szCs w:val="28"/>
          <w:lang w:val="zh-CN" w:bidi="zh-CN"/>
        </w:rPr>
      </w:pPr>
      <w:r>
        <w:rPr>
          <w:rFonts w:hint="eastAsia" w:ascii="宋体" w:hAnsi="宋体" w:eastAsia="宋体" w:cs="宋体"/>
          <w:b/>
          <w:bCs/>
          <w:kern w:val="0"/>
          <w:sz w:val="28"/>
          <w:szCs w:val="28"/>
          <w:lang w:bidi="zh-CN"/>
        </w:rPr>
        <w:t xml:space="preserve">二、项目需求 </w:t>
      </w:r>
    </w:p>
    <w:p>
      <w:pPr>
        <w:widowControl/>
        <w:snapToGrid w:val="0"/>
        <w:spacing w:line="360" w:lineRule="auto"/>
        <w:jc w:val="left"/>
        <w:rPr>
          <w:highlight w:val="none"/>
        </w:rPr>
      </w:pP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rPr>
        <w:t>一</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造价咨询</w:t>
      </w:r>
      <w:r>
        <w:rPr>
          <w:rFonts w:hint="eastAsia" w:ascii="宋体" w:hAnsi="宋体" w:eastAsia="宋体" w:cs="宋体"/>
          <w:color w:val="000000"/>
          <w:kern w:val="0"/>
          <w:sz w:val="24"/>
          <w:szCs w:val="24"/>
          <w:highlight w:val="none"/>
        </w:rPr>
        <w:t xml:space="preserve">标准 </w:t>
      </w:r>
    </w:p>
    <w:p>
      <w:pPr>
        <w:widowControl/>
        <w:snapToGrid w:val="0"/>
        <w:spacing w:line="360" w:lineRule="auto"/>
        <w:jc w:val="left"/>
        <w:rPr>
          <w:highlight w:val="none"/>
        </w:rPr>
      </w:pPr>
      <w:r>
        <w:rPr>
          <w:rFonts w:hint="eastAsia" w:ascii="宋体" w:hAnsi="宋体" w:eastAsia="宋体" w:cs="宋体"/>
          <w:color w:val="000000"/>
          <w:kern w:val="0"/>
          <w:sz w:val="24"/>
          <w:szCs w:val="24"/>
          <w:highlight w:val="none"/>
        </w:rPr>
        <w:t>满足国家及地方相关行业规范、标准要求</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 </w:t>
      </w:r>
    </w:p>
    <w:p>
      <w:pPr>
        <w:widowControl/>
        <w:numPr>
          <w:ilvl w:val="0"/>
          <w:numId w:val="36"/>
        </w:numPr>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造价咨询</w:t>
      </w:r>
      <w:r>
        <w:rPr>
          <w:rFonts w:hint="eastAsia" w:ascii="宋体" w:hAnsi="宋体" w:eastAsia="宋体" w:cs="宋体"/>
          <w:color w:val="000000"/>
          <w:kern w:val="0"/>
          <w:sz w:val="24"/>
          <w:szCs w:val="24"/>
          <w:highlight w:val="none"/>
        </w:rPr>
        <w:t xml:space="preserve">要求 </w:t>
      </w:r>
    </w:p>
    <w:p>
      <w:pPr>
        <w:widowControl/>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工程量清单及招标控制价的编制；</w:t>
      </w:r>
    </w:p>
    <w:p>
      <w:pPr>
        <w:widowControl/>
        <w:snapToGrid w:val="0"/>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编制工程造价计价</w:t>
      </w:r>
      <w:r>
        <w:rPr>
          <w:rFonts w:hint="eastAsia" w:ascii="宋体" w:hAnsi="宋体" w:eastAsia="宋体" w:cs="宋体"/>
          <w:color w:val="000000"/>
          <w:kern w:val="0"/>
          <w:sz w:val="24"/>
          <w:szCs w:val="24"/>
          <w:highlight w:val="none"/>
          <w:lang w:eastAsia="zh-CN"/>
        </w:rPr>
        <w:t>说明</w:t>
      </w:r>
      <w:r>
        <w:rPr>
          <w:rFonts w:hint="eastAsia" w:ascii="宋体" w:hAnsi="宋体" w:eastAsia="宋体" w:cs="宋体"/>
          <w:color w:val="000000"/>
          <w:kern w:val="0"/>
          <w:sz w:val="24"/>
          <w:szCs w:val="24"/>
          <w:highlight w:val="none"/>
        </w:rPr>
        <w:t>；</w:t>
      </w:r>
    </w:p>
    <w:p>
      <w:pPr>
        <w:pStyle w:val="2"/>
        <w:ind w:left="0" w:leftChars="0" w:firstLine="0" w:firstLineChars="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eastAsia="zh-CN"/>
        </w:rPr>
        <w:t>对</w:t>
      </w:r>
      <w:r>
        <w:rPr>
          <w:rFonts w:hint="eastAsia" w:ascii="宋体" w:hAnsi="宋体" w:eastAsia="宋体" w:cs="宋体"/>
          <w:color w:val="000000"/>
          <w:kern w:val="0"/>
          <w:sz w:val="24"/>
          <w:szCs w:val="24"/>
          <w:highlight w:val="none"/>
        </w:rPr>
        <w:t>工程量清单及招标控制价</w:t>
      </w:r>
      <w:r>
        <w:rPr>
          <w:rFonts w:hint="eastAsia" w:ascii="宋体" w:hAnsi="宋体" w:eastAsia="宋体" w:cs="宋体"/>
          <w:color w:val="000000"/>
          <w:kern w:val="0"/>
          <w:sz w:val="24"/>
          <w:szCs w:val="24"/>
          <w:highlight w:val="none"/>
          <w:lang w:eastAsia="zh-CN"/>
        </w:rPr>
        <w:t>成果与财政评审机构进行交接</w:t>
      </w:r>
      <w:r>
        <w:rPr>
          <w:rFonts w:hint="eastAsia" w:ascii="宋体" w:hAnsi="宋体" w:eastAsia="宋体" w:cs="宋体"/>
          <w:color w:val="000000"/>
          <w:kern w:val="0"/>
          <w:sz w:val="24"/>
          <w:szCs w:val="24"/>
          <w:highlight w:val="none"/>
        </w:rPr>
        <w:t>；</w:t>
      </w:r>
    </w:p>
    <w:p>
      <w:pPr>
        <w:pStyle w:val="2"/>
        <w:ind w:left="0" w:leftChars="0" w:firstLine="0" w:firstLineChars="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4.对施工过程签证及设计变更提供计价依据和审核。</w:t>
      </w:r>
    </w:p>
    <w:p>
      <w:pPr>
        <w:pStyle w:val="2"/>
        <w:ind w:left="0" w:leftChars="0" w:firstLine="0" w:firstLineChars="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（三）服务要求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1、中标人应建立健全内部控制制度，加强对执业人员的培训和管理，确保能满足招标人的服务需要。</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2、中标人不得因业务量大小、难易程度、地域远近而拒绝招标人按相关规定委托的具体项目和工作内容。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中标人应严格按照国家、湖北省有关财政财务、基建管理、工程造价相关政策法规规定以及招标人有关项目的要求，客观、公正地开展相关工作，对工作成果的真实性、准确性、完整性、合法性、合理性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4、中标人在合同期间应按照招标人要求开展工作，严格执行现场管理的有关规定，自觉接受招标人业务指导和监督，并遵守廉政、保密等相关纪律。</w:t>
      </w:r>
    </w:p>
    <w:p>
      <w:pPr>
        <w:pStyle w:val="2"/>
        <w:ind w:left="0" w:leftChars="0" w:firstLine="0" w:firstLineChars="0"/>
        <w:rPr>
          <w:rFonts w:hint="eastAsia" w:ascii="宋体" w:hAnsi="宋体" w:eastAsia="宋体" w:cs="宋体"/>
          <w:color w:val="000000"/>
          <w:kern w:val="0"/>
          <w:sz w:val="24"/>
          <w:szCs w:val="24"/>
          <w:highlight w:val="none"/>
          <w:lang w:val="en-US" w:eastAsia="zh-CN"/>
        </w:rPr>
      </w:pPr>
    </w:p>
    <w:p>
      <w:pPr>
        <w:pStyle w:val="2"/>
        <w:ind w:left="0" w:leftChars="0" w:firstLine="0" w:firstLineChars="0"/>
        <w:rPr>
          <w:rFonts w:hint="default" w:ascii="宋体" w:hAnsi="宋体" w:eastAsia="宋体" w:cs="宋体"/>
          <w:color w:val="000000"/>
          <w:kern w:val="0"/>
          <w:sz w:val="24"/>
          <w:szCs w:val="24"/>
          <w:highlight w:val="none"/>
          <w:lang w:val="en-US" w:eastAsia="zh-CN"/>
        </w:rPr>
      </w:pPr>
    </w:p>
    <w:p>
      <w:pPr>
        <w:autoSpaceDE w:val="0"/>
        <w:autoSpaceDN w:val="0"/>
        <w:spacing w:before="62" w:line="480" w:lineRule="auto"/>
        <w:jc w:val="left"/>
        <w:outlineLvl w:val="3"/>
        <w:rPr>
          <w:rFonts w:ascii="宋体" w:hAnsi="宋体" w:eastAsia="宋体" w:cs="宋体"/>
          <w:b/>
          <w:bCs/>
          <w:kern w:val="0"/>
          <w:sz w:val="28"/>
          <w:szCs w:val="28"/>
          <w:lang w:val="zh-CN" w:bidi="zh-CN"/>
        </w:rPr>
      </w:pPr>
      <w:r>
        <w:rPr>
          <w:rFonts w:hint="eastAsia" w:ascii="宋体" w:hAnsi="宋体" w:eastAsia="宋体" w:cs="宋体"/>
          <w:b/>
          <w:bCs/>
          <w:kern w:val="0"/>
          <w:sz w:val="28"/>
          <w:szCs w:val="28"/>
          <w:lang w:bidi="zh-CN"/>
        </w:rPr>
        <w:t>三、技术</w:t>
      </w:r>
      <w:r>
        <w:rPr>
          <w:rFonts w:ascii="宋体" w:hAnsi="宋体" w:eastAsia="宋体" w:cs="宋体"/>
          <w:b/>
          <w:bCs/>
          <w:kern w:val="0"/>
          <w:sz w:val="28"/>
          <w:szCs w:val="28"/>
          <w:lang w:val="zh-CN" w:bidi="zh-CN"/>
        </w:rPr>
        <w:t>要求</w:t>
      </w:r>
      <w:bookmarkEnd w:id="41"/>
    </w:p>
    <w:p>
      <w:pPr>
        <w:pStyle w:val="11"/>
        <w:rPr>
          <w:rFonts w:ascii="宋体" w:hAnsi="宋体" w:eastAsia="宋体" w:cs="宋体"/>
          <w:color w:val="000000"/>
          <w:kern w:val="0"/>
          <w:sz w:val="24"/>
          <w:szCs w:val="24"/>
          <w:lang w:val="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highlight w:val="none"/>
        </w:rPr>
        <w:t>项目拟派</w:t>
      </w:r>
      <w:r>
        <w:rPr>
          <w:rFonts w:hint="eastAsia" w:ascii="宋体" w:hAnsi="宋体" w:eastAsia="宋体" w:cs="宋体"/>
          <w:color w:val="000000"/>
          <w:kern w:val="0"/>
          <w:sz w:val="24"/>
          <w:szCs w:val="24"/>
          <w:highlight w:val="none"/>
          <w:lang w:val="zh-CN"/>
        </w:rPr>
        <w:t>人员要求：</w:t>
      </w:r>
    </w:p>
    <w:tbl>
      <w:tblPr>
        <w:tblStyle w:val="61"/>
        <w:tblW w:w="8689" w:type="dxa"/>
        <w:jc w:val="center"/>
        <w:tblLayout w:type="fixed"/>
        <w:tblCellMar>
          <w:top w:w="0" w:type="dxa"/>
          <w:left w:w="0" w:type="dxa"/>
          <w:bottom w:w="0" w:type="dxa"/>
          <w:right w:w="0" w:type="dxa"/>
        </w:tblCellMar>
      </w:tblPr>
      <w:tblGrid>
        <w:gridCol w:w="585"/>
        <w:gridCol w:w="1531"/>
        <w:gridCol w:w="4935"/>
        <w:gridCol w:w="621"/>
        <w:gridCol w:w="1017"/>
      </w:tblGrid>
      <w:tr>
        <w:tblPrEx>
          <w:tblCellMar>
            <w:top w:w="0" w:type="dxa"/>
            <w:left w:w="0" w:type="dxa"/>
            <w:bottom w:w="0" w:type="dxa"/>
            <w:right w:w="0" w:type="dxa"/>
          </w:tblCellMar>
        </w:tblPrEx>
        <w:trPr>
          <w:trHeight w:val="774" w:hRule="atLeast"/>
          <w:jc w:val="center"/>
        </w:trPr>
        <w:tc>
          <w:tcPr>
            <w:tcW w:w="585" w:type="dxa"/>
            <w:vMerge w:val="restart"/>
            <w:tcBorders>
              <w:top w:val="single" w:color="000000" w:sz="4" w:space="0"/>
              <w:left w:val="single" w:color="000000" w:sz="4" w:space="0"/>
              <w:right w:val="single" w:color="000000" w:sz="4" w:space="0"/>
            </w:tcBorders>
            <w:vAlign w:val="center"/>
          </w:tcPr>
          <w:p>
            <w:pPr>
              <w:pStyle w:val="55"/>
              <w:spacing w:before="5"/>
              <w:jc w:val="center"/>
              <w:rPr>
                <w:lang w:val="zh-CN"/>
              </w:rPr>
            </w:pPr>
            <w:r>
              <w:rPr>
                <w:rFonts w:hint="eastAsia"/>
                <w:lang w:val="zh-CN"/>
              </w:rPr>
              <w:t>主</w:t>
            </w:r>
          </w:p>
          <w:p>
            <w:pPr>
              <w:pStyle w:val="55"/>
              <w:spacing w:before="5"/>
              <w:jc w:val="center"/>
              <w:rPr>
                <w:lang w:val="zh-CN"/>
              </w:rPr>
            </w:pPr>
            <w:r>
              <w:rPr>
                <w:rFonts w:hint="eastAsia"/>
                <w:lang w:val="zh-CN"/>
              </w:rPr>
              <w:t>要</w:t>
            </w:r>
          </w:p>
          <w:p>
            <w:pPr>
              <w:pStyle w:val="55"/>
              <w:spacing w:before="5"/>
              <w:jc w:val="center"/>
              <w:rPr>
                <w:lang w:val="zh-CN"/>
              </w:rPr>
            </w:pPr>
            <w:r>
              <w:rPr>
                <w:rFonts w:hint="eastAsia"/>
                <w:lang w:val="zh-CN"/>
              </w:rPr>
              <w:t>人</w:t>
            </w:r>
          </w:p>
          <w:p>
            <w:pPr>
              <w:pStyle w:val="55"/>
              <w:spacing w:before="5"/>
              <w:jc w:val="center"/>
              <w:rPr>
                <w:lang w:val="zh-CN"/>
              </w:rPr>
            </w:pPr>
            <w:r>
              <w:rPr>
                <w:rFonts w:hint="eastAsia"/>
                <w:lang w:val="zh-CN"/>
              </w:rPr>
              <w:t>员</w:t>
            </w:r>
          </w:p>
          <w:p>
            <w:pPr>
              <w:pStyle w:val="55"/>
              <w:spacing w:before="5"/>
              <w:jc w:val="center"/>
              <w:rPr>
                <w:lang w:val="zh-CN"/>
              </w:rPr>
            </w:pPr>
            <w:r>
              <w:rPr>
                <w:rFonts w:hint="eastAsia"/>
                <w:lang w:val="zh-CN"/>
              </w:rPr>
              <w:t>要</w:t>
            </w:r>
          </w:p>
          <w:p>
            <w:pPr>
              <w:pStyle w:val="55"/>
              <w:spacing w:before="5"/>
              <w:jc w:val="center"/>
              <w:rPr>
                <w:lang w:val="zh-CN"/>
              </w:rPr>
            </w:pPr>
            <w:r>
              <w:rPr>
                <w:rFonts w:hint="eastAsia"/>
                <w:lang w:val="zh-CN"/>
              </w:rPr>
              <w:t>求</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lang w:val="zh-CN"/>
              </w:rPr>
            </w:pPr>
            <w:r>
              <w:rPr>
                <w:rFonts w:hint="eastAsia"/>
                <w:lang w:val="en-US" w:eastAsia="zh-CN"/>
              </w:rPr>
              <w:t>造价</w:t>
            </w:r>
            <w:r>
              <w:rPr>
                <w:rFonts w:hint="eastAsia"/>
                <w:lang w:val="zh-CN"/>
              </w:rPr>
              <w:t>岗位</w:t>
            </w:r>
          </w:p>
        </w:tc>
        <w:tc>
          <w:tcPr>
            <w:tcW w:w="4935"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lang w:val="zh-CN"/>
              </w:rPr>
            </w:pPr>
            <w:r>
              <w:rPr>
                <w:rFonts w:hint="eastAsia"/>
                <w:lang w:val="zh-CN"/>
              </w:rPr>
              <w:t>资格要求</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lang w:val="zh-CN"/>
              </w:rPr>
            </w:pPr>
            <w:r>
              <w:rPr>
                <w:rFonts w:hint="eastAsia"/>
                <w:lang w:val="zh-CN"/>
              </w:rPr>
              <w:t>数量</w:t>
            </w:r>
          </w:p>
        </w:tc>
        <w:tc>
          <w:tcPr>
            <w:tcW w:w="1017" w:type="dxa"/>
            <w:vMerge w:val="restart"/>
            <w:tcBorders>
              <w:top w:val="single" w:color="000000" w:sz="4" w:space="0"/>
              <w:left w:val="single" w:color="000000" w:sz="4" w:space="0"/>
              <w:right w:val="single" w:color="000000" w:sz="4" w:space="0"/>
            </w:tcBorders>
            <w:vAlign w:val="center"/>
          </w:tcPr>
          <w:p>
            <w:pPr>
              <w:pStyle w:val="55"/>
              <w:spacing w:before="5"/>
              <w:rPr>
                <w:lang w:val="zh-CN"/>
              </w:rPr>
            </w:pPr>
            <w:r>
              <w:rPr>
                <w:rFonts w:hint="eastAsia"/>
                <w:szCs w:val="24"/>
                <w:shd w:val="clear" w:color="auto" w:fill="FFFFFF"/>
                <w:lang w:val="en-US" w:eastAsia="zh-CN"/>
              </w:rPr>
              <w:t>拟派人员必须为专职，不得兼任项目其他职务，</w:t>
            </w:r>
            <w:r>
              <w:rPr>
                <w:rFonts w:hint="eastAsia"/>
                <w:lang w:val="zh-CN"/>
              </w:rPr>
              <w:t>提供劳动合同及</w:t>
            </w:r>
            <w:r>
              <w:rPr>
                <w:rFonts w:hint="eastAsia"/>
              </w:rPr>
              <w:t>相关证明材料</w:t>
            </w:r>
            <w:r>
              <w:rPr>
                <w:rFonts w:hint="eastAsia"/>
                <w:lang w:val="zh-CN"/>
              </w:rPr>
              <w:t>彩色扫描件</w:t>
            </w:r>
            <w:r>
              <w:rPr>
                <w:rFonts w:hint="eastAsia"/>
              </w:rPr>
              <w:t>。</w:t>
            </w:r>
          </w:p>
        </w:tc>
      </w:tr>
      <w:tr>
        <w:tblPrEx>
          <w:tblCellMar>
            <w:top w:w="0" w:type="dxa"/>
            <w:left w:w="0" w:type="dxa"/>
            <w:bottom w:w="0" w:type="dxa"/>
            <w:right w:w="0" w:type="dxa"/>
          </w:tblCellMar>
        </w:tblPrEx>
        <w:trPr>
          <w:trHeight w:val="1465" w:hRule="atLeast"/>
          <w:jc w:val="center"/>
        </w:trPr>
        <w:tc>
          <w:tcPr>
            <w:tcW w:w="585" w:type="dxa"/>
            <w:vMerge w:val="continue"/>
            <w:tcBorders>
              <w:left w:val="single" w:color="000000" w:sz="4" w:space="0"/>
              <w:right w:val="single" w:color="000000" w:sz="4" w:space="0"/>
            </w:tcBorders>
            <w:vAlign w:val="center"/>
          </w:tcPr>
          <w:p>
            <w:pPr>
              <w:pStyle w:val="55"/>
              <w:spacing w:before="5"/>
              <w:jc w:val="center"/>
              <w:rPr>
                <w:lang w:val="zh-CN"/>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lang w:val="zh-CN"/>
              </w:rPr>
            </w:pPr>
          </w:p>
          <w:p>
            <w:pPr>
              <w:pStyle w:val="55"/>
              <w:spacing w:before="5"/>
              <w:jc w:val="center"/>
              <w:rPr>
                <w:lang w:val="zh-CN"/>
              </w:rPr>
            </w:pPr>
          </w:p>
          <w:p>
            <w:pPr>
              <w:pStyle w:val="55"/>
              <w:spacing w:before="5"/>
              <w:jc w:val="center"/>
              <w:rPr>
                <w:rFonts w:hint="eastAsia" w:eastAsia="宋体"/>
                <w:lang w:eastAsia="zh-CN"/>
              </w:rPr>
            </w:pPr>
            <w:r>
              <w:rPr>
                <w:rFonts w:hint="eastAsia"/>
                <w:lang w:val="en-US" w:eastAsia="zh-CN"/>
              </w:rPr>
              <w:t>项目负责人</w:t>
            </w:r>
          </w:p>
        </w:tc>
        <w:tc>
          <w:tcPr>
            <w:tcW w:w="4935" w:type="dxa"/>
            <w:tcBorders>
              <w:top w:val="single" w:color="000000" w:sz="4" w:space="0"/>
              <w:left w:val="single" w:color="000000" w:sz="4" w:space="0"/>
              <w:bottom w:val="single" w:color="000000" w:sz="4" w:space="0"/>
              <w:right w:val="single" w:color="000000" w:sz="4" w:space="0"/>
            </w:tcBorders>
            <w:vAlign w:val="center"/>
          </w:tcPr>
          <w:p>
            <w:pPr>
              <w:pStyle w:val="55"/>
              <w:spacing w:before="5"/>
            </w:pPr>
            <w:r>
              <w:rPr>
                <w:rFonts w:hint="eastAsia"/>
                <w:lang w:val="zh-CN"/>
              </w:rPr>
              <w:t>拟担任本招标项目的</w:t>
            </w:r>
            <w:r>
              <w:rPr>
                <w:rFonts w:hint="eastAsia"/>
                <w:szCs w:val="24"/>
                <w:shd w:val="clear" w:color="auto" w:fill="FFFFFF"/>
                <w:lang w:val="en-US" w:eastAsia="zh-CN"/>
              </w:rPr>
              <w:t>项目负责人并</w:t>
            </w:r>
            <w:r>
              <w:rPr>
                <w:rFonts w:hint="eastAsia"/>
                <w:szCs w:val="24"/>
                <w:shd w:val="clear" w:color="auto" w:fill="FFFFFF"/>
                <w:lang w:val="zh-CN"/>
              </w:rPr>
              <w:t>具有国家</w:t>
            </w:r>
            <w:r>
              <w:rPr>
                <w:rFonts w:hint="eastAsia"/>
                <w:szCs w:val="24"/>
                <w:shd w:val="clear" w:color="auto" w:fill="FFFFFF"/>
                <w:lang w:val="en-US" w:eastAsia="zh-CN"/>
              </w:rPr>
              <w:t>一级</w:t>
            </w:r>
            <w:r>
              <w:rPr>
                <w:rFonts w:hint="eastAsia"/>
                <w:lang w:val="en-US" w:eastAsia="zh-CN"/>
              </w:rPr>
              <w:t>造价</w:t>
            </w:r>
            <w:r>
              <w:rPr>
                <w:rFonts w:hint="eastAsia"/>
                <w:szCs w:val="24"/>
                <w:shd w:val="clear" w:color="auto" w:fill="FFFFFF"/>
                <w:lang w:val="zh-CN"/>
              </w:rPr>
              <w:t>工程师注册执业证书</w:t>
            </w:r>
            <w:r>
              <w:rPr>
                <w:rFonts w:hint="eastAsia"/>
                <w:szCs w:val="24"/>
                <w:shd w:val="clear" w:color="auto" w:fill="FFFFFF"/>
                <w:lang w:val="en-US" w:eastAsia="zh-CN"/>
              </w:rPr>
              <w:t>及高级职称工程师</w:t>
            </w:r>
            <w:r>
              <w:rPr>
                <w:rFonts w:hint="eastAsia"/>
                <w:szCs w:val="24"/>
                <w:shd w:val="clear" w:color="auto" w:fill="FFFFFF"/>
                <w:lang w:val="zh-CN"/>
              </w:rPr>
              <w:t>在本单位注册；</w:t>
            </w:r>
            <w:r>
              <w:t>5年及以上</w:t>
            </w:r>
            <w:r>
              <w:rPr>
                <w:rFonts w:hint="eastAsia"/>
              </w:rPr>
              <w:t>相关</w:t>
            </w:r>
            <w:r>
              <w:t>工程</w:t>
            </w:r>
            <w:r>
              <w:rPr>
                <w:rFonts w:hint="eastAsia"/>
                <w:lang w:val="en-US" w:eastAsia="zh-CN"/>
              </w:rPr>
              <w:t>造价咨询</w:t>
            </w:r>
            <w:r>
              <w:t>工作经验</w:t>
            </w:r>
            <w:r>
              <w:rPr>
                <w:rFonts w:hint="eastAsia"/>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pPr>
            <w:r>
              <w:rPr>
                <w:rFonts w:hint="eastAsia"/>
              </w:rPr>
              <w:t>1</w:t>
            </w:r>
          </w:p>
        </w:tc>
        <w:tc>
          <w:tcPr>
            <w:tcW w:w="1017" w:type="dxa"/>
            <w:vMerge w:val="continue"/>
            <w:tcBorders>
              <w:left w:val="single" w:color="000000" w:sz="4" w:space="0"/>
              <w:right w:val="single" w:color="000000" w:sz="4" w:space="0"/>
            </w:tcBorders>
            <w:vAlign w:val="center"/>
          </w:tcPr>
          <w:p>
            <w:pPr>
              <w:pStyle w:val="55"/>
              <w:spacing w:before="5"/>
            </w:pPr>
          </w:p>
        </w:tc>
      </w:tr>
      <w:tr>
        <w:tblPrEx>
          <w:tblCellMar>
            <w:top w:w="0" w:type="dxa"/>
            <w:left w:w="0" w:type="dxa"/>
            <w:bottom w:w="0" w:type="dxa"/>
            <w:right w:w="0" w:type="dxa"/>
          </w:tblCellMar>
        </w:tblPrEx>
        <w:trPr>
          <w:trHeight w:val="1363" w:hRule="atLeast"/>
          <w:jc w:val="center"/>
        </w:trPr>
        <w:tc>
          <w:tcPr>
            <w:tcW w:w="585" w:type="dxa"/>
            <w:vMerge w:val="continue"/>
            <w:tcBorders>
              <w:left w:val="single" w:color="000000" w:sz="4" w:space="0"/>
              <w:right w:val="single" w:color="000000" w:sz="4" w:space="0"/>
            </w:tcBorders>
            <w:vAlign w:val="center"/>
          </w:tcPr>
          <w:p>
            <w:pPr>
              <w:pStyle w:val="55"/>
              <w:spacing w:before="5"/>
              <w:jc w:val="cente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rFonts w:hint="default" w:eastAsia="宋体"/>
                <w:lang w:val="en-US" w:eastAsia="zh-CN"/>
              </w:rPr>
            </w:pPr>
            <w:r>
              <w:rPr>
                <w:rFonts w:hint="eastAsia"/>
                <w:lang w:val="en-US" w:eastAsia="zh-CN"/>
              </w:rPr>
              <w:t>技术负责人</w:t>
            </w:r>
          </w:p>
        </w:tc>
        <w:tc>
          <w:tcPr>
            <w:tcW w:w="4935" w:type="dxa"/>
            <w:tcBorders>
              <w:top w:val="single" w:color="000000" w:sz="4" w:space="0"/>
              <w:left w:val="single" w:color="000000" w:sz="4" w:space="0"/>
              <w:bottom w:val="single" w:color="000000" w:sz="4" w:space="0"/>
              <w:right w:val="single" w:color="000000" w:sz="4" w:space="0"/>
            </w:tcBorders>
            <w:vAlign w:val="center"/>
          </w:tcPr>
          <w:p>
            <w:pPr>
              <w:pStyle w:val="55"/>
              <w:spacing w:before="5"/>
              <w:rPr>
                <w:lang w:val="zh-CN"/>
              </w:rPr>
            </w:pPr>
            <w:r>
              <w:rPr>
                <w:rFonts w:hint="eastAsia"/>
                <w:lang w:val="zh-CN"/>
              </w:rPr>
              <w:t>拟担任本招标项目的</w:t>
            </w:r>
            <w:r>
              <w:rPr>
                <w:rFonts w:hint="eastAsia"/>
                <w:szCs w:val="24"/>
                <w:shd w:val="clear" w:color="auto" w:fill="FFFFFF"/>
                <w:lang w:val="en-US" w:eastAsia="zh-CN"/>
              </w:rPr>
              <w:t>技术负责人</w:t>
            </w:r>
            <w:r>
              <w:rPr>
                <w:rFonts w:hint="eastAsia"/>
                <w:szCs w:val="24"/>
                <w:shd w:val="clear" w:color="auto" w:fill="FFFFFF"/>
                <w:lang w:val="zh-CN"/>
              </w:rPr>
              <w:t>具有国家</w:t>
            </w:r>
            <w:r>
              <w:rPr>
                <w:rFonts w:hint="eastAsia"/>
                <w:szCs w:val="24"/>
                <w:shd w:val="clear" w:color="auto" w:fill="FFFFFF"/>
                <w:lang w:val="en-US" w:eastAsia="zh-CN"/>
              </w:rPr>
              <w:t>一级</w:t>
            </w:r>
            <w:r>
              <w:rPr>
                <w:rFonts w:hint="eastAsia"/>
                <w:lang w:val="en-US" w:eastAsia="zh-CN"/>
              </w:rPr>
              <w:t>造价</w:t>
            </w:r>
            <w:r>
              <w:rPr>
                <w:rFonts w:hint="eastAsia"/>
                <w:szCs w:val="24"/>
                <w:shd w:val="clear" w:color="auto" w:fill="FFFFFF"/>
                <w:lang w:val="zh-CN"/>
              </w:rPr>
              <w:t>工程师注册执业证书在本单位注册；</w:t>
            </w:r>
            <w:r>
              <w:rPr>
                <w:rFonts w:hint="eastAsia"/>
              </w:rPr>
              <w:t>3</w:t>
            </w:r>
            <w:r>
              <w:t>年及以上</w:t>
            </w:r>
            <w:r>
              <w:rPr>
                <w:rFonts w:hint="eastAsia"/>
              </w:rPr>
              <w:t>相关</w:t>
            </w:r>
            <w:r>
              <w:t>工程</w:t>
            </w:r>
            <w:r>
              <w:rPr>
                <w:rFonts w:hint="eastAsia"/>
                <w:lang w:val="en-US" w:eastAsia="zh-CN"/>
              </w:rPr>
              <w:t>造价咨询</w:t>
            </w:r>
            <w:r>
              <w:t>工作经验</w:t>
            </w:r>
            <w:r>
              <w:rPr>
                <w:rFonts w:hint="eastAsia"/>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rFonts w:hint="eastAsia" w:eastAsia="宋体"/>
                <w:lang w:eastAsia="zh-CN"/>
              </w:rPr>
            </w:pPr>
            <w:r>
              <w:rPr>
                <w:rFonts w:hint="eastAsia"/>
                <w:lang w:val="en-US" w:eastAsia="zh-CN"/>
              </w:rPr>
              <w:t>2</w:t>
            </w:r>
          </w:p>
        </w:tc>
        <w:tc>
          <w:tcPr>
            <w:tcW w:w="1017" w:type="dxa"/>
            <w:vMerge w:val="continue"/>
            <w:tcBorders>
              <w:left w:val="single" w:color="000000" w:sz="4" w:space="0"/>
              <w:right w:val="single" w:color="000000" w:sz="4" w:space="0"/>
            </w:tcBorders>
            <w:vAlign w:val="center"/>
          </w:tcPr>
          <w:p>
            <w:pPr>
              <w:pStyle w:val="55"/>
              <w:spacing w:before="5"/>
            </w:pPr>
          </w:p>
        </w:tc>
      </w:tr>
      <w:tr>
        <w:tblPrEx>
          <w:tblCellMar>
            <w:top w:w="0" w:type="dxa"/>
            <w:left w:w="0" w:type="dxa"/>
            <w:bottom w:w="0" w:type="dxa"/>
            <w:right w:w="0" w:type="dxa"/>
          </w:tblCellMar>
        </w:tblPrEx>
        <w:trPr>
          <w:trHeight w:val="1301" w:hRule="atLeast"/>
          <w:jc w:val="center"/>
        </w:trPr>
        <w:tc>
          <w:tcPr>
            <w:tcW w:w="585" w:type="dxa"/>
            <w:vMerge w:val="continue"/>
            <w:tcBorders>
              <w:left w:val="single" w:color="000000" w:sz="4" w:space="0"/>
              <w:bottom w:val="single" w:color="000000" w:sz="4" w:space="0"/>
              <w:right w:val="single" w:color="000000" w:sz="4" w:space="0"/>
            </w:tcBorders>
            <w:vAlign w:val="center"/>
          </w:tcPr>
          <w:p>
            <w:pPr>
              <w:pStyle w:val="55"/>
              <w:spacing w:before="5"/>
              <w:jc w:val="center"/>
              <w:rPr>
                <w:lang w:val="zh-CN"/>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lang w:val="zh-CN"/>
              </w:rPr>
            </w:pPr>
          </w:p>
          <w:p>
            <w:pPr>
              <w:pStyle w:val="55"/>
              <w:spacing w:before="5"/>
              <w:jc w:val="center"/>
              <w:rPr>
                <w:rFonts w:hint="eastAsia" w:eastAsia="宋体"/>
                <w:lang w:val="en-US" w:eastAsia="zh-CN"/>
              </w:rPr>
            </w:pPr>
            <w:r>
              <w:rPr>
                <w:rFonts w:hint="eastAsia"/>
                <w:lang w:val="en-US" w:eastAsia="zh-CN"/>
              </w:rPr>
              <w:t>造价人员</w:t>
            </w:r>
          </w:p>
        </w:tc>
        <w:tc>
          <w:tcPr>
            <w:tcW w:w="4935" w:type="dxa"/>
            <w:tcBorders>
              <w:top w:val="single" w:color="000000" w:sz="4" w:space="0"/>
              <w:left w:val="single" w:color="000000" w:sz="4" w:space="0"/>
              <w:bottom w:val="single" w:color="000000" w:sz="4" w:space="0"/>
              <w:right w:val="single" w:color="000000" w:sz="4" w:space="0"/>
            </w:tcBorders>
            <w:vAlign w:val="center"/>
          </w:tcPr>
          <w:p>
            <w:pPr>
              <w:pStyle w:val="55"/>
              <w:spacing w:before="5"/>
              <w:rPr>
                <w:lang w:val="zh-CN"/>
              </w:rPr>
            </w:pPr>
            <w:r>
              <w:rPr>
                <w:rFonts w:hint="eastAsia"/>
                <w:lang w:val="zh-CN"/>
              </w:rPr>
              <w:t>具有</w:t>
            </w:r>
            <w:r>
              <w:rPr>
                <w:rFonts w:hint="eastAsia"/>
                <w:lang w:val="en-US" w:eastAsia="zh-CN"/>
              </w:rPr>
              <w:t>国家二级造价工程师注册执业证书；1</w:t>
            </w:r>
            <w:r>
              <w:t>年及以上</w:t>
            </w:r>
            <w:r>
              <w:rPr>
                <w:rFonts w:hint="eastAsia"/>
              </w:rPr>
              <w:t>相关</w:t>
            </w:r>
            <w:r>
              <w:t>工程</w:t>
            </w:r>
            <w:r>
              <w:rPr>
                <w:rFonts w:hint="eastAsia"/>
                <w:lang w:val="en-US" w:eastAsia="zh-CN"/>
              </w:rPr>
              <w:t>造价咨询</w:t>
            </w:r>
            <w:r>
              <w:t>工作经验</w:t>
            </w:r>
            <w:r>
              <w:rPr>
                <w:rFonts w:hint="eastAsia"/>
              </w:rPr>
              <w:t>。</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55"/>
              <w:spacing w:before="5"/>
              <w:jc w:val="center"/>
              <w:rPr>
                <w:rFonts w:hint="eastAsia" w:eastAsia="宋体"/>
                <w:lang w:eastAsia="zh-CN"/>
              </w:rPr>
            </w:pPr>
            <w:r>
              <w:rPr>
                <w:rFonts w:hint="eastAsia"/>
                <w:lang w:val="en-US" w:eastAsia="zh-CN"/>
              </w:rPr>
              <w:t>3</w:t>
            </w:r>
          </w:p>
        </w:tc>
        <w:tc>
          <w:tcPr>
            <w:tcW w:w="1017" w:type="dxa"/>
            <w:vMerge w:val="continue"/>
            <w:tcBorders>
              <w:left w:val="single" w:color="000000" w:sz="4" w:space="0"/>
              <w:bottom w:val="single" w:color="000000" w:sz="4" w:space="0"/>
              <w:right w:val="single" w:color="000000" w:sz="4" w:space="0"/>
            </w:tcBorders>
            <w:vAlign w:val="center"/>
          </w:tcPr>
          <w:p>
            <w:pPr>
              <w:pStyle w:val="55"/>
              <w:spacing w:before="5"/>
            </w:pPr>
          </w:p>
        </w:tc>
      </w:tr>
    </w:tbl>
    <w:p>
      <w:pPr>
        <w:rPr>
          <w:lang w:val="zh-CN"/>
        </w:rPr>
      </w:pPr>
    </w:p>
    <w:p>
      <w:pPr>
        <w:pStyle w:val="34"/>
        <w:numPr>
          <w:ilvl w:val="0"/>
          <w:numId w:val="37"/>
        </w:numPr>
        <w:ind w:firstLine="0" w:firstLineChars="0"/>
        <w:rPr>
          <w:rFonts w:hint="eastAsia"/>
          <w:bCs/>
          <w:color w:val="auto"/>
          <w:szCs w:val="24"/>
          <w:shd w:val="clear" w:color="auto" w:fill="FFFFFF"/>
        </w:rPr>
      </w:pPr>
      <w:r>
        <w:rPr>
          <w:rFonts w:hint="eastAsia"/>
          <w:bCs/>
          <w:color w:val="auto"/>
          <w:szCs w:val="24"/>
          <w:shd w:val="clear" w:color="auto" w:fill="FFFFFF"/>
          <w:lang w:val="zh-CN"/>
        </w:rPr>
        <w:t>财务状况：投标人必须提供近三年(20</w:t>
      </w:r>
      <w:r>
        <w:rPr>
          <w:rFonts w:hint="eastAsia"/>
          <w:bCs/>
          <w:color w:val="auto"/>
          <w:szCs w:val="24"/>
          <w:shd w:val="clear" w:color="auto" w:fill="FFFFFF"/>
        </w:rPr>
        <w:t>1</w:t>
      </w:r>
      <w:r>
        <w:rPr>
          <w:rFonts w:hint="eastAsia"/>
          <w:bCs/>
          <w:color w:val="auto"/>
          <w:szCs w:val="24"/>
          <w:shd w:val="clear" w:color="auto" w:fill="FFFFFF"/>
          <w:lang w:val="en-US" w:eastAsia="zh-CN"/>
        </w:rPr>
        <w:t>9</w:t>
      </w:r>
      <w:r>
        <w:rPr>
          <w:rFonts w:hint="eastAsia"/>
          <w:bCs/>
          <w:color w:val="auto"/>
          <w:szCs w:val="24"/>
          <w:shd w:val="clear" w:color="auto" w:fill="FFFFFF"/>
          <w:lang w:val="zh-CN"/>
        </w:rPr>
        <w:t>、20</w:t>
      </w:r>
      <w:r>
        <w:rPr>
          <w:rFonts w:hint="eastAsia"/>
          <w:bCs/>
          <w:color w:val="auto"/>
          <w:szCs w:val="24"/>
          <w:shd w:val="clear" w:color="auto" w:fill="FFFFFF"/>
          <w:lang w:val="en-US" w:eastAsia="zh-CN"/>
        </w:rPr>
        <w:t>20</w:t>
      </w:r>
      <w:r>
        <w:rPr>
          <w:rFonts w:hint="eastAsia"/>
          <w:bCs/>
          <w:color w:val="auto"/>
          <w:szCs w:val="24"/>
          <w:shd w:val="clear" w:color="auto" w:fill="FFFFFF"/>
          <w:lang w:val="zh-CN"/>
        </w:rPr>
        <w:t>、20</w:t>
      </w:r>
      <w:r>
        <w:rPr>
          <w:rFonts w:hint="eastAsia"/>
          <w:bCs/>
          <w:color w:val="auto"/>
          <w:szCs w:val="24"/>
          <w:shd w:val="clear" w:color="auto" w:fill="FFFFFF"/>
        </w:rPr>
        <w:t>2</w:t>
      </w:r>
      <w:r>
        <w:rPr>
          <w:rFonts w:hint="eastAsia"/>
          <w:bCs/>
          <w:color w:val="auto"/>
          <w:szCs w:val="24"/>
          <w:shd w:val="clear" w:color="auto" w:fill="FFFFFF"/>
          <w:lang w:val="en-US" w:eastAsia="zh-CN"/>
        </w:rPr>
        <w:t>1</w:t>
      </w:r>
      <w:r>
        <w:rPr>
          <w:rFonts w:hint="eastAsia"/>
          <w:bCs/>
          <w:color w:val="auto"/>
          <w:szCs w:val="24"/>
          <w:shd w:val="clear" w:color="auto" w:fill="FFFFFF"/>
          <w:lang w:val="zh-CN"/>
        </w:rPr>
        <w:t>年度)财务报告，新成立的单位若有或应有按最近的年份提供，财务报告反映企业状况良好，</w:t>
      </w:r>
      <w:r>
        <w:rPr>
          <w:rFonts w:hint="eastAsia"/>
          <w:bCs/>
          <w:color w:val="auto"/>
          <w:szCs w:val="24"/>
          <w:u w:val="double"/>
          <w:shd w:val="clear" w:color="auto" w:fill="FFFFFF"/>
          <w:lang w:val="zh-CN"/>
        </w:rPr>
        <w:t>净利润不能为负值</w:t>
      </w:r>
      <w:r>
        <w:rPr>
          <w:rFonts w:hint="eastAsia"/>
          <w:bCs/>
          <w:color w:val="auto"/>
          <w:szCs w:val="24"/>
          <w:shd w:val="clear" w:color="auto" w:fill="FFFFFF"/>
          <w:lang w:val="zh-CN"/>
        </w:rPr>
        <w:t>；</w:t>
      </w:r>
    </w:p>
    <w:p>
      <w:pPr>
        <w:pStyle w:val="34"/>
        <w:ind w:firstLine="0" w:firstLineChars="0"/>
        <w:rPr>
          <w:rFonts w:eastAsia="宋体"/>
          <w:b/>
          <w:color w:val="auto"/>
          <w:kern w:val="0"/>
          <w:sz w:val="28"/>
          <w:szCs w:val="22"/>
          <w:lang w:bidi="zh-CN"/>
        </w:rPr>
      </w:pPr>
      <w:r>
        <w:rPr>
          <w:rFonts w:hint="eastAsia" w:eastAsia="宋体"/>
          <w:b/>
          <w:color w:val="auto"/>
          <w:kern w:val="0"/>
          <w:sz w:val="28"/>
          <w:szCs w:val="22"/>
          <w:lang w:bidi="zh-CN"/>
        </w:rPr>
        <w:t>四、商务要求</w:t>
      </w:r>
    </w:p>
    <w:p>
      <w:pPr>
        <w:tabs>
          <w:tab w:val="left" w:pos="1314"/>
        </w:tabs>
        <w:autoSpaceDE w:val="0"/>
        <w:autoSpaceDN w:val="0"/>
        <w:spacing w:before="1" w:line="379" w:lineRule="auto"/>
        <w:ind w:right="310"/>
        <w:rPr>
          <w:rFonts w:hint="default" w:ascii="宋体" w:hAnsi="宋体" w:eastAsia="宋体" w:cs="宋体"/>
          <w:spacing w:val="-1"/>
          <w:kern w:val="0"/>
          <w:sz w:val="24"/>
          <w:lang w:val="en-US" w:bidi="zh-CN"/>
        </w:rPr>
      </w:pPr>
      <w:bookmarkStart w:id="42" w:name="_Toc14600"/>
      <w:bookmarkStart w:id="43" w:name="_Toc10533"/>
      <w:r>
        <w:rPr>
          <w:rFonts w:hint="eastAsia" w:ascii="宋体" w:hAnsi="宋体" w:eastAsia="宋体" w:cs="宋体"/>
          <w:spacing w:val="-1"/>
          <w:kern w:val="0"/>
          <w:sz w:val="24"/>
          <w:lang w:bidi="zh-CN"/>
        </w:rPr>
        <w:t>（</w:t>
      </w:r>
      <w:r>
        <w:rPr>
          <w:rFonts w:hint="eastAsia" w:ascii="宋体" w:hAnsi="宋体" w:eastAsia="宋体" w:cs="宋体"/>
          <w:spacing w:val="-1"/>
          <w:kern w:val="0"/>
          <w:sz w:val="24"/>
          <w:highlight w:val="none"/>
          <w:lang w:bidi="zh-CN"/>
        </w:rPr>
        <w:t>1）</w:t>
      </w:r>
      <w:r>
        <w:rPr>
          <w:rFonts w:ascii="宋体" w:hAnsi="宋体" w:eastAsia="宋体" w:cs="宋体"/>
          <w:spacing w:val="-1"/>
          <w:kern w:val="0"/>
          <w:sz w:val="24"/>
          <w:highlight w:val="none"/>
          <w:lang w:val="zh-CN" w:bidi="zh-CN"/>
        </w:rPr>
        <w:t>合同履行期限</w:t>
      </w:r>
      <w:bookmarkEnd w:id="42"/>
      <w:r>
        <w:rPr>
          <w:rFonts w:hint="eastAsia" w:ascii="宋体" w:hAnsi="宋体" w:eastAsia="宋体" w:cs="宋体"/>
          <w:spacing w:val="-1"/>
          <w:kern w:val="0"/>
          <w:sz w:val="24"/>
          <w:highlight w:val="none"/>
          <w:lang w:val="zh-CN" w:bidi="zh-CN"/>
        </w:rPr>
        <w:t>：</w:t>
      </w:r>
      <w:r>
        <w:rPr>
          <w:rFonts w:hint="eastAsia" w:ascii="宋体" w:hAnsi="宋体" w:eastAsia="宋体" w:cs="宋体"/>
          <w:spacing w:val="-1"/>
          <w:kern w:val="0"/>
          <w:sz w:val="24"/>
          <w:highlight w:val="none"/>
          <w:lang w:val="en-US" w:bidi="zh-CN"/>
        </w:rPr>
        <w:t>以合同签订日期为准。</w:t>
      </w:r>
    </w:p>
    <w:p>
      <w:pPr>
        <w:tabs>
          <w:tab w:val="left" w:pos="1314"/>
        </w:tabs>
        <w:autoSpaceDE w:val="0"/>
        <w:autoSpaceDN w:val="0"/>
        <w:spacing w:before="1" w:line="379" w:lineRule="auto"/>
        <w:ind w:right="310"/>
        <w:rPr>
          <w:rFonts w:ascii="宋体" w:hAnsi="宋体" w:eastAsia="宋体" w:cs="宋体"/>
          <w:spacing w:val="-1"/>
          <w:kern w:val="0"/>
          <w:sz w:val="24"/>
          <w:lang w:bidi="zh-CN"/>
        </w:rPr>
      </w:pPr>
      <w:r>
        <w:rPr>
          <w:rFonts w:hint="eastAsia" w:ascii="宋体" w:hAnsi="宋体" w:eastAsia="宋体" w:cs="宋体"/>
          <w:spacing w:val="-1"/>
          <w:kern w:val="0"/>
          <w:sz w:val="24"/>
          <w:lang w:val="zh-CN" w:bidi="zh-CN"/>
        </w:rPr>
        <w:t>（</w:t>
      </w:r>
      <w:r>
        <w:rPr>
          <w:rFonts w:hint="eastAsia" w:ascii="宋体" w:hAnsi="宋体" w:eastAsia="宋体" w:cs="宋体"/>
          <w:spacing w:val="-1"/>
          <w:kern w:val="0"/>
          <w:sz w:val="24"/>
          <w:lang w:bidi="zh-CN"/>
        </w:rPr>
        <w:t>2</w:t>
      </w:r>
      <w:r>
        <w:rPr>
          <w:rFonts w:hint="eastAsia" w:ascii="宋体" w:hAnsi="宋体" w:eastAsia="宋体" w:cs="宋体"/>
          <w:spacing w:val="-1"/>
          <w:kern w:val="0"/>
          <w:sz w:val="24"/>
          <w:lang w:val="zh-CN" w:bidi="zh-CN"/>
        </w:rPr>
        <w:t>）付款方式：按项目进度付款，</w:t>
      </w:r>
      <w:r>
        <w:rPr>
          <w:rFonts w:hint="eastAsia" w:ascii="宋体" w:hAnsi="宋体" w:eastAsia="宋体" w:cs="宋体"/>
          <w:spacing w:val="-1"/>
          <w:kern w:val="0"/>
          <w:sz w:val="24"/>
          <w:lang w:bidi="zh-CN"/>
        </w:rPr>
        <w:t>具体以与项目实施主体签订的</w:t>
      </w:r>
      <w:r>
        <w:rPr>
          <w:rFonts w:hint="eastAsia" w:ascii="宋体" w:hAnsi="宋体" w:eastAsia="宋体" w:cs="宋体"/>
          <w:spacing w:val="-1"/>
          <w:kern w:val="0"/>
          <w:sz w:val="24"/>
          <w:lang w:val="en-US" w:bidi="zh-CN"/>
        </w:rPr>
        <w:t>造价咨询</w:t>
      </w:r>
      <w:r>
        <w:rPr>
          <w:rFonts w:hint="eastAsia" w:ascii="宋体" w:hAnsi="宋体" w:eastAsia="宋体" w:cs="宋体"/>
          <w:spacing w:val="-1"/>
          <w:kern w:val="0"/>
          <w:sz w:val="24"/>
          <w:lang w:bidi="zh-CN"/>
        </w:rPr>
        <w:t>服务合同为准。</w:t>
      </w:r>
    </w:p>
    <w:p>
      <w:pPr>
        <w:tabs>
          <w:tab w:val="left" w:pos="1314"/>
        </w:tabs>
        <w:autoSpaceDE w:val="0"/>
        <w:autoSpaceDN w:val="0"/>
        <w:spacing w:before="1" w:line="379" w:lineRule="auto"/>
        <w:ind w:right="310"/>
        <w:rPr>
          <w:rFonts w:hint="default" w:hAnsi="宋体" w:cs="宋体" w:eastAsiaTheme="minorEastAsia"/>
          <w:spacing w:val="-1"/>
          <w:highlight w:val="yellow"/>
          <w:lang w:val="en-US" w:eastAsia="zh-CN" w:bidi="zh-CN"/>
        </w:rPr>
      </w:pPr>
      <w:r>
        <w:rPr>
          <w:rFonts w:hint="eastAsia" w:ascii="宋体" w:hAnsi="宋体" w:eastAsia="宋体" w:cs="宋体"/>
          <w:spacing w:val="-1"/>
          <w:kern w:val="0"/>
          <w:sz w:val="24"/>
          <w:lang w:bidi="zh-CN"/>
        </w:rPr>
        <w:t>（</w:t>
      </w:r>
      <w:r>
        <w:rPr>
          <w:rFonts w:hint="eastAsia" w:ascii="宋体" w:hAnsi="宋体" w:eastAsia="宋体" w:cs="宋体"/>
          <w:spacing w:val="-1"/>
          <w:kern w:val="0"/>
          <w:sz w:val="24"/>
          <w:lang w:val="en-US" w:bidi="zh-CN"/>
        </w:rPr>
        <w:t>3</w:t>
      </w:r>
      <w:r>
        <w:rPr>
          <w:rFonts w:hint="eastAsia" w:ascii="宋体" w:hAnsi="宋体" w:eastAsia="宋体" w:cs="宋体"/>
          <w:spacing w:val="-1"/>
          <w:kern w:val="0"/>
          <w:sz w:val="24"/>
          <w:lang w:bidi="zh-CN"/>
        </w:rPr>
        <w:t>）结</w:t>
      </w:r>
      <w:r>
        <w:rPr>
          <w:rFonts w:hint="eastAsia" w:ascii="宋体" w:hAnsi="宋体" w:cs="宋体"/>
          <w:bCs/>
          <w:sz w:val="24"/>
          <w:szCs w:val="24"/>
          <w:shd w:val="clear" w:color="auto" w:fill="FFFFFF"/>
        </w:rPr>
        <w:t>算方式：</w:t>
      </w:r>
      <w:r>
        <w:rPr>
          <w:rFonts w:hint="eastAsia" w:ascii="宋体" w:hAnsi="宋体" w:cs="宋体"/>
          <w:bCs/>
          <w:sz w:val="24"/>
          <w:szCs w:val="24"/>
          <w:shd w:val="clear" w:color="auto" w:fill="FFFFFF"/>
          <w:lang w:val="en-US" w:eastAsia="zh-CN"/>
        </w:rPr>
        <w:t>以合同签订为准。（总价不超过220万，超过部分不予结算）</w:t>
      </w:r>
    </w:p>
    <w:p>
      <w:pPr>
        <w:pStyle w:val="33"/>
        <w:ind w:firstLine="0" w:firstLineChars="0"/>
        <w:rPr>
          <w:rFonts w:hAnsi="宋体" w:cs="宋体"/>
          <w:spacing w:val="-1"/>
          <w:highlight w:val="none"/>
          <w:lang w:bidi="zh-CN"/>
        </w:rPr>
      </w:pPr>
      <w:r>
        <w:rPr>
          <w:rFonts w:hint="eastAsia" w:hAnsi="宋体" w:cs="宋体"/>
          <w:spacing w:val="-1"/>
          <w:highlight w:val="none"/>
          <w:lang w:bidi="zh-CN"/>
        </w:rPr>
        <w:t>（</w:t>
      </w:r>
      <w:r>
        <w:rPr>
          <w:rFonts w:hint="eastAsia" w:hAnsi="宋体" w:cs="宋体"/>
          <w:spacing w:val="-1"/>
          <w:highlight w:val="none"/>
          <w:lang w:val="en-US" w:bidi="zh-CN"/>
        </w:rPr>
        <w:t>4</w:t>
      </w:r>
      <w:r>
        <w:rPr>
          <w:rFonts w:hint="eastAsia" w:hAnsi="宋体" w:cs="宋体"/>
          <w:spacing w:val="-1"/>
          <w:highlight w:val="none"/>
          <w:lang w:bidi="zh-CN"/>
        </w:rPr>
        <w:t>）服务要求：</w:t>
      </w:r>
    </w:p>
    <w:p>
      <w:pPr>
        <w:pStyle w:val="33"/>
        <w:ind w:firstLine="0" w:firstLineChars="0"/>
        <w:rPr>
          <w:rFonts w:hAnsi="宋体" w:cs="宋体"/>
          <w:spacing w:val="-1"/>
          <w:highlight w:val="none"/>
          <w:lang w:bidi="zh-CN"/>
        </w:rPr>
      </w:pPr>
      <w:r>
        <w:rPr>
          <w:rFonts w:hint="eastAsia" w:hAnsi="宋体" w:cs="宋体"/>
          <w:spacing w:val="-1"/>
          <w:highlight w:val="none"/>
          <w:lang w:val="en-US" w:bidi="zh-CN"/>
        </w:rPr>
        <w:t>执业质量</w:t>
      </w:r>
      <w:r>
        <w:rPr>
          <w:rFonts w:hint="eastAsia" w:hAnsi="宋体" w:cs="宋体"/>
          <w:spacing w:val="-1"/>
          <w:highlight w:val="none"/>
          <w:lang w:bidi="zh-CN"/>
        </w:rPr>
        <w:t>：合格</w:t>
      </w:r>
    </w:p>
    <w:p>
      <w:pPr>
        <w:pStyle w:val="33"/>
        <w:ind w:firstLine="0" w:firstLineChars="0"/>
        <w:rPr>
          <w:rFonts w:hAnsi="宋体" w:cs="宋体"/>
          <w:spacing w:val="-1"/>
          <w:highlight w:val="none"/>
          <w:lang w:bidi="zh-CN"/>
        </w:rPr>
      </w:pPr>
      <w:r>
        <w:rPr>
          <w:rFonts w:hint="eastAsia" w:hAnsi="宋体" w:cs="宋体"/>
          <w:spacing w:val="-1"/>
          <w:highlight w:val="none"/>
          <w:lang w:val="en-US" w:bidi="zh-CN"/>
        </w:rPr>
        <w:t>执业进度</w:t>
      </w:r>
      <w:r>
        <w:rPr>
          <w:rFonts w:hint="eastAsia" w:hAnsi="宋体" w:cs="宋体"/>
          <w:spacing w:val="-1"/>
          <w:highlight w:val="none"/>
          <w:lang w:bidi="zh-CN"/>
        </w:rPr>
        <w:t>：合格</w:t>
      </w:r>
    </w:p>
    <w:p>
      <w:pPr>
        <w:pStyle w:val="33"/>
        <w:ind w:firstLine="0" w:firstLineChars="0"/>
        <w:rPr>
          <w:rFonts w:hAnsi="宋体" w:cs="宋体"/>
          <w:spacing w:val="-1"/>
          <w:highlight w:val="none"/>
          <w:lang w:bidi="zh-CN"/>
        </w:rPr>
      </w:pPr>
      <w:r>
        <w:rPr>
          <w:rFonts w:hint="eastAsia" w:hAnsi="宋体" w:cs="宋体"/>
          <w:spacing w:val="-1"/>
          <w:highlight w:val="none"/>
          <w:lang w:val="en-US" w:bidi="zh-CN"/>
        </w:rPr>
        <w:t>执业人员沟通及配合程度</w:t>
      </w:r>
      <w:r>
        <w:rPr>
          <w:rFonts w:hint="eastAsia" w:hAnsi="宋体" w:cs="宋体"/>
          <w:spacing w:val="-1"/>
          <w:highlight w:val="none"/>
          <w:lang w:bidi="zh-CN"/>
        </w:rPr>
        <w:t>：合格</w:t>
      </w:r>
    </w:p>
    <w:p>
      <w:pPr>
        <w:tabs>
          <w:tab w:val="left" w:pos="1314"/>
        </w:tabs>
        <w:autoSpaceDE w:val="0"/>
        <w:autoSpaceDN w:val="0"/>
        <w:spacing w:before="1" w:line="379" w:lineRule="auto"/>
        <w:ind w:right="310" w:firstLine="476" w:firstLineChars="200"/>
        <w:rPr>
          <w:rFonts w:ascii="宋体" w:hAnsi="宋体" w:eastAsia="宋体" w:cs="宋体"/>
          <w:spacing w:val="-1"/>
          <w:kern w:val="0"/>
          <w:sz w:val="24"/>
          <w:lang w:val="zh-CN" w:bidi="zh-CN"/>
        </w:rPr>
      </w:pPr>
    </w:p>
    <w:p>
      <w:pPr>
        <w:tabs>
          <w:tab w:val="left" w:pos="1314"/>
        </w:tabs>
        <w:autoSpaceDE w:val="0"/>
        <w:autoSpaceDN w:val="0"/>
        <w:spacing w:before="1" w:line="379" w:lineRule="auto"/>
        <w:ind w:right="310" w:firstLine="476" w:firstLineChars="200"/>
        <w:rPr>
          <w:rFonts w:ascii="宋体" w:hAnsi="宋体" w:eastAsia="宋体" w:cs="宋体"/>
          <w:spacing w:val="-1"/>
          <w:kern w:val="0"/>
          <w:sz w:val="24"/>
          <w:lang w:val="zh-CN" w:bidi="zh-CN"/>
        </w:rPr>
      </w:pPr>
    </w:p>
    <w:p>
      <w:pPr>
        <w:autoSpaceDE w:val="0"/>
        <w:autoSpaceDN w:val="0"/>
        <w:spacing w:before="40"/>
        <w:ind w:left="791"/>
        <w:jc w:val="left"/>
        <w:outlineLvl w:val="1"/>
        <w:rPr>
          <w:rFonts w:ascii="宋体" w:hAnsi="宋体" w:eastAsia="宋体" w:cs="宋体"/>
          <w:b/>
          <w:kern w:val="0"/>
          <w:sz w:val="28"/>
          <w:lang w:val="zh-CN" w:bidi="zh-CN"/>
        </w:rPr>
      </w:pPr>
    </w:p>
    <w:bookmarkEnd w:id="43"/>
    <w:p>
      <w:pPr>
        <w:pStyle w:val="34"/>
      </w:pPr>
    </w:p>
    <w:p>
      <w:pPr>
        <w:pStyle w:val="34"/>
      </w:pPr>
    </w:p>
    <w:p>
      <w:pPr>
        <w:pStyle w:val="4"/>
        <w:spacing w:line="360" w:lineRule="auto"/>
        <w:jc w:val="center"/>
        <w:rPr>
          <w:rFonts w:ascii="黑体" w:hAnsi="黑体" w:eastAsia="黑体"/>
        </w:rPr>
      </w:pPr>
      <w:bookmarkStart w:id="44" w:name="_Toc24687"/>
      <w:r>
        <w:rPr>
          <w:rFonts w:hint="eastAsia" w:ascii="黑体" w:hAnsi="黑体" w:eastAsia="黑体"/>
        </w:rPr>
        <w:t>第四章 资格审查方法及标准</w:t>
      </w:r>
      <w:bookmarkEnd w:id="44"/>
    </w:p>
    <w:p>
      <w:pPr>
        <w:spacing w:line="360" w:lineRule="auto"/>
        <w:ind w:firstLine="420"/>
        <w:rPr>
          <w:rFonts w:ascii="宋体" w:hAnsi="宋体" w:cs="Times New Roman"/>
          <w:bCs/>
          <w:sz w:val="24"/>
          <w:szCs w:val="20"/>
        </w:rPr>
      </w:pPr>
      <w:r>
        <w:rPr>
          <w:rFonts w:hint="eastAsia" w:ascii="宋体" w:hAnsi="宋体" w:cs="Times New Roman"/>
          <w:bCs/>
          <w:sz w:val="24"/>
          <w:szCs w:val="20"/>
        </w:rPr>
        <w:t>根据《政府采购法》、《政府采购法实施条例》、《政府采购货物和服务招标投标管理办法》等相关法律法规确定以下资格审查方法及标准。</w:t>
      </w:r>
    </w:p>
    <w:p>
      <w:pPr>
        <w:pStyle w:val="5"/>
        <w:numPr>
          <w:ilvl w:val="0"/>
          <w:numId w:val="38"/>
        </w:numPr>
        <w:spacing w:before="0" w:after="0" w:line="360" w:lineRule="auto"/>
        <w:ind w:left="616" w:hanging="616"/>
        <w:jc w:val="left"/>
        <w:rPr>
          <w:rFonts w:ascii="宋体" w:hAnsi="宋体" w:cs="Times New Roman"/>
          <w:bCs w:val="0"/>
          <w:sz w:val="30"/>
          <w:szCs w:val="30"/>
        </w:rPr>
      </w:pPr>
      <w:bookmarkStart w:id="45" w:name="_Toc18092"/>
      <w:bookmarkStart w:id="46" w:name="_Toc511894514"/>
      <w:bookmarkStart w:id="47" w:name="_Toc4084"/>
      <w:bookmarkStart w:id="48" w:name="_Toc494561958"/>
      <w:r>
        <w:rPr>
          <w:rFonts w:hint="eastAsia" w:ascii="宋体" w:hAnsi="宋体" w:cs="Times New Roman"/>
          <w:bCs w:val="0"/>
          <w:sz w:val="30"/>
          <w:szCs w:val="30"/>
        </w:rPr>
        <w:t>资格审查方法</w:t>
      </w:r>
      <w:bookmarkEnd w:id="45"/>
      <w:bookmarkEnd w:id="46"/>
      <w:bookmarkEnd w:id="47"/>
      <w:bookmarkEnd w:id="48"/>
    </w:p>
    <w:p>
      <w:pPr>
        <w:spacing w:line="360" w:lineRule="auto"/>
        <w:ind w:firstLine="420"/>
        <w:rPr>
          <w:rFonts w:ascii="宋体" w:hAnsi="宋体" w:cs="Times New Roman"/>
          <w:bCs/>
          <w:sz w:val="24"/>
          <w:szCs w:val="20"/>
        </w:rPr>
      </w:pPr>
      <w:r>
        <w:rPr>
          <w:rFonts w:hint="eastAsia" w:ascii="宋体" w:hAnsi="宋体" w:cs="Times New Roman"/>
          <w:bCs/>
          <w:sz w:val="24"/>
          <w:szCs w:val="20"/>
        </w:rPr>
        <w:t>公开招标采购项目开标结束后，采购人、</w:t>
      </w:r>
      <w:r>
        <w:rPr>
          <w:rFonts w:hint="eastAsia" w:ascii="宋体" w:hAnsi="宋体" w:cs="Times New Roman"/>
          <w:bCs/>
          <w:sz w:val="24"/>
          <w:szCs w:val="20"/>
          <w:lang w:eastAsia="zh-CN"/>
        </w:rPr>
        <w:t>代理采购机构</w:t>
      </w:r>
      <w:r>
        <w:rPr>
          <w:rFonts w:hint="eastAsia" w:ascii="宋体" w:hAnsi="宋体" w:cs="Times New Roman"/>
          <w:bCs/>
          <w:sz w:val="24"/>
          <w:szCs w:val="20"/>
        </w:rPr>
        <w:t>成立资格审查小组，依据法律、法规及招标文件的规定，对投标人的资格进行审查，以确定投标人资格是否合格。</w:t>
      </w:r>
    </w:p>
    <w:p>
      <w:pPr>
        <w:pStyle w:val="5"/>
        <w:numPr>
          <w:ilvl w:val="0"/>
          <w:numId w:val="38"/>
        </w:numPr>
        <w:spacing w:before="0" w:after="0" w:line="360" w:lineRule="auto"/>
        <w:ind w:left="616" w:hanging="616"/>
        <w:jc w:val="left"/>
        <w:rPr>
          <w:rFonts w:ascii="宋体" w:hAnsi="宋体" w:cs="Times New Roman"/>
          <w:bCs w:val="0"/>
          <w:sz w:val="30"/>
          <w:szCs w:val="30"/>
        </w:rPr>
      </w:pPr>
      <w:bookmarkStart w:id="49" w:name="_Toc7531"/>
      <w:bookmarkStart w:id="50" w:name="_Toc23966"/>
      <w:bookmarkStart w:id="51" w:name="_Toc511894515"/>
      <w:bookmarkStart w:id="52" w:name="_Toc494561959"/>
      <w:r>
        <w:rPr>
          <w:rFonts w:hint="eastAsia" w:ascii="宋体" w:hAnsi="宋体" w:cs="Times New Roman"/>
          <w:bCs w:val="0"/>
          <w:sz w:val="30"/>
          <w:szCs w:val="30"/>
        </w:rPr>
        <w:t>资格审查标准</w:t>
      </w:r>
      <w:bookmarkEnd w:id="49"/>
      <w:bookmarkEnd w:id="50"/>
      <w:bookmarkEnd w:id="51"/>
      <w:bookmarkEnd w:id="52"/>
    </w:p>
    <w:p>
      <w:pPr>
        <w:numPr>
          <w:ilvl w:val="0"/>
          <w:numId w:val="39"/>
        </w:numPr>
        <w:tabs>
          <w:tab w:val="left" w:pos="1098"/>
        </w:tabs>
        <w:spacing w:line="360" w:lineRule="auto"/>
        <w:ind w:left="14" w:firstLine="238"/>
        <w:rPr>
          <w:rFonts w:ascii="宋体" w:hAnsi="宋体" w:cs="Times New Roman"/>
          <w:b/>
          <w:sz w:val="24"/>
          <w:szCs w:val="24"/>
        </w:rPr>
      </w:pPr>
      <w:r>
        <w:rPr>
          <w:rFonts w:hint="eastAsia" w:ascii="宋体" w:hAnsi="宋体" w:cs="Times New Roman"/>
          <w:b/>
          <w:sz w:val="24"/>
          <w:szCs w:val="24"/>
        </w:rPr>
        <w:t>资格证明文件审查</w:t>
      </w:r>
    </w:p>
    <w:p>
      <w:pPr>
        <w:tabs>
          <w:tab w:val="left" w:pos="616"/>
        </w:tabs>
        <w:spacing w:line="360" w:lineRule="auto"/>
        <w:ind w:firstLine="420"/>
        <w:rPr>
          <w:rFonts w:ascii="Helvetica" w:hAnsi="Helvetica" w:cs="Helvetica"/>
          <w:b/>
          <w:kern w:val="0"/>
          <w:sz w:val="24"/>
          <w:szCs w:val="24"/>
        </w:rPr>
      </w:pPr>
      <w:r>
        <w:rPr>
          <w:rFonts w:hint="eastAsia" w:ascii="Helvetica" w:hAnsi="Helvetica" w:cs="Helvetica"/>
          <w:kern w:val="0"/>
          <w:sz w:val="24"/>
          <w:szCs w:val="24"/>
        </w:rPr>
        <w:t>所递交的资格证明文件出现不符合下列情形之一或不足以证明其符合下列情形之一的，应视为资格审查不合格，并按照</w:t>
      </w:r>
      <w:r>
        <w:rPr>
          <w:rFonts w:hint="eastAsia" w:ascii="Helvetica" w:hAnsi="Helvetica" w:cs="Helvetica"/>
          <w:b/>
          <w:kern w:val="0"/>
          <w:sz w:val="24"/>
          <w:szCs w:val="24"/>
        </w:rPr>
        <w:t>无效投标处理：</w:t>
      </w:r>
    </w:p>
    <w:p>
      <w:pPr>
        <w:pStyle w:val="51"/>
        <w:numPr>
          <w:ilvl w:val="0"/>
          <w:numId w:val="40"/>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应具备《政府采购法》第二十二条第一款规定的条件，</w:t>
      </w:r>
      <w:r>
        <w:rPr>
          <w:rFonts w:hint="eastAsia" w:hAnsi="宋体"/>
          <w:b/>
          <w:sz w:val="24"/>
          <w:szCs w:val="24"/>
        </w:rPr>
        <w:t>提供下列材料</w:t>
      </w:r>
      <w:r>
        <w:rPr>
          <w:rFonts w:hint="eastAsia" w:ascii="宋体" w:hAnsi="宋体" w:cs="Times New Roman"/>
          <w:b/>
          <w:sz w:val="24"/>
          <w:szCs w:val="24"/>
        </w:rPr>
        <w:t>：</w:t>
      </w:r>
    </w:p>
    <w:p>
      <w:pPr>
        <w:pStyle w:val="51"/>
        <w:numPr>
          <w:ilvl w:val="0"/>
          <w:numId w:val="41"/>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法人或者其他组织的营业执照等证明文件，自然人的身份证明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cs="Times New Roman"/>
          <w:sz w:val="24"/>
          <w:szCs w:val="24"/>
        </w:rPr>
        <w:t>：</w:t>
      </w:r>
    </w:p>
    <w:p>
      <w:pPr>
        <w:numPr>
          <w:ilvl w:val="0"/>
          <w:numId w:val="42"/>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法人</w:t>
      </w:r>
    </w:p>
    <w:p>
      <w:pPr>
        <w:pStyle w:val="51"/>
        <w:numPr>
          <w:ilvl w:val="1"/>
          <w:numId w:val="43"/>
        </w:numPr>
        <w:spacing w:line="360" w:lineRule="auto"/>
        <w:ind w:left="1435" w:hanging="482" w:firstLineChars="0"/>
        <w:rPr>
          <w:rFonts w:ascii="宋体" w:hAnsi="宋体"/>
          <w:sz w:val="24"/>
          <w:szCs w:val="24"/>
        </w:rPr>
      </w:pPr>
      <w:r>
        <w:rPr>
          <w:rFonts w:hint="eastAsia" w:ascii="楷体" w:hAnsi="楷体" w:eastAsia="楷体"/>
          <w:b/>
          <w:sz w:val="24"/>
          <w:szCs w:val="24"/>
        </w:rPr>
        <w:t>企业法人（包括合伙企业）：</w:t>
      </w:r>
      <w:r>
        <w:rPr>
          <w:rFonts w:hint="eastAsia" w:ascii="宋体" w:hAnsi="宋体"/>
          <w:sz w:val="24"/>
          <w:szCs w:val="24"/>
        </w:rPr>
        <w:t>提供工商部门注册的有效“企业法人营业执照”或“营业执照”；</w:t>
      </w:r>
    </w:p>
    <w:p>
      <w:pPr>
        <w:pStyle w:val="51"/>
        <w:numPr>
          <w:ilvl w:val="1"/>
          <w:numId w:val="43"/>
        </w:numPr>
        <w:spacing w:line="360" w:lineRule="auto"/>
        <w:ind w:left="1435" w:hanging="482" w:firstLineChars="0"/>
        <w:rPr>
          <w:rFonts w:ascii="宋体" w:hAnsi="宋体"/>
          <w:sz w:val="24"/>
          <w:szCs w:val="24"/>
        </w:rPr>
      </w:pPr>
      <w:r>
        <w:rPr>
          <w:rFonts w:hint="eastAsia" w:ascii="楷体" w:hAnsi="楷体" w:eastAsia="楷体"/>
          <w:b/>
          <w:sz w:val="24"/>
          <w:szCs w:val="24"/>
        </w:rPr>
        <w:t>事业单位法人：</w:t>
      </w:r>
      <w:r>
        <w:rPr>
          <w:rFonts w:hint="eastAsia" w:ascii="宋体" w:hAnsi="宋体"/>
          <w:sz w:val="24"/>
          <w:szCs w:val="24"/>
        </w:rPr>
        <w:t>提供有效的“事业单位法人证书”。</w:t>
      </w:r>
    </w:p>
    <w:p>
      <w:pPr>
        <w:numPr>
          <w:ilvl w:val="0"/>
          <w:numId w:val="42"/>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其他组织</w:t>
      </w:r>
    </w:p>
    <w:p>
      <w:pPr>
        <w:pStyle w:val="51"/>
        <w:numPr>
          <w:ilvl w:val="0"/>
          <w:numId w:val="44"/>
        </w:numPr>
        <w:spacing w:line="360" w:lineRule="auto"/>
        <w:ind w:left="0" w:firstLine="1435" w:firstLineChars="0"/>
        <w:rPr>
          <w:rFonts w:ascii="宋体" w:hAns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51"/>
        <w:numPr>
          <w:ilvl w:val="0"/>
          <w:numId w:val="44"/>
        </w:numPr>
        <w:spacing w:line="360" w:lineRule="auto"/>
        <w:ind w:left="0" w:firstLine="1435" w:firstLineChars="0"/>
        <w:rPr>
          <w:rFonts w:ascii="宋体" w:hAns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42"/>
        </w:numPr>
        <w:spacing w:line="360" w:lineRule="auto"/>
        <w:ind w:left="1321" w:hanging="720"/>
        <w:rPr>
          <w:rFonts w:ascii="宋体" w:hAnsi="宋体" w:cs="Times New Roman"/>
          <w:sz w:val="24"/>
          <w:szCs w:val="20"/>
        </w:rPr>
      </w:pPr>
      <w:r>
        <w:rPr>
          <w:rFonts w:hint="eastAsia" w:ascii="仿宋" w:hAnsi="仿宋" w:eastAsia="仿宋" w:cs="Times New Roman"/>
          <w:b/>
          <w:sz w:val="24"/>
          <w:szCs w:val="20"/>
        </w:rPr>
        <w:t>自然人：</w:t>
      </w:r>
      <w:r>
        <w:rPr>
          <w:rFonts w:hint="eastAsia" w:ascii="宋体" w:hAnsi="宋体" w:cs="Times New Roman"/>
          <w:sz w:val="24"/>
          <w:szCs w:val="20"/>
        </w:rPr>
        <w:t>提供有效的自然人身份证明。（仅限中国公民）</w:t>
      </w:r>
    </w:p>
    <w:p>
      <w:pPr>
        <w:pStyle w:val="51"/>
        <w:numPr>
          <w:ilvl w:val="0"/>
          <w:numId w:val="41"/>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财务状况报告，依法缴纳税收和社会保障资金的相关材料（投标人提供近三年年度财务审计报告及参加政府采购活动前一段时间内依法缴纳税收和社会保障资金的证明材料）：</w:t>
      </w:r>
    </w:p>
    <w:p>
      <w:pPr>
        <w:numPr>
          <w:ilvl w:val="0"/>
          <w:numId w:val="45"/>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财务状况报告</w:t>
      </w:r>
    </w:p>
    <w:p>
      <w:pPr>
        <w:pStyle w:val="51"/>
        <w:numPr>
          <w:ilvl w:val="0"/>
          <w:numId w:val="46"/>
        </w:numPr>
        <w:spacing w:line="360" w:lineRule="auto"/>
        <w:ind w:left="1435" w:hanging="482" w:firstLineChars="0"/>
        <w:rPr>
          <w:rFonts w:ascii="宋体" w:hAnsi="宋体"/>
          <w:sz w:val="24"/>
          <w:szCs w:val="24"/>
        </w:rPr>
      </w:pPr>
      <w:r>
        <w:rPr>
          <w:rFonts w:hint="eastAsia" w:ascii="楷体" w:hAnsi="楷体" w:eastAsia="楷体"/>
          <w:b/>
          <w:sz w:val="24"/>
          <w:szCs w:val="24"/>
        </w:rPr>
        <w:t>法人：</w:t>
      </w:r>
      <w:r>
        <w:rPr>
          <w:rFonts w:hint="eastAsia" w:ascii="宋体" w:hAnsi="宋体"/>
          <w:sz w:val="24"/>
          <w:szCs w:val="24"/>
        </w:rPr>
        <w:t>提供上年度经第三方审计的财务报告（完整的财务报告，包括“四表一注”，即资产负债表、利润表、现金流量表、所有者权益变动表及其附注），或其基本开户银行出具的资信证明；</w:t>
      </w:r>
    </w:p>
    <w:p>
      <w:pPr>
        <w:pStyle w:val="51"/>
        <w:numPr>
          <w:ilvl w:val="0"/>
          <w:numId w:val="46"/>
        </w:numPr>
        <w:spacing w:line="360" w:lineRule="auto"/>
        <w:ind w:left="1435" w:hanging="482" w:firstLineChars="0"/>
        <w:rPr>
          <w:rFonts w:ascii="宋体" w:hAns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51"/>
        <w:numPr>
          <w:ilvl w:val="0"/>
          <w:numId w:val="46"/>
        </w:numPr>
        <w:spacing w:line="360" w:lineRule="auto"/>
        <w:ind w:left="1435" w:hanging="482" w:firstLineChars="0"/>
        <w:rPr>
          <w:rFonts w:ascii="宋体" w:hAns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45"/>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依法缴纳税收和社会保障资金的证明材料</w:t>
      </w:r>
    </w:p>
    <w:p>
      <w:pPr>
        <w:pStyle w:val="51"/>
        <w:numPr>
          <w:ilvl w:val="0"/>
          <w:numId w:val="47"/>
        </w:numPr>
        <w:spacing w:line="360" w:lineRule="auto"/>
        <w:ind w:left="1441" w:hanging="488" w:firstLineChars="0"/>
        <w:rPr>
          <w:rFonts w:ascii="宋体" w:hAnsi="宋体"/>
          <w:sz w:val="24"/>
          <w:szCs w:val="24"/>
        </w:rPr>
      </w:pPr>
      <w:r>
        <w:rPr>
          <w:rFonts w:hint="eastAsia" w:ascii="宋体" w:hAnsi="宋体"/>
          <w:sz w:val="24"/>
          <w:szCs w:val="24"/>
        </w:rPr>
        <w:t>法人</w:t>
      </w:r>
    </w:p>
    <w:p>
      <w:pPr>
        <w:pStyle w:val="51"/>
        <w:numPr>
          <w:ilvl w:val="0"/>
          <w:numId w:val="48"/>
        </w:numPr>
        <w:spacing w:line="360" w:lineRule="auto"/>
        <w:ind w:left="1571" w:hanging="369" w:firstLineChars="0"/>
        <w:rPr>
          <w:rFonts w:ascii="Helvetica" w:hAnsi="Helvetica" w:cs="Helvetica"/>
          <w:kern w:val="0"/>
          <w:sz w:val="24"/>
          <w:szCs w:val="24"/>
        </w:rPr>
      </w:pPr>
      <w:r>
        <w:rPr>
          <w:rFonts w:hint="eastAsia" w:ascii="Helvetica" w:hAnsi="Helvetica" w:cs="Helvetica"/>
          <w:kern w:val="0"/>
          <w:sz w:val="24"/>
          <w:szCs w:val="24"/>
        </w:rPr>
        <w:t>参加政府采购活动前一段时间内纳税凭据；</w:t>
      </w:r>
    </w:p>
    <w:p>
      <w:pPr>
        <w:pStyle w:val="51"/>
        <w:numPr>
          <w:ilvl w:val="0"/>
          <w:numId w:val="48"/>
        </w:numPr>
        <w:spacing w:line="360" w:lineRule="auto"/>
        <w:ind w:left="1571" w:hanging="369" w:firstLineChars="0"/>
        <w:rPr>
          <w:rFonts w:ascii="Helvetica" w:hAnsi="Helvetica" w:cs="Helvetica"/>
          <w:kern w:val="0"/>
          <w:sz w:val="24"/>
          <w:szCs w:val="24"/>
        </w:rPr>
      </w:pPr>
      <w:r>
        <w:rPr>
          <w:rFonts w:hint="eastAsia" w:ascii="Helvetica" w:hAnsi="Helvetica" w:cs="Helvetica"/>
          <w:kern w:val="0"/>
          <w:sz w:val="24"/>
          <w:szCs w:val="24"/>
        </w:rPr>
        <w:t>参加政府采购活动前一段时间内缴纳社会保险的凭据（专用收据或社会保险缴纳清单或社保证明）。</w:t>
      </w:r>
    </w:p>
    <w:p>
      <w:pPr>
        <w:pStyle w:val="51"/>
        <w:numPr>
          <w:ilvl w:val="0"/>
          <w:numId w:val="48"/>
        </w:numPr>
        <w:spacing w:line="360" w:lineRule="auto"/>
        <w:ind w:left="1571" w:hanging="369" w:firstLineChars="0"/>
        <w:rPr>
          <w:rFonts w:ascii="Helvetica" w:hAnsi="Helvetica" w:cs="Helvetica"/>
          <w:kern w:val="0"/>
          <w:sz w:val="24"/>
          <w:szCs w:val="24"/>
        </w:rPr>
      </w:pPr>
      <w:r>
        <w:rPr>
          <w:rFonts w:hint="eastAsia" w:ascii="Helvetica" w:hAnsi="Helvetica" w:cs="Helvetica"/>
          <w:kern w:val="0"/>
          <w:sz w:val="24"/>
          <w:szCs w:val="24"/>
        </w:rPr>
        <w:t>其他组织和自然人</w:t>
      </w:r>
    </w:p>
    <w:p>
      <w:pPr>
        <w:pStyle w:val="51"/>
        <w:numPr>
          <w:ilvl w:val="0"/>
          <w:numId w:val="48"/>
        </w:numPr>
        <w:spacing w:line="360" w:lineRule="auto"/>
        <w:ind w:left="1571" w:hanging="369" w:firstLineChars="0"/>
        <w:rPr>
          <w:rFonts w:ascii="Helvetica" w:hAnsi="Helvetica" w:cs="Helvetica"/>
          <w:kern w:val="0"/>
          <w:sz w:val="24"/>
          <w:szCs w:val="24"/>
        </w:rPr>
      </w:pPr>
      <w:r>
        <w:rPr>
          <w:rFonts w:hint="eastAsia" w:ascii="Helvetica" w:hAnsi="Helvetica" w:cs="Helvetica"/>
          <w:kern w:val="0"/>
          <w:sz w:val="24"/>
          <w:szCs w:val="24"/>
        </w:rPr>
        <w:t>参加政府采购活动前一段时间内缴纳税收的凭据；</w:t>
      </w:r>
    </w:p>
    <w:p>
      <w:pPr>
        <w:pStyle w:val="51"/>
        <w:numPr>
          <w:ilvl w:val="0"/>
          <w:numId w:val="48"/>
        </w:numPr>
        <w:spacing w:line="360" w:lineRule="auto"/>
        <w:ind w:left="1571" w:hanging="369" w:firstLineChars="0"/>
        <w:rPr>
          <w:rFonts w:ascii="Helvetica" w:hAnsi="Helvetica" w:cs="Helvetica"/>
          <w:kern w:val="0"/>
          <w:sz w:val="24"/>
          <w:szCs w:val="24"/>
        </w:rPr>
      </w:pPr>
      <w:r>
        <w:rPr>
          <w:rFonts w:hint="eastAsia" w:ascii="Helvetica" w:hAnsi="Helvetica" w:cs="Helvetica"/>
          <w:kern w:val="0"/>
          <w:sz w:val="24"/>
          <w:szCs w:val="24"/>
        </w:rPr>
        <w:t>参加政府采购活动前一段时间内缴纳社会保险的凭据(专用收据或社会保险缴纳清单或社保证明)。</w:t>
      </w:r>
    </w:p>
    <w:p>
      <w:pPr>
        <w:pStyle w:val="51"/>
        <w:numPr>
          <w:ilvl w:val="0"/>
          <w:numId w:val="47"/>
        </w:numPr>
        <w:spacing w:line="360" w:lineRule="auto"/>
        <w:ind w:left="1441" w:hanging="488" w:firstLineChars="0"/>
        <w:rPr>
          <w:rFonts w:ascii="宋体" w:hAnsi="宋体"/>
          <w:sz w:val="24"/>
          <w:szCs w:val="24"/>
        </w:rPr>
      </w:pPr>
      <w:r>
        <w:rPr>
          <w:rFonts w:hint="eastAsia" w:ascii="宋体" w:hAnsi="宋体"/>
          <w:sz w:val="24"/>
          <w:szCs w:val="24"/>
        </w:rPr>
        <w:t>依法免税或不需要缴纳社会保险资金的投标人</w:t>
      </w:r>
    </w:p>
    <w:p>
      <w:pPr>
        <w:pStyle w:val="51"/>
        <w:spacing w:line="360" w:lineRule="auto"/>
        <w:ind w:left="1441" w:firstLine="0" w:firstLineChars="0"/>
        <w:rPr>
          <w:rFonts w:ascii="宋体" w:hAnsi="宋体"/>
          <w:sz w:val="24"/>
          <w:szCs w:val="24"/>
        </w:rPr>
      </w:pPr>
      <w:r>
        <w:rPr>
          <w:rFonts w:hint="eastAsia" w:ascii="宋体" w:hAnsi="宋体"/>
          <w:sz w:val="24"/>
          <w:szCs w:val="24"/>
        </w:rPr>
        <w:t>提供其依法免税或不需要缴纳社会保险资金的相关证明文件。</w:t>
      </w:r>
    </w:p>
    <w:p>
      <w:pPr>
        <w:pStyle w:val="51"/>
        <w:numPr>
          <w:ilvl w:val="0"/>
          <w:numId w:val="41"/>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具备履行合同所必需的设备和专业技术能力的声明材料：</w:t>
      </w:r>
    </w:p>
    <w:p>
      <w:pPr>
        <w:pStyle w:val="51"/>
        <w:numPr>
          <w:ilvl w:val="0"/>
          <w:numId w:val="41"/>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参加政府采购活动前3年内在经营活动中没有重大违法记录的书面声明：</w:t>
      </w:r>
    </w:p>
    <w:p>
      <w:pPr>
        <w:numPr>
          <w:ilvl w:val="0"/>
          <w:numId w:val="49"/>
        </w:numPr>
        <w:spacing w:line="360" w:lineRule="auto"/>
        <w:ind w:left="1321" w:hanging="720"/>
        <w:rPr>
          <w:rFonts w:ascii="宋体" w:hAnsi="宋体" w:cs="Times New Roman"/>
          <w:sz w:val="24"/>
          <w:szCs w:val="20"/>
        </w:rPr>
      </w:pPr>
      <w:r>
        <w:rPr>
          <w:rFonts w:hint="eastAsia" w:ascii="宋体" w:hAnsi="宋体" w:cs="Times New Roman"/>
          <w:sz w:val="24"/>
          <w:szCs w:val="20"/>
        </w:rPr>
        <w:t>应严格按照附件格式提交“参加政府采购活动前三年内在经营活动中没有重大违法记录的书面声明函”；</w:t>
      </w:r>
    </w:p>
    <w:p>
      <w:pPr>
        <w:numPr>
          <w:ilvl w:val="0"/>
          <w:numId w:val="49"/>
        </w:numPr>
        <w:spacing w:line="360" w:lineRule="auto"/>
        <w:ind w:left="1321" w:hanging="720"/>
        <w:rPr>
          <w:rFonts w:ascii="宋体" w:hAnsi="宋体" w:cs="Times New Roman"/>
          <w:sz w:val="24"/>
          <w:szCs w:val="20"/>
        </w:rPr>
      </w:pPr>
      <w:r>
        <w:rPr>
          <w:rFonts w:hint="eastAsia" w:ascii="宋体" w:hAnsi="宋体" w:cs="Times New Roman"/>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49"/>
        </w:numPr>
        <w:spacing w:line="360" w:lineRule="auto"/>
        <w:ind w:left="1321" w:hanging="720"/>
        <w:rPr>
          <w:rFonts w:ascii="仿宋" w:hAnsi="仿宋" w:eastAsia="仿宋" w:cs="Times New Roman"/>
          <w:sz w:val="24"/>
          <w:szCs w:val="20"/>
        </w:rPr>
      </w:pPr>
      <w:r>
        <w:rPr>
          <w:rFonts w:hint="eastAsia" w:ascii="宋体" w:hAnsi="宋体" w:cs="Times New Roman"/>
          <w:sz w:val="24"/>
          <w:szCs w:val="20"/>
        </w:rPr>
        <w:t>按照财政部《关于规范政府采购行政处罚有关问题的通知》的规定，</w:t>
      </w:r>
      <w:r>
        <w:rPr>
          <w:rFonts w:ascii="宋体" w:hAnsi="宋体" w:cs="Times New Roman"/>
          <w:sz w:val="24"/>
          <w:szCs w:val="20"/>
        </w:rPr>
        <w:t>各级人民政府财政部门依法对参加政府采购活动的供应商作出的禁止参加政府采购活动等行政处罚决定在全国范围内生效。</w:t>
      </w:r>
    </w:p>
    <w:p>
      <w:pPr>
        <w:pStyle w:val="51"/>
        <w:numPr>
          <w:ilvl w:val="0"/>
          <w:numId w:val="41"/>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具备法律、行政法规规定的其他条件的证明材料：</w:t>
      </w:r>
    </w:p>
    <w:p>
      <w:pPr>
        <w:numPr>
          <w:ilvl w:val="0"/>
          <w:numId w:val="50"/>
        </w:numPr>
        <w:spacing w:line="360" w:lineRule="auto"/>
        <w:ind w:left="1321" w:hanging="720"/>
        <w:rPr>
          <w:rFonts w:ascii="宋体" w:hAnsi="宋体" w:cs="Times New Roman"/>
          <w:sz w:val="24"/>
          <w:szCs w:val="20"/>
        </w:rPr>
      </w:pPr>
      <w:r>
        <w:rPr>
          <w:rFonts w:hint="eastAsia" w:ascii="宋体" w:hAnsi="宋体" w:cs="Times New Roman"/>
          <w:sz w:val="24"/>
          <w:szCs w:val="20"/>
        </w:rPr>
        <w:t>国家对生产和销售相关产品或提供相关服务有专门法律、行政法规规定的，则必须提供取得国家有关主管部门行政许可的证明材料。</w:t>
      </w:r>
    </w:p>
    <w:p>
      <w:pPr>
        <w:pStyle w:val="51"/>
        <w:numPr>
          <w:ilvl w:val="0"/>
          <w:numId w:val="40"/>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未被“信用中国”网站(www.creditchina.gov.cn)列入失信被执行人、重大税收违法案件当事人名单，未被“中国政府采购网”(www.ccgp.gov.cn)列入政府采购严重违法失信行为记录名单的书面声明及以上网站查询结果页面截图；</w:t>
      </w:r>
    </w:p>
    <w:p>
      <w:pPr>
        <w:pStyle w:val="51"/>
        <w:numPr>
          <w:ilvl w:val="0"/>
          <w:numId w:val="40"/>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招标文件第一章“投标人资格要求”中有特殊要求的，投标人应提供其符合特殊要求的证明材料或者情况说明；</w:t>
      </w:r>
    </w:p>
    <w:p>
      <w:pPr>
        <w:pStyle w:val="51"/>
        <w:numPr>
          <w:ilvl w:val="0"/>
          <w:numId w:val="40"/>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不符合联合体投标相关规定和要求的；</w:t>
      </w:r>
    </w:p>
    <w:p>
      <w:pPr>
        <w:pStyle w:val="51"/>
        <w:numPr>
          <w:ilvl w:val="0"/>
          <w:numId w:val="40"/>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投标人认为需提供的其它相关资格证明材料；</w:t>
      </w:r>
    </w:p>
    <w:p>
      <w:pPr>
        <w:numPr>
          <w:ilvl w:val="0"/>
          <w:numId w:val="39"/>
        </w:numPr>
        <w:tabs>
          <w:tab w:val="left" w:pos="1098"/>
        </w:tabs>
        <w:spacing w:line="360" w:lineRule="auto"/>
        <w:ind w:left="14" w:firstLine="238"/>
        <w:rPr>
          <w:rFonts w:ascii="宋体" w:hAnsi="宋体" w:cs="Times New Roman"/>
          <w:b/>
          <w:sz w:val="24"/>
          <w:szCs w:val="24"/>
        </w:rPr>
      </w:pPr>
      <w:r>
        <w:rPr>
          <w:rFonts w:hint="eastAsia" w:ascii="宋体" w:hAnsi="宋体" w:cs="Times New Roman"/>
          <w:b/>
          <w:sz w:val="24"/>
          <w:szCs w:val="24"/>
        </w:rPr>
        <w:t>确定资格审查合格投标人</w:t>
      </w:r>
    </w:p>
    <w:p>
      <w:pPr>
        <w:pStyle w:val="51"/>
        <w:numPr>
          <w:ilvl w:val="0"/>
          <w:numId w:val="51"/>
        </w:numPr>
        <w:spacing w:line="360" w:lineRule="auto"/>
        <w:ind w:left="840" w:hanging="364" w:firstLineChars="0"/>
        <w:rPr>
          <w:rFonts w:ascii="宋体" w:hAnsi="宋体" w:cs="Times New Roman"/>
          <w:sz w:val="24"/>
          <w:szCs w:val="24"/>
        </w:rPr>
      </w:pPr>
      <w:r>
        <w:rPr>
          <w:rFonts w:hint="eastAsia" w:ascii="宋体" w:hAnsi="宋体" w:cs="Times New Roman"/>
          <w:sz w:val="24"/>
          <w:szCs w:val="24"/>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51"/>
        <w:numPr>
          <w:ilvl w:val="0"/>
          <w:numId w:val="51"/>
        </w:numPr>
        <w:spacing w:line="360" w:lineRule="auto"/>
        <w:ind w:left="840" w:hanging="364" w:firstLineChars="0"/>
        <w:rPr>
          <w:rFonts w:ascii="宋体" w:hAnsi="宋体" w:cs="Times New Roman"/>
          <w:sz w:val="24"/>
          <w:szCs w:val="24"/>
        </w:rPr>
      </w:pPr>
      <w:r>
        <w:rPr>
          <w:rFonts w:hint="eastAsia" w:ascii="宋体" w:hAnsi="宋体" w:cs="Times New Roman"/>
          <w:sz w:val="24"/>
          <w:szCs w:val="24"/>
        </w:rPr>
        <w:t>资格审查合格投标人不足3家的，不进行评标。</w:t>
      </w:r>
    </w:p>
    <w:p>
      <w:pPr>
        <w:pStyle w:val="51"/>
        <w:numPr>
          <w:ilvl w:val="0"/>
          <w:numId w:val="51"/>
        </w:numPr>
        <w:spacing w:line="360" w:lineRule="auto"/>
        <w:ind w:left="840" w:hanging="364" w:firstLineChars="0"/>
        <w:rPr>
          <w:rFonts w:ascii="宋体" w:hAnsi="宋体" w:cs="Times New Roman"/>
          <w:sz w:val="24"/>
          <w:szCs w:val="24"/>
        </w:rPr>
      </w:pPr>
      <w:r>
        <w:rPr>
          <w:rFonts w:hint="eastAsia" w:ascii="宋体" w:hAnsi="宋体" w:cs="Times New Roman"/>
          <w:sz w:val="24"/>
          <w:szCs w:val="24"/>
        </w:rPr>
        <w:t>资格审查未通过的投标人可在结果公告质疑有效期内按公告中的联系方式获知</w:t>
      </w:r>
      <w:r>
        <w:rPr>
          <w:rFonts w:ascii="宋体" w:hAnsi="宋体" w:cs="Times New Roman"/>
          <w:sz w:val="24"/>
          <w:szCs w:val="24"/>
        </w:rPr>
        <w:t>本</w:t>
      </w:r>
      <w:r>
        <w:rPr>
          <w:rFonts w:hint="eastAsia" w:ascii="宋体" w:hAnsi="宋体" w:cs="Times New Roman"/>
          <w:sz w:val="24"/>
          <w:szCs w:val="24"/>
        </w:rPr>
        <w:t>单位</w:t>
      </w:r>
      <w:r>
        <w:rPr>
          <w:rFonts w:ascii="宋体" w:hAnsi="宋体" w:cs="Times New Roman"/>
          <w:sz w:val="24"/>
          <w:szCs w:val="24"/>
        </w:rPr>
        <w:t>的</w:t>
      </w:r>
      <w:r>
        <w:rPr>
          <w:rFonts w:hint="eastAsia" w:ascii="宋体" w:hAnsi="宋体" w:cs="Times New Roman"/>
          <w:sz w:val="24"/>
          <w:szCs w:val="24"/>
        </w:rPr>
        <w:t>资格审查情况。</w:t>
      </w:r>
    </w:p>
    <w:p>
      <w:pPr>
        <w:pStyle w:val="51"/>
        <w:numPr>
          <w:ilvl w:val="0"/>
          <w:numId w:val="51"/>
        </w:numPr>
        <w:spacing w:line="360" w:lineRule="auto"/>
        <w:ind w:left="840" w:hanging="364" w:firstLineChars="0"/>
        <w:rPr>
          <w:rFonts w:ascii="宋体" w:hAnsi="宋体" w:cs="Times New Roman"/>
          <w:sz w:val="24"/>
          <w:szCs w:val="24"/>
        </w:rPr>
      </w:pPr>
      <w:r>
        <w:rPr>
          <w:rFonts w:hint="eastAsia" w:ascii="宋体" w:hAnsi="宋体" w:cs="Times New Roman"/>
          <w:sz w:val="24"/>
          <w:szCs w:val="24"/>
        </w:rPr>
        <w:t>采购人已进行资格预审的，不再进行资格审查。未通过资格预审的投标人</w:t>
      </w:r>
      <w:r>
        <w:rPr>
          <w:rFonts w:hint="eastAsia" w:ascii="宋体" w:hAnsi="宋体" w:cs="Times New Roman"/>
          <w:sz w:val="24"/>
          <w:szCs w:val="24"/>
          <w:lang w:eastAsia="zh-CN"/>
        </w:rPr>
        <w:t>代理采购机构</w:t>
      </w:r>
      <w:r>
        <w:rPr>
          <w:rFonts w:hint="eastAsia" w:ascii="宋体" w:hAnsi="宋体" w:cs="Times New Roman"/>
          <w:b/>
          <w:sz w:val="24"/>
          <w:szCs w:val="24"/>
        </w:rPr>
        <w:t>拒绝</w:t>
      </w:r>
      <w:r>
        <w:rPr>
          <w:rFonts w:hint="eastAsia" w:ascii="宋体" w:hAnsi="宋体" w:cs="Times New Roman"/>
          <w:sz w:val="24"/>
          <w:szCs w:val="24"/>
        </w:rPr>
        <w:t>其投标。</w:t>
      </w:r>
    </w:p>
    <w:p>
      <w:pPr>
        <w:rPr>
          <w:rFonts w:ascii="黑体" w:hAnsi="黑体" w:eastAsia="黑体"/>
        </w:rPr>
      </w:pPr>
      <w:r>
        <w:rPr>
          <w:rFonts w:hint="eastAsia" w:ascii="黑体" w:hAnsi="黑体" w:eastAsia="黑体"/>
        </w:rPr>
        <w:br w:type="page"/>
      </w:r>
    </w:p>
    <w:p>
      <w:pPr>
        <w:pStyle w:val="4"/>
        <w:spacing w:line="360" w:lineRule="auto"/>
        <w:jc w:val="center"/>
        <w:rPr>
          <w:rFonts w:ascii="黑体" w:hAnsi="黑体" w:eastAsia="黑体"/>
        </w:rPr>
      </w:pPr>
      <w:bookmarkStart w:id="53" w:name="_Toc355"/>
      <w:r>
        <w:rPr>
          <w:rFonts w:hint="eastAsia" w:ascii="黑体" w:hAnsi="黑体" w:eastAsia="黑体"/>
        </w:rPr>
        <w:t>第五章 评标方法、程序及标准</w:t>
      </w:r>
      <w:bookmarkEnd w:id="53"/>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5"/>
        <w:numPr>
          <w:ilvl w:val="0"/>
          <w:numId w:val="52"/>
        </w:numPr>
        <w:spacing w:before="0" w:after="0" w:line="360" w:lineRule="auto"/>
        <w:ind w:left="616" w:hanging="616"/>
        <w:jc w:val="left"/>
        <w:rPr>
          <w:rFonts w:cs="Times New Roman" w:asciiTheme="majorEastAsia" w:hAnsiTheme="majorEastAsia"/>
          <w:bCs w:val="0"/>
          <w:sz w:val="30"/>
          <w:szCs w:val="30"/>
          <w:lang w:val="zh-CN"/>
        </w:rPr>
      </w:pPr>
      <w:bookmarkStart w:id="54" w:name="_Toc278891605"/>
      <w:bookmarkStart w:id="55" w:name="_Toc272247708"/>
      <w:bookmarkStart w:id="56" w:name="_Toc19323"/>
      <w:bookmarkStart w:id="57" w:name="_Toc494561961"/>
      <w:r>
        <w:rPr>
          <w:rFonts w:hint="eastAsia" w:cs="Times New Roman" w:asciiTheme="majorEastAsia" w:hAnsiTheme="majorEastAsia"/>
          <w:bCs w:val="0"/>
          <w:sz w:val="30"/>
          <w:szCs w:val="30"/>
          <w:lang w:val="zh-CN"/>
        </w:rPr>
        <w:t>评标</w:t>
      </w:r>
      <w:bookmarkEnd w:id="54"/>
      <w:bookmarkEnd w:id="55"/>
      <w:r>
        <w:rPr>
          <w:rFonts w:hint="eastAsia" w:cs="Times New Roman" w:asciiTheme="majorEastAsia" w:hAnsiTheme="majorEastAsia"/>
          <w:bCs w:val="0"/>
          <w:sz w:val="30"/>
          <w:szCs w:val="30"/>
          <w:lang w:val="zh-CN"/>
        </w:rPr>
        <w:t>方法</w:t>
      </w:r>
      <w:bookmarkEnd w:id="56"/>
      <w:bookmarkEnd w:id="5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color w:val="0000FF"/>
          <w:sz w:val="24"/>
          <w:szCs w:val="20"/>
          <w:lang w:val="zh-CN"/>
        </w:rPr>
        <w:t>本项目评标采用综合评分法，</w:t>
      </w:r>
      <w:r>
        <w:rPr>
          <w:rFonts w:ascii="宋体" w:hAnsi="宋体" w:eastAsia="宋体" w:cs="Times New Roman"/>
          <w:bCs/>
          <w:color w:val="0000FF"/>
          <w:sz w:val="24"/>
          <w:szCs w:val="20"/>
          <w:lang w:val="zh-CN"/>
        </w:rPr>
        <w:t>是指投标文件满足招标文件全部实质性要求，且按照评审因素的量化指标评审得分最高的投标人为中标候选人的评标方法。</w:t>
      </w:r>
    </w:p>
    <w:p>
      <w:pPr>
        <w:pStyle w:val="5"/>
        <w:numPr>
          <w:ilvl w:val="0"/>
          <w:numId w:val="52"/>
        </w:numPr>
        <w:spacing w:before="0" w:after="0" w:line="360" w:lineRule="auto"/>
        <w:ind w:left="616" w:hanging="616"/>
        <w:jc w:val="left"/>
        <w:rPr>
          <w:rFonts w:cs="Times New Roman" w:asciiTheme="majorEastAsia" w:hAnsiTheme="majorEastAsia"/>
          <w:bCs w:val="0"/>
          <w:sz w:val="30"/>
          <w:szCs w:val="30"/>
          <w:lang w:val="zh-CN"/>
        </w:rPr>
      </w:pPr>
      <w:bookmarkStart w:id="58" w:name="_Toc272247709"/>
      <w:bookmarkStart w:id="59" w:name="_Toc278891606"/>
      <w:bookmarkStart w:id="60" w:name="_Toc31215"/>
      <w:bookmarkStart w:id="61" w:name="_Toc494561962"/>
      <w:r>
        <w:rPr>
          <w:rFonts w:hint="eastAsia" w:cs="Times New Roman" w:asciiTheme="majorEastAsia" w:hAnsiTheme="majorEastAsia"/>
          <w:bCs w:val="0"/>
          <w:sz w:val="30"/>
          <w:szCs w:val="30"/>
          <w:lang w:val="zh-CN"/>
        </w:rPr>
        <w:t>评标程序</w:t>
      </w:r>
      <w:bookmarkEnd w:id="58"/>
      <w:bookmarkEnd w:id="59"/>
      <w:r>
        <w:rPr>
          <w:rFonts w:hint="eastAsia" w:cs="Times New Roman" w:asciiTheme="majorEastAsia" w:hAnsiTheme="majorEastAsia"/>
          <w:bCs w:val="0"/>
          <w:sz w:val="30"/>
          <w:szCs w:val="30"/>
          <w:lang w:val="zh-CN"/>
        </w:rPr>
        <w:t>及标准</w:t>
      </w:r>
      <w:bookmarkEnd w:id="60"/>
      <w:bookmarkEnd w:id="61"/>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53"/>
        </w:numPr>
        <w:spacing w:line="360" w:lineRule="auto"/>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符合性审查出现下列情形之一的投标按照无效投标处理：</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5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无法定代表人签字（签章）或签字（签章）人无法定代表人有效授权的（本项目可以由分公司或分支机构总负责人签字（签章）或其授权人签字（签章））；</w:t>
      </w:r>
    </w:p>
    <w:p>
      <w:pPr>
        <w:numPr>
          <w:ilvl w:val="0"/>
          <w:numId w:val="54"/>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符合招标文件第二章“投标人须知”中第</w:t>
      </w:r>
      <w:r>
        <w:rPr>
          <w:rFonts w:hint="eastAsia" w:ascii="Times New Roman" w:hAnsi="宋体" w:eastAsia="宋体" w:cs="Times New Roman"/>
          <w:sz w:val="24"/>
          <w:szCs w:val="24"/>
        </w:rPr>
        <w:t>38</w:t>
      </w:r>
      <w:r>
        <w:rPr>
          <w:rFonts w:hint="eastAsia" w:ascii="Times New Roman" w:hAnsi="宋体" w:eastAsia="宋体" w:cs="Times New Roman"/>
          <w:sz w:val="24"/>
          <w:szCs w:val="24"/>
          <w:lang w:val="zh-CN"/>
        </w:rPr>
        <w:t>条中规定情形，以分公司形式参与投标的，法定代表人授权书未由分公司或分支机构总负责人签字（签章）并加盖公章的；</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 其他注意事项”中规定的书面声明的；</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5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53"/>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5"/>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5"/>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55"/>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53"/>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
          <w:color w:val="FF0000"/>
          <w:sz w:val="24"/>
          <w:szCs w:val="24"/>
        </w:rPr>
      </w:pPr>
      <w:r>
        <w:rPr>
          <w:rFonts w:hint="eastAsia" w:ascii="宋体" w:hAnsi="宋体" w:eastAsia="宋体" w:cs="Times New Roman"/>
          <w:b/>
          <w:color w:val="FF0000"/>
          <w:sz w:val="24"/>
          <w:szCs w:val="24"/>
        </w:rPr>
        <w:t>评标委员会对符合性审查合格的投标文件进行价格评议（</w:t>
      </w:r>
      <w:r>
        <w:rPr>
          <w:rFonts w:hint="eastAsia" w:ascii="宋体" w:hAnsi="宋体" w:eastAsia="宋体" w:cs="Times New Roman"/>
          <w:b/>
          <w:color w:val="FF0000"/>
          <w:sz w:val="24"/>
          <w:szCs w:val="21"/>
          <w:lang w:val="zh-CN"/>
        </w:rPr>
        <w:t>执行国家统一定价标准和采用固定价格采购的项目，其价格不列为评审因素</w:t>
      </w:r>
      <w:r>
        <w:rPr>
          <w:rFonts w:hint="eastAsia" w:ascii="宋体" w:hAnsi="宋体" w:eastAsia="宋体" w:cs="Times New Roman"/>
          <w:b/>
          <w:color w:val="FF0000"/>
          <w:sz w:val="24"/>
          <w:szCs w:val="24"/>
        </w:rPr>
        <w:t>），详见本章“评审因素及评分标准”中的具体计算公式。</w:t>
      </w:r>
    </w:p>
    <w:p>
      <w:pPr>
        <w:numPr>
          <w:ilvl w:val="0"/>
          <w:numId w:val="58"/>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Cs/>
          <w:color w:val="0D0D0D"/>
          <w:sz w:val="24"/>
          <w:szCs w:val="20"/>
          <w:lang w:val="zh-CN"/>
        </w:rPr>
        <w:t>报价合理性说明：评标</w:t>
      </w:r>
      <w:r>
        <w:rPr>
          <w:rFonts w:ascii="宋体" w:hAnsi="宋体" w:eastAsia="宋体" w:cs="Helvetica"/>
          <w:kern w:val="0"/>
          <w:sz w:val="24"/>
          <w:szCs w:val="24"/>
          <w:lang w:val="zh-CN"/>
        </w:rPr>
        <w:t>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8"/>
        </w:numPr>
        <w:adjustRightInd w:val="0"/>
        <w:spacing w:line="360" w:lineRule="auto"/>
        <w:ind w:left="742" w:hanging="493"/>
        <w:rPr>
          <w:rFonts w:ascii="宋体" w:hAnsi="宋体" w:eastAsia="宋体" w:cs="Times New Roman"/>
          <w:b/>
          <w:color w:val="FF0000"/>
          <w:sz w:val="24"/>
          <w:szCs w:val="24"/>
          <w:lang w:val="zh-CN"/>
        </w:rPr>
      </w:pPr>
      <w:r>
        <w:rPr>
          <w:rFonts w:hint="eastAsia" w:ascii="宋体" w:hAnsi="宋体" w:eastAsia="宋体" w:cs="Times New Roman"/>
          <w:b/>
          <w:color w:val="FF0000"/>
          <w:sz w:val="24"/>
          <w:szCs w:val="24"/>
          <w:lang w:val="zh-CN"/>
        </w:rPr>
        <w:t>小型和微型企业、监狱企业、残疾人福利性单位价格扣除：</w:t>
      </w:r>
    </w:p>
    <w:p>
      <w:pPr>
        <w:numPr>
          <w:ilvl w:val="0"/>
          <w:numId w:val="59"/>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color w:val="FF0000"/>
          <w:sz w:val="24"/>
          <w:szCs w:val="20"/>
          <w:lang w:val="zh-CN"/>
        </w:rPr>
        <w:t>6%</w:t>
      </w:r>
      <w:r>
        <w:rPr>
          <w:rFonts w:hint="eastAsia" w:ascii="宋体" w:hAnsi="宋体" w:eastAsia="宋体" w:cs="Times New Roman"/>
          <w:bCs/>
          <w:color w:val="FF0000"/>
          <w:sz w:val="24"/>
          <w:szCs w:val="20"/>
          <w:lang w:val="zh-CN"/>
        </w:rPr>
        <w:t>的扣除，用扣除后的价格参与评审。</w:t>
      </w:r>
    </w:p>
    <w:p>
      <w:pPr>
        <w:numPr>
          <w:ilvl w:val="0"/>
          <w:numId w:val="59"/>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非专门面向中小企业的工程、服务类采购项目，投标人是小型和微型企业的价格给予</w:t>
      </w:r>
      <w:r>
        <w:rPr>
          <w:rFonts w:hint="eastAsia" w:ascii="宋体" w:hAnsi="宋体" w:eastAsia="宋体" w:cs="Times New Roman"/>
          <w:b/>
          <w:bCs/>
          <w:color w:val="FF0000"/>
          <w:sz w:val="24"/>
          <w:szCs w:val="20"/>
          <w:lang w:val="zh-CN"/>
        </w:rPr>
        <w:t>6%</w:t>
      </w:r>
      <w:r>
        <w:rPr>
          <w:rFonts w:hint="eastAsia" w:ascii="宋体" w:hAnsi="宋体" w:eastAsia="宋体" w:cs="Times New Roman"/>
          <w:bCs/>
          <w:color w:val="FF0000"/>
          <w:sz w:val="24"/>
          <w:szCs w:val="20"/>
          <w:lang w:val="zh-CN"/>
        </w:rPr>
        <w:t>的扣除，用扣除后的价格参与评审。</w:t>
      </w:r>
    </w:p>
    <w:p>
      <w:pPr>
        <w:numPr>
          <w:ilvl w:val="0"/>
          <w:numId w:val="59"/>
        </w:numPr>
        <w:spacing w:line="360" w:lineRule="auto"/>
        <w:ind w:left="1134" w:hanging="756"/>
        <w:rPr>
          <w:rFonts w:ascii="宋体" w:hAnsi="宋体" w:eastAsia="宋体" w:cs="Times New Roman"/>
          <w:bCs/>
          <w:color w:val="FF0000"/>
          <w:sz w:val="24"/>
          <w:szCs w:val="20"/>
          <w:lang w:val="zh-CN"/>
        </w:rPr>
      </w:pPr>
      <w:r>
        <w:rPr>
          <w:rFonts w:ascii="宋体" w:hAnsi="宋体" w:eastAsia="宋体" w:cs="Times New Roman"/>
          <w:bCs/>
          <w:color w:val="FF0000"/>
          <w:sz w:val="24"/>
          <w:szCs w:val="20"/>
          <w:lang w:val="zh-CN"/>
        </w:rPr>
        <w:t>鼓励大中型企业和其他自然人</w:t>
      </w:r>
      <w:r>
        <w:rPr>
          <w:rFonts w:ascii="宋体" w:hAnsi="宋体" w:eastAsia="宋体" w:cs="Times New Roman"/>
          <w:bCs/>
          <w:color w:val="FF0000"/>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FF0000"/>
          <w:sz w:val="24"/>
          <w:szCs w:val="20"/>
        </w:rPr>
        <w:t>30%</w:t>
      </w:r>
      <w:r>
        <w:rPr>
          <w:rFonts w:ascii="宋体" w:hAnsi="宋体" w:eastAsia="宋体" w:cs="Times New Roman"/>
          <w:bCs/>
          <w:color w:val="FF0000"/>
          <w:sz w:val="24"/>
          <w:szCs w:val="20"/>
        </w:rPr>
        <w:t>以上的，可给予联合体</w:t>
      </w:r>
      <w:r>
        <w:rPr>
          <w:rFonts w:ascii="宋体" w:hAnsi="宋体" w:eastAsia="宋体" w:cs="Times New Roman"/>
          <w:b/>
          <w:bCs/>
          <w:color w:val="FF0000"/>
          <w:sz w:val="24"/>
          <w:szCs w:val="20"/>
          <w:lang w:val="zh-CN"/>
        </w:rPr>
        <w:t>3%</w:t>
      </w:r>
      <w:r>
        <w:rPr>
          <w:rFonts w:ascii="宋体" w:hAnsi="宋体" w:eastAsia="宋体" w:cs="Times New Roman"/>
          <w:bCs/>
          <w:color w:val="FF0000"/>
          <w:sz w:val="24"/>
          <w:szCs w:val="20"/>
        </w:rPr>
        <w:t>的价格扣除</w:t>
      </w:r>
      <w:r>
        <w:rPr>
          <w:rFonts w:hint="eastAsia" w:ascii="宋体" w:hAnsi="宋体" w:eastAsia="宋体" w:cs="Times New Roman"/>
          <w:bCs/>
          <w:color w:val="FF0000"/>
          <w:sz w:val="24"/>
          <w:szCs w:val="20"/>
        </w:rPr>
        <w:t>，</w:t>
      </w:r>
      <w:r>
        <w:rPr>
          <w:rFonts w:hint="eastAsia" w:ascii="宋体" w:hAnsi="宋体" w:eastAsia="宋体" w:cs="Times New Roman"/>
          <w:bCs/>
          <w:color w:val="FF0000"/>
          <w:sz w:val="24"/>
          <w:szCs w:val="20"/>
          <w:lang w:val="zh-CN"/>
        </w:rPr>
        <w:t>不重复享受政策。</w:t>
      </w:r>
    </w:p>
    <w:p>
      <w:pPr>
        <w:numPr>
          <w:ilvl w:val="0"/>
          <w:numId w:val="59"/>
        </w:numPr>
        <w:spacing w:line="360" w:lineRule="auto"/>
        <w:ind w:left="1134" w:hanging="756"/>
        <w:rPr>
          <w:rFonts w:ascii="宋体" w:hAnsi="宋体" w:eastAsia="宋体" w:cs="Times New Roman"/>
          <w:bCs/>
          <w:color w:val="FF0000"/>
          <w:sz w:val="24"/>
          <w:szCs w:val="20"/>
          <w:lang w:val="zh-CN"/>
        </w:rPr>
      </w:pPr>
      <w:r>
        <w:rPr>
          <w:rFonts w:ascii="宋体" w:hAnsi="宋体" w:eastAsia="宋体" w:cs="Times New Roman"/>
          <w:bCs/>
          <w:color w:val="FF0000"/>
          <w:sz w:val="24"/>
          <w:szCs w:val="20"/>
          <w:lang w:val="zh-CN"/>
        </w:rPr>
        <w:t>监狱企业</w:t>
      </w:r>
      <w:r>
        <w:rPr>
          <w:rFonts w:hint="eastAsia" w:ascii="宋体" w:hAnsi="宋体" w:eastAsia="宋体" w:cs="Times New Roman"/>
          <w:bCs/>
          <w:color w:val="FF0000"/>
          <w:sz w:val="24"/>
          <w:szCs w:val="20"/>
          <w:lang w:val="zh-CN"/>
        </w:rPr>
        <w:t>、残疾人福利性单位</w:t>
      </w:r>
      <w:r>
        <w:rPr>
          <w:rFonts w:ascii="宋体" w:hAnsi="宋体" w:eastAsia="宋体" w:cs="Times New Roman"/>
          <w:bCs/>
          <w:color w:val="FF0000"/>
          <w:sz w:val="24"/>
          <w:szCs w:val="20"/>
          <w:lang w:val="zh-CN"/>
        </w:rPr>
        <w:t>视同小型、微型企业，享受预留份额、评审中价格扣除等政府采购促进中小企业发展的政府采购政策</w:t>
      </w:r>
      <w:r>
        <w:rPr>
          <w:rFonts w:hint="eastAsia" w:ascii="宋体" w:hAnsi="宋体" w:eastAsia="宋体" w:cs="Times New Roman"/>
          <w:bCs/>
          <w:color w:val="FF0000"/>
          <w:sz w:val="24"/>
          <w:szCs w:val="20"/>
          <w:lang w:val="zh-CN"/>
        </w:rPr>
        <w:t>，残疾人福利性单位属于小型、微型企业的，不重复享受政策。</w:t>
      </w:r>
    </w:p>
    <w:p>
      <w:pPr>
        <w:numPr>
          <w:ilvl w:val="0"/>
          <w:numId w:val="59"/>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60"/>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60"/>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61"/>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代理采购机构对各评委的总分进行复核。各项统计结果均精确到小数点后两位。</w:t>
      </w:r>
    </w:p>
    <w:p>
      <w:pPr>
        <w:numPr>
          <w:ilvl w:val="0"/>
          <w:numId w:val="61"/>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53"/>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6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6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6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6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ind w:left="420" w:firstLine="480"/>
        <w:rPr>
          <w:rFonts w:ascii="Helvetica" w:hAnsi="Helvetica" w:eastAsia="宋体" w:cs="Helvetica"/>
          <w:kern w:val="0"/>
          <w:sz w:val="24"/>
          <w:szCs w:val="24"/>
          <w:lang w:val="zh-CN"/>
        </w:rPr>
      </w:pPr>
      <w:bookmarkStart w:id="62" w:name="_Hlk89336112"/>
    </w:p>
    <w:p>
      <w:pPr>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br w:type="page"/>
      </w:r>
    </w:p>
    <w:bookmarkEnd w:id="62"/>
    <w:p>
      <w:pPr>
        <w:spacing w:line="410" w:lineRule="exact"/>
        <w:jc w:val="left"/>
        <w:rPr>
          <w:rFonts w:cs="Times New Roman" w:asciiTheme="majorEastAsia" w:hAnsiTheme="majorEastAsia" w:eastAsiaTheme="majorEastAsia"/>
          <w:b/>
          <w:sz w:val="30"/>
          <w:szCs w:val="30"/>
          <w:lang w:val="zh-CN"/>
        </w:rPr>
      </w:pPr>
    </w:p>
    <w:p>
      <w:r>
        <w:rPr>
          <w:rFonts w:hint="eastAsia" w:cs="Times New Roman" w:asciiTheme="majorEastAsia" w:hAnsiTheme="majorEastAsia" w:eastAsiaTheme="majorEastAsia"/>
          <w:b/>
          <w:sz w:val="30"/>
          <w:szCs w:val="30"/>
          <w:lang w:val="zh-CN"/>
        </w:rPr>
        <w:t>一、评审因素及评审标准</w:t>
      </w:r>
    </w:p>
    <w:tbl>
      <w:tblPr>
        <w:tblStyle w:val="25"/>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74"/>
        <w:gridCol w:w="865"/>
        <w:gridCol w:w="44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247" w:type="dxa"/>
            <w:gridSpan w:val="3"/>
            <w:vAlign w:val="center"/>
          </w:tcPr>
          <w:p>
            <w:pPr>
              <w:jc w:val="center"/>
              <w:rPr>
                <w:rFonts w:ascii="宋体" w:hAnsi="宋体" w:eastAsia="宋体" w:cs="宋体"/>
                <w:b/>
                <w:bCs/>
                <w:szCs w:val="21"/>
              </w:rPr>
            </w:pPr>
            <w:r>
              <w:rPr>
                <w:rFonts w:hint="eastAsia" w:ascii="宋体" w:hAnsi="宋体" w:eastAsia="宋体" w:cs="宋体"/>
                <w:b/>
                <w:bCs/>
                <w:szCs w:val="21"/>
              </w:rPr>
              <w:t>评分项目</w:t>
            </w:r>
          </w:p>
        </w:tc>
        <w:tc>
          <w:tcPr>
            <w:tcW w:w="442" w:type="dxa"/>
            <w:vAlign w:val="center"/>
          </w:tcPr>
          <w:p>
            <w:pPr>
              <w:jc w:val="center"/>
              <w:rPr>
                <w:rFonts w:ascii="宋体" w:hAnsi="宋体" w:eastAsia="宋体" w:cs="宋体"/>
                <w:b/>
                <w:bCs/>
                <w:szCs w:val="21"/>
              </w:rPr>
            </w:pPr>
            <w:r>
              <w:rPr>
                <w:rFonts w:hint="eastAsia" w:ascii="宋体" w:hAnsi="宋体" w:eastAsia="宋体" w:cs="宋体"/>
                <w:b/>
                <w:bCs/>
                <w:szCs w:val="21"/>
              </w:rPr>
              <w:t>分值</w:t>
            </w:r>
          </w:p>
        </w:tc>
        <w:tc>
          <w:tcPr>
            <w:tcW w:w="5483" w:type="dxa"/>
            <w:vAlign w:val="center"/>
          </w:tcPr>
          <w:p>
            <w:pPr>
              <w:jc w:val="center"/>
              <w:rPr>
                <w:rFonts w:ascii="宋体" w:hAnsi="宋体" w:eastAsia="宋体" w:cs="宋体"/>
                <w:b/>
                <w:bCs/>
                <w:szCs w:val="21"/>
              </w:rPr>
            </w:pPr>
            <w:r>
              <w:rPr>
                <w:rFonts w:hint="eastAsia" w:ascii="宋体" w:hAnsi="宋体" w:eastAsia="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908" w:type="dxa"/>
            <w:vAlign w:val="center"/>
          </w:tcPr>
          <w:p>
            <w:pPr>
              <w:jc w:val="center"/>
              <w:rPr>
                <w:rFonts w:hint="eastAsia" w:ascii="宋体" w:hAnsi="宋体" w:eastAsia="宋体" w:cs="宋体"/>
                <w:szCs w:val="21"/>
              </w:rPr>
            </w:pPr>
            <w:r>
              <w:rPr>
                <w:rFonts w:hint="eastAsia" w:ascii="宋体" w:hAnsi="宋体" w:eastAsia="宋体" w:cs="宋体"/>
                <w:szCs w:val="21"/>
              </w:rPr>
              <w:t>价格</w:t>
            </w:r>
          </w:p>
          <w:p>
            <w:pPr>
              <w:jc w:val="center"/>
              <w:rPr>
                <w:rFonts w:ascii="宋体" w:hAnsi="宋体" w:eastAsia="宋体" w:cs="宋体"/>
                <w:szCs w:val="21"/>
              </w:rPr>
            </w:pPr>
            <w:r>
              <w:rPr>
                <w:rFonts w:hint="eastAsia" w:ascii="宋体" w:hAnsi="宋体" w:eastAsia="宋体" w:cs="宋体"/>
                <w:szCs w:val="21"/>
              </w:rPr>
              <w:t>部分</w:t>
            </w:r>
          </w:p>
          <w:p>
            <w:pPr>
              <w:rPr>
                <w:rFonts w:hint="eastAsia" w:eastAsiaTheme="minorEastAsia"/>
                <w:lang w:eastAsia="zh-CN"/>
              </w:rPr>
            </w:pPr>
            <w:r>
              <w:rPr>
                <w:rFonts w:hint="eastAsia"/>
                <w:lang w:val="en-US" w:eastAsia="zh-CN"/>
              </w:rPr>
              <w:t>(</w:t>
            </w:r>
            <w:r>
              <w:rPr>
                <w:rFonts w:hint="eastAsia"/>
              </w:rPr>
              <w:t>10分</w:t>
            </w:r>
            <w:r>
              <w:rPr>
                <w:rFonts w:hint="eastAsia"/>
                <w:lang w:val="en-US" w:eastAsia="zh-CN"/>
              </w:rPr>
              <w:t>)</w:t>
            </w:r>
          </w:p>
        </w:tc>
        <w:tc>
          <w:tcPr>
            <w:tcW w:w="1339" w:type="dxa"/>
            <w:gridSpan w:val="2"/>
            <w:vAlign w:val="center"/>
          </w:tcPr>
          <w:p>
            <w:pPr>
              <w:jc w:val="center"/>
              <w:rPr>
                <w:rFonts w:ascii="宋体" w:hAnsi="宋体" w:eastAsia="宋体" w:cs="宋体"/>
                <w:szCs w:val="21"/>
              </w:rPr>
            </w:pPr>
            <w:r>
              <w:rPr>
                <w:rFonts w:hint="eastAsia" w:ascii="宋体" w:hAnsi="宋体" w:eastAsia="宋体" w:cs="宋体"/>
                <w:szCs w:val="21"/>
              </w:rPr>
              <w:t>报价</w:t>
            </w:r>
          </w:p>
          <w:p>
            <w:pPr>
              <w:jc w:val="center"/>
              <w:rPr>
                <w:rFonts w:ascii="宋体" w:hAnsi="宋体" w:eastAsia="宋体" w:cs="宋体"/>
                <w:szCs w:val="21"/>
              </w:rPr>
            </w:pPr>
            <w:r>
              <w:rPr>
                <w:rFonts w:hint="eastAsia" w:ascii="宋体" w:hAnsi="宋体" w:eastAsia="宋体" w:cs="宋体"/>
                <w:szCs w:val="21"/>
              </w:rPr>
              <w:t>得分（10分）</w:t>
            </w:r>
          </w:p>
        </w:tc>
        <w:tc>
          <w:tcPr>
            <w:tcW w:w="442"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5483" w:type="dxa"/>
            <w:vAlign w:val="center"/>
          </w:tcPr>
          <w:p>
            <w:pPr>
              <w:numPr>
                <w:ilvl w:val="0"/>
                <w:numId w:val="0"/>
              </w:numPr>
              <w:jc w:val="left"/>
            </w:pPr>
            <w:r>
              <w:rPr>
                <w:rFonts w:hint="eastAsia" w:ascii="宋体" w:hAnsi="宋体" w:cs="Helvetica"/>
                <w:b w:val="0"/>
                <w:bCs w:val="0"/>
                <w:color w:val="auto"/>
                <w:kern w:val="0"/>
                <w:sz w:val="24"/>
                <w:szCs w:val="24"/>
                <w:highlight w:val="none"/>
                <w:lang w:val="zh-CN"/>
              </w:rPr>
              <w:t>评标委员会只对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w:t>
            </w:r>
            <w:r>
              <w:rPr>
                <w:rFonts w:hint="eastAsia" w:ascii="宋体" w:hAnsi="宋体" w:cs="Helvetica"/>
                <w:b w:val="0"/>
                <w:bCs w:val="0"/>
                <w:color w:val="auto"/>
                <w:kern w:val="0"/>
                <w:sz w:val="24"/>
                <w:szCs w:val="24"/>
                <w:highlight w:val="none"/>
                <w:lang w:val="en-US" w:eastAsia="zh-CN"/>
              </w:rPr>
              <w:t>10</w:t>
            </w:r>
            <w:r>
              <w:rPr>
                <w:rFonts w:hint="eastAsia" w:ascii="宋体" w:hAnsi="宋体" w:cs="Helvetica"/>
                <w:b w:val="0"/>
                <w:bCs w:val="0"/>
                <w:color w:val="auto"/>
                <w:kern w:val="0"/>
                <w:sz w:val="24"/>
                <w:szCs w:val="24"/>
                <w:highlight w:val="none"/>
                <w:lang w:val="zh-CN"/>
              </w:rPr>
              <w:t xml:space="preserve"> 计算时保留两位小数。（</w:t>
            </w:r>
            <w:r>
              <w:rPr>
                <w:rFonts w:hint="eastAsia" w:ascii="宋体" w:hAnsi="宋体" w:cs="Helvetica"/>
                <w:b w:val="0"/>
                <w:bCs w:val="0"/>
                <w:color w:val="auto"/>
                <w:kern w:val="0"/>
                <w:sz w:val="24"/>
                <w:szCs w:val="24"/>
                <w:highlight w:val="none"/>
                <w:lang w:val="en-US" w:eastAsia="zh-CN"/>
              </w:rPr>
              <w:t>投标报价不得低于最高限价80&amp;，否则不参与基准价评审，按0分计取价格得分</w:t>
            </w:r>
            <w:r>
              <w:rPr>
                <w:rFonts w:hint="eastAsia" w:ascii="宋体" w:hAnsi="宋体" w:cs="Helvetica"/>
                <w:b w:val="0"/>
                <w:bCs w:val="0"/>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908" w:type="dxa"/>
            <w:vMerge w:val="restart"/>
            <w:vAlign w:val="center"/>
          </w:tcPr>
          <w:p>
            <w:bookmarkStart w:id="63" w:name="_Toc494721093"/>
            <w:bookmarkStart w:id="64" w:name="_Toc494702263"/>
            <w:bookmarkStart w:id="65" w:name="_Toc494745310"/>
            <w:bookmarkStart w:id="66" w:name="_Toc494665546"/>
            <w:bookmarkStart w:id="67" w:name="_Toc494664993"/>
            <w:bookmarkStart w:id="68" w:name="_Toc494665943"/>
            <w:r>
              <w:rPr>
                <w:rFonts w:hint="eastAsia"/>
              </w:rPr>
              <w:t>商务评审（</w:t>
            </w:r>
            <w:r>
              <w:rPr>
                <w:rFonts w:hint="eastAsia"/>
                <w:lang w:val="en-US" w:eastAsia="zh-CN"/>
              </w:rPr>
              <w:t>30</w:t>
            </w:r>
            <w:r>
              <w:rPr>
                <w:rFonts w:hint="eastAsia"/>
              </w:rPr>
              <w:t>分）</w:t>
            </w:r>
          </w:p>
        </w:tc>
        <w:tc>
          <w:tcPr>
            <w:tcW w:w="1339" w:type="dxa"/>
            <w:gridSpan w:val="2"/>
            <w:vAlign w:val="center"/>
          </w:tcPr>
          <w:p>
            <w:pPr>
              <w:jc w:val="center"/>
              <w:rPr>
                <w:rFonts w:ascii="宋体" w:hAnsi="宋体" w:eastAsia="宋体" w:cs="宋体"/>
                <w:szCs w:val="21"/>
              </w:rPr>
            </w:pPr>
            <w:r>
              <w:rPr>
                <w:rFonts w:hint="eastAsia" w:ascii="宋体" w:hAnsi="宋体" w:eastAsia="宋体" w:cs="宋体"/>
                <w:szCs w:val="21"/>
              </w:rPr>
              <w:t>类似业绩</w:t>
            </w:r>
          </w:p>
        </w:tc>
        <w:tc>
          <w:tcPr>
            <w:tcW w:w="442" w:type="dxa"/>
            <w:vAlign w:val="center"/>
          </w:tcPr>
          <w:p>
            <w:pPr>
              <w:jc w:val="left"/>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0</w:t>
            </w:r>
          </w:p>
        </w:tc>
        <w:tc>
          <w:tcPr>
            <w:tcW w:w="5483" w:type="dxa"/>
            <w:vAlign w:val="center"/>
          </w:tcPr>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投标人近</w:t>
            </w:r>
            <w:r>
              <w:rPr>
                <w:rFonts w:hint="eastAsia" w:ascii="宋体" w:hAnsi="宋体" w:cs="Helvetica"/>
                <w:b w:val="0"/>
                <w:bCs w:val="0"/>
                <w:color w:val="auto"/>
                <w:kern w:val="0"/>
                <w:sz w:val="24"/>
                <w:szCs w:val="24"/>
                <w:highlight w:val="none"/>
                <w:lang w:val="en-US" w:eastAsia="zh-CN"/>
              </w:rPr>
              <w:t>三</w:t>
            </w:r>
            <w:r>
              <w:rPr>
                <w:rFonts w:hint="eastAsia" w:ascii="宋体" w:hAnsi="宋体" w:cs="Helvetica"/>
                <w:b w:val="0"/>
                <w:bCs w:val="0"/>
                <w:color w:val="auto"/>
                <w:kern w:val="0"/>
                <w:sz w:val="24"/>
                <w:szCs w:val="24"/>
                <w:highlight w:val="none"/>
                <w:lang w:val="zh-CN"/>
              </w:rPr>
              <w:t>年承接过</w:t>
            </w:r>
            <w:r>
              <w:rPr>
                <w:rFonts w:hint="eastAsia" w:ascii="宋体" w:hAnsi="宋体" w:cs="Helvetica"/>
                <w:b w:val="0"/>
                <w:bCs w:val="0"/>
                <w:color w:val="auto"/>
                <w:kern w:val="0"/>
                <w:sz w:val="24"/>
                <w:szCs w:val="24"/>
                <w:highlight w:val="none"/>
                <w:lang w:val="en-US" w:eastAsia="zh-CN"/>
              </w:rPr>
              <w:t>合同金额40万及以上的工程造价咨询业绩，每个业绩得2分，</w:t>
            </w:r>
            <w:r>
              <w:rPr>
                <w:rFonts w:hint="eastAsia" w:ascii="宋体" w:hAnsi="宋体" w:cs="Helvetica"/>
                <w:b w:val="0"/>
                <w:bCs w:val="0"/>
                <w:color w:val="auto"/>
                <w:kern w:val="0"/>
                <w:sz w:val="24"/>
                <w:szCs w:val="24"/>
                <w:highlight w:val="none"/>
                <w:lang w:val="zh-CN"/>
              </w:rPr>
              <w:t>满分1</w:t>
            </w:r>
            <w:r>
              <w:rPr>
                <w:rFonts w:hint="eastAsia" w:ascii="宋体" w:hAnsi="宋体" w:cs="Helvetica"/>
                <w:b w:val="0"/>
                <w:bCs w:val="0"/>
                <w:color w:val="auto"/>
                <w:kern w:val="0"/>
                <w:sz w:val="24"/>
                <w:szCs w:val="24"/>
                <w:highlight w:val="none"/>
                <w:lang w:val="en-US" w:eastAsia="zh-CN"/>
              </w:rPr>
              <w:t>0</w:t>
            </w:r>
            <w:r>
              <w:rPr>
                <w:rFonts w:hint="eastAsia" w:ascii="宋体" w:hAnsi="宋体" w:cs="Helvetica"/>
                <w:b w:val="0"/>
                <w:bCs w:val="0"/>
                <w:color w:val="auto"/>
                <w:kern w:val="0"/>
                <w:sz w:val="24"/>
                <w:szCs w:val="24"/>
                <w:highlight w:val="none"/>
                <w:lang w:val="zh-CN"/>
              </w:rPr>
              <w:t>分（证明材料为</w:t>
            </w:r>
            <w:r>
              <w:rPr>
                <w:rFonts w:hint="eastAsia" w:ascii="宋体" w:hAnsi="宋体" w:cs="Helvetica"/>
                <w:b w:val="0"/>
                <w:bCs w:val="0"/>
                <w:color w:val="auto"/>
                <w:kern w:val="0"/>
                <w:sz w:val="24"/>
                <w:szCs w:val="24"/>
                <w:highlight w:val="none"/>
                <w:lang w:val="en-US" w:eastAsia="zh-CN"/>
              </w:rPr>
              <w:t>合同</w:t>
            </w:r>
            <w:r>
              <w:rPr>
                <w:rFonts w:hint="eastAsia" w:ascii="宋体" w:hAnsi="宋体" w:cs="Helvetica"/>
                <w:b w:val="0"/>
                <w:bCs w:val="0"/>
                <w:color w:val="auto"/>
                <w:kern w:val="0"/>
                <w:sz w:val="24"/>
                <w:szCs w:val="24"/>
                <w:highlight w:val="none"/>
                <w:lang w:val="zh-CN"/>
              </w:rPr>
              <w:t>或</w:t>
            </w:r>
            <w:r>
              <w:rPr>
                <w:rFonts w:hint="eastAsia" w:ascii="宋体" w:hAnsi="宋体" w:cs="Helvetica"/>
                <w:b w:val="0"/>
                <w:bCs w:val="0"/>
                <w:color w:val="auto"/>
                <w:kern w:val="0"/>
                <w:sz w:val="24"/>
                <w:szCs w:val="24"/>
                <w:highlight w:val="none"/>
                <w:lang w:val="en-US" w:eastAsia="zh-CN"/>
              </w:rPr>
              <w:t>成果报告扉页</w:t>
            </w:r>
            <w:r>
              <w:rPr>
                <w:rFonts w:hint="eastAsia" w:ascii="宋体" w:hAnsi="宋体" w:cs="Helvetica"/>
                <w:b w:val="0"/>
                <w:bCs w:val="0"/>
                <w:color w:val="auto"/>
                <w:kern w:val="0"/>
                <w:sz w:val="24"/>
                <w:szCs w:val="24"/>
                <w:highlight w:val="none"/>
                <w:lang w:val="zh-CN"/>
              </w:rPr>
              <w:t>、以合同签订时间为准</w:t>
            </w:r>
            <w:r>
              <w:rPr>
                <w:rFonts w:hint="eastAsia" w:ascii="宋体" w:hAnsi="宋体" w:cs="Helvetica"/>
                <w:b w:val="0"/>
                <w:bCs w:val="0"/>
                <w:color w:val="auto"/>
                <w:kern w:val="0"/>
                <w:sz w:val="24"/>
                <w:szCs w:val="24"/>
                <w:highlight w:val="none"/>
                <w:lang w:val="en-US" w:eastAsia="zh-CN"/>
              </w:rPr>
              <w:t>，业绩为项目负责人主持否则不予考虑</w:t>
            </w:r>
            <w:r>
              <w:rPr>
                <w:rFonts w:hint="eastAsia" w:ascii="宋体" w:hAnsi="宋体" w:cs="Helvetica"/>
                <w:b w:val="0"/>
                <w:bCs w:val="0"/>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908" w:type="dxa"/>
            <w:vMerge w:val="continue"/>
            <w:vAlign w:val="center"/>
          </w:tcPr>
          <w:p/>
        </w:tc>
        <w:tc>
          <w:tcPr>
            <w:tcW w:w="474" w:type="dxa"/>
            <w:vMerge w:val="restart"/>
            <w:vAlign w:val="center"/>
          </w:tcPr>
          <w:p>
            <w:pPr>
              <w:jc w:val="center"/>
              <w:rPr>
                <w:rFonts w:ascii="宋体" w:hAnsi="宋体" w:eastAsia="宋体" w:cs="宋体"/>
                <w:szCs w:val="21"/>
              </w:rPr>
            </w:pPr>
            <w:r>
              <w:rPr>
                <w:rFonts w:hint="eastAsia" w:ascii="宋体" w:hAnsi="宋体" w:eastAsia="宋体" w:cs="宋体"/>
                <w:szCs w:val="21"/>
              </w:rPr>
              <w:t>主要人员</w:t>
            </w:r>
          </w:p>
        </w:tc>
        <w:tc>
          <w:tcPr>
            <w:tcW w:w="865" w:type="dxa"/>
            <w:vAlign w:val="center"/>
          </w:tcPr>
          <w:p>
            <w:pPr>
              <w:jc w:val="center"/>
              <w:rPr>
                <w:rFonts w:hint="default" w:ascii="宋体" w:hAnsi="宋体"/>
                <w:szCs w:val="21"/>
                <w:lang w:val="en-US"/>
              </w:rPr>
            </w:pPr>
            <w:r>
              <w:rPr>
                <w:rFonts w:hint="eastAsia" w:ascii="宋体" w:hAnsi="宋体"/>
                <w:szCs w:val="21"/>
                <w:lang w:val="en-US" w:eastAsia="zh-CN"/>
              </w:rPr>
              <w:t>项目负责人</w:t>
            </w:r>
          </w:p>
        </w:tc>
        <w:tc>
          <w:tcPr>
            <w:tcW w:w="442" w:type="dxa"/>
            <w:vAlign w:val="center"/>
          </w:tcPr>
          <w:p>
            <w:pP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5483" w:type="dxa"/>
            <w:vAlign w:val="center"/>
          </w:tcPr>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en-US" w:eastAsia="zh-CN"/>
              </w:rPr>
              <w:t>项目负责人具有国家一级造价工程师注册执业证书及高级职称工程师在本单位注册；每增加一名一级造价工程师，得4分，最多得8分（需注册在本单位，提供注册证书）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08" w:type="dxa"/>
            <w:vMerge w:val="continue"/>
            <w:vAlign w:val="center"/>
          </w:tcPr>
          <w:p/>
        </w:tc>
        <w:tc>
          <w:tcPr>
            <w:tcW w:w="474" w:type="dxa"/>
            <w:vMerge w:val="continue"/>
            <w:vAlign w:val="center"/>
          </w:tcPr>
          <w:p>
            <w:pPr>
              <w:jc w:val="center"/>
              <w:rPr>
                <w:rFonts w:ascii="宋体" w:hAnsi="宋体" w:eastAsia="宋体" w:cs="宋体"/>
                <w:szCs w:val="21"/>
              </w:rPr>
            </w:pPr>
          </w:p>
        </w:tc>
        <w:tc>
          <w:tcPr>
            <w:tcW w:w="865" w:type="dxa"/>
            <w:vAlign w:val="center"/>
          </w:tcPr>
          <w:p>
            <w:pPr>
              <w:jc w:val="center"/>
              <w:rPr>
                <w:rFonts w:ascii="宋体" w:hAnsi="宋体" w:eastAsia="宋体" w:cs="宋体"/>
                <w:szCs w:val="21"/>
              </w:rPr>
            </w:pPr>
            <w:r>
              <w:rPr>
                <w:rFonts w:hint="eastAsia" w:ascii="宋体" w:hAnsi="宋体" w:eastAsia="宋体" w:cs="宋体"/>
                <w:szCs w:val="21"/>
                <w:lang w:val="en-US" w:eastAsia="zh-CN"/>
              </w:rPr>
              <w:t>造价</w:t>
            </w:r>
            <w:r>
              <w:rPr>
                <w:rFonts w:hint="eastAsia" w:ascii="宋体" w:hAnsi="宋体" w:eastAsia="宋体" w:cs="宋体"/>
                <w:szCs w:val="21"/>
              </w:rPr>
              <w:t>人员配备</w:t>
            </w:r>
          </w:p>
        </w:tc>
        <w:tc>
          <w:tcPr>
            <w:tcW w:w="442" w:type="dxa"/>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5483" w:type="dxa"/>
            <w:vAlign w:val="center"/>
          </w:tcPr>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eastAsia="zh-CN"/>
              </w:rPr>
              <w:t>拟派专业技术人员具有</w:t>
            </w:r>
            <w:r>
              <w:rPr>
                <w:rFonts w:hint="eastAsia" w:ascii="宋体" w:hAnsi="宋体" w:cs="Helvetica"/>
                <w:b w:val="0"/>
                <w:bCs w:val="0"/>
                <w:color w:val="auto"/>
                <w:kern w:val="0"/>
                <w:sz w:val="24"/>
                <w:szCs w:val="24"/>
                <w:highlight w:val="none"/>
                <w:lang w:val="en-US" w:eastAsia="zh-CN"/>
              </w:rPr>
              <w:t>二级</w:t>
            </w:r>
            <w:r>
              <w:rPr>
                <w:rFonts w:hint="eastAsia" w:ascii="宋体" w:hAnsi="宋体" w:cs="Helvetica"/>
                <w:b w:val="0"/>
                <w:bCs w:val="0"/>
                <w:color w:val="auto"/>
                <w:kern w:val="0"/>
                <w:sz w:val="24"/>
                <w:szCs w:val="24"/>
                <w:highlight w:val="none"/>
                <w:lang w:val="zh-CN" w:eastAsia="zh-CN"/>
              </w:rPr>
              <w:t>造价工程师证书的，</w:t>
            </w:r>
            <w:r>
              <w:rPr>
                <w:rFonts w:hint="eastAsia" w:ascii="宋体" w:hAnsi="宋体" w:cs="Helvetica"/>
                <w:b w:val="0"/>
                <w:bCs w:val="0"/>
                <w:color w:val="auto"/>
                <w:kern w:val="0"/>
                <w:sz w:val="24"/>
                <w:szCs w:val="24"/>
                <w:highlight w:val="none"/>
                <w:lang w:val="en-US" w:eastAsia="zh-CN"/>
              </w:rPr>
              <w:t>每增加一名二级造价工程师</w:t>
            </w:r>
            <w:r>
              <w:rPr>
                <w:rFonts w:hint="eastAsia" w:ascii="宋体" w:hAnsi="宋体" w:cs="Helvetica"/>
                <w:b w:val="0"/>
                <w:bCs w:val="0"/>
                <w:color w:val="auto"/>
                <w:kern w:val="0"/>
                <w:sz w:val="24"/>
                <w:szCs w:val="24"/>
                <w:highlight w:val="none"/>
                <w:lang w:val="zh-CN" w:eastAsia="zh-CN"/>
              </w:rPr>
              <w:t>，得</w:t>
            </w:r>
            <w:r>
              <w:rPr>
                <w:rFonts w:hint="eastAsia" w:ascii="宋体" w:hAnsi="宋体" w:cs="Helvetica"/>
                <w:b w:val="0"/>
                <w:bCs w:val="0"/>
                <w:color w:val="auto"/>
                <w:kern w:val="0"/>
                <w:sz w:val="24"/>
                <w:szCs w:val="24"/>
                <w:highlight w:val="none"/>
                <w:lang w:val="en-US" w:eastAsia="zh-CN"/>
              </w:rPr>
              <w:t>2</w:t>
            </w:r>
            <w:r>
              <w:rPr>
                <w:rFonts w:hint="eastAsia" w:ascii="宋体" w:hAnsi="宋体" w:cs="Helvetica"/>
                <w:b w:val="0"/>
                <w:bCs w:val="0"/>
                <w:color w:val="auto"/>
                <w:kern w:val="0"/>
                <w:sz w:val="24"/>
                <w:szCs w:val="24"/>
                <w:highlight w:val="none"/>
                <w:lang w:val="zh-CN" w:eastAsia="zh-CN"/>
              </w:rPr>
              <w:t>分，最多得</w:t>
            </w:r>
            <w:r>
              <w:rPr>
                <w:rFonts w:hint="eastAsia" w:ascii="宋体" w:hAnsi="宋体" w:cs="Helvetica"/>
                <w:b w:val="0"/>
                <w:bCs w:val="0"/>
                <w:color w:val="auto"/>
                <w:kern w:val="0"/>
                <w:sz w:val="24"/>
                <w:szCs w:val="24"/>
                <w:highlight w:val="none"/>
                <w:lang w:val="en-US" w:eastAsia="zh-CN"/>
              </w:rPr>
              <w:t>10</w:t>
            </w:r>
            <w:r>
              <w:rPr>
                <w:rFonts w:hint="eastAsia" w:ascii="宋体" w:hAnsi="宋体" w:cs="Helvetica"/>
                <w:b w:val="0"/>
                <w:bCs w:val="0"/>
                <w:color w:val="auto"/>
                <w:kern w:val="0"/>
                <w:sz w:val="24"/>
                <w:szCs w:val="24"/>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908" w:type="dxa"/>
            <w:vMerge w:val="continue"/>
            <w:vAlign w:val="center"/>
          </w:tcPr>
          <w:p/>
        </w:tc>
        <w:tc>
          <w:tcPr>
            <w:tcW w:w="1339" w:type="dxa"/>
            <w:gridSpan w:val="2"/>
            <w:vAlign w:val="center"/>
          </w:tcPr>
          <w:p>
            <w:pPr>
              <w:ind w:left="-21" w:leftChars="-10" w:right="-21" w:rightChars="-10"/>
              <w:jc w:val="center"/>
              <w:rPr>
                <w:rFonts w:hint="default" w:ascii="宋体" w:hAnsi="宋体" w:eastAsia="宋体" w:cs="宋体"/>
                <w:szCs w:val="21"/>
                <w:lang w:val="en-US" w:eastAsia="zh-CN"/>
              </w:rPr>
            </w:pPr>
            <w:r>
              <w:rPr>
                <w:rFonts w:ascii="宋体" w:hAnsi="宋体" w:eastAsia="宋体"/>
                <w:b w:val="0"/>
                <w:bCs w:val="0"/>
                <w:color w:val="auto"/>
                <w:sz w:val="24"/>
                <w:szCs w:val="24"/>
              </w:rPr>
              <w:t>投标文件</w:t>
            </w:r>
            <w:r>
              <w:rPr>
                <w:rFonts w:hint="eastAsia" w:ascii="宋体" w:hAnsi="宋体"/>
                <w:b w:val="0"/>
                <w:bCs w:val="0"/>
                <w:color w:val="auto"/>
                <w:sz w:val="24"/>
                <w:szCs w:val="24"/>
                <w:lang w:val="en-US" w:eastAsia="zh-CN"/>
              </w:rPr>
              <w:t>制作</w:t>
            </w:r>
          </w:p>
        </w:tc>
        <w:tc>
          <w:tcPr>
            <w:tcW w:w="442" w:type="dxa"/>
            <w:vAlign w:val="center"/>
          </w:tcPr>
          <w:p>
            <w:pPr>
              <w:spacing w:line="320" w:lineRule="exact"/>
              <w:ind w:left="-48" w:leftChars="-23" w:right="-35" w:rightChars="-17"/>
              <w:jc w:val="center"/>
              <w:rPr>
                <w:rFonts w:hint="default" w:ascii="宋体" w:hAnsi="宋体" w:eastAsia="宋体" w:cs="宋体"/>
                <w:szCs w:val="21"/>
                <w:lang w:val="en-US" w:eastAsia="zh-CN"/>
              </w:rPr>
            </w:pPr>
            <w:r>
              <w:rPr>
                <w:rFonts w:hint="eastAsia" w:ascii="宋体" w:hAnsi="宋体"/>
                <w:b w:val="0"/>
                <w:bCs w:val="0"/>
                <w:color w:val="auto"/>
                <w:sz w:val="24"/>
                <w:szCs w:val="24"/>
                <w:lang w:val="en-US" w:eastAsia="zh-CN"/>
              </w:rPr>
              <w:t>2</w:t>
            </w:r>
          </w:p>
        </w:tc>
        <w:tc>
          <w:tcPr>
            <w:tcW w:w="5483" w:type="dxa"/>
            <w:vAlign w:val="center"/>
          </w:tcPr>
          <w:p>
            <w:pPr>
              <w:spacing w:line="320" w:lineRule="exact"/>
              <w:rPr>
                <w:rFonts w:hint="default" w:ascii="宋体" w:hAnsi="宋体" w:cs="Helvetica"/>
                <w:b w:val="0"/>
                <w:bCs w:val="0"/>
                <w:color w:val="auto"/>
                <w:kern w:val="0"/>
                <w:sz w:val="24"/>
                <w:szCs w:val="24"/>
                <w:highlight w:val="none"/>
                <w:lang w:val="en-US" w:eastAsia="zh-CN"/>
              </w:rPr>
            </w:pPr>
            <w:r>
              <w:rPr>
                <w:rFonts w:hint="eastAsia" w:ascii="宋体" w:hAnsi="宋体" w:cs="Helvetica"/>
                <w:b w:val="0"/>
                <w:bCs w:val="0"/>
                <w:color w:val="auto"/>
                <w:kern w:val="0"/>
                <w:sz w:val="24"/>
                <w:szCs w:val="24"/>
                <w:lang w:val="zh-CN"/>
              </w:rPr>
              <w:t>投标文件全面响应招标文件要求，编制完整、美观，非活页装订，且有详细目录、连续页码、目录与有关材料装订顺序对应清晰、查阅方便的得2分。不符合要求的，每处扣0.5分，扣完为止</w:t>
            </w:r>
            <w:r>
              <w:rPr>
                <w:rFonts w:ascii="宋体" w:hAnsi="宋体" w:cs="Helvetica"/>
                <w:b w:val="0"/>
                <w:bCs w:val="0"/>
                <w:color w:val="auto"/>
                <w:kern w:val="0"/>
                <w:sz w:val="24"/>
                <w:szCs w:val="24"/>
                <w:lang w:val="zh-CN"/>
              </w:rPr>
              <w:t>。</w:t>
            </w:r>
          </w:p>
        </w:tc>
      </w:tr>
    </w:tbl>
    <w:tbl>
      <w:tblPr>
        <w:tblStyle w:val="25"/>
        <w:tblpPr w:leftFromText="180" w:rightFromText="180" w:vertAnchor="text" w:horzAnchor="page" w:tblpX="2044" w:tblpY="198"/>
        <w:tblOverlap w:val="never"/>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946"/>
        <w:gridCol w:w="611"/>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87" w:type="dxa"/>
            <w:vMerge w:val="restart"/>
            <w:vAlign w:val="center"/>
          </w:tcPr>
          <w:p>
            <w:pPr>
              <w:jc w:val="center"/>
            </w:pPr>
            <w:r>
              <w:rPr>
                <w:rFonts w:hint="eastAsia"/>
              </w:rPr>
              <w:t>技术评审（</w:t>
            </w:r>
            <w:r>
              <w:rPr>
                <w:rFonts w:hint="eastAsia"/>
                <w:lang w:val="en-US" w:eastAsia="zh-CN"/>
              </w:rPr>
              <w:t>60</w:t>
            </w:r>
            <w:r>
              <w:rPr>
                <w:rFonts w:hint="eastAsia"/>
              </w:rPr>
              <w:t>分）</w:t>
            </w:r>
          </w:p>
        </w:tc>
        <w:tc>
          <w:tcPr>
            <w:tcW w:w="946" w:type="dxa"/>
            <w:vAlign w:val="center"/>
          </w:tcPr>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项目</w:t>
            </w:r>
          </w:p>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理解</w:t>
            </w:r>
          </w:p>
        </w:tc>
        <w:tc>
          <w:tcPr>
            <w:tcW w:w="611" w:type="dxa"/>
            <w:vAlign w:val="center"/>
          </w:tcPr>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en-US" w:eastAsia="zh-CN"/>
              </w:rPr>
              <w:t>5</w:t>
            </w:r>
          </w:p>
        </w:tc>
        <w:tc>
          <w:tcPr>
            <w:tcW w:w="5837" w:type="dxa"/>
            <w:vAlign w:val="center"/>
          </w:tcPr>
          <w:p>
            <w:pPr>
              <w:numPr>
                <w:ilvl w:val="0"/>
                <w:numId w:val="0"/>
              </w:numPr>
              <w:jc w:val="left"/>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主要评审投标人对项目的意图理解是否透彻，工作内容和范围理解是否准确充分，重点、难点的分析是否清晰、准确。</w:t>
            </w:r>
          </w:p>
          <w:p>
            <w:pPr>
              <w:numPr>
                <w:ilvl w:val="0"/>
                <w:numId w:val="0"/>
              </w:numPr>
              <w:jc w:val="left"/>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按下列标准之一评分：</w:t>
            </w:r>
          </w:p>
          <w:p>
            <w:pPr>
              <w:numPr>
                <w:ilvl w:val="0"/>
                <w:numId w:val="0"/>
              </w:numPr>
              <w:jc w:val="left"/>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（1）项目理解准确、有针对性的，得</w:t>
            </w:r>
            <w:r>
              <w:rPr>
                <w:rFonts w:hint="eastAsia" w:ascii="宋体" w:hAnsi="宋体" w:cs="Helvetica"/>
                <w:b w:val="0"/>
                <w:bCs w:val="0"/>
                <w:color w:val="auto"/>
                <w:kern w:val="0"/>
                <w:sz w:val="24"/>
                <w:szCs w:val="24"/>
                <w:highlight w:val="none"/>
                <w:lang w:val="en-US" w:eastAsia="zh-CN"/>
              </w:rPr>
              <w:t>4-5</w:t>
            </w:r>
            <w:r>
              <w:rPr>
                <w:rFonts w:hint="eastAsia" w:ascii="宋体" w:hAnsi="宋体" w:cs="Helvetica"/>
                <w:b w:val="0"/>
                <w:bCs w:val="0"/>
                <w:color w:val="auto"/>
                <w:kern w:val="0"/>
                <w:sz w:val="24"/>
                <w:szCs w:val="24"/>
                <w:highlight w:val="none"/>
                <w:lang w:val="zh-CN" w:eastAsia="zh-CN"/>
              </w:rPr>
              <w:t>分；</w:t>
            </w:r>
          </w:p>
          <w:p>
            <w:pPr>
              <w:numPr>
                <w:ilvl w:val="0"/>
                <w:numId w:val="0"/>
              </w:numPr>
              <w:jc w:val="left"/>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（2）重难点分析基本准确、比较具有针对性的，得</w:t>
            </w:r>
            <w:r>
              <w:rPr>
                <w:rFonts w:hint="eastAsia" w:ascii="宋体" w:hAnsi="宋体" w:cs="Helvetica"/>
                <w:b w:val="0"/>
                <w:bCs w:val="0"/>
                <w:color w:val="auto"/>
                <w:kern w:val="0"/>
                <w:sz w:val="24"/>
                <w:szCs w:val="24"/>
                <w:highlight w:val="none"/>
                <w:lang w:val="en-US" w:eastAsia="zh-CN"/>
              </w:rPr>
              <w:t>2-3</w:t>
            </w:r>
            <w:r>
              <w:rPr>
                <w:rFonts w:hint="eastAsia" w:ascii="宋体" w:hAnsi="宋体" w:cs="Helvetica"/>
                <w:b w:val="0"/>
                <w:bCs w:val="0"/>
                <w:color w:val="auto"/>
                <w:kern w:val="0"/>
                <w:sz w:val="24"/>
                <w:szCs w:val="24"/>
                <w:highlight w:val="none"/>
                <w:lang w:val="zh-CN" w:eastAsia="zh-CN"/>
              </w:rPr>
              <w:t>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eastAsia="zh-CN"/>
              </w:rPr>
              <w:t>（3）重难点分析一般的，得</w:t>
            </w:r>
            <w:r>
              <w:rPr>
                <w:rFonts w:hint="eastAsia" w:ascii="宋体" w:hAnsi="宋体" w:cs="Helvetica"/>
                <w:b w:val="0"/>
                <w:bCs w:val="0"/>
                <w:color w:val="auto"/>
                <w:kern w:val="0"/>
                <w:sz w:val="24"/>
                <w:szCs w:val="24"/>
                <w:highlight w:val="none"/>
                <w:lang w:val="en-US" w:eastAsia="zh-CN"/>
              </w:rPr>
              <w:t>1</w:t>
            </w:r>
            <w:r>
              <w:rPr>
                <w:rFonts w:hint="eastAsia" w:ascii="宋体" w:hAnsi="宋体" w:cs="Helvetica"/>
                <w:b w:val="0"/>
                <w:bCs w:val="0"/>
                <w:color w:val="auto"/>
                <w:kern w:val="0"/>
                <w:sz w:val="24"/>
                <w:szCs w:val="24"/>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87" w:type="dxa"/>
            <w:vMerge w:val="continue"/>
          </w:tcPr>
          <w:p/>
        </w:tc>
        <w:tc>
          <w:tcPr>
            <w:tcW w:w="946" w:type="dxa"/>
            <w:vAlign w:val="center"/>
          </w:tcPr>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针对本项目提出的工作方案</w:t>
            </w:r>
          </w:p>
        </w:tc>
        <w:tc>
          <w:tcPr>
            <w:tcW w:w="611" w:type="dxa"/>
            <w:vAlign w:val="center"/>
          </w:tcPr>
          <w:p>
            <w:pPr>
              <w:numPr>
                <w:ilvl w:val="0"/>
                <w:numId w:val="0"/>
              </w:numPr>
              <w:jc w:val="center"/>
              <w:rPr>
                <w:rFonts w:hint="default" w:ascii="宋体" w:hAnsi="宋体" w:cs="Helvetica"/>
                <w:b w:val="0"/>
                <w:bCs w:val="0"/>
                <w:color w:val="auto"/>
                <w:kern w:val="0"/>
                <w:sz w:val="24"/>
                <w:szCs w:val="24"/>
                <w:highlight w:val="none"/>
                <w:lang w:val="en-US" w:eastAsia="zh-CN"/>
              </w:rPr>
            </w:pPr>
            <w:r>
              <w:rPr>
                <w:rFonts w:hint="eastAsia" w:ascii="宋体" w:hAnsi="宋体" w:cs="Helvetica"/>
                <w:b w:val="0"/>
                <w:bCs w:val="0"/>
                <w:color w:val="auto"/>
                <w:kern w:val="0"/>
                <w:sz w:val="24"/>
                <w:szCs w:val="24"/>
                <w:highlight w:val="none"/>
                <w:lang w:val="zh-CN" w:eastAsia="zh-CN"/>
              </w:rPr>
              <w:t>25</w:t>
            </w:r>
          </w:p>
        </w:tc>
        <w:tc>
          <w:tcPr>
            <w:tcW w:w="5837" w:type="dxa"/>
            <w:vAlign w:val="center"/>
          </w:tcPr>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提供针对本项目的工作方案，内容完整，计划周密，针对项目实施各环节说明充分，目标任务明确，时间进度安排合理，得分20-25分；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提供针对本项目的工作方案，得分1</w:t>
            </w:r>
            <w:r>
              <w:rPr>
                <w:rFonts w:hint="eastAsia" w:ascii="宋体" w:hAnsi="宋体" w:cs="Helvetica"/>
                <w:b w:val="0"/>
                <w:bCs w:val="0"/>
                <w:color w:val="auto"/>
                <w:kern w:val="0"/>
                <w:sz w:val="24"/>
                <w:szCs w:val="24"/>
                <w:highlight w:val="none"/>
                <w:lang w:val="en-US" w:eastAsia="zh-CN"/>
              </w:rPr>
              <w:t>1</w:t>
            </w:r>
            <w:r>
              <w:rPr>
                <w:rFonts w:hint="eastAsia" w:ascii="宋体" w:hAnsi="宋体" w:cs="Helvetica"/>
                <w:b w:val="0"/>
                <w:bCs w:val="0"/>
                <w:color w:val="auto"/>
                <w:kern w:val="0"/>
                <w:sz w:val="24"/>
                <w:szCs w:val="24"/>
                <w:highlight w:val="none"/>
                <w:lang w:val="zh-CN"/>
              </w:rPr>
              <w:t>-</w:t>
            </w:r>
            <w:r>
              <w:rPr>
                <w:rFonts w:hint="eastAsia" w:ascii="宋体" w:hAnsi="宋体" w:cs="Helvetica"/>
                <w:b w:val="0"/>
                <w:bCs w:val="0"/>
                <w:color w:val="auto"/>
                <w:kern w:val="0"/>
                <w:sz w:val="24"/>
                <w:szCs w:val="24"/>
                <w:highlight w:val="none"/>
                <w:lang w:val="en-US" w:eastAsia="zh-CN"/>
              </w:rPr>
              <w:t>19</w:t>
            </w:r>
            <w:r>
              <w:rPr>
                <w:rFonts w:hint="eastAsia" w:ascii="宋体" w:hAnsi="宋体" w:cs="Helvetica"/>
                <w:b w:val="0"/>
                <w:bCs w:val="0"/>
                <w:color w:val="auto"/>
                <w:kern w:val="0"/>
                <w:sz w:val="24"/>
                <w:szCs w:val="24"/>
                <w:highlight w:val="none"/>
                <w:lang w:val="zh-CN"/>
              </w:rPr>
              <w:t>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提供一般性格式方案，不能使委托方获知其针对本项目的实施计划，得分1-</w:t>
            </w:r>
            <w:r>
              <w:rPr>
                <w:rFonts w:hint="eastAsia" w:ascii="宋体" w:hAnsi="宋体" w:cs="Helvetica"/>
                <w:b w:val="0"/>
                <w:bCs w:val="0"/>
                <w:color w:val="auto"/>
                <w:kern w:val="0"/>
                <w:sz w:val="24"/>
                <w:szCs w:val="24"/>
                <w:highlight w:val="none"/>
                <w:lang w:val="en-US" w:eastAsia="zh-CN"/>
              </w:rPr>
              <w:t>10</w:t>
            </w:r>
            <w:r>
              <w:rPr>
                <w:rFonts w:hint="eastAsia" w:ascii="宋体" w:hAnsi="宋体" w:cs="Helvetica"/>
                <w:b w:val="0"/>
                <w:bCs w:val="0"/>
                <w:color w:val="auto"/>
                <w:kern w:val="0"/>
                <w:sz w:val="24"/>
                <w:szCs w:val="24"/>
                <w:highlight w:val="none"/>
                <w:lang w:val="zh-CN"/>
              </w:rPr>
              <w:t>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87" w:type="dxa"/>
            <w:vMerge w:val="continue"/>
          </w:tcPr>
          <w:p/>
        </w:tc>
        <w:tc>
          <w:tcPr>
            <w:tcW w:w="946" w:type="dxa"/>
            <w:vAlign w:val="center"/>
          </w:tcPr>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造价咨询服务质量保证措施</w:t>
            </w:r>
          </w:p>
        </w:tc>
        <w:tc>
          <w:tcPr>
            <w:tcW w:w="611" w:type="dxa"/>
            <w:vAlign w:val="center"/>
          </w:tcPr>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15</w:t>
            </w:r>
          </w:p>
        </w:tc>
        <w:tc>
          <w:tcPr>
            <w:tcW w:w="5837" w:type="dxa"/>
            <w:vAlign w:val="center"/>
          </w:tcPr>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具有完备的造价咨询服务质量控制体系，确保本项目造价咨询服务方案、造价咨询服务方法、造价咨询服务底稿、造价咨询服务证据、造价咨询服务报告、造价咨询服务意见等方面的规范性和准确性，确保本造价咨询服务项目的全面性、系统性、严密性和有效性的，得</w:t>
            </w:r>
            <w:r>
              <w:rPr>
                <w:rFonts w:hint="eastAsia" w:ascii="宋体" w:hAnsi="宋体" w:cs="Helvetica"/>
                <w:b w:val="0"/>
                <w:bCs w:val="0"/>
                <w:color w:val="auto"/>
                <w:kern w:val="0"/>
                <w:sz w:val="24"/>
                <w:szCs w:val="24"/>
                <w:highlight w:val="none"/>
                <w:lang w:val="en-US" w:eastAsia="zh-CN"/>
              </w:rPr>
              <w:t>12</w:t>
            </w:r>
            <w:r>
              <w:rPr>
                <w:rFonts w:hint="eastAsia" w:ascii="宋体" w:hAnsi="宋体" w:cs="Helvetica"/>
                <w:b w:val="0"/>
                <w:bCs w:val="0"/>
                <w:color w:val="auto"/>
                <w:kern w:val="0"/>
                <w:sz w:val="24"/>
                <w:szCs w:val="24"/>
                <w:highlight w:val="none"/>
                <w:lang w:val="zh-CN"/>
              </w:rPr>
              <w:t>-</w:t>
            </w:r>
            <w:r>
              <w:rPr>
                <w:rFonts w:hint="eastAsia" w:ascii="宋体" w:hAnsi="宋体" w:cs="Helvetica"/>
                <w:b w:val="0"/>
                <w:bCs w:val="0"/>
                <w:color w:val="auto"/>
                <w:kern w:val="0"/>
                <w:sz w:val="24"/>
                <w:szCs w:val="24"/>
                <w:highlight w:val="none"/>
                <w:lang w:val="en-US" w:eastAsia="zh-CN"/>
              </w:rPr>
              <w:t>1</w:t>
            </w:r>
            <w:r>
              <w:rPr>
                <w:rFonts w:hint="eastAsia" w:ascii="宋体" w:hAnsi="宋体" w:cs="Helvetica"/>
                <w:b w:val="0"/>
                <w:bCs w:val="0"/>
                <w:color w:val="auto"/>
                <w:kern w:val="0"/>
                <w:sz w:val="24"/>
                <w:szCs w:val="24"/>
                <w:highlight w:val="none"/>
                <w:lang w:val="zh-CN"/>
              </w:rPr>
              <w:t>5分；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具有一般性的造价咨询服务质量控制体系的，得</w:t>
            </w:r>
            <w:r>
              <w:rPr>
                <w:rFonts w:hint="eastAsia" w:ascii="宋体" w:hAnsi="宋体" w:cs="Helvetica"/>
                <w:b w:val="0"/>
                <w:bCs w:val="0"/>
                <w:color w:val="auto"/>
                <w:kern w:val="0"/>
                <w:sz w:val="24"/>
                <w:szCs w:val="24"/>
                <w:highlight w:val="none"/>
                <w:lang w:val="en-US" w:eastAsia="zh-CN"/>
              </w:rPr>
              <w:t>7</w:t>
            </w:r>
            <w:r>
              <w:rPr>
                <w:rFonts w:hint="eastAsia" w:ascii="宋体" w:hAnsi="宋体" w:cs="Helvetica"/>
                <w:b w:val="0"/>
                <w:bCs w:val="0"/>
                <w:color w:val="auto"/>
                <w:kern w:val="0"/>
                <w:sz w:val="24"/>
                <w:szCs w:val="24"/>
                <w:highlight w:val="none"/>
                <w:lang w:val="zh-CN"/>
              </w:rPr>
              <w:t>-1</w:t>
            </w:r>
            <w:r>
              <w:rPr>
                <w:rFonts w:hint="eastAsia" w:ascii="宋体" w:hAnsi="宋体" w:cs="Helvetica"/>
                <w:b w:val="0"/>
                <w:bCs w:val="0"/>
                <w:color w:val="auto"/>
                <w:kern w:val="0"/>
                <w:sz w:val="24"/>
                <w:szCs w:val="24"/>
                <w:highlight w:val="none"/>
                <w:lang w:val="en-US" w:eastAsia="zh-CN"/>
              </w:rPr>
              <w:t>1</w:t>
            </w:r>
            <w:r>
              <w:rPr>
                <w:rFonts w:hint="eastAsia" w:ascii="宋体" w:hAnsi="宋体" w:cs="Helvetica"/>
                <w:b w:val="0"/>
                <w:bCs w:val="0"/>
                <w:color w:val="auto"/>
                <w:kern w:val="0"/>
                <w:sz w:val="24"/>
                <w:szCs w:val="24"/>
                <w:highlight w:val="none"/>
                <w:lang w:val="zh-CN"/>
              </w:rPr>
              <w:t>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具有一定的造价咨询服务质量控制办法的，得</w:t>
            </w:r>
            <w:r>
              <w:rPr>
                <w:rFonts w:hint="eastAsia" w:ascii="宋体" w:hAnsi="宋体" w:cs="Helvetica"/>
                <w:b w:val="0"/>
                <w:bCs w:val="0"/>
                <w:color w:val="auto"/>
                <w:kern w:val="0"/>
                <w:sz w:val="24"/>
                <w:szCs w:val="24"/>
                <w:highlight w:val="none"/>
                <w:lang w:val="en-US" w:eastAsia="zh-CN"/>
              </w:rPr>
              <w:t>1</w:t>
            </w:r>
            <w:r>
              <w:rPr>
                <w:rFonts w:hint="eastAsia" w:ascii="宋体" w:hAnsi="宋体" w:cs="Helvetica"/>
                <w:b w:val="0"/>
                <w:bCs w:val="0"/>
                <w:color w:val="auto"/>
                <w:kern w:val="0"/>
                <w:sz w:val="24"/>
                <w:szCs w:val="24"/>
                <w:highlight w:val="none"/>
                <w:lang w:val="zh-CN"/>
              </w:rPr>
              <w:t>-</w:t>
            </w:r>
            <w:r>
              <w:rPr>
                <w:rFonts w:hint="eastAsia" w:ascii="宋体" w:hAnsi="宋体" w:cs="Helvetica"/>
                <w:b w:val="0"/>
                <w:bCs w:val="0"/>
                <w:color w:val="auto"/>
                <w:kern w:val="0"/>
                <w:sz w:val="24"/>
                <w:szCs w:val="24"/>
                <w:highlight w:val="none"/>
                <w:lang w:val="en-US" w:eastAsia="zh-CN"/>
              </w:rPr>
              <w:t>6</w:t>
            </w:r>
            <w:r>
              <w:rPr>
                <w:rFonts w:hint="eastAsia" w:ascii="宋体" w:hAnsi="宋体" w:cs="Helvetica"/>
                <w:b w:val="0"/>
                <w:bCs w:val="0"/>
                <w:color w:val="auto"/>
                <w:kern w:val="0"/>
                <w:sz w:val="24"/>
                <w:szCs w:val="24"/>
                <w:highlight w:val="none"/>
                <w:lang w:val="zh-CN"/>
              </w:rPr>
              <w:t>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未提供造价咨询服务质量控制措施资料的，不得分。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87" w:type="dxa"/>
            <w:vMerge w:val="continue"/>
          </w:tcPr>
          <w:p/>
        </w:tc>
        <w:tc>
          <w:tcPr>
            <w:tcW w:w="946" w:type="dxa"/>
            <w:vAlign w:val="center"/>
          </w:tcPr>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服务时效保证措施</w:t>
            </w:r>
          </w:p>
        </w:tc>
        <w:tc>
          <w:tcPr>
            <w:tcW w:w="611" w:type="dxa"/>
            <w:vAlign w:val="center"/>
          </w:tcPr>
          <w:p>
            <w:pPr>
              <w:numPr>
                <w:ilvl w:val="0"/>
                <w:numId w:val="0"/>
              </w:numPr>
              <w:jc w:val="center"/>
              <w:rPr>
                <w:rFonts w:hint="eastAsia" w:ascii="宋体" w:hAnsi="宋体" w:cs="Helvetica"/>
                <w:b w:val="0"/>
                <w:bCs w:val="0"/>
                <w:color w:val="auto"/>
                <w:kern w:val="0"/>
                <w:sz w:val="24"/>
                <w:szCs w:val="24"/>
                <w:highlight w:val="none"/>
                <w:lang w:val="zh-CN" w:eastAsia="zh-CN"/>
              </w:rPr>
            </w:pPr>
            <w:r>
              <w:rPr>
                <w:rFonts w:hint="eastAsia" w:ascii="宋体" w:hAnsi="宋体" w:cs="Helvetica"/>
                <w:b w:val="0"/>
                <w:bCs w:val="0"/>
                <w:color w:val="auto"/>
                <w:kern w:val="0"/>
                <w:sz w:val="24"/>
                <w:szCs w:val="24"/>
                <w:highlight w:val="none"/>
                <w:lang w:val="zh-CN" w:eastAsia="zh-CN"/>
              </w:rPr>
              <w:t>15</w:t>
            </w:r>
          </w:p>
        </w:tc>
        <w:tc>
          <w:tcPr>
            <w:tcW w:w="5837" w:type="dxa"/>
            <w:vAlign w:val="center"/>
          </w:tcPr>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根据各投标单位提供的服务时效保证措施的完整性、时效性和有针对性等进行综合考评。</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实施方案完整合理、时效性强、有针对性的得12-15分；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实施方案完整可行，稍缺乏针对性的得7-1</w:t>
            </w:r>
            <w:r>
              <w:rPr>
                <w:rFonts w:hint="eastAsia" w:ascii="宋体" w:hAnsi="宋体" w:cs="Helvetica"/>
                <w:b w:val="0"/>
                <w:bCs w:val="0"/>
                <w:color w:val="auto"/>
                <w:kern w:val="0"/>
                <w:sz w:val="24"/>
                <w:szCs w:val="24"/>
                <w:highlight w:val="none"/>
                <w:lang w:val="en-US" w:eastAsia="zh-CN"/>
              </w:rPr>
              <w:t>1</w:t>
            </w:r>
            <w:r>
              <w:rPr>
                <w:rFonts w:hint="eastAsia" w:ascii="宋体" w:hAnsi="宋体" w:cs="Helvetica"/>
                <w:b w:val="0"/>
                <w:bCs w:val="0"/>
                <w:color w:val="auto"/>
                <w:kern w:val="0"/>
                <w:sz w:val="24"/>
                <w:szCs w:val="24"/>
                <w:highlight w:val="none"/>
                <w:lang w:val="zh-CN"/>
              </w:rPr>
              <w:t>分；</w:t>
            </w:r>
          </w:p>
          <w:p>
            <w:pPr>
              <w:numPr>
                <w:ilvl w:val="0"/>
                <w:numId w:val="0"/>
              </w:numPr>
              <w:jc w:val="left"/>
              <w:rPr>
                <w:rFonts w:hint="eastAsia" w:ascii="宋体" w:hAnsi="宋体" w:cs="Helvetica"/>
                <w:b w:val="0"/>
                <w:bCs w:val="0"/>
                <w:color w:val="auto"/>
                <w:kern w:val="0"/>
                <w:sz w:val="24"/>
                <w:szCs w:val="24"/>
                <w:highlight w:val="none"/>
                <w:lang w:val="zh-CN"/>
              </w:rPr>
            </w:pPr>
            <w:r>
              <w:rPr>
                <w:rFonts w:hint="eastAsia" w:ascii="宋体" w:hAnsi="宋体" w:cs="Helvetica"/>
                <w:b w:val="0"/>
                <w:bCs w:val="0"/>
                <w:color w:val="auto"/>
                <w:kern w:val="0"/>
                <w:sz w:val="24"/>
                <w:szCs w:val="24"/>
                <w:highlight w:val="none"/>
                <w:lang w:val="zh-CN"/>
              </w:rPr>
              <w:t>实施方案考虑不完善或缺失的得</w:t>
            </w:r>
            <w:r>
              <w:rPr>
                <w:rFonts w:hint="eastAsia" w:ascii="宋体" w:hAnsi="宋体" w:cs="Helvetica"/>
                <w:b w:val="0"/>
                <w:bCs w:val="0"/>
                <w:color w:val="auto"/>
                <w:kern w:val="0"/>
                <w:sz w:val="24"/>
                <w:szCs w:val="24"/>
                <w:highlight w:val="none"/>
                <w:lang w:val="en-US" w:eastAsia="zh-CN"/>
              </w:rPr>
              <w:t>1</w:t>
            </w:r>
            <w:r>
              <w:rPr>
                <w:rFonts w:hint="eastAsia" w:ascii="宋体" w:hAnsi="宋体" w:cs="Helvetica"/>
                <w:b w:val="0"/>
                <w:bCs w:val="0"/>
                <w:color w:val="auto"/>
                <w:kern w:val="0"/>
                <w:sz w:val="24"/>
                <w:szCs w:val="24"/>
                <w:highlight w:val="none"/>
                <w:lang w:val="zh-CN"/>
              </w:rPr>
              <w:t>-</w:t>
            </w:r>
            <w:r>
              <w:rPr>
                <w:rFonts w:hint="eastAsia" w:ascii="宋体" w:hAnsi="宋体" w:cs="Helvetica"/>
                <w:b w:val="0"/>
                <w:bCs w:val="0"/>
                <w:color w:val="auto"/>
                <w:kern w:val="0"/>
                <w:sz w:val="24"/>
                <w:szCs w:val="24"/>
                <w:highlight w:val="none"/>
                <w:lang w:val="en-US" w:eastAsia="zh-CN"/>
              </w:rPr>
              <w:t>6</w:t>
            </w:r>
            <w:r>
              <w:rPr>
                <w:rFonts w:hint="eastAsia" w:ascii="宋体" w:hAnsi="宋体" w:cs="Helvetica"/>
                <w:b w:val="0"/>
                <w:bCs w:val="0"/>
                <w:color w:val="auto"/>
                <w:kern w:val="0"/>
                <w:sz w:val="24"/>
                <w:szCs w:val="24"/>
                <w:highlight w:val="none"/>
                <w:lang w:val="zh-CN"/>
              </w:rPr>
              <w:t>分；</w:t>
            </w:r>
          </w:p>
          <w:p>
            <w:pPr>
              <w:numPr>
                <w:ilvl w:val="0"/>
                <w:numId w:val="0"/>
              </w:numPr>
              <w:jc w:val="left"/>
              <w:rPr>
                <w:rFonts w:hint="eastAsia"/>
                <w:lang w:val="zh-CN"/>
              </w:rPr>
            </w:pPr>
            <w:r>
              <w:rPr>
                <w:rFonts w:hint="eastAsia" w:ascii="宋体" w:hAnsi="宋体" w:cs="Helvetica"/>
                <w:b w:val="0"/>
                <w:bCs w:val="0"/>
                <w:color w:val="auto"/>
                <w:kern w:val="0"/>
                <w:sz w:val="24"/>
                <w:szCs w:val="24"/>
                <w:highlight w:val="none"/>
                <w:lang w:val="zh-CN"/>
              </w:rPr>
              <w:t>未提供，不得分。</w:t>
            </w:r>
          </w:p>
        </w:tc>
      </w:tr>
    </w:tbl>
    <w:p/>
    <w:p>
      <w:pPr>
        <w:ind w:firstLine="440" w:firstLineChars="200"/>
        <w:rPr>
          <w:rFonts w:ascii="宋体" w:hAnsi="宋体" w:eastAsia="宋体" w:cs="宋体"/>
          <w:b/>
          <w:bCs/>
          <w:color w:val="FF0000"/>
          <w:sz w:val="20"/>
          <w:szCs w:val="21"/>
          <w:lang w:val="zh-CN"/>
        </w:rPr>
      </w:pPr>
      <w:r>
        <w:rPr>
          <w:rFonts w:hint="eastAsia" w:ascii="宋体" w:hAnsi="宋体" w:eastAsia="宋体" w:cs="宋体"/>
          <w:b/>
          <w:bCs/>
          <w:color w:val="FF0000"/>
          <w:sz w:val="22"/>
          <w:lang w:val="zh-CN"/>
        </w:rPr>
        <w:t>备注：以上所有须提供的证件、证书、</w:t>
      </w:r>
      <w:r>
        <w:rPr>
          <w:rFonts w:hint="eastAsia" w:ascii="宋体" w:hAnsi="宋体" w:eastAsia="宋体" w:cs="宋体"/>
          <w:b/>
          <w:bCs/>
          <w:color w:val="FF0000"/>
          <w:sz w:val="22"/>
          <w:lang w:val="en-US" w:eastAsia="zh-CN"/>
        </w:rPr>
        <w:t>劳动合同及社保证明</w:t>
      </w:r>
      <w:r>
        <w:rPr>
          <w:rFonts w:hint="eastAsia" w:ascii="宋体" w:hAnsi="宋体" w:eastAsia="宋体" w:cs="宋体"/>
          <w:b/>
          <w:bCs/>
          <w:color w:val="FF0000"/>
          <w:sz w:val="22"/>
          <w:lang w:val="zh-CN"/>
        </w:rPr>
        <w:t>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ascii="黑体" w:hAnsi="黑体" w:eastAsia="黑体"/>
        </w:rPr>
      </w:pPr>
      <w:r>
        <w:rPr>
          <w:rFonts w:hint="eastAsia" w:ascii="黑体" w:hAnsi="黑体" w:eastAsia="黑体"/>
        </w:rPr>
        <w:br w:type="page"/>
      </w:r>
    </w:p>
    <w:p>
      <w:pPr>
        <w:pStyle w:val="4"/>
        <w:spacing w:before="0" w:after="0"/>
        <w:jc w:val="center"/>
        <w:rPr>
          <w:rFonts w:ascii="黑体" w:hAnsi="黑体" w:eastAsia="黑体"/>
        </w:rPr>
      </w:pPr>
      <w:bookmarkStart w:id="69" w:name="_Toc396"/>
      <w:r>
        <w:rPr>
          <w:rFonts w:hint="eastAsia" w:ascii="黑体" w:hAnsi="黑体" w:eastAsia="黑体"/>
        </w:rPr>
        <w:t xml:space="preserve">第六章 </w:t>
      </w:r>
      <w:r>
        <w:rPr>
          <w:rFonts w:ascii="黑体" w:hAnsi="黑体" w:eastAsia="黑体"/>
        </w:rPr>
        <w:t xml:space="preserve"> </w:t>
      </w:r>
      <w:r>
        <w:rPr>
          <w:rFonts w:hint="eastAsia" w:ascii="黑体" w:hAnsi="黑体" w:eastAsia="黑体"/>
        </w:rPr>
        <w:t>合同书格式（参考）</w:t>
      </w:r>
      <w:bookmarkEnd w:id="63"/>
      <w:bookmarkEnd w:id="64"/>
      <w:bookmarkEnd w:id="65"/>
      <w:bookmarkEnd w:id="66"/>
      <w:bookmarkEnd w:id="67"/>
      <w:bookmarkEnd w:id="68"/>
      <w:bookmarkEnd w:id="69"/>
    </w:p>
    <w:p>
      <w:pPr>
        <w:spacing w:line="360" w:lineRule="auto"/>
        <w:ind w:firstLine="480" w:firstLineChars="200"/>
        <w:rPr>
          <w:sz w:val="24"/>
          <w:szCs w:val="24"/>
        </w:rPr>
      </w:pPr>
      <w:r>
        <w:rPr>
          <w:rFonts w:hint="eastAsia"/>
          <w:sz w:val="24"/>
          <w:szCs w:val="24"/>
        </w:rPr>
        <w:t>（根据《政府采购法》和《</w:t>
      </w:r>
      <w:r>
        <w:rPr>
          <w:rFonts w:hint="eastAsia"/>
          <w:sz w:val="24"/>
          <w:szCs w:val="24"/>
          <w:lang w:val="en-US" w:eastAsia="zh-CN"/>
        </w:rPr>
        <w:t>民法典</w:t>
      </w:r>
      <w:r>
        <w:rPr>
          <w:rFonts w:hint="eastAsia"/>
          <w:sz w:val="24"/>
          <w:szCs w:val="24"/>
        </w:rPr>
        <w:t>》相关规定，采购人和中标人之间的权利和义务，应当按照平等、自愿的原则以合同方式约定。此合同书仅作为签订正式合同时的参考，正式合同书应包括本参考格式之内容。）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w:t>
      </w:r>
      <w:r>
        <w:rPr>
          <w:rFonts w:hint="eastAsia" w:ascii="宋体" w:hAnsi="宋体" w:eastAsia="宋体" w:cs="Times New Roman"/>
          <w:kern w:val="0"/>
          <w:sz w:val="24"/>
          <w:szCs w:val="20"/>
          <w:highlight w:val="none"/>
        </w:rPr>
        <w:t>《中华人民共和国</w:t>
      </w:r>
      <w:r>
        <w:rPr>
          <w:rFonts w:hint="eastAsia" w:ascii="宋体" w:hAnsi="宋体" w:eastAsia="宋体" w:cs="Times New Roman"/>
          <w:kern w:val="0"/>
          <w:sz w:val="24"/>
          <w:szCs w:val="20"/>
          <w:highlight w:val="none"/>
          <w:lang w:val="en-US" w:eastAsia="zh-CN"/>
        </w:rPr>
        <w:t>民法典</w:t>
      </w:r>
      <w:r>
        <w:rPr>
          <w:rFonts w:hint="eastAsia" w:ascii="宋体" w:hAnsi="宋体" w:eastAsia="宋体" w:cs="Times New Roman"/>
          <w:kern w:val="0"/>
          <w:sz w:val="24"/>
          <w:szCs w:val="20"/>
          <w:highlight w:val="none"/>
        </w:rPr>
        <w:t>》</w:t>
      </w:r>
      <w:r>
        <w:rPr>
          <w:rFonts w:hint="eastAsia" w:ascii="宋体" w:hAnsi="宋体" w:eastAsia="宋体" w:cs="Times New Roman"/>
          <w:kern w:val="0"/>
          <w:sz w:val="24"/>
          <w:szCs w:val="20"/>
        </w:rPr>
        <w:t>、《中华人民共和国政府采购法》，并各自履行应负的全部责任和义务。</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6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6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6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6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6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代理采购机构发出的中标通知书；</w:t>
      </w:r>
    </w:p>
    <w:p>
      <w:pPr>
        <w:numPr>
          <w:ilvl w:val="0"/>
          <w:numId w:val="6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65"/>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65"/>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65"/>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65"/>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6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63"/>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63"/>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63"/>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pPr>
        <w:pStyle w:val="4"/>
        <w:jc w:val="center"/>
        <w:rPr>
          <w:rFonts w:ascii="黑体" w:hAnsi="黑体" w:eastAsia="黑体"/>
        </w:rPr>
      </w:pPr>
      <w:bookmarkStart w:id="70" w:name="_Toc494664994"/>
      <w:bookmarkStart w:id="71" w:name="_Toc494665547"/>
      <w:bookmarkStart w:id="72" w:name="_Toc494745311"/>
      <w:bookmarkStart w:id="73" w:name="_Toc494721094"/>
      <w:bookmarkStart w:id="74" w:name="_Toc17974"/>
      <w:bookmarkStart w:id="75" w:name="_Toc494665944"/>
      <w:bookmarkStart w:id="76" w:name="_Toc494702264"/>
      <w:r>
        <w:rPr>
          <w:rFonts w:hint="eastAsia" w:ascii="黑体" w:hAnsi="黑体" w:eastAsia="黑体"/>
        </w:rPr>
        <w:t xml:space="preserve">第七章 </w:t>
      </w:r>
      <w:r>
        <w:rPr>
          <w:rFonts w:ascii="黑体" w:hAnsi="黑体" w:eastAsia="黑体"/>
        </w:rPr>
        <w:t xml:space="preserve"> </w:t>
      </w:r>
      <w:r>
        <w:rPr>
          <w:rFonts w:hint="eastAsia" w:ascii="黑体" w:hAnsi="黑体" w:eastAsia="黑体"/>
        </w:rPr>
        <w:t>投标文件格式（参考）</w:t>
      </w:r>
      <w:bookmarkEnd w:id="70"/>
      <w:bookmarkEnd w:id="71"/>
      <w:bookmarkEnd w:id="72"/>
      <w:bookmarkEnd w:id="73"/>
      <w:bookmarkEnd w:id="74"/>
      <w:bookmarkEnd w:id="75"/>
      <w:bookmarkEnd w:id="76"/>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5"/>
        <w:spacing w:before="340" w:after="480" w:line="360" w:lineRule="auto"/>
        <w:jc w:val="center"/>
        <w:rPr>
          <w:rFonts w:cs="Times New Roman" w:asciiTheme="majorEastAsia" w:hAnsiTheme="majorEastAsia"/>
          <w:bCs w:val="0"/>
          <w:sz w:val="44"/>
          <w:szCs w:val="44"/>
          <w:lang w:val="zh-CN"/>
        </w:rPr>
      </w:pPr>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52"/>
          <w:szCs w:val="52"/>
        </w:rPr>
      </w:pPr>
      <w:r>
        <w:rPr>
          <w:rFonts w:hint="eastAsia" w:cs="Times New Roman" w:asciiTheme="minorEastAsia" w:hAnsiTheme="minorEastAsia"/>
          <w:b/>
          <w:bCs/>
          <w:sz w:val="52"/>
          <w:szCs w:val="52"/>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二0二</w:t>
      </w:r>
      <w:r>
        <w:rPr>
          <w:rFonts w:hint="eastAsia" w:ascii="宋体" w:hAnsi="宋体" w:eastAsia="宋体"/>
          <w:b/>
          <w:sz w:val="36"/>
          <w:szCs w:val="36"/>
        </w:rPr>
        <w:t>二</w:t>
      </w:r>
      <w:r>
        <w:rPr>
          <w:rFonts w:hint="eastAsia" w:ascii="宋体" w:hAnsi="宋体"/>
          <w:b/>
          <w:sz w:val="36"/>
          <w:szCs w:val="36"/>
        </w:rPr>
        <w:t>年 月</w:t>
      </w:r>
    </w:p>
    <w:p>
      <w:pPr>
        <w:rPr>
          <w:rFonts w:cs="Times New Roman" w:asciiTheme="minorEastAsia" w:hAnsiTheme="minorEastAsia"/>
          <w:b/>
          <w:bCs/>
          <w:sz w:val="36"/>
          <w:szCs w:val="24"/>
          <w:highlight w:val="yellow"/>
        </w:rPr>
      </w:pPr>
      <w:r>
        <w:rPr>
          <w:rFonts w:hint="eastAsia" w:cs="Times New Roman" w:asciiTheme="minorEastAsia" w:hAnsiTheme="minorEastAsia"/>
          <w:b/>
          <w:bCs/>
          <w:sz w:val="36"/>
          <w:szCs w:val="24"/>
          <w:highlight w:val="yellow"/>
        </w:rPr>
        <w:br w:type="page"/>
      </w:r>
    </w:p>
    <w:p>
      <w:pPr>
        <w:spacing w:line="360" w:lineRule="auto"/>
        <w:jc w:val="center"/>
        <w:rPr>
          <w:rFonts w:cs="Times New Roman" w:asciiTheme="minorEastAsia" w:hAnsiTheme="minorEastAsia"/>
          <w:b/>
          <w:bCs/>
          <w:sz w:val="36"/>
          <w:szCs w:val="24"/>
        </w:rPr>
      </w:pPr>
      <w:r>
        <w:rPr>
          <w:rFonts w:hint="eastAsia" w:cs="Times New Roman" w:asciiTheme="minorEastAsia" w:hAnsiTheme="minorEastAsia"/>
          <w:b/>
          <w:bCs/>
          <w:sz w:val="36"/>
          <w:szCs w:val="24"/>
        </w:rPr>
        <w:t>投标文件目录</w:t>
      </w:r>
    </w:p>
    <w:p>
      <w:pPr>
        <w:pStyle w:val="34"/>
      </w:pPr>
    </w:p>
    <w:p>
      <w:pPr>
        <w:pStyle w:val="34"/>
      </w:pPr>
    </w:p>
    <w:p>
      <w:pPr>
        <w:pStyle w:val="34"/>
      </w:pPr>
    </w:p>
    <w:p>
      <w:pPr>
        <w:pStyle w:val="34"/>
      </w:pPr>
    </w:p>
    <w:p>
      <w:pPr>
        <w:pStyle w:val="34"/>
      </w:pPr>
    </w:p>
    <w:p>
      <w:pPr>
        <w:pStyle w:val="34"/>
      </w:pPr>
    </w:p>
    <w:p>
      <w:pPr>
        <w:pStyle w:val="34"/>
      </w:pPr>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77" w:name="_Toc494745313"/>
      <w:bookmarkStart w:id="78" w:name="_Toc494665946"/>
      <w:bookmarkStart w:id="79" w:name="_Toc494702266"/>
      <w:bookmarkStart w:id="80" w:name="_Toc494665549"/>
      <w:bookmarkStart w:id="81" w:name="_Toc494721096"/>
      <w:bookmarkStart w:id="82" w:name="_Toc494664996"/>
      <w:r>
        <w:rPr>
          <w:rFonts w:hint="eastAsia" w:ascii="黑体" w:hAnsi="黑体" w:eastAsia="黑体" w:cs="Times New Roman"/>
          <w:b/>
          <w:sz w:val="36"/>
          <w:szCs w:val="36"/>
        </w:rPr>
        <w:t>第一部分 资格证明文件组成</w:t>
      </w:r>
      <w:bookmarkEnd w:id="77"/>
      <w:bookmarkEnd w:id="78"/>
      <w:bookmarkEnd w:id="79"/>
      <w:bookmarkEnd w:id="80"/>
      <w:bookmarkEnd w:id="81"/>
      <w:bookmarkEnd w:id="82"/>
    </w:p>
    <w:p>
      <w:pPr>
        <w:numPr>
          <w:ilvl w:val="0"/>
          <w:numId w:val="66"/>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由各投标人根据参考格式要求自行编写。具体内容应包括但不限于以下内容：</w:t>
      </w:r>
    </w:p>
    <w:p>
      <w:pPr>
        <w:numPr>
          <w:ilvl w:val="0"/>
          <w:numId w:val="66"/>
        </w:numPr>
        <w:autoSpaceDE w:val="0"/>
        <w:autoSpaceDN w:val="0"/>
        <w:adjustRightInd w:val="0"/>
        <w:spacing w:line="360" w:lineRule="auto"/>
        <w:ind w:left="490" w:hanging="370"/>
        <w:rPr>
          <w:rFonts w:ascii="宋体" w:hAnsi="宋体" w:cs="Times New Roman"/>
          <w:b/>
          <w:kern w:val="0"/>
          <w:sz w:val="24"/>
          <w:szCs w:val="32"/>
        </w:rPr>
      </w:pPr>
      <w:r>
        <w:rPr>
          <w:rFonts w:hint="eastAsia" w:ascii="宋体" w:hAnsi="宋体"/>
          <w:kern w:val="0"/>
          <w:sz w:val="24"/>
          <w:szCs w:val="32"/>
        </w:rPr>
        <w:t>应具备《政府采购法》第二十二条第一款规定的条件，提供下列材料；</w:t>
      </w:r>
    </w:p>
    <w:p>
      <w:pPr>
        <w:numPr>
          <w:ilvl w:val="0"/>
          <w:numId w:val="67"/>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法人或者其他组织的营业执照等证明文件，自然人的身份证明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cs="Times New Roman"/>
          <w:kern w:val="0"/>
          <w:sz w:val="24"/>
          <w:szCs w:val="32"/>
        </w:rPr>
        <w:t>：</w:t>
      </w:r>
    </w:p>
    <w:p>
      <w:pPr>
        <w:numPr>
          <w:ilvl w:val="0"/>
          <w:numId w:val="68"/>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法人</w:t>
      </w:r>
    </w:p>
    <w:p>
      <w:pPr>
        <w:pStyle w:val="51"/>
        <w:numPr>
          <w:ilvl w:val="0"/>
          <w:numId w:val="69"/>
        </w:numPr>
        <w:spacing w:line="360" w:lineRule="auto"/>
        <w:ind w:left="902" w:hanging="482" w:firstLineChars="0"/>
        <w:rPr>
          <w:rFonts w:ascii="宋体" w:hAnsi="宋体"/>
          <w:sz w:val="24"/>
          <w:szCs w:val="24"/>
        </w:rPr>
      </w:pPr>
      <w:r>
        <w:rPr>
          <w:rFonts w:hint="eastAsia" w:ascii="楷体" w:hAnsi="楷体" w:eastAsia="楷体"/>
          <w:b/>
          <w:sz w:val="24"/>
          <w:szCs w:val="24"/>
        </w:rPr>
        <w:t>企业法人（包括合伙企业）：</w:t>
      </w:r>
      <w:r>
        <w:rPr>
          <w:rFonts w:hint="eastAsia" w:ascii="宋体" w:hAnsi="宋体"/>
          <w:sz w:val="24"/>
          <w:szCs w:val="24"/>
        </w:rPr>
        <w:t>提供工商部门注册的有效“企业法人营业执照”或“营业执照”；</w:t>
      </w:r>
    </w:p>
    <w:p>
      <w:pPr>
        <w:pStyle w:val="51"/>
        <w:numPr>
          <w:ilvl w:val="0"/>
          <w:numId w:val="69"/>
        </w:numPr>
        <w:spacing w:line="360" w:lineRule="auto"/>
        <w:ind w:left="902" w:hanging="482" w:firstLineChars="0"/>
        <w:rPr>
          <w:rFonts w:ascii="宋体" w:hAnsi="宋体"/>
          <w:sz w:val="24"/>
          <w:szCs w:val="24"/>
        </w:rPr>
      </w:pPr>
      <w:r>
        <w:rPr>
          <w:rFonts w:hint="eastAsia" w:ascii="楷体" w:hAnsi="楷体" w:eastAsia="楷体"/>
          <w:b/>
          <w:sz w:val="24"/>
          <w:szCs w:val="24"/>
        </w:rPr>
        <w:t>事业单位法人：</w:t>
      </w:r>
      <w:r>
        <w:rPr>
          <w:rFonts w:hint="eastAsia" w:ascii="宋体" w:hAnsi="宋体"/>
          <w:sz w:val="24"/>
          <w:szCs w:val="24"/>
        </w:rPr>
        <w:t>提供有效的“事业单位法人证书”。</w:t>
      </w:r>
    </w:p>
    <w:p>
      <w:pPr>
        <w:numPr>
          <w:ilvl w:val="0"/>
          <w:numId w:val="68"/>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其他组织</w:t>
      </w:r>
    </w:p>
    <w:p>
      <w:pPr>
        <w:pStyle w:val="51"/>
        <w:numPr>
          <w:ilvl w:val="0"/>
          <w:numId w:val="70"/>
        </w:numPr>
        <w:spacing w:line="360" w:lineRule="auto"/>
        <w:ind w:left="902" w:hanging="482" w:firstLineChars="0"/>
        <w:rPr>
          <w:rFonts w:ascii="宋体" w:hAns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51"/>
        <w:numPr>
          <w:ilvl w:val="0"/>
          <w:numId w:val="70"/>
        </w:numPr>
        <w:spacing w:line="360" w:lineRule="auto"/>
        <w:ind w:left="902" w:hanging="482" w:firstLineChars="0"/>
        <w:rPr>
          <w:rFonts w:ascii="宋体" w:hAns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68"/>
        </w:numPr>
        <w:spacing w:line="360" w:lineRule="auto"/>
        <w:ind w:left="986" w:hanging="720"/>
        <w:rPr>
          <w:rFonts w:ascii="宋体" w:hAnsi="宋体" w:cs="Times New Roman"/>
          <w:sz w:val="24"/>
          <w:szCs w:val="20"/>
        </w:rPr>
      </w:pPr>
      <w:r>
        <w:rPr>
          <w:rFonts w:hint="eastAsia" w:ascii="仿宋" w:hAnsi="仿宋" w:eastAsia="仿宋" w:cs="Times New Roman"/>
          <w:b/>
          <w:sz w:val="24"/>
          <w:szCs w:val="20"/>
        </w:rPr>
        <w:t>自然人：</w:t>
      </w:r>
      <w:r>
        <w:rPr>
          <w:rFonts w:hint="eastAsia" w:ascii="宋体" w:hAnsi="宋体" w:cs="Times New Roman"/>
          <w:sz w:val="24"/>
          <w:szCs w:val="20"/>
        </w:rPr>
        <w:t>提供有效的自然人身份证明。（仅限中国公民）</w:t>
      </w:r>
    </w:p>
    <w:p>
      <w:pPr>
        <w:numPr>
          <w:ilvl w:val="0"/>
          <w:numId w:val="67"/>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财务状况报告，依法缴纳税收和社会保障资金的相关材料</w:t>
      </w:r>
      <w:r>
        <w:rPr>
          <w:rFonts w:hint="eastAsia" w:ascii="宋体" w:hAnsi="宋体"/>
          <w:sz w:val="24"/>
          <w:szCs w:val="24"/>
        </w:rPr>
        <w:t>（</w:t>
      </w:r>
      <w:r>
        <w:rPr>
          <w:rFonts w:hint="eastAsia" w:ascii="宋体" w:hAnsi="宋体" w:cs="Times New Roman"/>
          <w:kern w:val="0"/>
          <w:sz w:val="24"/>
          <w:szCs w:val="32"/>
        </w:rPr>
        <w:t xml:space="preserve">投标人提供上一个年度财务审计报告及参加政府采购活动前一段时间内依法缴纳税收和社会保障资金的证明材料）； </w:t>
      </w:r>
    </w:p>
    <w:p>
      <w:pPr>
        <w:numPr>
          <w:ilvl w:val="0"/>
          <w:numId w:val="71"/>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财务状况报告</w:t>
      </w:r>
    </w:p>
    <w:p>
      <w:pPr>
        <w:pStyle w:val="51"/>
        <w:numPr>
          <w:ilvl w:val="0"/>
          <w:numId w:val="72"/>
        </w:numPr>
        <w:spacing w:line="360" w:lineRule="auto"/>
        <w:ind w:left="902" w:hanging="482" w:firstLineChars="0"/>
        <w:rPr>
          <w:rFonts w:ascii="宋体" w:hAnsi="宋体"/>
          <w:sz w:val="24"/>
          <w:szCs w:val="24"/>
        </w:rPr>
      </w:pPr>
      <w:r>
        <w:rPr>
          <w:rFonts w:hint="eastAsia" w:ascii="楷体" w:hAnsi="楷体" w:eastAsia="楷体"/>
          <w:b/>
          <w:sz w:val="24"/>
          <w:szCs w:val="24"/>
        </w:rPr>
        <w:t>法人：</w:t>
      </w:r>
      <w:r>
        <w:rPr>
          <w:rFonts w:hint="eastAsia" w:ascii="宋体" w:hAnsi="宋体"/>
          <w:sz w:val="24"/>
          <w:szCs w:val="24"/>
        </w:rPr>
        <w:t>提供上年度经第三方审计的财务报告（完整的财务报告，包括“四表一注”，即资产负债表、利润表、现金流量表、所有者权益变动表及其附注），或其基本开户银行出具的资信证明；</w:t>
      </w:r>
    </w:p>
    <w:p>
      <w:pPr>
        <w:pStyle w:val="51"/>
        <w:numPr>
          <w:ilvl w:val="0"/>
          <w:numId w:val="72"/>
        </w:numPr>
        <w:spacing w:line="360" w:lineRule="auto"/>
        <w:ind w:left="902" w:hanging="482" w:firstLineChars="0"/>
        <w:rPr>
          <w:rFonts w:ascii="宋体" w:hAns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51"/>
        <w:numPr>
          <w:ilvl w:val="0"/>
          <w:numId w:val="72"/>
        </w:numPr>
        <w:spacing w:line="360" w:lineRule="auto"/>
        <w:ind w:left="902" w:hanging="482" w:firstLineChars="0"/>
        <w:rPr>
          <w:rFonts w:ascii="宋体" w:hAns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71"/>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依法缴纳税收和社会保障资金的证明材料</w:t>
      </w:r>
    </w:p>
    <w:p>
      <w:pPr>
        <w:pStyle w:val="51"/>
        <w:numPr>
          <w:ilvl w:val="0"/>
          <w:numId w:val="73"/>
        </w:numPr>
        <w:spacing w:line="360" w:lineRule="auto"/>
        <w:ind w:left="902" w:hanging="482" w:firstLineChars="0"/>
        <w:rPr>
          <w:rFonts w:ascii="宋体" w:hAnsi="宋体"/>
          <w:sz w:val="24"/>
          <w:szCs w:val="24"/>
        </w:rPr>
      </w:pPr>
      <w:r>
        <w:rPr>
          <w:rFonts w:hint="eastAsia" w:ascii="宋体" w:hAnsi="宋体"/>
          <w:sz w:val="24"/>
          <w:szCs w:val="24"/>
        </w:rPr>
        <w:t>法人</w:t>
      </w:r>
    </w:p>
    <w:p>
      <w:pPr>
        <w:pStyle w:val="51"/>
        <w:numPr>
          <w:ilvl w:val="0"/>
          <w:numId w:val="74"/>
        </w:numPr>
        <w:spacing w:line="360" w:lineRule="auto"/>
        <w:ind w:firstLine="638" w:firstLineChars="266"/>
        <w:rPr>
          <w:rFonts w:ascii="Helvetica" w:hAnsi="Helvetica" w:cs="Helvetica"/>
          <w:kern w:val="0"/>
          <w:sz w:val="24"/>
          <w:szCs w:val="24"/>
        </w:rPr>
      </w:pPr>
      <w:r>
        <w:rPr>
          <w:rFonts w:hint="eastAsia" w:ascii="Helvetica" w:hAnsi="Helvetica" w:cs="Helvetica"/>
          <w:kern w:val="0"/>
          <w:sz w:val="24"/>
          <w:szCs w:val="24"/>
        </w:rPr>
        <w:t>参加政府采购活动前一段时间内的纳税凭据；</w:t>
      </w:r>
    </w:p>
    <w:p>
      <w:pPr>
        <w:pStyle w:val="51"/>
        <w:numPr>
          <w:ilvl w:val="0"/>
          <w:numId w:val="74"/>
        </w:numPr>
        <w:spacing w:line="360" w:lineRule="auto"/>
        <w:ind w:firstLine="638" w:firstLineChars="266"/>
        <w:rPr>
          <w:rFonts w:ascii="Helvetica" w:hAnsi="Helvetica" w:cs="Helvetica"/>
          <w:kern w:val="0"/>
          <w:sz w:val="24"/>
          <w:szCs w:val="24"/>
        </w:rPr>
      </w:pPr>
      <w:r>
        <w:rPr>
          <w:rFonts w:hint="eastAsia" w:ascii="Helvetica" w:hAnsi="Helvetica" w:cs="Helvetica"/>
          <w:kern w:val="0"/>
          <w:sz w:val="24"/>
          <w:szCs w:val="24"/>
        </w:rPr>
        <w:t>参加政府采购活动前一段时间内缴纳社会保险的凭据（专用收据或社会保险缴纳清单或社保证明）。</w:t>
      </w:r>
    </w:p>
    <w:p>
      <w:pPr>
        <w:pStyle w:val="51"/>
        <w:numPr>
          <w:ilvl w:val="0"/>
          <w:numId w:val="73"/>
        </w:numPr>
        <w:spacing w:line="360" w:lineRule="auto"/>
        <w:ind w:left="902" w:hanging="482" w:firstLineChars="0"/>
        <w:rPr>
          <w:rFonts w:ascii="宋体" w:hAnsi="宋体"/>
          <w:sz w:val="24"/>
          <w:szCs w:val="24"/>
        </w:rPr>
      </w:pPr>
      <w:r>
        <w:rPr>
          <w:rFonts w:hint="eastAsia" w:ascii="宋体" w:hAnsi="宋体"/>
          <w:sz w:val="24"/>
          <w:szCs w:val="24"/>
        </w:rPr>
        <w:t>其他组织和自然人</w:t>
      </w:r>
    </w:p>
    <w:p>
      <w:pPr>
        <w:pStyle w:val="51"/>
        <w:numPr>
          <w:ilvl w:val="0"/>
          <w:numId w:val="75"/>
        </w:numPr>
        <w:spacing w:line="360" w:lineRule="auto"/>
        <w:ind w:left="1027" w:hanging="369" w:firstLineChars="0"/>
        <w:rPr>
          <w:rFonts w:ascii="Helvetica" w:hAnsi="Helvetica" w:cs="Helvetica"/>
          <w:kern w:val="0"/>
          <w:sz w:val="24"/>
          <w:szCs w:val="24"/>
        </w:rPr>
      </w:pPr>
      <w:r>
        <w:rPr>
          <w:rFonts w:hint="eastAsia" w:ascii="Helvetica" w:hAnsi="Helvetica" w:cs="Helvetica"/>
          <w:kern w:val="0"/>
          <w:sz w:val="24"/>
          <w:szCs w:val="24"/>
        </w:rPr>
        <w:t>参加政府采购活动前一段时间内的缴纳税收的凭据；</w:t>
      </w:r>
    </w:p>
    <w:p>
      <w:pPr>
        <w:pStyle w:val="51"/>
        <w:numPr>
          <w:ilvl w:val="0"/>
          <w:numId w:val="75"/>
        </w:numPr>
        <w:spacing w:line="360" w:lineRule="auto"/>
        <w:ind w:left="1027" w:hanging="369" w:firstLineChars="0"/>
        <w:rPr>
          <w:rFonts w:ascii="Helvetica" w:hAnsi="Helvetica" w:cs="Helvetica"/>
          <w:kern w:val="0"/>
          <w:sz w:val="24"/>
          <w:szCs w:val="24"/>
        </w:rPr>
      </w:pPr>
      <w:r>
        <w:rPr>
          <w:rFonts w:hint="eastAsia" w:ascii="Helvetica" w:hAnsi="Helvetica" w:cs="Helvetica"/>
          <w:kern w:val="0"/>
          <w:sz w:val="24"/>
          <w:szCs w:val="24"/>
        </w:rPr>
        <w:t>参加政府采购活动前一段时间内的缴纳社会保险的凭据(专用收据或社会保险缴纳清单或社保证明)。</w:t>
      </w:r>
    </w:p>
    <w:p>
      <w:pPr>
        <w:pStyle w:val="51"/>
        <w:numPr>
          <w:ilvl w:val="0"/>
          <w:numId w:val="73"/>
        </w:numPr>
        <w:spacing w:line="360" w:lineRule="auto"/>
        <w:ind w:left="902" w:hanging="482" w:firstLineChars="0"/>
        <w:rPr>
          <w:rFonts w:ascii="宋体" w:hAnsi="宋体"/>
          <w:sz w:val="24"/>
          <w:szCs w:val="24"/>
        </w:rPr>
      </w:pPr>
      <w:r>
        <w:rPr>
          <w:rFonts w:hint="eastAsia" w:ascii="宋体" w:hAnsi="宋体"/>
          <w:sz w:val="24"/>
          <w:szCs w:val="24"/>
        </w:rPr>
        <w:t>依法免税或不需要缴纳社会保险资金的投标人</w:t>
      </w:r>
    </w:p>
    <w:p>
      <w:pPr>
        <w:pStyle w:val="51"/>
        <w:spacing w:line="360" w:lineRule="auto"/>
        <w:ind w:left="902" w:firstLine="0" w:firstLineChars="0"/>
        <w:rPr>
          <w:rFonts w:ascii="宋体" w:hAnsi="宋体"/>
          <w:sz w:val="24"/>
          <w:szCs w:val="24"/>
        </w:rPr>
      </w:pPr>
      <w:r>
        <w:rPr>
          <w:rFonts w:hint="eastAsia" w:ascii="宋体" w:hAnsi="宋体"/>
          <w:sz w:val="24"/>
          <w:szCs w:val="24"/>
        </w:rPr>
        <w:t>提供其依法免税或不需要缴纳社会保险资金的相关证明文件。</w:t>
      </w:r>
    </w:p>
    <w:p>
      <w:pPr>
        <w:numPr>
          <w:ilvl w:val="0"/>
          <w:numId w:val="67"/>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具备履行合同所必需的设备和专业技术能力的声明材料：</w:t>
      </w:r>
    </w:p>
    <w:p>
      <w:pPr>
        <w:numPr>
          <w:ilvl w:val="0"/>
          <w:numId w:val="67"/>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参加政府采购活动前3年内在经营活动中没有重大违法记录的书面声明：</w:t>
      </w:r>
    </w:p>
    <w:p>
      <w:pPr>
        <w:numPr>
          <w:ilvl w:val="0"/>
          <w:numId w:val="76"/>
        </w:numPr>
        <w:spacing w:line="360" w:lineRule="auto"/>
        <w:ind w:left="986" w:hanging="720"/>
        <w:rPr>
          <w:rFonts w:ascii="仿宋" w:hAnsi="仿宋" w:eastAsia="仿宋" w:cs="Times New Roman"/>
          <w:sz w:val="24"/>
          <w:szCs w:val="20"/>
        </w:rPr>
      </w:pPr>
      <w:r>
        <w:rPr>
          <w:rFonts w:hint="eastAsia" w:ascii="宋体" w:hAnsi="宋体" w:cs="Times New Roman"/>
          <w:sz w:val="24"/>
          <w:szCs w:val="20"/>
        </w:rPr>
        <w:t>应严格按照附件格式提交“参加政府采购活动前三年内在经营活动中没有重大违法记录的书面声明函”；</w:t>
      </w:r>
    </w:p>
    <w:p>
      <w:pPr>
        <w:numPr>
          <w:ilvl w:val="0"/>
          <w:numId w:val="76"/>
        </w:numPr>
        <w:spacing w:line="360" w:lineRule="auto"/>
        <w:ind w:left="986" w:hanging="720"/>
        <w:rPr>
          <w:rFonts w:ascii="仿宋" w:hAnsi="仿宋" w:eastAsia="仿宋" w:cs="Times New Roman"/>
          <w:sz w:val="24"/>
          <w:szCs w:val="20"/>
        </w:rPr>
      </w:pPr>
      <w:r>
        <w:rPr>
          <w:rFonts w:hint="eastAsia" w:ascii="宋体" w:hAnsi="宋体" w:cs="Times New Roman"/>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76"/>
        </w:numPr>
        <w:spacing w:line="360" w:lineRule="auto"/>
        <w:ind w:left="986" w:hanging="720"/>
        <w:rPr>
          <w:rFonts w:ascii="仿宋" w:hAnsi="仿宋" w:eastAsia="仿宋" w:cs="Times New Roman"/>
          <w:sz w:val="24"/>
          <w:szCs w:val="20"/>
        </w:rPr>
      </w:pPr>
      <w:r>
        <w:rPr>
          <w:rFonts w:hint="eastAsia" w:ascii="宋体" w:hAnsi="宋体" w:cs="Times New Roman"/>
          <w:sz w:val="24"/>
          <w:szCs w:val="20"/>
        </w:rPr>
        <w:t>按照财政部《关于规范政府采购行政处罚有关问题的通知》的规定，</w:t>
      </w:r>
      <w:r>
        <w:rPr>
          <w:rFonts w:ascii="宋体" w:hAnsi="宋体" w:cs="Times New Roman"/>
          <w:sz w:val="24"/>
          <w:szCs w:val="20"/>
        </w:rPr>
        <w:t>各级人民政府财政部门依法对参加政府采购活动的供应商作出的禁止参加政府采购活动等行政处罚决定在全国范围内生效。</w:t>
      </w:r>
    </w:p>
    <w:p>
      <w:pPr>
        <w:numPr>
          <w:ilvl w:val="0"/>
          <w:numId w:val="67"/>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具备法律、行政法规规定的其他条件的证明材料：</w:t>
      </w:r>
    </w:p>
    <w:p>
      <w:pPr>
        <w:numPr>
          <w:ilvl w:val="0"/>
          <w:numId w:val="77"/>
        </w:numPr>
        <w:spacing w:line="360" w:lineRule="auto"/>
        <w:ind w:left="986" w:hanging="720"/>
        <w:rPr>
          <w:rFonts w:ascii="宋体" w:hAnsi="宋体" w:cs="Times New Roman"/>
          <w:sz w:val="24"/>
          <w:szCs w:val="20"/>
        </w:rPr>
      </w:pPr>
      <w:r>
        <w:rPr>
          <w:rFonts w:hint="eastAsia" w:ascii="宋体" w:hAnsi="宋体" w:cs="Times New Roman"/>
          <w:sz w:val="24"/>
          <w:szCs w:val="20"/>
        </w:rPr>
        <w:t>国家对生产和销售相关产品或提供相关服务有专门法律、行政法规规定的，则必须提供取得国家有关主管部门行政许可的证明材料。</w:t>
      </w:r>
    </w:p>
    <w:p>
      <w:pPr>
        <w:numPr>
          <w:ilvl w:val="0"/>
          <w:numId w:val="66"/>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color w:val="FF0000"/>
          <w:sz w:val="24"/>
          <w:szCs w:val="24"/>
          <w:lang w:val="en-US" w:eastAsia="zh-CN"/>
        </w:rPr>
        <w:t>投标人</w:t>
      </w:r>
      <w:r>
        <w:rPr>
          <w:rFonts w:hint="eastAsia" w:ascii="宋体" w:hAnsi="宋体" w:cs="Courier New"/>
          <w:color w:val="FF0000"/>
          <w:sz w:val="24"/>
          <w:szCs w:val="24"/>
          <w:lang w:eastAsia="zh-CN"/>
        </w:rPr>
        <w:t>及</w:t>
      </w:r>
      <w:r>
        <w:rPr>
          <w:rFonts w:hint="eastAsia" w:ascii="宋体" w:hAnsi="宋体" w:cs="Courier New"/>
          <w:color w:val="FF0000"/>
          <w:sz w:val="24"/>
          <w:szCs w:val="24"/>
          <w:lang w:val="en-US" w:eastAsia="zh-CN"/>
        </w:rPr>
        <w:t>主要</w:t>
      </w:r>
      <w:r>
        <w:rPr>
          <w:rFonts w:hint="eastAsia" w:ascii="宋体" w:hAnsi="宋体" w:cs="Courier New"/>
          <w:color w:val="FF0000"/>
          <w:sz w:val="24"/>
          <w:szCs w:val="24"/>
          <w:lang w:eastAsia="zh-CN"/>
        </w:rPr>
        <w:t>负责人</w:t>
      </w:r>
      <w:r>
        <w:rPr>
          <w:rFonts w:hint="eastAsia" w:ascii="宋体" w:hAnsi="宋体" w:cs="Courier New"/>
          <w:sz w:val="24"/>
          <w:szCs w:val="24"/>
        </w:rPr>
        <w:t>未被“信用中国”网站(www.creditchina.gov.cn)</w:t>
      </w:r>
      <w:r>
        <w:rPr>
          <w:rFonts w:hint="eastAsia" w:ascii="宋体" w:hAnsi="宋体" w:cs="Times New Roman"/>
          <w:b/>
          <w:sz w:val="24"/>
          <w:szCs w:val="24"/>
        </w:rPr>
        <w:t xml:space="preserve"> </w:t>
      </w:r>
      <w:r>
        <w:rPr>
          <w:rFonts w:hint="eastAsia" w:ascii="宋体" w:hAnsi="宋体" w:cs="Courier New"/>
          <w:sz w:val="24"/>
          <w:szCs w:val="24"/>
        </w:rPr>
        <w:t>、“中国政府采购网”(www.ccgp.gov.cn)列入失信被执行人、重大税收违法案件当事人名单、政府采购严重违法失信行为记录名单的书面声明及以上</w:t>
      </w:r>
      <w:r>
        <w:rPr>
          <w:rFonts w:hint="eastAsia" w:ascii="宋体" w:hAnsi="宋体" w:cs="Courier New"/>
          <w:color w:val="FF0000"/>
          <w:sz w:val="24"/>
          <w:szCs w:val="24"/>
          <w:lang w:val="en-US" w:eastAsia="zh-CN"/>
        </w:rPr>
        <w:t>投标截止之前20日内网站</w:t>
      </w:r>
      <w:r>
        <w:rPr>
          <w:rFonts w:hint="eastAsia" w:ascii="宋体" w:hAnsi="宋体" w:cs="Courier New"/>
          <w:color w:val="FF0000"/>
          <w:sz w:val="24"/>
          <w:szCs w:val="24"/>
        </w:rPr>
        <w:t>页面</w:t>
      </w:r>
      <w:r>
        <w:rPr>
          <w:rFonts w:hint="eastAsia" w:ascii="宋体" w:hAnsi="宋体" w:cs="Courier New"/>
          <w:color w:val="FF0000"/>
          <w:sz w:val="24"/>
          <w:szCs w:val="24"/>
          <w:lang w:val="en-US" w:eastAsia="zh-CN"/>
        </w:rPr>
        <w:t>查询</w:t>
      </w:r>
      <w:r>
        <w:rPr>
          <w:rFonts w:hint="eastAsia" w:ascii="宋体" w:hAnsi="宋体" w:cs="Courier New"/>
          <w:color w:val="FF0000"/>
          <w:sz w:val="24"/>
          <w:szCs w:val="24"/>
        </w:rPr>
        <w:t>截图</w:t>
      </w:r>
      <w:r>
        <w:rPr>
          <w:rFonts w:hint="eastAsia" w:ascii="宋体" w:hAnsi="宋体" w:cs="Courier New"/>
          <w:sz w:val="24"/>
          <w:szCs w:val="24"/>
        </w:rPr>
        <w:t>；</w:t>
      </w:r>
    </w:p>
    <w:p>
      <w:pPr>
        <w:numPr>
          <w:ilvl w:val="0"/>
          <w:numId w:val="66"/>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66"/>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不符合联合体投标相关规定和要求的（适用于接受联合体投标的项目）；</w:t>
      </w:r>
    </w:p>
    <w:p>
      <w:pPr>
        <w:numPr>
          <w:ilvl w:val="0"/>
          <w:numId w:val="66"/>
        </w:numPr>
        <w:autoSpaceDE w:val="0"/>
        <w:autoSpaceDN w:val="0"/>
        <w:adjustRightInd w:val="0"/>
        <w:spacing w:line="360" w:lineRule="auto"/>
        <w:ind w:left="490" w:hanging="370"/>
        <w:rPr>
          <w:rFonts w:hAnsi="宋体" w:cs="Times New Roman"/>
          <w:sz w:val="24"/>
          <w:szCs w:val="24"/>
        </w:rPr>
      </w:pPr>
      <w:r>
        <w:rPr>
          <w:rFonts w:hint="eastAsia" w:ascii="宋体" w:hAnsi="宋体" w:cs="Courier New"/>
          <w:sz w:val="24"/>
          <w:szCs w:val="24"/>
        </w:rPr>
        <w:t>投标人认为需提供的其它相关资格证明材料。</w:t>
      </w:r>
    </w:p>
    <w:p>
      <w:pPr>
        <w:spacing w:line="360" w:lineRule="auto"/>
        <w:rPr>
          <w:rFonts w:ascii="宋体" w:hAnsi="宋体" w:cs="Times New Roman"/>
          <w:b/>
          <w:sz w:val="24"/>
          <w:szCs w:val="24"/>
        </w:rPr>
      </w:pPr>
      <w:r>
        <w:rPr>
          <w:rFonts w:hint="eastAsia" w:ascii="宋体" w:hAnsi="宋体" w:cs="Times New Roman"/>
          <w:b/>
          <w:kern w:val="0"/>
          <w:sz w:val="24"/>
          <w:szCs w:val="32"/>
        </w:rPr>
        <w:t>说明</w:t>
      </w:r>
      <w:r>
        <w:rPr>
          <w:rFonts w:hint="eastAsia" w:ascii="宋体" w:hAnsi="宋体" w:cs="Times New Roman"/>
          <w:b/>
          <w:sz w:val="24"/>
          <w:szCs w:val="24"/>
        </w:rPr>
        <w:t>：</w:t>
      </w:r>
      <w:r>
        <w:rPr>
          <w:rFonts w:hint="eastAsia" w:ascii="宋体" w:hAnsi="宋体" w:cs="Times New Roman"/>
          <w:sz w:val="24"/>
          <w:szCs w:val="24"/>
        </w:rPr>
        <w:t>1、以上材料提供不实的，按照《政府采购法》有关提供虚假材料的规定给予处罚；</w:t>
      </w:r>
    </w:p>
    <w:p>
      <w:pPr>
        <w:autoSpaceDE w:val="0"/>
        <w:autoSpaceDN w:val="0"/>
        <w:adjustRightInd w:val="0"/>
        <w:spacing w:line="360" w:lineRule="auto"/>
        <w:ind w:left="737" w:hanging="736" w:hangingChars="307"/>
        <w:rPr>
          <w:rFonts w:ascii="宋体" w:hAnsi="宋体" w:cs="Times New Roman"/>
          <w:b/>
          <w:sz w:val="24"/>
          <w:szCs w:val="24"/>
        </w:rPr>
      </w:pPr>
      <w:r>
        <w:rPr>
          <w:rFonts w:hint="eastAsia" w:ascii="宋体" w:hAnsi="宋体" w:cs="Times New Roman"/>
          <w:sz w:val="24"/>
          <w:szCs w:val="24"/>
        </w:rPr>
        <w:t>2、资格证明文件正本应为</w:t>
      </w:r>
      <w:r>
        <w:rPr>
          <w:rFonts w:hint="eastAsia" w:ascii="宋体" w:hAnsi="宋体" w:cs="Times New Roman"/>
          <w:color w:val="FF0000"/>
          <w:sz w:val="24"/>
          <w:szCs w:val="24"/>
          <w:shd w:val="clear"/>
          <w:lang w:val="en-US" w:eastAsia="zh-CN"/>
        </w:rPr>
        <w:t>真彩扫描件</w:t>
      </w:r>
      <w:r>
        <w:rPr>
          <w:rFonts w:hint="eastAsia" w:ascii="宋体" w:hAnsi="宋体" w:cs="Times New Roman"/>
          <w:sz w:val="24"/>
          <w:szCs w:val="24"/>
        </w:rPr>
        <w:t>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cs="Times New Roman"/>
          <w:b/>
          <w:sz w:val="24"/>
          <w:szCs w:val="24"/>
        </w:rPr>
        <w:t>。</w:t>
      </w:r>
      <w:bookmarkStart w:id="83" w:name="_Toc24442"/>
    </w:p>
    <w:p>
      <w:pPr>
        <w:rPr>
          <w:rFonts w:ascii="黑体" w:hAnsi="黑体" w:eastAsia="黑体" w:cs="Times New Roman"/>
          <w:bCs/>
          <w:sz w:val="36"/>
          <w:szCs w:val="36"/>
        </w:rPr>
      </w:pPr>
      <w:r>
        <w:rPr>
          <w:rFonts w:hint="eastAsia" w:ascii="黑体" w:hAnsi="黑体" w:eastAsia="黑体" w:cs="Times New Roman"/>
          <w:bCs/>
          <w:sz w:val="36"/>
          <w:szCs w:val="36"/>
        </w:rPr>
        <w:t>附：</w:t>
      </w:r>
    </w:p>
    <w:p>
      <w:pPr>
        <w:rPr>
          <w:rFonts w:ascii="黑体" w:hAnsi="黑体" w:eastAsia="黑体" w:cs="Times New Roman"/>
          <w:bCs/>
          <w:sz w:val="36"/>
          <w:szCs w:val="36"/>
        </w:rPr>
      </w:pPr>
      <w:r>
        <w:rPr>
          <w:rFonts w:hint="eastAsia" w:ascii="黑体" w:hAnsi="黑体" w:eastAsia="黑体" w:cs="Times New Roman"/>
          <w:bCs/>
          <w:sz w:val="36"/>
          <w:szCs w:val="36"/>
        </w:rPr>
        <w:t>无重大违法记录声明函格式</w:t>
      </w:r>
      <w:bookmarkEnd w:id="83"/>
    </w:p>
    <w:p>
      <w:pPr>
        <w:jc w:val="center"/>
        <w:rPr>
          <w:rFonts w:ascii="宋体" w:hAnsi="宋体"/>
          <w:b/>
          <w:sz w:val="30"/>
          <w:szCs w:val="30"/>
        </w:rPr>
      </w:pPr>
      <w:r>
        <w:rPr>
          <w:rFonts w:hint="eastAsia" w:ascii="宋体" w:hAnsi="宋体"/>
          <w:b/>
          <w:sz w:val="28"/>
          <w:szCs w:val="30"/>
        </w:rPr>
        <w:t>参加政府采购活动前三年内在经营活动中没有重大违法记录的书面声明函</w:t>
      </w:r>
    </w:p>
    <w:p>
      <w:pPr>
        <w:spacing w:line="360" w:lineRule="auto"/>
        <w:rPr>
          <w:rFonts w:ascii="宋体" w:hAnsi="宋体" w:cs="Times New Roman"/>
          <w:b/>
          <w:sz w:val="28"/>
          <w:szCs w:val="28"/>
        </w:rPr>
      </w:pPr>
    </w:p>
    <w:p>
      <w:pPr>
        <w:spacing w:line="360" w:lineRule="auto"/>
        <w:rPr>
          <w:rFonts w:ascii="宋体" w:hAnsi="宋体" w:cs="Times New Roman"/>
          <w:b/>
          <w:sz w:val="28"/>
          <w:szCs w:val="28"/>
        </w:rPr>
      </w:pPr>
      <w:r>
        <w:rPr>
          <w:rFonts w:hint="eastAsia" w:ascii="宋体" w:hAnsi="宋体" w:cs="Times New Roman"/>
          <w:b/>
          <w:sz w:val="28"/>
          <w:szCs w:val="28"/>
        </w:rPr>
        <w:t>XXXXXX：</w:t>
      </w:r>
    </w:p>
    <w:p>
      <w:pPr>
        <w:spacing w:line="360" w:lineRule="auto"/>
        <w:ind w:firstLine="480" w:firstLineChars="200"/>
        <w:rPr>
          <w:rFonts w:ascii="宋体" w:hAnsi="宋体"/>
          <w:bCs/>
          <w:sz w:val="24"/>
          <w:szCs w:val="24"/>
        </w:rPr>
      </w:pPr>
      <w:r>
        <w:rPr>
          <w:rFonts w:hint="eastAsia" w:ascii="宋体" w:hAnsi="宋体"/>
          <w:bCs/>
          <w:sz w:val="24"/>
          <w:szCs w:val="24"/>
          <w:u w:val="single"/>
        </w:rPr>
        <w:t xml:space="preserve">   (投标人全称)  </w:t>
      </w:r>
      <w:r>
        <w:rPr>
          <w:rFonts w:hint="eastAsia" w:ascii="宋体" w:hAnsi="宋体"/>
          <w:bCs/>
          <w:sz w:val="24"/>
          <w:szCs w:val="24"/>
        </w:rPr>
        <w:t>参加贵中心组织的</w:t>
      </w:r>
      <w:r>
        <w:rPr>
          <w:rFonts w:hint="eastAsia" w:ascii="宋体" w:hAnsi="宋体"/>
          <w:bCs/>
          <w:sz w:val="24"/>
          <w:szCs w:val="24"/>
          <w:u w:val="single"/>
        </w:rPr>
        <w:t xml:space="preserve"> </w:t>
      </w:r>
      <w:r>
        <w:rPr>
          <w:rFonts w:hint="eastAsia" w:ascii="宋体" w:hAnsi="宋体" w:cs="Times New Roman"/>
          <w:sz w:val="24"/>
          <w:szCs w:val="24"/>
          <w:u w:val="single"/>
        </w:rPr>
        <w:t>（项目名称）</w:t>
      </w:r>
      <w:r>
        <w:rPr>
          <w:rFonts w:hint="eastAsia" w:ascii="宋体" w:hAnsi="宋体"/>
          <w:bCs/>
          <w:sz w:val="24"/>
          <w:szCs w:val="24"/>
          <w:u w:val="single"/>
        </w:rPr>
        <w:t xml:space="preserve"> </w:t>
      </w:r>
      <w:r>
        <w:rPr>
          <w:rFonts w:hint="eastAsia" w:ascii="宋体" w:hAnsi="宋体"/>
          <w:bCs/>
          <w:sz w:val="24"/>
          <w:szCs w:val="24"/>
        </w:rPr>
        <w:t>项目(项目编号：</w:t>
      </w:r>
      <w:r>
        <w:rPr>
          <w:rFonts w:hint="eastAsia" w:ascii="宋体" w:hAnsi="宋体"/>
          <w:bCs/>
          <w:sz w:val="24"/>
          <w:szCs w:val="24"/>
          <w:u w:val="single"/>
        </w:rPr>
        <w:t xml:space="preserve">          </w:t>
      </w:r>
      <w:r>
        <w:rPr>
          <w:rFonts w:hint="eastAsia" w:ascii="宋体" w:hAnsi="宋体"/>
          <w:bCs/>
          <w:sz w:val="24"/>
          <w:szCs w:val="24"/>
        </w:rPr>
        <w:t>)的政府采购活动，根据招标文件的规定提交相关资格证明文件。本单位郑重声明如下：</w:t>
      </w:r>
    </w:p>
    <w:p>
      <w:pPr>
        <w:pStyle w:val="51"/>
        <w:numPr>
          <w:ilvl w:val="1"/>
          <w:numId w:val="78"/>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51"/>
        <w:numPr>
          <w:ilvl w:val="1"/>
          <w:numId w:val="78"/>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参加本项目政府采购活动前三年内，本单位未受到过全国</w:t>
      </w:r>
      <w:r>
        <w:rPr>
          <w:rFonts w:ascii="宋体" w:hAnsi="宋体"/>
          <w:bCs/>
          <w:sz w:val="24"/>
          <w:szCs w:val="24"/>
        </w:rPr>
        <w:t>各级人民政府财政部门依法</w:t>
      </w:r>
      <w:r>
        <w:rPr>
          <w:rFonts w:hint="eastAsia" w:ascii="宋体" w:hAnsi="宋体"/>
          <w:bCs/>
          <w:sz w:val="24"/>
          <w:szCs w:val="24"/>
        </w:rPr>
        <w:t>作</w:t>
      </w:r>
      <w:r>
        <w:rPr>
          <w:rFonts w:ascii="宋体" w:hAnsi="宋体"/>
          <w:bCs/>
          <w:sz w:val="24"/>
          <w:szCs w:val="24"/>
        </w:rPr>
        <w:t>出的禁止参加政府采购活动等行政处罚决定</w:t>
      </w:r>
      <w:r>
        <w:rPr>
          <w:rFonts w:hint="eastAsia" w:ascii="宋体" w:hAnsi="宋体"/>
          <w:bCs/>
          <w:sz w:val="24"/>
          <w:szCs w:val="24"/>
        </w:rPr>
        <w:t>；</w:t>
      </w:r>
    </w:p>
    <w:p>
      <w:pPr>
        <w:pStyle w:val="51"/>
        <w:numPr>
          <w:ilvl w:val="1"/>
          <w:numId w:val="78"/>
        </w:numPr>
        <w:tabs>
          <w:tab w:val="left" w:pos="854"/>
        </w:tabs>
        <w:spacing w:line="360" w:lineRule="auto"/>
        <w:ind w:left="11" w:firstLine="480"/>
        <w:rPr>
          <w:rFonts w:ascii="宋体" w:hAns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sz w:val="24"/>
          <w:szCs w:val="24"/>
        </w:rPr>
      </w:pPr>
    </w:p>
    <w:p>
      <w:pPr>
        <w:tabs>
          <w:tab w:val="left" w:pos="854"/>
        </w:tabs>
        <w:spacing w:line="360" w:lineRule="auto"/>
        <w:rPr>
          <w:rFonts w:ascii="宋体" w:hAnsi="宋体"/>
          <w:bCs/>
          <w:sz w:val="24"/>
          <w:szCs w:val="24"/>
        </w:rPr>
      </w:pPr>
    </w:p>
    <w:p>
      <w:pPr>
        <w:spacing w:before="100" w:beforeAutospacing="1" w:after="100" w:afterAutospacing="1" w:line="360" w:lineRule="auto"/>
        <w:ind w:firstLine="3316" w:firstLineChars="1382"/>
        <w:rPr>
          <w:rFonts w:ascii="宋体" w:hAnsi="宋体" w:cs="Times New Roman"/>
          <w:bCs/>
          <w:sz w:val="24"/>
          <w:szCs w:val="21"/>
          <w:u w:val="single"/>
        </w:rPr>
      </w:pPr>
      <w:r>
        <w:rPr>
          <w:rFonts w:hint="eastAsia" w:ascii="宋体" w:hAnsi="宋体" w:cs="Times New Roman"/>
          <w:bCs/>
          <w:sz w:val="24"/>
          <w:szCs w:val="21"/>
        </w:rPr>
        <w:t>投标人 (公章)：</w:t>
      </w:r>
      <w:r>
        <w:rPr>
          <w:rFonts w:hint="eastAsia" w:ascii="宋体" w:hAnsi="宋体" w:cs="Times New Roman"/>
          <w:bCs/>
          <w:sz w:val="24"/>
          <w:szCs w:val="21"/>
          <w:u w:val="single"/>
        </w:rPr>
        <w:t xml:space="preserve">                      </w:t>
      </w:r>
    </w:p>
    <w:p>
      <w:pPr>
        <w:spacing w:before="100" w:beforeAutospacing="1" w:after="100" w:afterAutospacing="1" w:line="360" w:lineRule="auto"/>
        <w:ind w:firstLine="3316" w:firstLineChars="1382"/>
        <w:rPr>
          <w:rFonts w:ascii="宋体" w:hAnsi="宋体" w:cs="Times New Roman"/>
          <w:bCs/>
          <w:sz w:val="24"/>
          <w:szCs w:val="21"/>
          <w:u w:val="single"/>
        </w:rPr>
      </w:pPr>
      <w:r>
        <w:rPr>
          <w:rFonts w:hint="eastAsia" w:ascii="宋体" w:hAnsi="宋体" w:cs="Times New Roman"/>
          <w:bCs/>
          <w:sz w:val="24"/>
          <w:szCs w:val="21"/>
        </w:rPr>
        <w:t>投标人授权代表（签字）：</w:t>
      </w:r>
      <w:r>
        <w:rPr>
          <w:rFonts w:hint="eastAsia" w:ascii="宋体" w:hAnsi="宋体" w:cs="Times New Roman"/>
          <w:bCs/>
          <w:sz w:val="24"/>
          <w:szCs w:val="21"/>
          <w:u w:val="single"/>
        </w:rPr>
        <w:t xml:space="preserve">                  </w:t>
      </w:r>
    </w:p>
    <w:p>
      <w:pPr>
        <w:spacing w:before="100" w:beforeAutospacing="1" w:after="100" w:afterAutospacing="1" w:line="360" w:lineRule="auto"/>
        <w:ind w:firstLine="3316" w:firstLineChars="1382"/>
      </w:pPr>
      <w:r>
        <w:rPr>
          <w:rFonts w:hint="eastAsia" w:hAnsi="宋体" w:cs="Times New Roman"/>
          <w:sz w:val="24"/>
          <w:szCs w:val="24"/>
        </w:rPr>
        <w:t>日   期：</w:t>
      </w:r>
      <w:r>
        <w:rPr>
          <w:rFonts w:hint="eastAsia" w:ascii="宋体" w:hAnsi="宋体" w:cs="Times New Roman"/>
          <w:bCs/>
          <w:sz w:val="24"/>
          <w:szCs w:val="21"/>
          <w:u w:val="single"/>
        </w:rPr>
        <w:t xml:space="preserve">                                </w:t>
      </w:r>
    </w:p>
    <w:p>
      <w:pPr>
        <w:autoSpaceDE w:val="0"/>
        <w:autoSpaceDN w:val="0"/>
        <w:adjustRightInd w:val="0"/>
        <w:spacing w:line="360" w:lineRule="auto"/>
        <w:ind w:left="734" w:leftChars="346" w:hanging="8" w:hangingChars="3"/>
        <w:rPr>
          <w:rFonts w:ascii="宋体" w:hAnsi="宋体" w:cs="Times New Roman"/>
          <w:b/>
          <w:sz w:val="24"/>
          <w:szCs w:val="24"/>
        </w:rPr>
      </w:pPr>
      <w:r>
        <w:rPr>
          <w:rFonts w:eastAsia="黑体"/>
          <w:b/>
          <w:iCs/>
          <w:kern w:val="0"/>
          <w:sz w:val="28"/>
        </w:rPr>
        <w:br w:type="page"/>
      </w:r>
    </w:p>
    <w:p>
      <w:pPr>
        <w:spacing w:before="120" w:after="120" w:line="578" w:lineRule="auto"/>
        <w:jc w:val="center"/>
        <w:rPr>
          <w:rFonts w:ascii="黑体" w:hAnsi="黑体" w:eastAsia="黑体" w:cs="Times New Roman"/>
          <w:b/>
          <w:sz w:val="36"/>
          <w:szCs w:val="36"/>
        </w:rPr>
      </w:pPr>
      <w:bookmarkStart w:id="84" w:name="_Toc494665948"/>
      <w:bookmarkStart w:id="85" w:name="_Toc494665551"/>
      <w:bookmarkStart w:id="86" w:name="_Toc494664998"/>
      <w:bookmarkStart w:id="87" w:name="_Toc494745315"/>
      <w:bookmarkStart w:id="88" w:name="_Toc494721098"/>
      <w:bookmarkStart w:id="89" w:name="_Toc494702268"/>
      <w:r>
        <w:rPr>
          <w:rFonts w:hint="eastAsia" w:ascii="黑体" w:hAnsi="黑体" w:eastAsia="黑体" w:cs="Times New Roman"/>
          <w:b/>
          <w:sz w:val="36"/>
          <w:szCs w:val="36"/>
        </w:rPr>
        <w:t>第二部分 商务文件组成</w:t>
      </w:r>
      <w:bookmarkEnd w:id="84"/>
      <w:bookmarkEnd w:id="85"/>
      <w:bookmarkEnd w:id="86"/>
      <w:bookmarkEnd w:id="87"/>
      <w:bookmarkEnd w:id="88"/>
      <w:bookmarkEnd w:id="89"/>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由各投标人根据参考格式要求自行编写。具体内容应包括但不限于以下内容：</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投标书（附件一）；</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中小企业声明函（附件二）；</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残疾人福利性单位声明函（附件三，不符合的无需提供）</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开标一览表（附件四）；</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投标报价明细表（附件五）；</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法定代表人授权书（附件六）；</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  其他注意事项”中规定禁止情形的书面声明；</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投标人的资格声明（附件七）；</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项目负责人、技术负责人简历表（附件八）；</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项目班子成员情况表（附件九）；</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符合性审查对照表（附件十一）；</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商务要求响应、偏离说明表（附件十二）；</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商务要求“★”号条款响应、偏离说明表（附件十三）</w:t>
      </w: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商务评议对照表（附件十四）。</w:t>
      </w:r>
    </w:p>
    <w:p>
      <w:pPr>
        <w:autoSpaceDE w:val="0"/>
        <w:autoSpaceDN w:val="0"/>
        <w:adjustRightInd w:val="0"/>
        <w:spacing w:line="360" w:lineRule="auto"/>
        <w:ind w:left="120"/>
        <w:rPr>
          <w:rFonts w:ascii="宋体" w:hAnsi="宋体" w:eastAsia="宋体" w:cs="Courier New"/>
          <w:color w:val="0D0D0D"/>
          <w:sz w:val="24"/>
          <w:szCs w:val="24"/>
        </w:rPr>
      </w:pPr>
    </w:p>
    <w:p>
      <w:pPr>
        <w:numPr>
          <w:ilvl w:val="0"/>
          <w:numId w:val="7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br w:type="page"/>
      </w:r>
    </w:p>
    <w:p>
      <w:pPr>
        <w:spacing w:before="120" w:after="120" w:line="578" w:lineRule="auto"/>
        <w:jc w:val="center"/>
        <w:rPr>
          <w:rFonts w:ascii="黑体" w:hAnsi="黑体" w:eastAsia="黑体" w:cs="Times New Roman"/>
          <w:b/>
          <w:color w:val="000000" w:themeColor="text1"/>
          <w:sz w:val="44"/>
          <w:szCs w:val="44"/>
          <w14:textFill>
            <w14:solidFill>
              <w14:schemeClr w14:val="tx1"/>
            </w14:solidFill>
          </w14:textFill>
        </w:rPr>
      </w:pPr>
      <w:bookmarkStart w:id="90" w:name="_Toc494702270"/>
      <w:bookmarkStart w:id="91" w:name="_Toc494721100"/>
      <w:bookmarkStart w:id="92" w:name="_Toc494745317"/>
      <w:bookmarkStart w:id="93" w:name="_Toc494665553"/>
      <w:bookmarkStart w:id="94" w:name="_Toc494665000"/>
      <w:bookmarkStart w:id="95" w:name="_Toc494665950"/>
      <w:r>
        <w:rPr>
          <w:rFonts w:hint="eastAsia" w:ascii="黑体" w:hAnsi="黑体" w:eastAsia="黑体" w:cs="Times New Roman"/>
          <w:b/>
          <w:bCs/>
          <w:color w:val="000000" w:themeColor="text1"/>
          <w:sz w:val="36"/>
          <w:szCs w:val="36"/>
          <w:lang w:val="zh-CN"/>
          <w14:textFill>
            <w14:solidFill>
              <w14:schemeClr w14:val="tx1"/>
            </w14:solidFill>
          </w14:textFill>
        </w:rPr>
        <w:t xml:space="preserve">第三部分 </w:t>
      </w:r>
      <w:r>
        <w:rPr>
          <w:rFonts w:ascii="黑体" w:hAnsi="黑体" w:eastAsia="黑体" w:cs="Times New Roman"/>
          <w:b/>
          <w:bCs/>
          <w:color w:val="000000" w:themeColor="text1"/>
          <w:sz w:val="36"/>
          <w:szCs w:val="36"/>
          <w:lang w:val="zh-CN"/>
          <w14:textFill>
            <w14:solidFill>
              <w14:schemeClr w14:val="tx1"/>
            </w14:solidFill>
          </w14:textFill>
        </w:rPr>
        <w:t xml:space="preserve"> </w:t>
      </w:r>
      <w:r>
        <w:rPr>
          <w:rFonts w:hint="eastAsia" w:ascii="黑体" w:hAnsi="黑体" w:eastAsia="黑体" w:cs="Times New Roman"/>
          <w:b/>
          <w:bCs/>
          <w:color w:val="000000" w:themeColor="text1"/>
          <w:sz w:val="36"/>
          <w:szCs w:val="36"/>
          <w:lang w:val="zh-CN"/>
          <w14:textFill>
            <w14:solidFill>
              <w14:schemeClr w14:val="tx1"/>
            </w14:solidFill>
          </w14:textFill>
        </w:rPr>
        <w:t>技术</w:t>
      </w:r>
      <w:r>
        <w:rPr>
          <w:rFonts w:hint="eastAsia" w:ascii="黑体" w:hAnsi="黑体" w:eastAsia="黑体" w:cs="Times New Roman"/>
          <w:b/>
          <w:color w:val="000000" w:themeColor="text1"/>
          <w:sz w:val="36"/>
          <w:szCs w:val="36"/>
          <w14:textFill>
            <w14:solidFill>
              <w14:schemeClr w14:val="tx1"/>
            </w14:solidFill>
          </w14:textFill>
        </w:rPr>
        <w:t>、服务文件组成</w:t>
      </w:r>
      <w:bookmarkEnd w:id="90"/>
      <w:bookmarkEnd w:id="91"/>
      <w:bookmarkEnd w:id="92"/>
      <w:bookmarkEnd w:id="93"/>
      <w:bookmarkEnd w:id="94"/>
      <w:bookmarkEnd w:id="95"/>
    </w:p>
    <w:p>
      <w:pPr>
        <w:numPr>
          <w:ilvl w:val="0"/>
          <w:numId w:val="8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由各投标人根据参考格式要求自行编写。具体内容应包括但不限于以下内容：</w:t>
      </w:r>
    </w:p>
    <w:p>
      <w:pPr>
        <w:numPr>
          <w:ilvl w:val="0"/>
          <w:numId w:val="8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8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技术、服务要求响应、偏离说明表（附件十五）；</w:t>
      </w:r>
    </w:p>
    <w:p>
      <w:pPr>
        <w:numPr>
          <w:ilvl w:val="0"/>
          <w:numId w:val="8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技术、服务要求“★”号条款响应、偏离说明表（附件十六）；</w:t>
      </w:r>
    </w:p>
    <w:p>
      <w:pPr>
        <w:numPr>
          <w:ilvl w:val="0"/>
          <w:numId w:val="8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技术、服务评议对照表（附件十七）；</w:t>
      </w:r>
    </w:p>
    <w:p>
      <w:pPr>
        <w:numPr>
          <w:ilvl w:val="0"/>
          <w:numId w:val="8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5"/>
        <w:numPr>
          <w:ilvl w:val="0"/>
          <w:numId w:val="81"/>
        </w:numPr>
        <w:spacing w:before="100" w:beforeAutospacing="1" w:afterLines="50" w:line="360" w:lineRule="auto"/>
        <w:ind w:left="3388" w:hanging="1288"/>
        <w:jc w:val="left"/>
        <w:rPr>
          <w:rFonts w:ascii="宋体" w:hAnsi="宋体" w:eastAsia="宋体"/>
        </w:rPr>
      </w:pPr>
      <w:bookmarkStart w:id="96" w:name="_Toc236473298"/>
      <w:bookmarkStart w:id="97" w:name="_Toc494665001"/>
      <w:bookmarkStart w:id="98" w:name="_Toc494665951"/>
      <w:bookmarkStart w:id="99" w:name="_Toc26727"/>
      <w:bookmarkStart w:id="100" w:name="_Toc494721101"/>
      <w:bookmarkStart w:id="101" w:name="_Toc494665554"/>
      <w:bookmarkStart w:id="102" w:name="_Toc494702271"/>
      <w:bookmarkStart w:id="103" w:name="_Toc494745318"/>
      <w:bookmarkStart w:id="104" w:name="_Toc238276242"/>
      <w:r>
        <w:rPr>
          <w:rFonts w:hint="eastAsia" w:ascii="宋体" w:hAnsi="宋体" w:eastAsia="宋体"/>
        </w:rPr>
        <w:t>投标书</w:t>
      </w:r>
      <w:bookmarkEnd w:id="96"/>
      <w:bookmarkEnd w:id="97"/>
      <w:bookmarkEnd w:id="98"/>
      <w:bookmarkEnd w:id="99"/>
      <w:bookmarkEnd w:id="100"/>
      <w:bookmarkEnd w:id="101"/>
      <w:bookmarkEnd w:id="102"/>
      <w:bookmarkEnd w:id="103"/>
      <w:bookmarkEnd w:id="104"/>
    </w:p>
    <w:p>
      <w:pPr>
        <w:spacing w:line="360" w:lineRule="auto"/>
        <w:rPr>
          <w:b/>
          <w:sz w:val="28"/>
          <w:szCs w:val="28"/>
        </w:rPr>
      </w:pPr>
      <w:r>
        <w:rPr>
          <w:rFonts w:hint="eastAsia" w:ascii="宋体" w:hAnsi="宋体" w:eastAsia="宋体" w:cs="宋体"/>
          <w:b/>
          <w:bCs/>
          <w:sz w:val="24"/>
          <w:szCs w:val="24"/>
          <w:lang w:eastAsia="zh-CN"/>
        </w:rPr>
        <w:t>金策工程管理有限公司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w:t>
      </w:r>
      <w:r>
        <w:rPr>
          <w:rFonts w:hint="eastAsia" w:ascii="宋体" w:hAnsi="宋体" w:eastAsia="宋体" w:cs="宋体"/>
          <w:color w:val="0000FF"/>
          <w:spacing w:val="-1"/>
          <w:kern w:val="0"/>
          <w:sz w:val="24"/>
          <w:lang w:bidi="zh-CN"/>
        </w:rPr>
        <w:t>）的全部内容，愿意</w:t>
      </w:r>
      <w:r>
        <w:rPr>
          <w:rFonts w:hint="eastAsia" w:ascii="宋体" w:hAnsi="宋体" w:eastAsia="宋体" w:cs="宋体"/>
          <w:color w:val="0000FF"/>
          <w:spacing w:val="-1"/>
          <w:kern w:val="0"/>
          <w:sz w:val="24"/>
          <w:lang w:val="zh-CN" w:bidi="zh-CN"/>
        </w:rPr>
        <w:t>以阳新县长江大保护水环境综合治理PPP项目(一期工程)建设项目中标价中建安工程费的11个单项分别作为计费基数（新建部分，不含存量工程），参照湖北省物价局和湖北省住房和城乡建设局关于印发《工程造价咨询服务收费标准》的通知（鄂价工服规【2012】149号）计算后的基准价，</w:t>
      </w:r>
      <w:r>
        <w:rPr>
          <w:rFonts w:hint="eastAsia" w:ascii="宋体" w:hAnsi="宋体" w:eastAsia="宋体" w:cs="宋体"/>
          <w:color w:val="0000FF"/>
          <w:spacing w:val="-1"/>
          <w:kern w:val="0"/>
          <w:sz w:val="24"/>
          <w:lang w:val="zh-CN" w:eastAsia="zh-CN" w:bidi="zh-CN"/>
        </w:rPr>
        <w:t>下浮30%，（</w:t>
      </w:r>
      <w:r>
        <w:rPr>
          <w:rFonts w:hint="eastAsia" w:ascii="宋体" w:hAnsi="宋体" w:eastAsia="宋体" w:cs="宋体"/>
          <w:color w:val="0000FF"/>
          <w:spacing w:val="-1"/>
          <w:kern w:val="0"/>
          <w:sz w:val="24"/>
          <w:lang w:val="en-US" w:eastAsia="zh-CN" w:bidi="zh-CN"/>
        </w:rPr>
        <w:t>报下浮率）</w:t>
      </w:r>
      <w:r>
        <w:rPr>
          <w:rFonts w:hint="eastAsia" w:ascii="宋体" w:hAnsi="宋体" w:eastAsia="宋体" w:cs="宋体"/>
          <w:color w:val="0000FF"/>
          <w:spacing w:val="-1"/>
          <w:kern w:val="0"/>
          <w:sz w:val="24"/>
          <w:lang w:val="hr-HR" w:bidi="zh-CN"/>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5"/>
        <w:numPr>
          <w:ilvl w:val="0"/>
          <w:numId w:val="81"/>
        </w:numPr>
        <w:spacing w:before="100" w:beforeAutospacing="1" w:afterLines="50" w:line="360" w:lineRule="auto"/>
        <w:ind w:left="3388" w:hanging="1288"/>
        <w:rPr>
          <w:rFonts w:ascii="宋体" w:hAnsi="宋体" w:eastAsia="宋体"/>
        </w:rPr>
      </w:pPr>
      <w:bookmarkStart w:id="105" w:name="_Toc26939"/>
      <w:bookmarkStart w:id="106" w:name="_Toc494665003"/>
      <w:bookmarkStart w:id="107" w:name="_Toc494665556"/>
      <w:bookmarkStart w:id="108" w:name="_Toc494745320"/>
      <w:bookmarkStart w:id="109" w:name="_Toc494665953"/>
      <w:bookmarkStart w:id="110" w:name="_Toc494721103"/>
      <w:bookmarkStart w:id="111" w:name="_Toc494702273"/>
      <w:bookmarkStart w:id="112" w:name="_Toc456264006"/>
      <w:r>
        <w:rPr>
          <w:rFonts w:hint="eastAsia" w:ascii="宋体" w:hAnsi="宋体" w:eastAsia="宋体"/>
        </w:rPr>
        <w:t>中小企业声明函</w:t>
      </w:r>
      <w:bookmarkEnd w:id="105"/>
      <w:bookmarkEnd w:id="106"/>
      <w:bookmarkEnd w:id="107"/>
      <w:bookmarkEnd w:id="108"/>
      <w:bookmarkEnd w:id="109"/>
      <w:bookmarkEnd w:id="110"/>
      <w:bookmarkEnd w:id="111"/>
      <w:bookmarkEnd w:id="112"/>
    </w:p>
    <w:p>
      <w:pPr>
        <w:jc w:val="center"/>
        <w:rPr>
          <w:rFonts w:ascii="宋体" w:hAnsi="宋体"/>
          <w:sz w:val="28"/>
          <w:szCs w:val="28"/>
        </w:rPr>
      </w:pPr>
      <w:r>
        <w:rPr>
          <w:rFonts w:hint="eastAsia" w:ascii="宋体" w:hAnsi="宋体"/>
          <w:b/>
          <w:sz w:val="30"/>
          <w:szCs w:val="30"/>
        </w:rPr>
        <w:t>中小企业声明函</w:t>
      </w:r>
      <w:r>
        <w:rPr>
          <w:rFonts w:hint="eastAsia" w:ascii="宋体" w:hAnsi="宋体"/>
          <w:sz w:val="28"/>
          <w:szCs w:val="28"/>
        </w:rPr>
        <w:t>（工程、服务）</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本公司（联合体）郑重声明，根据《政府采购促进中小企业发展管理办法》（财库﹝2020﹞46号）的规定，本公司（联合体）参加</w:t>
      </w:r>
      <w:r>
        <w:rPr>
          <w:rFonts w:hint="eastAsia"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为万元，资产总额为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万元1，属于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以上企业，不属于大企业的分支机构，不存在控股股东为大企业的情形，也不存在与大企业的负责人为同一人的情形。</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本企业对上述声明内容的真实性负责。如有虚假，将依法承担相应责任。 </w:t>
      </w:r>
    </w:p>
    <w:p>
      <w:pPr>
        <w:spacing w:line="540" w:lineRule="exact"/>
        <w:rPr>
          <w:sz w:val="24"/>
          <w:szCs w:val="24"/>
        </w:rPr>
      </w:pP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企业名称（盖章）： </w:t>
      </w:r>
    </w:p>
    <w:p>
      <w:pPr>
        <w:widowControl/>
        <w:spacing w:line="54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pPr>
        <w:spacing w:line="540" w:lineRule="exact"/>
        <w:rPr>
          <w:sz w:val="24"/>
          <w:szCs w:val="24"/>
        </w:rPr>
      </w:pPr>
    </w:p>
    <w:p>
      <w:pP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130175</wp:posOffset>
                </wp:positionV>
                <wp:extent cx="4624070" cy="4445"/>
                <wp:effectExtent l="0" t="0" r="0" b="0"/>
                <wp:wrapNone/>
                <wp:docPr id="4" name="直接连接符 4"/>
                <wp:cNvGraphicFramePr/>
                <a:graphic xmlns:a="http://schemas.openxmlformats.org/drawingml/2006/main">
                  <a:graphicData uri="http://schemas.microsoft.com/office/word/2010/wordprocessingShape">
                    <wps:wsp>
                      <wps:cNvCnPr/>
                      <wps:spPr>
                        <a:xfrm flipV="1">
                          <a:off x="908685" y="9592945"/>
                          <a:ext cx="4624070" cy="444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7pt;margin-top:10.25pt;height:0.35pt;width:364.1pt;z-index:251661312;mso-width-relative:page;mso-height-relative:page;" filled="f" stroked="t" coordsize="21600,21600" o:gfxdata="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lbLL9QAAAAHAQAADwAAAAAAAAABACAAAAAiAAAAZHJzL2Rvd25yZXYu&#10;eG1sUEsBAhQAFAAAAAgAh07iQD2YFSz/AQAA1wMAAA4AAAAAAAAAAQAgAAAAIwEAAGRycy9lMm9E&#10;b2MueG1sUEsFBgAAAAAGAAYAWQEAAJQFAAAAAA==&#10;">
                <v:fill on="f" focussize="0,0"/>
                <v:stroke weight="0.5pt" color="#000000" miterlimit="8" joinstyle="miter"/>
                <v:imagedata o:title=""/>
                <o:lock v:ext="edit" aspectratio="f"/>
              </v:line>
            </w:pict>
          </mc:Fallback>
        </mc:AlternateContent>
      </w:r>
    </w:p>
    <w:p>
      <w:pPr>
        <w:widowControl/>
        <w:jc w:val="left"/>
        <w:rPr>
          <w:rFonts w:ascii="宋体" w:hAnsi="宋体" w:eastAsia="宋体" w:cs="宋体"/>
        </w:rPr>
        <w:sectPr>
          <w:footerReference r:id="rId5" w:type="default"/>
          <w:pgSz w:w="11906" w:h="16838"/>
          <w:pgMar w:top="1020" w:right="1417" w:bottom="1020" w:left="1587" w:header="851" w:footer="624" w:gutter="0"/>
          <w:cols w:space="425" w:num="1"/>
          <w:docGrid w:type="linesAndChars" w:linePitch="312" w:charSpace="0"/>
        </w:sectPr>
      </w:pPr>
      <w:r>
        <w:rPr>
          <w:rFonts w:hint="eastAsia" w:ascii="宋体" w:hAnsi="宋体" w:eastAsia="宋体" w:cs="宋体"/>
          <w:color w:val="000000"/>
          <w:kern w:val="0"/>
          <w:sz w:val="18"/>
          <w:szCs w:val="18"/>
        </w:rPr>
        <w:t>注：从业人员、营业收入、资产总额填报上一年度数据，无上一年度数据的新成立企业可不填报。</w:t>
      </w:r>
      <w:r>
        <w:rPr>
          <w:rFonts w:hint="eastAsia" w:ascii="宋体" w:hAnsi="宋体" w:eastAsia="宋体" w:cs="宋体"/>
        </w:rPr>
        <w:br w:type="page"/>
      </w:r>
    </w:p>
    <w:p>
      <w:pPr>
        <w:tabs>
          <w:tab w:val="left" w:pos="2730"/>
        </w:tabs>
      </w:pPr>
    </w:p>
    <w:p>
      <w:pPr>
        <w:tabs>
          <w:tab w:val="left" w:pos="2730"/>
        </w:tabs>
      </w:pPr>
      <w:r>
        <w:tab/>
      </w:r>
    </w:p>
    <w:p>
      <w:pPr>
        <w:spacing w:line="240" w:lineRule="atLeast"/>
        <w:ind w:right="-65" w:rightChars="-31"/>
        <w:jc w:val="center"/>
        <w:rPr>
          <w:rFonts w:ascii="宋体" w:hAnsi="宋体" w:eastAsia="宋体" w:cs="Times New Roman"/>
          <w:b/>
          <w:sz w:val="30"/>
          <w:szCs w:val="30"/>
          <w:lang w:val="zh-CN"/>
        </w:rPr>
      </w:pPr>
      <w:bookmarkStart w:id="113" w:name="_Toc476153619"/>
      <w:r>
        <w:rPr>
          <w:rFonts w:hint="eastAsia" w:ascii="宋体" w:hAnsi="宋体" w:eastAsia="宋体" w:cs="Times New Roman"/>
          <w:b/>
          <w:sz w:val="30"/>
          <w:szCs w:val="30"/>
          <w:lang w:val="zh-CN"/>
        </w:rPr>
        <w:t>中小企业划型标准</w:t>
      </w:r>
      <w:bookmarkEnd w:id="113"/>
    </w:p>
    <w:tbl>
      <w:tblPr>
        <w:tblStyle w:val="25"/>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7" w:leftChars="-23" w:right="-65" w:rightChars="-31" w:hanging="165"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rPr>
          <w:rFonts w:ascii="宋体" w:hAnsi="宋体" w:eastAsia="宋体"/>
        </w:rPr>
        <w:sectPr>
          <w:headerReference r:id="rId6" w:type="default"/>
          <w:footerReference r:id="rId7" w:type="default"/>
          <w:pgSz w:w="16838" w:h="11906" w:orient="landscape"/>
          <w:pgMar w:top="720" w:right="720" w:bottom="720" w:left="720" w:header="851" w:footer="851" w:gutter="0"/>
          <w:cols w:space="425" w:num="1"/>
          <w:docGrid w:type="linesAndChars" w:linePitch="312" w:charSpace="0"/>
        </w:sectPr>
      </w:pPr>
      <w:bookmarkStart w:id="114" w:name="_Toc494745321"/>
      <w:bookmarkStart w:id="115" w:name="_Toc494721104"/>
      <w:bookmarkStart w:id="116" w:name="_Toc494665557"/>
      <w:bookmarkStart w:id="117" w:name="_Toc494702274"/>
      <w:bookmarkStart w:id="118" w:name="_Toc494665954"/>
      <w:bookmarkStart w:id="119" w:name="_Toc494665004"/>
    </w:p>
    <w:p>
      <w:pPr>
        <w:pStyle w:val="5"/>
        <w:numPr>
          <w:ilvl w:val="0"/>
          <w:numId w:val="81"/>
        </w:numPr>
        <w:spacing w:before="100" w:beforeAutospacing="1" w:afterLines="50" w:line="360" w:lineRule="auto"/>
        <w:ind w:left="2328" w:leftChars="0" w:hanging="1688" w:firstLineChars="0"/>
        <w:jc w:val="left"/>
        <w:rPr>
          <w:rFonts w:ascii="宋体" w:hAnsi="宋体" w:eastAsia="宋体"/>
          <w:lang w:val="zh-CN"/>
        </w:rPr>
      </w:pPr>
      <w:bookmarkStart w:id="120" w:name="_Toc18613"/>
      <w:r>
        <w:rPr>
          <w:rFonts w:hint="eastAsia" w:ascii="宋体" w:hAnsi="宋体" w:eastAsia="宋体"/>
        </w:rPr>
        <w:t>残疾人福利性单位声明函</w:t>
      </w:r>
      <w:bookmarkEnd w:id="114"/>
      <w:bookmarkEnd w:id="115"/>
      <w:bookmarkEnd w:id="116"/>
      <w:bookmarkEnd w:id="117"/>
      <w:bookmarkEnd w:id="118"/>
      <w:bookmarkEnd w:id="119"/>
      <w:r>
        <w:rPr>
          <w:rFonts w:hint="eastAsia" w:ascii="宋体" w:hAnsi="宋体" w:eastAsia="宋体"/>
        </w:rPr>
        <w:t>（不符合不提供）</w:t>
      </w:r>
      <w:bookmarkEnd w:id="120"/>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ascii="宋体" w:hAnsi="宋体" w:eastAsia="宋体" w:cs="宋体"/>
          <w:b/>
          <w:bCs/>
          <w:sz w:val="24"/>
          <w:szCs w:val="24"/>
          <w:lang w:eastAsia="zh-CN"/>
        </w:rPr>
        <w:t>金策工程管理有限公司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30"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30"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30"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5"/>
        <w:numPr>
          <w:ilvl w:val="0"/>
          <w:numId w:val="81"/>
        </w:numPr>
        <w:spacing w:before="100" w:beforeAutospacing="1" w:afterLines="50" w:line="360" w:lineRule="auto"/>
        <w:ind w:left="3388" w:hanging="1288"/>
        <w:rPr>
          <w:rFonts w:ascii="宋体" w:hAnsi="宋体" w:eastAsia="宋体"/>
        </w:rPr>
      </w:pPr>
      <w:bookmarkStart w:id="121" w:name="_Toc494745322"/>
      <w:bookmarkStart w:id="122" w:name="_Toc31699"/>
      <w:bookmarkStart w:id="123" w:name="_Toc494702275"/>
      <w:bookmarkStart w:id="124" w:name="_Toc494577410"/>
      <w:bookmarkStart w:id="125" w:name="_Toc494665558"/>
      <w:bookmarkStart w:id="126" w:name="_Toc494665955"/>
      <w:bookmarkStart w:id="127" w:name="_Toc494721105"/>
      <w:bookmarkStart w:id="128" w:name="_Toc494665005"/>
      <w:r>
        <w:rPr>
          <w:rFonts w:hint="eastAsia" w:ascii="宋体" w:hAnsi="宋体" w:eastAsia="宋体"/>
        </w:rPr>
        <w:t>开标一览表</w:t>
      </w:r>
      <w:bookmarkEnd w:id="121"/>
      <w:bookmarkEnd w:id="122"/>
      <w:bookmarkEnd w:id="123"/>
      <w:bookmarkEnd w:id="124"/>
      <w:bookmarkEnd w:id="125"/>
      <w:bookmarkEnd w:id="126"/>
      <w:bookmarkEnd w:id="127"/>
      <w:bookmarkEnd w:id="128"/>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w:t>
      </w:r>
    </w:p>
    <w:tbl>
      <w:tblPr>
        <w:tblStyle w:val="25"/>
        <w:tblW w:w="901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7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184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177"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s="宋体"/>
                <w:kern w:val="0"/>
                <w:sz w:val="24"/>
                <w:szCs w:val="24"/>
              </w:rPr>
            </w:pPr>
            <w:r>
              <w:rPr>
                <w:rFonts w:hint="eastAsia" w:ascii="宋体" w:hAnsi="宋体" w:eastAsia="宋体" w:cs="宋体"/>
                <w:color w:val="0000FF"/>
                <w:spacing w:val="-1"/>
                <w:kern w:val="0"/>
                <w:sz w:val="24"/>
                <w:lang w:val="zh-CN" w:bidi="zh-CN"/>
              </w:rPr>
              <w:t>以阳新县长江大保护水环境综合治理PPP项目(一期工程)建设项目中标价中建安工程费的11个单项分别作为计费基数（新建部分，不含存量工程），参照湖北省物价局和湖北省住房和城乡建设局关于印发《工程造价咨询服务收费标准》的通知（鄂价工服规【2012】149号）计算后的基准价</w:t>
            </w:r>
            <w:r>
              <w:rPr>
                <w:rFonts w:hint="eastAsia" w:ascii="宋体" w:hAnsi="宋体" w:eastAsia="宋体" w:cs="宋体"/>
                <w:color w:val="0000FF"/>
                <w:spacing w:val="-1"/>
                <w:kern w:val="0"/>
                <w:sz w:val="24"/>
                <w:lang w:val="zh-CN" w:eastAsia="zh-CN" w:bidi="zh-CN"/>
              </w:rPr>
              <w:t>，下浮30%。（报下浮率）。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84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w:t>
            </w:r>
          </w:p>
        </w:tc>
        <w:tc>
          <w:tcPr>
            <w:tcW w:w="7177"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84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项目负责人</w:t>
            </w:r>
          </w:p>
        </w:tc>
        <w:tc>
          <w:tcPr>
            <w:tcW w:w="7177"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841" w:type="dxa"/>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177" w:type="dxa"/>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 xml:space="preserve">）： </w:t>
            </w:r>
            <w:r>
              <w:rPr>
                <w:rFonts w:ascii="宋体" w:hAnsi="宋体" w:eastAsia="宋体" w:cs="Times New Roman"/>
                <w:color w:val="FF0000"/>
                <w:sz w:val="24"/>
              </w:rPr>
              <w:t xml:space="preserve"> </w:t>
            </w:r>
            <w:r>
              <w:rPr>
                <w:rFonts w:hint="eastAsia" w:ascii="宋体" w:hAnsi="宋体" w:eastAsia="宋体" w:cs="宋体"/>
                <w:color w:val="FF0000"/>
                <w:kern w:val="0"/>
                <w:sz w:val="24"/>
                <w:szCs w:val="24"/>
              </w:rPr>
              <w:t xml:space="preserve">万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 xml:space="preserve">仟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 xml:space="preserve">佰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 xml:space="preserve">拾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jc w:val="left"/>
        <w:rPr>
          <w:rFonts w:ascii="宋体" w:hAnsi="宋体"/>
          <w:sz w:val="24"/>
        </w:rPr>
      </w:pPr>
    </w:p>
    <w:p>
      <w:pPr>
        <w:spacing w:line="360" w:lineRule="auto"/>
        <w:jc w:val="left"/>
        <w:rPr>
          <w:rFonts w:ascii="宋体" w:hAnsi="宋体" w:eastAsia="宋体" w:cs="Times New Roman"/>
          <w:sz w:val="24"/>
          <w:szCs w:val="24"/>
        </w:rPr>
      </w:pPr>
      <w:r>
        <w:rPr>
          <w:rFonts w:hint="eastAsia" w:ascii="宋体" w:hAnsi="宋体"/>
          <w:sz w:val="24"/>
        </w:rPr>
        <w:t>说明：1．</w:t>
      </w:r>
      <w:r>
        <w:rPr>
          <w:rFonts w:hint="eastAsia" w:ascii="宋体" w:hAnsi="宋体" w:eastAsia="宋体" w:cs="Times New Roman"/>
          <w:sz w:val="24"/>
          <w:szCs w:val="24"/>
        </w:rPr>
        <w:t>价格应按照招标文件第二章“投标人须知”中第12条要求进行报价。</w:t>
      </w:r>
    </w:p>
    <w:p>
      <w:pPr>
        <w:spacing w:line="360" w:lineRule="auto"/>
        <w:ind w:left="1062"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2．为方便开标时唱标，投标人应另附《开标一览表》</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的代理采购机构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2"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3.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30"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30"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30"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投标时间：</w:t>
      </w:r>
    </w:p>
    <w:p>
      <w:pPr>
        <w:rPr>
          <w:lang w:val="zh-CN"/>
        </w:rPr>
      </w:pPr>
      <w:r>
        <w:rPr>
          <w:rFonts w:hint="eastAsia" w:ascii="宋体" w:hAnsi="宋体" w:eastAsia="宋体" w:cs="Times New Roman"/>
          <w:b/>
          <w:bCs/>
          <w:sz w:val="24"/>
          <w:szCs w:val="21"/>
          <w:lang w:val="zh-CN"/>
        </w:rPr>
        <w:br w:type="page"/>
      </w:r>
    </w:p>
    <w:p>
      <w:pPr>
        <w:pStyle w:val="5"/>
        <w:numPr>
          <w:ilvl w:val="0"/>
          <w:numId w:val="81"/>
        </w:numPr>
        <w:spacing w:before="100" w:beforeAutospacing="1" w:afterLines="50" w:line="360" w:lineRule="auto"/>
        <w:ind w:left="3388" w:hanging="1288"/>
        <w:rPr>
          <w:rFonts w:ascii="黑体" w:hAnsi="黑体" w:eastAsia="黑体" w:cstheme="minorBidi"/>
          <w:kern w:val="0"/>
        </w:rPr>
      </w:pPr>
      <w:bookmarkStart w:id="129" w:name="_Toc152045793"/>
      <w:bookmarkStart w:id="130" w:name="_Toc179632813"/>
      <w:bookmarkStart w:id="131" w:name="_Toc524909049"/>
      <w:bookmarkStart w:id="132" w:name="_Toc152042582"/>
      <w:bookmarkStart w:id="133" w:name="_Toc18314"/>
      <w:bookmarkStart w:id="134" w:name="_Toc63587220"/>
      <w:r>
        <w:rPr>
          <w:rFonts w:hint="eastAsia" w:ascii="宋体" w:hAnsi="宋体" w:eastAsia="宋体"/>
        </w:rPr>
        <w:t>联合体协议书</w:t>
      </w:r>
      <w:bookmarkEnd w:id="129"/>
      <w:bookmarkEnd w:id="130"/>
      <w:bookmarkEnd w:id="131"/>
      <w:bookmarkEnd w:id="132"/>
      <w:r>
        <w:rPr>
          <w:rFonts w:hint="eastAsia" w:ascii="宋体" w:hAnsi="宋体" w:eastAsia="宋体"/>
        </w:rPr>
        <w:t>（如有）</w:t>
      </w:r>
      <w:bookmarkEnd w:id="133"/>
      <w:bookmarkEnd w:id="134"/>
    </w:p>
    <w:p>
      <w:pPr>
        <w:spacing w:line="400" w:lineRule="exact"/>
        <w:ind w:firstLine="420"/>
        <w:rPr>
          <w:szCs w:val="21"/>
        </w:rPr>
      </w:pPr>
    </w:p>
    <w:p>
      <w:pPr>
        <w:topLinePunct/>
        <w:spacing w:line="440" w:lineRule="exact"/>
        <w:ind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w:t>
      </w:r>
      <w:r>
        <w:rPr>
          <w:szCs w:val="21"/>
        </w:rPr>
        <w:t>（项目名称）</w:t>
      </w:r>
      <w:r>
        <w:rPr>
          <w:szCs w:val="21"/>
          <w:u w:val="single"/>
        </w:rPr>
        <w:t xml:space="preserve">      </w:t>
      </w:r>
      <w:r>
        <w:rPr>
          <w:szCs w:val="21"/>
        </w:rPr>
        <w:t>（标段名称）</w:t>
      </w:r>
      <w:r>
        <w:rPr>
          <w:rFonts w:hint="eastAsia"/>
          <w:szCs w:val="21"/>
        </w:rPr>
        <w:t>相关服务</w:t>
      </w:r>
      <w:r>
        <w:rPr>
          <w:szCs w:val="21"/>
        </w:rPr>
        <w:t>投标。现就联合体投标事宜订立如下协议。</w:t>
      </w:r>
    </w:p>
    <w:p>
      <w:pPr>
        <w:topLinePunct/>
        <w:spacing w:line="440" w:lineRule="exact"/>
        <w:ind w:firstLine="420"/>
        <w:rPr>
          <w:szCs w:val="21"/>
        </w:rPr>
      </w:pPr>
      <w:r>
        <w:rPr>
          <w:szCs w:val="21"/>
        </w:rPr>
        <w:t>1、</w:t>
      </w:r>
      <w:r>
        <w:rPr>
          <w:szCs w:val="21"/>
          <w:u w:val="single"/>
        </w:rPr>
        <w:t xml:space="preserve">       </w:t>
      </w:r>
      <w:r>
        <w:rPr>
          <w:szCs w:val="21"/>
        </w:rPr>
        <w:t>（某成员单位名称）为</w:t>
      </w:r>
      <w:r>
        <w:rPr>
          <w:szCs w:val="21"/>
          <w:u w:val="single"/>
        </w:rPr>
        <w:t xml:space="preserve">     </w:t>
      </w:r>
      <w:r>
        <w:rPr>
          <w:szCs w:val="21"/>
        </w:rPr>
        <w:t>（联合体名称）牵头人。</w:t>
      </w:r>
    </w:p>
    <w:p>
      <w:pPr>
        <w:topLinePunct/>
        <w:spacing w:line="440" w:lineRule="exact"/>
        <w:ind w:firstLine="420"/>
        <w:rPr>
          <w:szCs w:val="21"/>
        </w:rPr>
      </w:pPr>
      <w:r>
        <w:rPr>
          <w:szCs w:val="21"/>
        </w:rPr>
        <w:t>2、联合体牵头人</w:t>
      </w:r>
      <w:r>
        <w:rPr>
          <w:rFonts w:hint="eastAsia"/>
          <w:szCs w:val="21"/>
        </w:rPr>
        <w:t>合法代表联合体各成员负责本标段相关服务投标文件编制和合同谈判活动，并代表联合体提交和接收相关的资料、信息及指示，并处理与之有关的一切事务，</w:t>
      </w:r>
      <w:r>
        <w:rPr>
          <w:szCs w:val="21"/>
        </w:rPr>
        <w:t>负责合同实施阶段的主办、组织和协调工作。</w:t>
      </w:r>
    </w:p>
    <w:p>
      <w:pPr>
        <w:topLinePunct/>
        <w:spacing w:line="440" w:lineRule="exact"/>
        <w:ind w:firstLine="420"/>
        <w:rPr>
          <w:szCs w:val="21"/>
        </w:rPr>
      </w:pPr>
      <w:r>
        <w:rPr>
          <w:szCs w:val="21"/>
        </w:rPr>
        <w:t>3、联合体将严格按照招标文件的各项要求，递交投标文件，履行合同，并对外承担连带责任。</w:t>
      </w:r>
    </w:p>
    <w:p>
      <w:pPr>
        <w:topLinePunct/>
        <w:spacing w:line="400" w:lineRule="atLeast"/>
        <w:ind w:firstLine="420"/>
        <w:rPr>
          <w:szCs w:val="21"/>
        </w:rPr>
      </w:pPr>
      <w:r>
        <w:rPr>
          <w:szCs w:val="21"/>
        </w:rPr>
        <w:t>4、联合体各成员单位内部的职责分工如下：</w:t>
      </w:r>
      <w:r>
        <w:rPr>
          <w:rFonts w:hint="eastAsia"/>
          <w:szCs w:val="21"/>
          <w:u w:val="single"/>
        </w:rPr>
        <w:t xml:space="preserve">         </w:t>
      </w:r>
      <w:r>
        <w:rPr>
          <w:rFonts w:hint="eastAsia"/>
          <w:szCs w:val="21"/>
        </w:rPr>
        <w:t>（</w:t>
      </w:r>
      <w:r>
        <w:rPr>
          <w:szCs w:val="21"/>
        </w:rPr>
        <w:t>牵头人名称</w:t>
      </w:r>
      <w:r>
        <w:rPr>
          <w:rFonts w:hint="eastAsia"/>
          <w:szCs w:val="21"/>
        </w:rPr>
        <w:t>）</w:t>
      </w:r>
      <w:r>
        <w:rPr>
          <w:szCs w:val="21"/>
        </w:rPr>
        <w:t>承担</w:t>
      </w:r>
      <w:r>
        <w:rPr>
          <w:szCs w:val="21"/>
          <w:u w:val="single"/>
        </w:rPr>
        <w:t xml:space="preserve">   </w:t>
      </w:r>
      <w:r>
        <w:rPr>
          <w:rFonts w:hint="eastAsia"/>
          <w:szCs w:val="21"/>
          <w:u w:val="single"/>
        </w:rPr>
        <w:t xml:space="preserve"> </w:t>
      </w:r>
      <w:r>
        <w:rPr>
          <w:szCs w:val="21"/>
          <w:u w:val="single"/>
        </w:rPr>
        <w:t xml:space="preserve">   </w:t>
      </w:r>
      <w:r>
        <w:rPr>
          <w:rFonts w:hint="eastAsia"/>
          <w:szCs w:val="21"/>
          <w:lang w:val="en-US" w:eastAsia="zh-CN"/>
        </w:rPr>
        <w:t>造价工程师</w:t>
      </w:r>
      <w:r>
        <w:rPr>
          <w:szCs w:val="21"/>
        </w:rPr>
        <w:t>；</w:t>
      </w:r>
      <w:r>
        <w:rPr>
          <w:rFonts w:hint="eastAsia"/>
          <w:szCs w:val="21"/>
          <w:u w:val="single"/>
        </w:rPr>
        <w:t xml:space="preserve">          </w:t>
      </w:r>
      <w:r>
        <w:rPr>
          <w:rFonts w:hint="eastAsia"/>
          <w:szCs w:val="21"/>
        </w:rPr>
        <w:t>（</w:t>
      </w:r>
      <w:r>
        <w:rPr>
          <w:szCs w:val="21"/>
        </w:rPr>
        <w:t>成员一名称</w:t>
      </w:r>
      <w:r>
        <w:rPr>
          <w:rFonts w:hint="eastAsia"/>
          <w:szCs w:val="21"/>
        </w:rPr>
        <w:t>）</w:t>
      </w:r>
      <w:r>
        <w:rPr>
          <w:szCs w:val="21"/>
        </w:rPr>
        <w:t>承担</w:t>
      </w:r>
      <w:r>
        <w:rPr>
          <w:szCs w:val="21"/>
          <w:u w:val="single"/>
        </w:rPr>
        <w:t xml:space="preserve">  </w:t>
      </w:r>
      <w:r>
        <w:rPr>
          <w:rFonts w:hint="eastAsia"/>
          <w:szCs w:val="21"/>
          <w:u w:val="single"/>
        </w:rPr>
        <w:t xml:space="preserve">   </w:t>
      </w:r>
      <w:r>
        <w:rPr>
          <w:szCs w:val="21"/>
          <w:u w:val="single"/>
        </w:rPr>
        <w:t xml:space="preserve">   </w:t>
      </w:r>
      <w:r>
        <w:rPr>
          <w:rFonts w:hint="eastAsia"/>
          <w:szCs w:val="21"/>
          <w:lang w:val="en-US" w:eastAsia="zh-CN"/>
        </w:rPr>
        <w:t>造价工程师</w:t>
      </w:r>
      <w:r>
        <w:rPr>
          <w:rFonts w:hint="eastAsia"/>
          <w:szCs w:val="21"/>
        </w:rPr>
        <w:t>理</w:t>
      </w:r>
      <w:r>
        <w:rPr>
          <w:szCs w:val="21"/>
        </w:rPr>
        <w:t>；</w:t>
      </w:r>
      <w:r>
        <w:rPr>
          <w:rFonts w:hint="eastAsia"/>
          <w:szCs w:val="21"/>
          <w:u w:val="single"/>
        </w:rPr>
        <w:t xml:space="preserve">            </w:t>
      </w:r>
      <w:r>
        <w:rPr>
          <w:rFonts w:hint="eastAsia"/>
          <w:szCs w:val="21"/>
        </w:rPr>
        <w:t>（</w:t>
      </w:r>
      <w:r>
        <w:rPr>
          <w:szCs w:val="21"/>
        </w:rPr>
        <w:t>成员</w:t>
      </w:r>
      <w:r>
        <w:rPr>
          <w:rFonts w:hint="eastAsia"/>
          <w:szCs w:val="21"/>
        </w:rPr>
        <w:t>二</w:t>
      </w:r>
      <w:r>
        <w:rPr>
          <w:szCs w:val="21"/>
        </w:rPr>
        <w:t>名称</w:t>
      </w:r>
      <w:r>
        <w:rPr>
          <w:rFonts w:hint="eastAsia"/>
          <w:szCs w:val="21"/>
        </w:rPr>
        <w:t>）</w:t>
      </w:r>
      <w:r>
        <w:rPr>
          <w:szCs w:val="21"/>
        </w:rPr>
        <w:t>承担</w:t>
      </w:r>
      <w:r>
        <w:rPr>
          <w:szCs w:val="21"/>
          <w:u w:val="single"/>
        </w:rPr>
        <w:t xml:space="preserve">  </w:t>
      </w:r>
      <w:r>
        <w:rPr>
          <w:rFonts w:hint="eastAsia"/>
          <w:szCs w:val="21"/>
          <w:u w:val="single"/>
        </w:rPr>
        <w:t xml:space="preserve">   </w:t>
      </w:r>
      <w:r>
        <w:rPr>
          <w:szCs w:val="21"/>
          <w:u w:val="single"/>
        </w:rPr>
        <w:t xml:space="preserve">   </w:t>
      </w:r>
      <w:r>
        <w:rPr>
          <w:rFonts w:hint="eastAsia"/>
          <w:szCs w:val="21"/>
          <w:lang w:val="en-US" w:eastAsia="zh-CN"/>
        </w:rPr>
        <w:t>造价工程师</w:t>
      </w:r>
      <w:r>
        <w:rPr>
          <w:szCs w:val="21"/>
        </w:rPr>
        <w:t>；……</w:t>
      </w:r>
      <w:r>
        <w:rPr>
          <w:rFonts w:hint="eastAsia"/>
          <w:szCs w:val="21"/>
        </w:rPr>
        <w:t xml:space="preserve">。 </w:t>
      </w:r>
    </w:p>
    <w:p>
      <w:pPr>
        <w:topLinePunct/>
        <w:spacing w:line="440" w:lineRule="exact"/>
        <w:ind w:firstLine="420"/>
        <w:rPr>
          <w:szCs w:val="21"/>
        </w:rPr>
      </w:pPr>
      <w:r>
        <w:rPr>
          <w:szCs w:val="21"/>
        </w:rPr>
        <w:t xml:space="preserve">5、本协议书自签署之日起生效，合同履行完毕后自动失效。 </w:t>
      </w:r>
    </w:p>
    <w:p>
      <w:pPr>
        <w:topLinePunct/>
        <w:spacing w:line="440" w:lineRule="exact"/>
        <w:ind w:firstLine="420"/>
        <w:rPr>
          <w:szCs w:val="21"/>
        </w:rPr>
      </w:pPr>
      <w:r>
        <w:rPr>
          <w:szCs w:val="21"/>
        </w:rPr>
        <w:t>6、本协议书一式</w:t>
      </w:r>
      <w:r>
        <w:rPr>
          <w:szCs w:val="21"/>
          <w:u w:val="single"/>
        </w:rPr>
        <w:t xml:space="preserve">   </w:t>
      </w:r>
      <w:r>
        <w:rPr>
          <w:szCs w:val="21"/>
        </w:rPr>
        <w:t>份，联合体成员和招标人各执一份。</w:t>
      </w:r>
    </w:p>
    <w:p>
      <w:pPr>
        <w:topLinePunct/>
        <w:spacing w:line="440" w:lineRule="exact"/>
        <w:ind w:firstLine="420"/>
        <w:rPr>
          <w:szCs w:val="21"/>
        </w:rPr>
      </w:pPr>
    </w:p>
    <w:p>
      <w:pPr>
        <w:topLinePunct/>
        <w:spacing w:line="440" w:lineRule="exact"/>
        <w:ind w:firstLine="420"/>
        <w:jc w:val="right"/>
        <w:rPr>
          <w:szCs w:val="21"/>
        </w:rPr>
      </w:pPr>
      <w:r>
        <w:rPr>
          <w:szCs w:val="21"/>
        </w:rPr>
        <w:t>牵头人名称：</w:t>
      </w:r>
      <w:r>
        <w:rPr>
          <w:szCs w:val="21"/>
          <w:u w:val="single"/>
        </w:rPr>
        <w:t xml:space="preserve">                            </w:t>
      </w:r>
      <w:r>
        <w:rPr>
          <w:szCs w:val="21"/>
        </w:rPr>
        <w:t>（盖单位章）</w:t>
      </w:r>
    </w:p>
    <w:p>
      <w:pPr>
        <w:wordWrap w:val="0"/>
        <w:topLinePunct/>
        <w:spacing w:line="440" w:lineRule="exact"/>
        <w:ind w:firstLine="420"/>
        <w:jc w:val="right"/>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topLinePunct/>
        <w:spacing w:line="440" w:lineRule="exact"/>
        <w:ind w:firstLine="420"/>
        <w:jc w:val="right"/>
        <w:rPr>
          <w:szCs w:val="21"/>
        </w:rPr>
      </w:pPr>
    </w:p>
    <w:p>
      <w:pPr>
        <w:topLinePunct/>
        <w:spacing w:line="440" w:lineRule="exact"/>
        <w:ind w:firstLine="420"/>
        <w:jc w:val="right"/>
        <w:rPr>
          <w:szCs w:val="21"/>
        </w:rPr>
      </w:pPr>
      <w:r>
        <w:rPr>
          <w:szCs w:val="21"/>
        </w:rPr>
        <w:t>成员一名称：</w:t>
      </w:r>
      <w:r>
        <w:rPr>
          <w:szCs w:val="21"/>
          <w:u w:val="single"/>
        </w:rPr>
        <w:t xml:space="preserve">                            </w:t>
      </w:r>
      <w:r>
        <w:rPr>
          <w:szCs w:val="21"/>
        </w:rPr>
        <w:t>（盖单位章）</w:t>
      </w:r>
    </w:p>
    <w:p>
      <w:pPr>
        <w:wordWrap w:val="0"/>
        <w:topLinePunct/>
        <w:spacing w:line="440" w:lineRule="exact"/>
        <w:ind w:firstLine="420"/>
        <w:jc w:val="right"/>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topLinePunct/>
        <w:spacing w:line="440" w:lineRule="exact"/>
        <w:ind w:firstLine="420"/>
        <w:jc w:val="right"/>
        <w:rPr>
          <w:szCs w:val="21"/>
        </w:rPr>
      </w:pPr>
      <w:r>
        <w:rPr>
          <w:szCs w:val="21"/>
        </w:rPr>
        <w:t xml:space="preserve"> </w:t>
      </w:r>
    </w:p>
    <w:p>
      <w:pPr>
        <w:topLinePunct/>
        <w:spacing w:line="440" w:lineRule="exact"/>
        <w:ind w:firstLine="420"/>
        <w:jc w:val="right"/>
        <w:rPr>
          <w:szCs w:val="21"/>
        </w:rPr>
      </w:pPr>
      <w:r>
        <w:rPr>
          <w:szCs w:val="21"/>
        </w:rPr>
        <w:t>成员二名称：</w:t>
      </w:r>
      <w:r>
        <w:rPr>
          <w:szCs w:val="21"/>
          <w:u w:val="single"/>
        </w:rPr>
        <w:t xml:space="preserve">                            </w:t>
      </w:r>
      <w:r>
        <w:rPr>
          <w:szCs w:val="21"/>
        </w:rPr>
        <w:t>（盖单位章）</w:t>
      </w:r>
    </w:p>
    <w:p>
      <w:pPr>
        <w:wordWrap w:val="0"/>
        <w:topLinePunct/>
        <w:spacing w:line="440" w:lineRule="exact"/>
        <w:ind w:firstLine="420"/>
        <w:jc w:val="right"/>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topLinePunct/>
        <w:spacing w:line="440" w:lineRule="exact"/>
        <w:ind w:right="420" w:firstLine="2835" w:firstLineChars="1350"/>
        <w:rPr>
          <w:szCs w:val="21"/>
        </w:rPr>
      </w:pPr>
      <w:r>
        <w:rPr>
          <w:rFonts w:hint="eastAsia"/>
          <w:szCs w:val="21"/>
        </w:rPr>
        <w:t xml:space="preserve"> </w:t>
      </w:r>
    </w:p>
    <w:p>
      <w:pPr>
        <w:ind w:firstLine="2879" w:firstLineChars="1371"/>
        <w:jc w:val="right"/>
        <w:rPr>
          <w:rFonts w:eastAsia="黑体"/>
          <w:sz w:val="20"/>
          <w:szCs w:val="20"/>
        </w:rPr>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pPr>
        <w:spacing w:line="440" w:lineRule="exact"/>
        <w:ind w:firstLine="400"/>
        <w:rPr>
          <w:rFonts w:eastAsia="黑体"/>
          <w:sz w:val="20"/>
          <w:szCs w:val="20"/>
        </w:rPr>
      </w:pPr>
    </w:p>
    <w:p>
      <w:pPr>
        <w:spacing w:line="440" w:lineRule="exact"/>
        <w:ind w:firstLine="400"/>
        <w:rPr>
          <w:rFonts w:eastAsia="黑体"/>
          <w:sz w:val="20"/>
          <w:szCs w:val="20"/>
        </w:rPr>
      </w:pPr>
    </w:p>
    <w:p>
      <w:pPr>
        <w:spacing w:line="400" w:lineRule="exact"/>
        <w:ind w:firstLine="420"/>
        <w:rPr>
          <w:szCs w:val="21"/>
        </w:rPr>
      </w:pPr>
      <w:r>
        <w:rPr>
          <w:rFonts w:hint="eastAsia"/>
          <w:szCs w:val="21"/>
        </w:rPr>
        <w:t>备注：1. 本协议书由委托代理人签字的，应附法定代表人签字的授权委托书。</w:t>
      </w:r>
    </w:p>
    <w:p>
      <w:pPr>
        <w:spacing w:line="394" w:lineRule="exact"/>
        <w:ind w:left="567" w:leftChars="120" w:hanging="315" w:hangingChars="150"/>
        <w:sectPr>
          <w:headerReference r:id="rId8" w:type="default"/>
          <w:footerReference r:id="rId9" w:type="default"/>
          <w:pgSz w:w="11907" w:h="16840"/>
          <w:pgMar w:top="1417" w:right="1417" w:bottom="1417" w:left="1417" w:header="851" w:footer="992" w:gutter="0"/>
          <w:cols w:space="720" w:num="1"/>
          <w:docGrid w:linePitch="312" w:charSpace="0"/>
        </w:sectPr>
      </w:pPr>
      <w:r>
        <w:rPr>
          <w:rFonts w:hint="eastAsia"/>
          <w:szCs w:val="21"/>
        </w:rPr>
        <w:t xml:space="preserve">        2. 投标人未采用联合体投标的，</w:t>
      </w:r>
      <w:r>
        <w:rPr>
          <w:rFonts w:hint="eastAsia"/>
          <w:bCs/>
          <w:szCs w:val="21"/>
        </w:rPr>
        <w:t>投标文件中不需联合体协议书，也无须盖单位章和签   字。</w:t>
      </w:r>
    </w:p>
    <w:p>
      <w:pPr>
        <w:pStyle w:val="33"/>
        <w:ind w:firstLine="0" w:firstLineChars="0"/>
      </w:pPr>
    </w:p>
    <w:p/>
    <w:p>
      <w:pPr>
        <w:pStyle w:val="5"/>
        <w:numPr>
          <w:ilvl w:val="0"/>
          <w:numId w:val="81"/>
        </w:numPr>
        <w:spacing w:before="100" w:beforeAutospacing="1" w:afterLines="50" w:line="360" w:lineRule="auto"/>
        <w:ind w:left="3388" w:hanging="1288"/>
        <w:rPr>
          <w:rFonts w:ascii="宋体" w:hAnsi="宋体" w:eastAsia="宋体"/>
        </w:rPr>
      </w:pPr>
      <w:bookmarkStart w:id="135" w:name="_Toc494702280"/>
      <w:bookmarkStart w:id="136" w:name="_Toc238276247"/>
      <w:bookmarkStart w:id="137" w:name="_Toc494721110"/>
      <w:bookmarkStart w:id="138" w:name="_Toc236473303"/>
      <w:bookmarkStart w:id="139" w:name="_Toc494665563"/>
      <w:bookmarkStart w:id="140" w:name="_Toc494665010"/>
      <w:bookmarkStart w:id="141" w:name="_Toc494665960"/>
      <w:bookmarkStart w:id="142" w:name="_Toc494745327"/>
      <w:bookmarkStart w:id="143" w:name="_Toc26661"/>
      <w:r>
        <w:rPr>
          <w:rFonts w:hint="eastAsia" w:ascii="宋体" w:hAnsi="宋体" w:eastAsia="宋体"/>
        </w:rPr>
        <w:t>法定代表人授权书</w:t>
      </w:r>
      <w:bookmarkEnd w:id="135"/>
      <w:bookmarkEnd w:id="136"/>
      <w:bookmarkEnd w:id="137"/>
      <w:bookmarkEnd w:id="138"/>
      <w:bookmarkEnd w:id="139"/>
      <w:bookmarkEnd w:id="140"/>
      <w:bookmarkEnd w:id="141"/>
      <w:bookmarkEnd w:id="142"/>
      <w:bookmarkEnd w:id="143"/>
    </w:p>
    <w:p>
      <w:pPr>
        <w:spacing w:line="360" w:lineRule="auto"/>
        <w:rPr>
          <w:b/>
          <w:sz w:val="28"/>
          <w:szCs w:val="28"/>
        </w:rPr>
      </w:pPr>
      <w:r>
        <w:rPr>
          <w:rFonts w:hint="eastAsia" w:ascii="宋体" w:hAnsi="宋体" w:eastAsia="宋体" w:cs="宋体"/>
          <w:b/>
          <w:bCs/>
          <w:sz w:val="24"/>
          <w:szCs w:val="24"/>
          <w:lang w:eastAsia="zh-CN"/>
        </w:rPr>
        <w:t>金策工程管理有限公司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5"/>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71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5"/>
        <w:numPr>
          <w:ilvl w:val="0"/>
          <w:numId w:val="81"/>
        </w:numPr>
        <w:spacing w:before="100" w:beforeAutospacing="1" w:afterLines="50" w:line="360" w:lineRule="auto"/>
        <w:ind w:left="3710" w:hanging="1610"/>
        <w:rPr>
          <w:rFonts w:ascii="宋体" w:hAnsi="宋体" w:eastAsia="宋体"/>
        </w:rPr>
      </w:pPr>
      <w:bookmarkStart w:id="144" w:name="_Toc494702281"/>
      <w:bookmarkStart w:id="145" w:name="_Toc494665961"/>
      <w:bookmarkStart w:id="146" w:name="_Toc494721111"/>
      <w:bookmarkStart w:id="147" w:name="_Toc494665011"/>
      <w:bookmarkStart w:id="148" w:name="_Toc494745328"/>
      <w:bookmarkStart w:id="149" w:name="_Toc8771"/>
      <w:bookmarkStart w:id="150" w:name="_Toc238276248"/>
      <w:bookmarkStart w:id="151" w:name="_Toc494665564"/>
      <w:bookmarkStart w:id="152" w:name="_Toc236473304"/>
      <w:r>
        <w:rPr>
          <w:rFonts w:hint="eastAsia" w:ascii="宋体" w:hAnsi="宋体" w:eastAsia="宋体"/>
        </w:rPr>
        <w:t>投标人的资格声明</w:t>
      </w:r>
      <w:bookmarkEnd w:id="144"/>
      <w:bookmarkEnd w:id="145"/>
      <w:bookmarkEnd w:id="146"/>
      <w:bookmarkEnd w:id="147"/>
      <w:bookmarkEnd w:id="148"/>
      <w:bookmarkEnd w:id="149"/>
      <w:bookmarkEnd w:id="150"/>
      <w:bookmarkEnd w:id="151"/>
      <w:bookmarkEnd w:id="152"/>
    </w:p>
    <w:tbl>
      <w:tblPr>
        <w:tblStyle w:val="25"/>
        <w:tblW w:w="87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954"/>
        <w:gridCol w:w="542"/>
        <w:gridCol w:w="359"/>
        <w:gridCol w:w="1083"/>
        <w:gridCol w:w="537"/>
        <w:gridCol w:w="723"/>
        <w:gridCol w:w="542"/>
        <w:gridCol w:w="539"/>
        <w:gridCol w:w="182"/>
        <w:gridCol w:w="817"/>
        <w:gridCol w:w="1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bookmarkStart w:id="153" w:name="_Toc494665962"/>
            <w:bookmarkStart w:id="154" w:name="_Toc494721112"/>
            <w:bookmarkStart w:id="155" w:name="_Toc494665012"/>
            <w:bookmarkStart w:id="156" w:name="_Toc494745329"/>
            <w:bookmarkStart w:id="157" w:name="_Toc494702282"/>
            <w:bookmarkStart w:id="158" w:name="_Toc494665565"/>
            <w:r>
              <w:rPr>
                <w:rFonts w:hint="eastAsia" w:cs="宋体"/>
                <w:szCs w:val="21"/>
              </w:rPr>
              <w:t>投标人名称</w:t>
            </w:r>
          </w:p>
        </w:tc>
        <w:tc>
          <w:tcPr>
            <w:tcW w:w="6851" w:type="dxa"/>
            <w:gridSpan w:val="10"/>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注册地址</w:t>
            </w:r>
          </w:p>
        </w:tc>
        <w:tc>
          <w:tcPr>
            <w:tcW w:w="3244" w:type="dxa"/>
            <w:gridSpan w:val="5"/>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邮政编码</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vMerge w:val="restart"/>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联系方式</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联系人</w:t>
            </w:r>
          </w:p>
        </w:tc>
        <w:tc>
          <w:tcPr>
            <w:tcW w:w="234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电 话</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vMerge w:val="continue"/>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传  真</w:t>
            </w:r>
          </w:p>
        </w:tc>
        <w:tc>
          <w:tcPr>
            <w:tcW w:w="234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网 址</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组织结构</w:t>
            </w:r>
          </w:p>
        </w:tc>
        <w:tc>
          <w:tcPr>
            <w:tcW w:w="3244" w:type="dxa"/>
            <w:gridSpan w:val="5"/>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成立时间</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法定代表人</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姓名</w:t>
            </w:r>
          </w:p>
        </w:tc>
        <w:tc>
          <w:tcPr>
            <w:tcW w:w="1083"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技术职称</w:t>
            </w:r>
          </w:p>
        </w:tc>
        <w:tc>
          <w:tcPr>
            <w:tcW w:w="126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81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电话</w:t>
            </w:r>
          </w:p>
        </w:tc>
        <w:tc>
          <w:tcPr>
            <w:tcW w:w="152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技术负责人</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姓名</w:t>
            </w:r>
          </w:p>
        </w:tc>
        <w:tc>
          <w:tcPr>
            <w:tcW w:w="1083"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技术职称</w:t>
            </w:r>
          </w:p>
        </w:tc>
        <w:tc>
          <w:tcPr>
            <w:tcW w:w="126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81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电话</w:t>
            </w:r>
          </w:p>
        </w:tc>
        <w:tc>
          <w:tcPr>
            <w:tcW w:w="152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企业资质等级</w:t>
            </w:r>
          </w:p>
        </w:tc>
        <w:tc>
          <w:tcPr>
            <w:tcW w:w="252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986" w:type="dxa"/>
            <w:gridSpan w:val="4"/>
            <w:tcBorders>
              <w:top w:val="single" w:color="auto" w:sz="4" w:space="0"/>
              <w:left w:val="single" w:color="auto" w:sz="4" w:space="0"/>
              <w:bottom w:val="single" w:color="auto" w:sz="4" w:space="0"/>
              <w:right w:val="single" w:color="auto" w:sz="4" w:space="0"/>
            </w:tcBorders>
            <w:vAlign w:val="center"/>
          </w:tcPr>
          <w:p>
            <w:pPr>
              <w:topLinePunct/>
              <w:rPr>
                <w:rFonts w:cs="宋体"/>
                <w:szCs w:val="21"/>
              </w:rPr>
            </w:pPr>
            <w:r>
              <w:rPr>
                <w:rFonts w:hint="eastAsia" w:cs="宋体"/>
                <w:szCs w:val="21"/>
              </w:rPr>
              <w:t>资质等级证书编号</w:t>
            </w:r>
          </w:p>
        </w:tc>
        <w:tc>
          <w:tcPr>
            <w:tcW w:w="234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营业执照号</w:t>
            </w:r>
          </w:p>
        </w:tc>
        <w:tc>
          <w:tcPr>
            <w:tcW w:w="252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986"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注册资金</w:t>
            </w:r>
          </w:p>
        </w:tc>
        <w:tc>
          <w:tcPr>
            <w:tcW w:w="234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基本账户开户银行</w:t>
            </w:r>
          </w:p>
        </w:tc>
        <w:tc>
          <w:tcPr>
            <w:tcW w:w="252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986"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基本账户账号</w:t>
            </w:r>
          </w:p>
        </w:tc>
        <w:tc>
          <w:tcPr>
            <w:tcW w:w="234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54" w:type="dxa"/>
            <w:vMerge w:val="restart"/>
            <w:tcBorders>
              <w:top w:val="single" w:color="auto" w:sz="4" w:space="0"/>
              <w:left w:val="single" w:color="auto" w:sz="4" w:space="0"/>
              <w:right w:val="single" w:color="auto" w:sz="4" w:space="0"/>
            </w:tcBorders>
            <w:vAlign w:val="center"/>
          </w:tcPr>
          <w:p>
            <w:pPr>
              <w:topLinePunct/>
              <w:jc w:val="center"/>
              <w:rPr>
                <w:rFonts w:cs="宋体"/>
                <w:szCs w:val="21"/>
              </w:rPr>
            </w:pPr>
            <w:r>
              <w:rPr>
                <w:rFonts w:hint="eastAsia" w:cs="宋体"/>
                <w:szCs w:val="21"/>
              </w:rPr>
              <w:t>员工</w:t>
            </w:r>
          </w:p>
          <w:p>
            <w:pPr>
              <w:topLinePunct/>
              <w:jc w:val="center"/>
              <w:rPr>
                <w:rFonts w:cs="宋体"/>
                <w:szCs w:val="21"/>
              </w:rPr>
            </w:pPr>
            <w:r>
              <w:rPr>
                <w:rFonts w:hint="eastAsia" w:cs="宋体"/>
                <w:szCs w:val="21"/>
              </w:rPr>
              <w:t>总人数</w:t>
            </w:r>
          </w:p>
          <w:p>
            <w:pPr>
              <w:topLinePunct/>
              <w:jc w:val="center"/>
              <w:rPr>
                <w:rFonts w:cs="宋体"/>
                <w:szCs w:val="21"/>
              </w:rPr>
            </w:pPr>
            <w:r>
              <w:rPr>
                <w:rFonts w:hint="eastAsia" w:cs="宋体"/>
                <w:szCs w:val="21"/>
              </w:rPr>
              <w:t>（人）</w:t>
            </w:r>
          </w:p>
        </w:tc>
        <w:tc>
          <w:tcPr>
            <w:tcW w:w="954" w:type="dxa"/>
            <w:vMerge w:val="restart"/>
            <w:tcBorders>
              <w:top w:val="single" w:color="auto" w:sz="4" w:space="0"/>
              <w:left w:val="single" w:color="auto" w:sz="4" w:space="0"/>
              <w:right w:val="single" w:color="auto" w:sz="4" w:space="0"/>
            </w:tcBorders>
            <w:vAlign w:val="center"/>
          </w:tcPr>
          <w:p>
            <w:pPr>
              <w:topLinePunct/>
              <w:jc w:val="center"/>
              <w:rPr>
                <w:rFonts w:cs="宋体"/>
                <w:szCs w:val="21"/>
              </w:rPr>
            </w:pPr>
          </w:p>
        </w:tc>
        <w:tc>
          <w:tcPr>
            <w:tcW w:w="542" w:type="dxa"/>
            <w:vMerge w:val="restart"/>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其中</w:t>
            </w:r>
          </w:p>
        </w:tc>
        <w:tc>
          <w:tcPr>
            <w:tcW w:w="3244" w:type="dxa"/>
            <w:gridSpan w:val="5"/>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注册</w:t>
            </w:r>
            <w:r>
              <w:rPr>
                <w:rFonts w:hint="eastAsia" w:cs="宋体"/>
                <w:szCs w:val="21"/>
                <w:lang w:val="en-US" w:eastAsia="zh-CN"/>
              </w:rPr>
              <w:t>造价</w:t>
            </w:r>
            <w:r>
              <w:rPr>
                <w:rFonts w:hint="eastAsia" w:cs="宋体"/>
                <w:szCs w:val="21"/>
              </w:rPr>
              <w:t>工程师        （人）</w:t>
            </w:r>
          </w:p>
        </w:tc>
        <w:tc>
          <w:tcPr>
            <w:tcW w:w="3065" w:type="dxa"/>
            <w:gridSpan w:val="4"/>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高级职称人员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542" w:type="dxa"/>
            <w:vMerge w:val="continue"/>
            <w:tcBorders>
              <w:left w:val="single" w:color="auto" w:sz="4" w:space="0"/>
              <w:right w:val="single" w:color="auto" w:sz="4" w:space="0"/>
            </w:tcBorders>
            <w:vAlign w:val="center"/>
          </w:tcPr>
          <w:p>
            <w:pPr>
              <w:topLinePunct/>
              <w:rPr>
                <w:rFonts w:cs="宋体"/>
                <w:szCs w:val="21"/>
              </w:rPr>
            </w:pPr>
          </w:p>
        </w:tc>
        <w:tc>
          <w:tcPr>
            <w:tcW w:w="3244" w:type="dxa"/>
            <w:gridSpan w:val="5"/>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其他工程类</w:t>
            </w:r>
          </w:p>
          <w:p>
            <w:pPr>
              <w:topLinePunct/>
              <w:rPr>
                <w:rFonts w:cs="宋体"/>
                <w:szCs w:val="21"/>
              </w:rPr>
            </w:pPr>
            <w:r>
              <w:rPr>
                <w:rFonts w:hint="eastAsia" w:cs="宋体"/>
                <w:szCs w:val="21"/>
              </w:rPr>
              <w:t>注册执业资格人员      （人）</w:t>
            </w:r>
          </w:p>
        </w:tc>
        <w:tc>
          <w:tcPr>
            <w:tcW w:w="3065" w:type="dxa"/>
            <w:gridSpan w:val="4"/>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中级职称人员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542" w:type="dxa"/>
            <w:vMerge w:val="continue"/>
            <w:tcBorders>
              <w:left w:val="single" w:color="auto" w:sz="4" w:space="0"/>
              <w:right w:val="single" w:color="auto" w:sz="4" w:space="0"/>
            </w:tcBorders>
            <w:vAlign w:val="center"/>
          </w:tcPr>
          <w:p>
            <w:pPr>
              <w:topLinePunct/>
              <w:rPr>
                <w:rFonts w:cs="宋体"/>
                <w:szCs w:val="21"/>
              </w:rPr>
            </w:pPr>
          </w:p>
        </w:tc>
        <w:tc>
          <w:tcPr>
            <w:tcW w:w="3244" w:type="dxa"/>
            <w:gridSpan w:val="5"/>
            <w:tcBorders>
              <w:top w:val="single" w:color="auto" w:sz="4" w:space="0"/>
              <w:left w:val="single" w:color="auto" w:sz="4" w:space="0"/>
              <w:right w:val="single" w:color="auto" w:sz="4" w:space="0"/>
            </w:tcBorders>
            <w:vAlign w:val="center"/>
          </w:tcPr>
          <w:p>
            <w:pPr>
              <w:topLinePunct/>
              <w:rPr>
                <w:rFonts w:cs="宋体"/>
                <w:szCs w:val="21"/>
              </w:rPr>
            </w:pPr>
          </w:p>
        </w:tc>
        <w:tc>
          <w:tcPr>
            <w:tcW w:w="3065" w:type="dxa"/>
            <w:gridSpan w:val="4"/>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初级职称人员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08" w:type="dxa"/>
            <w:gridSpan w:val="2"/>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经营范围</w:t>
            </w:r>
          </w:p>
        </w:tc>
        <w:tc>
          <w:tcPr>
            <w:tcW w:w="6851" w:type="dxa"/>
            <w:gridSpan w:val="10"/>
            <w:tcBorders>
              <w:top w:val="single" w:color="auto" w:sz="4" w:space="0"/>
              <w:left w:val="single" w:color="auto" w:sz="4" w:space="0"/>
              <w:right w:val="single" w:color="auto" w:sz="4" w:space="0"/>
            </w:tcBorders>
            <w:vAlign w:val="center"/>
          </w:tcPr>
          <w:p>
            <w:pPr>
              <w:topLinePunct/>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关联企业</w:t>
            </w:r>
          </w:p>
        </w:tc>
        <w:tc>
          <w:tcPr>
            <w:tcW w:w="6851" w:type="dxa"/>
            <w:gridSpan w:val="10"/>
            <w:tcBorders>
              <w:top w:val="single" w:color="auto" w:sz="4" w:space="0"/>
              <w:left w:val="single" w:color="auto" w:sz="4" w:space="0"/>
              <w:bottom w:val="single" w:color="auto" w:sz="4" w:space="0"/>
              <w:right w:val="single" w:color="auto" w:sz="4" w:space="0"/>
            </w:tcBorders>
            <w:vAlign w:val="center"/>
          </w:tcPr>
          <w:p>
            <w:pPr>
              <w:rPr>
                <w:rFonts w:cs="宋体"/>
                <w:szCs w:val="21"/>
              </w:rPr>
            </w:pPr>
            <w:r>
              <w:rPr>
                <w:rFonts w:hint="eastAsia" w:cs="宋体"/>
                <w:szCs w:val="21"/>
              </w:rPr>
              <w:t>与本单位负责人为同一人的单位：</w:t>
            </w:r>
          </w:p>
          <w:p>
            <w:pPr>
              <w:rPr>
                <w:rFonts w:cs="宋体"/>
                <w:szCs w:val="21"/>
              </w:rPr>
            </w:pPr>
            <w:r>
              <w:rPr>
                <w:rFonts w:hint="eastAsia" w:cs="宋体"/>
                <w:szCs w:val="21"/>
              </w:rPr>
              <w:t>与本单位存在控股关系的单位：</w:t>
            </w:r>
          </w:p>
          <w:p>
            <w:pPr>
              <w:rPr>
                <w:rFonts w:cs="宋体"/>
                <w:szCs w:val="21"/>
              </w:rPr>
            </w:pPr>
            <w:r>
              <w:rPr>
                <w:rFonts w:hint="eastAsia" w:cs="宋体"/>
                <w:szCs w:val="21"/>
              </w:rPr>
              <w:t>与本单位存在管理关系的单位：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备注</w:t>
            </w:r>
          </w:p>
        </w:tc>
        <w:tc>
          <w:tcPr>
            <w:tcW w:w="6851" w:type="dxa"/>
            <w:gridSpan w:val="10"/>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bl>
    <w:p>
      <w:pPr>
        <w:spacing w:line="360" w:lineRule="auto"/>
        <w:ind w:left="1078" w:hanging="1077" w:hangingChars="449"/>
        <w:jc w:val="left"/>
        <w:rPr>
          <w:rFonts w:ascii="宋体" w:hAnsi="宋体" w:eastAsia="宋体" w:cs="Times New Roman"/>
          <w:sz w:val="24"/>
          <w:szCs w:val="24"/>
        </w:rPr>
      </w:pPr>
    </w:p>
    <w:p>
      <w:pPr>
        <w:pStyle w:val="33"/>
        <w:ind w:firstLine="480"/>
        <w:rPr>
          <w:rFonts w:hAnsi="宋体"/>
          <w:szCs w:val="24"/>
        </w:rPr>
      </w:pPr>
    </w:p>
    <w:p>
      <w:pPr>
        <w:pStyle w:val="5"/>
        <w:numPr>
          <w:ilvl w:val="0"/>
          <w:numId w:val="81"/>
        </w:numPr>
        <w:spacing w:before="100" w:beforeAutospacing="1" w:afterLines="50" w:line="360" w:lineRule="auto"/>
        <w:ind w:left="2740" w:hanging="1610"/>
        <w:rPr>
          <w:rFonts w:ascii="宋体" w:hAnsi="宋体" w:eastAsia="宋体"/>
        </w:rPr>
      </w:pPr>
      <w:bookmarkStart w:id="159" w:name="_Toc27272"/>
      <w:r>
        <w:rPr>
          <w:rFonts w:hint="eastAsia" w:ascii="宋体" w:hAnsi="宋体" w:eastAsia="宋体"/>
        </w:rPr>
        <w:t>项目负责人、技术负责人简历表</w:t>
      </w:r>
      <w:bookmarkEnd w:id="153"/>
      <w:bookmarkEnd w:id="154"/>
      <w:bookmarkEnd w:id="155"/>
      <w:bookmarkEnd w:id="156"/>
      <w:bookmarkEnd w:id="157"/>
      <w:bookmarkEnd w:id="158"/>
      <w:bookmarkEnd w:id="15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348"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348"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348"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pPr>
        <w:pStyle w:val="5"/>
        <w:numPr>
          <w:ilvl w:val="0"/>
          <w:numId w:val="81"/>
        </w:numPr>
        <w:spacing w:before="100" w:beforeAutospacing="1" w:afterLines="50" w:line="360" w:lineRule="auto"/>
        <w:ind w:left="3710" w:hanging="1610"/>
        <w:rPr>
          <w:rFonts w:ascii="宋体" w:hAnsi="宋体" w:eastAsia="宋体"/>
        </w:rPr>
      </w:pPr>
      <w:bookmarkStart w:id="160" w:name="_Toc238276251"/>
      <w:bookmarkStart w:id="161" w:name="_Toc3720"/>
      <w:bookmarkStart w:id="162" w:name="_Toc494702283"/>
      <w:bookmarkStart w:id="163" w:name="_Toc236473307"/>
      <w:bookmarkStart w:id="164" w:name="_Toc494665566"/>
      <w:bookmarkStart w:id="165" w:name="_Toc494721113"/>
      <w:bookmarkStart w:id="166" w:name="_Toc494745330"/>
      <w:bookmarkStart w:id="167" w:name="_Toc494665963"/>
      <w:bookmarkStart w:id="168" w:name="_Toc494665013"/>
      <w:r>
        <w:rPr>
          <w:rFonts w:hint="eastAsia" w:ascii="宋体" w:hAnsi="宋体" w:eastAsia="宋体"/>
        </w:rPr>
        <w:t>项目班子成员情况表</w:t>
      </w:r>
      <w:bookmarkEnd w:id="160"/>
      <w:bookmarkEnd w:id="161"/>
      <w:bookmarkEnd w:id="162"/>
      <w:bookmarkEnd w:id="163"/>
      <w:bookmarkEnd w:id="164"/>
      <w:bookmarkEnd w:id="165"/>
      <w:bookmarkEnd w:id="166"/>
      <w:bookmarkEnd w:id="167"/>
      <w:bookmarkEnd w:id="16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417"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169" w:name="_Toc18957"/>
      <w:bookmarkStart w:id="170" w:name="_Toc494665567"/>
      <w:bookmarkStart w:id="171" w:name="_Toc494702284"/>
      <w:bookmarkStart w:id="172" w:name="_Toc494721114"/>
      <w:bookmarkStart w:id="173" w:name="_Toc238276256"/>
      <w:bookmarkStart w:id="174" w:name="_Toc494745331"/>
      <w:bookmarkStart w:id="175" w:name="_Toc494665014"/>
      <w:bookmarkStart w:id="176" w:name="_Toc236473312"/>
      <w:bookmarkStart w:id="177" w:name="_Toc494665964"/>
      <w:r>
        <w:rPr>
          <w:rFonts w:hint="eastAsia" w:ascii="宋体" w:hAnsi="宋体" w:eastAsia="宋体"/>
        </w:rPr>
        <w:t>投标人类似项目业绩表</w:t>
      </w:r>
      <w:bookmarkEnd w:id="169"/>
      <w:bookmarkEnd w:id="170"/>
      <w:bookmarkEnd w:id="171"/>
      <w:bookmarkEnd w:id="172"/>
      <w:bookmarkEnd w:id="173"/>
      <w:bookmarkEnd w:id="174"/>
      <w:bookmarkEnd w:id="175"/>
      <w:bookmarkEnd w:id="176"/>
      <w:bookmarkEnd w:id="17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121"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178" w:name="_Toc494745332"/>
      <w:bookmarkStart w:id="179" w:name="_Toc494665568"/>
      <w:bookmarkStart w:id="180" w:name="_Toc494702285"/>
      <w:bookmarkStart w:id="181" w:name="_Toc494665965"/>
      <w:bookmarkStart w:id="182" w:name="_Toc1826"/>
      <w:bookmarkStart w:id="183" w:name="_Toc494721115"/>
      <w:bookmarkStart w:id="184" w:name="_Toc494665015"/>
      <w:r>
        <w:rPr>
          <w:rFonts w:hint="eastAsia" w:ascii="宋体" w:hAnsi="宋体" w:eastAsia="宋体"/>
        </w:rPr>
        <w:t>符合性审查对照表</w:t>
      </w:r>
      <w:bookmarkEnd w:id="178"/>
      <w:bookmarkEnd w:id="179"/>
      <w:bookmarkEnd w:id="180"/>
      <w:bookmarkEnd w:id="181"/>
      <w:bookmarkEnd w:id="182"/>
      <w:bookmarkEnd w:id="183"/>
      <w:bookmarkEnd w:id="18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366"/>
        <w:gridCol w:w="2835"/>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36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w:t>
            </w:r>
            <w:r>
              <w:rPr>
                <w:rFonts w:hint="eastAsia" w:ascii="宋体" w:hAnsi="宋体" w:eastAsia="宋体" w:cs="Corbel"/>
                <w:sz w:val="24"/>
                <w:szCs w:val="24"/>
              </w:rPr>
              <w:t>符合性审查条款</w:t>
            </w:r>
          </w:p>
        </w:tc>
        <w:tc>
          <w:tcPr>
            <w:tcW w:w="2835"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27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417"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185" w:name="_Toc494721116"/>
      <w:bookmarkStart w:id="186" w:name="_Toc494665016"/>
      <w:bookmarkStart w:id="187" w:name="_Toc3684"/>
      <w:bookmarkStart w:id="188" w:name="_Toc494665966"/>
      <w:bookmarkStart w:id="189" w:name="_Toc494745333"/>
      <w:bookmarkStart w:id="190" w:name="_Toc494702286"/>
      <w:bookmarkStart w:id="191" w:name="_Toc494665569"/>
      <w:r>
        <w:rPr>
          <w:rFonts w:hint="eastAsia" w:ascii="宋体" w:hAnsi="宋体" w:eastAsia="宋体"/>
        </w:rPr>
        <w:t>商务要求响应、偏离说明表</w:t>
      </w:r>
      <w:bookmarkEnd w:id="185"/>
      <w:bookmarkEnd w:id="186"/>
      <w:bookmarkEnd w:id="187"/>
      <w:bookmarkEnd w:id="188"/>
      <w:bookmarkEnd w:id="189"/>
      <w:bookmarkEnd w:id="190"/>
      <w:bookmarkEnd w:id="19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93"/>
        <w:gridCol w:w="2268"/>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093"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招标文件商务要求条款</w:t>
            </w:r>
          </w:p>
        </w:tc>
        <w:tc>
          <w:tcPr>
            <w:tcW w:w="2268"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701"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843"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192" w:name="_Toc494721117"/>
      <w:bookmarkStart w:id="193" w:name="_Toc494665017"/>
      <w:bookmarkStart w:id="194" w:name="_Toc494702287"/>
      <w:bookmarkStart w:id="195" w:name="_Toc494745334"/>
      <w:bookmarkStart w:id="196" w:name="_Toc494665967"/>
      <w:bookmarkStart w:id="197" w:name="_Toc494665570"/>
      <w:bookmarkStart w:id="198" w:name="_Toc21705"/>
      <w:r>
        <w:rPr>
          <w:rFonts w:hint="eastAsia" w:ascii="宋体" w:hAnsi="宋体" w:eastAsia="宋体"/>
        </w:rPr>
        <w:t>商务要求“★”号条款响应、偏离说明表</w:t>
      </w:r>
      <w:bookmarkEnd w:id="192"/>
      <w:bookmarkEnd w:id="193"/>
      <w:bookmarkEnd w:id="194"/>
      <w:bookmarkEnd w:id="195"/>
      <w:bookmarkEnd w:id="196"/>
      <w:bookmarkEnd w:id="197"/>
      <w:bookmarkEnd w:id="19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519"/>
        <w:gridCol w:w="2268"/>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519"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w:t>
            </w:r>
            <w:r>
              <w:rPr>
                <w:rFonts w:hint="eastAsia" w:ascii="宋体" w:hAnsi="宋体" w:eastAsia="宋体" w:cs="Corbel"/>
                <w:sz w:val="24"/>
                <w:szCs w:val="24"/>
              </w:rPr>
              <w:t>商务要求“★”号条款</w:t>
            </w:r>
          </w:p>
        </w:tc>
        <w:tc>
          <w:tcPr>
            <w:tcW w:w="2268"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417"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701"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199" w:name="_Toc494721118"/>
      <w:bookmarkStart w:id="200" w:name="_Toc494745335"/>
      <w:bookmarkStart w:id="201" w:name="_Toc494665018"/>
      <w:bookmarkStart w:id="202" w:name="_Toc26127"/>
      <w:bookmarkStart w:id="203" w:name="_Toc494702288"/>
      <w:bookmarkStart w:id="204" w:name="_Toc494665968"/>
      <w:bookmarkStart w:id="205" w:name="_Toc494665571"/>
      <w:r>
        <w:rPr>
          <w:rFonts w:hint="eastAsia" w:ascii="宋体" w:hAnsi="宋体" w:eastAsia="宋体"/>
        </w:rPr>
        <w:t>商务评议对照表</w:t>
      </w:r>
      <w:bookmarkEnd w:id="199"/>
      <w:bookmarkEnd w:id="200"/>
      <w:bookmarkEnd w:id="201"/>
      <w:bookmarkEnd w:id="202"/>
      <w:bookmarkEnd w:id="203"/>
      <w:bookmarkEnd w:id="204"/>
      <w:bookmarkEnd w:id="20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316"/>
        <w:gridCol w:w="2268"/>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31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招标文件商务评分标准</w:t>
            </w:r>
          </w:p>
        </w:tc>
        <w:tc>
          <w:tcPr>
            <w:tcW w:w="2268"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559"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843"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206" w:name="_Toc494665969"/>
      <w:bookmarkStart w:id="207" w:name="_Toc494702289"/>
      <w:bookmarkStart w:id="208" w:name="_Toc494745336"/>
      <w:bookmarkStart w:id="209" w:name="_Toc23058"/>
      <w:bookmarkStart w:id="210" w:name="_Toc494665572"/>
      <w:bookmarkStart w:id="211" w:name="_Toc494721119"/>
      <w:bookmarkStart w:id="212" w:name="_Toc494665019"/>
      <w:r>
        <w:rPr>
          <w:rFonts w:hint="eastAsia" w:ascii="宋体" w:hAnsi="宋体" w:eastAsia="宋体"/>
        </w:rPr>
        <w:t>技术、服务要求响应、偏离说明表</w:t>
      </w:r>
      <w:bookmarkEnd w:id="206"/>
      <w:bookmarkEnd w:id="207"/>
      <w:bookmarkEnd w:id="208"/>
      <w:bookmarkEnd w:id="209"/>
      <w:bookmarkEnd w:id="210"/>
      <w:bookmarkEnd w:id="211"/>
      <w:bookmarkEnd w:id="21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516"/>
        <w:gridCol w:w="2126"/>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51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招标文件技术、服务要求条款</w:t>
            </w:r>
          </w:p>
        </w:tc>
        <w:tc>
          <w:tcPr>
            <w:tcW w:w="212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701"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417"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213" w:name="_Toc494665020"/>
      <w:bookmarkStart w:id="214" w:name="_Toc494665970"/>
      <w:bookmarkStart w:id="215" w:name="_Toc18167"/>
      <w:bookmarkStart w:id="216" w:name="_Toc494745337"/>
      <w:bookmarkStart w:id="217" w:name="_Toc494702290"/>
      <w:bookmarkStart w:id="218" w:name="_Toc494665573"/>
      <w:bookmarkStart w:id="219" w:name="_Toc494721120"/>
      <w:bookmarkStart w:id="220" w:name="_Toc329859066"/>
      <w:r>
        <w:rPr>
          <w:rFonts w:hint="eastAsia" w:ascii="宋体" w:hAnsi="宋体" w:eastAsia="宋体"/>
        </w:rPr>
        <w:t>技术、服务要求“★”号条款响应、偏离说明表</w:t>
      </w:r>
      <w:bookmarkEnd w:id="213"/>
      <w:bookmarkEnd w:id="214"/>
      <w:bookmarkEnd w:id="215"/>
      <w:bookmarkEnd w:id="216"/>
      <w:bookmarkEnd w:id="217"/>
      <w:bookmarkEnd w:id="218"/>
      <w:bookmarkEnd w:id="21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303"/>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767"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w:t>
            </w:r>
            <w:r>
              <w:rPr>
                <w:rFonts w:hint="eastAsia" w:ascii="宋体" w:hAnsi="宋体" w:eastAsia="宋体" w:cs="Corbel"/>
                <w:sz w:val="24"/>
                <w:szCs w:val="24"/>
              </w:rPr>
              <w:t>技术、服务要求“★”号条款</w:t>
            </w:r>
          </w:p>
        </w:tc>
        <w:tc>
          <w:tcPr>
            <w:tcW w:w="2303"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27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559"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20"/>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81"/>
        </w:numPr>
        <w:spacing w:before="100" w:beforeAutospacing="1" w:afterLines="50" w:line="360" w:lineRule="auto"/>
        <w:ind w:left="3710" w:hanging="1610"/>
        <w:rPr>
          <w:rFonts w:ascii="宋体" w:hAnsi="宋体" w:eastAsia="宋体"/>
        </w:rPr>
      </w:pPr>
      <w:bookmarkStart w:id="221" w:name="_Toc494665574"/>
      <w:bookmarkStart w:id="222" w:name="_Toc494721121"/>
      <w:bookmarkStart w:id="223" w:name="_Toc494702291"/>
      <w:bookmarkStart w:id="224" w:name="_Toc494665021"/>
      <w:bookmarkStart w:id="225" w:name="_Toc494665971"/>
      <w:bookmarkStart w:id="226" w:name="_Toc9257"/>
      <w:bookmarkStart w:id="227" w:name="_Toc494745338"/>
      <w:r>
        <w:rPr>
          <w:rFonts w:hint="eastAsia" w:ascii="宋体" w:hAnsi="宋体" w:eastAsia="宋体"/>
        </w:rPr>
        <w:t>技术、服务评议对照表</w:t>
      </w:r>
      <w:bookmarkEnd w:id="221"/>
      <w:bookmarkEnd w:id="222"/>
      <w:bookmarkEnd w:id="223"/>
      <w:bookmarkEnd w:id="224"/>
      <w:bookmarkEnd w:id="225"/>
      <w:bookmarkEnd w:id="226"/>
      <w:bookmarkEnd w:id="22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2481"/>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389"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招标文件技术、服务评分标准</w:t>
            </w:r>
          </w:p>
        </w:tc>
        <w:tc>
          <w:tcPr>
            <w:tcW w:w="2481"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417"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701"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headerReference r:id="rId10" w:type="default"/>
      <w:footerReference r:id="rId11" w:type="default"/>
      <w:pgSz w:w="11906" w:h="16838"/>
      <w:pgMar w:top="1440" w:right="1800" w:bottom="1440" w:left="1800"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821"/>
      </w:tabs>
      <w:rPr>
        <w:rFonts w:ascii="宋体" w:hAnsi="宋体" w:eastAsia="宋体" w:cs="宋体"/>
        <w:kern w:val="0"/>
        <w:sz w:val="18"/>
        <w:szCs w:val="18"/>
        <w:u w:val="single"/>
      </w:rPr>
    </w:pPr>
  </w:p>
  <w:p>
    <w:pPr>
      <w:pStyle w:val="11"/>
      <w:tabs>
        <w:tab w:val="center" w:pos="4153"/>
        <w:tab w:val="right" w:pos="8426"/>
      </w:tabs>
      <w:jc w:val="left"/>
      <w:rPr>
        <w:rFonts w:hint="eastAsia" w:ascii="宋体" w:hAnsi="宋体" w:eastAsia="宋体" w:cs="宋体"/>
        <w:kern w:val="0"/>
        <w:sz w:val="18"/>
        <w:szCs w:val="18"/>
        <w:u w:val="single"/>
      </w:rPr>
    </w:pPr>
    <w:r>
      <w:rPr>
        <w:rFonts w:hint="eastAsia" w:ascii="宋体" w:hAnsi="宋体" w:eastAsia="宋体" w:cs="宋体"/>
        <w:kern w:val="0"/>
        <w:sz w:val="18"/>
        <w:szCs w:val="18"/>
        <w:u w:val="single"/>
      </w:rPr>
      <w:tab/>
    </w:r>
    <w:r>
      <w:rPr>
        <w:rFonts w:hint="eastAsia" w:ascii="宋体" w:hAnsi="宋体" w:eastAsia="宋体" w:cs="宋体"/>
        <w:kern w:val="0"/>
        <w:sz w:val="18"/>
        <w:szCs w:val="18"/>
        <w:u w:val="singl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000000" w:themeColor="text1" w:sz="4" w:space="1"/>
      </w:pBdr>
      <w:tabs>
        <w:tab w:val="clear" w:pos="4153"/>
        <w:tab w:val="clear" w:pos="8306"/>
      </w:tabs>
      <w:ind w:right="-9"/>
      <w:jc w:val="right"/>
    </w:pPr>
    <w:r>
      <w:rPr>
        <w:rFonts w:hint="eastAsia" w:asciiTheme="minorEastAsia" w:hAnsiTheme="minorEastAsia"/>
      </w:rPr>
      <w:t xml:space="preserve"> </w:t>
    </w:r>
  </w:p>
  <w:p>
    <w:pPr>
      <w:pStyle w:val="11"/>
      <w:spacing w:line="14" w:lineRule="auto"/>
      <w:rPr>
        <w:sz w:val="20"/>
      </w:rPr>
    </w:pPr>
  </w:p>
  <w:p>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000000" w:themeColor="text1" w:sz="4" w:space="1"/>
      </w:pBdr>
      <w:tabs>
        <w:tab w:val="clear" w:pos="4153"/>
        <w:tab w:val="clear" w:pos="8306"/>
      </w:tabs>
      <w:ind w:right="-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51</w:t>
                          </w:r>
                          <w:r>
                            <w:fldChar w:fldCharType="end"/>
                          </w:r>
                          <w:r>
                            <w:t xml:space="preserve"> / </w:t>
                          </w:r>
                          <w:r>
                            <w:fldChar w:fldCharType="begin"/>
                          </w:r>
                          <w:r>
                            <w:instrText xml:space="preserve"> NUMPAGES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51</w:t>
                    </w:r>
                    <w:r>
                      <w:fldChar w:fldCharType="end"/>
                    </w:r>
                    <w:r>
                      <w:t xml:space="preserve"> / </w:t>
                    </w:r>
                    <w:r>
                      <w:fldChar w:fldCharType="begin"/>
                    </w:r>
                    <w:r>
                      <w:instrText xml:space="preserve"> NUMPAGES  \* MERGEFORMAT </w:instrText>
                    </w:r>
                    <w:r>
                      <w:fldChar w:fldCharType="separate"/>
                    </w:r>
                    <w:r>
                      <w:t>71</w:t>
                    </w:r>
                    <w:r>
                      <w:fldChar w:fldCharType="end"/>
                    </w:r>
                  </w:p>
                </w:txbxContent>
              </v:textbox>
            </v:shape>
          </w:pict>
        </mc:Fallback>
      </mc:AlternateContent>
    </w:r>
    <w:r>
      <w:rPr>
        <w:rFonts w:hint="eastAsia" w:asciiTheme="minorEastAsia" w:hAnsiTheme="minorEastAsia"/>
      </w:rPr>
      <w:t xml:space="preserve">                                     </w:t>
    </w:r>
  </w:p>
  <w:p>
    <w:pPr>
      <w:pStyle w:val="18"/>
      <w:pBdr>
        <w:top w:val="single" w:color="000000" w:themeColor="text1" w:sz="4" w:space="1"/>
      </w:pBdr>
      <w:tabs>
        <w:tab w:val="clear" w:pos="4153"/>
        <w:tab w:val="clear" w:pos="8306"/>
      </w:tabs>
      <w:ind w:right="-9"/>
      <w:rPr>
        <w:rFonts w:asciiTheme="minorEastAsia" w:hAnsiTheme="minorEastAsia"/>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63" w:rightChars="30"/>
      <w:jc w:val="left"/>
      <w:rPr>
        <w:u w:val="single"/>
      </w:rPr>
    </w:pPr>
    <w:r>
      <w:rPr>
        <w:rFonts w:hint="eastAsia"/>
        <w:b/>
        <w:u w:val="single"/>
        <w:lang w:val="zh-CN"/>
      </w:rPr>
      <w:t>阳新县长江大保护水环境综合治理PPP项目（一期工程）建设项目</w:t>
    </w:r>
    <w:r>
      <w:rPr>
        <w:rFonts w:hint="eastAsia"/>
        <w:b/>
        <w:u w:val="single"/>
        <w:lang w:val="en-US" w:eastAsia="zh-CN"/>
      </w:rPr>
      <w:t>造价咨询</w:t>
    </w:r>
    <w:r>
      <w:rPr>
        <w:rFonts w:hint="eastAsia"/>
        <w:b/>
        <w:u w:val="single"/>
        <w:lang w:val="zh-CN"/>
      </w:rPr>
      <w:t>服务</w:t>
    </w:r>
    <w:r>
      <w:rPr>
        <w:rFonts w:hint="eastAsia"/>
        <w:b/>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63" w:rightChars="30"/>
      <w:jc w:val="left"/>
      <w:rPr>
        <w:b/>
        <w:u w:val="single"/>
      </w:rPr>
    </w:pPr>
    <w:r>
      <w:rPr>
        <w:rFonts w:hint="eastAsia"/>
        <w:b/>
        <w:u w:val="single"/>
      </w:rPr>
      <w:t>阳新县长江大保护水环境综合治理PPP项目（一期工程）</w:t>
    </w:r>
    <w:r>
      <w:rPr>
        <w:rFonts w:hint="eastAsia"/>
        <w:b/>
        <w:u w:val="single"/>
        <w:lang w:val="zh-CN"/>
      </w:rPr>
      <w:t>建设项目</w:t>
    </w:r>
    <w:r>
      <w:rPr>
        <w:rFonts w:hint="eastAsia"/>
        <w:b/>
        <w:u w:val="single"/>
        <w:lang w:val="en-US" w:eastAsia="zh-CN"/>
      </w:rPr>
      <w:t>造价咨询</w:t>
    </w:r>
    <w:r>
      <w:rPr>
        <w:rFonts w:hint="eastAsia"/>
        <w:b/>
        <w:u w:val="single"/>
        <w:lang w:val="zh-CN"/>
      </w:rPr>
      <w:t>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813F5"/>
    <w:multiLevelType w:val="singleLevel"/>
    <w:tmpl w:val="8A4813F5"/>
    <w:lvl w:ilvl="0" w:tentative="0">
      <w:start w:val="1"/>
      <w:numFmt w:val="lowerLetter"/>
      <w:suff w:val="space"/>
      <w:lvlText w:val="%1."/>
      <w:lvlJc w:val="left"/>
    </w:lvl>
  </w:abstractNum>
  <w:abstractNum w:abstractNumId="1">
    <w:nsid w:val="C2CA8481"/>
    <w:multiLevelType w:val="singleLevel"/>
    <w:tmpl w:val="C2CA8481"/>
    <w:lvl w:ilvl="0" w:tentative="0">
      <w:start w:val="1"/>
      <w:numFmt w:val="bullet"/>
      <w:lvlText w:val=""/>
      <w:lvlJc w:val="left"/>
      <w:pPr>
        <w:ind w:left="420" w:hanging="420"/>
      </w:pPr>
      <w:rPr>
        <w:rFonts w:hint="default" w:ascii="Wingdings" w:hAnsi="Wingdings"/>
      </w:rPr>
    </w:lvl>
  </w:abstractNum>
  <w:abstractNum w:abstractNumId="2">
    <w:nsid w:val="D0EE8BA3"/>
    <w:multiLevelType w:val="singleLevel"/>
    <w:tmpl w:val="D0EE8BA3"/>
    <w:lvl w:ilvl="0" w:tentative="0">
      <w:start w:val="2"/>
      <w:numFmt w:val="decimal"/>
      <w:suff w:val="nothing"/>
      <w:lvlText w:val="%1、"/>
      <w:lvlJc w:val="left"/>
    </w:lvl>
  </w:abstractNum>
  <w:abstractNum w:abstractNumId="3">
    <w:nsid w:val="F38705A5"/>
    <w:multiLevelType w:val="singleLevel"/>
    <w:tmpl w:val="F38705A5"/>
    <w:lvl w:ilvl="0" w:tentative="0">
      <w:start w:val="1"/>
      <w:numFmt w:val="chineseCounting"/>
      <w:suff w:val="nothing"/>
      <w:lvlText w:val="%1、"/>
      <w:lvlJc w:val="left"/>
      <w:rPr>
        <w:rFonts w:hint="eastAsia"/>
      </w:rPr>
    </w:lvl>
  </w:abstractNum>
  <w:abstractNum w:abstractNumId="4">
    <w:nsid w:val="00000013"/>
    <w:multiLevelType w:val="multilevel"/>
    <w:tmpl w:val="00000013"/>
    <w:lvl w:ilvl="0" w:tentative="0">
      <w:start w:val="1"/>
      <w:numFmt w:val="decimal"/>
      <w:lvlText w:val="2.%1 "/>
      <w:lvlJc w:val="left"/>
      <w:pPr>
        <w:ind w:left="420" w:hanging="420"/>
      </w:pPr>
      <w:rPr>
        <w:rFonts w:hint="default" w:ascii="仿宋" w:hAnsi="仿宋" w:eastAsia="仿宋"/>
        <w:b/>
        <w:color w:val="auto"/>
      </w:rPr>
    </w:lvl>
    <w:lvl w:ilvl="1" w:tentative="0">
      <w:start w:val="1"/>
      <w:numFmt w:val="decimal"/>
      <w:lvlText w:val="%2、"/>
      <w:lvlJc w:val="left"/>
      <w:pPr>
        <w:ind w:left="1245" w:hanging="8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7"/>
    <w:multiLevelType w:val="multilevel"/>
    <w:tmpl w:val="0000001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8"/>
    <w:multiLevelType w:val="multilevel"/>
    <w:tmpl w:val="00000018"/>
    <w:lvl w:ilvl="0" w:tentative="0">
      <w:start w:val="1"/>
      <w:numFmt w:val="lowerLetter"/>
      <w:lvlText w:val="%1. "/>
      <w:lvlJc w:val="left"/>
      <w:pPr>
        <w:ind w:left="2546"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7">
    <w:nsid w:val="0000001C"/>
    <w:multiLevelType w:val="multilevel"/>
    <w:tmpl w:val="0000001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0"/>
    <w:multiLevelType w:val="multilevel"/>
    <w:tmpl w:val="00000020"/>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1"/>
    <w:multiLevelType w:val="multilevel"/>
    <w:tmpl w:val="00000021"/>
    <w:lvl w:ilvl="0" w:tentative="0">
      <w:start w:val="1"/>
      <w:numFmt w:val="decimal"/>
      <w:lvlText w:val="1.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0">
    <w:nsid w:val="00000025"/>
    <w:multiLevelType w:val="multilevel"/>
    <w:tmpl w:val="00000025"/>
    <w:lvl w:ilvl="0" w:tentative="0">
      <w:start w:val="1"/>
      <w:numFmt w:val="decimal"/>
      <w:lvlText w:val="2.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1">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A"/>
    <w:multiLevelType w:val="multilevel"/>
    <w:tmpl w:val="0000002A"/>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3">
    <w:nsid w:val="00000057"/>
    <w:multiLevelType w:val="multilevel"/>
    <w:tmpl w:val="0000005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58"/>
    <w:multiLevelType w:val="multilevel"/>
    <w:tmpl w:val="00000058"/>
    <w:lvl w:ilvl="0" w:tentative="0">
      <w:start w:val="1"/>
      <w:numFmt w:val="decimal"/>
      <w:lvlText w:val="%1. "/>
      <w:lvlJc w:val="left"/>
      <w:pPr>
        <w:ind w:left="846"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7">
    <w:nsid w:val="00000063"/>
    <w:multiLevelType w:val="multilevel"/>
    <w:tmpl w:val="00000063"/>
    <w:lvl w:ilvl="0" w:tentative="0">
      <w:start w:val="1"/>
      <w:numFmt w:val="decimal"/>
      <w:lvlText w:val="1.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8">
    <w:nsid w:val="00000066"/>
    <w:multiLevelType w:val="multilevel"/>
    <w:tmpl w:val="00000066"/>
    <w:lvl w:ilvl="0" w:tentative="0">
      <w:start w:val="1"/>
      <w:numFmt w:val="decimal"/>
      <w:lvlText w:val="2.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9">
    <w:nsid w:val="0000006C"/>
    <w:multiLevelType w:val="multilevel"/>
    <w:tmpl w:val="0000006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6E"/>
    <w:multiLevelType w:val="multilevel"/>
    <w:tmpl w:val="0000006E"/>
    <w:lvl w:ilvl="0" w:tentative="0">
      <w:start w:val="1"/>
      <w:numFmt w:val="decimal"/>
      <w:lvlText w:val="%1 "/>
      <w:lvlJc w:val="left"/>
      <w:pPr>
        <w:ind w:left="643" w:hanging="420"/>
      </w:pPr>
      <w:rPr>
        <w:rFonts w:hint="default" w:ascii="楷体" w:hAnsi="楷体" w:eastAsia="楷体"/>
        <w:b w:val="0"/>
        <w:strike w:val="0"/>
        <w:color w:val="auto"/>
      </w:rPr>
    </w:lvl>
    <w:lvl w:ilvl="1" w:tentative="0">
      <w:start w:val="1"/>
      <w:numFmt w:val="decimal"/>
      <w:lvlText w:val="(%2) "/>
      <w:lvlJc w:val="left"/>
      <w:pPr>
        <w:ind w:left="840" w:hanging="420"/>
      </w:pPr>
      <w:rPr>
        <w:rFonts w:hint="eastAsia"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71"/>
    <w:multiLevelType w:val="multilevel"/>
    <w:tmpl w:val="00000071"/>
    <w:lvl w:ilvl="0" w:tentative="0">
      <w:start w:val="1"/>
      <w:numFmt w:val="decimal"/>
      <w:lvlText w:val="2.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2">
    <w:nsid w:val="00000072"/>
    <w:multiLevelType w:val="multilevel"/>
    <w:tmpl w:val="00000072"/>
    <w:lvl w:ilvl="0" w:tentative="0">
      <w:start w:val="1"/>
      <w:numFmt w:val="decimal"/>
      <w:lvlText w:val="2.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3">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7C"/>
    <w:multiLevelType w:val="multilevel"/>
    <w:tmpl w:val="0000007C"/>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6">
    <w:nsid w:val="00000086"/>
    <w:multiLevelType w:val="multilevel"/>
    <w:tmpl w:val="00000086"/>
    <w:lvl w:ilvl="0" w:tentative="0">
      <w:start w:val="1"/>
      <w:numFmt w:val="decimal"/>
      <w:lvlText w:val="1.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7">
    <w:nsid w:val="0000008D"/>
    <w:multiLevelType w:val="multilevel"/>
    <w:tmpl w:val="0000008D"/>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0">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3">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7">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43A1834"/>
    <w:multiLevelType w:val="multilevel"/>
    <w:tmpl w:val="143A1834"/>
    <w:lvl w:ilvl="0" w:tentative="0">
      <w:start w:val="1"/>
      <w:numFmt w:val="chineseCountingThousand"/>
      <w:lvlText w:val="附件%1、"/>
      <w:lvlJc w:val="left"/>
      <w:pPr>
        <w:ind w:left="25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0">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1">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4">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5">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6">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7">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1">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4">
    <w:nsid w:val="33020AE6"/>
    <w:multiLevelType w:val="multilevel"/>
    <w:tmpl w:val="33020AE6"/>
    <w:lvl w:ilvl="0" w:tentative="0">
      <w:start w:val="1"/>
      <w:numFmt w:val="decimal"/>
      <w:lvlText w:val="%1"/>
      <w:lvlJc w:val="left"/>
      <w:pPr>
        <w:ind w:left="63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3B44FAA4"/>
    <w:multiLevelType w:val="singleLevel"/>
    <w:tmpl w:val="3B44FAA4"/>
    <w:lvl w:ilvl="0" w:tentative="0">
      <w:start w:val="2"/>
      <w:numFmt w:val="chineseCounting"/>
      <w:suff w:val="nothing"/>
      <w:lvlText w:val="（%1）"/>
      <w:lvlJc w:val="left"/>
      <w:rPr>
        <w:rFonts w:hint="eastAsia"/>
      </w:rPr>
    </w:lvl>
  </w:abstractNum>
  <w:abstractNum w:abstractNumId="58">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0">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1">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2">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4">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0">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2">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75">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8">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81">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64"/>
  </w:num>
  <w:num w:numId="2">
    <w:abstractNumId w:val="54"/>
  </w:num>
  <w:num w:numId="3">
    <w:abstractNumId w:val="62"/>
  </w:num>
  <w:num w:numId="4">
    <w:abstractNumId w:val="42"/>
  </w:num>
  <w:num w:numId="5">
    <w:abstractNumId w:val="33"/>
  </w:num>
  <w:num w:numId="6">
    <w:abstractNumId w:val="71"/>
  </w:num>
  <w:num w:numId="7">
    <w:abstractNumId w:val="55"/>
  </w:num>
  <w:num w:numId="8">
    <w:abstractNumId w:val="31"/>
  </w:num>
  <w:num w:numId="9">
    <w:abstractNumId w:val="67"/>
  </w:num>
  <w:num w:numId="10">
    <w:abstractNumId w:val="53"/>
  </w:num>
  <w:num w:numId="11">
    <w:abstractNumId w:val="32"/>
  </w:num>
  <w:num w:numId="12">
    <w:abstractNumId w:val="47"/>
  </w:num>
  <w:num w:numId="13">
    <w:abstractNumId w:val="48"/>
  </w:num>
  <w:num w:numId="14">
    <w:abstractNumId w:val="36"/>
  </w:num>
  <w:num w:numId="15">
    <w:abstractNumId w:val="35"/>
  </w:num>
  <w:num w:numId="16">
    <w:abstractNumId w:val="78"/>
  </w:num>
  <w:num w:numId="17">
    <w:abstractNumId w:val="37"/>
  </w:num>
  <w:num w:numId="18">
    <w:abstractNumId w:val="52"/>
  </w:num>
  <w:num w:numId="19">
    <w:abstractNumId w:val="58"/>
  </w:num>
  <w:num w:numId="20">
    <w:abstractNumId w:val="61"/>
  </w:num>
  <w:num w:numId="21">
    <w:abstractNumId w:val="81"/>
  </w:num>
  <w:num w:numId="22">
    <w:abstractNumId w:val="66"/>
  </w:num>
  <w:num w:numId="23">
    <w:abstractNumId w:val="75"/>
  </w:num>
  <w:num w:numId="24">
    <w:abstractNumId w:val="79"/>
  </w:num>
  <w:num w:numId="25">
    <w:abstractNumId w:val="65"/>
  </w:num>
  <w:num w:numId="26">
    <w:abstractNumId w:val="34"/>
  </w:num>
  <w:num w:numId="27">
    <w:abstractNumId w:val="46"/>
  </w:num>
  <w:num w:numId="28">
    <w:abstractNumId w:val="76"/>
  </w:num>
  <w:num w:numId="29">
    <w:abstractNumId w:val="72"/>
  </w:num>
  <w:num w:numId="30">
    <w:abstractNumId w:val="60"/>
  </w:num>
  <w:num w:numId="31">
    <w:abstractNumId w:val="70"/>
  </w:num>
  <w:num w:numId="32">
    <w:abstractNumId w:val="49"/>
  </w:num>
  <w:num w:numId="33">
    <w:abstractNumId w:val="73"/>
  </w:num>
  <w:num w:numId="34">
    <w:abstractNumId w:val="30"/>
  </w:num>
  <w:num w:numId="35">
    <w:abstractNumId w:val="3"/>
  </w:num>
  <w:num w:numId="36">
    <w:abstractNumId w:val="57"/>
  </w:num>
  <w:num w:numId="37">
    <w:abstractNumId w:val="2"/>
  </w:num>
  <w:num w:numId="38">
    <w:abstractNumId w:val="23"/>
  </w:num>
  <w:num w:numId="39">
    <w:abstractNumId w:val="15"/>
  </w:num>
  <w:num w:numId="40">
    <w:abstractNumId w:val="14"/>
  </w:num>
  <w:num w:numId="41">
    <w:abstractNumId w:val="24"/>
  </w:num>
  <w:num w:numId="42">
    <w:abstractNumId w:val="9"/>
  </w:num>
  <w:num w:numId="43">
    <w:abstractNumId w:val="20"/>
  </w:num>
  <w:num w:numId="44">
    <w:abstractNumId w:val="1"/>
  </w:num>
  <w:num w:numId="45">
    <w:abstractNumId w:val="26"/>
  </w:num>
  <w:num w:numId="46">
    <w:abstractNumId w:val="8"/>
  </w:num>
  <w:num w:numId="47">
    <w:abstractNumId w:val="13"/>
  </w:num>
  <w:num w:numId="48">
    <w:abstractNumId w:val="6"/>
  </w:num>
  <w:num w:numId="49">
    <w:abstractNumId w:val="17"/>
  </w:num>
  <w:num w:numId="50">
    <w:abstractNumId w:val="16"/>
  </w:num>
  <w:num w:numId="51">
    <w:abstractNumId w:val="28"/>
  </w:num>
  <w:num w:numId="52">
    <w:abstractNumId w:val="56"/>
  </w:num>
  <w:num w:numId="53">
    <w:abstractNumId w:val="44"/>
  </w:num>
  <w:num w:numId="54">
    <w:abstractNumId w:val="69"/>
  </w:num>
  <w:num w:numId="55">
    <w:abstractNumId w:val="82"/>
  </w:num>
  <w:num w:numId="56">
    <w:abstractNumId w:val="45"/>
  </w:num>
  <w:num w:numId="57">
    <w:abstractNumId w:val="43"/>
  </w:num>
  <w:num w:numId="58">
    <w:abstractNumId w:val="29"/>
  </w:num>
  <w:num w:numId="59">
    <w:abstractNumId w:val="68"/>
    <w:lvlOverride w:ilvl="0">
      <w:startOverride w:val="1"/>
    </w:lvlOverride>
  </w:num>
  <w:num w:numId="60">
    <w:abstractNumId w:val="40"/>
  </w:num>
  <w:num w:numId="61">
    <w:abstractNumId w:val="50"/>
  </w:num>
  <w:num w:numId="62">
    <w:abstractNumId w:val="80"/>
  </w:num>
  <w:num w:numId="63">
    <w:abstractNumId w:val="74"/>
  </w:num>
  <w:num w:numId="64">
    <w:abstractNumId w:val="63"/>
  </w:num>
  <w:num w:numId="65">
    <w:abstractNumId w:val="39"/>
  </w:num>
  <w:num w:numId="66">
    <w:abstractNumId w:val="25"/>
  </w:num>
  <w:num w:numId="67">
    <w:abstractNumId w:val="4"/>
  </w:num>
  <w:num w:numId="68">
    <w:abstractNumId w:val="21"/>
  </w:num>
  <w:num w:numId="69">
    <w:abstractNumId w:val="7"/>
  </w:num>
  <w:num w:numId="70">
    <w:abstractNumId w:val="5"/>
  </w:num>
  <w:num w:numId="71">
    <w:abstractNumId w:val="10"/>
  </w:num>
  <w:num w:numId="72">
    <w:abstractNumId w:val="27"/>
  </w:num>
  <w:num w:numId="73">
    <w:abstractNumId w:val="19"/>
  </w:num>
  <w:num w:numId="74">
    <w:abstractNumId w:val="0"/>
  </w:num>
  <w:num w:numId="75">
    <w:abstractNumId w:val="12"/>
  </w:num>
  <w:num w:numId="76">
    <w:abstractNumId w:val="22"/>
  </w:num>
  <w:num w:numId="77">
    <w:abstractNumId w:val="18"/>
  </w:num>
  <w:num w:numId="78">
    <w:abstractNumId w:val="11"/>
  </w:num>
  <w:num w:numId="79">
    <w:abstractNumId w:val="59"/>
  </w:num>
  <w:num w:numId="80">
    <w:abstractNumId w:val="77"/>
  </w:num>
  <w:num w:numId="81">
    <w:abstractNumId w:val="38"/>
  </w:num>
  <w:num w:numId="82">
    <w:abstractNumId w:val="41"/>
  </w:num>
  <w:num w:numId="8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97"/>
    <w:rsid w:val="00104893"/>
    <w:rsid w:val="0016212E"/>
    <w:rsid w:val="006839D2"/>
    <w:rsid w:val="007D7A97"/>
    <w:rsid w:val="0085195F"/>
    <w:rsid w:val="00954EC6"/>
    <w:rsid w:val="00A66A13"/>
    <w:rsid w:val="00BD3B1A"/>
    <w:rsid w:val="00C37398"/>
    <w:rsid w:val="00C51144"/>
    <w:rsid w:val="01357B89"/>
    <w:rsid w:val="01394650"/>
    <w:rsid w:val="01735916"/>
    <w:rsid w:val="01812BB4"/>
    <w:rsid w:val="01934AD0"/>
    <w:rsid w:val="01A53163"/>
    <w:rsid w:val="01A67F7C"/>
    <w:rsid w:val="01F2160E"/>
    <w:rsid w:val="01FC15A9"/>
    <w:rsid w:val="02000E9B"/>
    <w:rsid w:val="02780977"/>
    <w:rsid w:val="02A32FD1"/>
    <w:rsid w:val="02E42301"/>
    <w:rsid w:val="02EE3595"/>
    <w:rsid w:val="03311FBB"/>
    <w:rsid w:val="03396AA6"/>
    <w:rsid w:val="03606F82"/>
    <w:rsid w:val="03DB0A6E"/>
    <w:rsid w:val="041E2228"/>
    <w:rsid w:val="045A5B2F"/>
    <w:rsid w:val="047F4F47"/>
    <w:rsid w:val="04972903"/>
    <w:rsid w:val="04D676DE"/>
    <w:rsid w:val="052A3F51"/>
    <w:rsid w:val="05430E21"/>
    <w:rsid w:val="05686B51"/>
    <w:rsid w:val="05827C52"/>
    <w:rsid w:val="05BE5A34"/>
    <w:rsid w:val="05C352F7"/>
    <w:rsid w:val="05C75B4A"/>
    <w:rsid w:val="05ED27D9"/>
    <w:rsid w:val="061C459C"/>
    <w:rsid w:val="063A744B"/>
    <w:rsid w:val="06592C6B"/>
    <w:rsid w:val="065A7316"/>
    <w:rsid w:val="068D4100"/>
    <w:rsid w:val="06955E3A"/>
    <w:rsid w:val="06DA1516"/>
    <w:rsid w:val="06DF4032"/>
    <w:rsid w:val="07567DD3"/>
    <w:rsid w:val="07880630"/>
    <w:rsid w:val="07BB3D95"/>
    <w:rsid w:val="081B7CA1"/>
    <w:rsid w:val="08443A86"/>
    <w:rsid w:val="08663167"/>
    <w:rsid w:val="08890E50"/>
    <w:rsid w:val="08DD49AA"/>
    <w:rsid w:val="08E57AAB"/>
    <w:rsid w:val="09073106"/>
    <w:rsid w:val="09105369"/>
    <w:rsid w:val="09196DC4"/>
    <w:rsid w:val="094E2AF7"/>
    <w:rsid w:val="09F36E94"/>
    <w:rsid w:val="0A1218F7"/>
    <w:rsid w:val="0A451F1E"/>
    <w:rsid w:val="0A641D6F"/>
    <w:rsid w:val="0A8B5B5B"/>
    <w:rsid w:val="0A8F155B"/>
    <w:rsid w:val="0AAB3E8C"/>
    <w:rsid w:val="0AB43976"/>
    <w:rsid w:val="0AD82DEB"/>
    <w:rsid w:val="0B1B1F6F"/>
    <w:rsid w:val="0B2C58E7"/>
    <w:rsid w:val="0B2E793C"/>
    <w:rsid w:val="0B6A4C7D"/>
    <w:rsid w:val="0B83006B"/>
    <w:rsid w:val="0B997AC2"/>
    <w:rsid w:val="0BB24C39"/>
    <w:rsid w:val="0BC01D0B"/>
    <w:rsid w:val="0C160804"/>
    <w:rsid w:val="0C342025"/>
    <w:rsid w:val="0C7053DC"/>
    <w:rsid w:val="0CC064B0"/>
    <w:rsid w:val="0D49653A"/>
    <w:rsid w:val="0D7620F8"/>
    <w:rsid w:val="0D7D77F5"/>
    <w:rsid w:val="0DA45667"/>
    <w:rsid w:val="0DAE7D9A"/>
    <w:rsid w:val="0DAF6309"/>
    <w:rsid w:val="0DBC04BA"/>
    <w:rsid w:val="0E09418F"/>
    <w:rsid w:val="0E2C256B"/>
    <w:rsid w:val="0E372641"/>
    <w:rsid w:val="0E685720"/>
    <w:rsid w:val="0E6D0F94"/>
    <w:rsid w:val="0E923279"/>
    <w:rsid w:val="0EC57C3B"/>
    <w:rsid w:val="0EEB51F0"/>
    <w:rsid w:val="0EFB4B5B"/>
    <w:rsid w:val="0F1830F5"/>
    <w:rsid w:val="0F347277"/>
    <w:rsid w:val="0F3D6275"/>
    <w:rsid w:val="0F5041CA"/>
    <w:rsid w:val="0FE27614"/>
    <w:rsid w:val="10351326"/>
    <w:rsid w:val="10B647EA"/>
    <w:rsid w:val="10DF479C"/>
    <w:rsid w:val="1139667B"/>
    <w:rsid w:val="115F4064"/>
    <w:rsid w:val="11994994"/>
    <w:rsid w:val="12041922"/>
    <w:rsid w:val="12166E24"/>
    <w:rsid w:val="125D5A45"/>
    <w:rsid w:val="12D24541"/>
    <w:rsid w:val="13227DE6"/>
    <w:rsid w:val="13921285"/>
    <w:rsid w:val="139605E5"/>
    <w:rsid w:val="13CE7AAA"/>
    <w:rsid w:val="14000567"/>
    <w:rsid w:val="140046E1"/>
    <w:rsid w:val="140517CA"/>
    <w:rsid w:val="14580086"/>
    <w:rsid w:val="14805505"/>
    <w:rsid w:val="14836210"/>
    <w:rsid w:val="14A10DD7"/>
    <w:rsid w:val="14C017FE"/>
    <w:rsid w:val="14E1247B"/>
    <w:rsid w:val="15380EB3"/>
    <w:rsid w:val="15902E2B"/>
    <w:rsid w:val="159F6D20"/>
    <w:rsid w:val="15DB02B1"/>
    <w:rsid w:val="15EA7414"/>
    <w:rsid w:val="15F270A0"/>
    <w:rsid w:val="167126BF"/>
    <w:rsid w:val="16D14ECF"/>
    <w:rsid w:val="17273ADD"/>
    <w:rsid w:val="17283F09"/>
    <w:rsid w:val="17631117"/>
    <w:rsid w:val="17635723"/>
    <w:rsid w:val="176A2725"/>
    <w:rsid w:val="17C6207A"/>
    <w:rsid w:val="17EC422A"/>
    <w:rsid w:val="18280A7D"/>
    <w:rsid w:val="18676DDD"/>
    <w:rsid w:val="186F6F18"/>
    <w:rsid w:val="188F4518"/>
    <w:rsid w:val="189864CE"/>
    <w:rsid w:val="18C90957"/>
    <w:rsid w:val="18F238C7"/>
    <w:rsid w:val="191475F4"/>
    <w:rsid w:val="192C7D52"/>
    <w:rsid w:val="192D3334"/>
    <w:rsid w:val="198D6725"/>
    <w:rsid w:val="19C86102"/>
    <w:rsid w:val="19CA348C"/>
    <w:rsid w:val="19E740FD"/>
    <w:rsid w:val="1A3D63F9"/>
    <w:rsid w:val="1A5C424B"/>
    <w:rsid w:val="1A6F2DEB"/>
    <w:rsid w:val="1A972F71"/>
    <w:rsid w:val="1AE7520B"/>
    <w:rsid w:val="1B0B673A"/>
    <w:rsid w:val="1B315A3C"/>
    <w:rsid w:val="1BAF1290"/>
    <w:rsid w:val="1BD6074C"/>
    <w:rsid w:val="1BF432CC"/>
    <w:rsid w:val="1C050231"/>
    <w:rsid w:val="1C142F0A"/>
    <w:rsid w:val="1C225EE3"/>
    <w:rsid w:val="1C5438B3"/>
    <w:rsid w:val="1C62261B"/>
    <w:rsid w:val="1CB75083"/>
    <w:rsid w:val="1CEC2A56"/>
    <w:rsid w:val="1CEE7C20"/>
    <w:rsid w:val="1D1D47A9"/>
    <w:rsid w:val="1D292C8E"/>
    <w:rsid w:val="1D463E6A"/>
    <w:rsid w:val="1DF74B29"/>
    <w:rsid w:val="1E3621D6"/>
    <w:rsid w:val="1EA01CAD"/>
    <w:rsid w:val="1ED41720"/>
    <w:rsid w:val="1F202DC6"/>
    <w:rsid w:val="1F2F5894"/>
    <w:rsid w:val="1F3A759F"/>
    <w:rsid w:val="20344724"/>
    <w:rsid w:val="20C428DD"/>
    <w:rsid w:val="210C30D0"/>
    <w:rsid w:val="211617B0"/>
    <w:rsid w:val="21267239"/>
    <w:rsid w:val="2132474C"/>
    <w:rsid w:val="21990178"/>
    <w:rsid w:val="222642DD"/>
    <w:rsid w:val="225477BC"/>
    <w:rsid w:val="225C4C5D"/>
    <w:rsid w:val="22B16BE0"/>
    <w:rsid w:val="22CA292F"/>
    <w:rsid w:val="22E76C94"/>
    <w:rsid w:val="22F55462"/>
    <w:rsid w:val="232B0AE9"/>
    <w:rsid w:val="233C3B12"/>
    <w:rsid w:val="2357306E"/>
    <w:rsid w:val="238F73B2"/>
    <w:rsid w:val="23DE5B2B"/>
    <w:rsid w:val="240452EC"/>
    <w:rsid w:val="24151E4A"/>
    <w:rsid w:val="24212F0F"/>
    <w:rsid w:val="24803D11"/>
    <w:rsid w:val="2482353D"/>
    <w:rsid w:val="24B44D19"/>
    <w:rsid w:val="252C08C2"/>
    <w:rsid w:val="253B229E"/>
    <w:rsid w:val="253E0CF1"/>
    <w:rsid w:val="254540B4"/>
    <w:rsid w:val="255A03BF"/>
    <w:rsid w:val="25646B9E"/>
    <w:rsid w:val="25825B30"/>
    <w:rsid w:val="25A4435D"/>
    <w:rsid w:val="25F94123"/>
    <w:rsid w:val="26052B58"/>
    <w:rsid w:val="260B3690"/>
    <w:rsid w:val="26495241"/>
    <w:rsid w:val="265E1AB4"/>
    <w:rsid w:val="267115C0"/>
    <w:rsid w:val="268E2D61"/>
    <w:rsid w:val="26E80A9F"/>
    <w:rsid w:val="26EC5890"/>
    <w:rsid w:val="26F10154"/>
    <w:rsid w:val="271F3C20"/>
    <w:rsid w:val="272519B2"/>
    <w:rsid w:val="2734496F"/>
    <w:rsid w:val="275E6ABD"/>
    <w:rsid w:val="27722837"/>
    <w:rsid w:val="27946F59"/>
    <w:rsid w:val="27E03C45"/>
    <w:rsid w:val="28166FD2"/>
    <w:rsid w:val="28237B98"/>
    <w:rsid w:val="2854262E"/>
    <w:rsid w:val="285957A2"/>
    <w:rsid w:val="2860312F"/>
    <w:rsid w:val="28631649"/>
    <w:rsid w:val="28991A1A"/>
    <w:rsid w:val="28BF110A"/>
    <w:rsid w:val="2913630D"/>
    <w:rsid w:val="29421584"/>
    <w:rsid w:val="296C7CD3"/>
    <w:rsid w:val="29AF4013"/>
    <w:rsid w:val="29EB2E33"/>
    <w:rsid w:val="2A160307"/>
    <w:rsid w:val="2A681BE5"/>
    <w:rsid w:val="2A772C58"/>
    <w:rsid w:val="2A8750E8"/>
    <w:rsid w:val="2A8A5DCF"/>
    <w:rsid w:val="2AB20E09"/>
    <w:rsid w:val="2B597443"/>
    <w:rsid w:val="2B5E2B35"/>
    <w:rsid w:val="2B851BE1"/>
    <w:rsid w:val="2B856DFE"/>
    <w:rsid w:val="2BB34C5B"/>
    <w:rsid w:val="2BCC1843"/>
    <w:rsid w:val="2BD56AE4"/>
    <w:rsid w:val="2BF00EE9"/>
    <w:rsid w:val="2C0C18DD"/>
    <w:rsid w:val="2C40459E"/>
    <w:rsid w:val="2C6858AA"/>
    <w:rsid w:val="2C911EE0"/>
    <w:rsid w:val="2D392319"/>
    <w:rsid w:val="2D861D15"/>
    <w:rsid w:val="2DBF5E0B"/>
    <w:rsid w:val="2DC3301F"/>
    <w:rsid w:val="2DE538E8"/>
    <w:rsid w:val="2DE60387"/>
    <w:rsid w:val="2DEE15AA"/>
    <w:rsid w:val="2E592EF5"/>
    <w:rsid w:val="2E6D3924"/>
    <w:rsid w:val="2E920522"/>
    <w:rsid w:val="2EE926FC"/>
    <w:rsid w:val="2FAA7F74"/>
    <w:rsid w:val="2FCB19D2"/>
    <w:rsid w:val="2FDE34CE"/>
    <w:rsid w:val="2FEF5F12"/>
    <w:rsid w:val="300F686F"/>
    <w:rsid w:val="30956D56"/>
    <w:rsid w:val="30B307F6"/>
    <w:rsid w:val="312B4F7A"/>
    <w:rsid w:val="313F4D1E"/>
    <w:rsid w:val="31590A5E"/>
    <w:rsid w:val="32132A0C"/>
    <w:rsid w:val="32371A51"/>
    <w:rsid w:val="329167CB"/>
    <w:rsid w:val="32A10A06"/>
    <w:rsid w:val="32B549F3"/>
    <w:rsid w:val="32BC2797"/>
    <w:rsid w:val="32C36177"/>
    <w:rsid w:val="32D94E73"/>
    <w:rsid w:val="32EC3746"/>
    <w:rsid w:val="32FA117F"/>
    <w:rsid w:val="33492A8A"/>
    <w:rsid w:val="334F08B2"/>
    <w:rsid w:val="33507E5E"/>
    <w:rsid w:val="335E7911"/>
    <w:rsid w:val="33A96228"/>
    <w:rsid w:val="33AB5872"/>
    <w:rsid w:val="34500D23"/>
    <w:rsid w:val="34575DB4"/>
    <w:rsid w:val="34A740D5"/>
    <w:rsid w:val="34C22221"/>
    <w:rsid w:val="34E51D7E"/>
    <w:rsid w:val="35354CBA"/>
    <w:rsid w:val="353A2679"/>
    <w:rsid w:val="353D6440"/>
    <w:rsid w:val="35610582"/>
    <w:rsid w:val="358F6B3E"/>
    <w:rsid w:val="35A73908"/>
    <w:rsid w:val="35C366E7"/>
    <w:rsid w:val="36303068"/>
    <w:rsid w:val="3637699C"/>
    <w:rsid w:val="36BA7625"/>
    <w:rsid w:val="37172BF2"/>
    <w:rsid w:val="37204E23"/>
    <w:rsid w:val="374B727A"/>
    <w:rsid w:val="374C76ED"/>
    <w:rsid w:val="377F20E2"/>
    <w:rsid w:val="378051D9"/>
    <w:rsid w:val="37A83733"/>
    <w:rsid w:val="37DC0704"/>
    <w:rsid w:val="38195F89"/>
    <w:rsid w:val="383062DF"/>
    <w:rsid w:val="385C673F"/>
    <w:rsid w:val="38C94F0C"/>
    <w:rsid w:val="39285C60"/>
    <w:rsid w:val="39397DD8"/>
    <w:rsid w:val="396C0A6C"/>
    <w:rsid w:val="39792B18"/>
    <w:rsid w:val="39991F4B"/>
    <w:rsid w:val="39B1229D"/>
    <w:rsid w:val="39C13624"/>
    <w:rsid w:val="39C13896"/>
    <w:rsid w:val="39C50133"/>
    <w:rsid w:val="3A03049E"/>
    <w:rsid w:val="3A05517B"/>
    <w:rsid w:val="3A2A45C0"/>
    <w:rsid w:val="3A341A7D"/>
    <w:rsid w:val="3AE53C08"/>
    <w:rsid w:val="3B3141DA"/>
    <w:rsid w:val="3B7325D3"/>
    <w:rsid w:val="3BC461B6"/>
    <w:rsid w:val="3C4E0781"/>
    <w:rsid w:val="3C833CCB"/>
    <w:rsid w:val="3C981D79"/>
    <w:rsid w:val="3CB91AC7"/>
    <w:rsid w:val="3CBE5145"/>
    <w:rsid w:val="3CCF118E"/>
    <w:rsid w:val="3CF51DCA"/>
    <w:rsid w:val="3D1E5950"/>
    <w:rsid w:val="3D20764E"/>
    <w:rsid w:val="3D3D5D5E"/>
    <w:rsid w:val="3DDD59AC"/>
    <w:rsid w:val="3E227AF1"/>
    <w:rsid w:val="3E6C5665"/>
    <w:rsid w:val="3E6D25CC"/>
    <w:rsid w:val="3E7E6F52"/>
    <w:rsid w:val="3E8E34E8"/>
    <w:rsid w:val="3EB82BBF"/>
    <w:rsid w:val="3EBF3A73"/>
    <w:rsid w:val="3EC87956"/>
    <w:rsid w:val="3ECC389E"/>
    <w:rsid w:val="3EEE1D8D"/>
    <w:rsid w:val="3F055DAC"/>
    <w:rsid w:val="3F533A3C"/>
    <w:rsid w:val="3F543091"/>
    <w:rsid w:val="3FB35848"/>
    <w:rsid w:val="40150E53"/>
    <w:rsid w:val="402E257C"/>
    <w:rsid w:val="4053680B"/>
    <w:rsid w:val="405A23C5"/>
    <w:rsid w:val="40A508FA"/>
    <w:rsid w:val="40B87FA3"/>
    <w:rsid w:val="40C74908"/>
    <w:rsid w:val="40E43502"/>
    <w:rsid w:val="41015470"/>
    <w:rsid w:val="410775CE"/>
    <w:rsid w:val="410D352D"/>
    <w:rsid w:val="41121FB4"/>
    <w:rsid w:val="412739A4"/>
    <w:rsid w:val="412F2E02"/>
    <w:rsid w:val="416A2F22"/>
    <w:rsid w:val="41F36CB5"/>
    <w:rsid w:val="41F703A2"/>
    <w:rsid w:val="422E7146"/>
    <w:rsid w:val="42337488"/>
    <w:rsid w:val="427349C2"/>
    <w:rsid w:val="42D8312F"/>
    <w:rsid w:val="42E35FDC"/>
    <w:rsid w:val="43232B46"/>
    <w:rsid w:val="43960B0B"/>
    <w:rsid w:val="43B15CBA"/>
    <w:rsid w:val="440661D5"/>
    <w:rsid w:val="44162DAC"/>
    <w:rsid w:val="441B5B8D"/>
    <w:rsid w:val="44201B14"/>
    <w:rsid w:val="443915EC"/>
    <w:rsid w:val="4446163A"/>
    <w:rsid w:val="44852938"/>
    <w:rsid w:val="44B14384"/>
    <w:rsid w:val="44B35C8D"/>
    <w:rsid w:val="44E872DF"/>
    <w:rsid w:val="44EA0CF9"/>
    <w:rsid w:val="450A484A"/>
    <w:rsid w:val="452B0593"/>
    <w:rsid w:val="452E20FC"/>
    <w:rsid w:val="45753869"/>
    <w:rsid w:val="45AA1663"/>
    <w:rsid w:val="45AF72C7"/>
    <w:rsid w:val="45B8235E"/>
    <w:rsid w:val="45C35EC8"/>
    <w:rsid w:val="461C21FA"/>
    <w:rsid w:val="461E2347"/>
    <w:rsid w:val="462D7404"/>
    <w:rsid w:val="465A0E4D"/>
    <w:rsid w:val="46670BDD"/>
    <w:rsid w:val="46C23FA8"/>
    <w:rsid w:val="46DF7EF7"/>
    <w:rsid w:val="47225794"/>
    <w:rsid w:val="47463C86"/>
    <w:rsid w:val="477A7558"/>
    <w:rsid w:val="47862F78"/>
    <w:rsid w:val="47A262BE"/>
    <w:rsid w:val="47C3274A"/>
    <w:rsid w:val="47E4504C"/>
    <w:rsid w:val="47EA6828"/>
    <w:rsid w:val="483230D2"/>
    <w:rsid w:val="489A0A31"/>
    <w:rsid w:val="48C41427"/>
    <w:rsid w:val="48D47EDF"/>
    <w:rsid w:val="4919661D"/>
    <w:rsid w:val="493C61FE"/>
    <w:rsid w:val="494245A1"/>
    <w:rsid w:val="499E1256"/>
    <w:rsid w:val="499E219C"/>
    <w:rsid w:val="49BA6573"/>
    <w:rsid w:val="4A3144EA"/>
    <w:rsid w:val="4A682B50"/>
    <w:rsid w:val="4ADA01B8"/>
    <w:rsid w:val="4ADD0A4F"/>
    <w:rsid w:val="4AEE6968"/>
    <w:rsid w:val="4AF042FE"/>
    <w:rsid w:val="4B1C70B8"/>
    <w:rsid w:val="4B8621CA"/>
    <w:rsid w:val="4B892E44"/>
    <w:rsid w:val="4B8C648F"/>
    <w:rsid w:val="4BAB09C9"/>
    <w:rsid w:val="4BAD6E2C"/>
    <w:rsid w:val="4C3563F9"/>
    <w:rsid w:val="4C6161CE"/>
    <w:rsid w:val="4C74641A"/>
    <w:rsid w:val="4C811AF8"/>
    <w:rsid w:val="4CBF6AF4"/>
    <w:rsid w:val="4CE23903"/>
    <w:rsid w:val="4CFC366E"/>
    <w:rsid w:val="4D034608"/>
    <w:rsid w:val="4D192698"/>
    <w:rsid w:val="4D2F17EF"/>
    <w:rsid w:val="4D386906"/>
    <w:rsid w:val="4DB3423A"/>
    <w:rsid w:val="4DC63BE4"/>
    <w:rsid w:val="4DC74489"/>
    <w:rsid w:val="4DCE3059"/>
    <w:rsid w:val="4DD61DB1"/>
    <w:rsid w:val="4E462338"/>
    <w:rsid w:val="4E666C9B"/>
    <w:rsid w:val="4E7222A8"/>
    <w:rsid w:val="4E9557F2"/>
    <w:rsid w:val="4F022E62"/>
    <w:rsid w:val="4F0B11A9"/>
    <w:rsid w:val="4F563B4C"/>
    <w:rsid w:val="4F711948"/>
    <w:rsid w:val="4F8F2FCA"/>
    <w:rsid w:val="4F92560F"/>
    <w:rsid w:val="4FA175D5"/>
    <w:rsid w:val="4FCC27F3"/>
    <w:rsid w:val="4FE35647"/>
    <w:rsid w:val="50295209"/>
    <w:rsid w:val="50821ADA"/>
    <w:rsid w:val="50B54BE6"/>
    <w:rsid w:val="50C56AEC"/>
    <w:rsid w:val="50D024D6"/>
    <w:rsid w:val="51550A8C"/>
    <w:rsid w:val="517320AE"/>
    <w:rsid w:val="517A234D"/>
    <w:rsid w:val="517F0BCD"/>
    <w:rsid w:val="51F226B5"/>
    <w:rsid w:val="52012B32"/>
    <w:rsid w:val="52217AE5"/>
    <w:rsid w:val="5250314C"/>
    <w:rsid w:val="525F3DA5"/>
    <w:rsid w:val="526A12B2"/>
    <w:rsid w:val="526C5D4D"/>
    <w:rsid w:val="5272144B"/>
    <w:rsid w:val="52774E00"/>
    <w:rsid w:val="52791960"/>
    <w:rsid w:val="527F002A"/>
    <w:rsid w:val="52C42E4A"/>
    <w:rsid w:val="52C54EB6"/>
    <w:rsid w:val="52E72925"/>
    <w:rsid w:val="531227AB"/>
    <w:rsid w:val="5320519F"/>
    <w:rsid w:val="533A70CD"/>
    <w:rsid w:val="53FF5D72"/>
    <w:rsid w:val="542E736F"/>
    <w:rsid w:val="543D3309"/>
    <w:rsid w:val="54583EEE"/>
    <w:rsid w:val="54855564"/>
    <w:rsid w:val="54CE5360"/>
    <w:rsid w:val="54D25ADB"/>
    <w:rsid w:val="54E447EF"/>
    <w:rsid w:val="551F3F7A"/>
    <w:rsid w:val="5527119C"/>
    <w:rsid w:val="55306814"/>
    <w:rsid w:val="55384D9D"/>
    <w:rsid w:val="554C47A1"/>
    <w:rsid w:val="555A52F5"/>
    <w:rsid w:val="555F62FA"/>
    <w:rsid w:val="55672FCC"/>
    <w:rsid w:val="557578CB"/>
    <w:rsid w:val="55BD2A47"/>
    <w:rsid w:val="55C06939"/>
    <w:rsid w:val="55CB2505"/>
    <w:rsid w:val="55CE7A30"/>
    <w:rsid w:val="55E33014"/>
    <w:rsid w:val="55ED4EE8"/>
    <w:rsid w:val="560359DB"/>
    <w:rsid w:val="561D6B1F"/>
    <w:rsid w:val="563A5CCE"/>
    <w:rsid w:val="56741A53"/>
    <w:rsid w:val="568F0AC5"/>
    <w:rsid w:val="56B767CA"/>
    <w:rsid w:val="56C355B1"/>
    <w:rsid w:val="56CC2494"/>
    <w:rsid w:val="570775E8"/>
    <w:rsid w:val="572A4399"/>
    <w:rsid w:val="574C2511"/>
    <w:rsid w:val="577D1E8A"/>
    <w:rsid w:val="57CE0652"/>
    <w:rsid w:val="57F62749"/>
    <w:rsid w:val="58A22E26"/>
    <w:rsid w:val="58E504BB"/>
    <w:rsid w:val="58EA7CF4"/>
    <w:rsid w:val="591A4785"/>
    <w:rsid w:val="59235CF5"/>
    <w:rsid w:val="5963338C"/>
    <w:rsid w:val="596F7C9B"/>
    <w:rsid w:val="59EA27CF"/>
    <w:rsid w:val="5A0E0B45"/>
    <w:rsid w:val="5A1D18B2"/>
    <w:rsid w:val="5A502B6F"/>
    <w:rsid w:val="5A864B67"/>
    <w:rsid w:val="5AB07DFA"/>
    <w:rsid w:val="5B03575C"/>
    <w:rsid w:val="5B2E1D48"/>
    <w:rsid w:val="5B3D5D30"/>
    <w:rsid w:val="5B436FA0"/>
    <w:rsid w:val="5B5E2B6D"/>
    <w:rsid w:val="5B84306E"/>
    <w:rsid w:val="5BC23327"/>
    <w:rsid w:val="5BEF63FC"/>
    <w:rsid w:val="5C1C55B8"/>
    <w:rsid w:val="5C2F1E35"/>
    <w:rsid w:val="5C4E55C8"/>
    <w:rsid w:val="5C6C0C5C"/>
    <w:rsid w:val="5C901FBA"/>
    <w:rsid w:val="5C992619"/>
    <w:rsid w:val="5C9C2E86"/>
    <w:rsid w:val="5CE9360B"/>
    <w:rsid w:val="5D2975E8"/>
    <w:rsid w:val="5D5B6855"/>
    <w:rsid w:val="5DC91E64"/>
    <w:rsid w:val="5DDC45A2"/>
    <w:rsid w:val="5E14627D"/>
    <w:rsid w:val="5E3528C1"/>
    <w:rsid w:val="5E4F502B"/>
    <w:rsid w:val="5E5059BD"/>
    <w:rsid w:val="5EDC06D4"/>
    <w:rsid w:val="5EE36DED"/>
    <w:rsid w:val="5F0418D3"/>
    <w:rsid w:val="5F1B470D"/>
    <w:rsid w:val="5F2C7550"/>
    <w:rsid w:val="5F367F47"/>
    <w:rsid w:val="5F923A10"/>
    <w:rsid w:val="5FA34BD6"/>
    <w:rsid w:val="60070D83"/>
    <w:rsid w:val="602A14A2"/>
    <w:rsid w:val="603A7520"/>
    <w:rsid w:val="604E2B42"/>
    <w:rsid w:val="605D18BA"/>
    <w:rsid w:val="608921B0"/>
    <w:rsid w:val="60AF0E46"/>
    <w:rsid w:val="60B0016D"/>
    <w:rsid w:val="60B90162"/>
    <w:rsid w:val="60BC146A"/>
    <w:rsid w:val="60BD632F"/>
    <w:rsid w:val="60CC582C"/>
    <w:rsid w:val="60DC3821"/>
    <w:rsid w:val="60FA5AB5"/>
    <w:rsid w:val="60FF44A5"/>
    <w:rsid w:val="611711BB"/>
    <w:rsid w:val="6152116F"/>
    <w:rsid w:val="617F6A0E"/>
    <w:rsid w:val="618B4A86"/>
    <w:rsid w:val="621E7C01"/>
    <w:rsid w:val="62886DF3"/>
    <w:rsid w:val="62913EAB"/>
    <w:rsid w:val="62A879C1"/>
    <w:rsid w:val="62D81508"/>
    <w:rsid w:val="62D94166"/>
    <w:rsid w:val="62FB7442"/>
    <w:rsid w:val="6339244A"/>
    <w:rsid w:val="63D10BB9"/>
    <w:rsid w:val="63FF0B0C"/>
    <w:rsid w:val="643A3F08"/>
    <w:rsid w:val="646B0673"/>
    <w:rsid w:val="64923E2B"/>
    <w:rsid w:val="64C31087"/>
    <w:rsid w:val="65187B55"/>
    <w:rsid w:val="65566962"/>
    <w:rsid w:val="655911AC"/>
    <w:rsid w:val="656C4D3D"/>
    <w:rsid w:val="65A22FF3"/>
    <w:rsid w:val="65BE2D97"/>
    <w:rsid w:val="660F25A7"/>
    <w:rsid w:val="663C0E2F"/>
    <w:rsid w:val="66910E07"/>
    <w:rsid w:val="66B24FDE"/>
    <w:rsid w:val="66D80427"/>
    <w:rsid w:val="66FB7852"/>
    <w:rsid w:val="675C7AE6"/>
    <w:rsid w:val="67BE2E1F"/>
    <w:rsid w:val="67E23162"/>
    <w:rsid w:val="67FA22B3"/>
    <w:rsid w:val="68366F66"/>
    <w:rsid w:val="683977DC"/>
    <w:rsid w:val="68A058FA"/>
    <w:rsid w:val="68A75FE5"/>
    <w:rsid w:val="68AC2C86"/>
    <w:rsid w:val="6902723F"/>
    <w:rsid w:val="6955546F"/>
    <w:rsid w:val="697854C6"/>
    <w:rsid w:val="698C04BA"/>
    <w:rsid w:val="69977FAA"/>
    <w:rsid w:val="69A83646"/>
    <w:rsid w:val="69D02025"/>
    <w:rsid w:val="6A0D06B1"/>
    <w:rsid w:val="6AB278D1"/>
    <w:rsid w:val="6AD3770D"/>
    <w:rsid w:val="6AD73EEE"/>
    <w:rsid w:val="6B7633F7"/>
    <w:rsid w:val="6B780D47"/>
    <w:rsid w:val="6B7E2F12"/>
    <w:rsid w:val="6BB0552F"/>
    <w:rsid w:val="6BF446C7"/>
    <w:rsid w:val="6C7817AD"/>
    <w:rsid w:val="6C874160"/>
    <w:rsid w:val="6C926EFF"/>
    <w:rsid w:val="6CA42688"/>
    <w:rsid w:val="6CAE5A71"/>
    <w:rsid w:val="6CC51003"/>
    <w:rsid w:val="6CF17040"/>
    <w:rsid w:val="6D16198C"/>
    <w:rsid w:val="6D164463"/>
    <w:rsid w:val="6D377C7B"/>
    <w:rsid w:val="6D653E2E"/>
    <w:rsid w:val="6DA90604"/>
    <w:rsid w:val="6DC858A6"/>
    <w:rsid w:val="6DF86D88"/>
    <w:rsid w:val="6E042452"/>
    <w:rsid w:val="6E354AB1"/>
    <w:rsid w:val="6E423EEE"/>
    <w:rsid w:val="6E445E5C"/>
    <w:rsid w:val="6E505296"/>
    <w:rsid w:val="6E671776"/>
    <w:rsid w:val="6E9165E0"/>
    <w:rsid w:val="6EAF2D70"/>
    <w:rsid w:val="6EC6701F"/>
    <w:rsid w:val="6EDF58E3"/>
    <w:rsid w:val="6EF16791"/>
    <w:rsid w:val="6EF1700E"/>
    <w:rsid w:val="6F04259C"/>
    <w:rsid w:val="6F3A6C0E"/>
    <w:rsid w:val="6F7B2B68"/>
    <w:rsid w:val="6FAF72A0"/>
    <w:rsid w:val="6FE93A8E"/>
    <w:rsid w:val="700C4178"/>
    <w:rsid w:val="70306E0F"/>
    <w:rsid w:val="706A71DC"/>
    <w:rsid w:val="708236DE"/>
    <w:rsid w:val="709246E5"/>
    <w:rsid w:val="70996B6D"/>
    <w:rsid w:val="70B70B34"/>
    <w:rsid w:val="70D07A55"/>
    <w:rsid w:val="70D34B02"/>
    <w:rsid w:val="70EC7C38"/>
    <w:rsid w:val="71425B20"/>
    <w:rsid w:val="71676109"/>
    <w:rsid w:val="71905529"/>
    <w:rsid w:val="71AF6E97"/>
    <w:rsid w:val="71D758DC"/>
    <w:rsid w:val="72663898"/>
    <w:rsid w:val="72822C70"/>
    <w:rsid w:val="72857723"/>
    <w:rsid w:val="729E0FBA"/>
    <w:rsid w:val="72D40700"/>
    <w:rsid w:val="72D96964"/>
    <w:rsid w:val="73856221"/>
    <w:rsid w:val="73AB4FAD"/>
    <w:rsid w:val="73FF3CD4"/>
    <w:rsid w:val="740A5DF5"/>
    <w:rsid w:val="74294242"/>
    <w:rsid w:val="74344BDA"/>
    <w:rsid w:val="745F30ED"/>
    <w:rsid w:val="747921A6"/>
    <w:rsid w:val="74D16C4E"/>
    <w:rsid w:val="74D21800"/>
    <w:rsid w:val="74D454F5"/>
    <w:rsid w:val="75432EBA"/>
    <w:rsid w:val="757409A5"/>
    <w:rsid w:val="75742D4C"/>
    <w:rsid w:val="7578254D"/>
    <w:rsid w:val="75993D67"/>
    <w:rsid w:val="75E038D7"/>
    <w:rsid w:val="760C0203"/>
    <w:rsid w:val="761C1357"/>
    <w:rsid w:val="762B7B66"/>
    <w:rsid w:val="764842DB"/>
    <w:rsid w:val="76A616E7"/>
    <w:rsid w:val="76C221F7"/>
    <w:rsid w:val="76C448E1"/>
    <w:rsid w:val="76D54F04"/>
    <w:rsid w:val="771947C5"/>
    <w:rsid w:val="775F1B87"/>
    <w:rsid w:val="776659F6"/>
    <w:rsid w:val="776D2D83"/>
    <w:rsid w:val="77DF4D70"/>
    <w:rsid w:val="7824064E"/>
    <w:rsid w:val="782D2C54"/>
    <w:rsid w:val="783640D6"/>
    <w:rsid w:val="783D1C8F"/>
    <w:rsid w:val="787865F4"/>
    <w:rsid w:val="787C2E12"/>
    <w:rsid w:val="78BF53AA"/>
    <w:rsid w:val="78DF156D"/>
    <w:rsid w:val="78E029EF"/>
    <w:rsid w:val="78E2330F"/>
    <w:rsid w:val="79222811"/>
    <w:rsid w:val="79637242"/>
    <w:rsid w:val="79836923"/>
    <w:rsid w:val="79932B48"/>
    <w:rsid w:val="79E508C0"/>
    <w:rsid w:val="7A0B0A9A"/>
    <w:rsid w:val="7A317024"/>
    <w:rsid w:val="7A3845DE"/>
    <w:rsid w:val="7A663F63"/>
    <w:rsid w:val="7AB70EA2"/>
    <w:rsid w:val="7ABE1345"/>
    <w:rsid w:val="7AC70CB7"/>
    <w:rsid w:val="7AF80E94"/>
    <w:rsid w:val="7B2A3375"/>
    <w:rsid w:val="7B362385"/>
    <w:rsid w:val="7B417A9D"/>
    <w:rsid w:val="7B721609"/>
    <w:rsid w:val="7B7A1288"/>
    <w:rsid w:val="7BF56AEB"/>
    <w:rsid w:val="7C593512"/>
    <w:rsid w:val="7C931472"/>
    <w:rsid w:val="7C99498C"/>
    <w:rsid w:val="7CA0257E"/>
    <w:rsid w:val="7CA71EBE"/>
    <w:rsid w:val="7CA769FE"/>
    <w:rsid w:val="7CAD64BE"/>
    <w:rsid w:val="7CB92C14"/>
    <w:rsid w:val="7CC113BE"/>
    <w:rsid w:val="7CEC097F"/>
    <w:rsid w:val="7D76210A"/>
    <w:rsid w:val="7D895627"/>
    <w:rsid w:val="7D9576AB"/>
    <w:rsid w:val="7DA57EB8"/>
    <w:rsid w:val="7DB065FE"/>
    <w:rsid w:val="7DB93C70"/>
    <w:rsid w:val="7DC46C1D"/>
    <w:rsid w:val="7DC7327B"/>
    <w:rsid w:val="7E083E3B"/>
    <w:rsid w:val="7E377905"/>
    <w:rsid w:val="7E9958AD"/>
    <w:rsid w:val="7EF722B6"/>
    <w:rsid w:val="7F5558D5"/>
    <w:rsid w:val="7F5759DD"/>
    <w:rsid w:val="7F9D15B6"/>
    <w:rsid w:val="7FB157BB"/>
    <w:rsid w:val="7FE507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link w:val="5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4"/>
    <w:unhideWhenUsed/>
    <w:qFormat/>
    <w:uiPriority w:val="99"/>
    <w:pPr>
      <w:widowControl w:val="0"/>
      <w:ind w:left="200" w:leftChars="200" w:firstLine="420" w:firstLineChars="200"/>
    </w:pPr>
    <w:rPr>
      <w:rFonts w:asciiTheme="minorHAnsi" w:hAnsiTheme="minorHAnsi" w:cstheme="minorBidi"/>
      <w:szCs w:val="22"/>
    </w:rPr>
  </w:style>
  <w:style w:type="paragraph" w:styleId="3">
    <w:name w:val="Body Text Indent"/>
    <w:basedOn w:val="1"/>
    <w:next w:val="1"/>
    <w:link w:val="53"/>
    <w:unhideWhenUsed/>
    <w:qFormat/>
    <w:uiPriority w:val="99"/>
    <w:pPr>
      <w:widowControl/>
      <w:spacing w:after="120"/>
      <w:ind w:left="420"/>
    </w:pPr>
    <w:rPr>
      <w:rFonts w:ascii="Times New Roman" w:hAnsi="Times New Roman" w:cs="Times New Roman"/>
      <w:szCs w:val="21"/>
    </w:rPr>
  </w:style>
  <w:style w:type="paragraph" w:styleId="9">
    <w:name w:val="Normal Indent"/>
    <w:basedOn w:val="1"/>
    <w:link w:val="47"/>
    <w:qFormat/>
    <w:uiPriority w:val="0"/>
    <w:pPr>
      <w:ind w:firstLine="420"/>
    </w:pPr>
  </w:style>
  <w:style w:type="paragraph" w:styleId="10">
    <w:name w:val="annotation text"/>
    <w:basedOn w:val="1"/>
    <w:link w:val="41"/>
    <w:unhideWhenUsed/>
    <w:qFormat/>
    <w:uiPriority w:val="99"/>
    <w:pPr>
      <w:jc w:val="left"/>
    </w:pPr>
  </w:style>
  <w:style w:type="paragraph" w:styleId="11">
    <w:name w:val="Body Text"/>
    <w:basedOn w:val="1"/>
    <w:next w:val="1"/>
    <w:link w:val="52"/>
    <w:semiHidden/>
    <w:unhideWhenUsed/>
    <w:qFormat/>
    <w:uiPriority w:val="99"/>
    <w:pPr>
      <w:spacing w:after="120"/>
    </w:pPr>
  </w:style>
  <w:style w:type="paragraph" w:styleId="12">
    <w:name w:val="Block Text"/>
    <w:basedOn w:val="1"/>
    <w:qFormat/>
    <w:uiPriority w:val="6"/>
    <w:pPr>
      <w:spacing w:line="360" w:lineRule="auto"/>
      <w:ind w:left="630" w:right="-609" w:firstLine="420"/>
    </w:pPr>
    <w:rPr>
      <w:rFonts w:ascii="仿宋_GB2312" w:hAnsi="仿宋_GB2312" w:eastAsia="仿宋_GB2312"/>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link w:val="44"/>
    <w:qFormat/>
    <w:uiPriority w:val="0"/>
    <w:rPr>
      <w:rFonts w:ascii="宋体" w:hAnsi="Courier New" w:cs="Courier New"/>
      <w:szCs w:val="21"/>
    </w:rPr>
  </w:style>
  <w:style w:type="paragraph" w:styleId="15">
    <w:name w:val="Date"/>
    <w:basedOn w:val="1"/>
    <w:next w:val="1"/>
    <w:link w:val="57"/>
    <w:semiHidden/>
    <w:unhideWhenUsed/>
    <w:qFormat/>
    <w:uiPriority w:val="99"/>
    <w:pPr>
      <w:ind w:left="100" w:leftChars="2500"/>
    </w:pPr>
  </w:style>
  <w:style w:type="paragraph" w:styleId="16">
    <w:name w:val="endnote text"/>
    <w:basedOn w:val="1"/>
    <w:link w:val="43"/>
    <w:unhideWhenUsed/>
    <w:qFormat/>
    <w:uiPriority w:val="99"/>
    <w:pPr>
      <w:snapToGrid w:val="0"/>
      <w:jc w:val="left"/>
    </w:pPr>
  </w:style>
  <w:style w:type="paragraph" w:styleId="17">
    <w:name w:val="Balloon Text"/>
    <w:basedOn w:val="1"/>
    <w:link w:val="37"/>
    <w:unhideWhenUsed/>
    <w:qFormat/>
    <w:uiPriority w:val="99"/>
    <w:rPr>
      <w:sz w:val="18"/>
      <w:szCs w:val="18"/>
    </w:rPr>
  </w:style>
  <w:style w:type="paragraph" w:styleId="18">
    <w:name w:val="footer"/>
    <w:basedOn w:val="1"/>
    <w:link w:val="36"/>
    <w:unhideWhenUsed/>
    <w:qFormat/>
    <w:uiPriority w:val="0"/>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line="440" w:lineRule="exact"/>
      <w:jc w:val="left"/>
    </w:pPr>
    <w:rPr>
      <w:rFonts w:eastAsia="黑体"/>
      <w:b/>
      <w:kern w:val="0"/>
      <w:sz w:val="28"/>
    </w:rPr>
  </w:style>
  <w:style w:type="paragraph" w:styleId="21">
    <w:name w:val="toc 2"/>
    <w:basedOn w:val="22"/>
    <w:next w:val="5"/>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22">
    <w:name w:val="引用1"/>
    <w:basedOn w:val="1"/>
    <w:next w:val="1"/>
    <w:link w:val="46"/>
    <w:qFormat/>
    <w:uiPriority w:val="29"/>
    <w:rPr>
      <w:i/>
      <w:iCs/>
      <w:color w:val="000000" w:themeColor="text1"/>
      <w14:textFill>
        <w14:solidFill>
          <w14:schemeClr w14:val="tx1"/>
        </w14:solidFill>
      </w14:textFill>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annotation subject"/>
    <w:basedOn w:val="10"/>
    <w:next w:val="10"/>
    <w:link w:val="48"/>
    <w:unhideWhenUsed/>
    <w:qFormat/>
    <w:uiPriority w:val="99"/>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rPr>
  </w:style>
  <w:style w:type="character" w:styleId="29">
    <w:name w:val="endnote reference"/>
    <w:basedOn w:val="27"/>
    <w:unhideWhenUsed/>
    <w:qFormat/>
    <w:uiPriority w:val="99"/>
    <w:rPr>
      <w:vertAlign w:val="superscript"/>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qFormat/>
    <w:uiPriority w:val="99"/>
    <w:rPr>
      <w:sz w:val="21"/>
    </w:rPr>
  </w:style>
  <w:style w:type="paragraph" w:customStyle="1" w:styleId="32">
    <w:name w:val="正文（缩进）"/>
    <w:basedOn w:val="1"/>
    <w:qFormat/>
    <w:uiPriority w:val="0"/>
    <w:pPr>
      <w:spacing w:before="156" w:after="156"/>
    </w:pPr>
  </w:style>
  <w:style w:type="paragraph" w:customStyle="1" w:styleId="3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35">
    <w:name w:val="页眉 Char"/>
    <w:basedOn w:val="27"/>
    <w:link w:val="19"/>
    <w:qFormat/>
    <w:uiPriority w:val="99"/>
    <w:rPr>
      <w:sz w:val="18"/>
      <w:szCs w:val="18"/>
    </w:rPr>
  </w:style>
  <w:style w:type="character" w:customStyle="1" w:styleId="36">
    <w:name w:val="页脚 Char"/>
    <w:basedOn w:val="27"/>
    <w:link w:val="18"/>
    <w:qFormat/>
    <w:uiPriority w:val="99"/>
    <w:rPr>
      <w:sz w:val="18"/>
      <w:szCs w:val="18"/>
    </w:rPr>
  </w:style>
  <w:style w:type="character" w:customStyle="1" w:styleId="37">
    <w:name w:val="批注框文本 Char"/>
    <w:basedOn w:val="27"/>
    <w:link w:val="17"/>
    <w:semiHidden/>
    <w:qFormat/>
    <w:uiPriority w:val="99"/>
    <w:rPr>
      <w:sz w:val="18"/>
      <w:szCs w:val="18"/>
    </w:rPr>
  </w:style>
  <w:style w:type="paragraph" w:customStyle="1" w:styleId="38">
    <w:name w:val="列出段落1"/>
    <w:basedOn w:val="1"/>
    <w:qFormat/>
    <w:uiPriority w:val="34"/>
    <w:pPr>
      <w:ind w:firstLine="420" w:firstLineChars="200"/>
    </w:pPr>
  </w:style>
  <w:style w:type="character" w:customStyle="1" w:styleId="39">
    <w:name w:val="标题 1 Char"/>
    <w:basedOn w:val="27"/>
    <w:link w:val="4"/>
    <w:qFormat/>
    <w:uiPriority w:val="9"/>
    <w:rPr>
      <w:b/>
      <w:bCs/>
      <w:kern w:val="44"/>
      <w:sz w:val="44"/>
      <w:szCs w:val="44"/>
    </w:rPr>
  </w:style>
  <w:style w:type="paragraph" w:customStyle="1" w:styleId="4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文字 Char"/>
    <w:basedOn w:val="27"/>
    <w:link w:val="10"/>
    <w:qFormat/>
    <w:uiPriority w:val="99"/>
  </w:style>
  <w:style w:type="character" w:customStyle="1" w:styleId="42">
    <w:name w:val="标题 2 Char"/>
    <w:basedOn w:val="27"/>
    <w:link w:val="5"/>
    <w:qFormat/>
    <w:uiPriority w:val="9"/>
    <w:rPr>
      <w:rFonts w:asciiTheme="majorHAnsi" w:hAnsiTheme="majorHAnsi" w:eastAsiaTheme="majorEastAsia" w:cstheme="majorBidi"/>
      <w:b/>
      <w:bCs/>
      <w:sz w:val="32"/>
      <w:szCs w:val="32"/>
    </w:rPr>
  </w:style>
  <w:style w:type="character" w:customStyle="1" w:styleId="43">
    <w:name w:val="尾注文本 Char"/>
    <w:basedOn w:val="27"/>
    <w:link w:val="16"/>
    <w:semiHidden/>
    <w:qFormat/>
    <w:uiPriority w:val="99"/>
  </w:style>
  <w:style w:type="character" w:customStyle="1" w:styleId="44">
    <w:name w:val="纯文本 Char"/>
    <w:link w:val="14"/>
    <w:qFormat/>
    <w:uiPriority w:val="0"/>
    <w:rPr>
      <w:rFonts w:ascii="宋体" w:hAnsi="Courier New" w:cs="Courier New"/>
      <w:szCs w:val="21"/>
    </w:rPr>
  </w:style>
  <w:style w:type="character" w:customStyle="1" w:styleId="45">
    <w:name w:val="纯文本 Char1"/>
    <w:basedOn w:val="27"/>
    <w:semiHidden/>
    <w:qFormat/>
    <w:uiPriority w:val="99"/>
    <w:rPr>
      <w:rFonts w:ascii="宋体" w:hAnsi="Courier New" w:eastAsia="宋体" w:cs="Courier New"/>
      <w:szCs w:val="21"/>
    </w:rPr>
  </w:style>
  <w:style w:type="character" w:customStyle="1" w:styleId="46">
    <w:name w:val="引用 Char"/>
    <w:basedOn w:val="27"/>
    <w:link w:val="22"/>
    <w:qFormat/>
    <w:uiPriority w:val="29"/>
    <w:rPr>
      <w:i/>
      <w:iCs/>
      <w:color w:val="000000" w:themeColor="text1"/>
      <w14:textFill>
        <w14:solidFill>
          <w14:schemeClr w14:val="tx1"/>
        </w14:solidFill>
      </w14:textFill>
    </w:rPr>
  </w:style>
  <w:style w:type="character" w:customStyle="1" w:styleId="47">
    <w:name w:val="正文缩进 Char"/>
    <w:link w:val="9"/>
    <w:qFormat/>
    <w:uiPriority w:val="0"/>
  </w:style>
  <w:style w:type="character" w:customStyle="1" w:styleId="48">
    <w:name w:val="批注主题 Char"/>
    <w:basedOn w:val="41"/>
    <w:link w:val="24"/>
    <w:semiHidden/>
    <w:qFormat/>
    <w:uiPriority w:val="99"/>
    <w:rPr>
      <w:b/>
      <w:bCs/>
    </w:rPr>
  </w:style>
  <w:style w:type="paragraph" w:customStyle="1" w:styleId="49">
    <w:name w:val="列出段落2"/>
    <w:basedOn w:val="1"/>
    <w:unhideWhenUsed/>
    <w:qFormat/>
    <w:uiPriority w:val="99"/>
    <w:pPr>
      <w:ind w:firstLine="420" w:firstLineChars="200"/>
    </w:pPr>
  </w:style>
  <w:style w:type="paragraph" w:customStyle="1" w:styleId="50">
    <w:name w:val="_Style 1"/>
    <w:qFormat/>
    <w:uiPriority w:val="1"/>
    <w:pPr>
      <w:adjustRightInd w:val="0"/>
      <w:snapToGrid w:val="0"/>
    </w:pPr>
    <w:rPr>
      <w:rFonts w:ascii="Tahoma" w:hAnsi="Tahoma" w:eastAsia="宋体" w:cs="Times New Roman"/>
      <w:sz w:val="22"/>
      <w:szCs w:val="22"/>
      <w:lang w:val="en-US" w:eastAsia="zh-CN" w:bidi="ar-SA"/>
    </w:rPr>
  </w:style>
  <w:style w:type="paragraph" w:styleId="51">
    <w:name w:val="List Paragraph"/>
    <w:basedOn w:val="1"/>
    <w:unhideWhenUsed/>
    <w:qFormat/>
    <w:uiPriority w:val="99"/>
    <w:pPr>
      <w:ind w:firstLine="420" w:firstLineChars="200"/>
    </w:pPr>
  </w:style>
  <w:style w:type="character" w:customStyle="1" w:styleId="52">
    <w:name w:val="正文文本 Char"/>
    <w:basedOn w:val="27"/>
    <w:link w:val="11"/>
    <w:semiHidden/>
    <w:qFormat/>
    <w:uiPriority w:val="99"/>
    <w:rPr>
      <w:rFonts w:asciiTheme="minorHAnsi" w:hAnsiTheme="minorHAnsi" w:eastAsiaTheme="minorEastAsia" w:cstheme="minorBidi"/>
      <w:kern w:val="2"/>
      <w:sz w:val="21"/>
      <w:szCs w:val="22"/>
    </w:rPr>
  </w:style>
  <w:style w:type="character" w:customStyle="1" w:styleId="53">
    <w:name w:val="正文文本缩进 Char"/>
    <w:basedOn w:val="27"/>
    <w:link w:val="3"/>
    <w:qFormat/>
    <w:uiPriority w:val="99"/>
    <w:rPr>
      <w:rFonts w:eastAsiaTheme="minorEastAsia"/>
      <w:kern w:val="2"/>
      <w:sz w:val="21"/>
      <w:szCs w:val="21"/>
    </w:rPr>
  </w:style>
  <w:style w:type="character" w:customStyle="1" w:styleId="54">
    <w:name w:val="正文首行缩进 2 Char"/>
    <w:basedOn w:val="53"/>
    <w:link w:val="2"/>
    <w:qFormat/>
    <w:uiPriority w:val="0"/>
    <w:rPr>
      <w:rFonts w:eastAsiaTheme="minorEastAsia"/>
      <w:kern w:val="2"/>
      <w:sz w:val="21"/>
      <w:szCs w:val="21"/>
    </w:rPr>
  </w:style>
  <w:style w:type="paragraph" w:customStyle="1" w:styleId="55">
    <w:name w:val="Table Paragraph"/>
    <w:basedOn w:val="1"/>
    <w:qFormat/>
    <w:uiPriority w:val="1"/>
    <w:pPr>
      <w:autoSpaceDE w:val="0"/>
      <w:autoSpaceDN w:val="0"/>
      <w:jc w:val="left"/>
    </w:pPr>
    <w:rPr>
      <w:rFonts w:ascii="宋体" w:hAnsi="宋体" w:eastAsia="宋体" w:cs="宋体"/>
      <w:kern w:val="0"/>
      <w:sz w:val="22"/>
    </w:rPr>
  </w:style>
  <w:style w:type="paragraph" w:customStyle="1" w:styleId="56">
    <w:name w:val="正文文本 (2)1"/>
    <w:basedOn w:val="1"/>
    <w:qFormat/>
    <w:uiPriority w:val="0"/>
    <w:pPr>
      <w:shd w:val="clear" w:color="auto" w:fill="FFFFFF"/>
      <w:autoSpaceDE w:val="0"/>
      <w:autoSpaceDN w:val="0"/>
      <w:spacing w:line="408" w:lineRule="exact"/>
      <w:ind w:hanging="480"/>
      <w:jc w:val="distribute"/>
    </w:pPr>
    <w:rPr>
      <w:rFonts w:ascii="MingLiU" w:hAnsi="MingLiU" w:eastAsia="MingLiU"/>
      <w:kern w:val="0"/>
      <w:sz w:val="22"/>
    </w:rPr>
  </w:style>
  <w:style w:type="character" w:customStyle="1" w:styleId="57">
    <w:name w:val="日期 Char"/>
    <w:basedOn w:val="27"/>
    <w:link w:val="15"/>
    <w:semiHidden/>
    <w:qFormat/>
    <w:uiPriority w:val="99"/>
    <w:rPr>
      <w:rFonts w:asciiTheme="minorHAnsi" w:hAnsiTheme="minorHAnsi" w:eastAsiaTheme="minorEastAsia" w:cstheme="minorBidi"/>
      <w:kern w:val="2"/>
      <w:sz w:val="21"/>
      <w:szCs w:val="22"/>
    </w:rPr>
  </w:style>
  <w:style w:type="character" w:customStyle="1" w:styleId="58">
    <w:name w:val="标题 4 Char"/>
    <w:basedOn w:val="27"/>
    <w:link w:val="7"/>
    <w:semiHidden/>
    <w:qFormat/>
    <w:uiPriority w:val="9"/>
    <w:rPr>
      <w:rFonts w:asciiTheme="majorHAnsi" w:hAnsiTheme="majorHAnsi" w:eastAsiaTheme="majorEastAsia" w:cstheme="majorBidi"/>
      <w:b/>
      <w:bCs/>
      <w:kern w:val="2"/>
      <w:sz w:val="28"/>
      <w:szCs w:val="28"/>
    </w:rPr>
  </w:style>
  <w:style w:type="paragraph" w:customStyle="1" w:styleId="59">
    <w:name w:val="表格文字"/>
    <w:basedOn w:val="1"/>
    <w:qFormat/>
    <w:uiPriority w:val="0"/>
    <w:pPr>
      <w:spacing w:before="25" w:after="25"/>
      <w:jc w:val="left"/>
    </w:pPr>
    <w:rPr>
      <w:bCs/>
      <w:spacing w:val="10"/>
      <w:kern w:val="0"/>
      <w:sz w:val="24"/>
    </w:rPr>
  </w:style>
  <w:style w:type="paragraph" w:styleId="60">
    <w:name w:val="No Spacing"/>
    <w:qFormat/>
    <w:uiPriority w:val="1"/>
    <w:pPr>
      <w:widowControl w:val="0"/>
      <w:jc w:val="both"/>
    </w:pPr>
    <w:rPr>
      <w:rFonts w:ascii="Times New Roman" w:hAnsi="Times New Roman" w:eastAsia="宋体" w:cs="Times New Roman"/>
      <w:kern w:val="2"/>
      <w:sz w:val="21"/>
      <w:lang w:val="en-US" w:eastAsia="zh-CN" w:bidi="ar-SA"/>
    </w:rPr>
  </w:style>
  <w:style w:type="table" w:customStyle="1" w:styleId="6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06252-4601-4A5E-AE79-CDBBFC0DFCB3}">
  <ds:schemaRefs/>
</ds:datastoreItem>
</file>

<file path=docProps/app.xml><?xml version="1.0" encoding="utf-8"?>
<Properties xmlns="http://schemas.openxmlformats.org/officeDocument/2006/extended-properties" xmlns:vt="http://schemas.openxmlformats.org/officeDocument/2006/docPropsVTypes">
  <Template>Normal</Template>
  <Pages>63</Pages>
  <Words>28106</Words>
  <Characters>28981</Characters>
  <Lines>257</Lines>
  <Paragraphs>72</Paragraphs>
  <TotalTime>18</TotalTime>
  <ScaleCrop>false</ScaleCrop>
  <LinksUpToDate>false</LinksUpToDate>
  <CharactersWithSpaces>30439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Administrator</dc:creator>
  <cp:lastModifiedBy>123</cp:lastModifiedBy>
  <cp:lastPrinted>2022-02-11T05:08:00Z</cp:lastPrinted>
  <dcterms:modified xsi:type="dcterms:W3CDTF">2022-03-29T06:44:50Z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6E6A71D98CE847C0BDA3082A19D57E4B</vt:lpwstr>
  </property>
</Properties>
</file>