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color w:val="000000" w:themeColor="text1"/>
          <w:w w:val="120"/>
          <w:sz w:val="52"/>
          <w:szCs w:val="52"/>
          <w14:textFill>
            <w14:solidFill>
              <w14:schemeClr w14:val="tx1"/>
            </w14:solidFill>
          </w14:textFill>
        </w:rPr>
      </w:pPr>
    </w:p>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17"/>
      </w:pPr>
    </w:p>
    <w:p>
      <w:pPr>
        <w:pStyle w:val="11"/>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rPr>
          <w:rFonts w:hint="default"/>
          <w:bCs/>
          <w:color w:val="000000" w:themeColor="text1"/>
          <w:sz w:val="32"/>
          <w:szCs w:val="32"/>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lang w:eastAsia="zh-CN"/>
          <w14:textFill>
            <w14:solidFill>
              <w14:schemeClr w14:val="tx1"/>
            </w14:solidFill>
          </w14:textFill>
        </w:rPr>
        <w:t>131-2022CG-</w:t>
      </w:r>
      <w:r>
        <w:rPr>
          <w:rFonts w:hint="eastAsia"/>
          <w:bCs/>
          <w:color w:val="000000" w:themeColor="text1"/>
          <w:sz w:val="32"/>
          <w:szCs w:val="32"/>
          <w:lang w:val="en-US" w:eastAsia="zh-CN"/>
          <w14:textFill>
            <w14:solidFill>
              <w14:schemeClr w14:val="tx1"/>
            </w14:solidFill>
          </w14:textFill>
        </w:rPr>
        <w:t>029</w:t>
      </w:r>
    </w:p>
    <w:p>
      <w:pPr>
        <w:spacing w:line="480" w:lineRule="auto"/>
        <w:rPr>
          <w:rFonts w:hint="eastAsia"/>
          <w:bCs/>
          <w:color w:val="000000" w:themeColor="text1"/>
          <w:sz w:val="32"/>
          <w:szCs w:val="32"/>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 购 人：</w:t>
      </w:r>
      <w:r>
        <w:rPr>
          <w:rFonts w:hint="eastAsia"/>
          <w:bCs/>
          <w:color w:val="000000" w:themeColor="text1"/>
          <w:sz w:val="32"/>
          <w:szCs w:val="32"/>
          <w:lang w:eastAsia="zh-CN"/>
          <w14:textFill>
            <w14:solidFill>
              <w14:schemeClr w14:val="tx1"/>
            </w14:solidFill>
          </w14:textFill>
        </w:rPr>
        <w:t>阳新县血吸虫病防治所</w:t>
      </w:r>
    </w:p>
    <w:p>
      <w:pPr>
        <w:spacing w:line="480" w:lineRule="auto"/>
        <w:rPr>
          <w:rFonts w:hint="eastAsia"/>
          <w:bCs/>
          <w:color w:val="000000" w:themeColor="text1"/>
          <w:sz w:val="32"/>
          <w:szCs w:val="32"/>
          <w:lang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bCs/>
          <w:color w:val="000000" w:themeColor="text1"/>
          <w:sz w:val="32"/>
          <w:szCs w:val="32"/>
          <w:lang w:eastAsia="zh-CN"/>
          <w14:textFill>
            <w14:solidFill>
              <w14:schemeClr w14:val="tx1"/>
            </w14:solidFill>
          </w14:textFill>
        </w:rPr>
        <w:t>阳新县2022年灭螺与防治药品采购项目（二次）</w:t>
      </w:r>
    </w:p>
    <w:p>
      <w:pPr>
        <w:spacing w:line="480" w:lineRule="auto"/>
        <w:rPr>
          <w:rFonts w:hint="eastAsia" w:eastAsiaTheme="minorEastAsia"/>
          <w:bCs/>
          <w:color w:val="000000" w:themeColor="text1"/>
          <w:sz w:val="30"/>
          <w:szCs w:val="30"/>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z w:val="32"/>
          <w:szCs w:val="32"/>
          <w:lang w:eastAsia="zh-CN"/>
          <w14:textFill>
            <w14:solidFill>
              <w14:schemeClr w14:val="tx1"/>
            </w14:solidFill>
          </w14:textFill>
        </w:rPr>
        <w:t>灭螺与防治药品</w:t>
      </w:r>
    </w:p>
    <w:p>
      <w:pPr>
        <w:spacing w:line="480" w:lineRule="auto"/>
        <w:ind w:firstLine="960" w:firstLineChars="300"/>
        <w:jc w:val="center"/>
        <w:rPr>
          <w:rFonts w:hint="eastAsia" w:eastAsiaTheme="minorEastAsia"/>
          <w:bCs/>
          <w:color w:val="000000" w:themeColor="text1"/>
          <w:sz w:val="32"/>
          <w:szCs w:val="32"/>
          <w:u w:val="single"/>
          <w:lang w:eastAsia="zh-CN"/>
          <w14:textFill>
            <w14:solidFill>
              <w14:schemeClr w14:val="tx1"/>
            </w14:solidFill>
          </w14:textFill>
        </w:rPr>
      </w:pPr>
    </w:p>
    <w:p>
      <w:pPr>
        <w:pStyle w:val="2"/>
        <w:rPr>
          <w:rFonts w:hint="eastAsia"/>
          <w:lang w:eastAsia="zh-CN"/>
        </w:rPr>
      </w:pPr>
    </w:p>
    <w:p>
      <w:pPr>
        <w:adjustRightInd w:val="0"/>
        <w:snapToGrid w:val="0"/>
        <w:jc w:val="center"/>
        <w:rPr>
          <w:rFonts w:hint="default"/>
          <w:bCs/>
          <w:snapToGrid w:val="0"/>
          <w:color w:val="000000" w:themeColor="text1"/>
          <w:kern w:val="0"/>
          <w:position w:val="-98"/>
          <w:sz w:val="56"/>
          <w:szCs w:val="56"/>
          <w:lang w:val="en-US" w:eastAsia="zh-CN"/>
          <w14:textFill>
            <w14:solidFill>
              <w14:schemeClr w14:val="tx1"/>
            </w14:solidFill>
          </w14:textFill>
        </w:rPr>
      </w:pPr>
      <w:r>
        <w:rPr>
          <w:rFonts w:hint="eastAsia"/>
          <w:bCs/>
          <w:snapToGrid w:val="0"/>
          <w:color w:val="000000" w:themeColor="text1"/>
          <w:kern w:val="0"/>
          <w:position w:val="-98"/>
          <w:sz w:val="56"/>
          <w:szCs w:val="56"/>
          <w:lang w:eastAsia="zh-CN"/>
          <w14:textFill>
            <w14:solidFill>
              <w14:schemeClr w14:val="tx1"/>
            </w14:solidFill>
          </w14:textFill>
        </w:rPr>
        <w:t xml:space="preserve">至诚工程咨询有限公司 </w:t>
      </w:r>
    </w:p>
    <w:p>
      <w:pPr>
        <w:adjustRightInd w:val="0"/>
        <w:snapToGrid w:val="0"/>
        <w:jc w:val="center"/>
        <w:rPr>
          <w:bCs/>
          <w:snapToGrid w:val="0"/>
          <w:color w:val="000000" w:themeColor="text1"/>
          <w:kern w:val="0"/>
          <w:position w:val="-98"/>
          <w:sz w:val="56"/>
          <w:szCs w:val="56"/>
          <w14:textFill>
            <w14:solidFill>
              <w14:schemeClr w14:val="tx1"/>
            </w14:solidFill>
          </w14:textFill>
        </w:rPr>
        <w:sectPr>
          <w:headerReference r:id="rId3" w:type="default"/>
          <w:footerReference r:id="rId5" w:type="default"/>
          <w:headerReference r:id="rId4" w:type="even"/>
          <w:footerReference r:id="rId6" w:type="even"/>
          <w:pgSz w:w="11906" w:h="16838"/>
          <w:pgMar w:top="1417" w:right="1701" w:bottom="1417" w:left="1701" w:header="680" w:footer="680" w:gutter="0"/>
          <w:cols w:space="425" w:num="1"/>
          <w:docGrid w:type="lines" w:linePitch="312" w:charSpace="0"/>
        </w:sectPr>
      </w:pPr>
      <w:r>
        <w:rPr>
          <w:rFonts w:hint="eastAsia"/>
          <w:bCs/>
          <w:snapToGrid w:val="0"/>
          <w:color w:val="000000" w:themeColor="text1"/>
          <w:kern w:val="0"/>
          <w:position w:val="-98"/>
          <w:sz w:val="48"/>
          <w:szCs w:val="48"/>
          <w14:textFill>
            <w14:solidFill>
              <w14:schemeClr w14:val="tx1"/>
            </w14:solidFill>
          </w14:textFill>
        </w:rPr>
        <w:t>202</w:t>
      </w:r>
      <w:r>
        <w:rPr>
          <w:rFonts w:hint="eastAsia"/>
          <w:bCs/>
          <w:snapToGrid w:val="0"/>
          <w:color w:val="000000" w:themeColor="text1"/>
          <w:kern w:val="0"/>
          <w:position w:val="-98"/>
          <w:sz w:val="48"/>
          <w:szCs w:val="48"/>
          <w:lang w:val="en-US" w:eastAsia="zh-CN"/>
          <w14:textFill>
            <w14:solidFill>
              <w14:schemeClr w14:val="tx1"/>
            </w14:solidFill>
          </w14:textFill>
        </w:rPr>
        <w:t>2</w:t>
      </w:r>
      <w:r>
        <w:rPr>
          <w:rFonts w:hint="eastAsia"/>
          <w:bCs/>
          <w:snapToGrid w:val="0"/>
          <w:color w:val="000000" w:themeColor="text1"/>
          <w:kern w:val="0"/>
          <w:position w:val="-98"/>
          <w:sz w:val="48"/>
          <w:szCs w:val="48"/>
          <w14:textFill>
            <w14:solidFill>
              <w14:schemeClr w14:val="tx1"/>
            </w14:solidFill>
          </w14:textFill>
        </w:rPr>
        <w:t>年</w:t>
      </w:r>
      <w:r>
        <w:rPr>
          <w:rFonts w:hint="eastAsia"/>
          <w:bCs/>
          <w:snapToGrid w:val="0"/>
          <w:color w:val="000000" w:themeColor="text1"/>
          <w:kern w:val="0"/>
          <w:position w:val="-98"/>
          <w:sz w:val="48"/>
          <w:szCs w:val="48"/>
          <w:lang w:val="en-US" w:eastAsia="zh-CN"/>
          <w14:textFill>
            <w14:solidFill>
              <w14:schemeClr w14:val="tx1"/>
            </w14:solidFill>
          </w14:textFill>
        </w:rPr>
        <w:t>4</w:t>
      </w:r>
      <w:r>
        <w:rPr>
          <w:rFonts w:hint="eastAsia"/>
          <w:bCs/>
          <w:snapToGrid w:val="0"/>
          <w:color w:val="000000" w:themeColor="text1"/>
          <w:kern w:val="0"/>
          <w:position w:val="-98"/>
          <w:sz w:val="48"/>
          <w:szCs w:val="48"/>
          <w14:textFill>
            <w14:solidFill>
              <w14:schemeClr w14:val="tx1"/>
            </w14:solidFill>
          </w14:textFill>
        </w:rPr>
        <w:t>月</w:t>
      </w:r>
    </w:p>
    <w:sdt>
      <w:sdtPr>
        <w:rPr>
          <w:rFonts w:ascii="宋体" w:hAnsi="宋体" w:eastAsia="宋体" w:cstheme="minorBidi"/>
          <w:kern w:val="2"/>
          <w:sz w:val="21"/>
          <w:szCs w:val="22"/>
          <w:lang w:val="en-US" w:eastAsia="zh-CN" w:bidi="ar-SA"/>
        </w:rPr>
        <w:id w:val="147459259"/>
        <w15:color w:val="DBDBDB"/>
        <w:docPartObj>
          <w:docPartGallery w:val="Table of Contents"/>
          <w:docPartUnique/>
        </w:docPartObj>
      </w:sdtPr>
      <w:sdtEndPr>
        <w:rPr>
          <w:rFonts w:hint="eastAsia" w:ascii="黑体" w:hAnsi="黑体" w:eastAsia="黑体" w:cstheme="minorBidi"/>
          <w:kern w:val="2"/>
          <w:sz w:val="21"/>
          <w:szCs w:val="44"/>
          <w:lang w:val="en-US" w:eastAsia="zh-CN" w:bidi="ar-SA"/>
        </w:rPr>
      </w:sdtEndPr>
      <w:sdtContent>
        <w:sdt>
          <w:sdtPr>
            <w:rPr>
              <w:rFonts w:ascii="宋体" w:hAnsi="宋体" w:eastAsia="宋体" w:cstheme="minorBidi"/>
              <w:kern w:val="2"/>
              <w:sz w:val="21"/>
              <w:szCs w:val="22"/>
              <w:lang w:val="en-US" w:eastAsia="zh-CN" w:bidi="ar-SA"/>
            </w:rPr>
            <w:id w:val="147459259"/>
            <w15:color w:val="DBDBDB"/>
            <w:docPartObj>
              <w:docPartGallery w:val="Table of Contents"/>
              <w:docPartUnique/>
            </w:docPartObj>
          </w:sdtPr>
          <w:sdtEndPr>
            <w:rPr>
              <w:rFonts w:hint="eastAsia" w:ascii="黑体" w:hAnsi="黑体" w:eastAsia="黑体" w:cstheme="minorBidi"/>
              <w:kern w:val="2"/>
              <w:sz w:val="21"/>
              <w:szCs w:val="44"/>
              <w:lang w:val="en-US" w:eastAsia="zh-CN" w:bidi="ar-SA"/>
            </w:rPr>
          </w:sdtEndPr>
          <w:sdtContent>
            <w:p>
              <w:pPr>
                <w:spacing w:beforeLines="100"/>
                <w:jc w:val="center"/>
              </w:pPr>
              <w:r>
                <w:rPr>
                  <w:rFonts w:hint="eastAsia" w:ascii="黑体" w:hAnsi="黑体" w:eastAsia="黑体"/>
                  <w:sz w:val="44"/>
                  <w:szCs w:val="44"/>
                </w:rPr>
                <w:t>目   录</w:t>
              </w:r>
            </w:p>
            <w:p>
              <w:pPr>
                <w:pStyle w:val="17"/>
                <w:tabs>
                  <w:tab w:val="right" w:leader="dot" w:pos="8504"/>
                </w:tabs>
              </w:pPr>
              <w:r>
                <w:rPr>
                  <w:rFonts w:hint="eastAsia" w:ascii="黑体" w:hAnsi="黑体" w:eastAsia="黑体"/>
                  <w:sz w:val="44"/>
                  <w:szCs w:val="44"/>
                </w:rPr>
                <w:fldChar w:fldCharType="begin"/>
              </w:r>
              <w:r>
                <w:rPr>
                  <w:rFonts w:hint="eastAsia" w:ascii="黑体" w:hAnsi="黑体" w:eastAsia="黑体"/>
                  <w:sz w:val="44"/>
                  <w:szCs w:val="44"/>
                </w:rPr>
                <w:instrText xml:space="preserve">TOC \o "1-3" \h \u </w:instrText>
              </w:r>
              <w:r>
                <w:rPr>
                  <w:rFonts w:hint="eastAsia" w:ascii="黑体" w:hAnsi="黑体" w:eastAsia="黑体"/>
                  <w:sz w:val="44"/>
                  <w:szCs w:val="44"/>
                </w:rPr>
                <w:fldChar w:fldCharType="separate"/>
              </w:r>
              <w:r>
                <w:rPr>
                  <w:rFonts w:hint="eastAsia" w:ascii="黑体" w:hAnsi="黑体" w:eastAsia="黑体"/>
                  <w:szCs w:val="44"/>
                </w:rPr>
                <w:fldChar w:fldCharType="begin"/>
              </w:r>
              <w:r>
                <w:rPr>
                  <w:rFonts w:hint="eastAsia" w:ascii="黑体" w:hAnsi="黑体" w:eastAsia="黑体"/>
                  <w:szCs w:val="44"/>
                </w:rPr>
                <w:instrText xml:space="preserve"> HYPERLINK \l _Toc9228 </w:instrText>
              </w:r>
              <w:r>
                <w:rPr>
                  <w:rFonts w:hint="eastAsia" w:ascii="黑体" w:hAnsi="黑体" w:eastAsia="黑体"/>
                  <w:szCs w:val="44"/>
                </w:rPr>
                <w:fldChar w:fldCharType="separate"/>
              </w:r>
              <w:r>
                <w:rPr>
                  <w:rFonts w:hint="eastAsia" w:ascii="黑体" w:hAnsi="黑体" w:eastAsia="黑体"/>
                </w:rPr>
                <w:t>第一章 投标邀请书</w:t>
              </w:r>
              <w:r>
                <w:tab/>
              </w:r>
              <w:r>
                <w:fldChar w:fldCharType="begin"/>
              </w:r>
              <w:r>
                <w:instrText xml:space="preserve"> PAGEREF _Toc9228 </w:instrText>
              </w:r>
              <w:r>
                <w:fldChar w:fldCharType="separate"/>
              </w:r>
              <w:r>
                <w:t>4</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_Toc19187 </w:instrText>
              </w:r>
              <w:r>
                <w:rPr>
                  <w:rFonts w:hint="eastAsia" w:ascii="黑体" w:hAnsi="黑体" w:eastAsia="黑体"/>
                  <w:szCs w:val="44"/>
                </w:rPr>
                <w:fldChar w:fldCharType="separate"/>
              </w:r>
              <w:r>
                <w:rPr>
                  <w:rFonts w:hint="eastAsia" w:ascii="黑体" w:hAnsi="黑体" w:eastAsia="黑体"/>
                </w:rPr>
                <w:t>第二章 投标人须知</w:t>
              </w:r>
              <w:r>
                <w:tab/>
              </w:r>
              <w:r>
                <w:fldChar w:fldCharType="begin"/>
              </w:r>
              <w:r>
                <w:instrText xml:space="preserve"> PAGEREF _Toc19187 </w:instrText>
              </w:r>
              <w:r>
                <w:fldChar w:fldCharType="separate"/>
              </w:r>
              <w:r>
                <w:t>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_Toc31472 </w:instrText>
              </w:r>
              <w:r>
                <w:rPr>
                  <w:rFonts w:hint="eastAsia" w:ascii="黑体" w:hAnsi="黑体" w:eastAsia="黑体"/>
                  <w:szCs w:val="44"/>
                </w:rP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_Toc31472 </w:instrText>
              </w:r>
              <w:r>
                <w:fldChar w:fldCharType="separate"/>
              </w:r>
              <w:r>
                <w:t>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_Toc28635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说  明</w:t>
              </w:r>
              <w:r>
                <w:tab/>
              </w:r>
              <w:r>
                <w:fldChar w:fldCharType="begin"/>
              </w:r>
              <w:r>
                <w:instrText xml:space="preserve"> PAGEREF _Toc28635 </w:instrText>
              </w:r>
              <w:r>
                <w:fldChar w:fldCharType="separate"/>
              </w:r>
              <w:r>
                <w:t>8</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_Toc31147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招标文件</w:t>
              </w:r>
              <w:r>
                <w:tab/>
              </w:r>
              <w:r>
                <w:fldChar w:fldCharType="begin"/>
              </w:r>
              <w:r>
                <w:instrText xml:space="preserve"> PAGEREF _Toc31147 </w:instrText>
              </w:r>
              <w:r>
                <w:fldChar w:fldCharType="separate"/>
              </w:r>
              <w:r>
                <w:t>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_Toc3214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投标文件</w:t>
              </w:r>
              <w:r>
                <w:tab/>
              </w:r>
              <w:r>
                <w:fldChar w:fldCharType="begin"/>
              </w:r>
              <w:r>
                <w:instrText xml:space="preserve"> PAGEREF _Toc3214 </w:instrText>
              </w:r>
              <w:r>
                <w:fldChar w:fldCharType="separate"/>
              </w:r>
              <w:r>
                <w:t>10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_Toc21534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开标与评标</w:t>
              </w:r>
              <w:r>
                <w:tab/>
              </w:r>
              <w:r>
                <w:fldChar w:fldCharType="begin"/>
              </w:r>
              <w:r>
                <w:instrText xml:space="preserve"> PAGEREF _Toc21534 </w:instrText>
              </w:r>
              <w:r>
                <w:fldChar w:fldCharType="separate"/>
              </w:r>
              <w:r>
                <w:t>15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_Toc2356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五、 </w:t>
              </w:r>
              <w:r>
                <w:rPr>
                  <w:rFonts w:hint="eastAsia" w:cs="Times New Roman" w:asciiTheme="majorEastAsia" w:hAnsiTheme="majorEastAsia"/>
                  <w:bCs w:val="0"/>
                  <w:lang w:val="zh-CN"/>
                </w:rPr>
                <w:t>投标人信用信息及查询</w:t>
              </w:r>
              <w:r>
                <w:tab/>
              </w:r>
              <w:r>
                <w:fldChar w:fldCharType="begin"/>
              </w:r>
              <w:r>
                <w:instrText xml:space="preserve"> PAGEREF _Toc2356 </w:instrText>
              </w:r>
              <w:r>
                <w:fldChar w:fldCharType="separate"/>
              </w:r>
              <w:r>
                <w:t>17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_Toc24911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六、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_Toc24911 </w:instrText>
              </w:r>
              <w:r>
                <w:fldChar w:fldCharType="separate"/>
              </w:r>
              <w:r>
                <w:t>17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_Toc25307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采购信息公告</w:t>
              </w:r>
              <w:r>
                <w:tab/>
              </w:r>
              <w:r>
                <w:fldChar w:fldCharType="begin"/>
              </w:r>
              <w:r>
                <w:instrText xml:space="preserve"> PAGEREF _Toc25307 </w:instrText>
              </w:r>
              <w:r>
                <w:fldChar w:fldCharType="separate"/>
              </w:r>
              <w:r>
                <w:t>19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_Toc12492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质疑及提交</w:t>
              </w:r>
              <w:r>
                <w:tab/>
              </w:r>
              <w:r>
                <w:fldChar w:fldCharType="begin"/>
              </w:r>
              <w:r>
                <w:instrText xml:space="preserve"> PAGEREF _Toc12492 </w:instrText>
              </w:r>
              <w:r>
                <w:fldChar w:fldCharType="separate"/>
              </w:r>
              <w:r>
                <w:t>19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_Toc16042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相关条文解读</w:t>
              </w:r>
              <w:r>
                <w:tab/>
              </w:r>
              <w:r>
                <w:fldChar w:fldCharType="begin"/>
              </w:r>
              <w:r>
                <w:instrText xml:space="preserve"> PAGEREF _Toc16042 </w:instrText>
              </w:r>
              <w:r>
                <w:fldChar w:fldCharType="separate"/>
              </w:r>
              <w:r>
                <w:t>20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_Toc8111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其他注意事项</w:t>
              </w:r>
              <w:r>
                <w:tab/>
              </w:r>
              <w:r>
                <w:fldChar w:fldCharType="begin"/>
              </w:r>
              <w:r>
                <w:instrText xml:space="preserve"> PAGEREF _Toc8111 </w:instrText>
              </w:r>
              <w:r>
                <w:fldChar w:fldCharType="separate"/>
              </w:r>
              <w:r>
                <w:t>20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_Toc18358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适用法律</w:t>
              </w:r>
              <w:r>
                <w:tab/>
              </w:r>
              <w:r>
                <w:fldChar w:fldCharType="begin"/>
              </w:r>
              <w:r>
                <w:instrText xml:space="preserve"> PAGEREF _Toc18358 </w:instrText>
              </w:r>
              <w:r>
                <w:fldChar w:fldCharType="separate"/>
              </w:r>
              <w:r>
                <w:t>20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_Toc28045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十二、 </w:t>
              </w:r>
              <w:r>
                <w:rPr>
                  <w:rFonts w:hint="eastAsia" w:cs="Times New Roman" w:asciiTheme="majorEastAsia" w:hAnsiTheme="majorEastAsia"/>
                  <w:bCs w:val="0"/>
                  <w:lang w:val="zh-CN"/>
                </w:rPr>
                <w:t>招标文件的解释权</w:t>
              </w:r>
              <w:r>
                <w:tab/>
              </w:r>
              <w:r>
                <w:fldChar w:fldCharType="begin"/>
              </w:r>
              <w:r>
                <w:instrText xml:space="preserve"> PAGEREF _Toc28045 </w:instrText>
              </w:r>
              <w:r>
                <w:fldChar w:fldCharType="separate"/>
              </w:r>
              <w:r>
                <w:t>21</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_Toc25774 </w:instrText>
              </w:r>
              <w:r>
                <w:rPr>
                  <w:rFonts w:hint="eastAsia" w:ascii="黑体" w:hAnsi="黑体" w:eastAsia="黑体"/>
                  <w:szCs w:val="44"/>
                </w:rPr>
                <w:fldChar w:fldCharType="separate"/>
              </w:r>
              <w:r>
                <w:rPr>
                  <w:rFonts w:hint="eastAsia" w:ascii="黑体" w:hAnsi="黑体" w:eastAsia="黑体"/>
                </w:rPr>
                <w:t>第三章 项目技术、服务及商务要求</w:t>
              </w:r>
              <w:r>
                <w:tab/>
              </w:r>
              <w:r>
                <w:fldChar w:fldCharType="begin"/>
              </w:r>
              <w:r>
                <w:instrText xml:space="preserve"> PAGEREF _Toc25774 </w:instrText>
              </w:r>
              <w:r>
                <w:fldChar w:fldCharType="separate"/>
              </w:r>
              <w:r>
                <w:t>22</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_Toc15881 </w:instrText>
              </w:r>
              <w:r>
                <w:rPr>
                  <w:rFonts w:hint="eastAsia" w:ascii="黑体" w:hAnsi="黑体" w:eastAsia="黑体"/>
                  <w:szCs w:val="44"/>
                </w:rPr>
                <w:fldChar w:fldCharType="separate"/>
              </w:r>
              <w:r>
                <w:rPr>
                  <w:rFonts w:hint="eastAsia" w:ascii="黑体" w:hAnsi="黑体" w:eastAsia="黑体"/>
                </w:rPr>
                <w:t>第四章 资格审查方法及标准</w:t>
              </w:r>
              <w:r>
                <w:tab/>
              </w:r>
              <w:r>
                <w:fldChar w:fldCharType="begin"/>
              </w:r>
              <w:r>
                <w:instrText xml:space="preserve"> PAGEREF _Toc15881 </w:instrText>
              </w:r>
              <w:r>
                <w:fldChar w:fldCharType="separate"/>
              </w:r>
              <w:r>
                <w:t>25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_Toc19379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一、 资格审查方法</w:t>
              </w:r>
              <w:r>
                <w:tab/>
              </w:r>
              <w:r>
                <w:fldChar w:fldCharType="begin"/>
              </w:r>
              <w:r>
                <w:instrText xml:space="preserve"> PAGEREF _Toc19379 </w:instrText>
              </w:r>
              <w:r>
                <w:fldChar w:fldCharType="separate"/>
              </w:r>
              <w:r>
                <w:t>25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_Toc5048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二、 资格审查标准</w:t>
              </w:r>
              <w:r>
                <w:tab/>
              </w:r>
              <w:r>
                <w:fldChar w:fldCharType="begin"/>
              </w:r>
              <w:r>
                <w:instrText xml:space="preserve"> PAGEREF _Toc5048 </w:instrText>
              </w:r>
              <w:r>
                <w:fldChar w:fldCharType="separate"/>
              </w:r>
              <w:r>
                <w:t>25</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_Toc28176 </w:instrText>
              </w:r>
              <w:r>
                <w:rPr>
                  <w:rFonts w:hint="eastAsia" w:ascii="黑体" w:hAnsi="黑体" w:eastAsia="黑体"/>
                  <w:szCs w:val="44"/>
                </w:rPr>
                <w:fldChar w:fldCharType="separate"/>
              </w:r>
              <w:r>
                <w:rPr>
                  <w:rFonts w:hint="eastAsia" w:ascii="黑体" w:hAnsi="黑体" w:eastAsia="黑体"/>
                </w:rPr>
                <w:t>第五章 评标方法、程序及标准</w:t>
              </w:r>
              <w:r>
                <w:tab/>
              </w:r>
              <w:r>
                <w:fldChar w:fldCharType="begin"/>
              </w:r>
              <w:r>
                <w:instrText xml:space="preserve"> PAGEREF _Toc28176 </w:instrText>
              </w:r>
              <w:r>
                <w:fldChar w:fldCharType="separate"/>
              </w:r>
              <w:r>
                <w:t>27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_Toc30591 </w:instrText>
              </w:r>
              <w:r>
                <w:rPr>
                  <w:rFonts w:hint="eastAsia" w:ascii="黑体" w:hAnsi="黑体" w:eastAsia="黑体"/>
                  <w:szCs w:val="44"/>
                </w:rPr>
                <w:fldChar w:fldCharType="separate"/>
              </w:r>
              <w:r>
                <w:rPr>
                  <w:rFonts w:hint="eastAsia" w:cs="Times New Roman" w:asciiTheme="majorEastAsia" w:hAnsiTheme="majorEastAsia"/>
                  <w:bCs w:val="0"/>
                  <w:szCs w:val="30"/>
                  <w:lang w:val="zh-CN" w:eastAsia="zh-CN"/>
                </w:rPr>
                <w:t>一、 评标方法</w:t>
              </w:r>
              <w:r>
                <w:tab/>
              </w:r>
              <w:r>
                <w:fldChar w:fldCharType="begin"/>
              </w:r>
              <w:r>
                <w:instrText xml:space="preserve"> PAGEREF _Toc30591 </w:instrText>
              </w:r>
              <w:r>
                <w:fldChar w:fldCharType="separate"/>
              </w:r>
              <w:r>
                <w:t>27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_Toc17085 </w:instrText>
              </w:r>
              <w:r>
                <w:rPr>
                  <w:rFonts w:hint="eastAsia" w:ascii="黑体" w:hAnsi="黑体" w:eastAsia="黑体"/>
                  <w:szCs w:val="44"/>
                </w:rPr>
                <w:fldChar w:fldCharType="separate"/>
              </w:r>
              <w:r>
                <w:rPr>
                  <w:rFonts w:hint="eastAsia" w:cs="Times New Roman" w:asciiTheme="majorEastAsia" w:hAnsiTheme="majorEastAsia"/>
                  <w:bCs w:val="0"/>
                  <w:szCs w:val="30"/>
                  <w:lang w:val="zh-CN" w:eastAsia="zh-CN"/>
                </w:rPr>
                <w:t>二、 评标程序及标准</w:t>
              </w:r>
              <w:r>
                <w:tab/>
              </w:r>
              <w:r>
                <w:fldChar w:fldCharType="begin"/>
              </w:r>
              <w:r>
                <w:instrText xml:space="preserve"> PAGEREF _Toc17085 </w:instrText>
              </w:r>
              <w:r>
                <w:fldChar w:fldCharType="separate"/>
              </w:r>
              <w:r>
                <w:t>27</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_Toc22421 </w:instrText>
              </w:r>
              <w:r>
                <w:rPr>
                  <w:rFonts w:hint="eastAsia" w:ascii="黑体" w:hAnsi="黑体" w:eastAsia="黑体"/>
                  <w:szCs w:val="44"/>
                </w:rPr>
                <w:fldChar w:fldCharType="separate"/>
              </w:r>
              <w:r>
                <w:rPr>
                  <w:rFonts w:hint="eastAsia" w:ascii="黑体" w:hAnsi="黑体" w:eastAsia="黑体"/>
                </w:rPr>
                <w:t>第六章 合同书格式（参考）</w:t>
              </w:r>
              <w:r>
                <w:tab/>
              </w:r>
              <w:r>
                <w:fldChar w:fldCharType="begin"/>
              </w:r>
              <w:r>
                <w:instrText xml:space="preserve"> PAGEREF _Toc22421 </w:instrText>
              </w:r>
              <w:r>
                <w:fldChar w:fldCharType="separate"/>
              </w:r>
              <w:r>
                <w:t>31</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_Toc28099 </w:instrText>
              </w:r>
              <w:r>
                <w:rPr>
                  <w:rFonts w:hint="eastAsia" w:ascii="黑体" w:hAnsi="黑体" w:eastAsia="黑体"/>
                  <w:szCs w:val="44"/>
                </w:rPr>
                <w:fldChar w:fldCharType="separate"/>
              </w:r>
              <w:r>
                <w:rPr>
                  <w:rFonts w:hint="eastAsia" w:ascii="黑体" w:hAnsi="黑体" w:eastAsia="黑体"/>
                </w:rPr>
                <w:t>第七章 投标文件格式（参考）</w:t>
              </w:r>
              <w:r>
                <w:tab/>
              </w:r>
              <w:r>
                <w:fldChar w:fldCharType="begin"/>
              </w:r>
              <w:r>
                <w:instrText xml:space="preserve"> PAGEREF _Toc28099 </w:instrText>
              </w:r>
              <w:r>
                <w:fldChar w:fldCharType="separate"/>
              </w:r>
              <w:r>
                <w:t>33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_Toc17351 </w:instrText>
              </w:r>
              <w:r>
                <w:rPr>
                  <w:rFonts w:hint="eastAsia" w:ascii="黑体" w:hAnsi="黑体" w:eastAsia="黑体"/>
                  <w:szCs w:val="44"/>
                </w:rPr>
                <w:fldChar w:fldCharType="separate"/>
              </w:r>
              <w:r>
                <w:rPr>
                  <w:rFonts w:hint="eastAsia" w:cs="Times New Roman" w:asciiTheme="majorEastAsia" w:hAnsiTheme="majorEastAsia"/>
                  <w:bCs w:val="0"/>
                  <w:szCs w:val="44"/>
                  <w:lang w:val="zh-CN"/>
                </w:rPr>
                <w:t>第一部分 资格证明文件</w:t>
              </w:r>
              <w:r>
                <w:tab/>
              </w:r>
              <w:r>
                <w:fldChar w:fldCharType="begin"/>
              </w:r>
              <w:r>
                <w:instrText xml:space="preserve"> PAGEREF _Toc17351 </w:instrText>
              </w:r>
              <w:r>
                <w:fldChar w:fldCharType="separate"/>
              </w:r>
              <w:r>
                <w:t>33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_Toc29696 </w:instrText>
              </w:r>
              <w:r>
                <w:rPr>
                  <w:rFonts w:hint="eastAsia" w:ascii="黑体" w:hAnsi="黑体" w:eastAsia="黑体"/>
                  <w:szCs w:val="44"/>
                </w:rPr>
                <w:fldChar w:fldCharType="separate"/>
              </w:r>
              <w:r>
                <w:rPr>
                  <w:rFonts w:hint="eastAsia" w:cs="Times New Roman" w:asciiTheme="majorEastAsia" w:hAnsiTheme="majorEastAsia"/>
                  <w:bCs w:val="0"/>
                  <w:szCs w:val="44"/>
                  <w:lang w:val="zh-CN"/>
                </w:rPr>
                <w:t>第二部分 商务文件</w:t>
              </w:r>
              <w:r>
                <w:tab/>
              </w:r>
              <w:r>
                <w:fldChar w:fldCharType="begin"/>
              </w:r>
              <w:r>
                <w:instrText xml:space="preserve"> PAGEREF _Toc29696 </w:instrText>
              </w:r>
              <w:r>
                <w:fldChar w:fldCharType="separate"/>
              </w:r>
              <w:r>
                <w:t>35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_Toc6327 </w:instrText>
              </w:r>
              <w:r>
                <w:rPr>
                  <w:rFonts w:hint="eastAsia" w:ascii="黑体" w:hAnsi="黑体" w:eastAsia="黑体"/>
                  <w:szCs w:val="44"/>
                </w:rPr>
                <w:fldChar w:fldCharType="separate"/>
              </w:r>
              <w:r>
                <w:rPr>
                  <w:rFonts w:hint="eastAsia" w:cs="Times New Roman" w:asciiTheme="majorEastAsia" w:hAnsiTheme="majorEastAsia"/>
                  <w:bCs w:val="0"/>
                  <w:szCs w:val="44"/>
                  <w:lang w:val="zh-CN"/>
                </w:rPr>
                <w:t>第三部分 技术、服务文件</w:t>
              </w:r>
              <w:r>
                <w:tab/>
              </w:r>
              <w:r>
                <w:fldChar w:fldCharType="begin"/>
              </w:r>
              <w:r>
                <w:instrText xml:space="preserve"> PAGEREF _Toc6327 </w:instrText>
              </w:r>
              <w:r>
                <w:fldChar w:fldCharType="separate"/>
              </w:r>
              <w:r>
                <w:t>37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_Toc26081 </w:instrText>
              </w:r>
              <w:r>
                <w:rPr>
                  <w:rFonts w:hint="eastAsia" w:ascii="黑体" w:hAnsi="黑体" w:eastAsia="黑体"/>
                  <w:szCs w:val="44"/>
                </w:rP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_Toc26081 </w:instrText>
              </w:r>
              <w:r>
                <w:fldChar w:fldCharType="separate"/>
              </w:r>
              <w:r>
                <w:t>39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_Toc31269 </w:instrText>
              </w:r>
              <w:r>
                <w:rPr>
                  <w:rFonts w:hint="eastAsia" w:ascii="黑体" w:hAnsi="黑体" w:eastAsia="黑体"/>
                  <w:szCs w:val="44"/>
                </w:rPr>
                <w:fldChar w:fldCharType="separate"/>
              </w:r>
              <w:r>
                <w:rPr>
                  <w:rFonts w:hint="eastAsia" w:ascii="宋体" w:hAnsi="宋体" w:eastAsia="宋体"/>
                  <w:i w:val="0"/>
                </w:rPr>
                <w:t xml:space="preserve">附件二、 </w:t>
              </w:r>
              <w:r>
                <w:rPr>
                  <w:rFonts w:hint="eastAsia" w:ascii="宋体" w:hAnsi="宋体" w:eastAsia="宋体"/>
                </w:rPr>
                <w:t>制造商中小企业声明函</w:t>
              </w:r>
              <w:r>
                <w:tab/>
              </w:r>
              <w:r>
                <w:fldChar w:fldCharType="begin"/>
              </w:r>
              <w:r>
                <w:instrText xml:space="preserve"> PAGEREF _Toc31269 </w:instrText>
              </w:r>
              <w:r>
                <w:fldChar w:fldCharType="separate"/>
              </w:r>
              <w:r>
                <w:t>40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_Toc262 </w:instrText>
              </w:r>
              <w:r>
                <w:rPr>
                  <w:rFonts w:hint="eastAsia" w:ascii="黑体" w:hAnsi="黑体" w:eastAsia="黑体"/>
                  <w:szCs w:val="44"/>
                </w:rPr>
                <w:fldChar w:fldCharType="separate"/>
              </w:r>
              <w:r>
                <w:rPr>
                  <w:rFonts w:hint="eastAsia" w:ascii="宋体" w:hAnsi="宋体" w:eastAsia="宋体"/>
                  <w:i w:val="0"/>
                </w:rPr>
                <w:t xml:space="preserve">附件三、 </w:t>
              </w:r>
              <w:r>
                <w:rPr>
                  <w:rFonts w:hint="eastAsia" w:ascii="宋体" w:hAnsi="宋体" w:eastAsia="宋体"/>
                </w:rPr>
                <w:t>中小企业声明函</w:t>
              </w:r>
              <w:r>
                <w:tab/>
              </w:r>
              <w:r>
                <w:fldChar w:fldCharType="begin"/>
              </w:r>
              <w:r>
                <w:instrText xml:space="preserve"> PAGEREF _Toc262 </w:instrText>
              </w:r>
              <w:r>
                <w:fldChar w:fldCharType="separate"/>
              </w:r>
              <w:r>
                <w:t>41</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_Toc15500 </w:instrText>
              </w:r>
              <w:r>
                <w:rPr>
                  <w:rFonts w:hint="eastAsia" w:ascii="黑体" w:hAnsi="黑体" w:eastAsia="黑体"/>
                  <w:szCs w:val="44"/>
                </w:rPr>
                <w:fldChar w:fldCharType="separate"/>
              </w:r>
              <w:r>
                <w:rPr>
                  <w:rFonts w:hint="eastAsia" w:ascii="宋体" w:hAnsi="宋体" w:eastAsia="宋体"/>
                  <w:i w:val="0"/>
                </w:rPr>
                <w:t xml:space="preserve">附件四、 </w:t>
              </w:r>
              <w:r>
                <w:rPr>
                  <w:rFonts w:hint="eastAsia" w:ascii="宋体" w:hAnsi="宋体" w:eastAsia="宋体"/>
                </w:rPr>
                <w:t>残疾人福利性单位声明函</w:t>
              </w:r>
              <w:r>
                <w:tab/>
              </w:r>
              <w:r>
                <w:fldChar w:fldCharType="begin"/>
              </w:r>
              <w:r>
                <w:instrText xml:space="preserve"> PAGEREF _Toc15500 </w:instrText>
              </w:r>
              <w:r>
                <w:fldChar w:fldCharType="separate"/>
              </w:r>
              <w:r>
                <w:t>43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_Toc2030 </w:instrText>
              </w:r>
              <w:r>
                <w:rPr>
                  <w:rFonts w:hint="eastAsia" w:ascii="黑体" w:hAnsi="黑体" w:eastAsia="黑体"/>
                  <w:szCs w:val="44"/>
                </w:rPr>
                <w:fldChar w:fldCharType="separate"/>
              </w:r>
              <w:r>
                <w:rPr>
                  <w:rFonts w:hint="eastAsia" w:ascii="宋体" w:hAnsi="宋体" w:eastAsia="宋体"/>
                  <w:i w:val="0"/>
                </w:rPr>
                <w:t xml:space="preserve">附件五、 </w:t>
              </w:r>
              <w:r>
                <w:rPr>
                  <w:rFonts w:hint="eastAsia" w:ascii="宋体" w:hAnsi="宋体" w:eastAsia="宋体"/>
                </w:rPr>
                <w:t>开标一览表</w:t>
              </w:r>
              <w:r>
                <w:tab/>
              </w:r>
              <w:r>
                <w:fldChar w:fldCharType="begin"/>
              </w:r>
              <w:r>
                <w:instrText xml:space="preserve"> PAGEREF _Toc2030 </w:instrText>
              </w:r>
              <w:r>
                <w:fldChar w:fldCharType="separate"/>
              </w:r>
              <w:r>
                <w:t>46</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_Toc8342 </w:instrText>
              </w:r>
              <w:r>
                <w:rPr>
                  <w:rFonts w:hint="eastAsia" w:ascii="黑体" w:hAnsi="黑体" w:eastAsia="黑体"/>
                  <w:szCs w:val="44"/>
                </w:rPr>
                <w:fldChar w:fldCharType="separate"/>
              </w:r>
              <w:r>
                <w:rPr>
                  <w:rFonts w:hint="eastAsia" w:ascii="宋体" w:hAnsi="宋体" w:eastAsia="宋体"/>
                  <w:i w:val="0"/>
                </w:rPr>
                <w:t xml:space="preserve">附件六、 </w:t>
              </w:r>
              <w:r>
                <w:rPr>
                  <w:rFonts w:hint="eastAsia" w:ascii="宋体" w:hAnsi="宋体" w:eastAsia="宋体"/>
                </w:rPr>
                <w:t>投标报价明细表</w:t>
              </w:r>
              <w:r>
                <w:tab/>
              </w:r>
              <w:r>
                <w:fldChar w:fldCharType="begin"/>
              </w:r>
              <w:r>
                <w:instrText xml:space="preserve"> PAGEREF _Toc8342 </w:instrText>
              </w:r>
              <w:r>
                <w:fldChar w:fldCharType="separate"/>
              </w:r>
              <w:r>
                <w:t>47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_Toc18463 </w:instrText>
              </w:r>
              <w:r>
                <w:rPr>
                  <w:rFonts w:hint="eastAsia" w:ascii="黑体" w:hAnsi="黑体" w:eastAsia="黑体"/>
                  <w:szCs w:val="44"/>
                </w:rPr>
                <w:fldChar w:fldCharType="separate"/>
              </w:r>
              <w:r>
                <w:rPr>
                  <w:rFonts w:hint="eastAsia" w:ascii="宋体" w:hAnsi="宋体" w:eastAsia="宋体"/>
                  <w:i w:val="0"/>
                  <w:szCs w:val="31"/>
                </w:rPr>
                <w:t xml:space="preserve">附件七、 </w:t>
              </w:r>
              <w:r>
                <w:rPr>
                  <w:rFonts w:hint="eastAsia" w:ascii="宋体" w:hAnsi="宋体" w:eastAsia="宋体"/>
                  <w:szCs w:val="31"/>
                </w:rPr>
                <w:t>小型和微型企业、监狱企业、残疾人福利性单位货物汇总表</w:t>
              </w:r>
              <w:r>
                <w:tab/>
              </w:r>
              <w:r>
                <w:fldChar w:fldCharType="begin"/>
              </w:r>
              <w:r>
                <w:instrText xml:space="preserve"> PAGEREF _Toc18463 </w:instrText>
              </w:r>
              <w:r>
                <w:fldChar w:fldCharType="separate"/>
              </w:r>
              <w:r>
                <w:t>48</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_Toc5938 </w:instrText>
              </w:r>
              <w:r>
                <w:rPr>
                  <w:rFonts w:hint="eastAsia" w:ascii="黑体" w:hAnsi="黑体" w:eastAsia="黑体"/>
                  <w:szCs w:val="44"/>
                </w:rPr>
                <w:fldChar w:fldCharType="separate"/>
              </w:r>
              <w:r>
                <w:rPr>
                  <w:rFonts w:hint="eastAsia" w:ascii="宋体" w:hAnsi="宋体" w:eastAsia="宋体"/>
                  <w:i w:val="0"/>
                </w:rPr>
                <w:t xml:space="preserve">附件八、 </w:t>
              </w:r>
              <w:r>
                <w:rPr>
                  <w:rFonts w:hint="eastAsia" w:ascii="宋体" w:hAnsi="宋体" w:eastAsia="宋体"/>
                </w:rPr>
                <w:t>投标货物（工程或服务）清单</w:t>
              </w:r>
              <w:r>
                <w:tab/>
              </w:r>
              <w:r>
                <w:fldChar w:fldCharType="begin"/>
              </w:r>
              <w:r>
                <w:instrText xml:space="preserve"> PAGEREF _Toc5938 </w:instrText>
              </w:r>
              <w:r>
                <w:fldChar w:fldCharType="separate"/>
              </w:r>
              <w:r>
                <w:t>49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_Toc19041 </w:instrText>
              </w:r>
              <w:r>
                <w:rPr>
                  <w:rFonts w:hint="eastAsia" w:ascii="黑体" w:hAnsi="黑体" w:eastAsia="黑体"/>
                  <w:szCs w:val="44"/>
                </w:rPr>
                <w:fldChar w:fldCharType="separate"/>
              </w:r>
              <w:r>
                <w:rPr>
                  <w:rFonts w:hint="eastAsia" w:ascii="宋体" w:hAnsi="宋体" w:eastAsia="宋体"/>
                  <w:i w:val="0"/>
                </w:rPr>
                <w:t xml:space="preserve">附件九、 </w:t>
              </w:r>
              <w:r>
                <w:rPr>
                  <w:rFonts w:hint="eastAsia" w:ascii="宋体" w:hAnsi="宋体" w:eastAsia="宋体"/>
                </w:rPr>
                <w:t>法定代表人授权书</w:t>
              </w:r>
              <w:r>
                <w:tab/>
              </w:r>
              <w:r>
                <w:fldChar w:fldCharType="begin"/>
              </w:r>
              <w:r>
                <w:instrText xml:space="preserve"> PAGEREF _Toc19041 </w:instrText>
              </w:r>
              <w:r>
                <w:fldChar w:fldCharType="separate"/>
              </w:r>
              <w:r>
                <w:t>50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_Toc15182 </w:instrText>
              </w:r>
              <w:r>
                <w:rPr>
                  <w:rFonts w:hint="eastAsia" w:ascii="黑体" w:hAnsi="黑体" w:eastAsia="黑体"/>
                  <w:szCs w:val="44"/>
                </w:rPr>
                <w:fldChar w:fldCharType="separate"/>
              </w:r>
              <w:r>
                <w:rPr>
                  <w:rFonts w:hint="eastAsia" w:ascii="宋体" w:hAnsi="宋体" w:eastAsia="宋体"/>
                  <w:i w:val="0"/>
                </w:rPr>
                <w:t xml:space="preserve">附件十、 </w:t>
              </w:r>
              <w:r>
                <w:rPr>
                  <w:rFonts w:hint="eastAsia" w:ascii="宋体" w:hAnsi="宋体" w:eastAsia="宋体"/>
                </w:rPr>
                <w:t>投标人的资格声明</w:t>
              </w:r>
              <w:r>
                <w:tab/>
              </w:r>
              <w:r>
                <w:fldChar w:fldCharType="begin"/>
              </w:r>
              <w:r>
                <w:instrText xml:space="preserve"> PAGEREF _Toc15182 </w:instrText>
              </w:r>
              <w:r>
                <w:fldChar w:fldCharType="separate"/>
              </w:r>
              <w:r>
                <w:t>51</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_Toc17927 </w:instrText>
              </w:r>
              <w:r>
                <w:rPr>
                  <w:rFonts w:hint="eastAsia" w:ascii="黑体" w:hAnsi="黑体" w:eastAsia="黑体"/>
                  <w:szCs w:val="44"/>
                </w:rPr>
                <w:fldChar w:fldCharType="separate"/>
              </w:r>
              <w:r>
                <w:rPr>
                  <w:rFonts w:hint="eastAsia" w:ascii="宋体" w:hAnsi="宋体" w:eastAsia="宋体"/>
                  <w:i w:val="0"/>
                </w:rPr>
                <w:t xml:space="preserve">附件十一、 </w:t>
              </w:r>
              <w:r>
                <w:rPr>
                  <w:rFonts w:hint="eastAsia" w:ascii="宋体" w:hAnsi="宋体" w:eastAsia="宋体"/>
                </w:rPr>
                <w:t>项目负责人、技术负责人简历表</w:t>
              </w:r>
              <w:r>
                <w:tab/>
              </w:r>
              <w:r>
                <w:fldChar w:fldCharType="begin"/>
              </w:r>
              <w:r>
                <w:instrText xml:space="preserve"> PAGEREF _Toc17927 </w:instrText>
              </w:r>
              <w:r>
                <w:fldChar w:fldCharType="separate"/>
              </w:r>
              <w:r>
                <w:t>52</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_Toc22156 </w:instrText>
              </w:r>
              <w:r>
                <w:rPr>
                  <w:rFonts w:hint="eastAsia" w:ascii="黑体" w:hAnsi="黑体" w:eastAsia="黑体"/>
                  <w:szCs w:val="44"/>
                </w:rPr>
                <w:fldChar w:fldCharType="separate"/>
              </w:r>
              <w:r>
                <w:rPr>
                  <w:rFonts w:hint="eastAsia" w:ascii="宋体" w:hAnsi="宋体" w:eastAsia="宋体"/>
                  <w:i w:val="0"/>
                </w:rPr>
                <w:t xml:space="preserve">附件十二、 </w:t>
              </w:r>
              <w:r>
                <w:rPr>
                  <w:rFonts w:hint="eastAsia" w:ascii="宋体" w:hAnsi="宋体" w:eastAsia="宋体"/>
                </w:rPr>
                <w:t>项目班子成员情况表</w:t>
              </w:r>
              <w:r>
                <w:tab/>
              </w:r>
              <w:r>
                <w:fldChar w:fldCharType="begin"/>
              </w:r>
              <w:r>
                <w:instrText xml:space="preserve"> PAGEREF _Toc22156 </w:instrText>
              </w:r>
              <w:r>
                <w:fldChar w:fldCharType="separate"/>
              </w:r>
              <w:r>
                <w:t>53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_Toc30560 </w:instrText>
              </w:r>
              <w:r>
                <w:rPr>
                  <w:rFonts w:hint="eastAsia" w:ascii="黑体" w:hAnsi="黑体" w:eastAsia="黑体"/>
                  <w:szCs w:val="44"/>
                </w:rPr>
                <w:fldChar w:fldCharType="separate"/>
              </w:r>
              <w:r>
                <w:rPr>
                  <w:rFonts w:hint="eastAsia" w:ascii="宋体" w:hAnsi="宋体" w:eastAsia="宋体"/>
                  <w:i w:val="0"/>
                </w:rPr>
                <w:t xml:space="preserve">附件十三、 </w:t>
              </w:r>
              <w:r>
                <w:rPr>
                  <w:rFonts w:hint="eastAsia" w:ascii="宋体" w:hAnsi="宋体" w:eastAsia="宋体"/>
                </w:rPr>
                <w:t>投标人类似项目业绩表</w:t>
              </w:r>
              <w:r>
                <w:tab/>
              </w:r>
              <w:r>
                <w:fldChar w:fldCharType="begin"/>
              </w:r>
              <w:r>
                <w:instrText xml:space="preserve"> PAGEREF _Toc30560 </w:instrText>
              </w:r>
              <w:r>
                <w:fldChar w:fldCharType="separate"/>
              </w:r>
              <w:r>
                <w:t>54</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_Toc12389 </w:instrText>
              </w:r>
              <w:r>
                <w:rPr>
                  <w:rFonts w:hint="eastAsia" w:ascii="黑体" w:hAnsi="黑体" w:eastAsia="黑体"/>
                  <w:szCs w:val="44"/>
                </w:rPr>
                <w:fldChar w:fldCharType="separate"/>
              </w:r>
              <w:r>
                <w:rPr>
                  <w:rFonts w:hint="eastAsia" w:ascii="宋体" w:hAnsi="宋体" w:eastAsia="宋体"/>
                  <w:i w:val="0"/>
                </w:rPr>
                <w:t xml:space="preserve">附件十四、 </w:t>
              </w:r>
              <w:r>
                <w:rPr>
                  <w:rFonts w:hint="eastAsia" w:ascii="宋体" w:hAnsi="宋体" w:eastAsia="宋体"/>
                </w:rPr>
                <w:t>符合性审查对照表</w:t>
              </w:r>
              <w:r>
                <w:tab/>
              </w:r>
              <w:r>
                <w:fldChar w:fldCharType="begin"/>
              </w:r>
              <w:r>
                <w:instrText xml:space="preserve"> PAGEREF _Toc12389 </w:instrText>
              </w:r>
              <w:r>
                <w:fldChar w:fldCharType="separate"/>
              </w:r>
              <w:r>
                <w:t>55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_Toc15043 </w:instrText>
              </w:r>
              <w:r>
                <w:rPr>
                  <w:rFonts w:hint="eastAsia" w:ascii="黑体" w:hAnsi="黑体" w:eastAsia="黑体"/>
                  <w:szCs w:val="44"/>
                </w:rPr>
                <w:fldChar w:fldCharType="separate"/>
              </w:r>
              <w:r>
                <w:rPr>
                  <w:rFonts w:hint="eastAsia" w:ascii="宋体" w:hAnsi="宋体" w:eastAsia="宋体"/>
                  <w:i w:val="0"/>
                </w:rPr>
                <w:t xml:space="preserve">附件十五、 </w:t>
              </w:r>
              <w:r>
                <w:rPr>
                  <w:rFonts w:hint="eastAsia" w:ascii="宋体" w:hAnsi="宋体" w:eastAsia="宋体"/>
                </w:rPr>
                <w:t>商务要求响应、偏离说明表</w:t>
              </w:r>
              <w:r>
                <w:tab/>
              </w:r>
              <w:r>
                <w:fldChar w:fldCharType="begin"/>
              </w:r>
              <w:r>
                <w:instrText xml:space="preserve"> PAGEREF _Toc15043 </w:instrText>
              </w:r>
              <w:r>
                <w:fldChar w:fldCharType="separate"/>
              </w:r>
              <w:r>
                <w:t>56</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_Toc9110 </w:instrText>
              </w:r>
              <w:r>
                <w:rPr>
                  <w:rFonts w:hint="eastAsia" w:ascii="黑体" w:hAnsi="黑体" w:eastAsia="黑体"/>
                  <w:szCs w:val="44"/>
                </w:rPr>
                <w:fldChar w:fldCharType="separate"/>
              </w:r>
              <w:r>
                <w:rPr>
                  <w:rFonts w:hint="eastAsia" w:ascii="宋体" w:hAnsi="宋体" w:eastAsia="宋体"/>
                  <w:i w:val="0"/>
                </w:rPr>
                <w:t xml:space="preserve">附件十六、 </w:t>
              </w:r>
              <w:r>
                <w:rPr>
                  <w:rFonts w:hint="eastAsia" w:ascii="宋体" w:hAnsi="宋体" w:eastAsia="宋体"/>
                </w:rPr>
                <w:t>技术、服务要求响应、偏离说明表</w:t>
              </w:r>
              <w:r>
                <w:tab/>
              </w:r>
              <w:r>
                <w:fldChar w:fldCharType="begin"/>
              </w:r>
              <w:r>
                <w:instrText xml:space="preserve"> PAGEREF _Toc9110 </w:instrText>
              </w:r>
              <w:r>
                <w:fldChar w:fldCharType="separate"/>
              </w:r>
              <w:r>
                <w:t>57</w:t>
              </w:r>
              <w:r>
                <w:fldChar w:fldCharType="end"/>
              </w:r>
              <w:r>
                <w:rPr>
                  <w:rFonts w:hint="eastAsia" w:ascii="黑体" w:hAnsi="黑体" w:eastAsia="黑体"/>
                  <w:szCs w:val="44"/>
                </w:rPr>
                <w:fldChar w:fldCharType="end"/>
              </w:r>
            </w:p>
            <w:p>
              <w:pPr>
                <w:pStyle w:val="17"/>
                <w:tabs>
                  <w:tab w:val="left" w:pos="1260"/>
                  <w:tab w:val="right" w:leader="dot" w:pos="9514"/>
                </w:tabs>
                <w:rPr>
                  <w:rFonts w:hint="eastAsia" w:ascii="黑体" w:hAnsi="黑体" w:eastAsia="黑体" w:cstheme="minorBidi"/>
                  <w:kern w:val="2"/>
                  <w:sz w:val="21"/>
                  <w:szCs w:val="44"/>
                  <w:lang w:val="en-US" w:eastAsia="zh-CN" w:bidi="ar-SA"/>
                </w:rPr>
              </w:pPr>
              <w:r>
                <w:rPr>
                  <w:rFonts w:hint="eastAsia" w:ascii="黑体" w:hAnsi="黑体" w:eastAsia="黑体"/>
                  <w:szCs w:val="44"/>
                </w:rPr>
                <w:fldChar w:fldCharType="end"/>
              </w:r>
            </w:p>
          </w:sdtContent>
        </w:sdt>
      </w:sdtContent>
    </w:sdt>
    <w:sdt>
      <w:sdtPr>
        <w:rPr>
          <w:lang w:val="zh-CN"/>
        </w:rPr>
        <w:id w:val="1482579200"/>
      </w:sdtPr>
      <w:sdtEndPr>
        <w:rPr>
          <w:b w:val="0"/>
          <w:bCs/>
          <w:lang w:val="zh-CN"/>
        </w:rPr>
      </w:sdtEndPr>
      <w:sdtContent>
        <w:p>
          <w:pPr>
            <w:pStyle w:val="17"/>
            <w:tabs>
              <w:tab w:val="left" w:pos="1260"/>
              <w:tab w:val="right" w:leader="dot" w:pos="9514"/>
            </w:tabs>
          </w:pPr>
        </w:p>
      </w:sdtContent>
    </w:sdt>
    <w:p>
      <w:r>
        <w:br w:type="page"/>
      </w:r>
    </w:p>
    <w:p>
      <w:pPr>
        <w:pStyle w:val="3"/>
        <w:pageBreakBefore w:val="0"/>
        <w:numPr>
          <w:ilvl w:val="0"/>
          <w:numId w:val="1"/>
        </w:numPr>
        <w:kinsoku/>
        <w:wordWrap/>
        <w:overflowPunct/>
        <w:topLinePunct w:val="0"/>
        <w:autoSpaceDE/>
        <w:autoSpaceDN/>
        <w:bidi w:val="0"/>
        <w:adjustRightInd/>
        <w:snapToGrid/>
        <w:spacing w:before="0" w:after="0" w:line="480" w:lineRule="exact"/>
        <w:ind w:left="883" w:right="0" w:rightChars="0" w:hanging="880" w:hangingChars="200"/>
        <w:jc w:val="center"/>
        <w:textAlignment w:val="auto"/>
        <w:rPr>
          <w:rFonts w:ascii="黑体" w:hAnsi="黑体" w:eastAsia="黑体"/>
        </w:rPr>
      </w:pPr>
      <w:bookmarkStart w:id="0" w:name="_Toc495861517"/>
      <w:bookmarkStart w:id="1" w:name="_Toc9228"/>
      <w:r>
        <w:rPr>
          <w:rFonts w:hint="eastAsia" w:ascii="黑体" w:hAnsi="黑体" w:eastAsia="黑体"/>
        </w:rPr>
        <w:t>投标邀请书</w:t>
      </w:r>
      <w:bookmarkEnd w:id="0"/>
      <w:bookmarkEnd w:id="1"/>
    </w:p>
    <w:p>
      <w:pPr>
        <w:pStyle w:val="20"/>
        <w:pageBreakBefore w:val="0"/>
        <w:widowControl/>
        <w:pBdr>
          <w:top w:val="single" w:color="auto" w:sz="6" w:space="0"/>
          <w:left w:val="single" w:color="auto" w:sz="6" w:space="3"/>
          <w:bottom w:val="single" w:color="auto" w:sz="6" w:space="0"/>
          <w:right w:val="single" w:color="auto" w:sz="6" w:space="3"/>
        </w:pBdr>
        <w:kinsoku/>
        <w:wordWrap/>
        <w:overflowPunct/>
        <w:topLinePunct w:val="0"/>
        <w:autoSpaceDE/>
        <w:autoSpaceDN/>
        <w:bidi w:val="0"/>
        <w:adjustRightInd/>
        <w:snapToGrid/>
        <w:spacing w:beforeAutospacing="0" w:afterAutospacing="0" w:line="480" w:lineRule="exact"/>
        <w:ind w:right="0" w:rightChars="0" w:firstLine="720"/>
        <w:textAlignment w:val="auto"/>
      </w:pPr>
      <w:bookmarkStart w:id="2" w:name="_Toc495861518"/>
      <w:r>
        <w:rPr>
          <w:rFonts w:hint="eastAsia" w:ascii="宋体" w:hAnsi="宋体" w:eastAsia="宋体" w:cs="宋体"/>
          <w:sz w:val="24"/>
          <w:szCs w:val="24"/>
          <w:shd w:val="clear" w:color="auto" w:fill="FFFFFF"/>
          <w:lang w:eastAsia="zh-CN"/>
        </w:rPr>
        <w:t>阳新县2022年灭螺与防治药品采购项目（二次）</w:t>
      </w:r>
      <w:r>
        <w:rPr>
          <w:rFonts w:hint="eastAsia" w:ascii="宋体" w:hAnsi="宋体" w:eastAsia="宋体" w:cs="宋体"/>
          <w:szCs w:val="24"/>
          <w:shd w:val="clear" w:color="auto" w:fill="FFFFFF"/>
        </w:rPr>
        <w:t>的潜在投标人应在“湖北省政府采购网”、“黄石市公共资源交易信息网”及“阳新县人民政府网”获取招标文件，并于</w:t>
      </w:r>
      <w:r>
        <w:rPr>
          <w:rFonts w:hint="eastAsia" w:ascii="宋体" w:hAnsi="宋体" w:eastAsia="宋体" w:cs="宋体"/>
          <w:color w:val="FF0000"/>
          <w:szCs w:val="24"/>
          <w:shd w:val="clear" w:color="auto" w:fill="FFFFFF"/>
          <w:lang w:val="en-US" w:eastAsia="zh-CN"/>
        </w:rPr>
        <w:t>2022</w:t>
      </w:r>
      <w:r>
        <w:rPr>
          <w:rFonts w:hint="eastAsia" w:ascii="宋体" w:hAnsi="宋体" w:eastAsia="宋体" w:cs="宋体"/>
          <w:color w:val="FF0000"/>
          <w:szCs w:val="24"/>
          <w:shd w:val="clear" w:color="auto" w:fill="FFFFFF"/>
        </w:rPr>
        <w:t>年</w:t>
      </w:r>
      <w:r>
        <w:rPr>
          <w:rFonts w:hint="eastAsia" w:ascii="宋体" w:hAnsi="宋体" w:eastAsia="宋体" w:cs="宋体"/>
          <w:color w:val="FF0000"/>
          <w:szCs w:val="24"/>
          <w:shd w:val="clear" w:color="auto" w:fill="FFFFFF"/>
          <w:lang w:val="en-US" w:eastAsia="zh-CN"/>
        </w:rPr>
        <w:t>05</w:t>
      </w:r>
      <w:r>
        <w:rPr>
          <w:rFonts w:hint="eastAsia" w:ascii="宋体" w:hAnsi="宋体" w:eastAsia="宋体" w:cs="宋体"/>
          <w:color w:val="FF0000"/>
          <w:szCs w:val="24"/>
          <w:shd w:val="clear" w:color="auto" w:fill="FFFFFF"/>
        </w:rPr>
        <w:t>月</w:t>
      </w:r>
      <w:r>
        <w:rPr>
          <w:rFonts w:hint="eastAsia" w:ascii="宋体" w:hAnsi="宋体" w:eastAsia="宋体" w:cs="宋体"/>
          <w:color w:val="FF0000"/>
          <w:szCs w:val="24"/>
          <w:shd w:val="clear" w:color="auto" w:fill="FFFFFF"/>
          <w:lang w:val="en-US" w:eastAsia="zh-CN"/>
        </w:rPr>
        <w:t>05</w:t>
      </w:r>
      <w:r>
        <w:rPr>
          <w:rFonts w:hint="eastAsia" w:ascii="宋体" w:hAnsi="宋体" w:eastAsia="宋体" w:cs="宋体"/>
          <w:color w:val="FF0000"/>
          <w:szCs w:val="24"/>
          <w:shd w:val="clear" w:color="auto" w:fill="FFFFFF"/>
        </w:rPr>
        <w:t>日</w:t>
      </w:r>
      <w:r>
        <w:rPr>
          <w:rFonts w:hint="eastAsia" w:ascii="宋体" w:hAnsi="宋体" w:eastAsia="宋体" w:cs="宋体"/>
          <w:color w:val="FF0000"/>
          <w:szCs w:val="24"/>
          <w:shd w:val="clear" w:color="auto" w:fill="FFFFFF"/>
          <w:lang w:val="en-US" w:eastAsia="zh-CN"/>
        </w:rPr>
        <w:t>9</w:t>
      </w:r>
      <w:r>
        <w:rPr>
          <w:rFonts w:hint="eastAsia" w:ascii="宋体" w:hAnsi="宋体" w:eastAsia="宋体" w:cs="宋体"/>
          <w:color w:val="FF0000"/>
          <w:szCs w:val="24"/>
          <w:shd w:val="clear" w:color="auto" w:fill="FFFFFF"/>
        </w:rPr>
        <w:t>时</w:t>
      </w:r>
      <w:r>
        <w:rPr>
          <w:rFonts w:hint="eastAsia" w:ascii="宋体" w:hAnsi="宋体" w:eastAsia="宋体" w:cs="宋体"/>
          <w:color w:val="FF0000"/>
          <w:szCs w:val="24"/>
          <w:shd w:val="clear" w:color="auto" w:fill="FFFFFF"/>
          <w:lang w:val="en-US" w:eastAsia="zh-CN"/>
        </w:rPr>
        <w:t>00</w:t>
      </w:r>
      <w:r>
        <w:rPr>
          <w:rFonts w:hint="eastAsia" w:ascii="宋体" w:hAnsi="宋体" w:eastAsia="宋体" w:cs="宋体"/>
          <w:color w:val="auto"/>
          <w:szCs w:val="24"/>
          <w:shd w:val="clear" w:color="auto" w:fill="FFFFFF"/>
        </w:rPr>
        <w:t>分(</w:t>
      </w:r>
      <w:r>
        <w:rPr>
          <w:rFonts w:hint="eastAsia" w:ascii="宋体" w:hAnsi="宋体" w:eastAsia="宋体" w:cs="宋体"/>
          <w:szCs w:val="24"/>
          <w:shd w:val="clear" w:color="auto" w:fill="FFFFFF"/>
        </w:rPr>
        <w:t>北京时间）前递交投标文件。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20"/>
        <w:textAlignment w:val="auto"/>
      </w:pPr>
      <w:r>
        <w:rPr>
          <w:rStyle w:val="25"/>
          <w:rFonts w:hint="eastAsia" w:ascii="宋体" w:hAnsi="宋体" w:eastAsia="宋体" w:cs="宋体"/>
          <w:szCs w:val="24"/>
          <w:shd w:val="clear" w:color="auto" w:fill="FFFFFF"/>
        </w:rPr>
        <w:t>一、项目基本情况</w:t>
      </w:r>
    </w:p>
    <w:p>
      <w:pPr>
        <w:keepNext w:val="0"/>
        <w:keepLines w:val="0"/>
        <w:pageBreakBefore w:val="0"/>
        <w:kinsoku/>
        <w:wordWrap/>
        <w:overflowPunct/>
        <w:topLinePunct w:val="0"/>
        <w:autoSpaceDE/>
        <w:autoSpaceDN/>
        <w:bidi w:val="0"/>
        <w:adjustRightInd/>
        <w:snapToGrid/>
        <w:spacing w:line="440" w:lineRule="atLeast"/>
        <w:ind w:right="0" w:rightChars="0" w:firstLine="480" w:firstLineChars="200"/>
        <w:textAlignment w:val="auto"/>
        <w:rPr>
          <w:rFonts w:eastAsia="宋体"/>
          <w:color w:val="FF0000"/>
          <w:sz w:val="24"/>
          <w:szCs w:val="24"/>
        </w:rPr>
      </w:pPr>
      <w:r>
        <w:rPr>
          <w:rFonts w:hint="eastAsia" w:ascii="宋体" w:hAnsi="宋体" w:eastAsia="宋体" w:cs="宋体"/>
          <w:sz w:val="24"/>
          <w:szCs w:val="24"/>
          <w:shd w:val="clear" w:color="auto" w:fill="FFFFFF"/>
        </w:rPr>
        <w:t>项目编号：</w:t>
      </w:r>
      <w:r>
        <w:rPr>
          <w:rFonts w:hint="eastAsia" w:ascii="宋体" w:hAnsi="宋体" w:eastAsia="宋体" w:cs="宋体"/>
          <w:color w:val="auto"/>
          <w:sz w:val="24"/>
          <w:szCs w:val="24"/>
          <w:shd w:val="clear" w:color="auto" w:fill="FFFFFF"/>
          <w:lang w:eastAsia="zh-CN"/>
        </w:rPr>
        <w:t>131-2022CG-</w:t>
      </w:r>
      <w:r>
        <w:rPr>
          <w:rFonts w:hint="eastAsia" w:ascii="宋体" w:hAnsi="宋体" w:eastAsia="宋体" w:cs="宋体"/>
          <w:color w:val="auto"/>
          <w:sz w:val="24"/>
          <w:szCs w:val="24"/>
          <w:shd w:val="clear" w:color="auto" w:fill="FFFFFF"/>
          <w:lang w:val="en-US" w:eastAsia="zh-CN"/>
        </w:rPr>
        <w:t>029</w:t>
      </w:r>
      <w:r>
        <w:rPr>
          <w:rFonts w:hint="eastAsia" w:ascii="宋体" w:hAnsi="宋体" w:eastAsia="宋体" w:cs="宋体"/>
          <w:color w:val="auto"/>
          <w:kern w:val="0"/>
          <w:sz w:val="24"/>
          <w:szCs w:val="24"/>
          <w:shd w:val="clear" w:color="auto" w:fill="FFFFFF"/>
        </w:rPr>
        <w:t>（政府采购备案号：阳财采计</w:t>
      </w:r>
      <w:r>
        <w:rPr>
          <w:rFonts w:hint="eastAsia" w:ascii="宋体" w:hAnsi="宋体" w:eastAsia="宋体" w:cs="宋体"/>
          <w:color w:val="auto"/>
          <w:kern w:val="0"/>
          <w:sz w:val="24"/>
          <w:szCs w:val="24"/>
          <w:highlight w:val="none"/>
          <w:shd w:val="clear" w:color="auto" w:fill="FFFFFF"/>
        </w:rPr>
        <w:t>备[202</w:t>
      </w:r>
      <w:r>
        <w:rPr>
          <w:rFonts w:hint="eastAsia" w:ascii="宋体" w:hAnsi="宋体" w:eastAsia="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A0301号</w:t>
      </w:r>
      <w:r>
        <w:rPr>
          <w:rFonts w:hint="eastAsia" w:ascii="宋体" w:hAnsi="宋体" w:eastAsia="宋体" w:cs="宋体"/>
          <w:color w:val="auto"/>
          <w:kern w:val="0"/>
          <w:sz w:val="24"/>
          <w:szCs w:val="24"/>
          <w:highlight w:val="none"/>
          <w:shd w:val="clear" w:color="auto" w:fill="FFFFFF"/>
        </w:rPr>
        <w:t>）</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项目名称：</w:t>
      </w:r>
      <w:r>
        <w:rPr>
          <w:rFonts w:hint="eastAsia" w:ascii="宋体" w:hAnsi="宋体" w:eastAsia="宋体" w:cs="宋体"/>
          <w:sz w:val="24"/>
          <w:szCs w:val="24"/>
          <w:shd w:val="clear" w:color="auto" w:fill="FFFFFF"/>
          <w:lang w:eastAsia="zh-CN"/>
        </w:rPr>
        <w:t>阳新县2022年灭螺与防治药品采购项目（二次）</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eastAsia" w:ascii="宋体" w:hAnsi="宋体" w:eastAsia="宋体" w:cs="宋体"/>
          <w:spacing w:val="-11"/>
          <w:sz w:val="24"/>
          <w:szCs w:val="24"/>
          <w:shd w:val="clear" w:color="auto" w:fill="FFFFFF"/>
          <w:lang w:val="en-US" w:eastAsia="zh-CN"/>
        </w:rPr>
      </w:pPr>
      <w:r>
        <w:rPr>
          <w:rFonts w:hint="eastAsia" w:ascii="宋体" w:hAnsi="宋体" w:eastAsia="宋体" w:cs="宋体"/>
          <w:sz w:val="24"/>
          <w:szCs w:val="24"/>
          <w:shd w:val="clear" w:color="auto" w:fill="FFFFFF"/>
        </w:rPr>
        <w:t>预算金额：</w:t>
      </w:r>
      <w:r>
        <w:rPr>
          <w:rFonts w:hint="eastAsia" w:ascii="宋体" w:hAnsi="宋体" w:eastAsia="宋体" w:cs="宋体"/>
          <w:sz w:val="24"/>
          <w:szCs w:val="24"/>
          <w:shd w:val="clear" w:color="auto" w:fill="FFFFFF"/>
          <w:lang w:val="en-US" w:eastAsia="zh-CN"/>
        </w:rPr>
        <w:t>80</w:t>
      </w:r>
      <w:r>
        <w:rPr>
          <w:rFonts w:hint="eastAsia" w:ascii="宋体" w:hAnsi="宋体" w:eastAsia="宋体" w:cs="宋体"/>
          <w:spacing w:val="-11"/>
          <w:sz w:val="24"/>
          <w:szCs w:val="24"/>
          <w:shd w:val="clear" w:color="auto" w:fill="FFFFFF"/>
          <w:lang w:val="en-US" w:eastAsia="zh-CN"/>
        </w:rPr>
        <w:t>万元</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最高限价：80万元</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eastAsia" w:ascii="宋体" w:hAnsi="宋体" w:eastAsia="宋体" w:cs="宋体"/>
          <w:szCs w:val="24"/>
          <w:shd w:val="clear" w:color="auto" w:fill="FFFFFF"/>
          <w:lang w:eastAsia="zh-CN"/>
        </w:rPr>
      </w:pPr>
      <w:r>
        <w:rPr>
          <w:rFonts w:hint="eastAsia" w:ascii="宋体" w:hAnsi="宋体" w:eastAsia="宋体" w:cs="宋体"/>
          <w:sz w:val="24"/>
          <w:szCs w:val="24"/>
          <w:shd w:val="clear" w:color="auto" w:fill="FFFFFF"/>
        </w:rPr>
        <w:t>采购需求：</w:t>
      </w:r>
      <w:r>
        <w:rPr>
          <w:rFonts w:hint="eastAsia" w:ascii="宋体" w:hAnsi="宋体" w:eastAsia="宋体" w:cs="宋体"/>
          <w:szCs w:val="24"/>
          <w:shd w:val="clear" w:color="auto" w:fill="FFFFFF"/>
        </w:rPr>
        <w:t>为满足我县年度血防工作目标任务，现对我县</w:t>
      </w:r>
      <w:r>
        <w:rPr>
          <w:rFonts w:hint="eastAsia" w:ascii="宋体" w:hAnsi="宋体" w:eastAsia="宋体" w:cs="宋体"/>
          <w:szCs w:val="24"/>
          <w:shd w:val="clear" w:color="auto" w:fill="FFFFFF"/>
          <w:lang w:eastAsia="zh-CN"/>
        </w:rPr>
        <w:t>灭螺与防治药品</w:t>
      </w:r>
      <w:r>
        <w:rPr>
          <w:rFonts w:hint="eastAsia" w:ascii="宋体" w:hAnsi="宋体" w:eastAsia="宋体" w:cs="宋体"/>
          <w:szCs w:val="24"/>
          <w:shd w:val="clear" w:color="auto" w:fill="FFFFFF"/>
        </w:rPr>
        <w:t>实行政府采购。本项目采购分</w:t>
      </w:r>
      <w:r>
        <w:rPr>
          <w:rFonts w:hint="eastAsia" w:ascii="宋体" w:hAnsi="宋体" w:eastAsia="宋体" w:cs="宋体"/>
          <w:szCs w:val="24"/>
          <w:shd w:val="clear" w:color="auto" w:fill="FFFFFF"/>
          <w:lang w:eastAsia="zh-CN"/>
        </w:rPr>
        <w:t>二</w:t>
      </w:r>
      <w:r>
        <w:rPr>
          <w:rFonts w:hint="eastAsia" w:ascii="宋体" w:hAnsi="宋体" w:eastAsia="宋体" w:cs="宋体"/>
          <w:szCs w:val="24"/>
          <w:shd w:val="clear" w:color="auto" w:fill="FFFFFF"/>
        </w:rPr>
        <w:t>个标包，具体为</w:t>
      </w:r>
      <w:r>
        <w:rPr>
          <w:rFonts w:hint="eastAsia" w:ascii="宋体" w:hAnsi="宋体" w:eastAsia="宋体" w:cs="宋体"/>
          <w:szCs w:val="24"/>
          <w:shd w:val="clear" w:color="auto" w:fill="FFFFFF"/>
          <w:lang w:eastAsia="zh-CN"/>
        </w:rPr>
        <w:t>（详见招标文件第三章）。</w:t>
      </w:r>
    </w:p>
    <w:tbl>
      <w:tblPr>
        <w:tblStyle w:val="2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093"/>
        <w:gridCol w:w="1098"/>
        <w:gridCol w:w="805"/>
        <w:gridCol w:w="80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标包号</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货物名称</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规格</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单位</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数量</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合价</w:t>
            </w:r>
            <w:r>
              <w:rPr>
                <w:rFonts w:hint="eastAsia" w:ascii="宋体" w:hAnsi="宋体" w:eastAsia="宋体" w:cs="宋体"/>
                <w:szCs w:val="24"/>
                <w:shd w:val="clear" w:color="auto" w:fill="FFFFFF"/>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1包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50%杀螺胺乙醇胺盐可湿性粉剂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10kg/袋</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2包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26%四聚·杀螺胺乙醇胺盐悬浮剂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10kg/桶</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04" w:type="dxa"/>
            <w:gridSpan w:val="2"/>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合计</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18" w:type="dxa"/>
            <w:gridSpan w:val="6"/>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left"/>
              <w:textAlignment w:val="auto"/>
              <w:rPr>
                <w:rFonts w:hint="eastAsia"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注：第 1 包和第 2 包规格为参考指标，按 t 结算，可根据各供应商实际情况调整。</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480"/>
        <w:textAlignment w:val="auto"/>
        <w:rPr>
          <w:rFonts w:eastAsia="宋体"/>
          <w:sz w:val="24"/>
          <w:szCs w:val="24"/>
        </w:rPr>
      </w:pPr>
      <w:r>
        <w:rPr>
          <w:rFonts w:hint="eastAsia" w:ascii="宋体" w:hAnsi="宋体" w:eastAsia="宋体" w:cs="宋体"/>
          <w:sz w:val="24"/>
          <w:szCs w:val="24"/>
          <w:shd w:val="clear" w:color="auto" w:fill="FFFFFF"/>
        </w:rPr>
        <w:t>合同履行期限：</w:t>
      </w:r>
      <w:r>
        <w:rPr>
          <w:rFonts w:hint="eastAsia" w:ascii="宋体" w:hAnsi="宋体" w:eastAsia="宋体" w:cs="宋体"/>
          <w:sz w:val="24"/>
          <w:szCs w:val="24"/>
          <w:shd w:val="clear" w:color="auto" w:fill="FFFFFF"/>
          <w:lang w:eastAsia="zh-CN"/>
        </w:rPr>
        <w:t>签订合同后</w:t>
      </w:r>
      <w:r>
        <w:rPr>
          <w:rFonts w:hint="eastAsia" w:ascii="宋体" w:hAnsi="宋体" w:eastAsia="宋体" w:cs="宋体"/>
          <w:sz w:val="24"/>
          <w:szCs w:val="24"/>
          <w:shd w:val="clear" w:color="auto" w:fill="FFFFFF"/>
          <w:lang w:val="en-US" w:eastAsia="zh-CN"/>
        </w:rPr>
        <w:t>30个工作日</w:t>
      </w:r>
    </w:p>
    <w:p>
      <w:pPr>
        <w:pStyle w:val="20"/>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420"/>
        <w:textAlignment w:val="auto"/>
        <w:rPr>
          <w:sz w:val="24"/>
          <w:szCs w:val="24"/>
        </w:rPr>
      </w:pPr>
      <w:r>
        <w:rPr>
          <w:rStyle w:val="25"/>
          <w:rFonts w:hint="eastAsia" w:ascii="宋体" w:hAnsi="宋体" w:eastAsia="宋体" w:cs="宋体"/>
          <w:sz w:val="24"/>
          <w:szCs w:val="24"/>
          <w:shd w:val="clear" w:color="auto" w:fill="FFFFFF"/>
        </w:rPr>
        <w:t>二、申请人的资格要求：</w:t>
      </w:r>
    </w:p>
    <w:p>
      <w:pPr>
        <w:pStyle w:val="20"/>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48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1、应具备《政府采购法》第二十二条</w:t>
      </w:r>
      <w:r>
        <w:rPr>
          <w:rFonts w:hint="eastAsia" w:ascii="宋体" w:hAnsi="宋体" w:eastAsia="宋体" w:cs="宋体"/>
          <w:sz w:val="24"/>
          <w:szCs w:val="24"/>
          <w:shd w:val="clear" w:color="auto" w:fill="FFFFFF"/>
          <w:lang w:eastAsia="zh-CN"/>
        </w:rPr>
        <w:t>第一款</w:t>
      </w:r>
      <w:r>
        <w:rPr>
          <w:rFonts w:hint="eastAsia" w:ascii="宋体" w:hAnsi="宋体" w:eastAsia="宋体" w:cs="宋体"/>
          <w:sz w:val="24"/>
          <w:szCs w:val="24"/>
          <w:shd w:val="clear" w:color="auto" w:fill="FFFFFF"/>
        </w:rPr>
        <w:t>规定的条件</w:t>
      </w:r>
      <w:r>
        <w:rPr>
          <w:rFonts w:hint="eastAsia" w:ascii="宋体" w:hAnsi="宋体" w:eastAsia="宋体" w:cs="宋体"/>
          <w:sz w:val="24"/>
          <w:szCs w:val="24"/>
          <w:shd w:val="clear" w:color="auto" w:fill="FFFFFF"/>
          <w:lang w:eastAsia="zh-CN"/>
        </w:rPr>
        <w:t>，提供下列材料：</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(1)</w:t>
      </w:r>
      <w:r>
        <w:rPr>
          <w:rFonts w:hint="eastAsia" w:ascii="宋体" w:hAnsi="宋体"/>
          <w:sz w:val="24"/>
          <w:szCs w:val="24"/>
          <w:lang w:val="hr-HR"/>
        </w:rPr>
        <w:t>具有独立承担民事责任的能力</w:t>
      </w:r>
      <w:r>
        <w:rPr>
          <w:rFonts w:hint="eastAsia" w:ascii="宋体" w:hAnsi="宋体" w:cs="宋体"/>
          <w:kern w:val="0"/>
          <w:sz w:val="24"/>
          <w:szCs w:val="24"/>
        </w:rPr>
        <w:t>(</w:t>
      </w:r>
      <w:r>
        <w:rPr>
          <w:rFonts w:hint="eastAsia" w:ascii="宋体" w:hAnsi="宋体"/>
          <w:sz w:val="24"/>
          <w:szCs w:val="24"/>
        </w:rPr>
        <w:t>提供法人或者其他组织的营业执照等证明文件，自然人的身份证明</w:t>
      </w:r>
      <w:r>
        <w:rPr>
          <w:rFonts w:hint="eastAsia" w:ascii="宋体" w:hAnsi="宋体" w:cs="宋体"/>
          <w:kern w:val="0"/>
          <w:sz w:val="24"/>
          <w:szCs w:val="24"/>
        </w:rPr>
        <w:t>)</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(2)</w:t>
      </w:r>
      <w:r>
        <w:rPr>
          <w:rFonts w:hint="eastAsia" w:ascii="宋体" w:hAnsi="宋体"/>
          <w:sz w:val="24"/>
          <w:szCs w:val="24"/>
          <w:lang w:val="hr-HR"/>
        </w:rPr>
        <w:t>具有良好的商业信誉和健全的财务会计制度</w:t>
      </w:r>
      <w:r>
        <w:rPr>
          <w:rFonts w:hint="eastAsia" w:ascii="宋体" w:hAnsi="宋体" w:cs="宋体"/>
          <w:kern w:val="0"/>
          <w:sz w:val="24"/>
          <w:szCs w:val="24"/>
        </w:rPr>
        <w:t>（提供</w:t>
      </w:r>
      <w:r>
        <w:rPr>
          <w:rFonts w:hint="eastAsia" w:ascii="宋体" w:hAnsi="宋体" w:cs="宋体"/>
          <w:kern w:val="0"/>
          <w:sz w:val="24"/>
          <w:szCs w:val="24"/>
          <w:lang w:eastAsia="zh-CN"/>
        </w:rPr>
        <w:t>近一年</w:t>
      </w:r>
      <w:r>
        <w:rPr>
          <w:rFonts w:hint="eastAsia" w:ascii="宋体" w:hAnsi="宋体" w:cs="宋体"/>
          <w:kern w:val="0"/>
          <w:sz w:val="24"/>
          <w:szCs w:val="24"/>
        </w:rPr>
        <w:t>度审计报告）</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(3)</w:t>
      </w:r>
      <w:r>
        <w:rPr>
          <w:rFonts w:hint="eastAsia" w:ascii="宋体" w:hAnsi="宋体"/>
          <w:sz w:val="24"/>
          <w:szCs w:val="24"/>
          <w:lang w:val="hr-HR"/>
        </w:rPr>
        <w:t>具有履行合同所必需的设备和专业技术能力</w:t>
      </w:r>
      <w:r>
        <w:rPr>
          <w:rFonts w:hint="eastAsia" w:ascii="宋体" w:hAnsi="宋体" w:cs="宋体"/>
          <w:kern w:val="0"/>
          <w:sz w:val="24"/>
          <w:szCs w:val="24"/>
        </w:rPr>
        <w:t>（提供证明材料）</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(4)</w:t>
      </w:r>
      <w:r>
        <w:rPr>
          <w:rFonts w:hint="eastAsia" w:ascii="宋体" w:hAnsi="宋体"/>
          <w:sz w:val="24"/>
          <w:szCs w:val="24"/>
          <w:lang w:val="hr-HR"/>
        </w:rPr>
        <w:t>有依法缴纳税收和社会保障资金的良好记录</w:t>
      </w:r>
      <w:r>
        <w:rPr>
          <w:rFonts w:hint="eastAsia" w:ascii="宋体" w:hAnsi="宋体" w:cs="宋体"/>
          <w:kern w:val="0"/>
          <w:sz w:val="24"/>
          <w:szCs w:val="24"/>
        </w:rPr>
        <w:t>（提供近六个月内纳税凭证、近六个月内社保中心回执或社保缴费凭证）</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(5)</w:t>
      </w:r>
      <w:r>
        <w:rPr>
          <w:rFonts w:hint="eastAsia" w:ascii="宋体" w:hAnsi="宋体"/>
          <w:sz w:val="24"/>
          <w:szCs w:val="24"/>
          <w:lang w:val="hr-HR"/>
        </w:rPr>
        <w:t>参加政府采购活动前三年内，在经营活动中没有重大违法记录</w:t>
      </w:r>
      <w:r>
        <w:rPr>
          <w:rFonts w:hint="eastAsia" w:ascii="宋体" w:hAnsi="宋体" w:cs="宋体"/>
          <w:kern w:val="0"/>
          <w:sz w:val="24"/>
          <w:szCs w:val="24"/>
        </w:rPr>
        <w:t>（提供声明函）</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kern w:val="0"/>
          <w:sz w:val="24"/>
          <w:szCs w:val="24"/>
          <w:shd w:val="clear" w:color="auto" w:fill="FFFFFF"/>
          <w:lang w:val="en-US" w:eastAsia="zh-CN" w:bidi="ar-SA"/>
        </w:rPr>
        <w:t>(6)</w:t>
      </w:r>
      <w:r>
        <w:rPr>
          <w:rFonts w:hint="eastAsia" w:ascii="宋体" w:hAnsi="宋体"/>
          <w:sz w:val="24"/>
          <w:szCs w:val="24"/>
          <w:lang w:val="hr-HR"/>
        </w:rPr>
        <w:t>法律、行政法规规定的其他条件。</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keepNext w:val="0"/>
        <w:keepLines w:val="0"/>
        <w:pageBreakBefore w:val="0"/>
        <w:widowControl w:val="0"/>
        <w:tabs>
          <w:tab w:val="left" w:pos="896"/>
        </w:tabs>
        <w:kinsoku/>
        <w:wordWrap/>
        <w:overflowPunct/>
        <w:topLinePunct w:val="0"/>
        <w:autoSpaceDE/>
        <w:autoSpaceDN/>
        <w:bidi w:val="0"/>
        <w:adjustRightInd/>
        <w:snapToGrid/>
        <w:spacing w:line="440" w:lineRule="atLeast"/>
        <w:ind w:left="482" w:right="0" w:rightChars="0"/>
        <w:textAlignment w:val="auto"/>
        <w:rPr>
          <w:rFonts w:hint="eastAsia"/>
          <w:sz w:val="24"/>
          <w:szCs w:val="24"/>
          <w:lang w:val="en-US" w:eastAsia="zh-CN"/>
        </w:rPr>
      </w:pPr>
      <w:r>
        <w:rPr>
          <w:rFonts w:hint="eastAsia" w:ascii="宋体" w:hAnsi="宋体" w:eastAsia="宋体" w:cs="宋体"/>
          <w:kern w:val="0"/>
          <w:sz w:val="24"/>
          <w:szCs w:val="24"/>
          <w:shd w:val="clear" w:color="auto" w:fill="FFFFFF"/>
          <w:lang w:val="en-US" w:eastAsia="zh-CN" w:bidi="ar-SA"/>
        </w:rPr>
        <w:t>3、特定条件：</w:t>
      </w:r>
    </w:p>
    <w:p>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w:t>
      </w:r>
      <w:r>
        <w:rPr>
          <w:rFonts w:hint="eastAsia" w:ascii="宋体" w:hAnsi="宋体" w:eastAsia="宋体" w:cs="宋体"/>
          <w:kern w:val="0"/>
          <w:sz w:val="24"/>
          <w:szCs w:val="24"/>
          <w:shd w:val="clear" w:color="auto" w:fill="FFFFFF"/>
          <w:lang w:val="hr-HR" w:eastAsia="zh-CN" w:bidi="ar-SA"/>
        </w:rPr>
        <w:t>供应商</w:t>
      </w:r>
      <w:r>
        <w:rPr>
          <w:rFonts w:hint="eastAsia" w:ascii="宋体" w:hAnsi="宋体" w:eastAsia="宋体" w:cs="宋体"/>
          <w:kern w:val="0"/>
          <w:sz w:val="24"/>
          <w:szCs w:val="24"/>
          <w:shd w:val="clear" w:color="auto" w:fill="FFFFFF"/>
          <w:lang w:val="en-US" w:eastAsia="zh-CN" w:bidi="ar-SA"/>
        </w:rPr>
        <w:t>须是合格的生产商、代理商或经销商，投标人应具有有效的《农药生产许可证》或《农药经营许可证》且在有效期内。</w:t>
      </w:r>
    </w:p>
    <w:p>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kern w:val="0"/>
          <w:sz w:val="24"/>
          <w:szCs w:val="24"/>
          <w:shd w:val="clear" w:color="auto" w:fill="FFFFFF"/>
          <w:lang w:val="hr-HR" w:eastAsia="zh-CN" w:bidi="ar-SA"/>
        </w:rPr>
      </w:pPr>
      <w:r>
        <w:rPr>
          <w:rFonts w:hint="eastAsia" w:ascii="宋体" w:hAnsi="宋体" w:eastAsia="宋体" w:cs="宋体"/>
          <w:kern w:val="0"/>
          <w:sz w:val="24"/>
          <w:szCs w:val="24"/>
          <w:shd w:val="clear" w:color="auto" w:fill="FFFFFF"/>
          <w:lang w:val="en-US" w:eastAsia="zh-CN" w:bidi="ar-SA"/>
        </w:rPr>
        <w:t>(2)</w:t>
      </w:r>
      <w:r>
        <w:rPr>
          <w:rFonts w:hint="eastAsia" w:ascii="宋体" w:hAnsi="宋体" w:eastAsia="宋体" w:cs="宋体"/>
          <w:kern w:val="0"/>
          <w:sz w:val="24"/>
          <w:szCs w:val="24"/>
          <w:shd w:val="clear" w:color="auto" w:fill="FFFFFF"/>
          <w:lang w:val="hr-HR" w:eastAsia="zh-CN" w:bidi="ar-SA"/>
        </w:rPr>
        <w:t>供应商必须提供药品生产批件，药品说明书。</w:t>
      </w:r>
    </w:p>
    <w:p>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kern w:val="0"/>
          <w:sz w:val="24"/>
          <w:szCs w:val="24"/>
          <w:shd w:val="clear" w:color="auto" w:fill="FFFFFF"/>
          <w:lang w:val="hr-HR" w:eastAsia="zh-CN" w:bidi="ar-SA"/>
        </w:rPr>
      </w:pPr>
      <w:r>
        <w:rPr>
          <w:rFonts w:hint="eastAsia" w:ascii="宋体" w:hAnsi="宋体" w:eastAsia="宋体" w:cs="宋体"/>
          <w:kern w:val="0"/>
          <w:sz w:val="24"/>
          <w:szCs w:val="24"/>
          <w:shd w:val="clear" w:color="auto" w:fill="FFFFFF"/>
          <w:lang w:val="en-US" w:eastAsia="zh-CN" w:bidi="ar-SA"/>
        </w:rPr>
        <w:t>(3)</w:t>
      </w:r>
      <w:r>
        <w:rPr>
          <w:rFonts w:hint="eastAsia" w:ascii="宋体" w:hAnsi="宋体" w:eastAsia="宋体" w:cs="宋体"/>
          <w:kern w:val="0"/>
          <w:sz w:val="24"/>
          <w:szCs w:val="24"/>
          <w:shd w:val="clear" w:color="auto" w:fill="FFFFFF"/>
          <w:lang w:val="hr-HR" w:eastAsia="zh-CN" w:bidi="ar-SA"/>
        </w:rPr>
        <w:t>供应商</w:t>
      </w:r>
      <w:r>
        <w:rPr>
          <w:rFonts w:hint="eastAsia" w:ascii="宋体" w:hAnsi="宋体" w:eastAsia="宋体" w:cs="宋体"/>
          <w:kern w:val="0"/>
          <w:sz w:val="24"/>
          <w:szCs w:val="24"/>
          <w:shd w:val="clear" w:color="auto" w:fill="FFFFFF"/>
          <w:lang w:val="en-US" w:eastAsia="zh-CN" w:bidi="ar-SA"/>
        </w:rPr>
        <w:t>所投药品必须具有法定机构或权威机构出具的全检报告。</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Style w:val="25"/>
          <w:rFonts w:hint="eastAsia" w:ascii="宋体" w:hAnsi="宋体" w:eastAsia="宋体" w:cs="宋体"/>
          <w:sz w:val="24"/>
          <w:szCs w:val="24"/>
          <w:shd w:val="clear" w:color="auto" w:fill="FFFFFF"/>
        </w:rPr>
      </w:pPr>
      <w:r>
        <w:rPr>
          <w:rFonts w:hint="eastAsia" w:ascii="宋体" w:hAnsi="宋体" w:eastAsia="宋体" w:cs="宋体"/>
          <w:kern w:val="0"/>
          <w:sz w:val="24"/>
          <w:szCs w:val="24"/>
          <w:shd w:val="clear" w:color="auto" w:fill="FFFFFF"/>
          <w:lang w:val="en-US" w:eastAsia="zh-CN" w:bidi="ar-SA"/>
        </w:rPr>
        <w:t>4、本项目不接受联合体形式的投标。</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20"/>
        <w:textAlignment w:val="auto"/>
        <w:rPr>
          <w:sz w:val="24"/>
          <w:szCs w:val="24"/>
        </w:rPr>
      </w:pPr>
      <w:r>
        <w:rPr>
          <w:rStyle w:val="25"/>
          <w:rFonts w:hint="eastAsia" w:ascii="宋体" w:hAnsi="宋体" w:eastAsia="宋体" w:cs="宋体"/>
          <w:sz w:val="24"/>
          <w:szCs w:val="24"/>
          <w:shd w:val="clear" w:color="auto" w:fill="FFFFFF"/>
        </w:rPr>
        <w:t>三、获取招标文件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pPr>
      <w:r>
        <w:rPr>
          <w:rFonts w:hint="eastAsia" w:ascii="宋体" w:hAnsi="宋体" w:eastAsia="宋体" w:cs="宋体"/>
          <w:szCs w:val="24"/>
          <w:shd w:val="clear" w:color="auto" w:fill="FFFFFF"/>
        </w:rPr>
        <w:t>时间：</w:t>
      </w:r>
      <w:r>
        <w:rPr>
          <w:rFonts w:hint="eastAsia" w:ascii="宋体" w:hAnsi="宋体" w:eastAsia="宋体" w:cs="宋体"/>
          <w:color w:val="FF0000"/>
          <w:szCs w:val="24"/>
          <w:shd w:val="clear" w:color="auto" w:fill="FFFFFF"/>
          <w:lang w:eastAsia="zh-CN"/>
        </w:rPr>
        <w:t>2022年</w:t>
      </w:r>
      <w:r>
        <w:rPr>
          <w:rFonts w:hint="eastAsia" w:ascii="宋体" w:hAnsi="宋体" w:eastAsia="宋体" w:cs="宋体"/>
          <w:color w:val="FF0000"/>
          <w:szCs w:val="24"/>
          <w:shd w:val="clear" w:color="auto" w:fill="FFFFFF"/>
          <w:lang w:val="en-US" w:eastAsia="zh-CN"/>
        </w:rPr>
        <w:t>04</w:t>
      </w:r>
      <w:r>
        <w:rPr>
          <w:rFonts w:hint="eastAsia" w:ascii="宋体" w:hAnsi="宋体" w:eastAsia="宋体" w:cs="宋体"/>
          <w:color w:val="FF0000"/>
          <w:szCs w:val="24"/>
          <w:shd w:val="clear" w:color="auto" w:fill="FFFFFF"/>
          <w:lang w:eastAsia="zh-CN"/>
        </w:rPr>
        <w:t>月</w:t>
      </w:r>
      <w:r>
        <w:rPr>
          <w:rFonts w:hint="eastAsia" w:ascii="宋体" w:hAnsi="宋体" w:eastAsia="宋体" w:cs="宋体"/>
          <w:color w:val="FF0000"/>
          <w:szCs w:val="24"/>
          <w:shd w:val="clear" w:color="auto" w:fill="FFFFFF"/>
          <w:lang w:val="en-US" w:eastAsia="zh-CN"/>
        </w:rPr>
        <w:t>12</w:t>
      </w:r>
      <w:r>
        <w:rPr>
          <w:rFonts w:hint="eastAsia" w:ascii="宋体" w:hAnsi="宋体" w:eastAsia="宋体" w:cs="宋体"/>
          <w:color w:val="FF0000"/>
          <w:szCs w:val="24"/>
          <w:shd w:val="clear" w:color="auto" w:fill="FFFFFF"/>
          <w:lang w:eastAsia="zh-CN"/>
        </w:rPr>
        <w:t>日</w:t>
      </w:r>
      <w:r>
        <w:rPr>
          <w:rFonts w:hint="eastAsia" w:ascii="宋体" w:hAnsi="宋体" w:eastAsia="宋体" w:cs="宋体"/>
          <w:color w:val="FF0000"/>
          <w:szCs w:val="24"/>
          <w:shd w:val="clear" w:color="auto" w:fill="FFFFFF"/>
        </w:rPr>
        <w:t>至</w:t>
      </w:r>
      <w:r>
        <w:rPr>
          <w:rFonts w:hint="eastAsia" w:ascii="宋体" w:hAnsi="宋体" w:eastAsia="宋体" w:cs="宋体"/>
          <w:color w:val="FF0000"/>
          <w:szCs w:val="24"/>
          <w:shd w:val="clear" w:color="auto" w:fill="FFFFFF"/>
          <w:lang w:eastAsia="zh-CN"/>
        </w:rPr>
        <w:t>2022年</w:t>
      </w:r>
      <w:r>
        <w:rPr>
          <w:rFonts w:hint="eastAsia" w:ascii="宋体" w:hAnsi="宋体" w:eastAsia="宋体" w:cs="宋体"/>
          <w:color w:val="FF0000"/>
          <w:szCs w:val="24"/>
          <w:shd w:val="clear" w:color="auto" w:fill="FFFFFF"/>
          <w:lang w:val="en-US" w:eastAsia="zh-CN"/>
        </w:rPr>
        <w:t>04</w:t>
      </w:r>
      <w:r>
        <w:rPr>
          <w:rFonts w:hint="eastAsia" w:ascii="宋体" w:hAnsi="宋体" w:eastAsia="宋体" w:cs="宋体"/>
          <w:color w:val="FF0000"/>
          <w:szCs w:val="24"/>
          <w:shd w:val="clear" w:color="auto" w:fill="FFFFFF"/>
          <w:lang w:eastAsia="zh-CN"/>
        </w:rPr>
        <w:t>月</w:t>
      </w:r>
      <w:r>
        <w:rPr>
          <w:rFonts w:hint="eastAsia" w:ascii="宋体" w:hAnsi="宋体" w:eastAsia="宋体" w:cs="宋体"/>
          <w:color w:val="FF0000"/>
          <w:szCs w:val="24"/>
          <w:shd w:val="clear" w:color="auto" w:fill="FFFFFF"/>
          <w:lang w:val="en-US" w:eastAsia="zh-CN"/>
        </w:rPr>
        <w:t>19</w:t>
      </w:r>
      <w:r>
        <w:rPr>
          <w:rFonts w:hint="eastAsia" w:ascii="宋体" w:hAnsi="宋体" w:eastAsia="宋体" w:cs="宋体"/>
          <w:color w:val="FF0000"/>
          <w:szCs w:val="24"/>
          <w:shd w:val="clear" w:color="auto" w:fill="FFFFFF"/>
          <w:lang w:eastAsia="zh-CN"/>
        </w:rPr>
        <w:t>日</w:t>
      </w:r>
      <w:r>
        <w:rPr>
          <w:rFonts w:hint="eastAsia" w:ascii="宋体" w:hAnsi="宋体" w:eastAsia="宋体" w:cs="宋体"/>
          <w:color w:val="FF0000"/>
          <w:szCs w:val="24"/>
          <w:shd w:val="clear" w:color="auto" w:fill="FFFFFF"/>
        </w:rPr>
        <w:t>17:30(</w:t>
      </w:r>
      <w:r>
        <w:rPr>
          <w:rFonts w:hint="eastAsia" w:ascii="宋体" w:hAnsi="宋体" w:eastAsia="宋体" w:cs="宋体"/>
          <w:szCs w:val="24"/>
          <w:shd w:val="clear" w:color="auto" w:fill="FFFFFF"/>
        </w:rPr>
        <w:t>北京时间)</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pPr>
      <w:r>
        <w:rPr>
          <w:rFonts w:hint="eastAsia" w:ascii="宋体" w:hAnsi="宋体" w:eastAsia="宋体" w:cs="宋体"/>
          <w:szCs w:val="24"/>
          <w:shd w:val="clear" w:color="auto" w:fill="FFFFFF"/>
        </w:rPr>
        <w:t>招标文件下载：见附件</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atLeast"/>
        <w:ind w:right="0" w:rightChars="0" w:firstLine="420"/>
        <w:textAlignment w:val="auto"/>
        <w:rPr>
          <w:rStyle w:val="25"/>
          <w:rFonts w:ascii="宋体" w:hAnsi="宋体" w:eastAsia="宋体" w:cs="宋体"/>
          <w:szCs w:val="24"/>
          <w:shd w:val="clear" w:color="auto" w:fill="FFFFFF"/>
        </w:rPr>
      </w:pPr>
      <w:r>
        <w:rPr>
          <w:rStyle w:val="25"/>
          <w:rFonts w:hint="eastAsia" w:ascii="宋体" w:hAnsi="宋体" w:eastAsia="宋体" w:cs="宋体"/>
          <w:szCs w:val="24"/>
          <w:shd w:val="clear" w:color="auto" w:fill="FFFFFF"/>
        </w:rPr>
        <w:t>提交投标文件截止时间、开标时间和地点</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rPr>
          <w:rFonts w:ascii="宋体" w:hAnsi="宋体" w:eastAsia="宋体" w:cs="宋体"/>
          <w:szCs w:val="24"/>
          <w:shd w:val="clear" w:color="auto" w:fill="FFFFFF"/>
        </w:rPr>
      </w:pPr>
      <w:r>
        <w:rPr>
          <w:rFonts w:hint="eastAsia" w:ascii="宋体" w:hAnsi="宋体" w:eastAsia="宋体" w:cs="宋体"/>
          <w:szCs w:val="24"/>
        </w:rPr>
        <w:t>提交投标文件截止时间、开标时间</w:t>
      </w:r>
      <w:r>
        <w:rPr>
          <w:rFonts w:hint="eastAsia" w:ascii="宋体" w:hAnsi="宋体" w:eastAsia="宋体" w:cs="宋体"/>
          <w:szCs w:val="24"/>
          <w:shd w:val="clear" w:color="auto" w:fill="FFFFFF"/>
        </w:rPr>
        <w:t>：</w:t>
      </w:r>
      <w:r>
        <w:rPr>
          <w:rFonts w:hint="eastAsia" w:ascii="宋体" w:hAnsi="宋体" w:eastAsia="宋体" w:cs="宋体"/>
          <w:color w:val="auto"/>
          <w:szCs w:val="24"/>
          <w:shd w:val="clear" w:color="auto" w:fill="FFFFFF"/>
          <w:lang w:val="en-US" w:eastAsia="zh-CN"/>
        </w:rPr>
        <w:t>2022年05月05日</w:t>
      </w:r>
      <w:r>
        <w:rPr>
          <w:rFonts w:hint="eastAsia" w:ascii="宋体" w:hAnsi="宋体" w:eastAsia="宋体" w:cs="宋体"/>
          <w:color w:val="FF0000"/>
          <w:szCs w:val="24"/>
          <w:shd w:val="clear" w:color="auto" w:fill="FFFFFF"/>
          <w:lang w:val="en-US" w:eastAsia="zh-CN"/>
        </w:rPr>
        <w:t>9</w:t>
      </w:r>
      <w:r>
        <w:rPr>
          <w:rFonts w:hint="eastAsia" w:ascii="宋体" w:hAnsi="宋体" w:eastAsia="宋体" w:cs="宋体"/>
          <w:color w:val="FF0000"/>
          <w:szCs w:val="24"/>
          <w:shd w:val="clear" w:color="auto" w:fill="FFFFFF"/>
        </w:rPr>
        <w:t>时</w:t>
      </w:r>
      <w:r>
        <w:rPr>
          <w:rFonts w:hint="eastAsia" w:ascii="宋体" w:hAnsi="宋体" w:eastAsia="宋体" w:cs="宋体"/>
          <w:color w:val="FF0000"/>
          <w:szCs w:val="24"/>
          <w:shd w:val="clear" w:color="auto" w:fill="FFFFFF"/>
          <w:lang w:val="en-US" w:eastAsia="zh-CN"/>
        </w:rPr>
        <w:t>00</w:t>
      </w:r>
      <w:r>
        <w:rPr>
          <w:rFonts w:hint="eastAsia" w:ascii="宋体" w:hAnsi="宋体" w:eastAsia="宋体" w:cs="宋体"/>
          <w:color w:val="auto"/>
          <w:szCs w:val="24"/>
          <w:shd w:val="clear" w:color="auto" w:fill="FFFFFF"/>
        </w:rPr>
        <w:t>分</w:t>
      </w:r>
      <w:r>
        <w:rPr>
          <w:rFonts w:hint="eastAsia" w:ascii="宋体" w:hAnsi="宋体" w:eastAsia="宋体" w:cs="宋体"/>
          <w:szCs w:val="24"/>
          <w:shd w:val="clear" w:color="auto" w:fill="FFFFFF"/>
        </w:rPr>
        <w:t>（</w:t>
      </w:r>
      <w:r>
        <w:rPr>
          <w:rFonts w:hint="eastAsia" w:ascii="宋体" w:hAnsi="宋体" w:cs="宋体"/>
          <w:szCs w:val="24"/>
          <w:shd w:val="clear" w:color="auto" w:fill="FFFFFF"/>
        </w:rPr>
        <w:t>提前半小时</w:t>
      </w:r>
      <w:r>
        <w:rPr>
          <w:rFonts w:hint="eastAsia" w:ascii="宋体" w:hAnsi="宋体" w:eastAsia="宋体" w:cs="宋体"/>
          <w:szCs w:val="24"/>
          <w:shd w:val="clear" w:color="auto" w:fill="FFFFFF"/>
        </w:rPr>
        <w:t>开始接收投标文件，拒收逾期送达或者未按招标文件要求密封的投标文件）</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pPr>
      <w:r>
        <w:rPr>
          <w:rFonts w:hint="eastAsia" w:ascii="宋体" w:hAnsi="宋体" w:eastAsia="宋体" w:cs="宋体"/>
          <w:szCs w:val="24"/>
        </w:rPr>
        <w:t>提交投标文件地点</w:t>
      </w:r>
      <w:r>
        <w:rPr>
          <w:rFonts w:hint="eastAsia" w:ascii="宋体" w:hAnsi="宋体" w:eastAsia="宋体" w:cs="宋体"/>
          <w:szCs w:val="24"/>
          <w:shd w:val="clear" w:color="auto" w:fill="FFFFFF"/>
        </w:rPr>
        <w:t>：阳新县公共资源交易中</w:t>
      </w:r>
      <w:r>
        <w:rPr>
          <w:rFonts w:hint="eastAsia" w:ascii="宋体" w:hAnsi="宋体" w:eastAsia="宋体" w:cs="宋体"/>
          <w:szCs w:val="24"/>
          <w:highlight w:val="none"/>
          <w:shd w:val="clear" w:color="auto" w:fill="FFFFFF"/>
        </w:rPr>
        <w:t>心</w:t>
      </w:r>
      <w:r>
        <w:rPr>
          <w:rFonts w:hint="eastAsia" w:ascii="宋体" w:hAnsi="宋体" w:eastAsia="宋体" w:cs="宋体"/>
          <w:szCs w:val="24"/>
          <w:highlight w:val="none"/>
          <w:shd w:val="clear" w:color="auto" w:fill="FFFFFF"/>
          <w:lang w:eastAsia="zh-CN"/>
        </w:rPr>
        <w:t>二</w:t>
      </w:r>
      <w:r>
        <w:rPr>
          <w:rFonts w:hint="eastAsia" w:ascii="宋体" w:hAnsi="宋体" w:eastAsia="宋体" w:cs="宋体"/>
          <w:color w:val="FF0000"/>
          <w:szCs w:val="24"/>
          <w:highlight w:val="none"/>
          <w:u w:val="none"/>
          <w:shd w:val="clear" w:color="auto" w:fill="FFFFFF"/>
        </w:rPr>
        <w:t>楼开标</w:t>
      </w:r>
      <w:r>
        <w:rPr>
          <w:rFonts w:hint="eastAsia" w:ascii="宋体" w:hAnsi="宋体" w:eastAsia="宋体" w:cs="宋体"/>
          <w:color w:val="FF0000"/>
          <w:szCs w:val="24"/>
          <w:highlight w:val="none"/>
          <w:u w:val="none"/>
          <w:shd w:val="clear" w:color="auto" w:fill="FFFFFF"/>
          <w:lang w:val="en-US" w:eastAsia="zh-CN"/>
        </w:rPr>
        <w:t>二</w:t>
      </w:r>
      <w:r>
        <w:rPr>
          <w:rFonts w:hint="eastAsia" w:ascii="宋体" w:hAnsi="宋体" w:eastAsia="宋体" w:cs="宋体"/>
          <w:szCs w:val="24"/>
          <w:highlight w:val="none"/>
          <w:shd w:val="clear" w:color="auto" w:fill="FFFFFF"/>
        </w:rPr>
        <w:t>厅</w:t>
      </w:r>
      <w:r>
        <w:rPr>
          <w:rFonts w:hint="eastAsia" w:ascii="宋体" w:hAnsi="宋体" w:eastAsia="宋体" w:cs="宋体"/>
          <w:szCs w:val="24"/>
          <w:shd w:val="clear" w:color="auto" w:fill="FFFFFF"/>
        </w:rPr>
        <w:t>（阳新县熊家垴安置小区东侧）</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20"/>
        <w:textAlignment w:val="auto"/>
      </w:pPr>
      <w:r>
        <w:rPr>
          <w:rStyle w:val="25"/>
          <w:rFonts w:hint="eastAsia" w:ascii="宋体" w:hAnsi="宋体" w:eastAsia="宋体" w:cs="宋体"/>
          <w:szCs w:val="24"/>
          <w:shd w:val="clear" w:color="auto" w:fill="FFFFFF"/>
        </w:rPr>
        <w:t>五、公告期限</w:t>
      </w:r>
      <w:bookmarkStart w:id="286" w:name="_GoBack"/>
      <w:bookmarkEnd w:id="286"/>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pPr>
      <w:r>
        <w:rPr>
          <w:rFonts w:hint="eastAsia" w:ascii="宋体" w:hAnsi="宋体" w:eastAsia="宋体" w:cs="宋体"/>
          <w:szCs w:val="24"/>
          <w:shd w:val="clear" w:color="auto" w:fill="FFFFFF"/>
        </w:rPr>
        <w:t>自本公告发布之日起5个工作日。</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20"/>
        <w:textAlignment w:val="auto"/>
      </w:pPr>
      <w:r>
        <w:rPr>
          <w:rStyle w:val="25"/>
          <w:rFonts w:hint="eastAsia" w:ascii="宋体" w:hAnsi="宋体" w:eastAsia="宋体" w:cs="宋体"/>
          <w:szCs w:val="24"/>
          <w:shd w:val="clear" w:color="auto" w:fill="FFFFFF"/>
        </w:rPr>
        <w:t>六、其他补充事宜</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pPr>
      <w:r>
        <w:rPr>
          <w:rFonts w:hint="eastAsia" w:ascii="宋体" w:hAnsi="宋体" w:eastAsia="宋体" w:cs="宋体"/>
          <w:szCs w:val="24"/>
          <w:shd w:val="clear" w:color="auto" w:fill="FFFFFF"/>
        </w:rPr>
        <w:t>1、落实政府采购强制、优先采购节能产品政策；政府采购优先采购环保产品政策；政府采购促进中小企业发展（监狱企业、残疾人福利性单位视同小微企业）等政策。</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rPr>
          <w:rFonts w:ascii="宋体" w:hAnsi="宋体" w:eastAsia="宋体" w:cs="宋体"/>
          <w:szCs w:val="24"/>
          <w:shd w:val="clear" w:color="auto" w:fill="FFFFFF"/>
        </w:rPr>
      </w:pPr>
      <w:r>
        <w:rPr>
          <w:rFonts w:hint="eastAsia" w:ascii="宋体" w:hAnsi="宋体" w:eastAsia="宋体" w:cs="宋体"/>
          <w:szCs w:val="24"/>
          <w:shd w:val="clear" w:color="auto" w:fill="FFFFFF"/>
        </w:rPr>
        <w:t>2、是否专门面向中小企业、监狱企业、残疾人福利性单位：</w:t>
      </w:r>
      <w:r>
        <w:rPr>
          <w:rFonts w:hint="eastAsia" w:ascii="宋体" w:hAnsi="宋体" w:eastAsia="宋体" w:cs="宋体"/>
          <w:szCs w:val="24"/>
          <w:shd w:val="clear" w:color="auto" w:fill="FFFFFF"/>
          <w:lang w:eastAsia="zh-CN"/>
        </w:rPr>
        <w:t>否</w:t>
      </w:r>
      <w:r>
        <w:rPr>
          <w:rFonts w:hint="eastAsia" w:ascii="宋体" w:hAnsi="宋体" w:eastAsia="宋体" w:cs="宋体"/>
          <w:szCs w:val="24"/>
          <w:shd w:val="clear" w:color="auto" w:fill="FFFFFF"/>
        </w:rPr>
        <w:t>。</w:t>
      </w:r>
    </w:p>
    <w:p>
      <w:pPr>
        <w:pageBreakBefore w:val="0"/>
        <w:kinsoku/>
        <w:wordWrap/>
        <w:overflowPunct/>
        <w:topLinePunct w:val="0"/>
        <w:autoSpaceDE/>
        <w:autoSpaceDN/>
        <w:bidi w:val="0"/>
        <w:adjustRightInd/>
        <w:snapToGrid/>
        <w:spacing w:line="480" w:lineRule="exact"/>
        <w:ind w:right="0" w:rightChars="0"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20"/>
        <w:textAlignment w:val="auto"/>
      </w:pPr>
      <w:r>
        <w:rPr>
          <w:rStyle w:val="25"/>
          <w:rFonts w:hint="eastAsia" w:ascii="宋体" w:hAnsi="宋体" w:eastAsia="宋体" w:cs="宋体"/>
          <w:szCs w:val="24"/>
          <w:shd w:val="clear" w:color="auto" w:fill="FFFFFF"/>
        </w:rPr>
        <w:t>七、对本次招标提出询问，请按以下方式联系。</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pPr>
      <w:r>
        <w:rPr>
          <w:rFonts w:hint="eastAsia" w:ascii="宋体" w:hAnsi="宋体" w:eastAsia="宋体" w:cs="宋体"/>
          <w:szCs w:val="24"/>
          <w:shd w:val="clear" w:color="auto" w:fill="FFFFFF"/>
        </w:rPr>
        <w:t>1.采购人信息</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eastAsia="宋体"/>
          <w:lang w:eastAsia="zh-CN"/>
        </w:rPr>
      </w:pPr>
      <w:r>
        <w:rPr>
          <w:rFonts w:hint="eastAsia" w:ascii="宋体" w:hAnsi="宋体" w:eastAsia="宋体" w:cs="宋体"/>
          <w:szCs w:val="24"/>
          <w:shd w:val="clear" w:color="auto" w:fill="FFFFFF"/>
        </w:rPr>
        <w:t xml:space="preserve">名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称：</w:t>
      </w:r>
      <w:r>
        <w:rPr>
          <w:rFonts w:hint="eastAsia" w:ascii="宋体" w:hAnsi="宋体" w:eastAsia="宋体" w:cs="宋体"/>
          <w:color w:val="000000"/>
          <w:szCs w:val="24"/>
          <w:lang w:eastAsia="zh-CN"/>
        </w:rPr>
        <w:t>阳新县血吸虫病防治所</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bCs/>
          <w:color w:val="auto"/>
          <w:lang w:val="en-US" w:eastAsia="zh-CN"/>
        </w:rPr>
      </w:pPr>
      <w:r>
        <w:rPr>
          <w:rFonts w:hint="eastAsia" w:ascii="宋体" w:hAnsi="宋体" w:eastAsia="宋体" w:cs="宋体"/>
          <w:szCs w:val="24"/>
          <w:shd w:val="clear" w:color="auto" w:fill="FFFFFF"/>
        </w:rPr>
        <w:t xml:space="preserve">地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址：</w:t>
      </w:r>
      <w:r>
        <w:rPr>
          <w:rFonts w:hint="eastAsia" w:ascii="宋体" w:hAnsi="宋体" w:eastAsia="宋体" w:cs="宋体"/>
          <w:bCs/>
          <w:color w:val="auto"/>
          <w:lang w:eastAsia="zh-CN"/>
        </w:rPr>
        <w:t>阳新县兴国大道</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bCs/>
          <w:lang w:val="en-US" w:eastAsia="zh-CN"/>
        </w:rPr>
      </w:pPr>
      <w:r>
        <w:rPr>
          <w:rFonts w:hint="eastAsia" w:ascii="宋体" w:hAnsi="宋体" w:eastAsia="宋体" w:cs="宋体"/>
          <w:bCs/>
          <w:lang w:val="en-US" w:eastAsia="zh-CN"/>
        </w:rPr>
        <w:t>联 系 人：程良满</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ascii="宋体" w:hAnsi="宋体" w:eastAsia="宋体" w:cs="宋体"/>
          <w:szCs w:val="24"/>
          <w:shd w:val="clear" w:color="auto" w:fill="FFFFFF"/>
          <w:lang w:val="en-US" w:eastAsia="zh-CN"/>
        </w:rPr>
      </w:pPr>
      <w:r>
        <w:rPr>
          <w:rFonts w:hint="eastAsia" w:ascii="宋体" w:hAnsi="宋体" w:eastAsia="宋体" w:cs="宋体"/>
          <w:szCs w:val="24"/>
          <w:shd w:val="clear" w:color="auto" w:fill="FFFFFF"/>
        </w:rPr>
        <w:t>联系方式：</w:t>
      </w:r>
      <w:r>
        <w:rPr>
          <w:rFonts w:hint="eastAsia" w:ascii="宋体" w:hAnsi="宋体" w:eastAsia="宋体" w:cs="宋体"/>
          <w:szCs w:val="24"/>
          <w:shd w:val="clear" w:color="auto" w:fill="FFFFFF"/>
          <w:lang w:val="en-US" w:eastAsia="zh-CN"/>
        </w:rPr>
        <w:t>17386237966</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pPr>
      <w:r>
        <w:rPr>
          <w:rFonts w:hint="eastAsia" w:ascii="宋体" w:hAnsi="宋体" w:eastAsia="宋体" w:cs="宋体"/>
          <w:szCs w:val="24"/>
          <w:shd w:val="clear" w:color="auto" w:fill="FFFFFF"/>
        </w:rPr>
        <w:t>2.采购代理机构信息</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color w:val="000000"/>
          <w:szCs w:val="24"/>
          <w:lang w:eastAsia="zh-CN"/>
        </w:rPr>
      </w:pPr>
      <w:r>
        <w:rPr>
          <w:rFonts w:hint="eastAsia" w:ascii="宋体" w:hAnsi="宋体" w:eastAsia="宋体" w:cs="宋体"/>
          <w:szCs w:val="24"/>
          <w:shd w:val="clear" w:color="auto" w:fill="FFFFFF"/>
        </w:rPr>
        <w:t xml:space="preserve">名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称：</w:t>
      </w:r>
      <w:r>
        <w:rPr>
          <w:rFonts w:hint="eastAsia" w:ascii="宋体" w:hAnsi="宋体" w:eastAsia="宋体" w:cs="宋体"/>
          <w:color w:val="000000"/>
          <w:szCs w:val="24"/>
          <w:lang w:eastAsia="zh-CN"/>
        </w:rPr>
        <w:t xml:space="preserve">至诚工程咨询有限公司 </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ascii="宋体" w:hAnsi="宋体" w:eastAsia="宋体" w:cs="宋体"/>
          <w:color w:val="auto"/>
          <w:szCs w:val="24"/>
          <w:shd w:val="clear" w:color="auto" w:fill="FFFFFF"/>
          <w:lang w:val="en-US" w:eastAsia="zh-CN"/>
        </w:rPr>
      </w:pPr>
      <w:r>
        <w:rPr>
          <w:rFonts w:hint="eastAsia" w:ascii="宋体" w:hAnsi="宋体" w:eastAsia="宋体" w:cs="宋体"/>
          <w:szCs w:val="24"/>
          <w:shd w:val="clear" w:color="auto" w:fill="FFFFFF"/>
        </w:rPr>
        <w:t xml:space="preserve">地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址：</w:t>
      </w:r>
      <w:r>
        <w:rPr>
          <w:rFonts w:hint="eastAsia" w:ascii="宋体" w:hAnsi="宋体" w:eastAsia="宋体" w:cs="宋体"/>
          <w:color w:val="auto"/>
          <w:szCs w:val="24"/>
          <w:shd w:val="clear" w:color="auto" w:fill="FFFFFF"/>
          <w:lang w:val="en-US" w:eastAsia="zh-CN"/>
        </w:rPr>
        <w:t>阳新县财政局隔壁（中国平安后面二单元301室）</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eastAsia="宋体"/>
          <w:lang w:val="en-US" w:eastAsia="zh-CN"/>
        </w:rPr>
      </w:pPr>
      <w:r>
        <w:rPr>
          <w:rFonts w:hint="eastAsia" w:ascii="宋体" w:hAnsi="宋体" w:eastAsia="宋体" w:cs="宋体"/>
          <w:szCs w:val="24"/>
          <w:shd w:val="clear" w:color="auto" w:fill="FFFFFF"/>
        </w:rPr>
        <w:t>联系方式：</w:t>
      </w:r>
      <w:r>
        <w:rPr>
          <w:rFonts w:hint="eastAsia" w:cs="Times New Roman"/>
          <w:color w:val="auto"/>
          <w:sz w:val="24"/>
          <w:szCs w:val="22"/>
          <w:lang w:val="en-US" w:eastAsia="zh-CN" w:bidi="ar-SA"/>
        </w:rPr>
        <w:t>15347299507</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pPr>
      <w:r>
        <w:rPr>
          <w:rFonts w:hint="eastAsia" w:ascii="宋体" w:hAnsi="宋体" w:eastAsia="宋体" w:cs="宋体"/>
          <w:szCs w:val="24"/>
          <w:shd w:val="clear" w:color="auto" w:fill="FFFFFF"/>
        </w:rPr>
        <w:t>3.项目联系方式</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color w:val="auto"/>
          <w:szCs w:val="24"/>
          <w:shd w:val="clear" w:color="auto" w:fill="FFFFFF"/>
        </w:rPr>
      </w:pPr>
      <w:r>
        <w:rPr>
          <w:rFonts w:hint="eastAsia" w:ascii="宋体" w:hAnsi="宋体" w:eastAsia="宋体" w:cs="宋体"/>
          <w:szCs w:val="24"/>
          <w:shd w:val="clear" w:color="auto" w:fill="FFFFFF"/>
        </w:rPr>
        <w:t>项目联系人：</w:t>
      </w:r>
      <w:r>
        <w:rPr>
          <w:rFonts w:hint="eastAsia" w:ascii="宋体" w:hAnsi="宋体" w:eastAsia="宋体" w:cs="宋体"/>
          <w:bCs/>
          <w:color w:val="auto"/>
          <w:szCs w:val="24"/>
          <w:shd w:val="clear" w:color="auto" w:fill="FFFFFF"/>
          <w:lang w:val="en-US" w:eastAsia="zh-CN"/>
        </w:rPr>
        <w:t>李红云</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ascii="宋体" w:hAnsi="宋体" w:eastAsia="宋体" w:cs="宋体"/>
          <w:szCs w:val="24"/>
          <w:shd w:val="clear" w:color="auto" w:fill="FFFFFF"/>
          <w:lang w:val="en-US" w:eastAsia="zh-CN"/>
        </w:rPr>
      </w:pPr>
      <w:r>
        <w:rPr>
          <w:rFonts w:hint="eastAsia" w:ascii="宋体" w:hAnsi="宋体" w:eastAsia="宋体" w:cs="宋体"/>
          <w:szCs w:val="24"/>
          <w:shd w:val="clear" w:color="auto" w:fill="FFFFFF"/>
          <w:lang w:val="en-US" w:eastAsia="zh-CN"/>
        </w:rPr>
        <w:t>电　　话：15347299507</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3"/>
        <w:numPr>
          <w:ilvl w:val="0"/>
          <w:numId w:val="1"/>
        </w:numPr>
        <w:spacing w:before="240" w:after="120"/>
        <w:ind w:left="883" w:hanging="880" w:hangingChars="200"/>
        <w:jc w:val="center"/>
        <w:rPr>
          <w:rFonts w:ascii="黑体" w:hAnsi="黑体" w:eastAsia="黑体"/>
        </w:rPr>
      </w:pPr>
      <w:bookmarkStart w:id="3" w:name="_Toc19187"/>
      <w:r>
        <w:rPr>
          <w:rFonts w:hint="eastAsia" w:ascii="黑体" w:hAnsi="黑体" w:eastAsia="黑体"/>
        </w:rPr>
        <w:t>投标人须知</w:t>
      </w:r>
      <w:bookmarkEnd w:id="2"/>
      <w:bookmarkEnd w:id="3"/>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4" w:name="_Toc31472"/>
      <w:bookmarkStart w:id="5" w:name="_Toc494561937"/>
      <w:bookmarkStart w:id="6" w:name="_Toc495861519"/>
      <w:r>
        <w:rPr>
          <w:rFonts w:cs="Times New Roman" w:asciiTheme="majorEastAsia" w:hAnsiTheme="majorEastAsia" w:eastAsiaTheme="majorEastAsia"/>
          <w:b/>
          <w:bCs/>
          <w:sz w:val="32"/>
          <w:szCs w:val="32"/>
          <w:lang w:val="zh-CN"/>
        </w:rPr>
        <w:t>投标须知前附表</w:t>
      </w:r>
      <w:bookmarkEnd w:id="4"/>
      <w:bookmarkEnd w:id="5"/>
      <w:bookmarkEnd w:id="6"/>
    </w:p>
    <w:tbl>
      <w:tblPr>
        <w:tblStyle w:val="22"/>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sz w:val="24"/>
                <w:szCs w:val="24"/>
                <w:lang w:val="en-US"/>
              </w:rPr>
            </w:pPr>
            <w:r>
              <w:rPr>
                <w:rFonts w:hint="eastAsia" w:ascii="Times New Roman" w:hAnsi="Times New Roman" w:eastAsia="宋体" w:cs="Times New Roman"/>
                <w:color w:val="auto"/>
                <w:sz w:val="24"/>
                <w:szCs w:val="24"/>
                <w:lang w:eastAsia="zh-CN"/>
              </w:rPr>
              <w:t>131-2022CG-</w:t>
            </w:r>
            <w:r>
              <w:rPr>
                <w:rFonts w:hint="eastAsia" w:ascii="Times New Roman" w:hAnsi="Times New Roman" w:eastAsia="宋体" w:cs="Times New Roman"/>
                <w:color w:val="auto"/>
                <w:sz w:val="24"/>
                <w:szCs w:val="24"/>
                <w:lang w:val="en-US" w:eastAsia="zh-CN"/>
              </w:rPr>
              <w:t>029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sz w:val="24"/>
                <w:szCs w:val="24"/>
                <w:lang w:eastAsia="zh-CN"/>
              </w:rPr>
              <w:t>阳新县2022年灭螺与防治药品采购项目（二次）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D0D0D"/>
                <w:kern w:val="0"/>
                <w:sz w:val="24"/>
                <w:szCs w:val="24"/>
                <w:lang w:eastAsia="zh-CN"/>
              </w:rPr>
            </w:pPr>
            <w:r>
              <w:rPr>
                <w:rFonts w:hint="eastAsia" w:ascii="宋体" w:hAnsi="宋体" w:eastAsia="宋体" w:cs="宋体"/>
                <w:color w:val="0D0D0D"/>
                <w:kern w:val="0"/>
                <w:sz w:val="24"/>
                <w:szCs w:val="24"/>
                <w:lang w:val="en-US" w:eastAsia="zh-CN"/>
              </w:rPr>
              <w:t>货物类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kern w:val="0"/>
                <w:sz w:val="24"/>
                <w:szCs w:val="24"/>
                <w:lang w:eastAsia="zh-CN"/>
              </w:rPr>
            </w:pPr>
            <w:r>
              <w:rPr>
                <w:rFonts w:hint="eastAsia" w:ascii="宋体" w:hAnsi="宋体" w:eastAsia="宋体" w:cs="宋体"/>
                <w:bCs/>
                <w:kern w:val="0"/>
                <w:sz w:val="24"/>
                <w:szCs w:val="24"/>
                <w:lang w:eastAsia="zh-CN"/>
              </w:rPr>
              <w:t>阳新县血吸虫病防治所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0D0D0D"/>
                <w:sz w:val="24"/>
                <w:szCs w:val="24"/>
                <w:lang w:val="en-US" w:eastAsia="zh-CN"/>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lang w:val="en-US" w:eastAsia="zh-CN"/>
              </w:rPr>
              <w:t>(电子U盘一份)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rPr>
            </w:pPr>
            <w:r>
              <w:rPr>
                <w:rFonts w:ascii="Times New Roman" w:hAnsi="宋体" w:eastAsia="宋体" w:cs="Times New Roman"/>
                <w:color w:val="auto"/>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不提交</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详见第三章“</w:t>
            </w:r>
            <w:r>
              <w:rPr>
                <w:rFonts w:hint="eastAsia" w:ascii="宋体" w:hAnsi="宋体" w:eastAsia="宋体" w:cs="Times New Roman"/>
                <w:color w:val="auto"/>
                <w:sz w:val="24"/>
                <w:szCs w:val="24"/>
              </w:rPr>
              <w:t>项目技术、服务及商务要求</w:t>
            </w:r>
            <w:r>
              <w:rPr>
                <w:rFonts w:hint="eastAsia" w:ascii="Times New Roman" w:hAnsi="Times New Roman" w:eastAsia="宋体"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宋体" w:hAnsi="宋体" w:eastAsia="宋体" w:cs="宋体"/>
                <w:color w:val="auto"/>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不组织</w:t>
            </w:r>
          </w:p>
          <w:p>
            <w:pPr>
              <w:ind w:right="-105" w:rightChars="-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详见第三章“</w:t>
            </w:r>
            <w:r>
              <w:rPr>
                <w:rFonts w:hint="eastAsia" w:ascii="宋体" w:hAnsi="宋体" w:eastAsia="宋体" w:cs="Times New Roman"/>
                <w:color w:val="auto"/>
                <w:sz w:val="24"/>
                <w:szCs w:val="24"/>
              </w:rPr>
              <w:t>项目技术、服务及商务要求</w:t>
            </w:r>
            <w:r>
              <w:rPr>
                <w:rFonts w:hint="eastAsia" w:ascii="Times New Roman" w:hAnsi="Times New Roman" w:eastAsia="宋体"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不允许</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详见第三章“</w:t>
            </w:r>
            <w:r>
              <w:rPr>
                <w:rFonts w:hint="eastAsia" w:ascii="宋体" w:hAnsi="宋体" w:eastAsia="宋体" w:cs="Times New Roman"/>
                <w:color w:val="auto"/>
                <w:sz w:val="24"/>
                <w:szCs w:val="24"/>
              </w:rPr>
              <w:t>项目技术、服务及商务要求</w:t>
            </w:r>
            <w:r>
              <w:rPr>
                <w:rFonts w:hint="eastAsia" w:ascii="Times New Roman" w:hAnsi="Times New Roman" w:eastAsia="宋体"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ascii="Times New Roman" w:hAnsi="宋体" w:eastAsia="宋体" w:cs="Times New Roman"/>
                <w:color w:val="auto"/>
                <w:sz w:val="24"/>
                <w:szCs w:val="24"/>
              </w:rPr>
              <w:t>评标办法</w:t>
            </w:r>
          </w:p>
        </w:tc>
        <w:tc>
          <w:tcPr>
            <w:tcW w:w="6470"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FF0000"/>
                <w:sz w:val="24"/>
                <w:szCs w:val="24"/>
              </w:rPr>
            </w:pPr>
            <w:r>
              <w:rPr>
                <w:rFonts w:hint="eastAsia" w:ascii="宋体" w:hAnsi="宋体" w:eastAsia="宋体" w:cs="Times New Roman"/>
                <w:bCs/>
                <w:color w:val="FF0000"/>
                <w:sz w:val="24"/>
                <w:szCs w:val="20"/>
                <w:lang w:val="zh-CN"/>
              </w:rPr>
              <w:t>最低评标价法</w:t>
            </w:r>
          </w:p>
          <w:p>
            <w:pPr>
              <w:rPr>
                <w:rFonts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7" w:name="_Toc494561938"/>
      <w:r>
        <w:rPr>
          <w:rFonts w:ascii="黑体" w:hAnsi="黑体" w:eastAsia="黑体" w:cs="Times New Roman"/>
          <w:b/>
          <w:bCs/>
          <w:sz w:val="32"/>
          <w:szCs w:val="32"/>
          <w:lang w:val="zh-CN"/>
        </w:rPr>
        <w:br w:type="page"/>
      </w:r>
      <w:bookmarkStart w:id="8" w:name="_Toc17722"/>
      <w:bookmarkEnd w:id="8"/>
      <w:bookmarkStart w:id="9" w:name="_Toc3622"/>
      <w:bookmarkEnd w:id="9"/>
      <w:bookmarkStart w:id="10" w:name="_Toc21029"/>
      <w:bookmarkEnd w:id="10"/>
      <w:bookmarkStart w:id="11" w:name="_Toc24335"/>
      <w:bookmarkEnd w:id="11"/>
      <w:bookmarkStart w:id="12" w:name="_Toc28608"/>
      <w:bookmarkEnd w:id="12"/>
    </w:p>
    <w:p>
      <w:pPr>
        <w:pStyle w:val="4"/>
        <w:numPr>
          <w:ilvl w:val="0"/>
          <w:numId w:val="5"/>
        </w:numPr>
        <w:spacing w:before="120" w:after="40" w:line="360" w:lineRule="auto"/>
        <w:ind w:left="658" w:hanging="658"/>
        <w:jc w:val="left"/>
        <w:rPr>
          <w:rFonts w:cs="Times New Roman" w:asciiTheme="majorEastAsia" w:hAnsiTheme="majorEastAsia"/>
          <w:bCs w:val="0"/>
          <w:lang w:val="zh-CN"/>
        </w:rPr>
      </w:pPr>
      <w:bookmarkStart w:id="13" w:name="_Toc28635"/>
      <w:bookmarkStart w:id="14" w:name="_Toc495861520"/>
      <w:r>
        <w:rPr>
          <w:rFonts w:hint="eastAsia" w:cs="Times New Roman" w:asciiTheme="majorEastAsia" w:hAnsiTheme="majorEastAsia"/>
          <w:bCs w:val="0"/>
          <w:lang w:val="zh-CN"/>
        </w:rPr>
        <w:t>说  明</w:t>
      </w:r>
      <w:bookmarkEnd w:id="7"/>
      <w:bookmarkEnd w:id="13"/>
      <w:bookmarkEnd w:id="14"/>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7"/>
        </w:numPr>
        <w:spacing w:line="360" w:lineRule="auto"/>
        <w:ind w:left="476" w:hanging="476"/>
        <w:rPr>
          <w:rFonts w:hint="eastAsia"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cs="Times New Roman" w:asciiTheme="minorEastAsia" w:hAnsiTheme="minorEastAsia"/>
          <w:color w:val="auto"/>
          <w:sz w:val="24"/>
          <w:szCs w:val="24"/>
          <w:lang w:val="zh-CN"/>
        </w:rPr>
        <w:t>至诚工程咨询有限公司。</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440" w:lineRule="exact"/>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5"/>
        <w:numPr>
          <w:ilvl w:val="0"/>
          <w:numId w:val="10"/>
        </w:numPr>
        <w:adjustRightInd w:val="0"/>
        <w:snapToGrid w:val="0"/>
        <w:spacing w:line="440" w:lineRule="exact"/>
        <w:ind w:firstLineChars="0"/>
        <w:rPr>
          <w:rFonts w:ascii="宋体" w:hAnsi="宋体"/>
          <w:bCs/>
          <w:sz w:val="24"/>
          <w:szCs w:val="24"/>
        </w:rPr>
      </w:pPr>
      <w:r>
        <w:rPr>
          <w:rFonts w:hint="eastAsia" w:ascii="宋体" w:hAnsi="宋体"/>
          <w:sz w:val="24"/>
          <w:szCs w:val="24"/>
        </w:rPr>
        <w:t>采购代理服务费</w:t>
      </w:r>
    </w:p>
    <w:p>
      <w:pPr>
        <w:pStyle w:val="45"/>
        <w:spacing w:line="440" w:lineRule="exact"/>
        <w:ind w:firstLine="0" w:firstLineChars="0"/>
        <w:rPr>
          <w:rFonts w:ascii="宋体" w:hAnsi="宋体"/>
          <w:b/>
          <w:sz w:val="24"/>
          <w:szCs w:val="24"/>
        </w:rPr>
      </w:pPr>
      <w:r>
        <w:rPr>
          <w:rFonts w:hint="eastAsia" w:ascii="宋体" w:hAnsi="宋体"/>
          <w:b/>
          <w:sz w:val="24"/>
          <w:szCs w:val="24"/>
        </w:rPr>
        <w:t>4.2.1经过采购代理机构与采购人协议，规定由中标单位支付。采购代理服务费收费标准如下：</w:t>
      </w:r>
    </w:p>
    <w:p>
      <w:pPr>
        <w:pStyle w:val="45"/>
        <w:spacing w:line="440" w:lineRule="exact"/>
        <w:ind w:firstLine="0" w:firstLineChars="0"/>
        <w:rPr>
          <w:rFonts w:ascii="宋体" w:hAnsi="宋体"/>
          <w:b/>
          <w:sz w:val="24"/>
          <w:szCs w:val="24"/>
        </w:rPr>
      </w:pPr>
    </w:p>
    <w:tbl>
      <w:tblPr>
        <w:tblStyle w:val="22"/>
        <w:tblW w:w="946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385"/>
        <w:gridCol w:w="217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2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7620</wp:posOffset>
                      </wp:positionV>
                      <wp:extent cx="1657350" cy="400050"/>
                      <wp:effectExtent l="1270" t="4445" r="17780" b="14605"/>
                      <wp:wrapNone/>
                      <wp:docPr id="3" name="Line 17"/>
                      <wp:cNvGraphicFramePr/>
                      <a:graphic xmlns:a="http://schemas.openxmlformats.org/drawingml/2006/main">
                        <a:graphicData uri="http://schemas.microsoft.com/office/word/2010/wordprocessingShape">
                          <wps:wsp>
                            <wps:cNvCnPr/>
                            <wps:spPr>
                              <a:xfrm flipH="1" flipV="1">
                                <a:off x="0" y="0"/>
                                <a:ext cx="1657350" cy="400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3.55pt;margin-top:0.6pt;height:31.5pt;width:130.5pt;z-index:251661312;mso-width-relative:page;mso-height-relative:page;" filled="f" stroked="t" coordsize="21600,21600" o:gfxdata="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yR3L9MA&#10;AAAHAQAADwAAAAAAAAABACAAAAAiAAAAZHJzL2Rvd25yZXYueG1sUEsBAhQAFAAAAAgAh07iQFQA&#10;wXHrAQAA8wMAAA4AAAAAAAAAAQAgAAAAIgEAAGRycy9lMm9Eb2MueG1sUEsFBgAAAAAGAAYAWQEA&#10;AH8FA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17145</wp:posOffset>
                      </wp:positionV>
                      <wp:extent cx="1652905" cy="977900"/>
                      <wp:effectExtent l="2540" t="3810" r="20955" b="8890"/>
                      <wp:wrapNone/>
                      <wp:docPr id="2" name="Line 16"/>
                      <wp:cNvGraphicFramePr/>
                      <a:graphic xmlns:a="http://schemas.openxmlformats.org/drawingml/2006/main">
                        <a:graphicData uri="http://schemas.microsoft.com/office/word/2010/wordprocessingShape">
                          <wps:wsp>
                            <wps:cNvCnPr/>
                            <wps:spPr>
                              <a:xfrm flipH="1" flipV="1">
                                <a:off x="0" y="0"/>
                                <a:ext cx="1652905" cy="977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5.05pt;margin-top:1.35pt;height:77pt;width:130.15pt;z-index:251660288;mso-width-relative:page;mso-height-relative:page;" filled="f" stroked="t" coordsize="21600,21600" o:gfxdata="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d/5e&#10;1AAAAAkBAAAPAAAAAAAAAAEAIAAAACIAAABkcnMvZG93bnJldi54bWxQSwECFAAUAAAACACHTuJA&#10;XqxjHOwBAADzAwAADgAAAAAAAAABACAAAAAjAQAAZHJzL2Uyb0RvYy54bWxQSwUGAAAAAAYABgBZ&#10;AQAAgQ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uR037VAAAACQEAAA8AAAAAAAAAAQAg&#10;AAAAIgAAAGRycy9kb3ducmV2LnhtbFBLAQIUABQAAAAIAIdO4kDNgef12AEAANYDAAAOAAAAAAAA&#10;AAEAIAAAACQBAABkcnMvZTJvRG9jLnhtbFBLBQYAAAAABgAGAFkBAABuBQ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385"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75"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280"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2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385"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75"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280"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2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385"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w:t>
            </w:r>
          </w:p>
        </w:tc>
        <w:tc>
          <w:tcPr>
            <w:tcW w:w="2175"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280"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2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385" w:type="dxa"/>
          </w:tcPr>
          <w:p>
            <w:pPr>
              <w:spacing w:line="300" w:lineRule="auto"/>
              <w:jc w:val="center"/>
              <w:rPr>
                <w:rFonts w:ascii="宋体" w:hAnsi="宋体" w:cs="宋体"/>
                <w:sz w:val="24"/>
                <w:szCs w:val="24"/>
              </w:rPr>
            </w:pPr>
            <w:r>
              <w:rPr>
                <w:rFonts w:hint="eastAsia" w:ascii="宋体" w:hAnsi="宋体" w:cs="宋体"/>
                <w:sz w:val="24"/>
                <w:szCs w:val="24"/>
              </w:rPr>
              <w:t>0.96%</w:t>
            </w:r>
          </w:p>
        </w:tc>
        <w:tc>
          <w:tcPr>
            <w:tcW w:w="2175"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280"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5"/>
        <w:adjustRightInd w:val="0"/>
        <w:snapToGrid w:val="0"/>
        <w:spacing w:line="300" w:lineRule="auto"/>
        <w:ind w:left="420" w:firstLine="0" w:firstLineChars="0"/>
        <w:rPr>
          <w:rFonts w:ascii="宋体" w:hAnsi="宋体"/>
          <w:b/>
          <w:sz w:val="24"/>
          <w:szCs w:val="24"/>
        </w:rPr>
      </w:pPr>
    </w:p>
    <w:p>
      <w:pPr>
        <w:pStyle w:val="45"/>
        <w:spacing w:line="440" w:lineRule="exact"/>
        <w:ind w:firstLine="0" w:firstLineChars="0"/>
        <w:rPr>
          <w:rFonts w:ascii="宋体" w:hAnsi="宋体"/>
          <w:b/>
          <w:sz w:val="24"/>
          <w:szCs w:val="24"/>
        </w:rPr>
      </w:pPr>
      <w:r>
        <w:rPr>
          <w:rFonts w:hint="eastAsia" w:ascii="宋体" w:hAnsi="宋体"/>
          <w:b/>
          <w:sz w:val="24"/>
          <w:szCs w:val="24"/>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5" w:name="_Toc495861521"/>
      <w:bookmarkStart w:id="16" w:name="_Toc31147"/>
      <w:bookmarkStart w:id="17" w:name="_Toc272247695"/>
      <w:bookmarkStart w:id="18" w:name="_Toc278891592"/>
      <w:bookmarkStart w:id="19" w:name="_Toc494561939"/>
      <w:r>
        <w:rPr>
          <w:rFonts w:hint="eastAsia" w:cs="Times New Roman" w:asciiTheme="majorEastAsia" w:hAnsiTheme="majorEastAsia"/>
          <w:bCs w:val="0"/>
          <w:lang w:val="zh-CN"/>
        </w:rPr>
        <w:t>招标文件</w:t>
      </w:r>
      <w:bookmarkEnd w:id="15"/>
      <w:bookmarkEnd w:id="16"/>
      <w:bookmarkEnd w:id="17"/>
      <w:bookmarkEnd w:id="18"/>
      <w:bookmarkEnd w:id="1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272247696"/>
      <w:bookmarkStart w:id="21" w:name="_Toc494561940"/>
      <w:bookmarkStart w:id="22" w:name="_Toc278891593"/>
      <w:bookmarkStart w:id="23" w:name="_Toc495861522"/>
      <w:bookmarkStart w:id="24" w:name="_Toc3214"/>
      <w:r>
        <w:rPr>
          <w:rFonts w:hint="eastAsia" w:cs="Times New Roman" w:asciiTheme="majorEastAsia" w:hAnsiTheme="majorEastAsia"/>
          <w:bCs w:val="0"/>
          <w:lang w:val="zh-CN"/>
        </w:rPr>
        <w:t>投标文件</w:t>
      </w:r>
      <w:bookmarkEnd w:id="20"/>
      <w:bookmarkEnd w:id="21"/>
      <w:bookmarkEnd w:id="22"/>
      <w:bookmarkEnd w:id="23"/>
      <w:bookmarkEnd w:id="24"/>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资格证明文件正本应为清晰彩色打印件且加盖单位公章，否则按照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w:t>
      </w:r>
      <w:r>
        <w:rPr>
          <w:rFonts w:hint="eastAsia" w:ascii="宋体" w:hAnsi="宋体"/>
          <w:b/>
          <w:bCs/>
          <w:color w:val="000000"/>
          <w:sz w:val="24"/>
          <w:szCs w:val="24"/>
          <w:lang w:val="zh-CN"/>
        </w:rPr>
        <w:t>本项目不收取投标保证金</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投标人应在不迟于投标邀请书中规定的投标截止日期和时间将投标文件密封递交至采购代理机构规定的投标地点。</w:t>
      </w:r>
    </w:p>
    <w:p>
      <w:pPr>
        <w:numPr>
          <w:ilvl w:val="0"/>
          <w:numId w:val="23"/>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5" w:name="_Toc21534"/>
      <w:bookmarkStart w:id="26" w:name="_Toc494561942"/>
      <w:bookmarkStart w:id="27" w:name="_Toc278891595"/>
      <w:bookmarkStart w:id="28" w:name="_Toc495861523"/>
      <w:bookmarkStart w:id="29" w:name="_Toc272247698"/>
      <w:r>
        <w:rPr>
          <w:rFonts w:hint="eastAsia" w:cs="Times New Roman" w:asciiTheme="majorEastAsia" w:hAnsiTheme="majorEastAsia"/>
          <w:bCs w:val="0"/>
          <w:lang w:val="zh-CN"/>
        </w:rPr>
        <w:t>开标与评标</w:t>
      </w:r>
      <w:bookmarkEnd w:id="25"/>
      <w:bookmarkEnd w:id="26"/>
      <w:bookmarkEnd w:id="27"/>
      <w:bookmarkEnd w:id="28"/>
      <w:bookmarkEnd w:id="2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color w:val="auto"/>
          <w:sz w:val="24"/>
          <w:szCs w:val="20"/>
          <w:lang w:val="zh-CN"/>
        </w:rPr>
        <w:t>综合评分法。</w:t>
      </w:r>
      <w:r>
        <w:rPr>
          <w:rFonts w:ascii="宋体" w:hAnsi="宋体" w:eastAsia="宋体" w:cs="Times New Roman"/>
          <w:bCs/>
          <w:color w:val="auto"/>
          <w:sz w:val="24"/>
          <w:szCs w:val="20"/>
          <w:lang w:val="zh-CN"/>
        </w:rPr>
        <w:t>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2356"/>
      <w:bookmarkStart w:id="31" w:name="_Toc495861524"/>
      <w:bookmarkStart w:id="32" w:name="_Toc494561943"/>
      <w:r>
        <w:rPr>
          <w:rFonts w:hint="eastAsia" w:cs="Times New Roman" w:asciiTheme="majorEastAsia" w:hAnsiTheme="majorEastAsia"/>
          <w:bCs w:val="0"/>
          <w:lang w:val="zh-CN"/>
        </w:rPr>
        <w:t>投标人信用信息及查询</w:t>
      </w:r>
      <w:bookmarkEnd w:id="30"/>
      <w:bookmarkEnd w:id="31"/>
      <w:bookmarkEnd w:id="32"/>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3" w:name="_Toc494561944"/>
      <w:bookmarkStart w:id="34" w:name="_Toc495861525"/>
      <w:bookmarkStart w:id="35" w:name="_Toc24911"/>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33"/>
      <w:bookmarkEnd w:id="34"/>
      <w:bookmarkEnd w:id="35"/>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w:t>
      </w:r>
      <w:r>
        <w:rPr>
          <w:rFonts w:hint="eastAsia" w:ascii="宋体" w:hAnsi="宋体" w:eastAsia="宋体" w:cs="Times New Roman"/>
          <w:color w:val="auto"/>
          <w:sz w:val="24"/>
          <w:szCs w:val="20"/>
          <w:lang w:val="zh-CN"/>
        </w:rPr>
        <w:t>综合评分法</w:t>
      </w:r>
      <w:r>
        <w:rPr>
          <w:rFonts w:hint="eastAsia" w:ascii="宋体" w:hAnsi="宋体" w:eastAsia="宋体" w:cs="Times New Roman"/>
          <w:sz w:val="24"/>
          <w:szCs w:val="20"/>
          <w:lang w:val="zh-CN"/>
        </w:rPr>
        <w:t>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36" w:name="_Toc272247700"/>
      <w:bookmarkStart w:id="37"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8" w:name="_Toc495861526"/>
      <w:bookmarkStart w:id="39" w:name="_Toc494561945"/>
      <w:bookmarkStart w:id="40" w:name="_Toc25307"/>
      <w:r>
        <w:rPr>
          <w:rFonts w:hint="eastAsia" w:cs="Times New Roman" w:asciiTheme="majorEastAsia" w:hAnsiTheme="majorEastAsia"/>
          <w:bCs w:val="0"/>
          <w:lang w:val="zh-CN"/>
        </w:rPr>
        <w:t>采购信息公告</w:t>
      </w:r>
      <w:bookmarkEnd w:id="38"/>
      <w:bookmarkEnd w:id="39"/>
      <w:bookmarkEnd w:id="40"/>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w:t>
      </w:r>
      <w:r>
        <w:rPr>
          <w:rFonts w:cs="Helvetica" w:asciiTheme="minorEastAsia" w:hAnsiTheme="minorEastAsia"/>
          <w:color w:val="auto"/>
          <w:kern w:val="0"/>
          <w:sz w:val="24"/>
          <w:szCs w:val="24"/>
          <w:lang w:val="zh-CN"/>
        </w:rPr>
        <w:t>综合评分法</w:t>
      </w:r>
      <w:r>
        <w:rPr>
          <w:rFonts w:cs="Helvetica" w:asciiTheme="minorEastAsia" w:hAnsiTheme="minorEastAsia"/>
          <w:kern w:val="0"/>
          <w:sz w:val="24"/>
          <w:szCs w:val="24"/>
          <w:lang w:val="zh-CN"/>
        </w:rPr>
        <w:t>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1" w:name="_Toc12492"/>
      <w:bookmarkStart w:id="42" w:name="_Toc495861527"/>
      <w:bookmarkStart w:id="43" w:name="_Toc494561946"/>
      <w:r>
        <w:rPr>
          <w:rFonts w:hint="eastAsia" w:cs="Times New Roman" w:asciiTheme="majorEastAsia" w:hAnsiTheme="majorEastAsia"/>
          <w:bCs w:val="0"/>
          <w:lang w:val="zh-CN"/>
        </w:rPr>
        <w:t>质疑</w:t>
      </w:r>
      <w:bookmarkEnd w:id="36"/>
      <w:bookmarkEnd w:id="37"/>
      <w:r>
        <w:rPr>
          <w:rFonts w:hint="eastAsia" w:cs="Times New Roman" w:asciiTheme="majorEastAsia" w:hAnsiTheme="majorEastAsia"/>
          <w:bCs w:val="0"/>
          <w:lang w:val="zh-CN"/>
        </w:rPr>
        <w:t>及提交</w:t>
      </w:r>
      <w:bookmarkEnd w:id="41"/>
      <w:bookmarkEnd w:id="42"/>
      <w:bookmarkEnd w:id="43"/>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4" w:name="_Toc495861528"/>
      <w:bookmarkStart w:id="45" w:name="_Toc16042"/>
      <w:bookmarkStart w:id="46" w:name="_Toc494561947"/>
      <w:r>
        <w:rPr>
          <w:rFonts w:hint="eastAsia" w:cs="Times New Roman" w:asciiTheme="majorEastAsia" w:hAnsiTheme="majorEastAsia"/>
          <w:bCs w:val="0"/>
          <w:lang w:val="zh-CN"/>
        </w:rPr>
        <w:t>相关条文解读</w:t>
      </w:r>
      <w:bookmarkEnd w:id="44"/>
      <w:bookmarkEnd w:id="45"/>
      <w:bookmarkEnd w:id="46"/>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7" w:name="_Toc8111"/>
      <w:bookmarkStart w:id="48" w:name="_Toc494561948"/>
      <w:bookmarkStart w:id="49" w:name="_Toc495861529"/>
      <w:r>
        <w:rPr>
          <w:rFonts w:hint="eastAsia" w:cs="Times New Roman" w:asciiTheme="majorEastAsia" w:hAnsiTheme="majorEastAsia"/>
          <w:bCs w:val="0"/>
          <w:lang w:val="zh-CN"/>
        </w:rPr>
        <w:t>其他注意事项</w:t>
      </w:r>
      <w:bookmarkEnd w:id="47"/>
      <w:bookmarkEnd w:id="48"/>
      <w:bookmarkEnd w:id="4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50" w:name="_Toc278891598"/>
      <w:bookmarkStart w:id="51" w:name="_Toc494561949"/>
      <w:bookmarkStart w:id="52" w:name="_Toc18358"/>
      <w:bookmarkStart w:id="53" w:name="_Toc272247701"/>
      <w:bookmarkStart w:id="54" w:name="_Toc495861530"/>
      <w:r>
        <w:rPr>
          <w:rFonts w:hint="eastAsia" w:cs="Times New Roman" w:asciiTheme="majorEastAsia" w:hAnsiTheme="majorEastAsia"/>
          <w:bCs w:val="0"/>
          <w:lang w:val="zh-CN"/>
        </w:rPr>
        <w:t>适用法律</w:t>
      </w:r>
      <w:bookmarkEnd w:id="50"/>
      <w:bookmarkEnd w:id="51"/>
      <w:bookmarkEnd w:id="52"/>
      <w:bookmarkEnd w:id="53"/>
      <w:bookmarkEnd w:id="54"/>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55" w:name="_Toc278891599"/>
      <w:bookmarkStart w:id="56" w:name="_Toc272247702"/>
      <w:bookmarkStart w:id="57" w:name="_Toc28045"/>
      <w:bookmarkStart w:id="58" w:name="_Toc495861531"/>
      <w:bookmarkStart w:id="59" w:name="_Toc494561950"/>
      <w:r>
        <w:rPr>
          <w:rFonts w:hint="eastAsia" w:cs="Times New Roman" w:asciiTheme="majorEastAsia" w:hAnsiTheme="majorEastAsia"/>
          <w:bCs w:val="0"/>
          <w:lang w:val="zh-CN"/>
        </w:rPr>
        <w:t>招标文件的解释权</w:t>
      </w:r>
      <w:bookmarkEnd w:id="55"/>
      <w:bookmarkEnd w:id="56"/>
      <w:bookmarkEnd w:id="57"/>
      <w:bookmarkEnd w:id="58"/>
      <w:bookmarkEnd w:id="59"/>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3"/>
        <w:numPr>
          <w:ilvl w:val="0"/>
          <w:numId w:val="1"/>
        </w:numPr>
        <w:jc w:val="center"/>
        <w:rPr>
          <w:rFonts w:ascii="黑体" w:hAnsi="黑体" w:eastAsia="黑体"/>
        </w:rPr>
      </w:pPr>
      <w:bookmarkStart w:id="60" w:name="_Toc497904247"/>
      <w:bookmarkEnd w:id="60"/>
      <w:bookmarkStart w:id="61" w:name="_Toc1800"/>
      <w:bookmarkStart w:id="62" w:name="_Toc14476"/>
      <w:bookmarkStart w:id="63" w:name="_Toc25774"/>
      <w:bookmarkStart w:id="64" w:name="_Toc495861532"/>
      <w:r>
        <w:rPr>
          <w:rFonts w:hint="eastAsia" w:ascii="黑体" w:hAnsi="黑体" w:eastAsia="黑体"/>
        </w:rPr>
        <w:t>项目技术、服务及商务要求</w:t>
      </w:r>
      <w:bookmarkEnd w:id="61"/>
      <w:bookmarkEnd w:id="62"/>
      <w:bookmarkEnd w:id="63"/>
      <w:bookmarkEnd w:id="64"/>
    </w:p>
    <w:p>
      <w:pPr>
        <w:spacing w:line="460" w:lineRule="exact"/>
        <w:jc w:val="center"/>
        <w:rPr>
          <w:rFonts w:hint="eastAsia" w:ascii="宋体" w:hAnsi="宋体"/>
          <w:b/>
          <w:bCs/>
          <w:sz w:val="28"/>
          <w:szCs w:val="28"/>
        </w:rPr>
      </w:pPr>
      <w:r>
        <w:rPr>
          <w:rFonts w:hint="eastAsia"/>
          <w:b/>
          <w:bCs/>
          <w:color w:val="000000"/>
          <w:sz w:val="28"/>
          <w:szCs w:val="28"/>
          <w:lang w:eastAsia="zh-CN"/>
        </w:rPr>
        <w:t>灭螺药品</w:t>
      </w:r>
      <w:r>
        <w:rPr>
          <w:rFonts w:hint="eastAsia" w:ascii="宋体" w:hAnsi="宋体"/>
          <w:b/>
          <w:bCs/>
          <w:sz w:val="28"/>
          <w:szCs w:val="28"/>
          <w:lang w:eastAsia="zh-CN"/>
        </w:rPr>
        <w:t>需求</w:t>
      </w:r>
      <w:r>
        <w:rPr>
          <w:rFonts w:hint="eastAsia" w:ascii="宋体" w:hAnsi="宋体"/>
          <w:b/>
          <w:bCs/>
          <w:sz w:val="28"/>
          <w:szCs w:val="28"/>
        </w:rPr>
        <w:t>及</w:t>
      </w:r>
      <w:r>
        <w:rPr>
          <w:rFonts w:hint="eastAsia" w:ascii="宋体" w:hAnsi="宋体"/>
          <w:b/>
          <w:bCs/>
          <w:sz w:val="28"/>
          <w:szCs w:val="28"/>
          <w:lang w:eastAsia="zh-CN"/>
        </w:rPr>
        <w:t>技术参数</w:t>
      </w:r>
      <w:r>
        <w:rPr>
          <w:rFonts w:hint="eastAsia"/>
          <w:b/>
          <w:bCs/>
          <w:color w:val="000000"/>
          <w:sz w:val="28"/>
          <w:szCs w:val="28"/>
          <w:lang w:eastAsia="zh-CN"/>
        </w:rPr>
        <w:t>要求</w:t>
      </w:r>
    </w:p>
    <w:p>
      <w:pPr>
        <w:numPr>
          <w:ilvl w:val="0"/>
          <w:numId w:val="0"/>
        </w:numPr>
        <w:tabs>
          <w:tab w:val="left" w:pos="993"/>
        </w:tabs>
        <w:spacing w:line="500" w:lineRule="exact"/>
        <w:textAlignment w:val="baseline"/>
        <w:rPr>
          <w:rFonts w:ascii="宋体" w:hAnsi="宋体"/>
          <w:b/>
          <w:bCs/>
          <w:szCs w:val="21"/>
        </w:rPr>
      </w:pPr>
      <w:r>
        <w:rPr>
          <w:rFonts w:hint="eastAsia" w:ascii="宋体" w:hAnsi="宋体"/>
          <w:b/>
          <w:bCs/>
          <w:sz w:val="28"/>
          <w:szCs w:val="28"/>
          <w:lang w:eastAsia="zh-CN"/>
        </w:rPr>
        <w:t>一、</w:t>
      </w:r>
      <w:r>
        <w:rPr>
          <w:rFonts w:hint="eastAsia" w:ascii="宋体" w:hAnsi="宋体"/>
          <w:b/>
          <w:bCs/>
          <w:sz w:val="28"/>
          <w:szCs w:val="28"/>
        </w:rPr>
        <w:t>货物需求名称及数量：</w:t>
      </w:r>
    </w:p>
    <w:tbl>
      <w:tblPr>
        <w:tblStyle w:val="2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093"/>
        <w:gridCol w:w="1098"/>
        <w:gridCol w:w="805"/>
        <w:gridCol w:w="80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标包号</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货物名称</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规格</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单位</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数量</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合价</w:t>
            </w:r>
            <w:r>
              <w:rPr>
                <w:rFonts w:hint="eastAsia" w:ascii="宋体" w:hAnsi="宋体" w:eastAsia="宋体" w:cs="宋体"/>
                <w:szCs w:val="24"/>
                <w:shd w:val="clear" w:color="auto" w:fill="FFFFFF"/>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1包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50%杀螺胺乙醇胺盐可湿性粉剂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10kg/袋</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2包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26%四聚·杀螺胺乙醇胺盐悬浮剂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10kg/桶</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04" w:type="dxa"/>
            <w:gridSpan w:val="2"/>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合计</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18" w:type="dxa"/>
            <w:gridSpan w:val="6"/>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left"/>
              <w:textAlignment w:val="auto"/>
              <w:rPr>
                <w:rFonts w:hint="eastAsia"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注：第 1 包和第 2 包规格为参考指标，按 t 结算，可根据各供应商实际情况调整。</w:t>
            </w:r>
          </w:p>
        </w:tc>
      </w:tr>
    </w:tbl>
    <w:p>
      <w:pPr>
        <w:keepNext w:val="0"/>
        <w:keepLines w:val="0"/>
        <w:pageBreakBefore w:val="0"/>
        <w:widowControl w:val="0"/>
        <w:kinsoku/>
        <w:wordWrap/>
        <w:overflowPunct/>
        <w:topLinePunct w:val="0"/>
        <w:autoSpaceDE/>
        <w:autoSpaceDN/>
        <w:bidi w:val="0"/>
        <w:adjustRightInd/>
        <w:snapToGrid/>
        <w:spacing w:before="157" w:beforeLines="50" w:line="390" w:lineRule="exact"/>
        <w:jc w:val="both"/>
        <w:textAlignment w:val="auto"/>
        <w:rPr>
          <w:rFonts w:hint="eastAsia" w:eastAsiaTheme="minorEastAsia"/>
          <w:sz w:val="24"/>
          <w:szCs w:val="24"/>
          <w:lang w:eastAsia="zh-CN"/>
        </w:rPr>
      </w:pPr>
      <w:r>
        <w:rPr>
          <w:rFonts w:hint="eastAsia" w:ascii="宋体" w:hAnsi="宋体"/>
          <w:b/>
          <w:bCs w:val="0"/>
          <w:sz w:val="24"/>
          <w:szCs w:val="24"/>
        </w:rPr>
        <w:t>（</w:t>
      </w:r>
      <w:r>
        <w:rPr>
          <w:rFonts w:hint="eastAsia" w:ascii="宋体" w:hAnsi="宋体"/>
          <w:b/>
          <w:bCs w:val="0"/>
          <w:sz w:val="24"/>
          <w:szCs w:val="24"/>
          <w:lang w:eastAsia="zh-CN"/>
        </w:rPr>
        <w:t>第</w:t>
      </w:r>
      <w:r>
        <w:rPr>
          <w:rFonts w:hint="eastAsia" w:ascii="宋体" w:hAnsi="宋体"/>
          <w:b/>
          <w:bCs w:val="0"/>
          <w:sz w:val="24"/>
          <w:szCs w:val="24"/>
          <w:lang w:val="en-US" w:eastAsia="zh-CN"/>
        </w:rPr>
        <w:t>1包</w:t>
      </w:r>
      <w:r>
        <w:rPr>
          <w:rFonts w:hint="eastAsia" w:ascii="宋体" w:hAnsi="宋体"/>
          <w:b/>
          <w:bCs w:val="0"/>
          <w:sz w:val="24"/>
          <w:szCs w:val="24"/>
        </w:rPr>
        <w:t>）50%杀螺胺乙醇胺盐可湿性粉剂</w:t>
      </w:r>
      <w:r>
        <w:rPr>
          <w:rFonts w:hint="eastAsia"/>
          <w:b/>
          <w:bCs/>
          <w:color w:val="000000"/>
          <w:sz w:val="24"/>
          <w:szCs w:val="24"/>
        </w:rPr>
        <w:t>技术参数</w:t>
      </w:r>
      <w:r>
        <w:rPr>
          <w:rFonts w:hint="eastAsia"/>
          <w:b/>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0" w:lineRule="exact"/>
        <w:ind w:left="0" w:leftChars="0" w:firstLine="1200" w:firstLineChars="500"/>
        <w:jc w:val="both"/>
        <w:textAlignment w:val="auto"/>
        <w:rPr>
          <w:rFonts w:hint="eastAsia" w:ascii="宋体" w:hAnsi="宋体"/>
          <w:b w:val="0"/>
          <w:bCs/>
          <w:sz w:val="24"/>
          <w:szCs w:val="24"/>
        </w:rPr>
      </w:pPr>
      <w:r>
        <w:rPr>
          <w:rFonts w:hint="eastAsia" w:ascii="宋体" w:hAnsi="宋体"/>
          <w:b w:val="0"/>
          <w:bCs/>
          <w:sz w:val="24"/>
          <w:szCs w:val="24"/>
        </w:rPr>
        <w:t>杀螺胺乙醇胺盐含量（%）：50.0±2.5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悬浮率≥85%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水分≤2%</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PH值7.0-10.0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湿润时间≤90s</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湿筛试验（通过44UM试验筛）≥98%</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热贮稳定性：合格</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包装规格：10kg/袋</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Theme="minorEastAsia"/>
          <w:b/>
          <w:bCs w:val="0"/>
          <w:sz w:val="24"/>
          <w:szCs w:val="24"/>
          <w:lang w:eastAsia="zh-CN"/>
        </w:rPr>
      </w:pPr>
      <w:r>
        <w:rPr>
          <w:rFonts w:hint="eastAsia" w:ascii="宋体" w:hAnsi="宋体"/>
          <w:b/>
          <w:bCs w:val="0"/>
          <w:sz w:val="24"/>
          <w:szCs w:val="24"/>
        </w:rPr>
        <w:t>（</w:t>
      </w:r>
      <w:r>
        <w:rPr>
          <w:rFonts w:hint="eastAsia" w:ascii="宋体" w:hAnsi="宋体"/>
          <w:b/>
          <w:bCs w:val="0"/>
          <w:sz w:val="24"/>
          <w:szCs w:val="24"/>
          <w:lang w:eastAsia="zh-CN"/>
        </w:rPr>
        <w:t>第</w:t>
      </w:r>
      <w:r>
        <w:rPr>
          <w:rFonts w:hint="eastAsia" w:ascii="宋体" w:hAnsi="宋体"/>
          <w:b/>
          <w:bCs w:val="0"/>
          <w:sz w:val="24"/>
          <w:szCs w:val="24"/>
          <w:lang w:val="en-US" w:eastAsia="zh-CN"/>
        </w:rPr>
        <w:t>2包</w:t>
      </w:r>
      <w:r>
        <w:rPr>
          <w:rFonts w:hint="eastAsia" w:ascii="宋体" w:hAnsi="宋体"/>
          <w:b/>
          <w:bCs w:val="0"/>
          <w:sz w:val="24"/>
          <w:szCs w:val="24"/>
        </w:rPr>
        <w:t>）26%四聚·杀螺胺乙醇胺盐悬浮剂</w:t>
      </w:r>
      <w:r>
        <w:rPr>
          <w:rFonts w:hint="eastAsia" w:ascii="宋体" w:hAnsi="宋体"/>
          <w:b/>
          <w:bCs w:val="0"/>
          <w:sz w:val="24"/>
          <w:szCs w:val="24"/>
          <w:lang w:eastAsia="zh-CN"/>
        </w:rPr>
        <w:t>技术参数：</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杀螺胺乙醇胺盐含量25.0±1.5%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四聚乙醛含量1.0±0.15%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杀螺胺乙醇胺盐悬浮率≥90%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四聚乙醛悬浮率≥90%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pH值：7.0-10.0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倾倒后残余物≤5.0%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洗涤后残余物≤0.5%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细度(75μm)：≥98%</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持久起泡量（1min后）≤25 mL</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低温稳定性：合格</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热贮稳定性：合格</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包装规格：10kg/桶</w:t>
      </w:r>
    </w:p>
    <w:p>
      <w:pPr>
        <w:numPr>
          <w:ilvl w:val="0"/>
          <w:numId w:val="0"/>
        </w:numPr>
        <w:spacing w:line="360" w:lineRule="auto"/>
        <w:jc w:val="both"/>
        <w:rPr>
          <w:rFonts w:hint="eastAsia" w:eastAsia="宋体" w:cs="宋体"/>
          <w:b/>
          <w:bCs/>
          <w:sz w:val="32"/>
          <w:szCs w:val="32"/>
          <w:lang w:val="en-US" w:eastAsia="zh-CN"/>
        </w:rPr>
      </w:pPr>
    </w:p>
    <w:p>
      <w:pPr>
        <w:numPr>
          <w:ilvl w:val="0"/>
          <w:numId w:val="0"/>
        </w:numPr>
        <w:spacing w:line="360" w:lineRule="auto"/>
        <w:jc w:val="both"/>
        <w:rPr>
          <w:rFonts w:hint="eastAsia" w:eastAsia="宋体" w:cs="宋体"/>
          <w:b/>
          <w:bCs/>
          <w:sz w:val="32"/>
          <w:szCs w:val="32"/>
          <w:lang w:val="en-US" w:eastAsia="zh-CN"/>
        </w:rPr>
      </w:pPr>
      <w:r>
        <w:rPr>
          <w:rFonts w:hint="eastAsia" w:eastAsia="宋体" w:cs="宋体"/>
          <w:b/>
          <w:bCs/>
          <w:sz w:val="32"/>
          <w:szCs w:val="32"/>
          <w:lang w:val="en-US" w:eastAsia="zh-CN"/>
        </w:rPr>
        <w:t>二、商务条款：</w:t>
      </w:r>
    </w:p>
    <w:p>
      <w:pPr>
        <w:numPr>
          <w:ilvl w:val="0"/>
          <w:numId w:val="38"/>
        </w:numPr>
        <w:spacing w:line="360" w:lineRule="auto"/>
        <w:jc w:val="both"/>
        <w:rPr>
          <w:rFonts w:hint="eastAsia" w:eastAsia="宋体" w:cs="宋体"/>
          <w:sz w:val="24"/>
          <w:szCs w:val="24"/>
          <w:lang w:val="en-US" w:eastAsia="zh-CN"/>
        </w:rPr>
      </w:pPr>
      <w:r>
        <w:rPr>
          <w:rFonts w:hint="eastAsia" w:eastAsia="宋体" w:cs="宋体"/>
          <w:sz w:val="24"/>
          <w:szCs w:val="24"/>
          <w:lang w:val="en-US" w:eastAsia="zh-CN"/>
        </w:rPr>
        <w:t>质保期：</w:t>
      </w:r>
      <w:r>
        <w:rPr>
          <w:rFonts w:hint="eastAsia" w:ascii="宋体" w:hAnsi="宋体"/>
          <w:color w:val="000000" w:themeColor="text1"/>
          <w:sz w:val="24"/>
          <w:szCs w:val="24"/>
          <w14:textFill>
            <w14:solidFill>
              <w14:schemeClr w14:val="tx1"/>
            </w14:solidFill>
          </w14:textFill>
        </w:rPr>
        <w:t>药品配送至采购人指定地点后有效期不少于</w:t>
      </w:r>
      <w:r>
        <w:rPr>
          <w:rFonts w:hint="eastAsia" w:ascii="宋体" w:hAnsi="宋体"/>
          <w:color w:val="000000" w:themeColor="text1"/>
          <w:sz w:val="24"/>
          <w:szCs w:val="24"/>
          <w:lang w:val="en-US" w:eastAsia="zh-CN"/>
          <w14:textFill>
            <w14:solidFill>
              <w14:schemeClr w14:val="tx1"/>
            </w14:solidFill>
          </w14:textFill>
        </w:rPr>
        <w:t>2年</w:t>
      </w:r>
      <w:r>
        <w:rPr>
          <w:rFonts w:hint="eastAsia" w:ascii="宋体" w:hAnsi="宋体"/>
          <w:color w:val="000000" w:themeColor="text1"/>
          <w:sz w:val="24"/>
          <w:szCs w:val="24"/>
          <w:lang w:eastAsia="zh-CN"/>
          <w14:textFill>
            <w14:solidFill>
              <w14:schemeClr w14:val="tx1"/>
            </w14:solidFill>
          </w14:textFill>
        </w:rPr>
        <w:t>；</w:t>
      </w:r>
    </w:p>
    <w:p>
      <w:pPr>
        <w:numPr>
          <w:ilvl w:val="0"/>
          <w:numId w:val="38"/>
        </w:numPr>
        <w:spacing w:line="360" w:lineRule="auto"/>
        <w:jc w:val="both"/>
        <w:rPr>
          <w:rFonts w:hint="default" w:eastAsia="宋体" w:cs="宋体"/>
          <w:sz w:val="24"/>
          <w:szCs w:val="24"/>
          <w:lang w:val="en-US" w:eastAsia="zh-CN"/>
        </w:rPr>
      </w:pPr>
      <w:r>
        <w:rPr>
          <w:rFonts w:hint="eastAsia" w:eastAsia="宋体" w:cs="宋体"/>
          <w:sz w:val="24"/>
          <w:szCs w:val="24"/>
          <w:lang w:val="en-US" w:eastAsia="zh-CN"/>
        </w:rPr>
        <w:t>交货期：签订合同后30个工作日；</w:t>
      </w:r>
    </w:p>
    <w:p>
      <w:pPr>
        <w:numPr>
          <w:ilvl w:val="0"/>
          <w:numId w:val="38"/>
        </w:numPr>
        <w:spacing w:line="360" w:lineRule="auto"/>
        <w:jc w:val="both"/>
        <w:rPr>
          <w:rFonts w:hint="default" w:eastAsia="宋体" w:cs="宋体"/>
          <w:sz w:val="24"/>
          <w:szCs w:val="24"/>
          <w:lang w:val="en-US" w:eastAsia="zh-CN"/>
        </w:rPr>
      </w:pPr>
      <w:r>
        <w:rPr>
          <w:rFonts w:hint="eastAsia" w:eastAsia="宋体" w:cs="宋体"/>
          <w:sz w:val="24"/>
          <w:szCs w:val="24"/>
          <w:lang w:val="en-US" w:eastAsia="zh-CN"/>
        </w:rPr>
        <w:t>交货地点：</w:t>
      </w:r>
      <w:r>
        <w:rPr>
          <w:rFonts w:hint="eastAsia" w:ascii="宋体" w:hAnsi="宋体"/>
          <w:sz w:val="24"/>
          <w:szCs w:val="24"/>
        </w:rPr>
        <w:t>采购人指定地点（</w:t>
      </w:r>
      <w:r>
        <w:rPr>
          <w:rFonts w:hint="eastAsia" w:ascii="宋体" w:hAnsi="宋体"/>
          <w:sz w:val="24"/>
          <w:szCs w:val="24"/>
          <w:lang w:eastAsia="zh-CN"/>
        </w:rPr>
        <w:t>阳新县范围内</w:t>
      </w:r>
      <w:r>
        <w:rPr>
          <w:rFonts w:hint="eastAsia" w:ascii="宋体" w:hAnsi="宋体"/>
          <w:sz w:val="24"/>
          <w:szCs w:val="24"/>
        </w:rPr>
        <w:t>）</w:t>
      </w:r>
      <w:r>
        <w:rPr>
          <w:rFonts w:hint="eastAsia" w:ascii="宋体" w:hAnsi="宋体"/>
          <w:sz w:val="24"/>
          <w:szCs w:val="24"/>
          <w:lang w:eastAsia="zh-CN"/>
        </w:rPr>
        <w:t>；</w:t>
      </w:r>
    </w:p>
    <w:p>
      <w:pPr>
        <w:numPr>
          <w:ilvl w:val="0"/>
          <w:numId w:val="38"/>
        </w:numPr>
        <w:spacing w:line="360" w:lineRule="auto"/>
        <w:jc w:val="both"/>
        <w:rPr>
          <w:rFonts w:hint="default" w:eastAsia="宋体" w:cs="宋体"/>
          <w:sz w:val="24"/>
          <w:szCs w:val="24"/>
          <w:lang w:val="en-US" w:eastAsia="zh-CN"/>
        </w:rPr>
      </w:pPr>
      <w:r>
        <w:rPr>
          <w:rFonts w:hint="eastAsia" w:eastAsia="宋体" w:cs="宋体"/>
          <w:sz w:val="24"/>
          <w:szCs w:val="24"/>
          <w:lang w:val="en-US" w:eastAsia="zh-CN"/>
        </w:rPr>
        <w:t>付款方式：</w:t>
      </w:r>
      <w:r>
        <w:rPr>
          <w:rFonts w:hint="eastAsia" w:ascii="宋体" w:hAnsi="宋体"/>
          <w:b w:val="0"/>
          <w:bCs/>
          <w:sz w:val="24"/>
          <w:szCs w:val="24"/>
          <w:lang w:eastAsia="zh-CN"/>
        </w:rPr>
        <w:t>货到经采购人或委托人验收合格后</w:t>
      </w:r>
      <w:r>
        <w:rPr>
          <w:rFonts w:hint="eastAsia" w:ascii="宋体" w:hAnsi="宋体"/>
          <w:b w:val="0"/>
          <w:bCs/>
          <w:sz w:val="24"/>
          <w:szCs w:val="24"/>
          <w:lang w:val="en-US" w:eastAsia="zh-CN"/>
        </w:rPr>
        <w:t>3个月内付清。</w:t>
      </w: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lang w:val="en-US" w:eastAsia="zh-CN"/>
        </w:rPr>
      </w:pPr>
    </w:p>
    <w:p>
      <w:pPr>
        <w:rPr>
          <w:rFonts w:hint="eastAsia" w:eastAsia="宋体" w:cs="宋体"/>
          <w:sz w:val="24"/>
          <w:szCs w:val="24"/>
          <w:lang w:val="en-US" w:eastAsia="zh-CN"/>
        </w:rPr>
      </w:pPr>
    </w:p>
    <w:p/>
    <w:p>
      <w:pPr>
        <w:pStyle w:val="3"/>
        <w:keepNext/>
        <w:keepLines/>
        <w:pageBreakBefore w:val="0"/>
        <w:widowControl w:val="0"/>
        <w:numPr>
          <w:ilvl w:val="0"/>
          <w:numId w:val="1"/>
        </w:numPr>
        <w:kinsoku/>
        <w:wordWrap/>
        <w:overflowPunct/>
        <w:topLinePunct w:val="0"/>
        <w:autoSpaceDE/>
        <w:autoSpaceDN/>
        <w:bidi w:val="0"/>
        <w:adjustRightInd/>
        <w:snapToGrid/>
        <w:spacing w:before="360" w:after="440" w:line="579" w:lineRule="auto"/>
        <w:ind w:left="420" w:hanging="420"/>
        <w:jc w:val="center"/>
        <w:textAlignment w:val="auto"/>
        <w:rPr>
          <w:rFonts w:ascii="黑体" w:hAnsi="黑体" w:eastAsia="黑体"/>
        </w:rPr>
      </w:pPr>
      <w:bookmarkStart w:id="65" w:name="_Toc15881"/>
      <w:bookmarkStart w:id="66" w:name="_Toc495861538"/>
      <w:r>
        <w:rPr>
          <w:rFonts w:hint="eastAsia" w:ascii="黑体" w:hAnsi="黑体" w:eastAsia="黑体"/>
        </w:rPr>
        <w:t>资格审查方法及标准</w:t>
      </w:r>
      <w:bookmarkEnd w:id="65"/>
      <w:bookmarkEnd w:id="66"/>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67" w:name="_Toc495861539"/>
      <w:bookmarkStart w:id="68" w:name="_Toc494561958"/>
      <w:bookmarkStart w:id="69" w:name="_Toc19379"/>
      <w:r>
        <w:rPr>
          <w:rFonts w:hint="eastAsia" w:cs="Times New Roman" w:asciiTheme="majorEastAsia" w:hAnsiTheme="majorEastAsia"/>
          <w:bCs w:val="0"/>
          <w:sz w:val="30"/>
          <w:szCs w:val="30"/>
          <w:lang w:val="zh-CN"/>
        </w:rPr>
        <w:t>资格审查方法</w:t>
      </w:r>
      <w:bookmarkEnd w:id="67"/>
      <w:bookmarkEnd w:id="68"/>
      <w:bookmarkEnd w:id="69"/>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auto"/>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70" w:name="_Toc494561959"/>
      <w:bookmarkStart w:id="71" w:name="_Toc5048"/>
      <w:bookmarkStart w:id="72" w:name="_Toc495861540"/>
      <w:r>
        <w:rPr>
          <w:rFonts w:hint="eastAsia" w:cs="Times New Roman" w:asciiTheme="majorEastAsia" w:hAnsiTheme="majorEastAsia"/>
          <w:bCs w:val="0"/>
          <w:sz w:val="30"/>
          <w:szCs w:val="30"/>
          <w:lang w:val="zh-CN"/>
        </w:rPr>
        <w:t>资格审查标准</w:t>
      </w:r>
      <w:bookmarkEnd w:id="70"/>
      <w:bookmarkEnd w:id="71"/>
      <w:bookmarkEnd w:id="72"/>
    </w:p>
    <w:p>
      <w:pPr>
        <w:numPr>
          <w:ilvl w:val="0"/>
          <w:numId w:val="40"/>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4"/>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4"/>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4"/>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4"/>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4"/>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4"/>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4"/>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4"/>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4"/>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tabs>
          <w:tab w:val="left" w:pos="616"/>
        </w:tabs>
        <w:spacing w:line="360" w:lineRule="auto"/>
        <w:ind w:left="252"/>
        <w:rPr>
          <w:rFonts w:ascii="宋体" w:hAnsi="宋体" w:eastAsia="宋体" w:cs="Times New Roman"/>
          <w:b/>
          <w:sz w:val="24"/>
          <w:szCs w:val="24"/>
          <w:lang w:val="zh-CN"/>
        </w:rPr>
      </w:pPr>
      <w:r>
        <w:rPr>
          <w:rFonts w:hint="eastAsia" w:ascii="宋体" w:hAnsi="宋体"/>
          <w:color w:val="000000"/>
          <w:sz w:val="24"/>
          <w:szCs w:val="24"/>
        </w:rPr>
        <w:t>1.</w:t>
      </w:r>
      <w:r>
        <w:rPr>
          <w:rFonts w:hint="eastAsia" w:ascii="宋体" w:hAnsi="宋体"/>
          <w:color w:val="000000"/>
          <w:sz w:val="24"/>
          <w:szCs w:val="24"/>
          <w:lang w:val="en-US" w:eastAsia="zh-CN"/>
        </w:rPr>
        <w:t>5</w:t>
      </w:r>
      <w:r>
        <w:rPr>
          <w:rFonts w:hint="eastAsia" w:ascii="宋体" w:hAnsi="宋体"/>
          <w:color w:val="000000"/>
          <w:sz w:val="24"/>
          <w:szCs w:val="24"/>
        </w:rPr>
        <w:t xml:space="preserve"> </w:t>
      </w:r>
      <w:r>
        <w:rPr>
          <w:rFonts w:hint="eastAsia" w:ascii="宋体" w:hAnsi="宋体"/>
          <w:color w:val="000000"/>
          <w:sz w:val="24"/>
          <w:szCs w:val="24"/>
          <w:lang w:val="zh-CN"/>
        </w:rPr>
        <w:t>资格证明文件正本应为清晰彩色打印件且加盖单位公章。</w:t>
      </w:r>
    </w:p>
    <w:p>
      <w:pPr>
        <w:numPr>
          <w:ilvl w:val="0"/>
          <w:numId w:val="40"/>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4"/>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4"/>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4"/>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4"/>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73" w:name="_Toc495861492"/>
      <w:bookmarkStart w:id="74" w:name="_Toc28176"/>
      <w:r>
        <w:rPr>
          <w:rFonts w:hint="eastAsia" w:ascii="黑体" w:hAnsi="黑体" w:eastAsia="黑体"/>
        </w:rPr>
        <w:t>评标方法、程序及标准</w:t>
      </w:r>
      <w:bookmarkEnd w:id="73"/>
      <w:bookmarkEnd w:id="74"/>
    </w:p>
    <w:p>
      <w:pPr>
        <w:spacing w:line="360" w:lineRule="auto"/>
        <w:ind w:firstLine="480" w:firstLineChars="200"/>
        <w:rPr>
          <w:rFonts w:ascii="宋体" w:hAnsi="宋体" w:eastAsia="宋体" w:cs="Times New Roman"/>
          <w:bCs/>
          <w:sz w:val="24"/>
          <w:szCs w:val="20"/>
          <w:lang w:val="zh-CN" w:eastAsia="zh-CN"/>
        </w:rPr>
      </w:pPr>
      <w:r>
        <w:rPr>
          <w:rFonts w:hint="eastAsia" w:ascii="宋体" w:hAnsi="宋体" w:eastAsia="宋体" w:cs="Times New Roman"/>
          <w:bCs/>
          <w:sz w:val="24"/>
          <w:szCs w:val="20"/>
          <w:lang w:val="zh-CN" w:eastAsia="zh-CN"/>
        </w:rPr>
        <w:t>根据《政府采购法》、《政府采购法实施条例》、《政府采购货物和服务招标投标管理办法》等相关</w:t>
      </w:r>
      <w:r>
        <w:rPr>
          <w:rFonts w:hint="eastAsia" w:ascii="宋体" w:hAnsi="宋体" w:eastAsia="宋体" w:cs="Times New Roman"/>
          <w:bCs/>
          <w:sz w:val="24"/>
          <w:szCs w:val="20"/>
          <w:lang w:val="zh-CN"/>
        </w:rPr>
        <w:t>法律法规</w:t>
      </w:r>
      <w:r>
        <w:rPr>
          <w:rFonts w:hint="eastAsia" w:ascii="宋体" w:hAnsi="宋体" w:eastAsia="宋体" w:cs="Times New Roman"/>
          <w:bCs/>
          <w:sz w:val="24"/>
          <w:szCs w:val="20"/>
          <w:lang w:val="zh-CN" w:eastAsia="zh-CN"/>
        </w:rPr>
        <w:t>确定以下评标办法、程序及标准。</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eastAsia="zh-CN"/>
        </w:rPr>
      </w:pPr>
      <w:bookmarkStart w:id="75" w:name="_Toc272247708"/>
      <w:bookmarkStart w:id="76" w:name="_Toc278891605"/>
      <w:bookmarkStart w:id="77" w:name="_Toc495861493"/>
      <w:bookmarkStart w:id="78" w:name="_Toc30591"/>
      <w:bookmarkStart w:id="79" w:name="_Toc494561961"/>
      <w:r>
        <w:rPr>
          <w:rFonts w:hint="eastAsia" w:cs="Times New Roman" w:asciiTheme="majorEastAsia" w:hAnsiTheme="majorEastAsia"/>
          <w:bCs w:val="0"/>
          <w:sz w:val="30"/>
          <w:szCs w:val="30"/>
          <w:lang w:val="zh-CN" w:eastAsia="zh-CN"/>
        </w:rPr>
        <w:t>评标</w:t>
      </w:r>
      <w:bookmarkEnd w:id="75"/>
      <w:bookmarkEnd w:id="76"/>
      <w:r>
        <w:rPr>
          <w:rFonts w:hint="eastAsia" w:cs="Times New Roman" w:asciiTheme="majorEastAsia" w:hAnsiTheme="majorEastAsia"/>
          <w:bCs w:val="0"/>
          <w:sz w:val="30"/>
          <w:szCs w:val="30"/>
          <w:lang w:val="zh-CN" w:eastAsia="zh-CN"/>
        </w:rPr>
        <w:t>方法</w:t>
      </w:r>
      <w:bookmarkEnd w:id="77"/>
      <w:bookmarkEnd w:id="78"/>
      <w:bookmarkEnd w:id="79"/>
    </w:p>
    <w:p>
      <w:pPr>
        <w:spacing w:line="360" w:lineRule="auto"/>
        <w:ind w:firstLine="480" w:firstLineChars="200"/>
        <w:rPr>
          <w:rFonts w:ascii="宋体" w:hAnsi="宋体" w:eastAsia="宋体" w:cs="Times New Roman"/>
          <w:bCs/>
          <w:sz w:val="24"/>
          <w:szCs w:val="20"/>
          <w:lang w:val="zh-CN" w:eastAsia="zh-CN"/>
        </w:rPr>
      </w:pPr>
      <w:r>
        <w:rPr>
          <w:rFonts w:hint="eastAsia" w:ascii="宋体" w:hAnsi="宋体" w:eastAsia="宋体" w:cs="Times New Roman"/>
          <w:bCs/>
          <w:sz w:val="24"/>
          <w:szCs w:val="20"/>
          <w:lang w:val="zh-CN" w:eastAsia="zh-CN"/>
        </w:rPr>
        <w:t>本项目评标采用</w:t>
      </w:r>
      <w:r>
        <w:rPr>
          <w:rFonts w:hint="eastAsia" w:ascii="宋体" w:hAnsi="宋体" w:eastAsia="宋体" w:cs="Times New Roman"/>
          <w:bCs/>
          <w:sz w:val="24"/>
          <w:szCs w:val="20"/>
          <w:lang w:val="zh-CN"/>
        </w:rPr>
        <w:t>最低评标价法</w:t>
      </w:r>
      <w:r>
        <w:rPr>
          <w:rFonts w:hint="eastAsia" w:ascii="宋体" w:hAnsi="宋体" w:eastAsia="宋体" w:cs="Times New Roman"/>
          <w:bCs/>
          <w:sz w:val="24"/>
          <w:szCs w:val="20"/>
          <w:lang w:val="zh-CN" w:eastAsia="zh-CN"/>
        </w:rPr>
        <w:t>，</w:t>
      </w:r>
      <w:r>
        <w:rPr>
          <w:rFonts w:hint="eastAsia" w:ascii="宋体" w:hAnsi="宋体" w:eastAsia="宋体" w:cs="Times New Roman"/>
          <w:bCs/>
          <w:sz w:val="24"/>
          <w:szCs w:val="20"/>
          <w:lang w:val="zh-CN"/>
        </w:rPr>
        <w:t>是指投标文件满足招标文件全部实质性要求，且投标报价最低的投标人为中标候选人的评标方法。</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eastAsia="zh-CN"/>
        </w:rPr>
      </w:pPr>
      <w:bookmarkStart w:id="80" w:name="_Toc272247709"/>
      <w:bookmarkStart w:id="81" w:name="_Toc278891606"/>
      <w:bookmarkStart w:id="82" w:name="_Toc495861494"/>
      <w:bookmarkStart w:id="83" w:name="_Toc494561962"/>
      <w:bookmarkStart w:id="84" w:name="_Toc17085"/>
      <w:r>
        <w:rPr>
          <w:rFonts w:hint="eastAsia" w:cs="Times New Roman" w:asciiTheme="majorEastAsia" w:hAnsiTheme="majorEastAsia"/>
          <w:bCs w:val="0"/>
          <w:sz w:val="30"/>
          <w:szCs w:val="30"/>
          <w:lang w:val="zh-CN" w:eastAsia="zh-CN"/>
        </w:rPr>
        <w:t>评标程序</w:t>
      </w:r>
      <w:bookmarkEnd w:id="80"/>
      <w:bookmarkEnd w:id="81"/>
      <w:r>
        <w:rPr>
          <w:rFonts w:hint="eastAsia" w:cs="Times New Roman" w:asciiTheme="majorEastAsia" w:hAnsiTheme="majorEastAsia"/>
          <w:bCs w:val="0"/>
          <w:sz w:val="30"/>
          <w:szCs w:val="30"/>
          <w:lang w:val="zh-CN" w:eastAsia="zh-CN"/>
        </w:rPr>
        <w:t>及标准</w:t>
      </w:r>
      <w:bookmarkEnd w:id="82"/>
      <w:bookmarkEnd w:id="83"/>
      <w:bookmarkEnd w:id="8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eastAsia="zh-CN"/>
        </w:rPr>
        <w:t>评标委员会按以下工作程序进行评标</w:t>
      </w:r>
      <w:r>
        <w:rPr>
          <w:rFonts w:hint="eastAsia" w:ascii="宋体" w:hAnsi="宋体" w:eastAsia="宋体" w:cs="Times New Roman"/>
          <w:bCs/>
          <w:sz w:val="24"/>
          <w:szCs w:val="20"/>
          <w:lang w:val="zh-CN"/>
        </w:rPr>
        <w:t>：</w:t>
      </w:r>
      <w:r>
        <w:rPr>
          <w:rFonts w:hint="eastAsia" w:ascii="宋体" w:hAnsi="宋体" w:eastAsia="宋体" w:cs="Times New Roman"/>
          <w:sz w:val="24"/>
          <w:szCs w:val="20"/>
          <w:lang w:val="zh-CN"/>
        </w:rPr>
        <w:t>符合性审查、</w:t>
      </w:r>
      <w:r>
        <w:rPr>
          <w:rFonts w:hint="eastAsia" w:ascii="宋体" w:hAnsi="宋体" w:eastAsia="宋体" w:cs="Times New Roman"/>
          <w:sz w:val="24"/>
          <w:szCs w:val="20"/>
          <w:lang w:val="zh-CN" w:eastAsia="zh-CN"/>
        </w:rPr>
        <w:t>澄清有关问题</w:t>
      </w:r>
      <w:r>
        <w:rPr>
          <w:rFonts w:hint="eastAsia" w:ascii="宋体" w:hAnsi="宋体" w:eastAsia="宋体" w:cs="Times New Roman"/>
          <w:sz w:val="24"/>
          <w:szCs w:val="20"/>
          <w:lang w:val="zh-CN"/>
        </w:rPr>
        <w:t>、综合</w:t>
      </w:r>
      <w:r>
        <w:rPr>
          <w:rFonts w:hint="eastAsia" w:ascii="宋体" w:hAnsi="宋体" w:eastAsia="宋体" w:cs="Times New Roman"/>
          <w:sz w:val="24"/>
          <w:szCs w:val="20"/>
          <w:lang w:val="zh-CN" w:eastAsia="zh-CN"/>
        </w:rPr>
        <w:t>比较</w:t>
      </w:r>
      <w:r>
        <w:rPr>
          <w:rFonts w:hint="eastAsia" w:ascii="宋体" w:hAnsi="宋体" w:eastAsia="宋体" w:cs="Times New Roman"/>
          <w:sz w:val="24"/>
          <w:szCs w:val="20"/>
          <w:lang w:val="zh-CN"/>
        </w:rPr>
        <w:t>和</w:t>
      </w:r>
      <w:r>
        <w:rPr>
          <w:rFonts w:hint="eastAsia" w:ascii="宋体" w:hAnsi="宋体" w:eastAsia="宋体" w:cs="Times New Roman"/>
          <w:sz w:val="24"/>
          <w:szCs w:val="20"/>
          <w:lang w:val="zh-CN" w:eastAsia="zh-CN"/>
        </w:rPr>
        <w:t>评价</w:t>
      </w:r>
      <w:r>
        <w:rPr>
          <w:rFonts w:hint="eastAsia" w:ascii="宋体" w:hAnsi="宋体" w:eastAsia="宋体" w:cs="Times New Roman"/>
          <w:sz w:val="24"/>
          <w:szCs w:val="20"/>
          <w:lang w:val="zh-CN"/>
        </w:rPr>
        <w:t>、确定</w:t>
      </w:r>
      <w:r>
        <w:rPr>
          <w:rFonts w:hint="eastAsia" w:ascii="宋体" w:hAnsi="宋体" w:eastAsia="宋体" w:cs="Times New Roman"/>
          <w:sz w:val="24"/>
          <w:szCs w:val="20"/>
          <w:lang w:val="zh-CN" w:eastAsia="zh-CN"/>
        </w:rPr>
        <w:t>中标候选人名单。</w:t>
      </w:r>
    </w:p>
    <w:p>
      <w:pPr>
        <w:numPr>
          <w:ilvl w:val="0"/>
          <w:numId w:val="45"/>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eastAsia="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eastAsia="zh-CN"/>
        </w:rPr>
        <w:t>符合性</w:t>
      </w:r>
      <w:r>
        <w:rPr>
          <w:rFonts w:hint="eastAsia" w:ascii="宋体" w:hAnsi="宋体" w:eastAsia="宋体" w:cs="Times New Roman"/>
          <w:bCs/>
          <w:sz w:val="24"/>
          <w:szCs w:val="20"/>
          <w:lang w:val="zh-CN"/>
        </w:rPr>
        <w:t>审查</w:t>
      </w:r>
      <w:r>
        <w:rPr>
          <w:rFonts w:hint="eastAsia" w:ascii="宋体" w:hAnsi="宋体" w:eastAsia="宋体" w:cs="Times New Roman"/>
          <w:bCs/>
          <w:sz w:val="24"/>
          <w:szCs w:val="20"/>
          <w:lang w:val="zh-CN" w:eastAsia="zh-CN"/>
        </w:rPr>
        <w:t>出现下列情形之一的投标</w:t>
      </w:r>
      <w:r>
        <w:rPr>
          <w:rFonts w:hint="eastAsia" w:ascii="宋体" w:hAnsi="宋体" w:eastAsia="宋体" w:cs="Times New Roman"/>
          <w:bCs/>
          <w:sz w:val="24"/>
          <w:szCs w:val="20"/>
          <w:lang w:val="zh-CN"/>
        </w:rPr>
        <w:t>按照</w:t>
      </w:r>
      <w:r>
        <w:rPr>
          <w:rFonts w:hint="eastAsia" w:ascii="宋体" w:hAnsi="宋体" w:eastAsia="宋体" w:cs="Times New Roman"/>
          <w:b/>
          <w:bCs/>
          <w:sz w:val="24"/>
          <w:szCs w:val="20"/>
          <w:lang w:val="zh-CN" w:eastAsia="zh-CN"/>
        </w:rPr>
        <w:t>无效投标</w:t>
      </w:r>
      <w:r>
        <w:rPr>
          <w:rFonts w:hint="eastAsia" w:ascii="宋体" w:hAnsi="宋体" w:eastAsia="宋体" w:cs="Times New Roman"/>
          <w:b/>
          <w:bCs/>
          <w:sz w:val="24"/>
          <w:szCs w:val="20"/>
          <w:lang w:val="zh-CN"/>
        </w:rPr>
        <w:t>处理</w:t>
      </w:r>
      <w:r>
        <w:rPr>
          <w:rFonts w:hint="eastAsia" w:ascii="宋体" w:hAnsi="宋体" w:eastAsia="宋体" w:cs="Times New Roman"/>
          <w:bCs/>
          <w:sz w:val="24"/>
          <w:szCs w:val="20"/>
          <w:lang w:val="zh-CN" w:eastAsia="zh-CN"/>
        </w:rPr>
        <w:t>：</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keepNext w:val="0"/>
        <w:keepLines w:val="0"/>
        <w:pageBreakBefore w:val="0"/>
        <w:widowControl w:val="0"/>
        <w:numPr>
          <w:ilvl w:val="0"/>
          <w:numId w:val="46"/>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keepNext w:val="0"/>
        <w:keepLines w:val="0"/>
        <w:pageBreakBefore w:val="0"/>
        <w:widowControl w:val="0"/>
        <w:numPr>
          <w:ilvl w:val="0"/>
          <w:numId w:val="46"/>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不满足招标文件第三章“项目技术、服务和商务要求”要求的；</w:t>
      </w:r>
    </w:p>
    <w:p>
      <w:pPr>
        <w:keepNext w:val="0"/>
        <w:keepLines w:val="0"/>
        <w:pageBreakBefore w:val="0"/>
        <w:widowControl w:val="0"/>
        <w:numPr>
          <w:ilvl w:val="0"/>
          <w:numId w:val="46"/>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keepNext w:val="0"/>
        <w:keepLines w:val="0"/>
        <w:pageBreakBefore w:val="0"/>
        <w:widowControl w:val="0"/>
        <w:numPr>
          <w:ilvl w:val="0"/>
          <w:numId w:val="46"/>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未按要求提供《符合性审查对照表》、《商务要求响应、偏离说明表》、《技术、服务要求响应、偏离说明表》的；</w:t>
      </w:r>
    </w:p>
    <w:p>
      <w:pPr>
        <w:keepNext w:val="0"/>
        <w:keepLines w:val="0"/>
        <w:pageBreakBefore w:val="0"/>
        <w:widowControl w:val="0"/>
        <w:numPr>
          <w:ilvl w:val="0"/>
          <w:numId w:val="46"/>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keepNext w:val="0"/>
        <w:keepLines w:val="0"/>
        <w:pageBreakBefore w:val="0"/>
        <w:widowControl w:val="0"/>
        <w:numPr>
          <w:ilvl w:val="0"/>
          <w:numId w:val="45"/>
        </w:numPr>
        <w:kinsoku/>
        <w:wordWrap/>
        <w:overflowPunct/>
        <w:topLinePunct w:val="0"/>
        <w:autoSpaceDE/>
        <w:autoSpaceDN/>
        <w:bidi w:val="0"/>
        <w:snapToGrid/>
        <w:spacing w:line="600" w:lineRule="exact"/>
        <w:ind w:left="1311" w:leftChars="154" w:hanging="988" w:hangingChars="353"/>
        <w:textAlignment w:val="auto"/>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评标期间，</w:t>
      </w:r>
      <w:r>
        <w:rPr>
          <w:rFonts w:ascii="Helvetica" w:hAnsi="Helvetica" w:eastAsia="宋体" w:cs="Helvetica"/>
          <w:kern w:val="0"/>
          <w:sz w:val="24"/>
          <w:szCs w:val="24"/>
          <w:lang w:val="zh-CN" w:eastAsia="zh-CN"/>
        </w:rPr>
        <w:t>对于投标文件中含义不明确、同类问题表述不一致或者有明显文字和计算错误的内容，评标委员会应当以书面形式要求投标人作出必要的澄清、说明或者补正。</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投标人应按照评标委员会要求的澄清内容在规定时间内做出澄清。</w:t>
      </w:r>
      <w:r>
        <w:rPr>
          <w:rFonts w:ascii="Helvetica" w:hAnsi="Helvetica" w:eastAsia="宋体" w:cs="Helvetica"/>
          <w:kern w:val="0"/>
          <w:sz w:val="24"/>
          <w:szCs w:val="24"/>
          <w:lang w:val="zh-CN" w:eastAsia="zh-CN"/>
        </w:rPr>
        <w:t>投标文件报价出现前后不一致的</w:t>
      </w:r>
      <w:r>
        <w:rPr>
          <w:rFonts w:hint="eastAsia" w:ascii="Helvetica" w:hAnsi="Helvetica" w:eastAsia="宋体" w:cs="Helvetica"/>
          <w:kern w:val="0"/>
          <w:sz w:val="24"/>
          <w:szCs w:val="24"/>
          <w:lang w:val="zh-CN" w:eastAsia="zh-CN"/>
        </w:rPr>
        <w:t>，按照本节第3条规定进行修正，</w:t>
      </w:r>
      <w:r>
        <w:rPr>
          <w:rFonts w:ascii="Helvetica" w:hAnsi="Helvetica" w:eastAsia="宋体" w:cs="Helvetica"/>
          <w:kern w:val="0"/>
          <w:sz w:val="24"/>
          <w:szCs w:val="24"/>
          <w:lang w:val="zh-CN" w:eastAsia="zh-CN"/>
        </w:rPr>
        <w:t>投标人的澄清、说明或者补正不得超出投标文件的范围或者改变投标文件的实质性内容。</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Helvetica" w:hAnsi="Helvetica" w:eastAsia="宋体" w:cs="Helvetica"/>
          <w:kern w:val="0"/>
          <w:sz w:val="24"/>
          <w:szCs w:val="24"/>
          <w:lang w:val="zh-CN" w:eastAsia="zh-CN"/>
        </w:rPr>
      </w:pPr>
      <w:r>
        <w:rPr>
          <w:rFonts w:ascii="Helvetica" w:hAnsi="Helvetica" w:eastAsia="宋体" w:cs="Helvetica"/>
          <w:kern w:val="0"/>
          <w:sz w:val="24"/>
          <w:szCs w:val="24"/>
          <w:lang w:val="zh-CN" w:eastAsia="zh-CN"/>
        </w:rPr>
        <w:t>投标文件报价出现前后不一致的，按照下列规定修正：</w:t>
      </w:r>
    </w:p>
    <w:p>
      <w:pPr>
        <w:keepNext w:val="0"/>
        <w:keepLines w:val="0"/>
        <w:pageBreakBefore w:val="0"/>
        <w:widowControl w:val="0"/>
        <w:numPr>
          <w:ilvl w:val="0"/>
          <w:numId w:val="48"/>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8"/>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大写金额和小写金额不一致的，以大写金额为准</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8"/>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8"/>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总价金额与按单价汇总金额不一致的，以单价金额计算结果为准</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8"/>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同时出现两种以上不一致的，按照前款规定的顺序修正</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8"/>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修正后的报价按照</w:t>
      </w:r>
      <w:r>
        <w:rPr>
          <w:rFonts w:hint="eastAsia" w:ascii="宋体" w:hAnsi="宋体" w:eastAsia="宋体" w:cs="Times New Roman"/>
          <w:color w:val="0D0D0D"/>
          <w:sz w:val="24"/>
          <w:szCs w:val="24"/>
          <w:lang w:val="zh-CN" w:eastAsia="zh-CN"/>
        </w:rPr>
        <w:t>本节第</w:t>
      </w:r>
      <w:r>
        <w:rPr>
          <w:rFonts w:hint="eastAsia" w:ascii="宋体" w:hAnsi="宋体" w:eastAsia="宋体" w:cs="Times New Roman"/>
          <w:color w:val="0D0D0D"/>
          <w:sz w:val="24"/>
          <w:szCs w:val="24"/>
          <w:lang w:val="zh-CN"/>
        </w:rPr>
        <w:t>4</w:t>
      </w:r>
      <w:r>
        <w:rPr>
          <w:rFonts w:hint="eastAsia" w:ascii="宋体" w:hAnsi="宋体" w:eastAsia="宋体" w:cs="Times New Roman"/>
          <w:color w:val="0D0D0D"/>
          <w:sz w:val="24"/>
          <w:szCs w:val="24"/>
          <w:lang w:val="zh-CN" w:eastAsia="zh-CN"/>
        </w:rPr>
        <w:t>条规定</w:t>
      </w:r>
      <w:r>
        <w:rPr>
          <w:rFonts w:ascii="宋体" w:hAnsi="宋体" w:eastAsia="宋体" w:cs="Times New Roman"/>
          <w:color w:val="0D0D0D"/>
          <w:sz w:val="24"/>
          <w:szCs w:val="24"/>
          <w:lang w:val="zh-CN" w:eastAsia="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eastAsia="zh-CN"/>
        </w:rPr>
        <w:t>无效</w:t>
      </w:r>
      <w:r>
        <w:rPr>
          <w:rFonts w:hint="eastAsia" w:ascii="宋体" w:hAnsi="宋体" w:eastAsia="宋体" w:cs="Times New Roman"/>
          <w:b/>
          <w:color w:val="0D0D0D"/>
          <w:sz w:val="24"/>
          <w:szCs w:val="24"/>
          <w:lang w:val="zh-CN" w:eastAsia="zh-CN"/>
        </w:rPr>
        <w:t>投标处理</w:t>
      </w:r>
      <w:r>
        <w:rPr>
          <w:rFonts w:ascii="宋体" w:hAnsi="宋体" w:eastAsia="宋体" w:cs="Times New Roman"/>
          <w:color w:val="0D0D0D"/>
          <w:sz w:val="24"/>
          <w:szCs w:val="24"/>
          <w:lang w:val="zh-CN" w:eastAsia="zh-CN"/>
        </w:rPr>
        <w:t>。</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5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投标人的</w:t>
      </w:r>
      <w:r>
        <w:rPr>
          <w:rFonts w:ascii="Helvetica" w:hAnsi="Helvetica" w:eastAsia="宋体" w:cs="Helvetica"/>
          <w:kern w:val="0"/>
          <w:sz w:val="24"/>
          <w:szCs w:val="24"/>
          <w:lang w:val="zh-CN" w:eastAsia="zh-CN"/>
        </w:rPr>
        <w:t>澄清、说明或者补正</w:t>
      </w:r>
      <w:r>
        <w:rPr>
          <w:rFonts w:hint="eastAsia" w:ascii="Helvetica" w:hAnsi="Helvetica" w:eastAsia="宋体" w:cs="Helvetica"/>
          <w:kern w:val="0"/>
          <w:sz w:val="24"/>
          <w:szCs w:val="24"/>
          <w:lang w:val="zh-CN" w:eastAsia="zh-CN"/>
        </w:rPr>
        <w:t>是其投标文件的有效组成部分。</w:t>
      </w:r>
      <w:r>
        <w:rPr>
          <w:rFonts w:ascii="Helvetica" w:hAnsi="Helvetica" w:eastAsia="宋体" w:cs="Helvetica"/>
          <w:kern w:val="0"/>
          <w:sz w:val="24"/>
          <w:szCs w:val="24"/>
          <w:lang w:val="zh-CN" w:eastAsia="zh-CN"/>
        </w:rPr>
        <w:t>投标人的澄清、说明或者补正应当采用书面形式，并加盖公章，或者由法定代表人或其授权的代表签字。</w:t>
      </w:r>
    </w:p>
    <w:p>
      <w:pPr>
        <w:keepNext w:val="0"/>
        <w:keepLines w:val="0"/>
        <w:pageBreakBefore w:val="0"/>
        <w:widowControl w:val="0"/>
        <w:numPr>
          <w:ilvl w:val="0"/>
          <w:numId w:val="45"/>
        </w:numPr>
        <w:kinsoku/>
        <w:wordWrap/>
        <w:overflowPunct/>
        <w:topLinePunct w:val="0"/>
        <w:autoSpaceDE/>
        <w:autoSpaceDN/>
        <w:bidi w:val="0"/>
        <w:snapToGrid/>
        <w:spacing w:line="500" w:lineRule="exact"/>
        <w:ind w:left="1311" w:leftChars="154" w:hanging="988" w:hangingChars="353"/>
        <w:textAlignment w:val="auto"/>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rPr>
          <w:rFonts w:ascii="宋体" w:hAnsi="宋体" w:eastAsia="宋体" w:cs="Times New Roman"/>
          <w:bCs/>
          <w:sz w:val="24"/>
          <w:szCs w:val="24"/>
        </w:rPr>
      </w:pPr>
      <w:r>
        <w:rPr>
          <w:rFonts w:ascii="宋体" w:hAnsi="宋体" w:eastAsia="宋体" w:cs="Times New Roman"/>
          <w:bCs/>
          <w:sz w:val="24"/>
          <w:szCs w:val="20"/>
          <w:lang w:val="zh-CN" w:eastAsia="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eastAsia="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eastAsia="zh-CN"/>
        </w:rPr>
        <w:t>，</w:t>
      </w:r>
      <w:r>
        <w:rPr>
          <w:rFonts w:hint="eastAsia" w:ascii="宋体" w:hAnsi="宋体" w:eastAsia="宋体" w:cs="Times New Roman"/>
          <w:bCs/>
          <w:sz w:val="24"/>
          <w:szCs w:val="24"/>
        </w:rPr>
        <w:t>对符合性审查合格的投标文件进行价格评议，即满足招标文件全部实质性要求按投标报价（落实政府采购政策进行价格调整的，以调整后的价格计算）由低到高顺序排列。</w:t>
      </w:r>
    </w:p>
    <w:p>
      <w:pPr>
        <w:keepNext w:val="0"/>
        <w:keepLines w:val="0"/>
        <w:pageBreakBefore w:val="0"/>
        <w:widowControl w:val="0"/>
        <w:numPr>
          <w:ilvl w:val="0"/>
          <w:numId w:val="49"/>
        </w:numPr>
        <w:tabs>
          <w:tab w:val="left" w:pos="616"/>
        </w:tabs>
        <w:kinsoku/>
        <w:wordWrap/>
        <w:overflowPunct/>
        <w:topLinePunct w:val="0"/>
        <w:autoSpaceDE/>
        <w:autoSpaceDN/>
        <w:bidi w:val="0"/>
        <w:snapToGrid/>
        <w:spacing w:line="5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报价合理性说明</w:t>
      </w:r>
    </w:p>
    <w:p>
      <w:pPr>
        <w:keepNext w:val="0"/>
        <w:keepLines w:val="0"/>
        <w:pageBreakBefore w:val="0"/>
        <w:widowControl w:val="0"/>
        <w:tabs>
          <w:tab w:val="left" w:pos="616"/>
        </w:tabs>
        <w:kinsoku/>
        <w:wordWrap/>
        <w:overflowPunct/>
        <w:topLinePunct w:val="0"/>
        <w:autoSpaceDE/>
        <w:autoSpaceDN/>
        <w:bidi w:val="0"/>
        <w:snapToGrid/>
        <w:spacing w:line="500" w:lineRule="exact"/>
        <w:ind w:firstLine="480" w:firstLineChars="200"/>
        <w:textAlignment w:val="auto"/>
        <w:rPr>
          <w:rFonts w:ascii="宋体" w:hAnsi="宋体" w:eastAsia="宋体" w:cs="Times New Roman"/>
          <w:sz w:val="24"/>
          <w:szCs w:val="20"/>
          <w:lang w:val="zh-CN" w:eastAsia="zh-CN"/>
        </w:rPr>
      </w:pPr>
      <w:r>
        <w:rPr>
          <w:rFonts w:ascii="宋体" w:hAnsi="宋体" w:eastAsia="宋体" w:cs="Times New Roman"/>
          <w:sz w:val="24"/>
          <w:szCs w:val="20"/>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Times New Roman"/>
          <w:sz w:val="24"/>
          <w:szCs w:val="20"/>
          <w:lang w:val="zh-CN" w:eastAsia="zh-CN"/>
        </w:rPr>
        <w:t>应当将其作为</w:t>
      </w:r>
      <w:r>
        <w:rPr>
          <w:rFonts w:ascii="宋体" w:hAnsi="宋体" w:eastAsia="宋体" w:cs="Times New Roman"/>
          <w:sz w:val="24"/>
          <w:szCs w:val="20"/>
          <w:lang w:val="zh-CN" w:eastAsia="zh-CN"/>
        </w:rPr>
        <w:t>无效投标处理。</w:t>
      </w:r>
    </w:p>
    <w:p>
      <w:pPr>
        <w:keepNext w:val="0"/>
        <w:keepLines w:val="0"/>
        <w:pageBreakBefore w:val="0"/>
        <w:widowControl w:val="0"/>
        <w:numPr>
          <w:ilvl w:val="0"/>
          <w:numId w:val="49"/>
        </w:numPr>
        <w:tabs>
          <w:tab w:val="left" w:pos="616"/>
        </w:tabs>
        <w:kinsoku/>
        <w:wordWrap/>
        <w:overflowPunct/>
        <w:topLinePunct w:val="0"/>
        <w:autoSpaceDE/>
        <w:autoSpaceDN/>
        <w:bidi w:val="0"/>
        <w:snapToGrid/>
        <w:spacing w:line="5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小型和微型企业、监狱企业、残疾人福利性单位价格扣除：</w:t>
      </w:r>
    </w:p>
    <w:p>
      <w:pPr>
        <w:keepNext w:val="0"/>
        <w:keepLines w:val="0"/>
        <w:pageBreakBefore w:val="0"/>
        <w:widowControl w:val="0"/>
        <w:numPr>
          <w:ilvl w:val="0"/>
          <w:numId w:val="50"/>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hint="eastAsia" w:ascii="宋体" w:hAnsi="宋体" w:eastAsia="宋体" w:cs="Times New Roman"/>
          <w:color w:val="0D0D0D"/>
          <w:sz w:val="24"/>
          <w:szCs w:val="24"/>
          <w:lang w:val="zh-CN" w:eastAsia="zh-CN"/>
        </w:rPr>
        <w:t>非专门面向中小企业的货物类采购项目，按招标文件中采购清单确定的货物，对小型和微型企业制造的货物价格给予6%的扣除，用扣除后的价格参与评审。</w:t>
      </w:r>
    </w:p>
    <w:p>
      <w:pPr>
        <w:keepNext w:val="0"/>
        <w:keepLines w:val="0"/>
        <w:pageBreakBefore w:val="0"/>
        <w:widowControl w:val="0"/>
        <w:numPr>
          <w:ilvl w:val="0"/>
          <w:numId w:val="50"/>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hint="eastAsia" w:ascii="宋体" w:hAnsi="宋体" w:eastAsia="宋体" w:cs="Times New Roman"/>
          <w:color w:val="0D0D0D"/>
          <w:sz w:val="24"/>
          <w:szCs w:val="24"/>
          <w:lang w:val="zh-CN" w:eastAsia="zh-CN"/>
        </w:rPr>
        <w:t>非专门面向中小企业的工程、服务类采购项目，投标人是小型和微型企业的价格给予6%的扣除，用扣除后的价格参与评审。</w:t>
      </w:r>
    </w:p>
    <w:p>
      <w:pPr>
        <w:keepNext w:val="0"/>
        <w:keepLines w:val="0"/>
        <w:pageBreakBefore w:val="0"/>
        <w:widowControl w:val="0"/>
        <w:numPr>
          <w:ilvl w:val="0"/>
          <w:numId w:val="50"/>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3%的价格扣除</w:t>
      </w:r>
      <w:r>
        <w:rPr>
          <w:rFonts w:hint="eastAsia" w:ascii="宋体" w:hAnsi="宋体" w:eastAsia="宋体" w:cs="Times New Roman"/>
          <w:color w:val="0D0D0D"/>
          <w:sz w:val="24"/>
          <w:szCs w:val="24"/>
          <w:lang w:val="zh-CN" w:eastAsia="zh-CN"/>
        </w:rPr>
        <w:t>，不重复享受政策。</w:t>
      </w:r>
    </w:p>
    <w:p>
      <w:pPr>
        <w:keepNext w:val="0"/>
        <w:keepLines w:val="0"/>
        <w:pageBreakBefore w:val="0"/>
        <w:widowControl w:val="0"/>
        <w:numPr>
          <w:ilvl w:val="0"/>
          <w:numId w:val="50"/>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监狱企业</w:t>
      </w:r>
      <w:r>
        <w:rPr>
          <w:rFonts w:hint="eastAsia" w:ascii="宋体" w:hAnsi="宋体" w:eastAsia="宋体" w:cs="Times New Roman"/>
          <w:color w:val="0D0D0D"/>
          <w:sz w:val="24"/>
          <w:szCs w:val="24"/>
          <w:lang w:val="zh-CN" w:eastAsia="zh-CN"/>
        </w:rPr>
        <w:t>、残疾人福利性单位</w:t>
      </w:r>
      <w:r>
        <w:rPr>
          <w:rFonts w:ascii="宋体" w:hAnsi="宋体" w:eastAsia="宋体" w:cs="Times New Roman"/>
          <w:color w:val="0D0D0D"/>
          <w:sz w:val="24"/>
          <w:szCs w:val="24"/>
          <w:lang w:val="zh-CN" w:eastAsia="zh-CN"/>
        </w:rPr>
        <w:t>视同小型、微型企业，享受预留份额、评审中价格扣除等政府采购促进中小企业发展的政府采购政策</w:t>
      </w:r>
      <w:r>
        <w:rPr>
          <w:rFonts w:hint="eastAsia" w:ascii="宋体" w:hAnsi="宋体" w:eastAsia="宋体" w:cs="Times New Roman"/>
          <w:color w:val="0D0D0D"/>
          <w:sz w:val="24"/>
          <w:szCs w:val="24"/>
          <w:lang w:val="zh-CN" w:eastAsia="zh-CN"/>
        </w:rPr>
        <w:t>，残疾人福利性单位属于小型、微型企业的，不重复享受政策。</w:t>
      </w:r>
    </w:p>
    <w:p>
      <w:pPr>
        <w:keepNext w:val="0"/>
        <w:keepLines w:val="0"/>
        <w:pageBreakBefore w:val="0"/>
        <w:widowControl w:val="0"/>
        <w:numPr>
          <w:ilvl w:val="0"/>
          <w:numId w:val="50"/>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hint="eastAsia" w:ascii="宋体" w:hAnsi="宋体" w:eastAsia="宋体" w:cs="Times New Roman"/>
          <w:color w:val="0D0D0D"/>
          <w:sz w:val="24"/>
          <w:szCs w:val="24"/>
          <w:lang w:val="zh-CN" w:eastAsia="zh-CN"/>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相同品牌处理原则</w:t>
      </w:r>
    </w:p>
    <w:p>
      <w:pPr>
        <w:numPr>
          <w:ilvl w:val="0"/>
          <w:numId w:val="51"/>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bCs/>
          <w:color w:val="0D0D0D"/>
          <w:kern w:val="0"/>
          <w:sz w:val="24"/>
          <w:szCs w:val="24"/>
          <w:lang w:eastAsia="zh-CN"/>
        </w:rPr>
        <w:t>提供相同品牌产品的不同投标人参加同一合同项下投标的，以其中通过资格审查、符合性审查且报价最低的参加评标；报价相同的</w:t>
      </w:r>
      <w:r>
        <w:rPr>
          <w:rFonts w:ascii="Helvetica" w:hAnsi="Helvetica" w:eastAsia="宋体" w:cs="Helvetica"/>
          <w:color w:val="0D0D0D"/>
          <w:kern w:val="0"/>
          <w:sz w:val="24"/>
          <w:szCs w:val="24"/>
          <w:lang w:val="zh-CN" w:eastAsia="zh-CN"/>
        </w:rPr>
        <w:t>，由采购人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eastAsia="zh-CN"/>
        </w:rPr>
        <w:t>或者采购人委托评标委员会</w:t>
      </w:r>
      <w:r>
        <w:rPr>
          <w:rFonts w:hint="eastAsia" w:ascii="Helvetica" w:hAnsi="Helvetica" w:eastAsia="宋体" w:cs="Helvetica"/>
          <w:color w:val="0D0D0D"/>
          <w:kern w:val="0"/>
          <w:sz w:val="24"/>
          <w:szCs w:val="24"/>
          <w:lang w:val="zh-CN" w:eastAsia="zh-CN"/>
        </w:rPr>
        <w:t>以投票</w:t>
      </w:r>
      <w:r>
        <w:rPr>
          <w:rFonts w:hint="eastAsia" w:ascii="Helvetica" w:hAnsi="Helvetica" w:eastAsia="宋体" w:cs="Helvetica"/>
          <w:color w:val="0D0D0D"/>
          <w:kern w:val="0"/>
          <w:sz w:val="24"/>
          <w:szCs w:val="24"/>
          <w:lang w:val="zh-CN"/>
        </w:rPr>
        <w:t>方式</w:t>
      </w:r>
      <w:r>
        <w:rPr>
          <w:rFonts w:ascii="Helvetica" w:hAnsi="Helvetica" w:eastAsia="宋体" w:cs="Helvetica"/>
          <w:color w:val="0D0D0D"/>
          <w:kern w:val="0"/>
          <w:sz w:val="24"/>
          <w:szCs w:val="24"/>
          <w:lang w:val="zh-CN" w:eastAsia="zh-CN"/>
        </w:rPr>
        <w:t>确定一个</w:t>
      </w:r>
      <w:r>
        <w:rPr>
          <w:rFonts w:hint="eastAsia" w:ascii="Helvetica" w:hAnsi="Helvetica" w:eastAsia="宋体" w:cs="Helvetica"/>
          <w:color w:val="0D0D0D"/>
          <w:kern w:val="0"/>
          <w:sz w:val="24"/>
          <w:szCs w:val="24"/>
          <w:lang w:val="zh-CN"/>
        </w:rPr>
        <w:t>参加评标的</w:t>
      </w:r>
      <w:r>
        <w:rPr>
          <w:rFonts w:ascii="Helvetica" w:hAnsi="Helvetica" w:eastAsia="宋体" w:cs="Helvetica"/>
          <w:color w:val="0D0D0D"/>
          <w:kern w:val="0"/>
          <w:sz w:val="24"/>
          <w:szCs w:val="24"/>
          <w:lang w:val="zh-CN" w:eastAsia="zh-CN"/>
        </w:rPr>
        <w:t>投标人，其他</w:t>
      </w:r>
      <w:r>
        <w:rPr>
          <w:rFonts w:hint="eastAsia" w:ascii="Helvetica" w:hAnsi="Helvetica" w:eastAsia="宋体" w:cs="Helvetica"/>
          <w:color w:val="0D0D0D"/>
          <w:kern w:val="0"/>
          <w:sz w:val="24"/>
          <w:szCs w:val="24"/>
          <w:lang w:val="zh-CN"/>
        </w:rPr>
        <w:t>投标无效</w:t>
      </w:r>
      <w:r>
        <w:rPr>
          <w:rFonts w:ascii="Helvetica" w:hAnsi="Helvetica" w:eastAsia="宋体" w:cs="Helvetica"/>
          <w:color w:val="0D0D0D"/>
          <w:kern w:val="0"/>
          <w:sz w:val="24"/>
          <w:szCs w:val="24"/>
          <w:lang w:val="zh-CN" w:eastAsia="zh-CN"/>
        </w:rPr>
        <w:t>。</w:t>
      </w:r>
    </w:p>
    <w:p>
      <w:pPr>
        <w:numPr>
          <w:ilvl w:val="0"/>
          <w:numId w:val="51"/>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eastAsia="zh-CN"/>
        </w:rPr>
        <w:t>非单一产品采购项目，采购人</w:t>
      </w:r>
      <w:r>
        <w:rPr>
          <w:rFonts w:ascii="Helvetica" w:hAnsi="Helvetica" w:eastAsia="宋体" w:cs="Helvetica"/>
          <w:kern w:val="0"/>
          <w:sz w:val="24"/>
          <w:szCs w:val="24"/>
          <w:lang w:val="zh-CN" w:eastAsia="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eastAsia="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ascii="Helvetica" w:hAnsi="Helvetica" w:eastAsia="宋体" w:cs="Helvetica"/>
          <w:kern w:val="0"/>
          <w:sz w:val="24"/>
          <w:szCs w:val="24"/>
          <w:lang w:val="zh-CN" w:eastAsia="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eastAsia="zh-CN"/>
        </w:rPr>
        <w:t>在</w:t>
      </w:r>
      <w:r>
        <w:rPr>
          <w:rFonts w:ascii="Helvetica" w:hAnsi="Helvetica" w:eastAsia="宋体" w:cs="Helvetica"/>
          <w:color w:val="0D0D0D"/>
          <w:kern w:val="0"/>
          <w:sz w:val="24"/>
          <w:szCs w:val="24"/>
          <w:lang w:val="zh-CN" w:eastAsia="zh-CN"/>
        </w:rPr>
        <w:t>招标文件中</w:t>
      </w:r>
      <w:r>
        <w:rPr>
          <w:rFonts w:hint="eastAsia" w:ascii="Helvetica" w:hAnsi="Helvetica" w:eastAsia="宋体" w:cs="Helvetica"/>
          <w:color w:val="0D0D0D"/>
          <w:kern w:val="0"/>
          <w:sz w:val="24"/>
          <w:szCs w:val="24"/>
          <w:lang w:val="zh-CN" w:eastAsia="zh-CN"/>
        </w:rPr>
        <w:t>标注</w:t>
      </w:r>
      <w:r>
        <w:rPr>
          <w:rFonts w:ascii="Helvetica" w:hAnsi="Helvetica" w:eastAsia="宋体" w:cs="Helvetica"/>
          <w:color w:val="0D0D0D"/>
          <w:kern w:val="0"/>
          <w:sz w:val="24"/>
          <w:szCs w:val="24"/>
          <w:lang w:val="zh-CN" w:eastAsia="zh-CN"/>
        </w:rPr>
        <w:t>。</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2"/>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评标委员会按照招标文件确定的评标方法、程序及标准，对投标文件进行评审。</w:t>
      </w:r>
      <w:r>
        <w:rPr>
          <w:rFonts w:ascii="Helvetica" w:hAnsi="Helvetica" w:eastAsia="宋体" w:cs="Helvetica"/>
          <w:kern w:val="0"/>
          <w:sz w:val="24"/>
          <w:szCs w:val="24"/>
          <w:lang w:val="zh-CN" w:eastAsia="zh-CN"/>
        </w:rPr>
        <w:t>评标结果按投标报价由低到高顺序排列。投标报价相同的并列。投标文件满足招标文件全部实质性要求且投标报价最低的投标人为排名第一的中标候选人</w:t>
      </w:r>
      <w:r>
        <w:rPr>
          <w:rFonts w:hint="eastAsia" w:ascii="Helvetica" w:hAnsi="Helvetica" w:eastAsia="宋体" w:cs="Helvetica"/>
          <w:kern w:val="0"/>
          <w:sz w:val="24"/>
          <w:szCs w:val="24"/>
          <w:lang w:val="zh-CN" w:eastAsia="zh-CN"/>
        </w:rPr>
        <w:t>。</w:t>
      </w:r>
    </w:p>
    <w:p>
      <w:pPr>
        <w:numPr>
          <w:ilvl w:val="0"/>
          <w:numId w:val="52"/>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评标委员会依据评标结果，按各投标人的评审后投标报价由低到高的顺序向采购人推荐前三名的进入中标候选人名单，并形成书面的评标报告。</w:t>
      </w:r>
    </w:p>
    <w:p>
      <w:pPr>
        <w:numPr>
          <w:ilvl w:val="0"/>
          <w:numId w:val="52"/>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中标候选人并列的，</w:t>
      </w:r>
      <w:r>
        <w:rPr>
          <w:rFonts w:ascii="Helvetica" w:hAnsi="Helvetica" w:eastAsia="宋体" w:cs="Helvetica"/>
          <w:kern w:val="0"/>
          <w:sz w:val="24"/>
          <w:szCs w:val="24"/>
          <w:lang w:val="zh-CN" w:eastAsia="zh-CN"/>
        </w:rPr>
        <w:t>由采购人</w:t>
      </w:r>
      <w:r>
        <w:rPr>
          <w:rFonts w:hint="eastAsia" w:ascii="Helvetica" w:hAnsi="Helvetica" w:eastAsia="宋体" w:cs="Helvetica"/>
          <w:kern w:val="0"/>
          <w:sz w:val="24"/>
          <w:szCs w:val="24"/>
          <w:lang w:val="zh-CN" w:eastAsia="zh-CN"/>
        </w:rPr>
        <w:t>确定</w:t>
      </w:r>
      <w:r>
        <w:rPr>
          <w:rFonts w:ascii="Helvetica" w:hAnsi="Helvetica" w:eastAsia="宋体" w:cs="Helvetica"/>
          <w:kern w:val="0"/>
          <w:sz w:val="24"/>
          <w:szCs w:val="24"/>
          <w:lang w:val="zh-CN" w:eastAsia="zh-CN"/>
        </w:rPr>
        <w:t>或者采购人委托评标委员会</w:t>
      </w:r>
      <w:r>
        <w:rPr>
          <w:rFonts w:hint="eastAsia" w:ascii="Helvetica" w:hAnsi="Helvetica" w:eastAsia="宋体" w:cs="Helvetica"/>
          <w:kern w:val="0"/>
          <w:sz w:val="24"/>
          <w:szCs w:val="24"/>
          <w:lang w:val="zh-CN" w:eastAsia="zh-CN"/>
        </w:rPr>
        <w:t>以投票方式</w:t>
      </w:r>
      <w:r>
        <w:rPr>
          <w:rFonts w:ascii="Helvetica" w:hAnsi="Helvetica" w:eastAsia="宋体" w:cs="Helvetica"/>
          <w:kern w:val="0"/>
          <w:sz w:val="24"/>
          <w:szCs w:val="24"/>
          <w:lang w:val="zh-CN" w:eastAsia="zh-CN"/>
        </w:rPr>
        <w:t>确定中标人。</w:t>
      </w:r>
    </w:p>
    <w:p>
      <w:pPr>
        <w:numPr>
          <w:ilvl w:val="0"/>
          <w:numId w:val="52"/>
        </w:numPr>
        <w:tabs>
          <w:tab w:val="left" w:pos="616"/>
        </w:tabs>
        <w:spacing w:line="360" w:lineRule="auto"/>
        <w:ind w:left="10" w:leftChars="5" w:firstLine="237" w:firstLineChars="99"/>
      </w:pPr>
      <w:r>
        <w:rPr>
          <w:rFonts w:hint="eastAsia" w:ascii="Helvetica" w:hAnsi="Helvetica" w:eastAsia="宋体" w:cs="Helvetica"/>
          <w:kern w:val="0"/>
          <w:sz w:val="24"/>
          <w:szCs w:val="24"/>
          <w:lang w:val="zh-CN" w:eastAsia="zh-CN"/>
        </w:rPr>
        <w:t>评标委员会应当在评标报告上签字，对自己的评审意见承担法律责任。对评标报告有异议的，应当在评标报告上签署不同意见，并说明理由，否则视为同意评标报告。</w:t>
      </w:r>
    </w:p>
    <w:p>
      <w:r>
        <w:br w:type="page"/>
      </w:r>
    </w:p>
    <w:p>
      <w:pPr>
        <w:pStyle w:val="3"/>
        <w:numPr>
          <w:ilvl w:val="0"/>
          <w:numId w:val="1"/>
        </w:numPr>
        <w:jc w:val="center"/>
        <w:rPr>
          <w:rFonts w:ascii="黑体" w:hAnsi="黑体" w:eastAsia="黑体"/>
        </w:rPr>
      </w:pPr>
      <w:bookmarkStart w:id="85" w:name="_Toc494665546"/>
      <w:bookmarkStart w:id="86" w:name="_Toc494702263"/>
      <w:bookmarkStart w:id="87" w:name="_Toc495861545"/>
      <w:bookmarkStart w:id="88" w:name="_Toc494665943"/>
      <w:bookmarkStart w:id="89" w:name="_Toc494745310"/>
      <w:bookmarkStart w:id="90" w:name="_Toc494664993"/>
      <w:bookmarkStart w:id="91" w:name="_Toc494721093"/>
      <w:bookmarkStart w:id="92" w:name="_Toc22421"/>
      <w:r>
        <w:rPr>
          <w:rFonts w:hint="eastAsia" w:ascii="黑体" w:hAnsi="黑体" w:eastAsia="黑体"/>
        </w:rPr>
        <w:t>合同书格式（参考）</w:t>
      </w:r>
      <w:bookmarkEnd w:id="85"/>
      <w:bookmarkEnd w:id="86"/>
      <w:bookmarkEnd w:id="87"/>
      <w:bookmarkEnd w:id="88"/>
      <w:bookmarkEnd w:id="89"/>
      <w:bookmarkEnd w:id="90"/>
      <w:bookmarkEnd w:id="91"/>
      <w:bookmarkEnd w:id="92"/>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5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keepNext w:val="0"/>
        <w:keepLines w:val="0"/>
        <w:pageBreakBefore w:val="0"/>
        <w:widowControl w:val="0"/>
        <w:numPr>
          <w:ilvl w:val="0"/>
          <w:numId w:val="55"/>
        </w:numPr>
        <w:kinsoku/>
        <w:wordWrap/>
        <w:overflowPunct/>
        <w:topLinePunct w:val="0"/>
        <w:bidi w:val="0"/>
        <w:adjustRightInd/>
        <w:snapToGrid/>
        <w:spacing w:beforeLines="25" w:line="460" w:lineRule="exact"/>
        <w:ind w:left="1358" w:hanging="724"/>
        <w:textAlignment w:val="auto"/>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keepNext w:val="0"/>
        <w:keepLines w:val="0"/>
        <w:pageBreakBefore w:val="0"/>
        <w:widowControl w:val="0"/>
        <w:numPr>
          <w:ilvl w:val="0"/>
          <w:numId w:val="55"/>
        </w:numPr>
        <w:kinsoku/>
        <w:wordWrap/>
        <w:overflowPunct/>
        <w:topLinePunct w:val="0"/>
        <w:bidi w:val="0"/>
        <w:adjustRightInd/>
        <w:snapToGrid/>
        <w:spacing w:beforeLines="25" w:line="460" w:lineRule="exact"/>
        <w:ind w:left="1358" w:hanging="724"/>
        <w:textAlignment w:val="auto"/>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keepNext w:val="0"/>
        <w:keepLines w:val="0"/>
        <w:pageBreakBefore w:val="0"/>
        <w:widowControl w:val="0"/>
        <w:numPr>
          <w:ilvl w:val="0"/>
          <w:numId w:val="55"/>
        </w:numPr>
        <w:kinsoku/>
        <w:wordWrap/>
        <w:overflowPunct/>
        <w:topLinePunct w:val="0"/>
        <w:bidi w:val="0"/>
        <w:adjustRightInd/>
        <w:snapToGrid/>
        <w:spacing w:beforeLines="25" w:line="460" w:lineRule="exact"/>
        <w:ind w:left="1358" w:hanging="724"/>
        <w:textAlignment w:val="auto"/>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keepNext w:val="0"/>
        <w:keepLines w:val="0"/>
        <w:pageBreakBefore w:val="0"/>
        <w:widowControl w:val="0"/>
        <w:numPr>
          <w:ilvl w:val="0"/>
          <w:numId w:val="55"/>
        </w:numPr>
        <w:kinsoku/>
        <w:wordWrap/>
        <w:overflowPunct/>
        <w:topLinePunct w:val="0"/>
        <w:bidi w:val="0"/>
        <w:adjustRightInd/>
        <w:snapToGrid/>
        <w:spacing w:beforeLines="25" w:line="460" w:lineRule="exact"/>
        <w:ind w:left="1358" w:hanging="724"/>
        <w:textAlignment w:val="auto"/>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keepNext w:val="0"/>
        <w:keepLines w:val="0"/>
        <w:pageBreakBefore w:val="0"/>
        <w:widowControl w:val="0"/>
        <w:numPr>
          <w:ilvl w:val="3"/>
          <w:numId w:val="53"/>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keepNext w:val="0"/>
        <w:keepLines w:val="0"/>
        <w:pageBreakBefore w:val="0"/>
        <w:widowControl w:val="0"/>
        <w:numPr>
          <w:ilvl w:val="3"/>
          <w:numId w:val="53"/>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keepNext w:val="0"/>
        <w:keepLines w:val="0"/>
        <w:pageBreakBefore w:val="0"/>
        <w:widowControl w:val="0"/>
        <w:numPr>
          <w:ilvl w:val="3"/>
          <w:numId w:val="53"/>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keepNext w:val="0"/>
        <w:keepLines w:val="0"/>
        <w:pageBreakBefore w:val="0"/>
        <w:widowControl w:val="0"/>
        <w:numPr>
          <w:ilvl w:val="3"/>
          <w:numId w:val="53"/>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keepNext w:val="0"/>
        <w:keepLines w:val="0"/>
        <w:pageBreakBefore w:val="0"/>
        <w:widowControl w:val="0"/>
        <w:numPr>
          <w:ilvl w:val="3"/>
          <w:numId w:val="53"/>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keepNext w:val="0"/>
        <w:keepLines w:val="0"/>
        <w:pageBreakBefore w:val="0"/>
        <w:widowControl w:val="0"/>
        <w:numPr>
          <w:ilvl w:val="3"/>
          <w:numId w:val="53"/>
        </w:numPr>
        <w:tabs>
          <w:tab w:val="left" w:pos="980"/>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keepNext w:val="0"/>
        <w:keepLines w:val="0"/>
        <w:pageBreakBefore w:val="0"/>
        <w:widowControl w:val="0"/>
        <w:numPr>
          <w:ilvl w:val="3"/>
          <w:numId w:val="53"/>
        </w:numPr>
        <w:tabs>
          <w:tab w:val="left" w:pos="980"/>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keepNext w:val="0"/>
        <w:keepLines w:val="0"/>
        <w:pageBreakBefore w:val="0"/>
        <w:widowControl w:val="0"/>
        <w:numPr>
          <w:ilvl w:val="3"/>
          <w:numId w:val="53"/>
        </w:numPr>
        <w:tabs>
          <w:tab w:val="left" w:pos="980"/>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r>
        <w:br w:type="page"/>
      </w:r>
    </w:p>
    <w:p>
      <w:pPr>
        <w:pStyle w:val="3"/>
        <w:numPr>
          <w:ilvl w:val="0"/>
          <w:numId w:val="1"/>
        </w:numPr>
        <w:jc w:val="center"/>
        <w:rPr>
          <w:rFonts w:ascii="黑体" w:hAnsi="黑体" w:eastAsia="黑体"/>
        </w:rPr>
      </w:pPr>
      <w:bookmarkStart w:id="93" w:name="_Toc495861546"/>
      <w:bookmarkStart w:id="94" w:name="_Toc494702264"/>
      <w:bookmarkStart w:id="95" w:name="_Toc494665547"/>
      <w:bookmarkStart w:id="96" w:name="_Toc494665944"/>
      <w:bookmarkStart w:id="97" w:name="_Toc494721094"/>
      <w:bookmarkStart w:id="98" w:name="_Toc494664994"/>
      <w:bookmarkStart w:id="99" w:name="_Toc494745311"/>
      <w:bookmarkStart w:id="100" w:name="_Toc28099"/>
      <w:r>
        <w:rPr>
          <w:rFonts w:hint="eastAsia" w:ascii="黑体" w:hAnsi="黑体" w:eastAsia="黑体"/>
        </w:rPr>
        <w:t>投标文件格式（参考）</w:t>
      </w:r>
      <w:bookmarkEnd w:id="93"/>
      <w:bookmarkEnd w:id="94"/>
      <w:bookmarkEnd w:id="95"/>
      <w:bookmarkEnd w:id="96"/>
      <w:bookmarkEnd w:id="97"/>
      <w:bookmarkEnd w:id="98"/>
      <w:bookmarkEnd w:id="99"/>
      <w:bookmarkEnd w:id="10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101" w:name="_Toc494665548"/>
      <w:bookmarkStart w:id="102" w:name="_Toc494745312"/>
      <w:bookmarkStart w:id="103" w:name="_Toc494665945"/>
      <w:bookmarkStart w:id="104" w:name="_Toc494721095"/>
      <w:bookmarkStart w:id="105" w:name="_Toc494664995"/>
      <w:bookmarkStart w:id="106" w:name="_Toc495861547"/>
      <w:bookmarkStart w:id="107" w:name="_Toc494702265"/>
      <w:bookmarkStart w:id="108" w:name="_Toc17351"/>
      <w:r>
        <w:rPr>
          <w:rFonts w:hint="eastAsia" w:cs="Times New Roman" w:asciiTheme="majorEastAsia" w:hAnsiTheme="majorEastAsia"/>
          <w:bCs w:val="0"/>
          <w:sz w:val="44"/>
          <w:szCs w:val="44"/>
          <w:lang w:val="zh-CN"/>
        </w:rPr>
        <w:t>第一部分 资格证明文件</w:t>
      </w:r>
      <w:bookmarkEnd w:id="101"/>
      <w:bookmarkEnd w:id="102"/>
      <w:bookmarkEnd w:id="103"/>
      <w:bookmarkEnd w:id="104"/>
      <w:bookmarkEnd w:id="105"/>
      <w:bookmarkEnd w:id="106"/>
      <w:bookmarkEnd w:id="107"/>
      <w:bookmarkEnd w:id="108"/>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70"/>
          <w:szCs w:val="70"/>
        </w:rPr>
      </w:pPr>
      <w:r>
        <w:rPr>
          <w:rFonts w:hint="eastAsia" w:cs="Times New Roman" w:asciiTheme="minorEastAsia" w:hAnsiTheme="minorEastAsia"/>
          <w:b/>
          <w:bCs/>
          <w:sz w:val="96"/>
          <w:szCs w:val="96"/>
        </w:rPr>
        <w:t xml:space="preserve">  </w:t>
      </w:r>
      <w:r>
        <w:rPr>
          <w:rFonts w:hint="eastAsia" w:cs="Times New Roman" w:asciiTheme="minorEastAsia" w:hAnsiTheme="minorEastAsia"/>
          <w:b/>
          <w:bCs/>
          <w:sz w:val="70"/>
          <w:szCs w:val="70"/>
        </w:rPr>
        <w:t>投标人（盖章）</w:t>
      </w:r>
    </w:p>
    <w:p>
      <w:pPr>
        <w:spacing w:line="360" w:lineRule="auto"/>
        <w:ind w:right="1287" w:rightChars="613" w:firstLine="1600" w:firstLineChars="500"/>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hint="eastAsia" w:ascii="宋体" w:hAnsi="宋体" w:eastAsiaTheme="minorEastAsia"/>
          <w:b/>
          <w:sz w:val="36"/>
          <w:szCs w:val="36"/>
          <w:lang w:val="en-US" w:eastAsia="zh-CN"/>
        </w:rPr>
      </w:pPr>
      <w:r>
        <w:rPr>
          <w:rFonts w:hint="eastAsia" w:ascii="宋体" w:hAnsi="宋体"/>
          <w:b/>
          <w:sz w:val="36"/>
          <w:szCs w:val="36"/>
        </w:rPr>
        <w:t xml:space="preserve"> 年 </w:t>
      </w:r>
      <w:r>
        <w:rPr>
          <w:rFonts w:hint="eastAsia" w:ascii="宋体" w:hAnsi="宋体"/>
          <w:b/>
          <w:sz w:val="36"/>
          <w:szCs w:val="36"/>
          <w:lang w:val="en-US" w:eastAsia="zh-CN"/>
        </w:rPr>
        <w:t xml:space="preserve"> </w:t>
      </w:r>
      <w:r>
        <w:rPr>
          <w:rFonts w:hint="eastAsia" w:ascii="宋体" w:hAnsi="宋体"/>
          <w:b/>
          <w:sz w:val="36"/>
          <w:szCs w:val="36"/>
        </w:rPr>
        <w:t>月</w:t>
      </w:r>
      <w:r>
        <w:rPr>
          <w:rFonts w:hint="eastAsia" w:ascii="宋体" w:hAnsi="宋体"/>
          <w:b/>
          <w:sz w:val="36"/>
          <w:szCs w:val="36"/>
          <w:lang w:val="en-US" w:eastAsia="zh-CN"/>
        </w:rPr>
        <w:t xml:space="preserve">  日</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9" w:name="_Toc494721096"/>
      <w:bookmarkStart w:id="110" w:name="_Toc494745313"/>
      <w:bookmarkStart w:id="111" w:name="_Toc494665549"/>
      <w:bookmarkStart w:id="112" w:name="_Toc494664996"/>
      <w:bookmarkStart w:id="113" w:name="_Toc494665946"/>
      <w:bookmarkStart w:id="114" w:name="_Toc494702266"/>
      <w:r>
        <w:rPr>
          <w:rFonts w:hint="eastAsia" w:ascii="黑体" w:hAnsi="黑体" w:eastAsia="黑体" w:cs="Times New Roman"/>
          <w:b/>
          <w:sz w:val="36"/>
          <w:szCs w:val="36"/>
        </w:rPr>
        <w:t>资格证明文件组成</w:t>
      </w:r>
      <w:bookmarkEnd w:id="109"/>
      <w:bookmarkEnd w:id="110"/>
      <w:bookmarkEnd w:id="111"/>
      <w:bookmarkEnd w:id="112"/>
      <w:bookmarkEnd w:id="113"/>
      <w:bookmarkEnd w:id="114"/>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6"/>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6"/>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4"/>
        <w:numPr>
          <w:ilvl w:val="0"/>
          <w:numId w:val="5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4"/>
        <w:numPr>
          <w:ilvl w:val="0"/>
          <w:numId w:val="5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4"/>
        <w:numPr>
          <w:ilvl w:val="0"/>
          <w:numId w:val="5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4"/>
        <w:numPr>
          <w:ilvl w:val="0"/>
          <w:numId w:val="5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4"/>
        <w:numPr>
          <w:ilvl w:val="0"/>
          <w:numId w:val="5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w:t>
      </w:r>
      <w:r>
        <w:rPr>
          <w:rFonts w:hint="eastAsia" w:ascii="宋体" w:hAnsi="宋体" w:eastAsia="宋体" w:cs="Times New Roman"/>
          <w:sz w:val="24"/>
          <w:szCs w:val="24"/>
        </w:rPr>
        <w:t>和“中国政府采购”网站（www.ccgp.gov.cn）政府采购严重违法失信行为记录名单的网页截图</w:t>
      </w:r>
      <w:r>
        <w:rPr>
          <w:rFonts w:hint="eastAsia" w:ascii="宋体" w:hAnsi="宋体" w:eastAsia="宋体" w:cs="Courier New"/>
          <w:color w:val="0D0D0D"/>
          <w:sz w:val="24"/>
          <w:szCs w:val="24"/>
        </w:rPr>
        <w:t>；</w:t>
      </w:r>
    </w:p>
    <w:p>
      <w:pPr>
        <w:numPr>
          <w:ilvl w:val="0"/>
          <w:numId w:val="5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6"/>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w:t>
      </w:r>
      <w:r>
        <w:rPr>
          <w:rFonts w:hint="eastAsia" w:ascii="宋体" w:hAnsi="宋体" w:eastAsia="宋体" w:cs="Times New Roman"/>
          <w:sz w:val="24"/>
          <w:szCs w:val="24"/>
          <w:lang w:eastAsia="zh-CN"/>
        </w:rPr>
        <w:t>打印件</w:t>
      </w:r>
      <w:r>
        <w:rPr>
          <w:rFonts w:hint="eastAsia" w:ascii="宋体" w:hAnsi="宋体" w:eastAsia="宋体" w:cs="Times New Roman"/>
          <w:sz w:val="24"/>
          <w:szCs w:val="24"/>
        </w:rPr>
        <w:t>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both"/>
        <w:rPr>
          <w:rFonts w:cs="Times New Roman" w:asciiTheme="majorEastAsia" w:hAnsiTheme="majorEastAsia"/>
          <w:bCs w:val="0"/>
          <w:sz w:val="44"/>
          <w:szCs w:val="44"/>
          <w:lang w:val="zh-CN"/>
        </w:rPr>
      </w:pPr>
      <w:bookmarkStart w:id="115" w:name="_Toc494664997"/>
      <w:bookmarkStart w:id="116" w:name="_Toc494702267"/>
      <w:bookmarkStart w:id="117" w:name="_Toc494665947"/>
      <w:bookmarkStart w:id="118" w:name="_Toc494721097"/>
      <w:bookmarkStart w:id="119" w:name="_Toc494665550"/>
      <w:bookmarkStart w:id="120" w:name="_Toc494745314"/>
      <w:bookmarkStart w:id="121" w:name="_Toc495861548"/>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bookmarkStart w:id="122" w:name="_Toc29696"/>
      <w:r>
        <w:rPr>
          <w:rFonts w:hint="eastAsia" w:cs="Times New Roman" w:asciiTheme="majorEastAsia" w:hAnsiTheme="majorEastAsia"/>
          <w:bCs w:val="0"/>
          <w:sz w:val="44"/>
          <w:szCs w:val="44"/>
          <w:lang w:val="zh-CN"/>
        </w:rPr>
        <w:t>第二部分 商务文件</w:t>
      </w:r>
      <w:bookmarkEnd w:id="115"/>
      <w:bookmarkEnd w:id="116"/>
      <w:bookmarkEnd w:id="117"/>
      <w:bookmarkEnd w:id="118"/>
      <w:bookmarkEnd w:id="119"/>
      <w:bookmarkEnd w:id="120"/>
      <w:bookmarkEnd w:id="121"/>
      <w:bookmarkEnd w:id="12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hint="eastAsia" w:ascii="宋体" w:hAnsi="宋体" w:eastAsiaTheme="minorEastAsia"/>
          <w:b/>
          <w:sz w:val="36"/>
          <w:szCs w:val="36"/>
          <w:lang w:val="en-US" w:eastAsia="zh-CN"/>
        </w:rPr>
      </w:pPr>
      <w:r>
        <w:rPr>
          <w:rFonts w:hint="eastAsia" w:ascii="宋体" w:hAnsi="宋体"/>
          <w:b/>
          <w:sz w:val="36"/>
          <w:szCs w:val="36"/>
        </w:rPr>
        <w:t xml:space="preserve"> </w:t>
      </w:r>
      <w:r>
        <w:rPr>
          <w:rFonts w:hint="eastAsia" w:ascii="宋体" w:hAnsi="宋体"/>
          <w:b/>
          <w:sz w:val="36"/>
          <w:szCs w:val="36"/>
          <w:lang w:val="en-US" w:eastAsia="zh-CN"/>
        </w:rPr>
        <w:t xml:space="preserve"> </w:t>
      </w:r>
      <w:r>
        <w:rPr>
          <w:rFonts w:hint="eastAsia" w:ascii="宋体" w:hAnsi="宋体"/>
          <w:b/>
          <w:sz w:val="36"/>
          <w:szCs w:val="36"/>
        </w:rPr>
        <w:t xml:space="preserve">年 </w:t>
      </w:r>
      <w:r>
        <w:rPr>
          <w:rFonts w:hint="eastAsia" w:ascii="宋体" w:hAnsi="宋体"/>
          <w:b/>
          <w:sz w:val="36"/>
          <w:szCs w:val="36"/>
          <w:lang w:val="en-US" w:eastAsia="zh-CN"/>
        </w:rPr>
        <w:t xml:space="preserve"> </w:t>
      </w:r>
      <w:r>
        <w:rPr>
          <w:rFonts w:hint="eastAsia" w:ascii="宋体" w:hAnsi="宋体"/>
          <w:b/>
          <w:sz w:val="36"/>
          <w:szCs w:val="36"/>
        </w:rPr>
        <w:t>月</w:t>
      </w:r>
      <w:r>
        <w:rPr>
          <w:rFonts w:hint="eastAsia" w:ascii="宋体" w:hAnsi="宋体"/>
          <w:b/>
          <w:sz w:val="36"/>
          <w:szCs w:val="36"/>
          <w:lang w:val="en-US" w:eastAsia="zh-CN"/>
        </w:rPr>
        <w:t xml:space="preserve">  日</w:t>
      </w:r>
    </w:p>
    <w:p>
      <w:pPr>
        <w:rPr>
          <w:rFonts w:hint="eastAsia" w:ascii="宋体" w:hAnsi="宋体" w:eastAsia="宋体" w:cs="Times New Roman"/>
          <w:b/>
          <w:bCs/>
          <w:sz w:val="30"/>
          <w:szCs w:val="30"/>
          <w:lang w:val="zh-CN"/>
        </w:rPr>
      </w:pPr>
    </w:p>
    <w:p>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23" w:name="_Toc494702268"/>
      <w:bookmarkStart w:id="124" w:name="_Toc494665948"/>
      <w:bookmarkStart w:id="125" w:name="_Toc494665551"/>
      <w:bookmarkStart w:id="126" w:name="_Toc494664998"/>
      <w:bookmarkStart w:id="127" w:name="_Toc494721098"/>
      <w:bookmarkStart w:id="128" w:name="_Toc494745315"/>
      <w:r>
        <w:rPr>
          <w:rFonts w:hint="eastAsia" w:ascii="黑体" w:hAnsi="黑体" w:eastAsia="黑体" w:cs="Times New Roman"/>
          <w:b/>
          <w:sz w:val="36"/>
          <w:szCs w:val="36"/>
        </w:rPr>
        <w:t>商务文件组成</w:t>
      </w:r>
      <w:bookmarkEnd w:id="123"/>
      <w:bookmarkEnd w:id="124"/>
      <w:bookmarkEnd w:id="125"/>
      <w:bookmarkEnd w:id="126"/>
      <w:bookmarkEnd w:id="127"/>
      <w:bookmarkEnd w:id="12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58"/>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58"/>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58"/>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w:t>
      </w:r>
      <w:r>
        <w:rPr>
          <w:rFonts w:hint="eastAsia" w:ascii="宋体" w:hAnsi="宋体" w:eastAsia="宋体" w:cs="Courier New"/>
          <w:color w:val="0D0D0D"/>
          <w:sz w:val="24"/>
          <w:szCs w:val="24"/>
          <w:lang w:eastAsia="zh-CN"/>
        </w:rPr>
        <w:t>九</w:t>
      </w:r>
      <w:r>
        <w:rPr>
          <w:rFonts w:hint="eastAsia" w:ascii="宋体" w:hAnsi="宋体" w:eastAsia="宋体" w:cs="Courier New"/>
          <w:color w:val="0D0D0D"/>
          <w:sz w:val="24"/>
          <w:szCs w:val="24"/>
        </w:rPr>
        <w:t>）；</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w:t>
      </w:r>
      <w:r>
        <w:rPr>
          <w:rFonts w:hint="eastAsia" w:ascii="宋体" w:hAnsi="宋体" w:eastAsia="宋体" w:cs="Courier New"/>
          <w:color w:val="auto"/>
          <w:sz w:val="24"/>
          <w:szCs w:val="24"/>
        </w:rPr>
        <w:t xml:space="preserve">十一 </w:t>
      </w:r>
      <w:r>
        <w:rPr>
          <w:rFonts w:hint="eastAsia" w:ascii="宋体" w:hAnsi="宋体" w:eastAsia="宋体" w:cs="Courier New"/>
          <w:color w:val="0D0D0D"/>
          <w:sz w:val="24"/>
          <w:szCs w:val="24"/>
        </w:rPr>
        <w:t>其他注意事项”中规定禁止情形的书面声明；</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w:t>
      </w:r>
      <w:r>
        <w:rPr>
          <w:rFonts w:hint="eastAsia" w:ascii="宋体" w:hAnsi="宋体" w:eastAsia="宋体" w:cs="Courier New"/>
          <w:color w:val="0D0D0D"/>
          <w:sz w:val="24"/>
          <w:szCs w:val="24"/>
          <w:lang w:eastAsia="zh-CN"/>
        </w:rPr>
        <w:t>一</w:t>
      </w:r>
      <w:r>
        <w:rPr>
          <w:rFonts w:hint="eastAsia" w:ascii="宋体" w:hAnsi="宋体" w:eastAsia="宋体" w:cs="Courier New"/>
          <w:color w:val="0D0D0D"/>
          <w:sz w:val="24"/>
          <w:szCs w:val="24"/>
        </w:rPr>
        <w:t>）；</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w:t>
      </w:r>
      <w:r>
        <w:rPr>
          <w:rFonts w:hint="eastAsia" w:ascii="宋体" w:hAnsi="宋体" w:eastAsia="宋体" w:cs="Courier New"/>
          <w:color w:val="0D0D0D"/>
          <w:sz w:val="24"/>
          <w:szCs w:val="24"/>
          <w:lang w:eastAsia="zh-CN"/>
        </w:rPr>
        <w:t>二</w:t>
      </w:r>
      <w:r>
        <w:rPr>
          <w:rFonts w:hint="eastAsia" w:ascii="宋体" w:hAnsi="宋体" w:eastAsia="宋体" w:cs="Courier New"/>
          <w:color w:val="0D0D0D"/>
          <w:sz w:val="24"/>
          <w:szCs w:val="24"/>
        </w:rPr>
        <w:t>）；</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w:t>
      </w:r>
      <w:r>
        <w:rPr>
          <w:rFonts w:hint="eastAsia" w:ascii="宋体" w:hAnsi="宋体" w:eastAsia="宋体" w:cs="Courier New"/>
          <w:color w:val="0D0D0D"/>
          <w:sz w:val="24"/>
          <w:szCs w:val="24"/>
          <w:lang w:eastAsia="zh-CN"/>
        </w:rPr>
        <w:t>三</w:t>
      </w:r>
      <w:r>
        <w:rPr>
          <w:rFonts w:hint="eastAsia" w:ascii="宋体" w:hAnsi="宋体" w:eastAsia="宋体" w:cs="Courier New"/>
          <w:color w:val="0D0D0D"/>
          <w:sz w:val="24"/>
          <w:szCs w:val="24"/>
        </w:rPr>
        <w:t>）；</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w:t>
      </w:r>
      <w:r>
        <w:rPr>
          <w:rFonts w:hint="eastAsia" w:ascii="宋体" w:hAnsi="宋体" w:eastAsia="宋体" w:cs="Courier New"/>
          <w:color w:val="0D0D0D"/>
          <w:sz w:val="24"/>
          <w:szCs w:val="24"/>
          <w:lang w:eastAsia="zh-CN"/>
        </w:rPr>
        <w:t>四</w:t>
      </w:r>
      <w:r>
        <w:rPr>
          <w:rFonts w:hint="eastAsia" w:ascii="宋体" w:hAnsi="宋体" w:eastAsia="宋体" w:cs="Courier New"/>
          <w:color w:val="0D0D0D"/>
          <w:sz w:val="24"/>
          <w:szCs w:val="24"/>
        </w:rPr>
        <w:t>）；</w:t>
      </w:r>
    </w:p>
    <w:p>
      <w:pPr>
        <w:numPr>
          <w:ilvl w:val="0"/>
          <w:numId w:val="5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w:t>
      </w:r>
      <w:r>
        <w:rPr>
          <w:rFonts w:hint="eastAsia" w:ascii="宋体" w:hAnsi="宋体" w:eastAsia="宋体" w:cs="Courier New"/>
          <w:color w:val="0D0D0D"/>
          <w:sz w:val="24"/>
          <w:szCs w:val="24"/>
          <w:lang w:eastAsia="zh-CN"/>
        </w:rPr>
        <w:t>五</w:t>
      </w:r>
      <w:r>
        <w:rPr>
          <w:rFonts w:hint="eastAsia" w:ascii="宋体" w:hAnsi="宋体" w:eastAsia="宋体" w:cs="Courier New"/>
          <w:color w:val="0D0D0D"/>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129" w:name="_Toc494665552"/>
      <w:bookmarkStart w:id="130" w:name="_Toc494664999"/>
      <w:bookmarkStart w:id="131" w:name="_Toc495861549"/>
      <w:bookmarkStart w:id="132" w:name="_Toc494745316"/>
      <w:bookmarkStart w:id="133" w:name="_Toc494721099"/>
      <w:bookmarkStart w:id="134" w:name="_Toc494702269"/>
      <w:bookmarkStart w:id="135" w:name="_Toc49466594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bookmarkStart w:id="136" w:name="_Toc6327"/>
      <w:r>
        <w:rPr>
          <w:rFonts w:hint="eastAsia" w:cs="Times New Roman" w:asciiTheme="majorEastAsia" w:hAnsiTheme="majorEastAsia"/>
          <w:bCs w:val="0"/>
          <w:sz w:val="44"/>
          <w:szCs w:val="44"/>
          <w:lang w:val="zh-CN"/>
        </w:rPr>
        <w:t>第三部分 技术、服务文件</w:t>
      </w:r>
      <w:bookmarkEnd w:id="129"/>
      <w:bookmarkEnd w:id="130"/>
      <w:bookmarkEnd w:id="131"/>
      <w:bookmarkEnd w:id="132"/>
      <w:bookmarkEnd w:id="133"/>
      <w:bookmarkEnd w:id="134"/>
      <w:bookmarkEnd w:id="135"/>
      <w:bookmarkEnd w:id="136"/>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hint="default" w:ascii="宋体" w:hAnsi="宋体" w:eastAsiaTheme="minorEastAsia"/>
          <w:b/>
          <w:sz w:val="36"/>
          <w:szCs w:val="36"/>
          <w:lang w:val="en-US" w:eastAsia="zh-CN"/>
        </w:rPr>
      </w:pPr>
      <w:r>
        <w:rPr>
          <w:rFonts w:hint="eastAsia" w:ascii="宋体" w:hAnsi="宋体"/>
          <w:b/>
          <w:sz w:val="36"/>
          <w:szCs w:val="36"/>
        </w:rPr>
        <w:t xml:space="preserve">  年 </w:t>
      </w:r>
      <w:r>
        <w:rPr>
          <w:rFonts w:hint="eastAsia" w:ascii="宋体" w:hAnsi="宋体"/>
          <w:b/>
          <w:sz w:val="36"/>
          <w:szCs w:val="36"/>
          <w:lang w:val="en-US" w:eastAsia="zh-CN"/>
        </w:rPr>
        <w:t xml:space="preserve"> </w:t>
      </w:r>
      <w:r>
        <w:rPr>
          <w:rFonts w:hint="eastAsia" w:ascii="宋体" w:hAnsi="宋体"/>
          <w:b/>
          <w:sz w:val="36"/>
          <w:szCs w:val="36"/>
        </w:rPr>
        <w:t>月</w:t>
      </w:r>
      <w:r>
        <w:rPr>
          <w:rFonts w:hint="eastAsia" w:ascii="宋体" w:hAnsi="宋体"/>
          <w:b/>
          <w:sz w:val="36"/>
          <w:szCs w:val="36"/>
          <w:lang w:val="en-US" w:eastAsia="zh-CN"/>
        </w:rPr>
        <w:t xml:space="preserve">  日</w:t>
      </w:r>
    </w:p>
    <w:p>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eastAsia="zh-CN"/>
        </w:rPr>
        <w:t>格式（参考）说明：</w:t>
      </w:r>
    </w:p>
    <w:p>
      <w:pPr>
        <w:spacing w:before="120" w:after="120" w:line="578" w:lineRule="auto"/>
        <w:jc w:val="center"/>
        <w:rPr>
          <w:rFonts w:ascii="黑体" w:hAnsi="黑体" w:eastAsia="黑体" w:cs="Times New Roman"/>
          <w:b/>
          <w:sz w:val="36"/>
          <w:szCs w:val="36"/>
        </w:rPr>
      </w:pPr>
      <w:bookmarkStart w:id="137" w:name="_Toc494665000"/>
      <w:bookmarkStart w:id="138" w:name="_Toc494721100"/>
      <w:bookmarkStart w:id="139" w:name="_Toc494702270"/>
      <w:bookmarkStart w:id="140" w:name="_Toc494745317"/>
      <w:bookmarkStart w:id="141" w:name="_Toc494665950"/>
      <w:bookmarkStart w:id="142" w:name="_Toc494665553"/>
      <w:r>
        <w:rPr>
          <w:rFonts w:hint="eastAsia" w:ascii="黑体" w:hAnsi="黑体" w:eastAsia="黑体" w:cs="Times New Roman"/>
          <w:b/>
          <w:bCs/>
          <w:sz w:val="36"/>
          <w:szCs w:val="36"/>
          <w:lang w:val="zh-CN" w:eastAsia="zh-CN"/>
        </w:rPr>
        <w:t>技术</w:t>
      </w:r>
      <w:r>
        <w:rPr>
          <w:rFonts w:hint="eastAsia" w:ascii="黑体" w:hAnsi="黑体" w:eastAsia="黑体" w:cs="Times New Roman"/>
          <w:b/>
          <w:sz w:val="36"/>
          <w:szCs w:val="36"/>
        </w:rPr>
        <w:t>、服务文件组成</w:t>
      </w:r>
      <w:bookmarkEnd w:id="137"/>
      <w:bookmarkEnd w:id="138"/>
      <w:bookmarkEnd w:id="139"/>
      <w:bookmarkEnd w:id="140"/>
      <w:bookmarkEnd w:id="141"/>
      <w:bookmarkEnd w:id="142"/>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59"/>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w:t>
      </w:r>
      <w:r>
        <w:rPr>
          <w:rFonts w:hint="eastAsia" w:ascii="宋体" w:hAnsi="宋体" w:eastAsia="宋体" w:cs="Times New Roman"/>
          <w:kern w:val="0"/>
          <w:sz w:val="24"/>
          <w:szCs w:val="32"/>
          <w:lang w:eastAsia="zh-CN"/>
        </w:rPr>
        <w:t>六</w:t>
      </w:r>
      <w:r>
        <w:rPr>
          <w:rFonts w:hint="eastAsia" w:ascii="宋体" w:hAnsi="宋体" w:eastAsia="宋体" w:cs="Times New Roman"/>
          <w:kern w:val="0"/>
          <w:sz w:val="24"/>
          <w:szCs w:val="32"/>
        </w:rPr>
        <w:t>）；</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说明：投标文件技术、服务文件的编制原则，按招标文件要求，提供相应说明、资料、表格以证明所投货物（工程或服务）是否响应招标文件要求，充分体现所投货物（工程或服务）的响应程度和优势。</w:t>
      </w:r>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143" w:name="_Toc494665554"/>
      <w:bookmarkStart w:id="144" w:name="_Toc494721101"/>
      <w:bookmarkStart w:id="145" w:name="_Toc236473298"/>
      <w:bookmarkStart w:id="146" w:name="_Toc494665951"/>
      <w:bookmarkStart w:id="147" w:name="_Toc494745318"/>
      <w:bookmarkStart w:id="148" w:name="_Toc494665001"/>
      <w:bookmarkStart w:id="149" w:name="_Toc238276242"/>
      <w:bookmarkStart w:id="150" w:name="_Toc494702271"/>
      <w:bookmarkStart w:id="151" w:name="_Toc495861550"/>
      <w:bookmarkStart w:id="152" w:name="_Toc26081"/>
      <w:r>
        <w:rPr>
          <w:rFonts w:hint="eastAsia" w:ascii="宋体" w:hAnsi="宋体" w:eastAsia="宋体"/>
        </w:rPr>
        <w:t>投标书</w:t>
      </w:r>
      <w:bookmarkEnd w:id="143"/>
      <w:bookmarkEnd w:id="144"/>
      <w:bookmarkEnd w:id="145"/>
      <w:bookmarkEnd w:id="146"/>
      <w:bookmarkEnd w:id="147"/>
      <w:bookmarkEnd w:id="148"/>
      <w:bookmarkEnd w:id="149"/>
      <w:bookmarkEnd w:id="150"/>
      <w:bookmarkEnd w:id="151"/>
      <w:bookmarkEnd w:id="152"/>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color w:val="auto"/>
          <w:sz w:val="24"/>
          <w:szCs w:val="24"/>
        </w:rPr>
        <w:t>．接受招标文件关于不予退还投标保证金的约定；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153" w:name="_Toc494665952"/>
      <w:bookmarkStart w:id="154" w:name="_Toc494665002"/>
      <w:bookmarkStart w:id="155" w:name="_Toc494721102"/>
      <w:bookmarkStart w:id="156" w:name="_Toc494745319"/>
      <w:bookmarkStart w:id="157" w:name="_Toc495861551"/>
      <w:bookmarkStart w:id="158" w:name="_Toc494702272"/>
      <w:bookmarkStart w:id="159" w:name="_Toc494665555"/>
      <w:bookmarkStart w:id="160" w:name="_Toc31269"/>
      <w:r>
        <w:rPr>
          <w:rFonts w:hint="eastAsia" w:ascii="宋体" w:hAnsi="宋体" w:eastAsia="宋体"/>
        </w:rPr>
        <w:t>制造商中小企业声明函</w:t>
      </w:r>
      <w:bookmarkEnd w:id="153"/>
      <w:bookmarkEnd w:id="154"/>
      <w:bookmarkEnd w:id="155"/>
      <w:bookmarkEnd w:id="156"/>
      <w:bookmarkEnd w:id="157"/>
      <w:bookmarkEnd w:id="158"/>
      <w:bookmarkEnd w:id="159"/>
      <w:bookmarkEnd w:id="160"/>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keepNext w:val="0"/>
        <w:keepLines w:val="0"/>
        <w:pageBreakBefore w:val="0"/>
        <w:widowControl w:val="0"/>
        <w:kinsoku/>
        <w:wordWrap/>
        <w:overflowPunct/>
        <w:topLinePunct w:val="0"/>
        <w:autoSpaceDE/>
        <w:autoSpaceDN/>
        <w:bidi w:val="0"/>
        <w:spacing w:line="400" w:lineRule="exact"/>
        <w:textAlignment w:val="auto"/>
        <w:rPr>
          <w:b/>
          <w:sz w:val="28"/>
          <w:szCs w:val="28"/>
        </w:rPr>
      </w:pPr>
      <w:r>
        <w:rPr>
          <w:rFonts w:hint="eastAsia"/>
          <w:b/>
          <w:sz w:val="28"/>
          <w:szCs w:val="28"/>
        </w:rPr>
        <w:t>采购人（或采购代理公司）：</w:t>
      </w:r>
    </w:p>
    <w:p>
      <w:pPr>
        <w:keepNext w:val="0"/>
        <w:keepLines w:val="0"/>
        <w:pageBreakBefore w:val="0"/>
        <w:widowControl w:val="0"/>
        <w:kinsoku/>
        <w:wordWrap/>
        <w:overflowPunct/>
        <w:topLinePunct w:val="0"/>
        <w:autoSpaceDE/>
        <w:autoSpaceDN/>
        <w:bidi w:val="0"/>
        <w:spacing w:line="400" w:lineRule="exact"/>
        <w:ind w:firstLine="475" w:firstLineChars="198"/>
        <w:jc w:val="left"/>
        <w:textAlignment w:val="auto"/>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keepNext w:val="0"/>
        <w:keepLines w:val="0"/>
        <w:pageBreakBefore w:val="0"/>
        <w:widowControl w:val="0"/>
        <w:kinsoku/>
        <w:wordWrap/>
        <w:overflowPunct/>
        <w:topLinePunct w:val="0"/>
        <w:autoSpaceDE/>
        <w:autoSpaceDN/>
        <w:bidi w:val="0"/>
        <w:spacing w:line="400" w:lineRule="exact"/>
        <w:ind w:firstLine="475" w:firstLineChars="198"/>
        <w:jc w:val="left"/>
        <w:textAlignment w:val="auto"/>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sz w:val="24"/>
          <w:szCs w:val="21"/>
          <w:lang w:val="zh-CN"/>
        </w:rPr>
        <w:t>，本公司为______（请填写：中型、小型、微型）企业。</w:t>
      </w:r>
    </w:p>
    <w:p>
      <w:pPr>
        <w:keepNext w:val="0"/>
        <w:keepLines w:val="0"/>
        <w:pageBreakBefore w:val="0"/>
        <w:widowControl w:val="0"/>
        <w:kinsoku/>
        <w:wordWrap/>
        <w:overflowPunct/>
        <w:topLinePunct w:val="0"/>
        <w:autoSpaceDE/>
        <w:autoSpaceDN/>
        <w:bidi w:val="0"/>
        <w:spacing w:line="400" w:lineRule="exact"/>
        <w:ind w:firstLine="475" w:firstLineChars="198"/>
        <w:jc w:val="left"/>
        <w:textAlignment w:val="auto"/>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23" w:leftChars="-11" w:right="-65" w:rightChars="-31"/>
              <w:jc w:val="center"/>
              <w:textAlignment w:val="auto"/>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keepNext w:val="0"/>
              <w:keepLines w:val="0"/>
              <w:pageBreakBefore w:val="0"/>
              <w:widowControl w:val="0"/>
              <w:numPr>
                <w:ilvl w:val="0"/>
                <w:numId w:val="61"/>
              </w:numPr>
              <w:tabs>
                <w:tab w:val="left" w:pos="82"/>
              </w:tabs>
              <w:kinsoku/>
              <w:wordWrap/>
              <w:overflowPunct/>
              <w:topLinePunct w:val="0"/>
              <w:autoSpaceDE/>
              <w:autoSpaceDN/>
              <w:bidi w:val="0"/>
              <w:adjustRightInd w:val="0"/>
              <w:snapToGrid w:val="0"/>
              <w:spacing w:line="400" w:lineRule="exact"/>
              <w:ind w:left="-2" w:firstLine="2"/>
              <w:jc w:val="center"/>
              <w:textAlignment w:val="auto"/>
              <w:rPr>
                <w:rFonts w:ascii="宋体" w:hAnsi="宋体"/>
                <w:sz w:val="24"/>
              </w:rPr>
            </w:pP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375" w:rightChars="-179"/>
              <w:jc w:val="center"/>
              <w:textAlignment w:val="auto"/>
              <w:rPr>
                <w:rFonts w:ascii="宋体" w:hAnsi="宋体" w:eastAsia="宋体" w:cs="宋体"/>
                <w:color w:val="0D0D0D"/>
                <w:kern w:val="0"/>
                <w:sz w:val="24"/>
                <w:szCs w:val="24"/>
              </w:rPr>
            </w:pP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keepNext w:val="0"/>
              <w:keepLines w:val="0"/>
              <w:pageBreakBefore w:val="0"/>
              <w:widowControl w:val="0"/>
              <w:numPr>
                <w:ilvl w:val="0"/>
                <w:numId w:val="61"/>
              </w:numPr>
              <w:tabs>
                <w:tab w:val="left" w:pos="82"/>
              </w:tabs>
              <w:kinsoku/>
              <w:wordWrap/>
              <w:overflowPunct/>
              <w:topLinePunct w:val="0"/>
              <w:autoSpaceDE/>
              <w:autoSpaceDN/>
              <w:bidi w:val="0"/>
              <w:adjustRightInd w:val="0"/>
              <w:snapToGrid w:val="0"/>
              <w:spacing w:line="400" w:lineRule="exact"/>
              <w:ind w:left="-2" w:firstLine="2"/>
              <w:jc w:val="center"/>
              <w:textAlignment w:val="auto"/>
              <w:rPr>
                <w:rFonts w:ascii="宋体" w:hAnsi="宋体"/>
                <w:sz w:val="24"/>
              </w:rPr>
            </w:pP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keepNext w:val="0"/>
              <w:keepLines w:val="0"/>
              <w:pageBreakBefore w:val="0"/>
              <w:widowControl w:val="0"/>
              <w:tabs>
                <w:tab w:val="left" w:pos="82"/>
              </w:tabs>
              <w:kinsoku/>
              <w:wordWrap/>
              <w:overflowPunct/>
              <w:topLinePunct w:val="0"/>
              <w:autoSpaceDE/>
              <w:autoSpaceDN/>
              <w:bidi w:val="0"/>
              <w:adjustRightInd w:val="0"/>
              <w:snapToGrid w:val="0"/>
              <w:spacing w:line="400" w:lineRule="exact"/>
              <w:jc w:val="center"/>
              <w:textAlignment w:val="auto"/>
              <w:rPr>
                <w:rFonts w:ascii="宋体" w:hAnsi="宋体"/>
                <w:sz w:val="24"/>
              </w:rPr>
            </w:pPr>
            <w:r>
              <w:rPr>
                <w:rFonts w:hint="eastAsia" w:ascii="宋体" w:hAnsi="宋体"/>
                <w:sz w:val="24"/>
              </w:rPr>
              <w:t>…</w:t>
            </w: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r>
    </w:tbl>
    <w:p>
      <w:pPr>
        <w:keepNext w:val="0"/>
        <w:keepLines w:val="0"/>
        <w:pageBreakBefore w:val="0"/>
        <w:widowControl w:val="0"/>
        <w:kinsoku/>
        <w:wordWrap/>
        <w:overflowPunct/>
        <w:topLinePunct w:val="0"/>
        <w:autoSpaceDE/>
        <w:autoSpaceDN/>
        <w:bidi w:val="0"/>
        <w:spacing w:beforeLines="50" w:line="400" w:lineRule="exact"/>
        <w:ind w:firstLine="475" w:firstLineChars="198"/>
        <w:jc w:val="left"/>
        <w:textAlignment w:val="auto"/>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Times New Roman"/>
          <w:bCs/>
          <w:sz w:val="24"/>
          <w:szCs w:val="24"/>
        </w:rPr>
      </w:pPr>
    </w:p>
    <w:p>
      <w:pPr>
        <w:pStyle w:val="11"/>
        <w:keepNext w:val="0"/>
        <w:keepLines w:val="0"/>
        <w:pageBreakBefore w:val="0"/>
        <w:widowControl w:val="0"/>
        <w:kinsoku/>
        <w:wordWrap/>
        <w:overflowPunct/>
        <w:topLinePunct w:val="0"/>
        <w:autoSpaceDE/>
        <w:autoSpaceDN/>
        <w:bidi w:val="0"/>
        <w:spacing w:line="400" w:lineRule="exact"/>
        <w:ind w:left="960" w:hanging="960" w:hangingChars="400"/>
        <w:jc w:val="left"/>
        <w:textAlignment w:val="auto"/>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D0D0D" w:themeColor="text1" w:themeTint="F2"/>
          <w:sz w:val="24"/>
          <w14:textFill>
            <w14:solidFill>
              <w14:schemeClr w14:val="tx1">
                <w14:lumMod w14:val="95000"/>
                <w14:lumOff w14:val="5000"/>
              </w14:schemeClr>
            </w14:solidFill>
          </w14:textFill>
        </w:rPr>
        <w:t>货物为自己制造的，也应按本声明函格式填写。</w:t>
      </w:r>
    </w:p>
    <w:p>
      <w:pPr>
        <w:pStyle w:val="11"/>
        <w:keepNext w:val="0"/>
        <w:keepLines w:val="0"/>
        <w:pageBreakBefore w:val="0"/>
        <w:widowControl w:val="0"/>
        <w:kinsoku/>
        <w:wordWrap/>
        <w:overflowPunct/>
        <w:topLinePunct w:val="0"/>
        <w:autoSpaceDE/>
        <w:autoSpaceDN/>
        <w:bidi w:val="0"/>
        <w:spacing w:line="400" w:lineRule="exact"/>
        <w:ind w:left="958" w:leftChars="342" w:hanging="240" w:hangingChars="100"/>
        <w:jc w:val="left"/>
        <w:textAlignment w:val="auto"/>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2、组成联合体的大中型企业和其他自然人、法人或者其他组织，与小型、微型企业之间不得存在投资关系。</w:t>
      </w:r>
    </w:p>
    <w:p>
      <w:pPr>
        <w:pStyle w:val="11"/>
        <w:keepNext w:val="0"/>
        <w:keepLines w:val="0"/>
        <w:pageBreakBefore w:val="0"/>
        <w:widowControl w:val="0"/>
        <w:kinsoku/>
        <w:wordWrap/>
        <w:overflowPunct/>
        <w:topLinePunct w:val="0"/>
        <w:autoSpaceDE/>
        <w:autoSpaceDN/>
        <w:bidi w:val="0"/>
        <w:spacing w:line="400" w:lineRule="exact"/>
        <w:ind w:left="958" w:leftChars="342" w:hanging="240" w:hangingChars="100"/>
        <w:jc w:val="left"/>
        <w:textAlignment w:val="auto"/>
        <w:rPr>
          <w:rFonts w:hAnsi="宋体" w:eastAsia="宋体" w:cs="Times New Roman"/>
          <w:bCs/>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3、如以联合体方式参与本项目投标的投标人，则应由联合体双方签字盖章。</w:t>
      </w:r>
    </w:p>
    <w:p>
      <w:pPr>
        <w:keepNext w:val="0"/>
        <w:keepLines w:val="0"/>
        <w:pageBreakBefore w:val="0"/>
        <w:widowControl w:val="0"/>
        <w:kinsoku/>
        <w:wordWrap/>
        <w:overflowPunct/>
        <w:topLinePunct w:val="0"/>
        <w:autoSpaceDE/>
        <w:autoSpaceDN/>
        <w:bidi w:val="0"/>
        <w:spacing w:before="100" w:beforeAutospacing="1" w:after="100" w:afterAutospacing="1" w:line="400" w:lineRule="exact"/>
        <w:ind w:firstLine="3316" w:firstLineChars="1382"/>
        <w:textAlignment w:val="auto"/>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keepNext w:val="0"/>
        <w:keepLines w:val="0"/>
        <w:pageBreakBefore w:val="0"/>
        <w:widowControl w:val="0"/>
        <w:kinsoku/>
        <w:wordWrap/>
        <w:overflowPunct/>
        <w:topLinePunct w:val="0"/>
        <w:autoSpaceDE/>
        <w:autoSpaceDN/>
        <w:bidi w:val="0"/>
        <w:spacing w:before="100" w:beforeAutospacing="1" w:after="100" w:afterAutospacing="1" w:line="400" w:lineRule="exact"/>
        <w:ind w:firstLine="3316" w:firstLineChars="1382"/>
        <w:textAlignment w:val="auto"/>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keepNext w:val="0"/>
        <w:keepLines w:val="0"/>
        <w:pageBreakBefore w:val="0"/>
        <w:widowControl w:val="0"/>
        <w:kinsoku/>
        <w:wordWrap/>
        <w:overflowPunct/>
        <w:topLinePunct w:val="0"/>
        <w:autoSpaceDE/>
        <w:autoSpaceDN/>
        <w:bidi w:val="0"/>
        <w:spacing w:before="100" w:beforeAutospacing="1" w:after="100" w:afterAutospacing="1" w:line="400" w:lineRule="exact"/>
        <w:ind w:firstLine="3316" w:firstLineChars="1382"/>
        <w:textAlignment w:val="auto"/>
      </w:pPr>
      <w:r>
        <w:rPr>
          <w:rFonts w:hint="eastAsia" w:ascii="Times New Roman" w:hAnsi="宋体" w:eastAsia="宋体" w:cs="Times New Roman"/>
          <w:b/>
          <w:sz w:val="24"/>
          <w:szCs w:val="24"/>
        </w:rPr>
        <w:t>日   期：</w:t>
      </w:r>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161" w:name="_Toc495861552"/>
      <w:bookmarkStart w:id="162" w:name="_Toc494665556"/>
      <w:bookmarkStart w:id="163" w:name="_Toc494665953"/>
      <w:bookmarkStart w:id="164" w:name="_Toc494745320"/>
      <w:bookmarkStart w:id="165" w:name="_Toc456264006"/>
      <w:bookmarkStart w:id="166" w:name="_Toc494702273"/>
      <w:bookmarkStart w:id="167" w:name="_Toc494665003"/>
      <w:bookmarkStart w:id="168" w:name="_Toc494721103"/>
      <w:bookmarkStart w:id="169" w:name="_Toc262"/>
      <w:r>
        <w:rPr>
          <w:rFonts w:hint="eastAsia" w:ascii="宋体" w:hAnsi="宋体" w:eastAsia="宋体"/>
        </w:rPr>
        <w:t>中小企业声明函</w:t>
      </w:r>
      <w:bookmarkEnd w:id="161"/>
      <w:bookmarkEnd w:id="162"/>
      <w:bookmarkEnd w:id="163"/>
      <w:bookmarkEnd w:id="164"/>
      <w:bookmarkEnd w:id="165"/>
      <w:bookmarkEnd w:id="166"/>
      <w:bookmarkEnd w:id="167"/>
      <w:bookmarkEnd w:id="168"/>
      <w:bookmarkEnd w:id="169"/>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417" w:right="1701" w:bottom="1417" w:left="1701" w:header="794"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70" w:name="_Toc476153619"/>
      <w:r>
        <w:rPr>
          <w:rFonts w:hint="eastAsia" w:ascii="宋体" w:hAnsi="宋体" w:eastAsia="宋体" w:cs="Times New Roman"/>
          <w:b/>
          <w:sz w:val="30"/>
          <w:szCs w:val="30"/>
          <w:lang w:val="zh-CN"/>
        </w:rPr>
        <w:t>中小企业划型标准</w:t>
      </w:r>
      <w:bookmarkEnd w:id="170"/>
    </w:p>
    <w:tbl>
      <w:tblPr>
        <w:tblStyle w:val="22"/>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0"/>
        </w:numPr>
        <w:spacing w:before="100" w:beforeAutospacing="1" w:afterLines="50" w:line="360" w:lineRule="auto"/>
        <w:ind w:left="1288" w:hanging="1288"/>
        <w:rPr>
          <w:rFonts w:ascii="宋体" w:hAnsi="宋体" w:eastAsia="宋体"/>
        </w:rPr>
      </w:pPr>
      <w:bookmarkStart w:id="171" w:name="_Toc494665004"/>
      <w:bookmarkStart w:id="172" w:name="_Toc15500"/>
      <w:bookmarkStart w:id="173" w:name="_Toc494745321"/>
      <w:bookmarkStart w:id="174" w:name="_Toc494721104"/>
      <w:bookmarkStart w:id="175" w:name="_Toc494665557"/>
      <w:bookmarkStart w:id="176" w:name="_Toc495861553"/>
      <w:bookmarkStart w:id="177" w:name="_Toc494665954"/>
      <w:bookmarkStart w:id="178" w:name="_Toc494702274"/>
      <w:r>
        <w:rPr>
          <w:rFonts w:hint="eastAsia" w:ascii="宋体" w:hAnsi="宋体" w:eastAsia="宋体"/>
        </w:rPr>
        <w:t>残疾人福利性单位声明函</w:t>
      </w:r>
      <w:bookmarkEnd w:id="171"/>
      <w:bookmarkEnd w:id="172"/>
      <w:bookmarkEnd w:id="173"/>
      <w:bookmarkEnd w:id="174"/>
      <w:bookmarkEnd w:id="175"/>
      <w:bookmarkEnd w:id="176"/>
      <w:bookmarkEnd w:id="177"/>
      <w:bookmarkEnd w:id="178"/>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pStyle w:val="11"/>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11"/>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11"/>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179" w:name="_Toc494721105"/>
      <w:bookmarkStart w:id="180" w:name="_Toc494665005"/>
      <w:bookmarkStart w:id="181" w:name="_Toc495861554"/>
      <w:bookmarkStart w:id="182" w:name="_Toc494665558"/>
      <w:bookmarkStart w:id="183" w:name="_Toc494702275"/>
      <w:bookmarkStart w:id="184" w:name="_Toc494665955"/>
      <w:bookmarkStart w:id="185" w:name="_Toc494745322"/>
      <w:bookmarkStart w:id="186" w:name="_Toc494577410"/>
      <w:bookmarkStart w:id="187" w:name="_Toc2030"/>
      <w:r>
        <w:rPr>
          <w:rFonts w:hint="eastAsia" w:ascii="宋体" w:hAnsi="宋体" w:eastAsia="宋体"/>
        </w:rPr>
        <w:t>开标一览表</w:t>
      </w:r>
      <w:bookmarkEnd w:id="179"/>
      <w:bookmarkEnd w:id="180"/>
      <w:bookmarkEnd w:id="181"/>
      <w:bookmarkEnd w:id="182"/>
      <w:bookmarkEnd w:id="183"/>
      <w:bookmarkEnd w:id="184"/>
      <w:bookmarkEnd w:id="185"/>
      <w:bookmarkEnd w:id="186"/>
      <w:bookmarkEnd w:id="18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188" w:name="_Toc494745323"/>
      <w:bookmarkStart w:id="189" w:name="_Toc494665006"/>
      <w:bookmarkStart w:id="190" w:name="_Toc494702276"/>
      <w:bookmarkStart w:id="191" w:name="_Toc495861555"/>
      <w:bookmarkStart w:id="192" w:name="_Toc494577411"/>
      <w:bookmarkStart w:id="193" w:name="_Toc494665956"/>
      <w:bookmarkStart w:id="194" w:name="_Toc494665559"/>
      <w:bookmarkStart w:id="195" w:name="_Toc494721106"/>
      <w:bookmarkStart w:id="196" w:name="_Toc8342"/>
      <w:r>
        <w:rPr>
          <w:rFonts w:hint="eastAsia" w:ascii="宋体" w:hAnsi="宋体" w:eastAsia="宋体"/>
        </w:rPr>
        <w:t>投标报价明细表</w:t>
      </w:r>
      <w:bookmarkEnd w:id="188"/>
      <w:bookmarkEnd w:id="189"/>
      <w:bookmarkEnd w:id="190"/>
      <w:bookmarkEnd w:id="191"/>
      <w:bookmarkEnd w:id="192"/>
      <w:bookmarkEnd w:id="193"/>
      <w:bookmarkEnd w:id="194"/>
      <w:bookmarkEnd w:id="195"/>
      <w:bookmarkEnd w:id="196"/>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288" w:hanging="1288"/>
        <w:rPr>
          <w:rFonts w:ascii="宋体" w:hAnsi="宋体" w:eastAsia="宋体"/>
          <w:sz w:val="31"/>
          <w:szCs w:val="31"/>
        </w:rPr>
      </w:pPr>
      <w:bookmarkStart w:id="197" w:name="_Toc494665007"/>
      <w:bookmarkStart w:id="198" w:name="_Toc494721107"/>
      <w:bookmarkStart w:id="199" w:name="_Toc494665560"/>
      <w:bookmarkStart w:id="200" w:name="_Toc494745324"/>
      <w:bookmarkStart w:id="201" w:name="_Toc494702277"/>
      <w:bookmarkStart w:id="202" w:name="_Toc494577412"/>
      <w:bookmarkStart w:id="203" w:name="_Toc495861556"/>
      <w:bookmarkStart w:id="204" w:name="_Toc494665957"/>
      <w:bookmarkStart w:id="205" w:name="_Toc18463"/>
      <w:r>
        <w:rPr>
          <w:rFonts w:hint="eastAsia" w:ascii="宋体" w:hAnsi="宋体" w:eastAsia="宋体"/>
          <w:sz w:val="31"/>
          <w:szCs w:val="31"/>
        </w:rPr>
        <w:t>小型和微型企业、监狱企业、残疾人福利性单位货物汇总表</w:t>
      </w:r>
      <w:bookmarkEnd w:id="197"/>
      <w:bookmarkEnd w:id="198"/>
      <w:bookmarkEnd w:id="199"/>
      <w:bookmarkEnd w:id="200"/>
      <w:bookmarkEnd w:id="201"/>
      <w:bookmarkEnd w:id="202"/>
      <w:bookmarkEnd w:id="203"/>
      <w:bookmarkEnd w:id="204"/>
      <w:bookmarkEnd w:id="20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206" w:name="_Toc494665008"/>
      <w:bookmarkStart w:id="207" w:name="_Toc494721108"/>
      <w:bookmarkStart w:id="208" w:name="_Toc494665561"/>
      <w:bookmarkStart w:id="209" w:name="_Toc494665958"/>
      <w:bookmarkStart w:id="210" w:name="_Toc495861557"/>
      <w:bookmarkStart w:id="211" w:name="_Toc494702278"/>
      <w:bookmarkStart w:id="212" w:name="_Toc494745325"/>
      <w:bookmarkStart w:id="213" w:name="_Toc5938"/>
      <w:r>
        <w:rPr>
          <w:rFonts w:hint="eastAsia" w:ascii="宋体" w:hAnsi="宋体" w:eastAsia="宋体"/>
        </w:rPr>
        <w:t>投标货物（工程或服务）清单</w:t>
      </w:r>
      <w:bookmarkEnd w:id="206"/>
      <w:bookmarkEnd w:id="207"/>
      <w:bookmarkEnd w:id="208"/>
      <w:bookmarkEnd w:id="209"/>
      <w:bookmarkEnd w:id="210"/>
      <w:bookmarkEnd w:id="211"/>
      <w:bookmarkEnd w:id="212"/>
      <w:bookmarkEnd w:id="213"/>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288" w:hanging="1288"/>
        <w:rPr>
          <w:rFonts w:ascii="宋体" w:hAnsi="宋体" w:eastAsia="宋体"/>
        </w:rPr>
      </w:pPr>
      <w:bookmarkStart w:id="214" w:name="_Toc494665563"/>
      <w:bookmarkStart w:id="215" w:name="_Toc238276247"/>
      <w:bookmarkStart w:id="216" w:name="_Toc236473303"/>
      <w:bookmarkStart w:id="217" w:name="_Toc494745327"/>
      <w:bookmarkStart w:id="218" w:name="_Toc494665960"/>
      <w:bookmarkStart w:id="219" w:name="_Toc494665010"/>
      <w:bookmarkStart w:id="220" w:name="_Toc495861559"/>
      <w:bookmarkStart w:id="221" w:name="_Toc494702280"/>
      <w:bookmarkStart w:id="222" w:name="_Toc494721110"/>
      <w:bookmarkStart w:id="223" w:name="_Toc19041"/>
      <w:r>
        <w:rPr>
          <w:rFonts w:hint="eastAsia" w:ascii="宋体" w:hAnsi="宋体" w:eastAsia="宋体"/>
        </w:rPr>
        <w:t>法定代表人授权书</w:t>
      </w:r>
      <w:bookmarkEnd w:id="214"/>
      <w:bookmarkEnd w:id="215"/>
      <w:bookmarkEnd w:id="216"/>
      <w:bookmarkEnd w:id="217"/>
      <w:bookmarkEnd w:id="218"/>
      <w:bookmarkEnd w:id="219"/>
      <w:bookmarkEnd w:id="220"/>
      <w:bookmarkEnd w:id="221"/>
      <w:bookmarkEnd w:id="222"/>
      <w:bookmarkEnd w:id="223"/>
    </w:p>
    <w:p>
      <w:pPr>
        <w:spacing w:line="480" w:lineRule="auto"/>
        <w:rPr>
          <w:rFonts w:ascii="宋体" w:hAnsi="宋体" w:eastAsia="宋体" w:cs="Times New Roman"/>
          <w:b/>
          <w:sz w:val="24"/>
          <w:szCs w:val="24"/>
        </w:rPr>
      </w:pPr>
      <w:r>
        <w:rPr>
          <w:rFonts w:hint="eastAsia"/>
          <w:b/>
          <w:sz w:val="28"/>
          <w:szCs w:val="28"/>
        </w:rPr>
        <w:t>采购人（或代理公司）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w:t>
            </w:r>
            <w:r>
              <w:rPr>
                <w:rFonts w:hint="eastAsia" w:ascii="宋体" w:hAnsi="宋体" w:eastAsia="宋体" w:cs="Times New Roman"/>
                <w:sz w:val="24"/>
                <w:szCs w:val="24"/>
                <w:lang w:eastAsia="zh-CN"/>
              </w:rPr>
              <w:t>影</w:t>
            </w:r>
            <w:r>
              <w:rPr>
                <w:rFonts w:hint="eastAsia" w:ascii="宋体" w:hAnsi="宋体" w:eastAsia="宋体" w:cs="Times New Roman"/>
                <w:sz w:val="24"/>
                <w:szCs w:val="24"/>
              </w:rPr>
              <w:t>印件）</w:t>
            </w:r>
          </w:p>
        </w:tc>
      </w:tr>
    </w:tbl>
    <w:p>
      <w:r>
        <w:br w:type="page"/>
      </w:r>
    </w:p>
    <w:p>
      <w:pPr>
        <w:pStyle w:val="4"/>
        <w:numPr>
          <w:ilvl w:val="0"/>
          <w:numId w:val="60"/>
        </w:numPr>
        <w:spacing w:before="100" w:beforeAutospacing="1" w:afterLines="50" w:line="360" w:lineRule="auto"/>
        <w:ind w:left="1610" w:hanging="1610"/>
        <w:rPr>
          <w:rFonts w:ascii="宋体" w:hAnsi="宋体" w:eastAsia="宋体"/>
        </w:rPr>
      </w:pPr>
      <w:bookmarkStart w:id="224" w:name="_Toc495861560"/>
      <w:bookmarkStart w:id="225" w:name="_Toc494665011"/>
      <w:bookmarkStart w:id="226" w:name="_Toc494721111"/>
      <w:bookmarkStart w:id="227" w:name="_Toc494745328"/>
      <w:bookmarkStart w:id="228" w:name="_Toc494702281"/>
      <w:bookmarkStart w:id="229" w:name="_Toc494665961"/>
      <w:bookmarkStart w:id="230" w:name="_Toc238276248"/>
      <w:bookmarkStart w:id="231" w:name="_Toc494665564"/>
      <w:bookmarkStart w:id="232" w:name="_Toc236473304"/>
      <w:bookmarkStart w:id="233" w:name="_Toc15182"/>
      <w:r>
        <w:rPr>
          <w:rFonts w:hint="eastAsia" w:ascii="宋体" w:hAnsi="宋体" w:eastAsia="宋体"/>
        </w:rPr>
        <w:t>投标人的资格声明</w:t>
      </w:r>
      <w:bookmarkEnd w:id="224"/>
      <w:bookmarkEnd w:id="225"/>
      <w:bookmarkEnd w:id="226"/>
      <w:bookmarkEnd w:id="227"/>
      <w:bookmarkEnd w:id="228"/>
      <w:bookmarkEnd w:id="229"/>
      <w:bookmarkEnd w:id="230"/>
      <w:bookmarkEnd w:id="231"/>
      <w:bookmarkEnd w:id="232"/>
      <w:bookmarkEnd w:id="233"/>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0"/>
        </w:numPr>
        <w:spacing w:before="100" w:beforeAutospacing="1" w:afterLines="50" w:line="360" w:lineRule="auto"/>
        <w:ind w:left="1610" w:hanging="1610"/>
        <w:rPr>
          <w:rFonts w:ascii="宋体" w:hAnsi="宋体" w:eastAsia="宋体"/>
        </w:rPr>
      </w:pPr>
      <w:bookmarkStart w:id="234" w:name="_Toc494745329"/>
      <w:bookmarkStart w:id="235" w:name="_Toc494665012"/>
      <w:bookmarkStart w:id="236" w:name="_Toc495861561"/>
      <w:bookmarkStart w:id="237" w:name="_Toc494665565"/>
      <w:bookmarkStart w:id="238" w:name="_Toc494665962"/>
      <w:bookmarkStart w:id="239" w:name="_Toc494721112"/>
      <w:bookmarkStart w:id="240" w:name="_Toc494702282"/>
      <w:bookmarkStart w:id="241" w:name="_Toc17927"/>
      <w:r>
        <w:rPr>
          <w:rFonts w:hint="eastAsia" w:ascii="宋体" w:hAnsi="宋体" w:eastAsia="宋体"/>
        </w:rPr>
        <w:t>项目负责人、技术负责人简历表</w:t>
      </w:r>
      <w:bookmarkEnd w:id="234"/>
      <w:bookmarkEnd w:id="235"/>
      <w:bookmarkEnd w:id="236"/>
      <w:bookmarkEnd w:id="237"/>
      <w:bookmarkEnd w:id="238"/>
      <w:bookmarkEnd w:id="239"/>
      <w:bookmarkEnd w:id="240"/>
      <w:bookmarkEnd w:id="24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610" w:hanging="1610"/>
        <w:rPr>
          <w:rFonts w:ascii="宋体" w:hAnsi="宋体" w:eastAsia="宋体"/>
        </w:rPr>
      </w:pPr>
      <w:bookmarkStart w:id="242" w:name="_Toc495861562"/>
      <w:bookmarkStart w:id="243" w:name="_Toc494721113"/>
      <w:bookmarkStart w:id="244" w:name="_Toc494665963"/>
      <w:bookmarkStart w:id="245" w:name="_Toc494702283"/>
      <w:bookmarkStart w:id="246" w:name="_Toc236473307"/>
      <w:bookmarkStart w:id="247" w:name="_Toc494745330"/>
      <w:bookmarkStart w:id="248" w:name="_Toc494665013"/>
      <w:bookmarkStart w:id="249" w:name="_Toc238276251"/>
      <w:bookmarkStart w:id="250" w:name="_Toc494665566"/>
      <w:bookmarkStart w:id="251" w:name="_Toc22156"/>
      <w:r>
        <w:rPr>
          <w:rFonts w:hint="eastAsia" w:ascii="宋体" w:hAnsi="宋体" w:eastAsia="宋体"/>
        </w:rPr>
        <w:t>项目班子成员情况表</w:t>
      </w:r>
      <w:bookmarkEnd w:id="242"/>
      <w:bookmarkEnd w:id="243"/>
      <w:bookmarkEnd w:id="244"/>
      <w:bookmarkEnd w:id="245"/>
      <w:bookmarkEnd w:id="246"/>
      <w:bookmarkEnd w:id="247"/>
      <w:bookmarkEnd w:id="248"/>
      <w:bookmarkEnd w:id="249"/>
      <w:bookmarkEnd w:id="250"/>
      <w:bookmarkEnd w:id="25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610" w:hanging="1610"/>
        <w:rPr>
          <w:rFonts w:ascii="宋体" w:hAnsi="宋体" w:eastAsia="宋体"/>
        </w:rPr>
      </w:pPr>
      <w:bookmarkStart w:id="252" w:name="_Toc238276256"/>
      <w:bookmarkStart w:id="253" w:name="_Toc30560"/>
      <w:bookmarkStart w:id="254" w:name="_Toc494721114"/>
      <w:bookmarkStart w:id="255" w:name="_Toc494702284"/>
      <w:bookmarkStart w:id="256" w:name="_Toc495861563"/>
      <w:bookmarkStart w:id="257" w:name="_Toc236473312"/>
      <w:bookmarkStart w:id="258" w:name="_Toc494745331"/>
      <w:bookmarkStart w:id="259" w:name="_Toc494665964"/>
      <w:bookmarkStart w:id="260" w:name="_Toc494665014"/>
      <w:bookmarkStart w:id="261" w:name="_Toc494665567"/>
      <w:r>
        <w:rPr>
          <w:rFonts w:hint="eastAsia" w:ascii="宋体" w:hAnsi="宋体" w:eastAsia="宋体"/>
        </w:rPr>
        <w:t>投标人类似项目业绩表</w:t>
      </w:r>
      <w:bookmarkEnd w:id="252"/>
      <w:bookmarkEnd w:id="253"/>
      <w:bookmarkEnd w:id="254"/>
      <w:bookmarkEnd w:id="255"/>
      <w:bookmarkEnd w:id="256"/>
      <w:bookmarkEnd w:id="257"/>
      <w:bookmarkEnd w:id="258"/>
      <w:bookmarkEnd w:id="259"/>
      <w:bookmarkEnd w:id="260"/>
      <w:bookmarkEnd w:id="26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610" w:hanging="1610"/>
        <w:rPr>
          <w:rFonts w:ascii="宋体" w:hAnsi="宋体" w:eastAsia="宋体"/>
        </w:rPr>
      </w:pPr>
      <w:bookmarkStart w:id="262" w:name="_Toc494721115"/>
      <w:bookmarkStart w:id="263" w:name="_Toc495861564"/>
      <w:bookmarkStart w:id="264" w:name="_Toc12389"/>
      <w:bookmarkStart w:id="265" w:name="_Toc494702285"/>
      <w:bookmarkStart w:id="266" w:name="_Toc494665015"/>
      <w:bookmarkStart w:id="267" w:name="_Toc494745332"/>
      <w:bookmarkStart w:id="268" w:name="_Toc494665965"/>
      <w:bookmarkStart w:id="269" w:name="_Toc494665568"/>
      <w:r>
        <w:rPr>
          <w:rFonts w:hint="eastAsia" w:ascii="宋体" w:hAnsi="宋体" w:eastAsia="宋体"/>
        </w:rPr>
        <w:t>符合性审查对照表</w:t>
      </w:r>
      <w:bookmarkEnd w:id="262"/>
      <w:bookmarkEnd w:id="263"/>
      <w:bookmarkEnd w:id="264"/>
      <w:bookmarkEnd w:id="265"/>
      <w:bookmarkEnd w:id="266"/>
      <w:bookmarkEnd w:id="267"/>
      <w:bookmarkEnd w:id="268"/>
      <w:bookmarkEnd w:id="26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Lines="50" w:line="360" w:lineRule="auto"/>
        <w:ind w:left="1610" w:hanging="1610"/>
        <w:rPr>
          <w:rFonts w:ascii="宋体" w:hAnsi="宋体" w:eastAsia="宋体"/>
        </w:rPr>
      </w:pPr>
      <w:bookmarkStart w:id="270" w:name="_Toc495861565"/>
      <w:bookmarkStart w:id="271" w:name="_Toc494745333"/>
      <w:bookmarkStart w:id="272" w:name="_Toc494702286"/>
      <w:bookmarkStart w:id="273" w:name="_Toc494665966"/>
      <w:bookmarkStart w:id="274" w:name="_Toc494665569"/>
      <w:bookmarkStart w:id="275" w:name="_Toc494721116"/>
      <w:bookmarkStart w:id="276" w:name="_Toc494665016"/>
      <w:bookmarkStart w:id="277" w:name="_Toc15043"/>
      <w:r>
        <w:rPr>
          <w:rFonts w:hint="eastAsia" w:ascii="宋体" w:hAnsi="宋体" w:eastAsia="宋体"/>
        </w:rPr>
        <w:t>商务要求响应、偏离说明表</w:t>
      </w:r>
      <w:bookmarkEnd w:id="270"/>
      <w:bookmarkEnd w:id="271"/>
      <w:bookmarkEnd w:id="272"/>
      <w:bookmarkEnd w:id="273"/>
      <w:bookmarkEnd w:id="274"/>
      <w:bookmarkEnd w:id="275"/>
      <w:bookmarkEnd w:id="276"/>
      <w:bookmarkEnd w:id="27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0"/>
        </w:numPr>
        <w:spacing w:before="100" w:beforeAutospacing="1" w:after="156" w:afterLines="50" w:line="360" w:lineRule="auto"/>
        <w:ind w:left="1610" w:hanging="1610"/>
        <w:rPr>
          <w:rFonts w:ascii="宋体" w:hAnsi="宋体" w:eastAsia="宋体"/>
        </w:rPr>
      </w:pPr>
      <w:bookmarkStart w:id="278" w:name="_Toc494745336"/>
      <w:bookmarkStart w:id="279" w:name="_Toc494721119"/>
      <w:bookmarkStart w:id="280" w:name="_Toc494665969"/>
      <w:bookmarkStart w:id="281" w:name="_Toc494665019"/>
      <w:bookmarkStart w:id="282" w:name="_Toc495861516"/>
      <w:bookmarkStart w:id="283" w:name="_Toc494702289"/>
      <w:bookmarkStart w:id="284" w:name="_Toc494665572"/>
      <w:bookmarkStart w:id="285" w:name="_Toc9110"/>
      <w:r>
        <w:rPr>
          <w:rFonts w:hint="eastAsia" w:ascii="宋体" w:hAnsi="宋体" w:eastAsia="宋体"/>
        </w:rPr>
        <w:t>技术、服务要求响应、偏离说明表</w:t>
      </w:r>
      <w:bookmarkEnd w:id="278"/>
      <w:bookmarkEnd w:id="279"/>
      <w:bookmarkEnd w:id="280"/>
      <w:bookmarkEnd w:id="281"/>
      <w:bookmarkEnd w:id="282"/>
      <w:bookmarkEnd w:id="283"/>
      <w:bookmarkEnd w:id="284"/>
      <w:bookmarkEnd w:id="285"/>
    </w:p>
    <w:p>
      <w:pPr>
        <w:spacing w:line="360" w:lineRule="auto"/>
        <w:jc w:val="left"/>
        <w:rPr>
          <w:rFonts w:hAnsi="宋体"/>
          <w:b/>
          <w:sz w:val="24"/>
        </w:rPr>
      </w:pPr>
      <w:r>
        <w:rPr>
          <w:rFonts w:hint="eastAsia" w:hAnsi="宋体"/>
          <w:b/>
          <w:sz w:val="24"/>
        </w:rPr>
        <w:t>投 标 人：</w:t>
      </w:r>
      <w:r>
        <w:rPr>
          <w:rFonts w:hint="eastAsia" w:ascii="宋体" w:hAnsi="宋体" w:eastAsia="宋体" w:cs="Times New Roman"/>
          <w:b/>
          <w:sz w:val="24"/>
          <w:szCs w:val="21"/>
          <w:u w:val="single"/>
          <w:lang w:val="zh-CN" w:eastAsia="zh-CN"/>
        </w:rPr>
        <w:t xml:space="preserve">                     </w:t>
      </w:r>
      <w:r>
        <w:rPr>
          <w:rFonts w:hint="eastAsia" w:ascii="宋体" w:hAnsi="宋体" w:eastAsia="宋体" w:cs="Times New Roman"/>
          <w:b/>
          <w:sz w:val="24"/>
          <w:szCs w:val="21"/>
          <w:lang w:val="zh-CN"/>
        </w:rPr>
        <w:t xml:space="preserve"> </w:t>
      </w:r>
    </w:p>
    <w:p>
      <w:pPr>
        <w:spacing w:line="360" w:lineRule="auto"/>
        <w:jc w:val="left"/>
        <w:rPr>
          <w:rFonts w:hAnsi="宋体"/>
          <w:b/>
          <w:sz w:val="24"/>
        </w:rPr>
      </w:pPr>
      <w:r>
        <w:rPr>
          <w:rFonts w:hint="eastAsia" w:ascii="宋体" w:hAnsi="宋体" w:eastAsia="宋体" w:cs="Times New Roman"/>
          <w:b/>
          <w:sz w:val="24"/>
          <w:szCs w:val="21"/>
          <w:lang w:val="zh-CN" w:eastAsia="zh-CN"/>
        </w:rPr>
        <w:t>项目编号：</w:t>
      </w:r>
      <w:r>
        <w:rPr>
          <w:rFonts w:hint="eastAsia" w:ascii="宋体" w:hAnsi="宋体" w:eastAsia="宋体" w:cs="Times New Roman"/>
          <w:b/>
          <w:sz w:val="24"/>
          <w:szCs w:val="21"/>
          <w:u w:val="single"/>
          <w:lang w:val="zh-CN" w:eastAsia="zh-CN"/>
        </w:rPr>
        <w:t xml:space="preserve">                     </w:t>
      </w:r>
      <w:r>
        <w:rPr>
          <w:rFonts w:hint="eastAsia" w:ascii="宋体" w:hAnsi="宋体" w:eastAsia="宋体" w:cs="Times New Roman"/>
          <w:b/>
          <w:sz w:val="24"/>
          <w:szCs w:val="21"/>
          <w:lang w:val="zh-CN"/>
        </w:rPr>
        <w:t xml:space="preserve">     </w:t>
      </w:r>
      <w:r>
        <w:rPr>
          <w:rFonts w:hint="eastAsia" w:ascii="宋体" w:hAnsi="宋体" w:eastAsia="宋体" w:cs="Times New Roman"/>
          <w:b/>
          <w:bCs/>
          <w:sz w:val="24"/>
          <w:szCs w:val="21"/>
          <w:lang w:val="zh-CN" w:eastAsia="zh-CN"/>
        </w:rPr>
        <w:t xml:space="preserve">                所投包号：</w:t>
      </w:r>
      <w:r>
        <w:rPr>
          <w:rFonts w:hint="eastAsia" w:ascii="宋体" w:hAnsi="宋体" w:eastAsia="宋体" w:cs="Times New Roman"/>
          <w:b/>
          <w:bCs/>
          <w:sz w:val="24"/>
          <w:szCs w:val="21"/>
          <w:u w:val="single"/>
          <w:lang w:val="zh-CN"/>
        </w:rPr>
        <w:t xml:space="preserve">           </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r>
        <w:rPr>
          <w:rFonts w:hint="eastAsia" w:hAnsi="宋体"/>
          <w:b/>
          <w:bCs/>
          <w:sz w:val="24"/>
          <w:u w:val="single"/>
        </w:rPr>
        <w:t xml:space="preserve">                          </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eastAsia="zh-CN"/>
        </w:rPr>
        <w:t>投标人</w:t>
      </w:r>
      <w:r>
        <w:rPr>
          <w:rFonts w:hint="eastAsia" w:hAnsi="宋体"/>
          <w:b/>
          <w:bCs/>
          <w:sz w:val="24"/>
        </w:rPr>
        <w:t>授权代表（签字）：</w:t>
      </w:r>
      <w:r>
        <w:rPr>
          <w:rFonts w:hint="eastAsia" w:hAnsi="宋体"/>
          <w:b/>
          <w:bCs/>
          <w:sz w:val="24"/>
          <w:u w:val="single"/>
        </w:rPr>
        <w:t xml:space="preserve">                  </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eastAsia="zh-CN"/>
        </w:rPr>
        <w:t>投标</w:t>
      </w:r>
      <w:r>
        <w:rPr>
          <w:rFonts w:hint="eastAsia" w:hAnsi="宋体"/>
          <w:b/>
          <w:bCs/>
          <w:sz w:val="24"/>
        </w:rPr>
        <w:t>时间：</w:t>
      </w:r>
      <w:r>
        <w:rPr>
          <w:rFonts w:hint="eastAsia" w:hAnsi="宋体"/>
          <w:b/>
          <w:bCs/>
          <w:sz w:val="24"/>
          <w:u w:val="single"/>
        </w:rPr>
        <w:t xml:space="preserve">                               </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5"/>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themeColor="text1" w:sz="4" w:space="1"/>
      </w:pBdr>
      <w:tabs>
        <w:tab w:val="clear" w:pos="4153"/>
        <w:tab w:val="clear" w:pos="8306"/>
      </w:tabs>
      <w:ind w:right="-9" w:firstLine="360" w:firstLineChars="200"/>
      <w:jc w:val="right"/>
    </w:pPr>
    <w:r>
      <w:rPr>
        <w:rFonts w:hint="eastAsia" w:asciiTheme="minorEastAsia" w:hAnsiTheme="minorEastAsia"/>
        <w:u w:val="single"/>
        <w:lang w:eastAsia="zh-CN"/>
      </w:rPr>
      <w:t>至诚工程咨询有限公司</w:t>
    </w:r>
    <w:r>
      <w:rPr>
        <w:rFonts w:hint="eastAsia" w:asciiTheme="minorEastAsia" w:hAnsiTheme="minorEastAsia"/>
      </w:rPr>
      <w:t>制</w:t>
    </w:r>
  </w:p>
  <w:p>
    <w:pPr>
      <w:pStyle w:val="15"/>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41</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62</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eastAsia"/>
        <w:bCs/>
        <w:color w:val="000000" w:themeColor="text1"/>
        <w:spacing w:val="-6"/>
        <w:sz w:val="21"/>
        <w:szCs w:val="21"/>
        <w:lang w:eastAsia="zh-CN"/>
        <w14:textFill>
          <w14:solidFill>
            <w14:schemeClr w14:val="tx1"/>
          </w14:solidFill>
        </w14:textFill>
      </w:rPr>
    </w:pPr>
    <w:r>
      <w:rPr>
        <w:rFonts w:hint="eastAsia"/>
        <w:bCs/>
        <w:color w:val="000000" w:themeColor="text1"/>
        <w:spacing w:val="-6"/>
        <w:sz w:val="21"/>
        <w:szCs w:val="21"/>
        <w:lang w:eastAsia="zh-CN"/>
        <w14:textFill>
          <w14:solidFill>
            <w14:schemeClr w14:val="tx1"/>
          </w14:solidFill>
        </w14:textFill>
      </w:rPr>
      <w:t>阳新县2022年灭螺与防治药品采购项目（二次）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85FBD"/>
    <w:multiLevelType w:val="singleLevel"/>
    <w:tmpl w:val="F4B85FBD"/>
    <w:lvl w:ilvl="0" w:tentative="0">
      <w:start w:val="1"/>
      <w:numFmt w:val="decimal"/>
      <w:suff w:val="nothing"/>
      <w:lvlText w:val="%1、"/>
      <w:lvlJc w:val="left"/>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F56DAF"/>
    <w:multiLevelType w:val="multilevel"/>
    <w:tmpl w:val="03F56DA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
    <w:nsid w:val="080D1652"/>
    <w:multiLevelType w:val="multilevel"/>
    <w:tmpl w:val="080D1652"/>
    <w:lvl w:ilvl="0" w:tentative="0">
      <w:start w:val="1"/>
      <w:numFmt w:val="decimal"/>
      <w:lvlText w:val="2.%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1">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4">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30B24872"/>
    <w:multiLevelType w:val="multilevel"/>
    <w:tmpl w:val="30B24872"/>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6">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B707E3F"/>
    <w:multiLevelType w:val="multilevel"/>
    <w:tmpl w:val="3B707E3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7">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48">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0">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B81BFFD"/>
    <w:multiLevelType w:val="singleLevel"/>
    <w:tmpl w:val="6B81BFFD"/>
    <w:lvl w:ilvl="0" w:tentative="0">
      <w:start w:val="4"/>
      <w:numFmt w:val="chineseCounting"/>
      <w:suff w:val="nothing"/>
      <w:lvlText w:val="%1、"/>
      <w:lvlJc w:val="left"/>
      <w:rPr>
        <w:rFonts w:hint="eastAsia"/>
      </w:rPr>
    </w:lvl>
  </w:abstractNum>
  <w:abstractNum w:abstractNumId="53">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5">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8">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9">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2">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0"/>
  </w:num>
  <w:num w:numId="2">
    <w:abstractNumId w:val="52"/>
  </w:num>
  <w:num w:numId="3">
    <w:abstractNumId w:val="28"/>
  </w:num>
  <w:num w:numId="4">
    <w:abstractNumId w:val="43"/>
  </w:num>
  <w:num w:numId="5">
    <w:abstractNumId w:val="2"/>
  </w:num>
  <w:num w:numId="6">
    <w:abstractNumId w:val="37"/>
  </w:num>
  <w:num w:numId="7">
    <w:abstractNumId w:val="15"/>
  </w:num>
  <w:num w:numId="8">
    <w:abstractNumId w:val="7"/>
  </w:num>
  <w:num w:numId="9">
    <w:abstractNumId w:val="49"/>
  </w:num>
  <w:num w:numId="10">
    <w:abstractNumId w:val="30"/>
  </w:num>
  <w:num w:numId="11">
    <w:abstractNumId w:val="46"/>
  </w:num>
  <w:num w:numId="12">
    <w:abstractNumId w:val="27"/>
  </w:num>
  <w:num w:numId="13">
    <w:abstractNumId w:val="6"/>
  </w:num>
  <w:num w:numId="14">
    <w:abstractNumId w:val="21"/>
  </w:num>
  <w:num w:numId="15">
    <w:abstractNumId w:val="22"/>
  </w:num>
  <w:num w:numId="16">
    <w:abstractNumId w:val="10"/>
  </w:num>
  <w:num w:numId="17">
    <w:abstractNumId w:val="9"/>
  </w:num>
  <w:num w:numId="18">
    <w:abstractNumId w:val="59"/>
  </w:num>
  <w:num w:numId="19">
    <w:abstractNumId w:val="11"/>
  </w:num>
  <w:num w:numId="20">
    <w:abstractNumId w:val="2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62"/>
  </w:num>
  <w:num w:numId="25">
    <w:abstractNumId w:val="44"/>
  </w:num>
  <w:num w:numId="26">
    <w:abstractNumId w:val="55"/>
  </w:num>
  <w:num w:numId="27">
    <w:abstractNumId w:val="60"/>
  </w:num>
  <w:num w:numId="28">
    <w:abstractNumId w:val="42"/>
  </w:num>
  <w:num w:numId="29">
    <w:abstractNumId w:val="8"/>
  </w:num>
  <w:num w:numId="30">
    <w:abstractNumId w:val="18"/>
  </w:num>
  <w:num w:numId="31">
    <w:abstractNumId w:val="56"/>
  </w:num>
  <w:num w:numId="32">
    <w:abstractNumId w:val="50"/>
  </w:num>
  <w:num w:numId="33">
    <w:abstractNumId w:val="35"/>
  </w:num>
  <w:num w:numId="34">
    <w:abstractNumId w:val="48"/>
  </w:num>
  <w:num w:numId="35">
    <w:abstractNumId w:val="23"/>
  </w:num>
  <w:num w:numId="36">
    <w:abstractNumId w:val="51"/>
  </w:num>
  <w:num w:numId="37">
    <w:abstractNumId w:val="1"/>
  </w:num>
  <w:num w:numId="38">
    <w:abstractNumId w:val="0"/>
  </w:num>
  <w:num w:numId="39">
    <w:abstractNumId w:val="45"/>
  </w:num>
  <w:num w:numId="40">
    <w:abstractNumId w:val="24"/>
  </w:num>
  <w:num w:numId="41">
    <w:abstractNumId w:val="41"/>
  </w:num>
  <w:num w:numId="42">
    <w:abstractNumId w:val="29"/>
  </w:num>
  <w:num w:numId="43">
    <w:abstractNumId w:val="38"/>
  </w:num>
  <w:num w:numId="44">
    <w:abstractNumId w:val="31"/>
  </w:num>
  <w:num w:numId="45">
    <w:abstractNumId w:val="16"/>
  </w:num>
  <w:num w:numId="46">
    <w:abstractNumId w:val="61"/>
  </w:num>
  <w:num w:numId="47">
    <w:abstractNumId w:val="4"/>
  </w:num>
  <w:num w:numId="48">
    <w:abstractNumId w:val="17"/>
  </w:num>
  <w:num w:numId="49">
    <w:abstractNumId w:val="25"/>
  </w:num>
  <w:num w:numId="50">
    <w:abstractNumId w:val="5"/>
  </w:num>
  <w:num w:numId="51">
    <w:abstractNumId w:val="14"/>
  </w:num>
  <w:num w:numId="52">
    <w:abstractNumId w:val="32"/>
  </w:num>
  <w:num w:numId="53">
    <w:abstractNumId w:val="54"/>
  </w:num>
  <w:num w:numId="54">
    <w:abstractNumId w:val="39"/>
  </w:num>
  <w:num w:numId="55">
    <w:abstractNumId w:val="13"/>
  </w:num>
  <w:num w:numId="56">
    <w:abstractNumId w:val="20"/>
  </w:num>
  <w:num w:numId="57">
    <w:abstractNumId w:val="57"/>
  </w:num>
  <w:num w:numId="58">
    <w:abstractNumId w:val="34"/>
  </w:num>
  <w:num w:numId="59">
    <w:abstractNumId w:val="58"/>
  </w:num>
  <w:num w:numId="60">
    <w:abstractNumId w:val="12"/>
  </w:num>
  <w:num w:numId="61">
    <w:abstractNumId w:val="53"/>
  </w:num>
  <w:num w:numId="62">
    <w:abstractNumId w:val="19"/>
  </w:num>
  <w:num w:numId="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068A2"/>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86DC3"/>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3691F"/>
    <w:rsid w:val="001641C9"/>
    <w:rsid w:val="00173975"/>
    <w:rsid w:val="00177C62"/>
    <w:rsid w:val="00185E9A"/>
    <w:rsid w:val="001A0AB1"/>
    <w:rsid w:val="001A1335"/>
    <w:rsid w:val="001A2B2A"/>
    <w:rsid w:val="001A54E8"/>
    <w:rsid w:val="001B03BB"/>
    <w:rsid w:val="001B38CD"/>
    <w:rsid w:val="001B6C3D"/>
    <w:rsid w:val="001B7441"/>
    <w:rsid w:val="001C1A58"/>
    <w:rsid w:val="001C7B23"/>
    <w:rsid w:val="001D2460"/>
    <w:rsid w:val="001D3EE7"/>
    <w:rsid w:val="001D4BF5"/>
    <w:rsid w:val="001D4EAB"/>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968E3"/>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41D"/>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338A"/>
    <w:rsid w:val="00484C57"/>
    <w:rsid w:val="004871A8"/>
    <w:rsid w:val="004912A5"/>
    <w:rsid w:val="004A4F81"/>
    <w:rsid w:val="004B0CC2"/>
    <w:rsid w:val="004B118F"/>
    <w:rsid w:val="004B22DE"/>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05290"/>
    <w:rsid w:val="00511E96"/>
    <w:rsid w:val="0051229B"/>
    <w:rsid w:val="005130B9"/>
    <w:rsid w:val="0051781B"/>
    <w:rsid w:val="005226FC"/>
    <w:rsid w:val="00522A02"/>
    <w:rsid w:val="00522D80"/>
    <w:rsid w:val="00525A93"/>
    <w:rsid w:val="005343DA"/>
    <w:rsid w:val="005437D7"/>
    <w:rsid w:val="005445A9"/>
    <w:rsid w:val="00545B0F"/>
    <w:rsid w:val="00545EDA"/>
    <w:rsid w:val="00552BFE"/>
    <w:rsid w:val="005561FB"/>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8A1"/>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13DA"/>
    <w:rsid w:val="006440C5"/>
    <w:rsid w:val="00646F35"/>
    <w:rsid w:val="0064700C"/>
    <w:rsid w:val="00651541"/>
    <w:rsid w:val="00663B35"/>
    <w:rsid w:val="00666B23"/>
    <w:rsid w:val="0067786F"/>
    <w:rsid w:val="00680A96"/>
    <w:rsid w:val="006854AE"/>
    <w:rsid w:val="00690659"/>
    <w:rsid w:val="00695EF6"/>
    <w:rsid w:val="006A2B14"/>
    <w:rsid w:val="006A55F4"/>
    <w:rsid w:val="006A6A07"/>
    <w:rsid w:val="006A6C1D"/>
    <w:rsid w:val="006A6C51"/>
    <w:rsid w:val="006A7A3D"/>
    <w:rsid w:val="006C00CA"/>
    <w:rsid w:val="006C0B5F"/>
    <w:rsid w:val="006C0B7B"/>
    <w:rsid w:val="006C1AF1"/>
    <w:rsid w:val="006C6FDC"/>
    <w:rsid w:val="006D0229"/>
    <w:rsid w:val="006D1D6E"/>
    <w:rsid w:val="006F0D07"/>
    <w:rsid w:val="006F49EE"/>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14BE"/>
    <w:rsid w:val="007E3D3C"/>
    <w:rsid w:val="007F504A"/>
    <w:rsid w:val="007F6863"/>
    <w:rsid w:val="007F6F97"/>
    <w:rsid w:val="00802536"/>
    <w:rsid w:val="00804419"/>
    <w:rsid w:val="0081114F"/>
    <w:rsid w:val="008166C4"/>
    <w:rsid w:val="00816910"/>
    <w:rsid w:val="00820E08"/>
    <w:rsid w:val="00821E3D"/>
    <w:rsid w:val="0082486D"/>
    <w:rsid w:val="008258AD"/>
    <w:rsid w:val="00835FDE"/>
    <w:rsid w:val="008456E3"/>
    <w:rsid w:val="00845DF8"/>
    <w:rsid w:val="00852604"/>
    <w:rsid w:val="00863EDD"/>
    <w:rsid w:val="00866FCC"/>
    <w:rsid w:val="00876E59"/>
    <w:rsid w:val="00877211"/>
    <w:rsid w:val="0088586B"/>
    <w:rsid w:val="008879F9"/>
    <w:rsid w:val="008906B3"/>
    <w:rsid w:val="008966BE"/>
    <w:rsid w:val="008A30BA"/>
    <w:rsid w:val="008A5E04"/>
    <w:rsid w:val="008B0002"/>
    <w:rsid w:val="008B4F32"/>
    <w:rsid w:val="008B5601"/>
    <w:rsid w:val="008B6529"/>
    <w:rsid w:val="008C23E3"/>
    <w:rsid w:val="008D35F1"/>
    <w:rsid w:val="008D3612"/>
    <w:rsid w:val="008D5777"/>
    <w:rsid w:val="008D7D59"/>
    <w:rsid w:val="008E2203"/>
    <w:rsid w:val="008F1B81"/>
    <w:rsid w:val="008F3383"/>
    <w:rsid w:val="008F520A"/>
    <w:rsid w:val="009020C7"/>
    <w:rsid w:val="0090240A"/>
    <w:rsid w:val="00903A2D"/>
    <w:rsid w:val="00905F6A"/>
    <w:rsid w:val="00907388"/>
    <w:rsid w:val="00914F14"/>
    <w:rsid w:val="009166FD"/>
    <w:rsid w:val="009231EA"/>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1EA6"/>
    <w:rsid w:val="009921F4"/>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07ED3"/>
    <w:rsid w:val="00A116CE"/>
    <w:rsid w:val="00A1585C"/>
    <w:rsid w:val="00A16E33"/>
    <w:rsid w:val="00A27BC0"/>
    <w:rsid w:val="00A30AE5"/>
    <w:rsid w:val="00A30DFD"/>
    <w:rsid w:val="00A33A80"/>
    <w:rsid w:val="00A3568F"/>
    <w:rsid w:val="00A36FFA"/>
    <w:rsid w:val="00A40BC9"/>
    <w:rsid w:val="00A46DEF"/>
    <w:rsid w:val="00A47519"/>
    <w:rsid w:val="00A5026C"/>
    <w:rsid w:val="00A51D8F"/>
    <w:rsid w:val="00A52A2B"/>
    <w:rsid w:val="00A55199"/>
    <w:rsid w:val="00A62860"/>
    <w:rsid w:val="00A678FB"/>
    <w:rsid w:val="00A813D2"/>
    <w:rsid w:val="00A837A7"/>
    <w:rsid w:val="00A879DB"/>
    <w:rsid w:val="00A92A55"/>
    <w:rsid w:val="00AB2B17"/>
    <w:rsid w:val="00AB3343"/>
    <w:rsid w:val="00AC1ADB"/>
    <w:rsid w:val="00AC1BB4"/>
    <w:rsid w:val="00AC399F"/>
    <w:rsid w:val="00AC584B"/>
    <w:rsid w:val="00AD18FC"/>
    <w:rsid w:val="00AD52A3"/>
    <w:rsid w:val="00AD634F"/>
    <w:rsid w:val="00AE02A5"/>
    <w:rsid w:val="00AF18BF"/>
    <w:rsid w:val="00B002B6"/>
    <w:rsid w:val="00B0070A"/>
    <w:rsid w:val="00B0696E"/>
    <w:rsid w:val="00B161F2"/>
    <w:rsid w:val="00B20FD9"/>
    <w:rsid w:val="00B36D9B"/>
    <w:rsid w:val="00B37F1F"/>
    <w:rsid w:val="00B4413E"/>
    <w:rsid w:val="00B52520"/>
    <w:rsid w:val="00B67CCB"/>
    <w:rsid w:val="00B73233"/>
    <w:rsid w:val="00B73CD6"/>
    <w:rsid w:val="00B77184"/>
    <w:rsid w:val="00B80369"/>
    <w:rsid w:val="00B81B2F"/>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3506"/>
    <w:rsid w:val="00C040D1"/>
    <w:rsid w:val="00C05B9A"/>
    <w:rsid w:val="00C139A6"/>
    <w:rsid w:val="00C1592E"/>
    <w:rsid w:val="00C23D6F"/>
    <w:rsid w:val="00C363B3"/>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D3FFE"/>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73220"/>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E6F9B"/>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A4623"/>
    <w:rsid w:val="00EB004F"/>
    <w:rsid w:val="00EB16ED"/>
    <w:rsid w:val="00EB1E3A"/>
    <w:rsid w:val="00EB4033"/>
    <w:rsid w:val="00EB482A"/>
    <w:rsid w:val="00ED0545"/>
    <w:rsid w:val="00ED53B7"/>
    <w:rsid w:val="00EE35EF"/>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A08C8"/>
    <w:rsid w:val="00FB2B31"/>
    <w:rsid w:val="00FC140A"/>
    <w:rsid w:val="00FC2E73"/>
    <w:rsid w:val="00FC492E"/>
    <w:rsid w:val="00FD11DF"/>
    <w:rsid w:val="00FD30DA"/>
    <w:rsid w:val="00FD44A8"/>
    <w:rsid w:val="00FE2024"/>
    <w:rsid w:val="00FE51C1"/>
    <w:rsid w:val="00FE74BE"/>
    <w:rsid w:val="00FF0213"/>
    <w:rsid w:val="00FF328A"/>
    <w:rsid w:val="00FF37FD"/>
    <w:rsid w:val="00FF3C6D"/>
    <w:rsid w:val="00FF4FBA"/>
    <w:rsid w:val="00FF6E00"/>
    <w:rsid w:val="01113167"/>
    <w:rsid w:val="01251FE4"/>
    <w:rsid w:val="023307B1"/>
    <w:rsid w:val="025C69B5"/>
    <w:rsid w:val="02E41163"/>
    <w:rsid w:val="03341C2A"/>
    <w:rsid w:val="03A73CF4"/>
    <w:rsid w:val="043C047C"/>
    <w:rsid w:val="04753635"/>
    <w:rsid w:val="050A2EF7"/>
    <w:rsid w:val="050F617A"/>
    <w:rsid w:val="05271FBF"/>
    <w:rsid w:val="05321762"/>
    <w:rsid w:val="055A6F7E"/>
    <w:rsid w:val="05993D0E"/>
    <w:rsid w:val="06350E0F"/>
    <w:rsid w:val="073221B0"/>
    <w:rsid w:val="077661F2"/>
    <w:rsid w:val="07CE7B70"/>
    <w:rsid w:val="0809697E"/>
    <w:rsid w:val="082166BC"/>
    <w:rsid w:val="088A21E9"/>
    <w:rsid w:val="08DB72C8"/>
    <w:rsid w:val="091E3D8C"/>
    <w:rsid w:val="09E56383"/>
    <w:rsid w:val="0A5A5647"/>
    <w:rsid w:val="0A6722A5"/>
    <w:rsid w:val="0AA67147"/>
    <w:rsid w:val="0AB4169F"/>
    <w:rsid w:val="0B010D04"/>
    <w:rsid w:val="0B400D75"/>
    <w:rsid w:val="0B7D1B5D"/>
    <w:rsid w:val="0B9F2AC0"/>
    <w:rsid w:val="0BA2092A"/>
    <w:rsid w:val="0BE14814"/>
    <w:rsid w:val="0CB9775F"/>
    <w:rsid w:val="0CC0067C"/>
    <w:rsid w:val="0CC0394B"/>
    <w:rsid w:val="0CF13A17"/>
    <w:rsid w:val="0D1358DA"/>
    <w:rsid w:val="0D6C4007"/>
    <w:rsid w:val="0D6F5C11"/>
    <w:rsid w:val="0DB77A48"/>
    <w:rsid w:val="0DD618E8"/>
    <w:rsid w:val="0E091336"/>
    <w:rsid w:val="0E3E4F5B"/>
    <w:rsid w:val="0E3F7730"/>
    <w:rsid w:val="0E71464A"/>
    <w:rsid w:val="0E825D03"/>
    <w:rsid w:val="0EC41D1A"/>
    <w:rsid w:val="0EF80799"/>
    <w:rsid w:val="0F083563"/>
    <w:rsid w:val="0F094BCA"/>
    <w:rsid w:val="0F1858A5"/>
    <w:rsid w:val="0F287BE7"/>
    <w:rsid w:val="0F6416B5"/>
    <w:rsid w:val="0F694D6B"/>
    <w:rsid w:val="0F7C6AF1"/>
    <w:rsid w:val="0F7F4D20"/>
    <w:rsid w:val="0FA60940"/>
    <w:rsid w:val="0FC46A1A"/>
    <w:rsid w:val="0FE208E9"/>
    <w:rsid w:val="0FED7981"/>
    <w:rsid w:val="0FFF143B"/>
    <w:rsid w:val="1014394B"/>
    <w:rsid w:val="10CB6668"/>
    <w:rsid w:val="10E27459"/>
    <w:rsid w:val="10E55AF8"/>
    <w:rsid w:val="11571CB0"/>
    <w:rsid w:val="11790A61"/>
    <w:rsid w:val="11923040"/>
    <w:rsid w:val="11957B06"/>
    <w:rsid w:val="11B50844"/>
    <w:rsid w:val="11C7720E"/>
    <w:rsid w:val="11DE626E"/>
    <w:rsid w:val="11E63E75"/>
    <w:rsid w:val="120E6168"/>
    <w:rsid w:val="12343106"/>
    <w:rsid w:val="12E108CB"/>
    <w:rsid w:val="13B76D00"/>
    <w:rsid w:val="13FA0681"/>
    <w:rsid w:val="14945D5B"/>
    <w:rsid w:val="14A94CF4"/>
    <w:rsid w:val="14AE4F56"/>
    <w:rsid w:val="14CC700A"/>
    <w:rsid w:val="153E46B7"/>
    <w:rsid w:val="153F1690"/>
    <w:rsid w:val="155D3B67"/>
    <w:rsid w:val="1567566A"/>
    <w:rsid w:val="159A33B0"/>
    <w:rsid w:val="159E136B"/>
    <w:rsid w:val="15E8409F"/>
    <w:rsid w:val="15FA4063"/>
    <w:rsid w:val="161B5D97"/>
    <w:rsid w:val="16366A38"/>
    <w:rsid w:val="16701D56"/>
    <w:rsid w:val="167927D0"/>
    <w:rsid w:val="167F0D15"/>
    <w:rsid w:val="16C96D86"/>
    <w:rsid w:val="16DE16D6"/>
    <w:rsid w:val="16E22F95"/>
    <w:rsid w:val="1754101C"/>
    <w:rsid w:val="17B45CB5"/>
    <w:rsid w:val="17C045F7"/>
    <w:rsid w:val="17D202A3"/>
    <w:rsid w:val="17F15BF1"/>
    <w:rsid w:val="180C4A50"/>
    <w:rsid w:val="181D7DB6"/>
    <w:rsid w:val="1874566F"/>
    <w:rsid w:val="18945D84"/>
    <w:rsid w:val="18CA29D4"/>
    <w:rsid w:val="18E76809"/>
    <w:rsid w:val="18F026E1"/>
    <w:rsid w:val="190372C1"/>
    <w:rsid w:val="196041C6"/>
    <w:rsid w:val="19C12940"/>
    <w:rsid w:val="19F121F3"/>
    <w:rsid w:val="19FD4A34"/>
    <w:rsid w:val="1A273064"/>
    <w:rsid w:val="1A736E76"/>
    <w:rsid w:val="1A8136B0"/>
    <w:rsid w:val="1B256490"/>
    <w:rsid w:val="1BB26E9B"/>
    <w:rsid w:val="1BB65E8E"/>
    <w:rsid w:val="1BE822F1"/>
    <w:rsid w:val="1CBA2BE7"/>
    <w:rsid w:val="1CF118E6"/>
    <w:rsid w:val="1D131ECC"/>
    <w:rsid w:val="1D5D7AE8"/>
    <w:rsid w:val="1D750C8F"/>
    <w:rsid w:val="1DFD4040"/>
    <w:rsid w:val="1E2B1B0C"/>
    <w:rsid w:val="1E70698D"/>
    <w:rsid w:val="1EAA4D4A"/>
    <w:rsid w:val="1EC336B1"/>
    <w:rsid w:val="1F11676B"/>
    <w:rsid w:val="1F19061E"/>
    <w:rsid w:val="201F757A"/>
    <w:rsid w:val="205179CC"/>
    <w:rsid w:val="20695304"/>
    <w:rsid w:val="20C0638A"/>
    <w:rsid w:val="21075AEB"/>
    <w:rsid w:val="21294802"/>
    <w:rsid w:val="21301669"/>
    <w:rsid w:val="21AB23EF"/>
    <w:rsid w:val="21C304A2"/>
    <w:rsid w:val="223E487C"/>
    <w:rsid w:val="22AD30BD"/>
    <w:rsid w:val="22E72707"/>
    <w:rsid w:val="236061AB"/>
    <w:rsid w:val="24EA4263"/>
    <w:rsid w:val="26182F62"/>
    <w:rsid w:val="2652762E"/>
    <w:rsid w:val="266E2D31"/>
    <w:rsid w:val="26AD65D4"/>
    <w:rsid w:val="26BF6283"/>
    <w:rsid w:val="26F855C1"/>
    <w:rsid w:val="279B3E45"/>
    <w:rsid w:val="27A36C85"/>
    <w:rsid w:val="27CD3014"/>
    <w:rsid w:val="27F22FC8"/>
    <w:rsid w:val="28473A24"/>
    <w:rsid w:val="288276C8"/>
    <w:rsid w:val="28D61ACE"/>
    <w:rsid w:val="28EC18A1"/>
    <w:rsid w:val="295E2013"/>
    <w:rsid w:val="2965017D"/>
    <w:rsid w:val="296A2836"/>
    <w:rsid w:val="29DA4E59"/>
    <w:rsid w:val="29DC6386"/>
    <w:rsid w:val="29E87A3C"/>
    <w:rsid w:val="2A686013"/>
    <w:rsid w:val="2B187534"/>
    <w:rsid w:val="2B3653CA"/>
    <w:rsid w:val="2B5F5151"/>
    <w:rsid w:val="2B645E52"/>
    <w:rsid w:val="2BC61C68"/>
    <w:rsid w:val="2C1B70A3"/>
    <w:rsid w:val="2C207B9A"/>
    <w:rsid w:val="2C312DD5"/>
    <w:rsid w:val="2CC12BD2"/>
    <w:rsid w:val="2CDF1CF2"/>
    <w:rsid w:val="2CE46C7C"/>
    <w:rsid w:val="2D0143A7"/>
    <w:rsid w:val="2D090A00"/>
    <w:rsid w:val="2D173D67"/>
    <w:rsid w:val="2D176053"/>
    <w:rsid w:val="2E1D728B"/>
    <w:rsid w:val="2E632643"/>
    <w:rsid w:val="2E6E6D00"/>
    <w:rsid w:val="2ED700C7"/>
    <w:rsid w:val="2EE14B5C"/>
    <w:rsid w:val="2F5912BA"/>
    <w:rsid w:val="2FA01590"/>
    <w:rsid w:val="2FA756BA"/>
    <w:rsid w:val="2FC50FFD"/>
    <w:rsid w:val="2FF83143"/>
    <w:rsid w:val="304A6516"/>
    <w:rsid w:val="3050657B"/>
    <w:rsid w:val="30B73C14"/>
    <w:rsid w:val="30BD21AC"/>
    <w:rsid w:val="30E45C91"/>
    <w:rsid w:val="31130BB0"/>
    <w:rsid w:val="31614F93"/>
    <w:rsid w:val="3163718C"/>
    <w:rsid w:val="318C1505"/>
    <w:rsid w:val="31E22B88"/>
    <w:rsid w:val="31FC5DB5"/>
    <w:rsid w:val="320E7385"/>
    <w:rsid w:val="32472000"/>
    <w:rsid w:val="324F5940"/>
    <w:rsid w:val="326A018F"/>
    <w:rsid w:val="326A082B"/>
    <w:rsid w:val="32E93611"/>
    <w:rsid w:val="32ED01A2"/>
    <w:rsid w:val="33BF58B0"/>
    <w:rsid w:val="342769DA"/>
    <w:rsid w:val="346B15AF"/>
    <w:rsid w:val="347A4410"/>
    <w:rsid w:val="34AF6F67"/>
    <w:rsid w:val="34C64075"/>
    <w:rsid w:val="350B2553"/>
    <w:rsid w:val="35697647"/>
    <w:rsid w:val="35DF00A7"/>
    <w:rsid w:val="363B6771"/>
    <w:rsid w:val="364F5A14"/>
    <w:rsid w:val="365A1F4A"/>
    <w:rsid w:val="369F46C2"/>
    <w:rsid w:val="36B67562"/>
    <w:rsid w:val="36DF3915"/>
    <w:rsid w:val="373A69E2"/>
    <w:rsid w:val="378F56BF"/>
    <w:rsid w:val="37F27085"/>
    <w:rsid w:val="38207223"/>
    <w:rsid w:val="382858A0"/>
    <w:rsid w:val="38660525"/>
    <w:rsid w:val="38FB7A30"/>
    <w:rsid w:val="395F14A6"/>
    <w:rsid w:val="39675552"/>
    <w:rsid w:val="397C5F9A"/>
    <w:rsid w:val="39A7418E"/>
    <w:rsid w:val="39F04D08"/>
    <w:rsid w:val="3A3057C7"/>
    <w:rsid w:val="3B0E7DC6"/>
    <w:rsid w:val="3B4F20CC"/>
    <w:rsid w:val="3B65577D"/>
    <w:rsid w:val="3C253097"/>
    <w:rsid w:val="3C8E1C6D"/>
    <w:rsid w:val="3CCB03ED"/>
    <w:rsid w:val="3CCF7EA5"/>
    <w:rsid w:val="3D58338A"/>
    <w:rsid w:val="3D955D30"/>
    <w:rsid w:val="3DC0184D"/>
    <w:rsid w:val="3DE97DB8"/>
    <w:rsid w:val="3DF42481"/>
    <w:rsid w:val="3E021A90"/>
    <w:rsid w:val="3E8E020C"/>
    <w:rsid w:val="3E907A08"/>
    <w:rsid w:val="3EB11D4E"/>
    <w:rsid w:val="3EE7522B"/>
    <w:rsid w:val="3F431656"/>
    <w:rsid w:val="3FC972A0"/>
    <w:rsid w:val="404F533F"/>
    <w:rsid w:val="409C0C75"/>
    <w:rsid w:val="40AC1330"/>
    <w:rsid w:val="41295AAC"/>
    <w:rsid w:val="414E14EE"/>
    <w:rsid w:val="419B7746"/>
    <w:rsid w:val="41A213FE"/>
    <w:rsid w:val="41A25D3E"/>
    <w:rsid w:val="41C32F69"/>
    <w:rsid w:val="4213428A"/>
    <w:rsid w:val="4271068F"/>
    <w:rsid w:val="42963A46"/>
    <w:rsid w:val="42AE3840"/>
    <w:rsid w:val="439C67F1"/>
    <w:rsid w:val="440E0498"/>
    <w:rsid w:val="44296CFC"/>
    <w:rsid w:val="44362628"/>
    <w:rsid w:val="443A6445"/>
    <w:rsid w:val="44760F96"/>
    <w:rsid w:val="448636F5"/>
    <w:rsid w:val="44950120"/>
    <w:rsid w:val="44B801AA"/>
    <w:rsid w:val="457D2D67"/>
    <w:rsid w:val="45805AFC"/>
    <w:rsid w:val="45A13183"/>
    <w:rsid w:val="45FA6EC7"/>
    <w:rsid w:val="46926D3E"/>
    <w:rsid w:val="46C66822"/>
    <w:rsid w:val="46ED7E92"/>
    <w:rsid w:val="476228D5"/>
    <w:rsid w:val="477B56F0"/>
    <w:rsid w:val="47E37805"/>
    <w:rsid w:val="488520D2"/>
    <w:rsid w:val="48BD68ED"/>
    <w:rsid w:val="493A18C5"/>
    <w:rsid w:val="49C75BDC"/>
    <w:rsid w:val="4A0478B6"/>
    <w:rsid w:val="4A2730AA"/>
    <w:rsid w:val="4A4A179E"/>
    <w:rsid w:val="4ABC651C"/>
    <w:rsid w:val="4B2F0947"/>
    <w:rsid w:val="4B310E45"/>
    <w:rsid w:val="4BA33A63"/>
    <w:rsid w:val="4C2D33F0"/>
    <w:rsid w:val="4C3749B1"/>
    <w:rsid w:val="4C5A25C1"/>
    <w:rsid w:val="4CB21BB7"/>
    <w:rsid w:val="4CB80F51"/>
    <w:rsid w:val="4CBA00A3"/>
    <w:rsid w:val="4CEB4BB9"/>
    <w:rsid w:val="4D2D779A"/>
    <w:rsid w:val="4D752AF8"/>
    <w:rsid w:val="4D9A5914"/>
    <w:rsid w:val="4DB06410"/>
    <w:rsid w:val="4EAA1232"/>
    <w:rsid w:val="4F10670E"/>
    <w:rsid w:val="4F1E3C27"/>
    <w:rsid w:val="4F506FAA"/>
    <w:rsid w:val="4F7044D5"/>
    <w:rsid w:val="4F7F38D0"/>
    <w:rsid w:val="517A21E4"/>
    <w:rsid w:val="51C24008"/>
    <w:rsid w:val="51C41DB6"/>
    <w:rsid w:val="51C43CF1"/>
    <w:rsid w:val="51D6032A"/>
    <w:rsid w:val="52085501"/>
    <w:rsid w:val="52396B69"/>
    <w:rsid w:val="527F3B83"/>
    <w:rsid w:val="528F4749"/>
    <w:rsid w:val="52A17C38"/>
    <w:rsid w:val="52B3226E"/>
    <w:rsid w:val="53562893"/>
    <w:rsid w:val="536207BC"/>
    <w:rsid w:val="53DD6156"/>
    <w:rsid w:val="53F313D3"/>
    <w:rsid w:val="54612FB2"/>
    <w:rsid w:val="54673411"/>
    <w:rsid w:val="54810ABF"/>
    <w:rsid w:val="54C93402"/>
    <w:rsid w:val="54D85F2F"/>
    <w:rsid w:val="55170801"/>
    <w:rsid w:val="55302BE2"/>
    <w:rsid w:val="556D1245"/>
    <w:rsid w:val="55F23A50"/>
    <w:rsid w:val="56281695"/>
    <w:rsid w:val="56854657"/>
    <w:rsid w:val="56B87E13"/>
    <w:rsid w:val="56C03072"/>
    <w:rsid w:val="5746347B"/>
    <w:rsid w:val="57DA3C31"/>
    <w:rsid w:val="581A7F84"/>
    <w:rsid w:val="581E21A7"/>
    <w:rsid w:val="58DC181F"/>
    <w:rsid w:val="58FF3DAD"/>
    <w:rsid w:val="593D32F5"/>
    <w:rsid w:val="59660A89"/>
    <w:rsid w:val="59745DBA"/>
    <w:rsid w:val="597A1A09"/>
    <w:rsid w:val="5991071A"/>
    <w:rsid w:val="5A0500F1"/>
    <w:rsid w:val="5B1A726F"/>
    <w:rsid w:val="5B2F7AA6"/>
    <w:rsid w:val="5B404C1F"/>
    <w:rsid w:val="5B4F3DFD"/>
    <w:rsid w:val="5B8403F2"/>
    <w:rsid w:val="5C2D4854"/>
    <w:rsid w:val="5C4A5324"/>
    <w:rsid w:val="5C650896"/>
    <w:rsid w:val="5C7553AF"/>
    <w:rsid w:val="5D160DA1"/>
    <w:rsid w:val="5D557E6C"/>
    <w:rsid w:val="5D69161B"/>
    <w:rsid w:val="5DAF48A5"/>
    <w:rsid w:val="5DC96A80"/>
    <w:rsid w:val="5E6333A4"/>
    <w:rsid w:val="5E7D7624"/>
    <w:rsid w:val="5EAA44A3"/>
    <w:rsid w:val="5EAF3AC1"/>
    <w:rsid w:val="5EDE5A6C"/>
    <w:rsid w:val="5F01496B"/>
    <w:rsid w:val="5F1734DA"/>
    <w:rsid w:val="5FC2151D"/>
    <w:rsid w:val="5FEA74EE"/>
    <w:rsid w:val="5FF259E6"/>
    <w:rsid w:val="600970A0"/>
    <w:rsid w:val="601849F0"/>
    <w:rsid w:val="60480552"/>
    <w:rsid w:val="606E7BC8"/>
    <w:rsid w:val="60836123"/>
    <w:rsid w:val="60991A6B"/>
    <w:rsid w:val="60D060E5"/>
    <w:rsid w:val="60F40AD1"/>
    <w:rsid w:val="615B2B13"/>
    <w:rsid w:val="617843B8"/>
    <w:rsid w:val="61843E5A"/>
    <w:rsid w:val="61B8642D"/>
    <w:rsid w:val="61FC1355"/>
    <w:rsid w:val="62080AAB"/>
    <w:rsid w:val="625D4F5F"/>
    <w:rsid w:val="628C48D0"/>
    <w:rsid w:val="62C727FA"/>
    <w:rsid w:val="632B3C0F"/>
    <w:rsid w:val="638B7F37"/>
    <w:rsid w:val="63BF1EF6"/>
    <w:rsid w:val="63C33586"/>
    <w:rsid w:val="64704269"/>
    <w:rsid w:val="64802F45"/>
    <w:rsid w:val="648733DE"/>
    <w:rsid w:val="6496267C"/>
    <w:rsid w:val="64C10AAF"/>
    <w:rsid w:val="64F01F47"/>
    <w:rsid w:val="655B3835"/>
    <w:rsid w:val="65983981"/>
    <w:rsid w:val="663620D2"/>
    <w:rsid w:val="668C644E"/>
    <w:rsid w:val="66E342C3"/>
    <w:rsid w:val="66FC5550"/>
    <w:rsid w:val="6736144D"/>
    <w:rsid w:val="675438BC"/>
    <w:rsid w:val="67785175"/>
    <w:rsid w:val="68713C99"/>
    <w:rsid w:val="68847C46"/>
    <w:rsid w:val="68D72DA7"/>
    <w:rsid w:val="69222A26"/>
    <w:rsid w:val="695D0CFC"/>
    <w:rsid w:val="697005D4"/>
    <w:rsid w:val="69B557BB"/>
    <w:rsid w:val="69C113EC"/>
    <w:rsid w:val="69FA707D"/>
    <w:rsid w:val="6A1E29C6"/>
    <w:rsid w:val="6A437F85"/>
    <w:rsid w:val="6A4806DA"/>
    <w:rsid w:val="6ADF2CC8"/>
    <w:rsid w:val="6B040518"/>
    <w:rsid w:val="6B0F08A2"/>
    <w:rsid w:val="6B4138E8"/>
    <w:rsid w:val="6B5A1ADE"/>
    <w:rsid w:val="6B6F68C3"/>
    <w:rsid w:val="6BAC0003"/>
    <w:rsid w:val="6BB54B12"/>
    <w:rsid w:val="6CA63B41"/>
    <w:rsid w:val="6D001766"/>
    <w:rsid w:val="6D1E19C3"/>
    <w:rsid w:val="6D3735EE"/>
    <w:rsid w:val="6D4D74AD"/>
    <w:rsid w:val="6D5C3768"/>
    <w:rsid w:val="6D7A20EC"/>
    <w:rsid w:val="6DA07ABC"/>
    <w:rsid w:val="6DEA08AB"/>
    <w:rsid w:val="6DF8710A"/>
    <w:rsid w:val="6E152FEC"/>
    <w:rsid w:val="6E277A1B"/>
    <w:rsid w:val="6E6E65D7"/>
    <w:rsid w:val="6E8476C0"/>
    <w:rsid w:val="6F075967"/>
    <w:rsid w:val="6F196960"/>
    <w:rsid w:val="6FBB18A6"/>
    <w:rsid w:val="712F7E39"/>
    <w:rsid w:val="71C932BC"/>
    <w:rsid w:val="71CB3A83"/>
    <w:rsid w:val="722778FF"/>
    <w:rsid w:val="72712EF8"/>
    <w:rsid w:val="72734B2D"/>
    <w:rsid w:val="730F3AD5"/>
    <w:rsid w:val="7332341B"/>
    <w:rsid w:val="73AF6CAB"/>
    <w:rsid w:val="73BE3EAF"/>
    <w:rsid w:val="74587CBB"/>
    <w:rsid w:val="74BE5A9A"/>
    <w:rsid w:val="7535244A"/>
    <w:rsid w:val="75513A62"/>
    <w:rsid w:val="756022D8"/>
    <w:rsid w:val="75A01ED0"/>
    <w:rsid w:val="76367DD2"/>
    <w:rsid w:val="763B62F6"/>
    <w:rsid w:val="768264FD"/>
    <w:rsid w:val="769B2DC9"/>
    <w:rsid w:val="772E24FF"/>
    <w:rsid w:val="77404E33"/>
    <w:rsid w:val="777F205E"/>
    <w:rsid w:val="77D42784"/>
    <w:rsid w:val="77DA2120"/>
    <w:rsid w:val="78894042"/>
    <w:rsid w:val="79002118"/>
    <w:rsid w:val="79115E5B"/>
    <w:rsid w:val="79191A09"/>
    <w:rsid w:val="791E1E69"/>
    <w:rsid w:val="7959031D"/>
    <w:rsid w:val="79FC672F"/>
    <w:rsid w:val="7A683C4A"/>
    <w:rsid w:val="7AF955AB"/>
    <w:rsid w:val="7B2852BF"/>
    <w:rsid w:val="7B6411C7"/>
    <w:rsid w:val="7B72033A"/>
    <w:rsid w:val="7B747AF7"/>
    <w:rsid w:val="7BC0350F"/>
    <w:rsid w:val="7BE87FB8"/>
    <w:rsid w:val="7BFF385D"/>
    <w:rsid w:val="7C202697"/>
    <w:rsid w:val="7C595D0B"/>
    <w:rsid w:val="7C865883"/>
    <w:rsid w:val="7CA46709"/>
    <w:rsid w:val="7CD86C1D"/>
    <w:rsid w:val="7D49280E"/>
    <w:rsid w:val="7D875522"/>
    <w:rsid w:val="7D883202"/>
    <w:rsid w:val="7E2A2D2C"/>
    <w:rsid w:val="7E4C13EE"/>
    <w:rsid w:val="7EAC2B16"/>
    <w:rsid w:val="7EE63917"/>
    <w:rsid w:val="7F8A0E4C"/>
    <w:rsid w:val="7FA30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Normal Indent"/>
    <w:basedOn w:val="1"/>
    <w:link w:val="43"/>
    <w:qFormat/>
    <w:uiPriority w:val="0"/>
    <w:pPr>
      <w:ind w:firstLine="420"/>
    </w:pPr>
  </w:style>
  <w:style w:type="paragraph" w:styleId="7">
    <w:name w:val="annotation text"/>
    <w:basedOn w:val="1"/>
    <w:link w:val="37"/>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720" w:hanging="720" w:hangingChars="300"/>
    </w:pPr>
    <w:rPr>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40"/>
    <w:qFormat/>
    <w:uiPriority w:val="0"/>
    <w:rPr>
      <w:rFonts w:ascii="宋体" w:hAnsi="Courier New" w:cs="Courier New"/>
      <w:szCs w:val="21"/>
    </w:rPr>
  </w:style>
  <w:style w:type="paragraph" w:styleId="12">
    <w:name w:val="Date"/>
    <w:basedOn w:val="1"/>
    <w:next w:val="1"/>
    <w:qFormat/>
    <w:uiPriority w:val="0"/>
    <w:rPr>
      <w:szCs w:val="20"/>
    </w:rPr>
  </w:style>
  <w:style w:type="paragraph" w:styleId="13">
    <w:name w:val="endnote text"/>
    <w:basedOn w:val="1"/>
    <w:link w:val="39"/>
    <w:unhideWhenUsed/>
    <w:qFormat/>
    <w:uiPriority w:val="99"/>
    <w:pPr>
      <w:snapToGrid w:val="0"/>
      <w:jc w:val="left"/>
    </w:pPr>
  </w:style>
  <w:style w:type="paragraph" w:styleId="14">
    <w:name w:val="Balloon Text"/>
    <w:basedOn w:val="1"/>
    <w:link w:val="33"/>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line="440" w:lineRule="exact"/>
      <w:jc w:val="left"/>
    </w:pPr>
    <w:rPr>
      <w:rFonts w:eastAsia="黑体"/>
      <w:b/>
      <w:kern w:val="0"/>
      <w:sz w:val="28"/>
    </w:rPr>
  </w:style>
  <w:style w:type="paragraph" w:styleId="18">
    <w:name w:val="toc 2"/>
    <w:basedOn w:val="19"/>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9">
    <w:name w:val="引用1"/>
    <w:basedOn w:val="1"/>
    <w:next w:val="1"/>
    <w:link w:val="42"/>
    <w:qFormat/>
    <w:uiPriority w:val="29"/>
    <w:rPr>
      <w:i/>
      <w:iCs/>
      <w:color w:val="000000" w:themeColor="text1"/>
      <w14:textFill>
        <w14:solidFill>
          <w14:schemeClr w14:val="tx1"/>
        </w14:solidFill>
      </w14:textFill>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7"/>
    <w:next w:val="7"/>
    <w:link w:val="44"/>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ndnote reference"/>
    <w:basedOn w:val="24"/>
    <w:unhideWhenUsed/>
    <w:qFormat/>
    <w:uiPriority w:val="99"/>
    <w:rPr>
      <w:vertAlign w:val="superscript"/>
    </w:rPr>
  </w:style>
  <w:style w:type="character" w:styleId="27">
    <w:name w:val="FollowedHyperlink"/>
    <w:basedOn w:val="24"/>
    <w:semiHidden/>
    <w:unhideWhenUsed/>
    <w:qFormat/>
    <w:uiPriority w:val="99"/>
    <w:rPr>
      <w:color w:val="5A5A5A"/>
      <w:u w:val="none"/>
    </w:rPr>
  </w:style>
  <w:style w:type="character" w:styleId="28">
    <w:name w:val="Emphasis"/>
    <w:basedOn w:val="24"/>
    <w:qFormat/>
    <w:uiPriority w:val="20"/>
  </w:style>
  <w:style w:type="character" w:styleId="29">
    <w:name w:val="Hyperlink"/>
    <w:basedOn w:val="24"/>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rPr>
  </w:style>
  <w:style w:type="character" w:customStyle="1" w:styleId="31">
    <w:name w:val="页眉 Char"/>
    <w:basedOn w:val="24"/>
    <w:link w:val="16"/>
    <w:qFormat/>
    <w:uiPriority w:val="99"/>
    <w:rPr>
      <w:sz w:val="18"/>
      <w:szCs w:val="18"/>
    </w:rPr>
  </w:style>
  <w:style w:type="character" w:customStyle="1" w:styleId="32">
    <w:name w:val="页脚 Char"/>
    <w:basedOn w:val="24"/>
    <w:link w:val="15"/>
    <w:qFormat/>
    <w:uiPriority w:val="99"/>
    <w:rPr>
      <w:sz w:val="18"/>
      <w:szCs w:val="18"/>
    </w:rPr>
  </w:style>
  <w:style w:type="character" w:customStyle="1" w:styleId="33">
    <w:name w:val="批注框文本 Char"/>
    <w:basedOn w:val="24"/>
    <w:link w:val="14"/>
    <w:semiHidden/>
    <w:qFormat/>
    <w:uiPriority w:val="99"/>
    <w:rPr>
      <w:sz w:val="18"/>
      <w:szCs w:val="18"/>
    </w:rPr>
  </w:style>
  <w:style w:type="paragraph" w:customStyle="1" w:styleId="34">
    <w:name w:val="列出段落1"/>
    <w:basedOn w:val="1"/>
    <w:qFormat/>
    <w:uiPriority w:val="34"/>
    <w:pPr>
      <w:ind w:firstLine="420" w:firstLineChars="200"/>
    </w:pPr>
  </w:style>
  <w:style w:type="character" w:customStyle="1" w:styleId="35">
    <w:name w:val="标题 1 Char"/>
    <w:basedOn w:val="24"/>
    <w:link w:val="3"/>
    <w:qFormat/>
    <w:uiPriority w:val="9"/>
    <w:rPr>
      <w:b/>
      <w:bCs/>
      <w:kern w:val="44"/>
      <w:sz w:val="44"/>
      <w:szCs w:val="44"/>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文字 Char"/>
    <w:basedOn w:val="24"/>
    <w:link w:val="7"/>
    <w:qFormat/>
    <w:uiPriority w:val="99"/>
  </w:style>
  <w:style w:type="character" w:customStyle="1" w:styleId="38">
    <w:name w:val="标题 2 Char"/>
    <w:basedOn w:val="24"/>
    <w:link w:val="4"/>
    <w:qFormat/>
    <w:uiPriority w:val="9"/>
    <w:rPr>
      <w:rFonts w:asciiTheme="majorHAnsi" w:hAnsiTheme="majorHAnsi" w:eastAsiaTheme="majorEastAsia" w:cstheme="majorBidi"/>
      <w:b/>
      <w:bCs/>
      <w:sz w:val="32"/>
      <w:szCs w:val="32"/>
    </w:rPr>
  </w:style>
  <w:style w:type="character" w:customStyle="1" w:styleId="39">
    <w:name w:val="尾注文本 Char"/>
    <w:basedOn w:val="24"/>
    <w:link w:val="13"/>
    <w:semiHidden/>
    <w:qFormat/>
    <w:uiPriority w:val="99"/>
  </w:style>
  <w:style w:type="character" w:customStyle="1" w:styleId="40">
    <w:name w:val="纯文本 Char"/>
    <w:link w:val="11"/>
    <w:qFormat/>
    <w:uiPriority w:val="0"/>
    <w:rPr>
      <w:rFonts w:ascii="宋体" w:hAnsi="Courier New" w:cs="Courier New"/>
      <w:szCs w:val="21"/>
    </w:rPr>
  </w:style>
  <w:style w:type="character" w:customStyle="1" w:styleId="41">
    <w:name w:val="纯文本 Char1"/>
    <w:basedOn w:val="24"/>
    <w:semiHidden/>
    <w:qFormat/>
    <w:uiPriority w:val="99"/>
    <w:rPr>
      <w:rFonts w:ascii="宋体" w:hAnsi="Courier New" w:eastAsia="宋体" w:cs="Courier New"/>
      <w:szCs w:val="21"/>
    </w:rPr>
  </w:style>
  <w:style w:type="character" w:customStyle="1" w:styleId="42">
    <w:name w:val="引用 Char"/>
    <w:basedOn w:val="24"/>
    <w:link w:val="19"/>
    <w:qFormat/>
    <w:uiPriority w:val="29"/>
    <w:rPr>
      <w:i/>
      <w:iCs/>
      <w:color w:val="000000" w:themeColor="text1"/>
      <w14:textFill>
        <w14:solidFill>
          <w14:schemeClr w14:val="tx1"/>
        </w14:solidFill>
      </w14:textFill>
    </w:rPr>
  </w:style>
  <w:style w:type="character" w:customStyle="1" w:styleId="43">
    <w:name w:val="正文缩进 Char"/>
    <w:link w:val="6"/>
    <w:qFormat/>
    <w:uiPriority w:val="0"/>
  </w:style>
  <w:style w:type="character" w:customStyle="1" w:styleId="44">
    <w:name w:val="批注主题 Char"/>
    <w:basedOn w:val="37"/>
    <w:link w:val="21"/>
    <w:semiHidden/>
    <w:qFormat/>
    <w:uiPriority w:val="99"/>
    <w:rPr>
      <w:b/>
      <w:bCs/>
    </w:rPr>
  </w:style>
  <w:style w:type="paragraph" w:styleId="45">
    <w:name w:val="List Paragraph"/>
    <w:basedOn w:val="1"/>
    <w:unhideWhenUsed/>
    <w:qFormat/>
    <w:uiPriority w:val="99"/>
    <w:pPr>
      <w:ind w:firstLine="420" w:firstLineChars="200"/>
    </w:pPr>
  </w:style>
  <w:style w:type="paragraph" w:customStyle="1" w:styleId="46">
    <w:name w:val="列出段落3"/>
    <w:basedOn w:val="1"/>
    <w:qFormat/>
    <w:uiPriority w:val="0"/>
    <w:pPr>
      <w:ind w:firstLine="420" w:firstLineChars="200"/>
    </w:pPr>
  </w:style>
  <w:style w:type="paragraph" w:customStyle="1" w:styleId="47">
    <w:name w:val="正文（缩进）"/>
    <w:basedOn w:val="1"/>
    <w:qFormat/>
    <w:uiPriority w:val="0"/>
    <w:pPr>
      <w:spacing w:beforeLines="50" w:afterLines="50" w:line="360" w:lineRule="auto"/>
      <w:ind w:firstLine="480" w:firstLineChars="200"/>
    </w:pPr>
    <w:rPr>
      <w:sz w:val="24"/>
    </w:rPr>
  </w:style>
  <w:style w:type="paragraph" w:customStyle="1" w:styleId="48">
    <w:name w:val="_Style 2"/>
    <w:basedOn w:val="1"/>
    <w:qFormat/>
    <w:uiPriority w:val="0"/>
    <w:rPr>
      <w:sz w:val="20"/>
      <w:szCs w:val="20"/>
    </w:rPr>
  </w:style>
  <w:style w:type="character" w:customStyle="1" w:styleId="49">
    <w:name w:val="NormalCharacter"/>
    <w:qFormat/>
    <w:uiPriority w:val="0"/>
    <w:rPr>
      <w:rFonts w:ascii="Times New Roman" w:hAnsi="Times New Roman" w:eastAsia="宋体"/>
    </w:rPr>
  </w:style>
  <w:style w:type="character" w:customStyle="1" w:styleId="50">
    <w:name w:val="last-child"/>
    <w:basedOn w:val="24"/>
    <w:qFormat/>
    <w:uiPriority w:val="0"/>
  </w:style>
  <w:style w:type="character" w:customStyle="1" w:styleId="51">
    <w:name w:val="is_active"/>
    <w:basedOn w:val="24"/>
    <w:qFormat/>
    <w:uiPriority w:val="0"/>
    <w:rPr>
      <w:color w:val="FFFFFF"/>
      <w:shd w:val="clear" w:fill="F07C17"/>
    </w:rPr>
  </w:style>
  <w:style w:type="character" w:customStyle="1" w:styleId="52">
    <w:name w:val="last-child2"/>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EBD44-80DF-48B0-A195-3AC37CEE9C6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56</Pages>
  <Words>23030</Words>
  <Characters>23979</Characters>
  <Lines>259</Lines>
  <Paragraphs>73</Paragraphs>
  <TotalTime>340</TotalTime>
  <ScaleCrop>false</ScaleCrop>
  <LinksUpToDate>false</LinksUpToDate>
  <CharactersWithSpaces>25172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YouAreMyLife1402823538</cp:lastModifiedBy>
  <cp:lastPrinted>2022-03-15T00:36:00Z</cp:lastPrinted>
  <dcterms:modified xsi:type="dcterms:W3CDTF">2022-04-12T03:18:20Z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B5F8402249CB4DCA8B03FECCF6BBB88F</vt:lpwstr>
  </property>
</Properties>
</file>