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Times New Roman" w:hAnsi="Times New Roman" w:cs="Times New Roman"/>
          <w:color w:val="000000" w:themeColor="text1"/>
          <w:sz w:val="52"/>
          <w:szCs w:val="52"/>
        </w:rPr>
      </w:pPr>
    </w:p>
    <w:p>
      <w:pPr>
        <w:spacing w:line="360" w:lineRule="auto"/>
        <w:jc w:val="center"/>
        <w:rPr>
          <w:rFonts w:ascii="Times New Roman" w:hAnsi="Times New Roman" w:cs="Times New Roman"/>
          <w:color w:val="000000" w:themeColor="text1"/>
          <w:sz w:val="52"/>
          <w:szCs w:val="52"/>
        </w:rPr>
      </w:pPr>
      <w:r>
        <w:rPr>
          <w:rFonts w:hint="eastAsia" w:ascii="Times New Roman" w:hAnsi="Times New Roman" w:cs="Times New Roman"/>
          <w:color w:val="000000" w:themeColor="text1"/>
          <w:sz w:val="52"/>
          <w:szCs w:val="52"/>
        </w:rPr>
        <w:t xml:space="preserve"> </w:t>
      </w:r>
    </w:p>
    <w:p>
      <w:pPr>
        <w:spacing w:line="360" w:lineRule="auto"/>
        <w:jc w:val="center"/>
        <w:rPr>
          <w:rFonts w:ascii="Times New Roman" w:hAnsi="Times New Roman" w:cs="Times New Roman"/>
          <w:color w:val="000000" w:themeColor="text1"/>
          <w:sz w:val="52"/>
          <w:szCs w:val="52"/>
        </w:rPr>
      </w:pPr>
      <w:r>
        <w:rPr>
          <w:rFonts w:hint="eastAsia" w:ascii="Times New Roman" w:hAnsi="Times New Roman" w:cs="Times New Roman"/>
          <w:color w:val="000000" w:themeColor="text1"/>
          <w:sz w:val="52"/>
          <w:szCs w:val="52"/>
        </w:rPr>
        <w:t>阳新县县</w:t>
      </w:r>
      <w:r>
        <w:rPr>
          <w:rFonts w:ascii="Times New Roman" w:hAnsi="Times New Roman" w:cs="Times New Roman"/>
          <w:color w:val="000000" w:themeColor="text1"/>
          <w:sz w:val="52"/>
          <w:szCs w:val="52"/>
        </w:rPr>
        <w:t>级政府采购</w:t>
      </w:r>
    </w:p>
    <w:p>
      <w:pPr>
        <w:spacing w:line="360" w:lineRule="auto"/>
        <w:jc w:val="center"/>
        <w:rPr>
          <w:rFonts w:ascii="Times New Roman" w:hAnsi="Times New Roman" w:eastAsia="宋体" w:cs="Times New Roman"/>
          <w:b/>
          <w:bCs/>
          <w:color w:val="000000" w:themeColor="text1"/>
          <w:w w:val="66"/>
          <w:sz w:val="60"/>
          <w:szCs w:val="60"/>
        </w:rPr>
      </w:pPr>
    </w:p>
    <w:p>
      <w:pPr>
        <w:spacing w:line="360" w:lineRule="auto"/>
        <w:jc w:val="center"/>
        <w:rPr>
          <w:rFonts w:ascii="Times New Roman" w:hAnsi="Times New Roman" w:eastAsia="宋体" w:cs="Times New Roman"/>
          <w:b/>
          <w:bCs/>
          <w:color w:val="000000" w:themeColor="text1"/>
          <w:w w:val="66"/>
          <w:sz w:val="144"/>
          <w:szCs w:val="144"/>
        </w:rPr>
      </w:pPr>
      <w:r>
        <w:rPr>
          <w:rFonts w:ascii="Times New Roman" w:hAnsi="Times New Roman" w:eastAsia="宋体" w:cs="Times New Roman"/>
          <w:b/>
          <w:bCs/>
          <w:color w:val="000000" w:themeColor="text1"/>
          <w:w w:val="66"/>
          <w:sz w:val="144"/>
          <w:szCs w:val="144"/>
        </w:rPr>
        <w:t>竞争性磋商文件</w:t>
      </w:r>
    </w:p>
    <w:p>
      <w:pPr>
        <w:spacing w:line="360" w:lineRule="auto"/>
        <w:jc w:val="center"/>
        <w:rPr>
          <w:rFonts w:ascii="Times New Roman" w:hAnsi="Times New Roman" w:cs="Times New Roman"/>
          <w:color w:val="000000" w:themeColor="text1"/>
          <w:sz w:val="72"/>
          <w:szCs w:val="20"/>
        </w:rPr>
      </w:pPr>
    </w:p>
    <w:p>
      <w:pPr>
        <w:tabs>
          <w:tab w:val="left" w:pos="5848"/>
        </w:tabs>
        <w:spacing w:line="360" w:lineRule="auto"/>
        <w:jc w:val="left"/>
        <w:rPr>
          <w:rFonts w:ascii="Times New Roman" w:hAnsi="Times New Roman" w:cs="Times New Roman"/>
          <w:color w:val="000000" w:themeColor="text1"/>
          <w:sz w:val="72"/>
          <w:szCs w:val="20"/>
        </w:rPr>
      </w:pPr>
      <w:r>
        <w:rPr>
          <w:rFonts w:ascii="Times New Roman" w:hAnsi="Times New Roman" w:cs="Times New Roman"/>
          <w:color w:val="000000" w:themeColor="text1"/>
          <w:sz w:val="72"/>
          <w:szCs w:val="20"/>
        </w:rPr>
        <w:tab/>
      </w:r>
    </w:p>
    <w:p>
      <w:pPr>
        <w:spacing w:line="360" w:lineRule="auto"/>
        <w:ind w:firstLine="600" w:firstLineChars="200"/>
        <w:rPr>
          <w:rFonts w:ascii="Times New Roman" w:hAnsi="Times New Roman" w:cs="Times New Roman"/>
          <w:color w:val="000000" w:themeColor="text1"/>
          <w:sz w:val="30"/>
          <w:szCs w:val="30"/>
          <w:u w:val="single"/>
        </w:rPr>
      </w:pPr>
      <w:r>
        <w:rPr>
          <w:rFonts w:ascii="Times New Roman" w:hAnsi="Times New Roman" w:cs="Times New Roman"/>
          <w:color w:val="000000" w:themeColor="text1"/>
          <w:sz w:val="30"/>
          <w:szCs w:val="30"/>
        </w:rPr>
        <w:t>项目编号：</w:t>
      </w:r>
      <w:r>
        <w:rPr>
          <w:rFonts w:hint="eastAsia" w:ascii="Times New Roman" w:hAnsi="Times New Roman" w:cs="Times New Roman"/>
          <w:color w:val="000000" w:themeColor="text1"/>
          <w:sz w:val="30"/>
          <w:szCs w:val="30"/>
          <w:u w:val="single"/>
        </w:rPr>
        <w:t xml:space="preserve"> 131-2022CG-058　                </w:t>
      </w:r>
    </w:p>
    <w:p>
      <w:pPr>
        <w:spacing w:line="360" w:lineRule="auto"/>
        <w:ind w:firstLine="600" w:firstLineChars="200"/>
        <w:rPr>
          <w:rFonts w:ascii="Times New Roman" w:hAnsi="Times New Roman" w:cs="Times New Roman"/>
          <w:color w:val="000000" w:themeColor="text1"/>
          <w:sz w:val="30"/>
          <w:szCs w:val="30"/>
          <w:u w:val="single"/>
        </w:rPr>
      </w:pPr>
      <w:r>
        <w:rPr>
          <w:rFonts w:hint="eastAsia" w:ascii="Times New Roman" w:hAnsi="Times New Roman" w:cs="Times New Roman"/>
          <w:color w:val="000000" w:themeColor="text1"/>
          <w:sz w:val="30"/>
          <w:szCs w:val="30"/>
        </w:rPr>
        <w:t>采 购 人：</w:t>
      </w:r>
      <w:r>
        <w:rPr>
          <w:rFonts w:hint="eastAsia" w:ascii="Times New Roman" w:hAnsi="Times New Roman" w:cs="Times New Roman"/>
          <w:color w:val="000000" w:themeColor="text1"/>
          <w:sz w:val="30"/>
          <w:szCs w:val="30"/>
          <w:u w:val="single"/>
        </w:rPr>
        <w:t xml:space="preserve">阳新县住房和城乡建设局         </w:t>
      </w:r>
    </w:p>
    <w:p>
      <w:pPr>
        <w:autoSpaceDE w:val="0"/>
        <w:autoSpaceDN w:val="0"/>
        <w:adjustRightInd w:val="0"/>
        <w:spacing w:line="360" w:lineRule="auto"/>
        <w:jc w:val="center"/>
        <w:rPr>
          <w:rFonts w:ascii="Times New Roman" w:hAnsi="Times New Roman" w:cs="Times New Roman"/>
          <w:color w:val="000000" w:themeColor="text1"/>
          <w:sz w:val="30"/>
          <w:szCs w:val="30"/>
          <w:u w:val="single"/>
        </w:rPr>
      </w:pPr>
      <w:r>
        <w:rPr>
          <w:rFonts w:hint="eastAsia" w:ascii="Times New Roman" w:hAnsi="Times New Roman" w:cs="Times New Roman"/>
          <w:color w:val="000000" w:themeColor="text1"/>
          <w:sz w:val="30"/>
          <w:szCs w:val="30"/>
        </w:rPr>
        <w:t>　　</w:t>
      </w:r>
      <w:r>
        <w:rPr>
          <w:rFonts w:ascii="Times New Roman" w:hAnsi="Times New Roman" w:cs="Times New Roman"/>
          <w:color w:val="000000" w:themeColor="text1"/>
          <w:sz w:val="30"/>
          <w:szCs w:val="30"/>
        </w:rPr>
        <w:t>项目名称</w:t>
      </w:r>
      <w:r>
        <w:rPr>
          <w:rFonts w:hint="eastAsia" w:ascii="Times New Roman" w:hAnsi="Times New Roman" w:cs="Times New Roman"/>
          <w:color w:val="000000" w:themeColor="text1"/>
          <w:sz w:val="30"/>
          <w:szCs w:val="30"/>
        </w:rPr>
        <w:t>：</w:t>
      </w:r>
      <w:r>
        <w:rPr>
          <w:rFonts w:hint="eastAsia" w:ascii="Times New Roman" w:hAnsi="Times New Roman" w:cs="Times New Roman"/>
          <w:color w:val="000000" w:themeColor="text1"/>
          <w:sz w:val="30"/>
          <w:szCs w:val="30"/>
          <w:u w:val="single"/>
        </w:rPr>
        <w:t>阳新县城东和老城区管网提质增效及管网改造工</w:t>
      </w:r>
    </w:p>
    <w:p>
      <w:pPr>
        <w:autoSpaceDE w:val="0"/>
        <w:autoSpaceDN w:val="0"/>
        <w:adjustRightInd w:val="0"/>
        <w:spacing w:line="360" w:lineRule="auto"/>
        <w:ind w:firstLine="2100" w:firstLineChars="700"/>
        <w:rPr>
          <w:rFonts w:ascii="Times New Roman" w:hAnsi="Times New Roman" w:cs="Times New Roman"/>
          <w:color w:val="000000" w:themeColor="text1"/>
          <w:sz w:val="30"/>
          <w:szCs w:val="30"/>
          <w:u w:val="single"/>
        </w:rPr>
      </w:pPr>
      <w:r>
        <w:rPr>
          <w:rFonts w:hint="eastAsia" w:ascii="Times New Roman" w:hAnsi="Times New Roman" w:cs="Times New Roman"/>
          <w:color w:val="000000" w:themeColor="text1"/>
          <w:sz w:val="30"/>
          <w:szCs w:val="30"/>
          <w:u w:val="single"/>
        </w:rPr>
        <w:t>程设计服务采购项目</w:t>
      </w:r>
    </w:p>
    <w:p>
      <w:pPr>
        <w:autoSpaceDE w:val="0"/>
        <w:autoSpaceDN w:val="0"/>
        <w:adjustRightInd w:val="0"/>
        <w:spacing w:line="360" w:lineRule="auto"/>
        <w:ind w:left="630" w:leftChars="300"/>
        <w:rPr>
          <w:rFonts w:ascii="Times New Roman" w:hAnsi="Times New Roman" w:cs="Times New Roman"/>
          <w:color w:val="000000" w:themeColor="text1"/>
          <w:sz w:val="30"/>
          <w:szCs w:val="30"/>
          <w:u w:val="single"/>
        </w:rPr>
      </w:pPr>
      <w:r>
        <w:rPr>
          <w:rFonts w:ascii="Times New Roman" w:hAnsi="Times New Roman" w:cs="Times New Roman"/>
          <w:color w:val="000000" w:themeColor="text1"/>
          <w:sz w:val="30"/>
          <w:szCs w:val="30"/>
        </w:rPr>
        <w:t>磋商内容：</w:t>
      </w:r>
      <w:r>
        <w:rPr>
          <w:rFonts w:hint="eastAsia" w:ascii="Times New Roman" w:hAnsi="Times New Roman" w:cs="Times New Roman"/>
          <w:color w:val="000000" w:themeColor="text1"/>
          <w:sz w:val="30"/>
          <w:szCs w:val="30"/>
          <w:u w:val="single"/>
        </w:rPr>
        <w:t>阳新县城东和老城区管网提质增效及管网改造工</w:t>
      </w:r>
    </w:p>
    <w:p>
      <w:pPr>
        <w:autoSpaceDE w:val="0"/>
        <w:autoSpaceDN w:val="0"/>
        <w:adjustRightInd w:val="0"/>
        <w:spacing w:line="360" w:lineRule="auto"/>
        <w:ind w:left="630" w:leftChars="300" w:firstLine="1500" w:firstLineChars="500"/>
        <w:rPr>
          <w:rFonts w:ascii="Times New Roman" w:hAnsi="Times New Roman" w:cs="Times New Roman"/>
          <w:color w:val="000000" w:themeColor="text1"/>
          <w:sz w:val="30"/>
          <w:szCs w:val="30"/>
          <w:u w:val="single"/>
        </w:rPr>
      </w:pPr>
      <w:r>
        <w:rPr>
          <w:rFonts w:hint="eastAsia" w:ascii="Times New Roman" w:hAnsi="Times New Roman" w:cs="Times New Roman"/>
          <w:color w:val="000000" w:themeColor="text1"/>
          <w:sz w:val="30"/>
          <w:szCs w:val="30"/>
          <w:u w:val="single"/>
        </w:rPr>
        <w:t>程设计服务</w:t>
      </w:r>
    </w:p>
    <w:p>
      <w:pPr>
        <w:autoSpaceDE w:val="0"/>
        <w:autoSpaceDN w:val="0"/>
        <w:adjustRightInd w:val="0"/>
        <w:spacing w:line="360" w:lineRule="auto"/>
        <w:jc w:val="center"/>
        <w:rPr>
          <w:rFonts w:ascii="Times New Roman" w:hAnsi="Times New Roman" w:cs="Times New Roman"/>
          <w:color w:val="000000" w:themeColor="text1"/>
          <w:sz w:val="30"/>
          <w:szCs w:val="30"/>
          <w:u w:val="single"/>
        </w:rPr>
      </w:pPr>
    </w:p>
    <w:p>
      <w:pPr>
        <w:spacing w:line="360" w:lineRule="auto"/>
        <w:rPr>
          <w:rFonts w:ascii="Times New Roman" w:hAnsi="Times New Roman" w:cs="Times New Roman"/>
          <w:color w:val="000000" w:themeColor="text1"/>
          <w:sz w:val="30"/>
          <w:szCs w:val="30"/>
        </w:rPr>
      </w:pPr>
    </w:p>
    <w:p>
      <w:pPr>
        <w:adjustRightInd w:val="0"/>
        <w:snapToGrid w:val="0"/>
        <w:spacing w:line="360" w:lineRule="auto"/>
        <w:jc w:val="center"/>
        <w:rPr>
          <w:rFonts w:ascii="Times New Roman" w:hAnsi="Times New Roman" w:cs="Times New Roman"/>
          <w:b/>
          <w:bCs/>
          <w:color w:val="000000" w:themeColor="text1"/>
          <w:sz w:val="56"/>
          <w:szCs w:val="56"/>
        </w:rPr>
      </w:pPr>
      <w:r>
        <w:rPr>
          <w:rFonts w:hint="eastAsia" w:ascii="Times New Roman" w:hAnsi="Times New Roman" w:cs="Times New Roman"/>
          <w:b/>
          <w:bCs/>
          <w:color w:val="000000" w:themeColor="text1"/>
          <w:sz w:val="56"/>
          <w:szCs w:val="56"/>
        </w:rPr>
        <w:t>湖北嘉亿工程项目管理有限公司</w:t>
      </w:r>
    </w:p>
    <w:p>
      <w:pPr>
        <w:spacing w:line="360" w:lineRule="auto"/>
        <w:jc w:val="center"/>
        <w:rPr>
          <w:rFonts w:ascii="Times New Roman" w:hAnsi="Times New Roman" w:cs="Times New Roman"/>
          <w:b/>
          <w:color w:val="000000" w:themeColor="text1"/>
          <w:sz w:val="36"/>
          <w:szCs w:val="36"/>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int="eastAsia" w:ascii="Times New Roman" w:hAnsi="Times New Roman" w:cs="Times New Roman"/>
          <w:b/>
          <w:color w:val="000000" w:themeColor="text1"/>
          <w:sz w:val="36"/>
          <w:szCs w:val="36"/>
          <w:u w:val="single"/>
        </w:rPr>
        <w:t>2022</w:t>
      </w:r>
      <w:r>
        <w:rPr>
          <w:rFonts w:ascii="Times New Roman" w:hAnsi="Times New Roman" w:cs="Times New Roman"/>
          <w:b/>
          <w:color w:val="000000" w:themeColor="text1"/>
          <w:sz w:val="36"/>
          <w:szCs w:val="36"/>
        </w:rPr>
        <w:t>年</w:t>
      </w:r>
      <w:r>
        <w:rPr>
          <w:rFonts w:hint="eastAsia" w:ascii="Times New Roman" w:hAnsi="Times New Roman" w:cs="Times New Roman"/>
          <w:b/>
          <w:color w:val="000000" w:themeColor="text1"/>
          <w:sz w:val="36"/>
          <w:szCs w:val="36"/>
          <w:u w:val="single"/>
        </w:rPr>
        <w:t>4</w:t>
      </w:r>
      <w:r>
        <w:rPr>
          <w:rFonts w:ascii="Times New Roman" w:hAnsi="Times New Roman" w:cs="Times New Roman"/>
          <w:b/>
          <w:color w:val="000000" w:themeColor="text1"/>
          <w:sz w:val="36"/>
          <w:szCs w:val="36"/>
        </w:rPr>
        <w:t>月</w:t>
      </w:r>
    </w:p>
    <w:p>
      <w:pPr>
        <w:spacing w:line="360" w:lineRule="auto"/>
        <w:jc w:val="center"/>
        <w:rPr>
          <w:rFonts w:ascii="Times New Roman" w:hAnsi="Times New Roman" w:cs="Times New Roman"/>
          <w:b/>
          <w:color w:val="000000" w:themeColor="text1"/>
          <w:sz w:val="24"/>
          <w:szCs w:val="24"/>
        </w:rPr>
      </w:pPr>
    </w:p>
    <w:p>
      <w:pPr>
        <w:spacing w:line="36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目  录</w:t>
      </w:r>
    </w:p>
    <w:p>
      <w:pPr>
        <w:spacing w:line="360" w:lineRule="auto"/>
        <w:rPr>
          <w:rFonts w:ascii="Times New Roman" w:hAnsi="Times New Roman" w:eastAsia="黑体" w:cs="Times New Roman"/>
          <w:color w:val="000000" w:themeColor="text1"/>
          <w:sz w:val="24"/>
          <w:szCs w:val="24"/>
        </w:rPr>
      </w:pPr>
    </w:p>
    <w:p>
      <w:pPr>
        <w:spacing w:line="36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第一章  磋商邀请函·········································································00</w:t>
      </w:r>
    </w:p>
    <w:p>
      <w:pPr>
        <w:spacing w:line="36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第二章  磋商须知············································································00</w:t>
      </w:r>
    </w:p>
    <w:p>
      <w:pPr>
        <w:spacing w:line="36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第三章  采购货物（服务）技术参数、规格及要求······································00</w:t>
      </w:r>
    </w:p>
    <w:p>
      <w:pPr>
        <w:spacing w:line="36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第四章  评审办法及评审标准·····························································00</w:t>
      </w:r>
    </w:p>
    <w:p>
      <w:pPr>
        <w:spacing w:line="36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第五章  合同书（格式）···································································00</w:t>
      </w:r>
    </w:p>
    <w:p>
      <w:pPr>
        <w:spacing w:line="36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第六章  响应文件格式······································································00</w:t>
      </w:r>
    </w:p>
    <w:p>
      <w:pPr>
        <w:spacing w:line="360" w:lineRule="auto"/>
        <w:jc w:val="left"/>
        <w:rPr>
          <w:rFonts w:ascii="Times New Roman" w:hAnsi="Times New Roman" w:cs="Times New Roman"/>
          <w:color w:val="000000" w:themeColor="text1"/>
          <w:sz w:val="24"/>
          <w:szCs w:val="24"/>
        </w:rPr>
      </w:pPr>
    </w:p>
    <w:p>
      <w:pPr>
        <w:widowControl/>
        <w:spacing w:line="360" w:lineRule="auto"/>
        <w:jc w:val="left"/>
        <w:rPr>
          <w:rFonts w:ascii="Times New Roman" w:hAnsi="Times New Roman" w:cs="Times New Roman"/>
          <w:color w:val="000000" w:themeColor="text1"/>
          <w:sz w:val="24"/>
          <w:szCs w:val="24"/>
        </w:rPr>
        <w:sectPr>
          <w:headerReference r:id="rId5" w:type="default"/>
          <w:pgSz w:w="11906" w:h="16838"/>
          <w:pgMar w:top="1440" w:right="1800" w:bottom="1440" w:left="1800" w:header="851" w:footer="992" w:gutter="0"/>
          <w:cols w:space="425" w:num="1"/>
          <w:docGrid w:type="lines" w:linePitch="312" w:charSpace="0"/>
        </w:sectPr>
      </w:pPr>
    </w:p>
    <w:p>
      <w:pPr>
        <w:widowControl/>
        <w:spacing w:line="520" w:lineRule="exact"/>
        <w:jc w:val="center"/>
        <w:rPr>
          <w:rFonts w:cs="宋体" w:asciiTheme="minorEastAsia" w:hAnsiTheme="minorEastAsia"/>
          <w:b/>
          <w:bCs/>
          <w:kern w:val="0"/>
          <w:sz w:val="28"/>
          <w:szCs w:val="32"/>
        </w:rPr>
      </w:pPr>
      <w:r>
        <w:rPr>
          <w:rFonts w:asciiTheme="minorEastAsia" w:hAnsiTheme="minorEastAsia"/>
          <w:b/>
          <w:bCs/>
          <w:color w:val="000000" w:themeColor="text1"/>
          <w:kern w:val="44"/>
          <w:sz w:val="28"/>
          <w:szCs w:val="28"/>
        </w:rPr>
        <w:t>第一章</w:t>
      </w:r>
      <w:bookmarkStart w:id="0" w:name="_Toc35393797"/>
      <w:bookmarkStart w:id="1" w:name="_Toc28359011"/>
      <w:r>
        <w:rPr>
          <w:rFonts w:hint="eastAsia" w:asciiTheme="minorEastAsia" w:hAnsiTheme="minorEastAsia"/>
          <w:b/>
          <w:bCs/>
          <w:color w:val="000000" w:themeColor="text1"/>
          <w:kern w:val="44"/>
          <w:sz w:val="28"/>
          <w:szCs w:val="28"/>
        </w:rPr>
        <w:t>阳新县城东和老城区管网提质增效及管网改造工程设计服务采购项目竞争性磋商公告</w:t>
      </w:r>
      <w:bookmarkEnd w:id="0"/>
      <w:bookmarkEnd w:id="1"/>
    </w:p>
    <w:tbl>
      <w:tblPr>
        <w:tblStyle w:val="18"/>
        <w:tblW w:w="8885" w:type="dxa"/>
        <w:tblInd w:w="0" w:type="dxa"/>
        <w:tblLayout w:type="autofit"/>
        <w:tblCellMar>
          <w:top w:w="15" w:type="dxa"/>
          <w:left w:w="15" w:type="dxa"/>
          <w:bottom w:w="15" w:type="dxa"/>
          <w:right w:w="15" w:type="dxa"/>
        </w:tblCellMar>
      </w:tblPr>
      <w:tblGrid>
        <w:gridCol w:w="8885"/>
      </w:tblGrid>
      <w:tr>
        <w:tblPrEx>
          <w:tblCellMar>
            <w:top w:w="15" w:type="dxa"/>
            <w:left w:w="15" w:type="dxa"/>
            <w:bottom w:w="15" w:type="dxa"/>
            <w:right w:w="15" w:type="dxa"/>
          </w:tblCellMar>
        </w:tblPrEx>
        <w:trPr>
          <w:trHeight w:val="1244" w:hRule="atLeast"/>
        </w:trPr>
        <w:tc>
          <w:tcPr>
            <w:tcW w:w="88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0" w:lineRule="exact"/>
              <w:ind w:firstLine="480"/>
              <w:jc w:val="left"/>
              <w:rPr>
                <w:rFonts w:cs="宋体" w:asciiTheme="minorEastAsia" w:hAnsiTheme="minorEastAsia"/>
                <w:color w:val="333333"/>
                <w:kern w:val="0"/>
                <w:szCs w:val="21"/>
              </w:rPr>
            </w:pPr>
            <w:r>
              <w:rPr>
                <w:rFonts w:hint="eastAsia" w:cs="宋体" w:asciiTheme="minorEastAsia" w:hAnsiTheme="minorEastAsia"/>
                <w:kern w:val="0"/>
                <w:sz w:val="24"/>
                <w:szCs w:val="24"/>
              </w:rPr>
              <w:t>阳新县城东和老城区管网提质增效及管网改造工程设计服务采购项目</w:t>
            </w:r>
            <w:r>
              <w:rPr>
                <w:rFonts w:hint="eastAsia" w:cs="宋体" w:asciiTheme="minorEastAsia" w:hAnsiTheme="minorEastAsia"/>
                <w:color w:val="333333"/>
                <w:kern w:val="0"/>
                <w:sz w:val="24"/>
                <w:szCs w:val="24"/>
              </w:rPr>
              <w:t>潜在供应商可在 “湖北省政府采购网”、“黄石公共资源交易信息网”及“阳新县人民政府网”点击本公告中的链接下载获取磋商文件，并于2022年4月29日9点00分（北京时间）前递交磋商响应文件。</w:t>
            </w:r>
          </w:p>
        </w:tc>
      </w:tr>
    </w:tbl>
    <w:p>
      <w:pPr>
        <w:widowControl/>
        <w:shd w:val="clear" w:color="auto" w:fill="FFFFFF"/>
        <w:spacing w:line="400" w:lineRule="exact"/>
        <w:rPr>
          <w:rFonts w:cs="宋体" w:asciiTheme="minorEastAsia" w:hAnsiTheme="minorEastAsia"/>
          <w:color w:val="333333"/>
          <w:kern w:val="0"/>
          <w:sz w:val="24"/>
          <w:szCs w:val="24"/>
        </w:rPr>
      </w:pPr>
      <w:r>
        <w:rPr>
          <w:rFonts w:hint="eastAsia" w:cs="宋体" w:asciiTheme="minorEastAsia" w:hAnsiTheme="minorEastAsia"/>
          <w:b/>
          <w:bCs/>
          <w:color w:val="333333"/>
          <w:kern w:val="0"/>
          <w:sz w:val="24"/>
          <w:szCs w:val="24"/>
          <w:shd w:val="clear" w:color="auto" w:fill="FFFFFF"/>
        </w:rPr>
        <w:t>一、项目基本情况</w:t>
      </w:r>
    </w:p>
    <w:p>
      <w:pPr>
        <w:widowControl/>
        <w:shd w:val="clear" w:color="auto" w:fill="FFFFFF"/>
        <w:spacing w:line="400" w:lineRule="exact"/>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shd w:val="clear" w:color="auto" w:fill="FFFFFF"/>
        </w:rPr>
        <w:t>1、项目编号：131-2022CG-058</w:t>
      </w:r>
    </w:p>
    <w:p>
      <w:pPr>
        <w:widowControl/>
        <w:shd w:val="clear" w:color="auto" w:fill="FFFFFF"/>
        <w:spacing w:line="400" w:lineRule="exact"/>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shd w:val="clear" w:color="auto" w:fill="FFFFFF"/>
        </w:rPr>
        <w:t>2、政府采购计划编号：阳财采计备[2022]C0404号</w:t>
      </w:r>
    </w:p>
    <w:p>
      <w:pPr>
        <w:spacing w:line="400" w:lineRule="exact"/>
        <w:ind w:firstLine="480" w:firstLineChars="200"/>
        <w:rPr>
          <w:rFonts w:cs="宋体" w:asciiTheme="minorEastAsia" w:hAnsiTheme="minorEastAsia"/>
          <w:kern w:val="0"/>
          <w:sz w:val="24"/>
          <w:szCs w:val="24"/>
        </w:rPr>
      </w:pPr>
      <w:r>
        <w:rPr>
          <w:rFonts w:hint="eastAsia" w:cs="宋体" w:asciiTheme="minorEastAsia" w:hAnsiTheme="minorEastAsia"/>
          <w:color w:val="333333"/>
          <w:kern w:val="0"/>
          <w:sz w:val="24"/>
          <w:szCs w:val="24"/>
          <w:shd w:val="clear" w:color="auto" w:fill="FFFFFF"/>
        </w:rPr>
        <w:t>3、项目名称：</w:t>
      </w:r>
      <w:bookmarkStart w:id="12" w:name="_GoBack"/>
      <w:r>
        <w:rPr>
          <w:rFonts w:hint="eastAsia" w:cs="宋体" w:asciiTheme="minorEastAsia" w:hAnsiTheme="minorEastAsia"/>
          <w:kern w:val="0"/>
          <w:sz w:val="24"/>
          <w:szCs w:val="24"/>
        </w:rPr>
        <w:t>阳新县城东和老城区管网提质增效及管网改造工程设计服务采购项目</w:t>
      </w:r>
    </w:p>
    <w:bookmarkEnd w:id="12"/>
    <w:p>
      <w:pPr>
        <w:widowControl/>
        <w:shd w:val="clear" w:color="auto" w:fill="FFFFFF"/>
        <w:spacing w:line="400" w:lineRule="exact"/>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shd w:val="clear" w:color="auto" w:fill="FFFFFF"/>
        </w:rPr>
        <w:t>4、预算金额：98万元（超过此报价为无效磋商）</w:t>
      </w:r>
    </w:p>
    <w:p>
      <w:pPr>
        <w:widowControl/>
        <w:shd w:val="clear" w:color="auto" w:fill="FFFFFF"/>
        <w:spacing w:line="400" w:lineRule="exact"/>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shd w:val="clear" w:color="auto" w:fill="FFFFFF"/>
        </w:rPr>
        <w:t>5、采购方式：竞争性磋商</w:t>
      </w:r>
    </w:p>
    <w:p>
      <w:pPr>
        <w:widowControl/>
        <w:shd w:val="clear" w:color="auto" w:fill="FFFFFF"/>
        <w:spacing w:line="400" w:lineRule="exact"/>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shd w:val="clear" w:color="auto" w:fill="FFFFFF"/>
        </w:rPr>
        <w:t>6、采购需求：详见采购文件第三章采购需求</w:t>
      </w:r>
    </w:p>
    <w:p>
      <w:pPr>
        <w:widowControl/>
        <w:shd w:val="clear" w:color="auto" w:fill="FFFFFF"/>
        <w:spacing w:line="400" w:lineRule="exact"/>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7</w:t>
      </w:r>
      <w:r>
        <w:rPr>
          <w:rFonts w:hint="eastAsia" w:cs="宋体" w:asciiTheme="minorEastAsia" w:hAnsiTheme="minorEastAsia"/>
          <w:kern w:val="0"/>
          <w:sz w:val="24"/>
          <w:szCs w:val="24"/>
        </w:rPr>
        <w:t>、合同履行期限（工期）：</w:t>
      </w:r>
      <w:r>
        <w:rPr>
          <w:rFonts w:hint="eastAsia" w:ascii="宋体" w:hAnsi="宋体" w:cs="宋体"/>
          <w:bCs/>
          <w:sz w:val="24"/>
          <w:szCs w:val="24"/>
        </w:rPr>
        <w:t>15日历天完成图纸设计，后期服务至工程竣工验收合格</w:t>
      </w:r>
    </w:p>
    <w:p>
      <w:pPr>
        <w:widowControl/>
        <w:shd w:val="clear" w:color="auto" w:fill="FFFFFF"/>
        <w:spacing w:line="400" w:lineRule="exact"/>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shd w:val="clear" w:color="auto" w:fill="FFFFFF"/>
        </w:rPr>
        <w:t>8、本项目（是/否）接受联合体：否。</w:t>
      </w:r>
    </w:p>
    <w:p>
      <w:pPr>
        <w:widowControl/>
        <w:shd w:val="clear" w:color="auto" w:fill="FFFFFF"/>
        <w:spacing w:line="400" w:lineRule="exact"/>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shd w:val="clear" w:color="auto" w:fill="FFFFFF"/>
        </w:rPr>
        <w:t>9、是否可采购进口产品：否</w:t>
      </w:r>
    </w:p>
    <w:p>
      <w:pPr>
        <w:widowControl/>
        <w:shd w:val="clear" w:color="auto" w:fill="FFFFFF"/>
        <w:spacing w:line="400" w:lineRule="exact"/>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shd w:val="clear" w:color="auto" w:fill="FFFFFF"/>
        </w:rPr>
        <w:t>10、本项目（是/否）专门面向中小微企业：否</w:t>
      </w:r>
    </w:p>
    <w:p>
      <w:pPr>
        <w:widowControl/>
        <w:shd w:val="clear" w:color="auto" w:fill="FFFFFF"/>
        <w:spacing w:line="400" w:lineRule="exact"/>
        <w:rPr>
          <w:rFonts w:cs="宋体" w:asciiTheme="minorEastAsia" w:hAnsiTheme="minorEastAsia"/>
          <w:color w:val="333333"/>
          <w:kern w:val="0"/>
          <w:sz w:val="24"/>
          <w:szCs w:val="24"/>
        </w:rPr>
      </w:pPr>
      <w:r>
        <w:rPr>
          <w:rFonts w:hint="eastAsia" w:cs="宋体" w:asciiTheme="minorEastAsia" w:hAnsiTheme="minorEastAsia"/>
          <w:b/>
          <w:bCs/>
          <w:color w:val="333333"/>
          <w:kern w:val="0"/>
          <w:sz w:val="24"/>
          <w:szCs w:val="24"/>
          <w:shd w:val="clear" w:color="auto" w:fill="FFFFFF"/>
        </w:rPr>
        <w:t>二、申请人的资格要求：</w:t>
      </w:r>
    </w:p>
    <w:p>
      <w:pPr>
        <w:widowControl/>
        <w:shd w:val="clear" w:color="auto" w:fill="FFFFFF"/>
        <w:spacing w:line="420" w:lineRule="exact"/>
        <w:ind w:firstLine="482"/>
        <w:rPr>
          <w:rFonts w:ascii="微软雅黑" w:hAnsi="微软雅黑" w:eastAsia="微软雅黑" w:cs="宋体"/>
          <w:color w:val="333333"/>
          <w:kern w:val="0"/>
          <w:sz w:val="24"/>
          <w:szCs w:val="24"/>
        </w:rPr>
      </w:pPr>
      <w:r>
        <w:rPr>
          <w:rFonts w:hint="eastAsia" w:ascii="宋体" w:hAnsi="宋体" w:eastAsia="宋体" w:cs="宋体"/>
          <w:color w:val="333333"/>
          <w:kern w:val="0"/>
          <w:sz w:val="24"/>
          <w:szCs w:val="24"/>
        </w:rPr>
        <w:t>（一）应具备《政府采购法》第二十二条第一款之规定的基本条件。</w:t>
      </w:r>
    </w:p>
    <w:p>
      <w:pPr>
        <w:widowControl/>
        <w:shd w:val="clear" w:color="auto" w:fill="FFFFFF"/>
        <w:spacing w:line="420" w:lineRule="exact"/>
        <w:ind w:firstLine="482"/>
        <w:rPr>
          <w:rFonts w:ascii="微软雅黑" w:hAnsi="微软雅黑" w:eastAsia="微软雅黑" w:cs="宋体"/>
          <w:color w:val="333333"/>
          <w:kern w:val="0"/>
          <w:sz w:val="24"/>
          <w:szCs w:val="24"/>
        </w:rPr>
      </w:pPr>
      <w:r>
        <w:rPr>
          <w:rFonts w:hint="eastAsia" w:ascii="宋体" w:hAnsi="宋体" w:eastAsia="宋体" w:cs="宋体"/>
          <w:color w:val="333333"/>
          <w:kern w:val="0"/>
          <w:sz w:val="24"/>
          <w:szCs w:val="24"/>
        </w:rPr>
        <w:t>（二）参加本次政府采购活动前三年内，在经营活动中没有重大违法记录并须提交《参加政府采购活动前3年内在经营活动中没有重大违法记录的书面声明》，且</w:t>
      </w:r>
      <w:r>
        <w:rPr>
          <w:rFonts w:ascii="Times New Roman" w:hAnsi="Times New Roman" w:cs="Times New Roman"/>
          <w:bCs/>
          <w:color w:val="000000" w:themeColor="text1"/>
          <w:sz w:val="24"/>
          <w:szCs w:val="24"/>
        </w:rPr>
        <w:t>未被列入“信用中国”网站(www.creditchina. gov.cn)失信被执行人、重大税收违法案件当事人名单、政府采购严重违法失信行为记录名单的网页打印件</w:t>
      </w:r>
      <w:r>
        <w:rPr>
          <w:rFonts w:hint="eastAsia" w:ascii="宋体" w:hAnsi="宋体" w:eastAsia="宋体" w:cs="宋体"/>
          <w:color w:val="333333"/>
          <w:kern w:val="0"/>
          <w:sz w:val="24"/>
          <w:szCs w:val="24"/>
        </w:rPr>
        <w:t>。。</w:t>
      </w:r>
    </w:p>
    <w:p>
      <w:pPr>
        <w:widowControl/>
        <w:shd w:val="clear" w:color="auto" w:fill="FFFFFF"/>
        <w:spacing w:line="420" w:lineRule="exact"/>
        <w:ind w:firstLine="482"/>
        <w:rPr>
          <w:rFonts w:cs="宋体" w:asciiTheme="minorEastAsia" w:hAnsiTheme="minorEastAsia"/>
          <w:color w:val="333333"/>
          <w:kern w:val="0"/>
          <w:sz w:val="24"/>
          <w:szCs w:val="24"/>
        </w:rPr>
      </w:pPr>
      <w:r>
        <w:rPr>
          <w:rFonts w:hint="eastAsia" w:ascii="宋体" w:hAnsi="宋体" w:eastAsia="宋体" w:cs="宋体"/>
          <w:color w:val="333333"/>
          <w:kern w:val="0"/>
          <w:sz w:val="24"/>
          <w:szCs w:val="24"/>
        </w:rPr>
        <w:t>（三）特定条件：投标人须为中华人民共和国境内的设计单位，必须具备工程设计综合资质或市政行业（道路工程、给水工程、排水工程）专业设计甲级及以上资质；投标人拟派的项目负责人须具备注册公用设备（给水排水）工程师执业资格，且系投标单位在册正式职工（提供近6个月的社保缴纳证明）</w:t>
      </w:r>
    </w:p>
    <w:p>
      <w:pPr>
        <w:widowControl/>
        <w:shd w:val="clear" w:color="auto" w:fill="FFFFFF"/>
        <w:spacing w:line="400" w:lineRule="exact"/>
        <w:rPr>
          <w:rFonts w:cs="宋体" w:asciiTheme="minorEastAsia" w:hAnsiTheme="minorEastAsia"/>
          <w:color w:val="333333"/>
          <w:kern w:val="0"/>
          <w:sz w:val="24"/>
          <w:szCs w:val="24"/>
        </w:rPr>
      </w:pPr>
      <w:r>
        <w:rPr>
          <w:rFonts w:hint="eastAsia" w:cs="宋体" w:asciiTheme="minorEastAsia" w:hAnsiTheme="minorEastAsia"/>
          <w:b/>
          <w:bCs/>
          <w:color w:val="333333"/>
          <w:kern w:val="0"/>
          <w:sz w:val="24"/>
          <w:szCs w:val="24"/>
          <w:shd w:val="clear" w:color="auto" w:fill="FFFFFF"/>
        </w:rPr>
        <w:t>三、获取采购文件</w:t>
      </w:r>
    </w:p>
    <w:p>
      <w:pPr>
        <w:widowControl/>
        <w:shd w:val="clear" w:color="auto" w:fill="FFFFFF"/>
        <w:spacing w:line="400" w:lineRule="exact"/>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本项目实行网上下载磋商文件，磋商文件与本磋商公告同时在“湖北省政府采购网”、“黄石公共资源交易信息网”及“阳新县人民政府网”发布（见磋商文件下载），凡自愿参加本项目供应商，请于</w:t>
      </w:r>
      <w:r>
        <w:rPr>
          <w:rFonts w:hint="eastAsia" w:cs="宋体" w:asciiTheme="minorEastAsia" w:hAnsiTheme="minorEastAsia"/>
          <w:color w:val="0000CC"/>
          <w:kern w:val="0"/>
          <w:sz w:val="24"/>
          <w:szCs w:val="24"/>
        </w:rPr>
        <w:t>2022年4月18日至2022年4月　24日17时30分</w:t>
      </w:r>
      <w:r>
        <w:rPr>
          <w:rFonts w:hint="eastAsia" w:cs="宋体" w:asciiTheme="minorEastAsia" w:hAnsiTheme="minorEastAsia"/>
          <w:color w:val="333333"/>
          <w:kern w:val="0"/>
          <w:sz w:val="24"/>
          <w:szCs w:val="24"/>
        </w:rPr>
        <w:t>前点击项目磋商公告中的链接下载磋商文件，并在磋商截止时间前递交磋商响应文件。</w:t>
      </w:r>
    </w:p>
    <w:p>
      <w:pPr>
        <w:widowControl/>
        <w:shd w:val="clear" w:color="auto" w:fill="FFFFFF"/>
        <w:spacing w:line="400" w:lineRule="exact"/>
        <w:rPr>
          <w:rFonts w:cs="宋体" w:asciiTheme="minorEastAsia" w:hAnsiTheme="minorEastAsia"/>
          <w:color w:val="333333"/>
          <w:kern w:val="0"/>
          <w:sz w:val="24"/>
          <w:szCs w:val="24"/>
        </w:rPr>
      </w:pPr>
      <w:r>
        <w:rPr>
          <w:rFonts w:hint="eastAsia" w:cs="宋体" w:asciiTheme="minorEastAsia" w:hAnsiTheme="minorEastAsia"/>
          <w:b/>
          <w:bCs/>
          <w:color w:val="333333"/>
          <w:kern w:val="0"/>
          <w:sz w:val="24"/>
          <w:szCs w:val="24"/>
          <w:shd w:val="clear" w:color="auto" w:fill="FFFFFF"/>
        </w:rPr>
        <w:t>四、响应文件提交</w:t>
      </w:r>
    </w:p>
    <w:p>
      <w:pPr>
        <w:widowControl/>
        <w:shd w:val="clear" w:color="auto" w:fill="FFFFFF"/>
        <w:spacing w:line="400" w:lineRule="exact"/>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shd w:val="clear" w:color="auto" w:fill="FFFFFF"/>
        </w:rPr>
        <w:t>1、开始时间：2022年4月29日8点30分（北京时间）</w:t>
      </w:r>
    </w:p>
    <w:p>
      <w:pPr>
        <w:widowControl/>
        <w:shd w:val="clear" w:color="auto" w:fill="FFFFFF"/>
        <w:spacing w:line="400" w:lineRule="exact"/>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shd w:val="clear" w:color="auto" w:fill="FFFFFF"/>
        </w:rPr>
        <w:t>2、截止时间：2022年4月29日9点00分（北京时间）</w:t>
      </w:r>
    </w:p>
    <w:p>
      <w:pPr>
        <w:widowControl/>
        <w:shd w:val="clear" w:color="auto" w:fill="FFFFFF"/>
        <w:spacing w:line="400" w:lineRule="exact"/>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shd w:val="clear" w:color="auto" w:fill="FFFFFF"/>
        </w:rPr>
        <w:t>3、地点：阳新县公共资源交易中心　　楼开标厅</w:t>
      </w:r>
    </w:p>
    <w:p>
      <w:pPr>
        <w:widowControl/>
        <w:shd w:val="clear" w:color="auto" w:fill="FFFFFF"/>
        <w:spacing w:line="400" w:lineRule="exact"/>
        <w:rPr>
          <w:rFonts w:cs="宋体" w:asciiTheme="minorEastAsia" w:hAnsiTheme="minorEastAsia"/>
          <w:color w:val="333333"/>
          <w:kern w:val="0"/>
          <w:sz w:val="24"/>
          <w:szCs w:val="24"/>
        </w:rPr>
      </w:pPr>
      <w:r>
        <w:rPr>
          <w:rFonts w:hint="eastAsia" w:cs="宋体" w:asciiTheme="minorEastAsia" w:hAnsiTheme="minorEastAsia"/>
          <w:b/>
          <w:bCs/>
          <w:color w:val="333333"/>
          <w:kern w:val="0"/>
          <w:sz w:val="24"/>
          <w:szCs w:val="24"/>
          <w:shd w:val="clear" w:color="auto" w:fill="FFFFFF"/>
        </w:rPr>
        <w:t>五、开启</w:t>
      </w:r>
    </w:p>
    <w:p>
      <w:pPr>
        <w:widowControl/>
        <w:shd w:val="clear" w:color="auto" w:fill="FFFFFF"/>
        <w:spacing w:line="400" w:lineRule="exact"/>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shd w:val="clear" w:color="auto" w:fill="FFFFFF"/>
        </w:rPr>
        <w:t>1、时间：2022年4月29日9点00分（北京时间）</w:t>
      </w:r>
    </w:p>
    <w:p>
      <w:pPr>
        <w:widowControl/>
        <w:shd w:val="clear" w:color="auto" w:fill="FFFFFF"/>
        <w:spacing w:line="400" w:lineRule="exact"/>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shd w:val="clear" w:color="auto" w:fill="FFFFFF"/>
        </w:rPr>
        <w:t>2、地点：阳新县公共资源交易中心评标1室</w:t>
      </w:r>
    </w:p>
    <w:p>
      <w:pPr>
        <w:widowControl/>
        <w:shd w:val="clear" w:color="auto" w:fill="FFFFFF"/>
        <w:spacing w:line="400" w:lineRule="exact"/>
        <w:rPr>
          <w:rFonts w:cs="宋体" w:asciiTheme="minorEastAsia" w:hAnsiTheme="minorEastAsia"/>
          <w:color w:val="333333"/>
          <w:kern w:val="0"/>
          <w:sz w:val="24"/>
          <w:szCs w:val="24"/>
        </w:rPr>
      </w:pPr>
      <w:r>
        <w:rPr>
          <w:rFonts w:hint="eastAsia" w:cs="宋体" w:asciiTheme="minorEastAsia" w:hAnsiTheme="minorEastAsia"/>
          <w:b/>
          <w:bCs/>
          <w:color w:val="333333"/>
          <w:kern w:val="0"/>
          <w:sz w:val="24"/>
          <w:szCs w:val="24"/>
          <w:shd w:val="clear" w:color="auto" w:fill="FFFFFF"/>
        </w:rPr>
        <w:t>六、公告期限</w:t>
      </w:r>
    </w:p>
    <w:p>
      <w:pPr>
        <w:widowControl/>
        <w:shd w:val="clear" w:color="auto" w:fill="FFFFFF"/>
        <w:spacing w:line="400" w:lineRule="exact"/>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shd w:val="clear" w:color="auto" w:fill="FFFFFF"/>
        </w:rPr>
        <w:t>自本公告发布之日起5个工作日。</w:t>
      </w:r>
    </w:p>
    <w:p>
      <w:pPr>
        <w:widowControl/>
        <w:shd w:val="clear" w:color="auto" w:fill="FFFFFF"/>
        <w:spacing w:line="400" w:lineRule="exact"/>
        <w:rPr>
          <w:rFonts w:cs="宋体" w:asciiTheme="minorEastAsia" w:hAnsiTheme="minorEastAsia"/>
          <w:color w:val="333333"/>
          <w:kern w:val="0"/>
          <w:sz w:val="24"/>
          <w:szCs w:val="24"/>
        </w:rPr>
      </w:pPr>
      <w:r>
        <w:rPr>
          <w:rFonts w:hint="eastAsia" w:cs="宋体" w:asciiTheme="minorEastAsia" w:hAnsiTheme="minorEastAsia"/>
          <w:b/>
          <w:bCs/>
          <w:color w:val="333333"/>
          <w:kern w:val="0"/>
          <w:sz w:val="24"/>
          <w:szCs w:val="24"/>
          <w:shd w:val="clear" w:color="auto" w:fill="FFFFFF"/>
        </w:rPr>
        <w:t>七、其他补充事宜</w:t>
      </w:r>
    </w:p>
    <w:p>
      <w:pPr>
        <w:widowControl/>
        <w:shd w:val="clear" w:color="auto" w:fill="FFFFFF"/>
        <w:spacing w:line="400" w:lineRule="exact"/>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shd w:val="clear" w:color="auto" w:fill="FFFFFF"/>
        </w:rPr>
        <w:t>1、供应商认为磋商文件、磋商过程和成交结果使自己的权益受到损害的，可以在知道或者应知其权益受到损害之日起7个工作日内向采购人或代理公司提出质疑。</w:t>
      </w:r>
    </w:p>
    <w:p>
      <w:pPr>
        <w:widowControl/>
        <w:shd w:val="clear" w:color="auto" w:fill="FFFFFF"/>
        <w:spacing w:line="400" w:lineRule="exact"/>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shd w:val="clear" w:color="auto" w:fill="FFFFFF"/>
        </w:rPr>
        <w:t>2、本公告发布的信息媒体“湖北省政府采购网”、“黄石公共资源交易信息网”、“阳新县人民政府网”。</w:t>
      </w:r>
      <w:r>
        <w:rPr>
          <w:rFonts w:hint="eastAsia" w:cs="宋体" w:asciiTheme="minorEastAsia" w:hAnsiTheme="minorEastAsia"/>
          <w:color w:val="333333"/>
          <w:kern w:val="0"/>
          <w:sz w:val="24"/>
          <w:szCs w:val="24"/>
        </w:rPr>
        <w:t xml:space="preserve"> </w:t>
      </w:r>
    </w:p>
    <w:p>
      <w:pPr>
        <w:widowControl/>
        <w:shd w:val="clear" w:color="auto" w:fill="FFFFFF"/>
        <w:spacing w:line="400" w:lineRule="exact"/>
        <w:rPr>
          <w:rFonts w:cs="宋体" w:asciiTheme="minorEastAsia" w:hAnsiTheme="minorEastAsia"/>
          <w:color w:val="333333"/>
          <w:kern w:val="0"/>
          <w:sz w:val="24"/>
          <w:szCs w:val="24"/>
        </w:rPr>
      </w:pPr>
      <w:r>
        <w:rPr>
          <w:rFonts w:hint="eastAsia" w:cs="宋体" w:asciiTheme="minorEastAsia" w:hAnsiTheme="minorEastAsia"/>
          <w:b/>
          <w:bCs/>
          <w:color w:val="333333"/>
          <w:kern w:val="0"/>
          <w:sz w:val="24"/>
          <w:szCs w:val="24"/>
          <w:shd w:val="clear" w:color="auto" w:fill="FFFFFF"/>
        </w:rPr>
        <w:t>八、凡对本次采购提出询问，请按以下方式联系。</w:t>
      </w:r>
    </w:p>
    <w:p>
      <w:pPr>
        <w:pStyle w:val="17"/>
        <w:shd w:val="clear" w:color="auto" w:fill="FFFFFF"/>
        <w:spacing w:beforeAutospacing="0" w:afterAutospacing="0" w:line="400" w:lineRule="exact"/>
        <w:ind w:firstLine="480" w:firstLineChars="200"/>
        <w:jc w:val="both"/>
        <w:rPr>
          <w:rFonts w:asciiTheme="minorEastAsia" w:hAnsiTheme="minorEastAsia" w:eastAsiaTheme="minorEastAsia"/>
          <w:color w:val="333333"/>
        </w:rPr>
      </w:pPr>
      <w:r>
        <w:rPr>
          <w:rFonts w:hint="eastAsia" w:asciiTheme="minorEastAsia" w:hAnsiTheme="minorEastAsia" w:eastAsiaTheme="minorEastAsia"/>
          <w:color w:val="333333"/>
        </w:rPr>
        <w:t>1、采购人信息</w:t>
      </w:r>
    </w:p>
    <w:p>
      <w:pPr>
        <w:pStyle w:val="17"/>
        <w:shd w:val="clear" w:color="auto" w:fill="FFFFFF"/>
        <w:spacing w:beforeAutospacing="0" w:afterAutospacing="0" w:line="400" w:lineRule="exact"/>
        <w:ind w:firstLine="480" w:firstLineChars="200"/>
        <w:jc w:val="both"/>
        <w:rPr>
          <w:rFonts w:asciiTheme="minorEastAsia" w:hAnsiTheme="minorEastAsia" w:eastAsiaTheme="minorEastAsia"/>
          <w:color w:val="333333"/>
        </w:rPr>
      </w:pPr>
      <w:r>
        <w:rPr>
          <w:rFonts w:hint="eastAsia" w:asciiTheme="minorEastAsia" w:hAnsiTheme="minorEastAsia" w:eastAsiaTheme="minorEastAsia"/>
          <w:color w:val="333333"/>
        </w:rPr>
        <w:t>名   称：阳新县住房和城乡建设局</w:t>
      </w:r>
    </w:p>
    <w:p>
      <w:pPr>
        <w:pStyle w:val="17"/>
        <w:shd w:val="clear" w:color="auto" w:fill="FFFFFF"/>
        <w:spacing w:beforeAutospacing="0" w:afterAutospacing="0" w:line="400" w:lineRule="exact"/>
        <w:ind w:firstLine="480" w:firstLineChars="200"/>
        <w:jc w:val="both"/>
        <w:rPr>
          <w:rFonts w:asciiTheme="minorEastAsia" w:hAnsiTheme="minorEastAsia" w:eastAsiaTheme="minorEastAsia"/>
          <w:color w:val="333333"/>
        </w:rPr>
      </w:pPr>
      <w:r>
        <w:rPr>
          <w:rFonts w:hint="eastAsia" w:asciiTheme="minorEastAsia" w:hAnsiTheme="minorEastAsia" w:eastAsiaTheme="minorEastAsia"/>
          <w:color w:val="333333"/>
        </w:rPr>
        <w:t>地   址：阳新县兴国镇陵园大道13号</w:t>
      </w:r>
    </w:p>
    <w:p>
      <w:pPr>
        <w:pStyle w:val="17"/>
        <w:shd w:val="clear" w:color="auto" w:fill="FFFFFF"/>
        <w:spacing w:beforeAutospacing="0" w:afterAutospacing="0" w:line="400" w:lineRule="exact"/>
        <w:ind w:firstLine="480" w:firstLineChars="200"/>
        <w:jc w:val="both"/>
        <w:rPr>
          <w:rFonts w:asciiTheme="minorEastAsia" w:hAnsiTheme="minorEastAsia" w:eastAsiaTheme="minorEastAsia"/>
          <w:color w:val="333333"/>
        </w:rPr>
      </w:pPr>
      <w:r>
        <w:rPr>
          <w:rFonts w:hint="eastAsia" w:asciiTheme="minorEastAsia" w:hAnsiTheme="minorEastAsia" w:eastAsiaTheme="minorEastAsia"/>
          <w:color w:val="333333"/>
        </w:rPr>
        <w:t>联系方式：15871215698</w:t>
      </w:r>
    </w:p>
    <w:p>
      <w:pPr>
        <w:pStyle w:val="17"/>
        <w:shd w:val="clear" w:color="auto" w:fill="FFFFFF"/>
        <w:spacing w:beforeAutospacing="0" w:afterAutospacing="0" w:line="400" w:lineRule="exact"/>
        <w:ind w:firstLine="480" w:firstLineChars="200"/>
        <w:jc w:val="both"/>
        <w:rPr>
          <w:rFonts w:asciiTheme="minorEastAsia" w:hAnsiTheme="minorEastAsia" w:eastAsiaTheme="minorEastAsia"/>
          <w:color w:val="333333"/>
        </w:rPr>
      </w:pPr>
      <w:r>
        <w:rPr>
          <w:rFonts w:hint="eastAsia" w:asciiTheme="minorEastAsia" w:hAnsiTheme="minorEastAsia" w:eastAsiaTheme="minorEastAsia"/>
          <w:color w:val="333333"/>
        </w:rPr>
        <w:t>2、采购代理机构信息</w:t>
      </w:r>
    </w:p>
    <w:p>
      <w:pPr>
        <w:pStyle w:val="17"/>
        <w:shd w:val="clear" w:color="auto" w:fill="FFFFFF"/>
        <w:spacing w:beforeAutospacing="0" w:afterAutospacing="0" w:line="400" w:lineRule="exact"/>
        <w:ind w:firstLine="480" w:firstLineChars="200"/>
        <w:jc w:val="both"/>
        <w:rPr>
          <w:rFonts w:asciiTheme="minorEastAsia" w:hAnsiTheme="minorEastAsia" w:eastAsiaTheme="minorEastAsia"/>
          <w:color w:val="333333"/>
        </w:rPr>
      </w:pPr>
      <w:r>
        <w:rPr>
          <w:rFonts w:hint="eastAsia" w:asciiTheme="minorEastAsia" w:hAnsiTheme="minorEastAsia" w:eastAsiaTheme="minorEastAsia"/>
          <w:color w:val="333333"/>
        </w:rPr>
        <w:t>名   称：湖北嘉亿工程项目管理有限公司</w:t>
      </w:r>
    </w:p>
    <w:p>
      <w:pPr>
        <w:pStyle w:val="17"/>
        <w:shd w:val="clear" w:color="auto" w:fill="FFFFFF"/>
        <w:spacing w:beforeAutospacing="0" w:afterAutospacing="0" w:line="400" w:lineRule="exact"/>
        <w:ind w:firstLine="480" w:firstLineChars="200"/>
        <w:jc w:val="both"/>
        <w:rPr>
          <w:rFonts w:asciiTheme="minorEastAsia" w:hAnsiTheme="minorEastAsia" w:eastAsiaTheme="minorEastAsia"/>
          <w:color w:val="333333"/>
          <w:szCs w:val="24"/>
        </w:rPr>
      </w:pPr>
      <w:r>
        <w:rPr>
          <w:rFonts w:hint="eastAsia" w:asciiTheme="minorEastAsia" w:hAnsiTheme="minorEastAsia" w:eastAsiaTheme="minorEastAsia"/>
          <w:color w:val="333333"/>
        </w:rPr>
        <w:t>地   址：</w:t>
      </w:r>
      <w:r>
        <w:rPr>
          <w:rFonts w:hint="eastAsia" w:asciiTheme="minorEastAsia" w:hAnsiTheme="minorEastAsia" w:eastAsiaTheme="minorEastAsia"/>
          <w:color w:val="333333"/>
          <w:szCs w:val="24"/>
        </w:rPr>
        <w:t>阳新县兴国镇熊家垴小区4栋1704室 </w:t>
      </w:r>
    </w:p>
    <w:p>
      <w:pPr>
        <w:pStyle w:val="17"/>
        <w:shd w:val="clear" w:color="auto" w:fill="FFFFFF"/>
        <w:spacing w:beforeAutospacing="0" w:afterAutospacing="0" w:line="400" w:lineRule="exact"/>
        <w:ind w:firstLine="480" w:firstLineChars="200"/>
        <w:jc w:val="both"/>
        <w:rPr>
          <w:rFonts w:asciiTheme="minorEastAsia" w:hAnsiTheme="minorEastAsia" w:eastAsiaTheme="minorEastAsia"/>
          <w:color w:val="333333"/>
        </w:rPr>
      </w:pPr>
      <w:r>
        <w:rPr>
          <w:rFonts w:hint="eastAsia" w:asciiTheme="minorEastAsia" w:hAnsiTheme="minorEastAsia" w:eastAsiaTheme="minorEastAsia"/>
          <w:color w:val="333333"/>
        </w:rPr>
        <w:t>联系方式：0714-7338668</w:t>
      </w:r>
    </w:p>
    <w:p>
      <w:pPr>
        <w:pStyle w:val="17"/>
        <w:shd w:val="clear" w:color="auto" w:fill="FFFFFF"/>
        <w:spacing w:beforeAutospacing="0" w:afterAutospacing="0" w:line="400" w:lineRule="exact"/>
        <w:ind w:firstLine="480" w:firstLineChars="200"/>
        <w:jc w:val="both"/>
        <w:rPr>
          <w:rFonts w:asciiTheme="minorEastAsia" w:hAnsiTheme="minorEastAsia" w:eastAsiaTheme="minorEastAsia"/>
          <w:color w:val="333333"/>
        </w:rPr>
      </w:pPr>
      <w:r>
        <w:rPr>
          <w:rFonts w:hint="eastAsia" w:asciiTheme="minorEastAsia" w:hAnsiTheme="minorEastAsia" w:eastAsiaTheme="minorEastAsia"/>
          <w:color w:val="333333"/>
        </w:rPr>
        <w:t>3、项目联系方式</w:t>
      </w:r>
    </w:p>
    <w:p>
      <w:pPr>
        <w:pStyle w:val="17"/>
        <w:shd w:val="clear" w:color="auto" w:fill="FFFFFF"/>
        <w:spacing w:beforeAutospacing="0" w:afterAutospacing="0" w:line="400" w:lineRule="exact"/>
        <w:ind w:firstLine="480" w:firstLineChars="200"/>
        <w:jc w:val="both"/>
        <w:rPr>
          <w:rFonts w:asciiTheme="minorEastAsia" w:hAnsiTheme="minorEastAsia" w:eastAsiaTheme="minorEastAsia"/>
          <w:color w:val="333333"/>
        </w:rPr>
      </w:pPr>
      <w:r>
        <w:rPr>
          <w:rFonts w:hint="eastAsia" w:asciiTheme="minorEastAsia" w:hAnsiTheme="minorEastAsia" w:eastAsiaTheme="minorEastAsia"/>
          <w:color w:val="333333"/>
        </w:rPr>
        <w:t>项目联系人：汪金枝</w:t>
      </w:r>
    </w:p>
    <w:p>
      <w:pPr>
        <w:pStyle w:val="17"/>
        <w:shd w:val="clear" w:color="auto" w:fill="FFFFFF"/>
        <w:spacing w:beforeAutospacing="0" w:afterAutospacing="0" w:line="400" w:lineRule="exact"/>
        <w:ind w:firstLine="480" w:firstLineChars="200"/>
        <w:jc w:val="both"/>
        <w:rPr>
          <w:rFonts w:asciiTheme="minorEastAsia" w:hAnsiTheme="minorEastAsia" w:eastAsiaTheme="minorEastAsia"/>
          <w:color w:val="333333"/>
        </w:rPr>
      </w:pPr>
      <w:r>
        <w:rPr>
          <w:rFonts w:hint="eastAsia" w:asciiTheme="minorEastAsia" w:hAnsiTheme="minorEastAsia" w:eastAsiaTheme="minorEastAsia"/>
          <w:color w:val="333333"/>
        </w:rPr>
        <w:t>电   话：0714-7338668</w:t>
      </w:r>
    </w:p>
    <w:p>
      <w:pPr>
        <w:pStyle w:val="17"/>
        <w:shd w:val="clear" w:color="auto" w:fill="FFFFFF"/>
        <w:spacing w:beforeAutospacing="0" w:afterAutospacing="0" w:line="400" w:lineRule="exact"/>
        <w:ind w:firstLine="480" w:firstLineChars="200"/>
        <w:jc w:val="both"/>
        <w:rPr>
          <w:rFonts w:asciiTheme="minorEastAsia" w:hAnsiTheme="minorEastAsia" w:eastAsiaTheme="minorEastAsia"/>
          <w:color w:val="333333"/>
        </w:rPr>
      </w:pPr>
    </w:p>
    <w:p>
      <w:pPr>
        <w:jc w:val="right"/>
      </w:pPr>
      <w:r>
        <w:rPr>
          <w:rFonts w:hint="eastAsia" w:ascii="宋体" w:hAnsi="宋体" w:cs="宋体"/>
          <w:kern w:val="0"/>
          <w:sz w:val="24"/>
          <w:szCs w:val="24"/>
        </w:rPr>
        <w:t>2022年4月18日</w:t>
      </w:r>
    </w:p>
    <w:p>
      <w:pPr>
        <w:spacing w:line="360" w:lineRule="auto"/>
        <w:jc w:val="right"/>
        <w:rPr>
          <w:rFonts w:ascii="Times New Roman" w:hAnsi="Times New Roman" w:cs="Times New Roman"/>
          <w:b/>
          <w:bCs/>
          <w:color w:val="000000" w:themeColor="text1"/>
          <w:sz w:val="36"/>
          <w:szCs w:val="36"/>
        </w:rPr>
      </w:pPr>
      <w:r>
        <w:rPr>
          <w:rFonts w:ascii="仿宋_GB2312" w:eastAsia="仿宋_GB2312"/>
          <w:color w:val="000000" w:themeColor="text1"/>
          <w:sz w:val="28"/>
          <w:szCs w:val="28"/>
        </w:rPr>
        <w:br w:type="page"/>
      </w:r>
    </w:p>
    <w:p>
      <w:pPr>
        <w:widowControl/>
        <w:adjustRightInd w:val="0"/>
        <w:snapToGrid w:val="0"/>
        <w:spacing w:line="360" w:lineRule="auto"/>
        <w:jc w:val="center"/>
        <w:rPr>
          <w:rFonts w:ascii="Times New Roman" w:hAnsi="Times New Roman" w:cs="Times New Roman"/>
          <w:b/>
          <w:bCs/>
          <w:color w:val="000000" w:themeColor="text1"/>
          <w:sz w:val="36"/>
          <w:szCs w:val="36"/>
        </w:rPr>
      </w:pPr>
      <w:r>
        <w:rPr>
          <w:rFonts w:ascii="Times New Roman" w:hAnsi="Times New Roman" w:cs="Times New Roman"/>
          <w:b/>
          <w:color w:val="000000" w:themeColor="text1"/>
          <w:sz w:val="36"/>
          <w:szCs w:val="36"/>
          <w:lang w:val="hr-HR" w:bidi="ar-EG"/>
        </w:rPr>
        <w:t xml:space="preserve">第二章 </w:t>
      </w:r>
      <w:r>
        <w:rPr>
          <w:rFonts w:ascii="Times New Roman" w:hAnsi="Times New Roman" w:cs="Times New Roman"/>
          <w:b/>
          <w:bCs/>
          <w:color w:val="000000" w:themeColor="text1"/>
          <w:sz w:val="36"/>
          <w:szCs w:val="36"/>
        </w:rPr>
        <w:t>磋商须知</w:t>
      </w:r>
    </w:p>
    <w:p>
      <w:pPr>
        <w:spacing w:line="360" w:lineRule="auto"/>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磋商须知前附表</w:t>
      </w:r>
    </w:p>
    <w:tbl>
      <w:tblPr>
        <w:tblStyle w:val="18"/>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项    目</w:t>
            </w:r>
          </w:p>
        </w:tc>
        <w:tc>
          <w:tcPr>
            <w:tcW w:w="5013" w:type="dxa"/>
            <w:tcBorders>
              <w:top w:val="single" w:color="auto" w:sz="4" w:space="0"/>
              <w:left w:val="single" w:color="auto" w:sz="4" w:space="0"/>
              <w:bottom w:val="single" w:color="auto" w:sz="4" w:space="0"/>
            </w:tcBorders>
            <w:vAlign w:val="center"/>
          </w:tcPr>
          <w:p>
            <w:pPr>
              <w:spacing w:line="360" w:lineRule="auto"/>
              <w:ind w:left="57" w:right="57" w:firstLine="482" w:firstLineChars="201"/>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color w:val="000000" w:themeColor="text1"/>
                <w:sz w:val="24"/>
              </w:rPr>
            </w:pPr>
            <w:r>
              <w:rPr>
                <w:rFonts w:ascii="Times New Roman" w:hAnsi="Times New Roman" w:cs="Times New Roman"/>
                <w:color w:val="000000" w:themeColor="text1"/>
                <w:sz w:val="24"/>
              </w:rPr>
              <w:t>项目名称</w:t>
            </w:r>
          </w:p>
        </w:tc>
        <w:tc>
          <w:tcPr>
            <w:tcW w:w="5013" w:type="dxa"/>
            <w:tcBorders>
              <w:top w:val="single" w:color="auto" w:sz="4" w:space="0"/>
              <w:left w:val="single" w:color="auto" w:sz="4" w:space="0"/>
              <w:bottom w:val="single" w:color="auto" w:sz="4" w:space="0"/>
            </w:tcBorders>
            <w:vAlign w:val="center"/>
          </w:tcPr>
          <w:p>
            <w:pPr>
              <w:adjustRightInd w:val="0"/>
              <w:snapToGrid w:val="0"/>
              <w:spacing w:line="360" w:lineRule="auto"/>
              <w:rPr>
                <w:color w:val="000000" w:themeColor="text1"/>
                <w:sz w:val="24"/>
                <w:szCs w:val="24"/>
              </w:rPr>
            </w:pPr>
            <w:r>
              <w:rPr>
                <w:rFonts w:hint="eastAsia" w:ascii="宋体" w:hAnsi="宋体" w:cs="宋体"/>
                <w:color w:val="000000"/>
                <w:kern w:val="0"/>
                <w:sz w:val="24"/>
                <w:szCs w:val="24"/>
                <w:shd w:val="clear" w:color="auto" w:fill="FFFFFF"/>
              </w:rPr>
              <w:t>阳新县城东和老城区管网提质增效及管网改造工程设计服务采购项目</w:t>
            </w:r>
            <w:r>
              <w:rPr>
                <w:rFonts w:ascii="Times New Roman" w:hAnsi="Times New Roman" w:cs="Times New Roman"/>
                <w:color w:val="000000" w:themeColor="text1"/>
                <w:kern w:val="0"/>
                <w:sz w:val="24"/>
              </w:rPr>
              <w:fldChar w:fldCharType="begin"/>
            </w:r>
            <w:r>
              <w:rPr>
                <w:rFonts w:ascii="Times New Roman" w:hAnsi="Times New Roman" w:cs="Times New Roman"/>
                <w:color w:val="000000" w:themeColor="text1"/>
                <w:kern w:val="0"/>
                <w:sz w:val="24"/>
              </w:rPr>
              <w:instrText xml:space="preserve">&lt;MK&gt;pro.projectname &lt;/MK&gt;</w:instrText>
            </w:r>
            <w:r>
              <w:rPr>
                <w:rFonts w:ascii="Times New Roman" w:hAnsi="Times New Roman" w:cs="Times New Roman"/>
                <w:color w:val="000000" w:themeColor="text1"/>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color w:val="000000" w:themeColor="text1"/>
                <w:sz w:val="24"/>
              </w:rPr>
            </w:pPr>
            <w:r>
              <w:rPr>
                <w:rFonts w:ascii="Times New Roman" w:hAnsi="Times New Roman" w:cs="Times New Roman"/>
                <w:color w:val="000000" w:themeColor="text1"/>
                <w:sz w:val="24"/>
              </w:rPr>
              <w:t>项目编号</w:t>
            </w:r>
          </w:p>
        </w:tc>
        <w:tc>
          <w:tcPr>
            <w:tcW w:w="5013" w:type="dxa"/>
            <w:tcBorders>
              <w:top w:val="single" w:color="auto" w:sz="4" w:space="0"/>
              <w:left w:val="single" w:color="auto" w:sz="4" w:space="0"/>
              <w:bottom w:val="single" w:color="auto" w:sz="4" w:space="0"/>
            </w:tcBorders>
            <w:vAlign w:val="center"/>
          </w:tcPr>
          <w:p>
            <w:pPr>
              <w:spacing w:line="360" w:lineRule="auto"/>
              <w:jc w:val="left"/>
              <w:rPr>
                <w:rFonts w:ascii="Times New Roman" w:hAnsi="Times New Roman" w:cs="Times New Roman"/>
                <w:color w:val="0000CC"/>
                <w:sz w:val="24"/>
              </w:rPr>
            </w:pPr>
            <w:r>
              <w:rPr>
                <w:rFonts w:hint="eastAsia"/>
                <w:color w:val="0000CC"/>
                <w:sz w:val="24"/>
                <w:szCs w:val="24"/>
                <w:u w:val="single"/>
              </w:rPr>
              <w:t>131-2022CG-058　</w:t>
            </w:r>
            <w:r>
              <w:rPr>
                <w:rFonts w:ascii="Times New Roman" w:hAnsi="Times New Roman" w:cs="Times New Roman"/>
                <w:color w:val="0000CC"/>
                <w:kern w:val="0"/>
                <w:sz w:val="24"/>
              </w:rPr>
              <w:fldChar w:fldCharType="begin"/>
            </w:r>
            <w:r>
              <w:rPr>
                <w:rFonts w:ascii="Times New Roman" w:hAnsi="Times New Roman" w:cs="Times New Roman"/>
                <w:color w:val="0000CC"/>
                <w:kern w:val="0"/>
                <w:sz w:val="24"/>
              </w:rPr>
              <w:instrText xml:space="preserve">&lt;MK&gt;pro.schemecode&lt;/MK&gt;</w:instrText>
            </w:r>
            <w:r>
              <w:rPr>
                <w:rFonts w:ascii="Times New Roman" w:hAnsi="Times New Roman" w:cs="Times New Roman"/>
                <w:color w:val="0000CC"/>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color w:val="000000" w:themeColor="text1"/>
                <w:sz w:val="24"/>
              </w:rPr>
            </w:pPr>
            <w:r>
              <w:rPr>
                <w:rFonts w:ascii="Times New Roman" w:hAnsi="Times New Roman" w:cs="Times New Roman"/>
                <w:color w:val="000000" w:themeColor="text1"/>
                <w:sz w:val="24"/>
              </w:rPr>
              <w:t>采购人</w:t>
            </w:r>
          </w:p>
        </w:tc>
        <w:tc>
          <w:tcPr>
            <w:tcW w:w="5013"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themeColor="text1"/>
                <w:kern w:val="0"/>
                <w:sz w:val="24"/>
              </w:rPr>
            </w:pPr>
            <w:r>
              <w:rPr>
                <w:rFonts w:ascii="Times New Roman" w:hAnsi="Times New Roman" w:cs="Times New Roman"/>
                <w:color w:val="000000" w:themeColor="text1"/>
                <w:kern w:val="0"/>
                <w:sz w:val="24"/>
              </w:rPr>
              <w:fldChar w:fldCharType="begin"/>
            </w:r>
            <w:r>
              <w:rPr>
                <w:rFonts w:ascii="Times New Roman" w:hAnsi="Times New Roman" w:cs="Times New Roman"/>
                <w:color w:val="000000" w:themeColor="text1"/>
                <w:kern w:val="0"/>
                <w:sz w:val="24"/>
              </w:rPr>
              <w:instrText xml:space="preserve">&lt;MK cmd="loop"&gt;&lt;def type="query" recs="buyers" site="1" line="1" istr="yes"&gt;"SELECT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Pr>
                <w:rFonts w:ascii="Times New Roman" w:hAnsi="Times New Roman" w:cs="Times New Roman"/>
                <w:color w:val="000000" w:themeColor="text1"/>
                <w:kern w:val="0"/>
                <w:sz w:val="24"/>
              </w:rPr>
              <w:fldChar w:fldCharType="separate"/>
            </w:r>
            <w:r>
              <w:rPr>
                <w:rFonts w:ascii="Times New Roman" w:hAnsi="Times New Roman" w:cs="Times New Roman"/>
                <w:color w:val="000000" w:themeColor="text1"/>
                <w:kern w:val="0"/>
                <w:sz w:val="24"/>
              </w:rPr>
              <w:t>!异常的公式结尾</w:t>
            </w:r>
            <w:r>
              <w:rPr>
                <w:rFonts w:ascii="Times New Roman" w:hAnsi="Times New Roman" w:cs="Times New Roman"/>
                <w:color w:val="000000" w:themeColor="text1"/>
                <w:kern w:val="0"/>
                <w:sz w:val="24"/>
              </w:rPr>
              <w:fldChar w:fldCharType="end"/>
            </w:r>
            <w:r>
              <w:rPr>
                <w:rFonts w:ascii="Times New Roman" w:hAnsi="Times New Roman" w:cs="Times New Roman"/>
                <w:color w:val="000000" w:themeColor="text1"/>
                <w:kern w:val="0"/>
                <w:sz w:val="24"/>
              </w:rPr>
              <w:t>名称：</w:t>
            </w:r>
            <w:r>
              <w:rPr>
                <w:rFonts w:hint="eastAsia" w:ascii="宋体" w:hAnsi="宋体"/>
                <w:szCs w:val="24"/>
                <w:shd w:val="clear" w:color="auto" w:fill="FFFFFF"/>
              </w:rPr>
              <w:t>阳新县住房和城乡建设局</w:t>
            </w:r>
          </w:p>
          <w:p>
            <w:pPr>
              <w:spacing w:line="360" w:lineRule="auto"/>
              <w:rPr>
                <w:rFonts w:ascii="Times New Roman" w:hAnsi="Times New Roman" w:cs="Times New Roman"/>
                <w:color w:val="000000" w:themeColor="text1"/>
                <w:kern w:val="0"/>
                <w:sz w:val="24"/>
                <w:u w:val="single"/>
              </w:rPr>
            </w:pPr>
            <w:r>
              <w:rPr>
                <w:rFonts w:ascii="Times New Roman" w:hAnsi="Times New Roman" w:cs="Times New Roman"/>
                <w:color w:val="000000" w:themeColor="text1"/>
                <w:kern w:val="0"/>
                <w:sz w:val="24"/>
              </w:rPr>
              <w:t>地址：</w:t>
            </w:r>
            <w:r>
              <w:rPr>
                <w:rFonts w:hint="eastAsia" w:ascii="宋体" w:hAnsi="宋体"/>
                <w:szCs w:val="24"/>
                <w:shd w:val="clear" w:color="auto" w:fill="FFFFFF"/>
              </w:rPr>
              <w:t>阳新县兴国镇陵园大道13号</w:t>
            </w:r>
            <w:r>
              <w:rPr>
                <w:rFonts w:ascii="Times New Roman" w:hAnsi="Times New Roman" w:cs="Times New Roman"/>
                <w:color w:val="000000" w:themeColor="text1"/>
                <w:kern w:val="0"/>
                <w:sz w:val="24"/>
                <w:u w:val="single"/>
              </w:rPr>
              <w:fldChar w:fldCharType="begin"/>
            </w:r>
            <w:r>
              <w:rPr>
                <w:rFonts w:ascii="Times New Roman" w:hAnsi="Times New Roman" w:cs="Times New Roman"/>
                <w:color w:val="000000" w:themeColor="text1"/>
                <w:kern w:val="0"/>
                <w:sz w:val="24"/>
                <w:u w:val="single"/>
              </w:rPr>
              <w:instrText xml:space="preserve">&lt;MK&gt;buyers.unitaddr &lt;/MK&gt;</w:instrText>
            </w:r>
            <w:r>
              <w:rPr>
                <w:rFonts w:ascii="Times New Roman" w:hAnsi="Times New Roman" w:cs="Times New Roman"/>
                <w:color w:val="000000" w:themeColor="text1"/>
                <w:kern w:val="0"/>
                <w:sz w:val="24"/>
                <w:u w:val="single"/>
              </w:rPr>
              <w:fldChar w:fldCharType="end"/>
            </w:r>
            <w:r>
              <w:rPr>
                <w:rFonts w:ascii="Times New Roman" w:hAnsi="Times New Roman" w:cs="Times New Roman"/>
                <w:color w:val="000000" w:themeColor="text1"/>
                <w:kern w:val="0"/>
                <w:sz w:val="24"/>
                <w:u w:val="single"/>
              </w:rPr>
              <w:fldChar w:fldCharType="begin"/>
            </w:r>
            <w:r>
              <w:rPr>
                <w:rFonts w:ascii="Times New Roman" w:hAnsi="Times New Roman" w:cs="Times New Roman"/>
                <w:color w:val="000000" w:themeColor="text1"/>
                <w:kern w:val="0"/>
                <w:sz w:val="24"/>
                <w:u w:val="single"/>
              </w:rPr>
              <w:instrText xml:space="preserve">&lt;MK&gt;buyers.contactinfo&lt;/MK&gt;</w:instrText>
            </w:r>
            <w:r>
              <w:rPr>
                <w:rFonts w:ascii="Times New Roman" w:hAnsi="Times New Roman" w:cs="Times New Roman"/>
                <w:color w:val="000000" w:themeColor="text1"/>
                <w:kern w:val="0"/>
                <w:sz w:val="24"/>
                <w:u w:val="single"/>
              </w:rPr>
              <w:fldChar w:fldCharType="end"/>
            </w:r>
            <w:r>
              <w:rPr>
                <w:rFonts w:ascii="Times New Roman" w:hAnsi="Times New Roman" w:cs="Times New Roman"/>
                <w:color w:val="000000" w:themeColor="text1"/>
                <w:kern w:val="0"/>
                <w:sz w:val="24"/>
                <w:u w:val="single"/>
              </w:rPr>
              <w:fldChar w:fldCharType="begin"/>
            </w:r>
            <w:r>
              <w:rPr>
                <w:rFonts w:ascii="Times New Roman" w:hAnsi="Times New Roman" w:cs="Times New Roman"/>
                <w:color w:val="000000" w:themeColor="text1"/>
                <w:kern w:val="0"/>
                <w:sz w:val="24"/>
                <w:u w:val="single"/>
              </w:rPr>
              <w:instrText xml:space="preserve">&lt;MK&gt;buyers.organname&lt;/MK&gt;</w:instrText>
            </w:r>
            <w:r>
              <w:rPr>
                <w:rFonts w:ascii="Times New Roman" w:hAnsi="Times New Roman" w:cs="Times New Roman"/>
                <w:color w:val="000000" w:themeColor="text1"/>
                <w:kern w:val="0"/>
                <w:sz w:val="24"/>
                <w:u w:val="single"/>
              </w:rPr>
              <w:fldChar w:fldCharType="end"/>
            </w:r>
          </w:p>
          <w:p>
            <w:pPr>
              <w:spacing w:line="360" w:lineRule="auto"/>
              <w:rPr>
                <w:rFonts w:ascii="Times New Roman" w:hAnsi="Times New Roman" w:cs="Times New Roman"/>
                <w:color w:val="000000" w:themeColor="text1"/>
                <w:kern w:val="0"/>
                <w:sz w:val="24"/>
                <w:u w:val="single"/>
              </w:rPr>
            </w:pPr>
            <w:r>
              <w:rPr>
                <w:rFonts w:ascii="Times New Roman" w:hAnsi="Times New Roman" w:cs="Times New Roman"/>
                <w:color w:val="000000" w:themeColor="text1"/>
                <w:kern w:val="0"/>
                <w:sz w:val="24"/>
              </w:rPr>
              <w:t>联系人：</w:t>
            </w:r>
            <w:r>
              <w:rPr>
                <w:rFonts w:hint="eastAsia"/>
                <w:color w:val="000000" w:themeColor="text1"/>
                <w:sz w:val="24"/>
              </w:rPr>
              <w:t>朱朝阳</w:t>
            </w:r>
            <w:r>
              <w:rPr>
                <w:rFonts w:ascii="Times New Roman" w:hAnsi="Times New Roman" w:cs="Times New Roman"/>
                <w:color w:val="000000" w:themeColor="text1"/>
                <w:kern w:val="0"/>
                <w:sz w:val="24"/>
                <w:u w:val="single"/>
              </w:rPr>
              <w:fldChar w:fldCharType="begin"/>
            </w:r>
            <w:r>
              <w:rPr>
                <w:rFonts w:ascii="Times New Roman" w:hAnsi="Times New Roman" w:cs="Times New Roman"/>
                <w:color w:val="000000" w:themeColor="text1"/>
                <w:kern w:val="0"/>
                <w:sz w:val="24"/>
                <w:u w:val="single"/>
              </w:rPr>
              <w:instrText xml:space="preserve">&lt;MK&gt;buyers.ownerlinkman &lt;/MK&gt;</w:instrText>
            </w:r>
            <w:r>
              <w:rPr>
                <w:rFonts w:ascii="Times New Roman" w:hAnsi="Times New Roman" w:cs="Times New Roman"/>
                <w:color w:val="000000" w:themeColor="text1"/>
                <w:kern w:val="0"/>
                <w:sz w:val="24"/>
                <w:u w:val="single"/>
              </w:rPr>
              <w:fldChar w:fldCharType="end"/>
            </w:r>
          </w:p>
          <w:p>
            <w:pPr>
              <w:spacing w:line="360" w:lineRule="auto"/>
              <w:rPr>
                <w:rFonts w:ascii="Times New Roman" w:hAnsi="Times New Roman" w:cs="Times New Roman"/>
                <w:color w:val="000000" w:themeColor="text1"/>
              </w:rPr>
            </w:pPr>
            <w:r>
              <w:rPr>
                <w:rFonts w:ascii="Times New Roman" w:hAnsi="Times New Roman" w:cs="Times New Roman"/>
                <w:color w:val="000000" w:themeColor="text1"/>
                <w:kern w:val="0"/>
                <w:sz w:val="24"/>
              </w:rPr>
              <w:t>联系方式：</w:t>
            </w:r>
            <w:r>
              <w:rPr>
                <w:rFonts w:hint="eastAsia" w:ascii="宋体" w:hAnsi="宋体"/>
                <w:szCs w:val="24"/>
                <w:shd w:val="clear" w:color="auto" w:fill="FFFFFF"/>
              </w:rPr>
              <w:t>15871215698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color w:val="000000" w:themeColor="text1"/>
                <w:sz w:val="24"/>
              </w:rPr>
            </w:pPr>
            <w:r>
              <w:rPr>
                <w:rFonts w:ascii="Times New Roman" w:hAnsi="Times New Roman" w:cs="Times New Roman"/>
                <w:color w:val="000000" w:themeColor="text1"/>
                <w:sz w:val="24"/>
              </w:rPr>
              <w:t>采购</w:t>
            </w:r>
            <w:r>
              <w:rPr>
                <w:rFonts w:hint="eastAsia" w:ascii="Times New Roman" w:hAnsi="Times New Roman" w:cs="Times New Roman"/>
                <w:color w:val="000000" w:themeColor="text1"/>
                <w:sz w:val="24"/>
              </w:rPr>
              <w:t>代理机构</w:t>
            </w:r>
          </w:p>
        </w:tc>
        <w:tc>
          <w:tcPr>
            <w:tcW w:w="5013" w:type="dxa"/>
            <w:tcBorders>
              <w:top w:val="single" w:color="auto" w:sz="4" w:space="0"/>
              <w:left w:val="single" w:color="auto" w:sz="4" w:space="0"/>
              <w:bottom w:val="single" w:color="auto" w:sz="4" w:space="0"/>
            </w:tcBorders>
            <w:vAlign w:val="center"/>
          </w:tcPr>
          <w:p>
            <w:pPr>
              <w:spacing w:line="360" w:lineRule="auto"/>
              <w:jc w:val="left"/>
              <w:rPr>
                <w:rFonts w:ascii="宋体" w:hAnsi="宋体"/>
                <w:szCs w:val="24"/>
                <w:shd w:val="clear" w:color="auto" w:fill="FFFFFF"/>
              </w:rPr>
            </w:pPr>
            <w:r>
              <w:rPr>
                <w:rFonts w:ascii="宋体" w:hAnsi="宋体"/>
                <w:szCs w:val="24"/>
                <w:shd w:val="clear" w:color="auto" w:fill="FFFFFF"/>
              </w:rPr>
              <w:t>名称：</w:t>
            </w:r>
            <w:r>
              <w:rPr>
                <w:rFonts w:hint="eastAsia" w:ascii="宋体" w:hAnsi="宋体"/>
                <w:szCs w:val="24"/>
                <w:shd w:val="clear" w:color="auto" w:fill="FFFFFF"/>
              </w:rPr>
              <w:t>湖北嘉亿工程项目管理有限公司</w:t>
            </w:r>
            <w:r>
              <w:rPr>
                <w:rFonts w:ascii="宋体" w:hAnsi="宋体"/>
                <w:szCs w:val="24"/>
                <w:shd w:val="clear" w:color="auto" w:fill="FFFFFF"/>
              </w:rPr>
              <w:fldChar w:fldCharType="begin"/>
            </w:r>
            <w:r>
              <w:rPr>
                <w:rFonts w:ascii="宋体" w:hAnsi="宋体"/>
                <w:szCs w:val="24"/>
                <w:shd w:val="clear" w:color="auto" w:fill="FFFFFF"/>
              </w:rPr>
              <w:instrText xml:space="preserve">&lt;MK&gt; org.organname&lt;/MK&gt;</w:instrText>
            </w:r>
            <w:r>
              <w:rPr>
                <w:rFonts w:ascii="宋体" w:hAnsi="宋体"/>
                <w:szCs w:val="24"/>
                <w:shd w:val="clear" w:color="auto" w:fill="FFFFFF"/>
              </w:rPr>
              <w:fldChar w:fldCharType="end"/>
            </w:r>
          </w:p>
          <w:p>
            <w:pPr>
              <w:adjustRightInd w:val="0"/>
              <w:snapToGrid w:val="0"/>
              <w:spacing w:line="360" w:lineRule="auto"/>
              <w:rPr>
                <w:rFonts w:ascii="宋体" w:hAnsi="宋体"/>
                <w:szCs w:val="24"/>
                <w:shd w:val="clear" w:color="auto" w:fill="FFFFFF"/>
              </w:rPr>
            </w:pPr>
            <w:r>
              <w:rPr>
                <w:rFonts w:ascii="宋体" w:hAnsi="宋体"/>
                <w:szCs w:val="24"/>
                <w:shd w:val="clear" w:color="auto" w:fill="FFFFFF"/>
              </w:rPr>
              <w:t>地址：</w:t>
            </w:r>
            <w:r>
              <w:rPr>
                <w:rFonts w:hint="eastAsia" w:ascii="宋体" w:hAnsi="宋体"/>
                <w:szCs w:val="24"/>
                <w:shd w:val="clear" w:color="auto" w:fill="FFFFFF"/>
              </w:rPr>
              <w:t>阳新县兴国镇熊家垴小区4栋1704室</w:t>
            </w:r>
            <w:r>
              <w:rPr>
                <w:rFonts w:ascii="宋体" w:hAnsi="宋体"/>
                <w:szCs w:val="24"/>
                <w:shd w:val="clear" w:color="auto" w:fill="FFFFFF"/>
              </w:rPr>
              <w:fldChar w:fldCharType="begin"/>
            </w:r>
            <w:r>
              <w:rPr>
                <w:rFonts w:ascii="宋体" w:hAnsi="宋体"/>
                <w:szCs w:val="24"/>
                <w:shd w:val="clear" w:color="auto" w:fill="FFFFFF"/>
              </w:rPr>
              <w:instrText xml:space="preserve">&lt;MK&gt; org.unitaddr &lt;/MK&gt;</w:instrText>
            </w:r>
            <w:r>
              <w:rPr>
                <w:rFonts w:ascii="宋体" w:hAnsi="宋体"/>
                <w:szCs w:val="24"/>
                <w:shd w:val="clear" w:color="auto" w:fill="FFFFFF"/>
              </w:rPr>
              <w:fldChar w:fldCharType="end"/>
            </w:r>
          </w:p>
          <w:p>
            <w:pPr>
              <w:spacing w:line="360" w:lineRule="auto"/>
              <w:jc w:val="left"/>
              <w:rPr>
                <w:rFonts w:ascii="宋体" w:hAnsi="宋体"/>
                <w:szCs w:val="24"/>
                <w:shd w:val="clear" w:color="auto" w:fill="FFFFFF"/>
              </w:rPr>
            </w:pPr>
            <w:r>
              <w:rPr>
                <w:rFonts w:ascii="宋体" w:hAnsi="宋体"/>
                <w:szCs w:val="24"/>
                <w:shd w:val="clear" w:color="auto" w:fill="FFFFFF"/>
              </w:rPr>
              <w:t>联系人：</w:t>
            </w:r>
            <w:r>
              <w:rPr>
                <w:rFonts w:hint="eastAsia" w:ascii="宋体" w:hAnsi="宋体"/>
                <w:szCs w:val="24"/>
                <w:shd w:val="clear" w:color="auto" w:fill="FFFFFF"/>
              </w:rPr>
              <w:t>汪金枝</w:t>
            </w:r>
            <w:r>
              <w:rPr>
                <w:rFonts w:ascii="宋体" w:hAnsi="宋体"/>
                <w:szCs w:val="24"/>
                <w:shd w:val="clear" w:color="auto" w:fill="FFFFFF"/>
              </w:rPr>
              <w:fldChar w:fldCharType="begin"/>
            </w:r>
            <w:r>
              <w:rPr>
                <w:rFonts w:ascii="宋体" w:hAnsi="宋体"/>
                <w:szCs w:val="24"/>
                <w:shd w:val="clear" w:color="auto" w:fill="FFFFFF"/>
              </w:rPr>
              <w:instrText xml:space="preserve">&lt;MK&gt;pro.username&lt;/MK&gt;</w:instrText>
            </w:r>
            <w:r>
              <w:rPr>
                <w:rFonts w:ascii="宋体" w:hAnsi="宋体"/>
                <w:szCs w:val="24"/>
                <w:shd w:val="clear" w:color="auto" w:fill="FFFFFF"/>
              </w:rPr>
              <w:fldChar w:fldCharType="end"/>
            </w:r>
          </w:p>
          <w:p>
            <w:pPr>
              <w:spacing w:line="360" w:lineRule="auto"/>
              <w:ind w:right="-105" w:rightChars="-50"/>
              <w:jc w:val="left"/>
              <w:rPr>
                <w:rFonts w:ascii="宋体" w:hAnsi="宋体"/>
                <w:szCs w:val="24"/>
                <w:shd w:val="clear" w:color="auto" w:fill="FFFFFF"/>
              </w:rPr>
            </w:pPr>
            <w:r>
              <w:rPr>
                <w:rFonts w:ascii="宋体" w:hAnsi="宋体"/>
                <w:szCs w:val="24"/>
                <w:shd w:val="clear" w:color="auto" w:fill="FFFFFF"/>
              </w:rPr>
              <w:t>联系电话：</w:t>
            </w:r>
            <w:r>
              <w:rPr>
                <w:rFonts w:hint="eastAsia" w:ascii="宋体" w:hAnsi="宋体"/>
                <w:szCs w:val="24"/>
                <w:shd w:val="clear" w:color="auto" w:fill="FFFFFF"/>
              </w:rPr>
              <w:t>0714-7338668</w:t>
            </w:r>
          </w:p>
          <w:p>
            <w:pPr>
              <w:spacing w:line="360" w:lineRule="auto"/>
              <w:ind w:right="-105" w:rightChars="-50"/>
              <w:jc w:val="left"/>
              <w:rPr>
                <w:rFonts w:ascii="Times New Roman" w:hAnsi="Times New Roman" w:cs="Times New Roman"/>
                <w:color w:val="000000" w:themeColor="text1"/>
                <w:sz w:val="24"/>
              </w:rPr>
            </w:pPr>
            <w:r>
              <w:rPr>
                <w:rFonts w:ascii="宋体" w:hAnsi="宋体"/>
                <w:szCs w:val="24"/>
                <w:shd w:val="clear" w:color="auto" w:fill="FFFFFF"/>
              </w:rPr>
              <w:t>电子邮箱：</w:t>
            </w:r>
            <w:r>
              <w:rPr>
                <w:rFonts w:hint="eastAsia" w:ascii="宋体" w:hAnsi="宋体"/>
                <w:szCs w:val="24"/>
                <w:shd w:val="clear" w:color="auto" w:fill="FFFFFF"/>
              </w:rPr>
              <w:t>1059453078@qq.com</w:t>
            </w:r>
            <w:r>
              <w:rPr>
                <w:rFonts w:ascii="宋体" w:hAnsi="宋体"/>
                <w:szCs w:val="24"/>
                <w:shd w:val="clear" w:color="auto" w:fill="FFFFFF"/>
              </w:rPr>
              <w:t xml:space="preserve"> </w:t>
            </w:r>
            <w:r>
              <w:rPr>
                <w:rFonts w:ascii="Times New Roman" w:hAnsi="Times New Roman" w:cs="Times New Roman"/>
                <w:color w:val="000000" w:themeColor="text1"/>
                <w:kern w:val="0"/>
                <w:sz w:val="24"/>
              </w:rPr>
              <w:fldChar w:fldCharType="begin"/>
            </w:r>
            <w:r>
              <w:rPr>
                <w:rFonts w:ascii="Times New Roman" w:hAnsi="Times New Roman" w:cs="Times New Roman"/>
                <w:color w:val="000000" w:themeColor="text1"/>
                <w:kern w:val="0"/>
                <w:sz w:val="24"/>
              </w:rPr>
              <w:instrText xml:space="preserve">&lt;MK&gt;pro.mobile&lt;/MK&gt;</w:instrText>
            </w:r>
            <w:r>
              <w:rPr>
                <w:rFonts w:ascii="Times New Roman" w:hAnsi="Times New Roman" w:cs="Times New Roman"/>
                <w:color w:val="000000" w:themeColor="text1"/>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themeColor="text1"/>
                <w:sz w:val="24"/>
              </w:rPr>
            </w:pPr>
            <w:r>
              <w:rPr>
                <w:rFonts w:ascii="Times New Roman" w:hAnsi="Times New Roman" w:cs="Times New Roman"/>
                <w:color w:val="000000" w:themeColor="text1"/>
                <w:sz w:val="24"/>
              </w:rPr>
              <w:t>是否专门面向中小企业、监狱企业、残疾人福利性单位</w:t>
            </w:r>
          </w:p>
        </w:tc>
        <w:tc>
          <w:tcPr>
            <w:tcW w:w="5013" w:type="dxa"/>
            <w:tcBorders>
              <w:top w:val="single" w:color="auto" w:sz="4" w:space="0"/>
              <w:left w:val="single" w:color="auto" w:sz="4" w:space="0"/>
              <w:bottom w:val="single" w:color="auto" w:sz="4" w:space="0"/>
            </w:tcBorders>
            <w:vAlign w:val="center"/>
          </w:tcPr>
          <w:p>
            <w:pPr>
              <w:spacing w:line="360" w:lineRule="auto"/>
              <w:ind w:right="-105" w:rightChars="-50"/>
              <w:jc w:val="left"/>
              <w:rPr>
                <w:rFonts w:ascii="Times New Roman" w:hAnsi="Times New Roman" w:cs="Times New Roman"/>
                <w:color w:val="000000" w:themeColor="text1"/>
                <w:kern w:val="0"/>
                <w:sz w:val="24"/>
              </w:rPr>
            </w:pPr>
            <w:r>
              <w:rPr>
                <w:rFonts w:hint="eastAsia" w:ascii="Times New Roman" w:hAnsi="Times New Roman" w:cs="Times New Roman"/>
                <w:color w:val="000000" w:themeColor="text1"/>
                <w:sz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color w:val="000000" w:themeColor="text1"/>
                <w:sz w:val="24"/>
              </w:rPr>
            </w:pPr>
            <w:r>
              <w:rPr>
                <w:rFonts w:hint="eastAsia" w:ascii="Times New Roman" w:hAnsi="Times New Roman" w:cs="Times New Roman"/>
                <w:color w:val="000000" w:themeColor="text1"/>
                <w:sz w:val="24"/>
              </w:rPr>
              <w:t>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color w:val="000000" w:themeColor="text1"/>
                <w:sz w:val="24"/>
              </w:rPr>
            </w:pPr>
            <w:r>
              <w:rPr>
                <w:rFonts w:ascii="Times New Roman" w:hAnsi="Times New Roman" w:cs="Times New Roman"/>
                <w:bCs/>
                <w:color w:val="000000" w:themeColor="text1"/>
                <w:sz w:val="24"/>
              </w:rPr>
              <w:t>价格扣除比例</w:t>
            </w:r>
          </w:p>
        </w:tc>
        <w:tc>
          <w:tcPr>
            <w:tcW w:w="5013" w:type="dxa"/>
            <w:tcBorders>
              <w:top w:val="single" w:color="auto" w:sz="4" w:space="0"/>
              <w:left w:val="single" w:color="auto" w:sz="4" w:space="0"/>
              <w:bottom w:val="single" w:color="auto" w:sz="4" w:space="0"/>
            </w:tcBorders>
            <w:vAlign w:val="center"/>
          </w:tcPr>
          <w:p>
            <w:pPr>
              <w:spacing w:line="360" w:lineRule="auto"/>
              <w:ind w:right="-105" w:rightChars="-50"/>
              <w:jc w:val="left"/>
              <w:rPr>
                <w:rFonts w:ascii="Times New Roman" w:hAnsi="Times New Roman" w:cs="Times New Roman"/>
                <w:color w:val="000000" w:themeColor="text1"/>
                <w:sz w:val="24"/>
              </w:rPr>
            </w:pPr>
            <w:r>
              <w:rPr>
                <w:rFonts w:ascii="Times New Roman" w:hAnsi="Times New Roman" w:cs="Times New Roman"/>
                <w:color w:val="000000" w:themeColor="text1"/>
                <w:sz w:val="24"/>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color w:val="000000" w:themeColor="text1"/>
                <w:sz w:val="24"/>
              </w:rPr>
            </w:pPr>
            <w:r>
              <w:rPr>
                <w:rFonts w:hint="eastAsia" w:ascii="Times New Roman" w:hAnsi="Times New Roman" w:cs="Times New Roman"/>
                <w:color w:val="000000" w:themeColor="text1"/>
                <w:sz w:val="24"/>
              </w:rPr>
              <w:t>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themeColor="text1"/>
                <w:sz w:val="24"/>
              </w:rPr>
            </w:pPr>
            <w:r>
              <w:rPr>
                <w:rFonts w:ascii="Times New Roman" w:hAnsi="Times New Roman" w:cs="Times New Roman"/>
                <w:color w:val="000000" w:themeColor="text1"/>
                <w:sz w:val="24"/>
              </w:rPr>
              <w:t>联合协议中小型、微型企业的协议合同金额占协议合同总金额30%以上的，价格扣除比例</w:t>
            </w:r>
          </w:p>
        </w:tc>
        <w:tc>
          <w:tcPr>
            <w:tcW w:w="5013" w:type="dxa"/>
            <w:tcBorders>
              <w:top w:val="single" w:color="auto" w:sz="4" w:space="0"/>
              <w:left w:val="single" w:color="auto" w:sz="4" w:space="0"/>
              <w:bottom w:val="single" w:color="auto" w:sz="4" w:space="0"/>
            </w:tcBorders>
            <w:vAlign w:val="center"/>
          </w:tcPr>
          <w:p>
            <w:pPr>
              <w:spacing w:line="360" w:lineRule="auto"/>
              <w:ind w:right="-107" w:rightChars="-51"/>
              <w:jc w:val="left"/>
              <w:rPr>
                <w:rFonts w:ascii="Times New Roman" w:hAnsi="Times New Roman" w:cs="Times New Roman"/>
                <w:color w:val="000000" w:themeColor="text1"/>
                <w:sz w:val="24"/>
              </w:rPr>
            </w:pPr>
            <w:r>
              <w:rPr>
                <w:rFonts w:ascii="Times New Roman" w:hAnsi="Times New Roman" w:cs="Times New Roman"/>
                <w:color w:val="000000" w:themeColor="text1"/>
                <w:sz w:val="24"/>
              </w:rPr>
              <w:t>2%</w:t>
            </w:r>
          </w:p>
        </w:tc>
      </w:tr>
    </w:tbl>
    <w:p>
      <w:pPr>
        <w:spacing w:line="360" w:lineRule="auto"/>
        <w:rPr>
          <w:rFonts w:ascii="Times New Roman" w:hAnsi="Times New Roman" w:eastAsia="黑体" w:cs="Times New Roman"/>
          <w:bCs/>
          <w:color w:val="000000" w:themeColor="text1"/>
          <w:sz w:val="24"/>
          <w:szCs w:val="24"/>
        </w:rPr>
      </w:pPr>
      <w:r>
        <w:rPr>
          <w:rFonts w:ascii="Times New Roman" w:hAnsi="Times New Roman" w:eastAsia="黑体" w:cs="Times New Roman"/>
          <w:bCs/>
          <w:color w:val="000000" w:themeColor="text1"/>
          <w:sz w:val="24"/>
          <w:szCs w:val="24"/>
        </w:rPr>
        <w:t>一、总　则</w:t>
      </w:r>
    </w:p>
    <w:p>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 适用范围</w:t>
      </w:r>
    </w:p>
    <w:p>
      <w:pPr>
        <w:spacing w:line="360" w:lineRule="auto"/>
        <w:ind w:left="420" w:hanging="4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 本文件仅适用于本文件中所叙述的货物、服务类政府采购项目。</w:t>
      </w:r>
    </w:p>
    <w:p>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 定义</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2.1“采购人”是指：</w:t>
      </w:r>
      <w:r>
        <w:rPr>
          <w:rFonts w:hint="eastAsia"/>
          <w:bCs/>
          <w:color w:val="000000" w:themeColor="text1"/>
          <w:sz w:val="24"/>
        </w:rPr>
        <w:t>详见《磋商须知前附表》</w:t>
      </w:r>
      <w:r>
        <w:rPr>
          <w:rFonts w:ascii="Times New Roman" w:hAnsi="Times New Roman" w:cs="Times New Roman"/>
          <w:bCs/>
          <w:color w:val="000000" w:themeColor="text1"/>
          <w:sz w:val="24"/>
          <w:szCs w:val="24"/>
        </w:rPr>
        <w:t>。</w:t>
      </w:r>
    </w:p>
    <w:p>
      <w:pPr>
        <w:adjustRightInd w:val="0"/>
        <w:snapToGrid w:val="0"/>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2.2“监管部门”是指：</w:t>
      </w:r>
      <w:r>
        <w:rPr>
          <w:rFonts w:hint="eastAsia" w:ascii="Times New Roman" w:hAnsi="Times New Roman" w:cs="Times New Roman"/>
          <w:b/>
          <w:bCs/>
          <w:color w:val="FF0000"/>
          <w:sz w:val="24"/>
          <w:szCs w:val="24"/>
        </w:rPr>
        <w:t>阳新县政府采购办公室、阳新县政务服务和大数据管理局公共资源交易监督管理股</w:t>
      </w:r>
      <w:r>
        <w:rPr>
          <w:rFonts w:hint="eastAsia" w:ascii="Times New Roman" w:hAnsi="Times New Roman" w:cs="Times New Roman"/>
          <w:bCs/>
          <w:color w:val="000000" w:themeColor="text1"/>
          <w:sz w:val="24"/>
          <w:szCs w:val="24"/>
        </w:rPr>
        <w:t>。</w:t>
      </w:r>
    </w:p>
    <w:p>
      <w:pPr>
        <w:spacing w:line="360" w:lineRule="auto"/>
        <w:ind w:left="420" w:hanging="4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2.3“采购</w:t>
      </w:r>
      <w:r>
        <w:rPr>
          <w:rFonts w:hint="eastAsia" w:ascii="Times New Roman" w:hAnsi="Times New Roman" w:cs="Times New Roman"/>
          <w:bCs/>
          <w:color w:val="000000" w:themeColor="text1"/>
          <w:sz w:val="24"/>
          <w:szCs w:val="24"/>
        </w:rPr>
        <w:t>代理</w:t>
      </w:r>
      <w:r>
        <w:rPr>
          <w:rFonts w:ascii="Times New Roman" w:hAnsi="Times New Roman" w:cs="Times New Roman"/>
          <w:bCs/>
          <w:color w:val="000000" w:themeColor="text1"/>
          <w:sz w:val="24"/>
          <w:szCs w:val="24"/>
        </w:rPr>
        <w:t>机构”是指：</w:t>
      </w:r>
      <w:r>
        <w:rPr>
          <w:rFonts w:hint="eastAsia"/>
          <w:bCs/>
          <w:color w:val="000000" w:themeColor="text1"/>
          <w:sz w:val="24"/>
        </w:rPr>
        <w:t>详见《磋商须知前附表》</w:t>
      </w:r>
      <w:r>
        <w:rPr>
          <w:rFonts w:ascii="Times New Roman" w:hAnsi="Times New Roman" w:cs="Times New Roman"/>
          <w:bCs/>
          <w:color w:val="000000" w:themeColor="text1"/>
          <w:sz w:val="24"/>
          <w:szCs w:val="24"/>
        </w:rPr>
        <w:t>。</w:t>
      </w:r>
    </w:p>
    <w:p>
      <w:pPr>
        <w:spacing w:line="360" w:lineRule="auto"/>
        <w:ind w:left="420" w:hanging="4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2.4“磋商文件”是指：竞争性磋商文件。</w:t>
      </w:r>
    </w:p>
    <w:p>
      <w:pPr>
        <w:spacing w:line="360" w:lineRule="auto"/>
        <w:ind w:left="240" w:hanging="240" w:hangingChars="10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2.5“供应商”是指：获得该项目磋商小组确定参加竞争性磋商的法人、其他组织或者自然人。如果该供应商在本次磋商中成交,即成为“成交供应商”。</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2.6“货物”是指：是指成交供应商按本文件规定，向采购人提供的一切货物及其相关服务。根据《政府采购法》的相关规定均应是本国货物，另有规定的除外。</w:t>
      </w:r>
    </w:p>
    <w:p>
      <w:pPr>
        <w:spacing w:line="360" w:lineRule="auto"/>
        <w:ind w:left="420" w:hanging="4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2.7“服务”是指：成交供应商按本文件规定向采购人提供的所有服务。</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2.8“响应文件”是指：供应商根据本文件要求编制包含价格、技术、服务和合同草案条款等所有内容的文件。</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3.1具备《政府采购法》第二十二条第一款规定的条件，并提供以下证明材料：</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1）法人或者其他组织的营业执照等证明文件，如供应商是自然人的提供身份证明材料；</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2）财务状况报告，依法缴纳税收和社会保障资金的相关材料；</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3）具备履行合同所必需的设备和专业技术能力的证明材料；</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4）参加政府采购活动前3年内在经营活动中没有重大违法记录的书面声明；</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3.2如经营、开发或承担本采购项目的货物、服务国家有相关资质要求、或强制性规范、或行业标准的，应已经取得并提供相应的资质证书；</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3.3未被列入“信用中国”网站(www.creditchina. gov.cn)失信被执行人、重大税收违法案件当事人名单、政府采购严重违法失信行为记录名单的网页打印件。</w:t>
      </w:r>
    </w:p>
    <w:p>
      <w:pPr>
        <w:rPr>
          <w:rFonts w:ascii="仿宋" w:hAnsi="仿宋" w:eastAsia="仿宋"/>
          <w:sz w:val="28"/>
          <w:szCs w:val="28"/>
        </w:rPr>
      </w:pPr>
      <w:r>
        <w:rPr>
          <w:rFonts w:hint="eastAsia" w:ascii="Times New Roman" w:hAnsi="Times New Roman" w:cs="Times New Roman"/>
          <w:bCs/>
          <w:sz w:val="24"/>
          <w:szCs w:val="24"/>
        </w:rPr>
        <w:t>3.4</w:t>
      </w:r>
      <w:r>
        <w:rPr>
          <w:rFonts w:hint="eastAsia" w:ascii="Times New Roman" w:hAnsi="Times New Roman" w:cs="Times New Roman"/>
          <w:b/>
          <w:bCs/>
          <w:sz w:val="24"/>
          <w:szCs w:val="24"/>
        </w:rPr>
        <w:t>特定条件</w:t>
      </w:r>
    </w:p>
    <w:p>
      <w:pPr>
        <w:spacing w:line="360" w:lineRule="auto"/>
        <w:ind w:left="360" w:hanging="360" w:hangingChars="150"/>
        <w:rPr>
          <w:rFonts w:ascii="Times New Roman" w:hAnsi="Times New Roman" w:cs="Times New Roman"/>
          <w:bCs/>
          <w:color w:val="000000" w:themeColor="text1"/>
          <w:sz w:val="24"/>
          <w:szCs w:val="24"/>
        </w:rPr>
      </w:pPr>
      <w:r>
        <w:rPr>
          <w:rFonts w:hint="eastAsia" w:ascii="Times New Roman" w:hAnsi="Times New Roman" w:cs="Times New Roman"/>
          <w:bCs/>
          <w:color w:val="000000" w:themeColor="text1"/>
          <w:sz w:val="24"/>
          <w:szCs w:val="24"/>
        </w:rPr>
        <w:t>3.5</w:t>
      </w:r>
      <w:r>
        <w:rPr>
          <w:rFonts w:ascii="Times New Roman" w:hAnsi="Times New Roman" w:cs="Times New Roman"/>
          <w:bCs/>
          <w:color w:val="000000" w:themeColor="text1"/>
          <w:sz w:val="24"/>
          <w:szCs w:val="24"/>
        </w:rPr>
        <w:t>本文件第一章第五条除上述以外的条款。</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 费用</w:t>
      </w:r>
    </w:p>
    <w:p>
      <w:pPr>
        <w:spacing w:line="360" w:lineRule="auto"/>
        <w:ind w:left="420" w:hanging="420"/>
        <w:rPr>
          <w:bCs/>
          <w:color w:val="000000" w:themeColor="text1"/>
          <w:sz w:val="24"/>
        </w:rPr>
      </w:pPr>
      <w:r>
        <w:rPr>
          <w:rFonts w:hint="eastAsia"/>
          <w:bCs/>
          <w:color w:val="000000" w:themeColor="text1"/>
          <w:sz w:val="24"/>
        </w:rPr>
        <w:t>4.1供应商应自行承担所有与编写和提交响应文件有关的费用，不论磋商结果如何，采购人和采购代理机构在任何情况下无义务和责任承担此类费用。</w:t>
      </w:r>
    </w:p>
    <w:p>
      <w:pPr>
        <w:spacing w:line="360" w:lineRule="auto"/>
        <w:rPr>
          <w:color w:val="000000" w:themeColor="text1"/>
          <w:sz w:val="24"/>
        </w:rPr>
      </w:pPr>
      <w:r>
        <w:rPr>
          <w:rFonts w:hint="eastAsia"/>
          <w:bCs/>
          <w:color w:val="000000" w:themeColor="text1"/>
          <w:sz w:val="24"/>
        </w:rPr>
        <w:t>4.2</w:t>
      </w:r>
      <w:r>
        <w:rPr>
          <w:rFonts w:hint="eastAsia" w:ascii="宋体" w:hAnsi="宋体"/>
          <w:color w:val="000000" w:themeColor="text1"/>
          <w:sz w:val="24"/>
        </w:rPr>
        <w:t>采购代理服务费</w:t>
      </w:r>
    </w:p>
    <w:p>
      <w:pPr>
        <w:pStyle w:val="38"/>
        <w:spacing w:line="360" w:lineRule="auto"/>
        <w:ind w:left="420" w:firstLine="0" w:firstLineChars="0"/>
        <w:rPr>
          <w:rFonts w:ascii="宋体" w:hAnsi="宋体"/>
          <w:b/>
          <w:color w:val="000000" w:themeColor="text1"/>
          <w:sz w:val="24"/>
          <w:szCs w:val="24"/>
        </w:rPr>
      </w:pPr>
      <w:r>
        <w:rPr>
          <w:rFonts w:hint="eastAsia" w:ascii="宋体" w:hAnsi="宋体"/>
          <w:b/>
          <w:color w:val="000000" w:themeColor="text1"/>
          <w:sz w:val="24"/>
          <w:szCs w:val="24"/>
        </w:rPr>
        <w:t>经过采购代理机构与采购人协议，规定由中标单位支付。采购代理服务费收费标准如下：</w:t>
      </w:r>
    </w:p>
    <w:tbl>
      <w:tblPr>
        <w:tblStyle w:val="18"/>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7"/>
        <w:gridCol w:w="2218"/>
        <w:gridCol w:w="2015"/>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707" w:type="dxa"/>
          </w:tcPr>
          <w:p>
            <w:pPr>
              <w:spacing w:line="360" w:lineRule="auto"/>
              <w:ind w:firstLine="998" w:firstLineChars="416"/>
              <w:rPr>
                <w:rFonts w:ascii="宋体" w:hAnsi="宋体" w:cs="宋体"/>
                <w:color w:val="000000" w:themeColor="text1"/>
                <w:sz w:val="24"/>
              </w:rPr>
            </w:pPr>
            <w:r>
              <w:rPr>
                <w:rFonts w:ascii="宋体" w:hAnsi="宋体" w:cs="宋体"/>
                <w:color w:val="000000" w:themeColor="text1"/>
                <w:sz w:val="24"/>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54610</wp:posOffset>
                      </wp:positionV>
                      <wp:extent cx="1544955" cy="822960"/>
                      <wp:effectExtent l="2540" t="4445" r="14605" b="10795"/>
                      <wp:wrapNone/>
                      <wp:docPr id="1" name="Line 16"/>
                      <wp:cNvGraphicFramePr/>
                      <a:graphic xmlns:a="http://schemas.openxmlformats.org/drawingml/2006/main">
                        <a:graphicData uri="http://schemas.microsoft.com/office/word/2010/wordprocessingShape">
                          <wps:wsp>
                            <wps:cNvSpPr/>
                            <wps:spPr>
                              <a:xfrm flipH="1" flipV="1">
                                <a:off x="0" y="0"/>
                                <a:ext cx="1544955" cy="8229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5.15pt;margin-top:4.3pt;height:64.8pt;width:121.65pt;z-index:251659264;mso-width-relative:page;mso-height-relative:page;" filled="f" stroked="t" coordsize="21600,21600" o:gfxdata="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aDzED&#10;1AAAAAkBAAAPAAAAAAAAAAEAIAAAACIAAABkcnMvZG93bnJldi54bWxQSwECFAAUAAAACACHTuJA&#10;rGKXKuwBAADzAwAADgAAAAAAAAABACAAAAAjAQAAZHJzL2Uyb0RvYy54bWxQSwUGAAAAAAYABgBZ&#10;AQAAgQUAAAAA&#10;">
                      <v:fill on="f" focussize="0,0"/>
                      <v:stroke color="#000000" joinstyle="round"/>
                      <v:imagedata o:title=""/>
                      <o:lock v:ext="edit" aspectratio="f"/>
                    </v:line>
                  </w:pict>
                </mc:Fallback>
              </mc:AlternateContent>
            </w:r>
            <w:r>
              <w:rPr>
                <w:rFonts w:ascii="宋体" w:hAnsi="宋体" w:cs="宋体"/>
                <w:color w:val="000000" w:themeColor="text1"/>
                <w:sz w:val="24"/>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54610</wp:posOffset>
                      </wp:positionV>
                      <wp:extent cx="1544955" cy="421005"/>
                      <wp:effectExtent l="1270" t="4445" r="15875" b="12700"/>
                      <wp:wrapNone/>
                      <wp:docPr id="2" name="Line 17"/>
                      <wp:cNvGraphicFramePr/>
                      <a:graphic xmlns:a="http://schemas.openxmlformats.org/drawingml/2006/main">
                        <a:graphicData uri="http://schemas.microsoft.com/office/word/2010/wordprocessingShape">
                          <wps:wsp>
                            <wps:cNvSpPr/>
                            <wps:spPr>
                              <a:xfrm flipH="1" flipV="1">
                                <a:off x="0" y="0"/>
                                <a:ext cx="1544955" cy="4210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5.15pt;margin-top:4.3pt;height:33.15pt;width:121.65pt;z-index:251660288;mso-width-relative:page;mso-height-relative:page;" filled="f" stroked="t" coordsize="21600,21600" o:gfxdata="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b6xeq1AAA&#10;AAgBAAAPAAAAAAAAAAEAIAAAACIAAABkcnMvZG93bnJldi54bWxQSwECFAAUAAAACACHTuJAc+c4&#10;J+kBAADzAwAADgAAAAAAAAABACAAAAAjAQAAZHJzL2Uyb0RvYy54bWxQSwUGAAAAAAYABgBZAQAA&#10;fgUAAAAA&#10;">
                      <v:fill on="f" focussize="0,0"/>
                      <v:stroke color="#000000" joinstyle="round"/>
                      <v:imagedata o:title=""/>
                      <o:lock v:ext="edit" aspectratio="f"/>
                    </v:line>
                  </w:pict>
                </mc:Fallback>
              </mc:AlternateContent>
            </w:r>
            <w:r>
              <w:rPr>
                <w:rFonts w:ascii="宋体" w:hAnsi="宋体" w:cs="宋体"/>
                <w:color w:val="000000" w:themeColor="text1"/>
                <w:sz w:val="24"/>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3" name="Line 15"/>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5HTftUAAAAJAQAADwAAAAAAAAABACAA&#10;AAAiAAAAZHJzL2Rvd25yZXYueG1sUEsBAhQAFAAAAAgAh07iQG38nHLXAQAA1gMAAA4AAAAAAAAA&#10;AQAgAAAAJAEAAGRycy9lMm9Eb2MueG1sUEsFBgAAAAAGAAYAWQEAAG0FAAAAAA==&#10;">
                      <v:fill on="f" focussize="0,0"/>
                      <v:stroke color="#000000" joinstyle="round"/>
                      <v:imagedata o:title=""/>
                      <o:lock v:ext="edit" aspectratio="f"/>
                    </v:line>
                  </w:pict>
                </mc:Fallback>
              </mc:AlternateContent>
            </w:r>
            <w:r>
              <w:rPr>
                <w:rFonts w:hint="eastAsia" w:ascii="宋体" w:hAnsi="宋体" w:cs="宋体"/>
                <w:color w:val="000000" w:themeColor="text1"/>
                <w:sz w:val="24"/>
              </w:rPr>
              <w:t>招标类型　　　</w:t>
            </w:r>
          </w:p>
          <w:p>
            <w:pPr>
              <w:spacing w:line="360" w:lineRule="auto"/>
              <w:ind w:firstLine="1238" w:firstLineChars="516"/>
              <w:rPr>
                <w:rFonts w:ascii="宋体" w:hAnsi="宋体" w:cs="宋体"/>
                <w:color w:val="000000" w:themeColor="text1"/>
                <w:sz w:val="24"/>
              </w:rPr>
            </w:pPr>
            <w:r>
              <w:rPr>
                <w:rFonts w:hint="eastAsia" w:ascii="宋体" w:hAnsi="宋体" w:cs="宋体"/>
                <w:bCs/>
                <w:color w:val="000000" w:themeColor="text1"/>
                <w:sz w:val="24"/>
              </w:rPr>
              <w:t>中标</w:t>
            </w:r>
            <w:r>
              <w:rPr>
                <w:rFonts w:hint="eastAsia" w:ascii="宋体" w:hAnsi="宋体" w:cs="宋体"/>
                <w:color w:val="000000" w:themeColor="text1"/>
                <w:sz w:val="24"/>
              </w:rPr>
              <w:t xml:space="preserve">　　　 </w:t>
            </w:r>
          </w:p>
          <w:p>
            <w:pPr>
              <w:spacing w:line="360" w:lineRule="auto"/>
              <w:ind w:firstLine="720" w:firstLineChars="300"/>
              <w:rPr>
                <w:rFonts w:ascii="宋体" w:hAnsi="宋体" w:cs="宋体"/>
                <w:bCs/>
                <w:color w:val="000000" w:themeColor="text1"/>
                <w:sz w:val="24"/>
              </w:rPr>
            </w:pPr>
            <w:r>
              <w:rPr>
                <w:rFonts w:hint="eastAsia" w:ascii="宋体" w:hAnsi="宋体" w:cs="宋体"/>
                <w:bCs/>
                <w:color w:val="000000" w:themeColor="text1"/>
                <w:sz w:val="24"/>
              </w:rPr>
              <w:t>费率</w:t>
            </w:r>
          </w:p>
          <w:p>
            <w:pPr>
              <w:spacing w:line="360" w:lineRule="auto"/>
              <w:rPr>
                <w:rFonts w:ascii="宋体" w:hAnsi="宋体" w:cs="宋体"/>
                <w:color w:val="000000" w:themeColor="text1"/>
                <w:sz w:val="24"/>
              </w:rPr>
            </w:pPr>
            <w:r>
              <w:rPr>
                <w:rFonts w:hint="eastAsia" w:ascii="宋体" w:hAnsi="宋体" w:cs="宋体"/>
                <w:color w:val="000000" w:themeColor="text1"/>
                <w:sz w:val="24"/>
              </w:rPr>
              <w:t>金额（万元）</w:t>
            </w:r>
          </w:p>
        </w:tc>
        <w:tc>
          <w:tcPr>
            <w:tcW w:w="2218" w:type="dxa"/>
            <w:vAlign w:val="center"/>
          </w:tcPr>
          <w:p>
            <w:pPr>
              <w:spacing w:line="360" w:lineRule="auto"/>
              <w:jc w:val="center"/>
              <w:rPr>
                <w:rFonts w:ascii="宋体" w:hAnsi="宋体" w:cs="宋体"/>
                <w:color w:val="000000" w:themeColor="text1"/>
                <w:sz w:val="24"/>
              </w:rPr>
            </w:pPr>
            <w:r>
              <w:rPr>
                <w:rFonts w:hint="eastAsia" w:ascii="宋体" w:hAnsi="宋体" w:cs="宋体"/>
                <w:color w:val="000000" w:themeColor="text1"/>
                <w:sz w:val="24"/>
              </w:rPr>
              <w:t>货物招标</w:t>
            </w:r>
          </w:p>
        </w:tc>
        <w:tc>
          <w:tcPr>
            <w:tcW w:w="2015" w:type="dxa"/>
            <w:vAlign w:val="center"/>
          </w:tcPr>
          <w:p>
            <w:pPr>
              <w:spacing w:line="360" w:lineRule="auto"/>
              <w:jc w:val="center"/>
              <w:rPr>
                <w:rFonts w:ascii="宋体" w:hAnsi="宋体" w:cs="宋体"/>
                <w:color w:val="000000" w:themeColor="text1"/>
                <w:sz w:val="24"/>
              </w:rPr>
            </w:pPr>
            <w:r>
              <w:rPr>
                <w:rFonts w:hint="eastAsia" w:ascii="宋体" w:hAnsi="宋体" w:cs="宋体"/>
                <w:color w:val="000000" w:themeColor="text1"/>
                <w:sz w:val="24"/>
              </w:rPr>
              <w:t>服务招标</w:t>
            </w:r>
          </w:p>
        </w:tc>
        <w:tc>
          <w:tcPr>
            <w:tcW w:w="2171" w:type="dxa"/>
            <w:vAlign w:val="center"/>
          </w:tcPr>
          <w:p>
            <w:pPr>
              <w:spacing w:line="360" w:lineRule="auto"/>
              <w:jc w:val="center"/>
              <w:rPr>
                <w:rFonts w:ascii="宋体" w:hAnsi="宋体" w:cs="宋体"/>
                <w:color w:val="000000" w:themeColor="text1"/>
                <w:sz w:val="24"/>
              </w:rPr>
            </w:pPr>
            <w:r>
              <w:rPr>
                <w:rFonts w:hint="eastAsia" w:ascii="宋体" w:hAnsi="宋体" w:cs="宋体"/>
                <w:color w:val="000000" w:themeColor="text1"/>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707" w:type="dxa"/>
          </w:tcPr>
          <w:p>
            <w:pPr>
              <w:spacing w:line="360" w:lineRule="auto"/>
              <w:jc w:val="center"/>
              <w:rPr>
                <w:rFonts w:ascii="宋体" w:hAnsi="宋体" w:cs="宋体"/>
                <w:color w:val="000000" w:themeColor="text1"/>
                <w:sz w:val="24"/>
              </w:rPr>
            </w:pPr>
            <w:r>
              <w:rPr>
                <w:rFonts w:hint="eastAsia" w:ascii="宋体" w:hAnsi="宋体" w:cs="宋体"/>
                <w:color w:val="000000" w:themeColor="text1"/>
                <w:sz w:val="24"/>
              </w:rPr>
              <w:t>100以下</w:t>
            </w:r>
          </w:p>
        </w:tc>
        <w:tc>
          <w:tcPr>
            <w:tcW w:w="2218" w:type="dxa"/>
          </w:tcPr>
          <w:p>
            <w:pPr>
              <w:spacing w:line="360" w:lineRule="auto"/>
              <w:jc w:val="center"/>
              <w:rPr>
                <w:rFonts w:ascii="宋体" w:hAnsi="宋体" w:cs="宋体"/>
                <w:color w:val="000000" w:themeColor="text1"/>
                <w:sz w:val="24"/>
              </w:rPr>
            </w:pPr>
            <w:r>
              <w:rPr>
                <w:rFonts w:hint="eastAsia" w:ascii="宋体" w:hAnsi="宋体" w:cs="宋体"/>
                <w:color w:val="000000" w:themeColor="text1"/>
                <w:sz w:val="24"/>
              </w:rPr>
              <w:t>1.5%</w:t>
            </w:r>
          </w:p>
        </w:tc>
        <w:tc>
          <w:tcPr>
            <w:tcW w:w="2015" w:type="dxa"/>
          </w:tcPr>
          <w:p>
            <w:pPr>
              <w:spacing w:line="360" w:lineRule="auto"/>
              <w:jc w:val="center"/>
              <w:rPr>
                <w:rFonts w:ascii="宋体" w:hAnsi="宋体" w:cs="宋体"/>
                <w:color w:val="000000" w:themeColor="text1"/>
                <w:sz w:val="24"/>
              </w:rPr>
            </w:pPr>
            <w:r>
              <w:rPr>
                <w:rFonts w:hint="eastAsia" w:ascii="宋体" w:hAnsi="宋体" w:cs="宋体"/>
                <w:color w:val="000000" w:themeColor="text1"/>
                <w:sz w:val="24"/>
              </w:rPr>
              <w:t>1.5%</w:t>
            </w:r>
          </w:p>
        </w:tc>
        <w:tc>
          <w:tcPr>
            <w:tcW w:w="2171" w:type="dxa"/>
          </w:tcPr>
          <w:p>
            <w:pPr>
              <w:spacing w:line="360" w:lineRule="auto"/>
              <w:jc w:val="center"/>
              <w:rPr>
                <w:rFonts w:ascii="宋体" w:hAnsi="宋体" w:cs="宋体"/>
                <w:color w:val="000000" w:themeColor="text1"/>
                <w:sz w:val="24"/>
              </w:rPr>
            </w:pPr>
            <w:r>
              <w:rPr>
                <w:rFonts w:hint="eastAsia" w:ascii="宋体" w:hAnsi="宋体" w:cs="宋体"/>
                <w:color w:val="000000" w:themeColor="text1"/>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707" w:type="dxa"/>
          </w:tcPr>
          <w:p>
            <w:pPr>
              <w:spacing w:line="360" w:lineRule="auto"/>
              <w:jc w:val="center"/>
              <w:rPr>
                <w:rFonts w:ascii="宋体" w:hAnsi="宋体" w:cs="宋体"/>
                <w:color w:val="000000" w:themeColor="text1"/>
                <w:sz w:val="24"/>
              </w:rPr>
            </w:pPr>
            <w:r>
              <w:rPr>
                <w:rFonts w:hint="eastAsia" w:ascii="宋体" w:hAnsi="宋体" w:cs="宋体"/>
                <w:color w:val="000000" w:themeColor="text1"/>
                <w:sz w:val="24"/>
              </w:rPr>
              <w:t>100-500</w:t>
            </w:r>
          </w:p>
        </w:tc>
        <w:tc>
          <w:tcPr>
            <w:tcW w:w="2218" w:type="dxa"/>
          </w:tcPr>
          <w:p>
            <w:pPr>
              <w:spacing w:line="360" w:lineRule="auto"/>
              <w:jc w:val="center"/>
              <w:rPr>
                <w:rFonts w:ascii="宋体" w:hAnsi="宋体" w:cs="宋体"/>
                <w:color w:val="000000" w:themeColor="text1"/>
                <w:sz w:val="24"/>
              </w:rPr>
            </w:pPr>
            <w:r>
              <w:rPr>
                <w:rFonts w:hint="eastAsia" w:ascii="宋体" w:hAnsi="宋体" w:cs="宋体"/>
                <w:color w:val="000000" w:themeColor="text1"/>
                <w:sz w:val="24"/>
              </w:rPr>
              <w:t>1.1%</w:t>
            </w:r>
          </w:p>
        </w:tc>
        <w:tc>
          <w:tcPr>
            <w:tcW w:w="2015" w:type="dxa"/>
          </w:tcPr>
          <w:p>
            <w:pPr>
              <w:spacing w:line="360" w:lineRule="auto"/>
              <w:jc w:val="center"/>
              <w:rPr>
                <w:rFonts w:ascii="宋体" w:hAnsi="宋体" w:cs="宋体"/>
                <w:color w:val="000000" w:themeColor="text1"/>
                <w:sz w:val="24"/>
              </w:rPr>
            </w:pPr>
            <w:r>
              <w:rPr>
                <w:rFonts w:hint="eastAsia" w:ascii="宋体" w:hAnsi="宋体" w:cs="宋体"/>
                <w:color w:val="000000" w:themeColor="text1"/>
                <w:sz w:val="24"/>
              </w:rPr>
              <w:t>0.8%</w:t>
            </w:r>
          </w:p>
        </w:tc>
        <w:tc>
          <w:tcPr>
            <w:tcW w:w="2171" w:type="dxa"/>
          </w:tcPr>
          <w:p>
            <w:pPr>
              <w:spacing w:line="360" w:lineRule="auto"/>
              <w:jc w:val="center"/>
              <w:rPr>
                <w:rFonts w:ascii="宋体" w:hAnsi="宋体" w:cs="宋体"/>
                <w:color w:val="000000" w:themeColor="text1"/>
                <w:sz w:val="24"/>
              </w:rPr>
            </w:pPr>
            <w:r>
              <w:rPr>
                <w:rFonts w:hint="eastAsia" w:ascii="宋体" w:hAnsi="宋体" w:cs="宋体"/>
                <w:color w:val="000000" w:themeColor="text1"/>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707" w:type="dxa"/>
          </w:tcPr>
          <w:p>
            <w:pPr>
              <w:spacing w:line="360" w:lineRule="auto"/>
              <w:jc w:val="center"/>
              <w:rPr>
                <w:rFonts w:ascii="宋体" w:hAnsi="宋体" w:cs="宋体"/>
                <w:color w:val="000000" w:themeColor="text1"/>
                <w:sz w:val="24"/>
              </w:rPr>
            </w:pPr>
            <w:r>
              <w:rPr>
                <w:rFonts w:hint="eastAsia" w:ascii="宋体" w:hAnsi="宋体" w:cs="宋体"/>
                <w:color w:val="000000" w:themeColor="text1"/>
                <w:sz w:val="24"/>
              </w:rPr>
              <w:t>500-1000</w:t>
            </w:r>
          </w:p>
        </w:tc>
        <w:tc>
          <w:tcPr>
            <w:tcW w:w="2218" w:type="dxa"/>
          </w:tcPr>
          <w:p>
            <w:pPr>
              <w:spacing w:line="360" w:lineRule="auto"/>
              <w:jc w:val="center"/>
              <w:rPr>
                <w:rFonts w:ascii="宋体" w:hAnsi="宋体" w:cs="宋体"/>
                <w:color w:val="000000" w:themeColor="text1"/>
                <w:sz w:val="24"/>
              </w:rPr>
            </w:pPr>
            <w:r>
              <w:rPr>
                <w:rFonts w:hint="eastAsia" w:ascii="宋体" w:hAnsi="宋体" w:cs="宋体"/>
                <w:color w:val="000000" w:themeColor="text1"/>
                <w:sz w:val="24"/>
              </w:rPr>
              <w:t>0.8%</w:t>
            </w:r>
          </w:p>
        </w:tc>
        <w:tc>
          <w:tcPr>
            <w:tcW w:w="2015" w:type="dxa"/>
          </w:tcPr>
          <w:p>
            <w:pPr>
              <w:spacing w:line="360" w:lineRule="auto"/>
              <w:jc w:val="center"/>
              <w:rPr>
                <w:rFonts w:ascii="宋体" w:hAnsi="宋体" w:cs="宋体"/>
                <w:color w:val="000000" w:themeColor="text1"/>
                <w:sz w:val="24"/>
              </w:rPr>
            </w:pPr>
            <w:r>
              <w:rPr>
                <w:rFonts w:hint="eastAsia" w:ascii="宋体" w:hAnsi="宋体" w:cs="宋体"/>
                <w:color w:val="000000" w:themeColor="text1"/>
                <w:sz w:val="24"/>
              </w:rPr>
              <w:t>0.45%</w:t>
            </w:r>
          </w:p>
        </w:tc>
        <w:tc>
          <w:tcPr>
            <w:tcW w:w="2171" w:type="dxa"/>
          </w:tcPr>
          <w:p>
            <w:pPr>
              <w:spacing w:line="360" w:lineRule="auto"/>
              <w:jc w:val="center"/>
              <w:rPr>
                <w:rFonts w:ascii="宋体" w:hAnsi="宋体" w:cs="宋体"/>
                <w:color w:val="000000" w:themeColor="text1"/>
                <w:sz w:val="24"/>
              </w:rPr>
            </w:pPr>
            <w:r>
              <w:rPr>
                <w:rFonts w:hint="eastAsia" w:ascii="宋体" w:hAnsi="宋体" w:cs="宋体"/>
                <w:color w:val="000000" w:themeColor="text1"/>
                <w:sz w:val="24"/>
              </w:rPr>
              <w:t>0.55％</w:t>
            </w:r>
          </w:p>
        </w:tc>
      </w:tr>
    </w:tbl>
    <w:p>
      <w:pPr>
        <w:spacing w:line="360" w:lineRule="auto"/>
        <w:rPr>
          <w:rFonts w:ascii="Times New Roman" w:hAnsi="Times New Roman" w:cs="Times New Roman"/>
          <w:bCs/>
          <w:color w:val="000000" w:themeColor="text1"/>
          <w:sz w:val="24"/>
          <w:szCs w:val="24"/>
        </w:rPr>
      </w:pPr>
    </w:p>
    <w:p>
      <w:pPr>
        <w:spacing w:line="360" w:lineRule="auto"/>
        <w:rPr>
          <w:rFonts w:ascii="Times New Roman" w:hAnsi="Times New Roman" w:eastAsia="黑体" w:cs="Times New Roman"/>
          <w:bCs/>
          <w:color w:val="000000" w:themeColor="text1"/>
          <w:sz w:val="24"/>
          <w:szCs w:val="24"/>
        </w:rPr>
      </w:pPr>
      <w:r>
        <w:rPr>
          <w:rFonts w:ascii="Times New Roman" w:hAnsi="Times New Roman" w:eastAsia="黑体" w:cs="Times New Roman"/>
          <w:bCs/>
          <w:color w:val="000000" w:themeColor="text1"/>
          <w:sz w:val="24"/>
          <w:szCs w:val="24"/>
        </w:rPr>
        <w:t>二、响应文件的编制</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 响应文件编制基本要求</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5.1响应文件以及与集中采购机构和采购人就有关磋商的所有来往函电均应使用简体中文。</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5.2供应商应认真阅读、并充分理解本文件的全部内容（包括所有的补充、修改内容），承诺并履行本文件中各项条款规定及要求。</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5.3响应文件应按本文件的全部内容，包括所有的补充通知及附件进行编制。供应商受邀参加本文件多个包磋商的，其响应文件的编制应按每包要求分别装订和封装。</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5.4如因供应商只填写和提供了本文件要求的部分内容和附件，磋商小组有权拒绝其补充和磋商。</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5.5响应文件的组成</w:t>
      </w:r>
    </w:p>
    <w:p>
      <w:pPr>
        <w:spacing w:line="360" w:lineRule="auto"/>
        <w:ind w:left="315" w:left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不限于以下内容,应该有的必须提供,如未提供,磋商小组有权拒绝其响应文件：</w:t>
      </w:r>
    </w:p>
    <w:p>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1）磋商书 (附件1) ；</w:t>
      </w:r>
    </w:p>
    <w:p>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2）报价组成情况表(附件2) ；</w:t>
      </w:r>
    </w:p>
    <w:p>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3）货物（服务）清单(附件3)；</w:t>
      </w:r>
    </w:p>
    <w:p>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4）资格性符合性检查对照表(附件4)；</w:t>
      </w:r>
    </w:p>
    <w:p>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5）技术响应、偏离情况说明表(附件5)；</w:t>
      </w:r>
    </w:p>
    <w:p>
      <w:pPr>
        <w:spacing w:line="360" w:lineRule="auto"/>
        <w:rPr>
          <w:rFonts w:ascii="Times New Roman" w:hAnsi="Times New Roman" w:cs="Times New Roman"/>
          <w:bCs/>
          <w:color w:val="000000" w:themeColor="text1"/>
          <w:sz w:val="24"/>
          <w:szCs w:val="24"/>
        </w:rPr>
      </w:pPr>
      <w:r>
        <w:rPr>
          <w:rFonts w:hint="eastAsia" w:ascii="Times New Roman" w:hAnsi="Times New Roman" w:cs="Times New Roman"/>
          <w:bCs/>
          <w:color w:val="000000" w:themeColor="text1"/>
          <w:sz w:val="24"/>
          <w:szCs w:val="24"/>
        </w:rPr>
        <w:t>6</w:t>
      </w:r>
      <w:r>
        <w:rPr>
          <w:rFonts w:ascii="Times New Roman" w:hAnsi="Times New Roman" w:cs="Times New Roman"/>
          <w:bCs/>
          <w:color w:val="000000" w:themeColor="text1"/>
          <w:sz w:val="24"/>
          <w:szCs w:val="24"/>
        </w:rPr>
        <w:t>）法人（负责人）代表授权书（附件</w:t>
      </w:r>
      <w:r>
        <w:rPr>
          <w:rFonts w:hint="eastAsia" w:ascii="Times New Roman" w:hAnsi="Times New Roman" w:cs="Times New Roman"/>
          <w:bCs/>
          <w:color w:val="000000" w:themeColor="text1"/>
          <w:sz w:val="24"/>
          <w:szCs w:val="24"/>
        </w:rPr>
        <w:t>6</w:t>
      </w:r>
      <w:r>
        <w:rPr>
          <w:rFonts w:ascii="Times New Roman" w:hAnsi="Times New Roman" w:cs="Times New Roman"/>
          <w:bCs/>
          <w:color w:val="000000" w:themeColor="text1"/>
          <w:sz w:val="24"/>
          <w:szCs w:val="24"/>
        </w:rPr>
        <w:t>）；</w:t>
      </w:r>
    </w:p>
    <w:p>
      <w:pPr>
        <w:spacing w:line="360" w:lineRule="auto"/>
        <w:rPr>
          <w:rFonts w:ascii="Times New Roman" w:hAnsi="Times New Roman" w:cs="Times New Roman"/>
          <w:bCs/>
          <w:color w:val="000000" w:themeColor="text1"/>
          <w:sz w:val="24"/>
          <w:szCs w:val="24"/>
        </w:rPr>
      </w:pPr>
      <w:r>
        <w:rPr>
          <w:rFonts w:hint="eastAsia" w:ascii="Times New Roman" w:hAnsi="Times New Roman" w:cs="Times New Roman"/>
          <w:bCs/>
          <w:color w:val="000000" w:themeColor="text1"/>
          <w:sz w:val="24"/>
          <w:szCs w:val="24"/>
        </w:rPr>
        <w:t>7</w:t>
      </w:r>
      <w:r>
        <w:rPr>
          <w:rFonts w:ascii="Times New Roman" w:hAnsi="Times New Roman" w:cs="Times New Roman"/>
          <w:bCs/>
          <w:color w:val="000000" w:themeColor="text1"/>
          <w:sz w:val="24"/>
          <w:szCs w:val="24"/>
        </w:rPr>
        <w:t>）法人或者其他组织的营业执照等证明文件，自然人的身份证明(附件</w:t>
      </w:r>
      <w:r>
        <w:rPr>
          <w:rFonts w:hint="eastAsia" w:ascii="Times New Roman" w:hAnsi="Times New Roman" w:cs="Times New Roman"/>
          <w:bCs/>
          <w:color w:val="000000" w:themeColor="text1"/>
          <w:sz w:val="24"/>
          <w:szCs w:val="24"/>
        </w:rPr>
        <w:t>7</w:t>
      </w:r>
      <w:r>
        <w:rPr>
          <w:rFonts w:ascii="Times New Roman" w:hAnsi="Times New Roman" w:cs="Times New Roman"/>
          <w:bCs/>
          <w:color w:val="000000" w:themeColor="text1"/>
          <w:sz w:val="24"/>
          <w:szCs w:val="24"/>
        </w:rPr>
        <w:t>)；</w:t>
      </w:r>
    </w:p>
    <w:p>
      <w:pPr>
        <w:spacing w:line="360" w:lineRule="auto"/>
        <w:rPr>
          <w:rFonts w:ascii="Times New Roman" w:hAnsi="Times New Roman" w:cs="Times New Roman"/>
          <w:bCs/>
          <w:color w:val="000000" w:themeColor="text1"/>
          <w:sz w:val="24"/>
          <w:szCs w:val="24"/>
        </w:rPr>
      </w:pPr>
      <w:r>
        <w:rPr>
          <w:rFonts w:hint="eastAsia" w:ascii="Times New Roman" w:hAnsi="Times New Roman" w:cs="Times New Roman"/>
          <w:bCs/>
          <w:color w:val="000000" w:themeColor="text1"/>
          <w:sz w:val="24"/>
          <w:szCs w:val="24"/>
        </w:rPr>
        <w:t>8</w:t>
      </w:r>
      <w:r>
        <w:rPr>
          <w:rFonts w:ascii="Times New Roman" w:hAnsi="Times New Roman" w:cs="Times New Roman"/>
          <w:bCs/>
          <w:color w:val="000000" w:themeColor="text1"/>
          <w:sz w:val="24"/>
          <w:szCs w:val="24"/>
        </w:rPr>
        <w:t>）财务状况报告，依法缴纳税收和社会保障资金的相关材料(附件</w:t>
      </w:r>
      <w:r>
        <w:rPr>
          <w:rFonts w:hint="eastAsia" w:ascii="Times New Roman" w:hAnsi="Times New Roman" w:cs="Times New Roman"/>
          <w:bCs/>
          <w:color w:val="000000" w:themeColor="text1"/>
          <w:sz w:val="24"/>
          <w:szCs w:val="24"/>
        </w:rPr>
        <w:t>8</w:t>
      </w:r>
      <w:r>
        <w:rPr>
          <w:rFonts w:ascii="Times New Roman" w:hAnsi="Times New Roman" w:cs="Times New Roman"/>
          <w:bCs/>
          <w:color w:val="000000" w:themeColor="text1"/>
          <w:sz w:val="24"/>
          <w:szCs w:val="24"/>
        </w:rPr>
        <w:t>)；</w:t>
      </w:r>
    </w:p>
    <w:p>
      <w:pPr>
        <w:spacing w:line="360" w:lineRule="auto"/>
        <w:rPr>
          <w:rFonts w:ascii="Times New Roman" w:hAnsi="Times New Roman" w:cs="Times New Roman"/>
          <w:bCs/>
          <w:color w:val="000000" w:themeColor="text1"/>
          <w:sz w:val="24"/>
          <w:szCs w:val="24"/>
        </w:rPr>
      </w:pPr>
      <w:r>
        <w:rPr>
          <w:rFonts w:hint="eastAsia" w:ascii="Times New Roman" w:hAnsi="Times New Roman" w:cs="Times New Roman"/>
          <w:bCs/>
          <w:color w:val="000000" w:themeColor="text1"/>
          <w:sz w:val="24"/>
          <w:szCs w:val="24"/>
        </w:rPr>
        <w:t>9</w:t>
      </w:r>
      <w:r>
        <w:rPr>
          <w:rFonts w:ascii="Times New Roman" w:hAnsi="Times New Roman" w:cs="Times New Roman"/>
          <w:bCs/>
          <w:color w:val="000000" w:themeColor="text1"/>
          <w:sz w:val="24"/>
          <w:szCs w:val="24"/>
        </w:rPr>
        <w:t>）具备履行合同所必需的设备和专业技术能力的证明材料(附件</w:t>
      </w:r>
      <w:r>
        <w:rPr>
          <w:rFonts w:hint="eastAsia" w:ascii="Times New Roman" w:hAnsi="Times New Roman" w:cs="Times New Roman"/>
          <w:bCs/>
          <w:color w:val="000000" w:themeColor="text1"/>
          <w:sz w:val="24"/>
          <w:szCs w:val="24"/>
        </w:rPr>
        <w:t>9</w:t>
      </w:r>
      <w:r>
        <w:rPr>
          <w:rFonts w:ascii="Times New Roman" w:hAnsi="Times New Roman" w:cs="Times New Roman"/>
          <w:bCs/>
          <w:color w:val="000000" w:themeColor="text1"/>
          <w:sz w:val="24"/>
          <w:szCs w:val="24"/>
        </w:rPr>
        <w:t>)；</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Pr>
          <w:rFonts w:hint="eastAsia" w:ascii="Times New Roman" w:hAnsi="Times New Roman" w:cs="Times New Roman"/>
          <w:bCs/>
          <w:color w:val="000000" w:themeColor="text1"/>
          <w:sz w:val="24"/>
          <w:szCs w:val="24"/>
        </w:rPr>
        <w:t>0</w:t>
      </w:r>
      <w:r>
        <w:rPr>
          <w:rFonts w:ascii="Times New Roman" w:hAnsi="Times New Roman" w:cs="Times New Roman"/>
          <w:bCs/>
          <w:color w:val="000000" w:themeColor="text1"/>
          <w:sz w:val="24"/>
          <w:szCs w:val="24"/>
        </w:rPr>
        <w:t>）参加政府采购活动前3年内在经营活动中没有重大违法记录的书面声明(附件1</w:t>
      </w:r>
      <w:r>
        <w:rPr>
          <w:rFonts w:hint="eastAsia" w:ascii="Times New Roman" w:hAnsi="Times New Roman" w:cs="Times New Roman"/>
          <w:bCs/>
          <w:color w:val="000000" w:themeColor="text1"/>
          <w:sz w:val="24"/>
          <w:szCs w:val="24"/>
        </w:rPr>
        <w:t>0</w:t>
      </w:r>
      <w:r>
        <w:rPr>
          <w:rFonts w:ascii="Times New Roman" w:hAnsi="Times New Roman" w:cs="Times New Roman"/>
          <w:bCs/>
          <w:color w:val="000000" w:themeColor="text1"/>
          <w:sz w:val="24"/>
          <w:szCs w:val="24"/>
        </w:rPr>
        <w:t>)；</w:t>
      </w:r>
    </w:p>
    <w:p>
      <w:pPr>
        <w:spacing w:line="360" w:lineRule="auto"/>
        <w:ind w:left="362" w:leftChars="1" w:hanging="360" w:hangingChars="150"/>
        <w:rPr>
          <w:bCs/>
          <w:color w:val="000000" w:themeColor="text1"/>
          <w:sz w:val="24"/>
        </w:rPr>
      </w:pPr>
      <w:r>
        <w:rPr>
          <w:rFonts w:hint="eastAsia"/>
          <w:bCs/>
          <w:color w:val="000000" w:themeColor="text1"/>
          <w:sz w:val="24"/>
        </w:rPr>
        <w:t>11）未被列入“信用中国”网站(www.creditchina. gov.cn)失信被执行人、重大税收违法案件当事人名单、政府采购严重违法失信行为记录名单的网页打印件(附件11)。</w:t>
      </w:r>
    </w:p>
    <w:p>
      <w:pPr>
        <w:spacing w:line="360" w:lineRule="auto"/>
        <w:ind w:left="362" w:leftChars="1" w:hanging="360" w:hangingChars="150"/>
        <w:rPr>
          <w:bCs/>
          <w:color w:val="000000" w:themeColor="text1"/>
          <w:sz w:val="24"/>
        </w:rPr>
      </w:pPr>
      <w:r>
        <w:rPr>
          <w:rFonts w:hint="eastAsia"/>
          <w:bCs/>
          <w:color w:val="000000" w:themeColor="text1"/>
          <w:sz w:val="24"/>
        </w:rPr>
        <w:t>12）《中小企业声明函》、《残疾人福利性单位声明函》、属于监狱企业的证明文件等（如果有的话）(附件12、13)。</w:t>
      </w:r>
    </w:p>
    <w:p>
      <w:pPr>
        <w:spacing w:line="360" w:lineRule="auto"/>
        <w:ind w:left="273" w:leftChars="130"/>
        <w:rPr>
          <w:b/>
          <w:bCs/>
          <w:color w:val="000000" w:themeColor="text1"/>
          <w:sz w:val="24"/>
        </w:rPr>
      </w:pPr>
      <w:r>
        <w:rPr>
          <w:rFonts w:hint="eastAsia"/>
          <w:b/>
          <w:bCs/>
          <w:color w:val="000000" w:themeColor="text1"/>
          <w:sz w:val="24"/>
        </w:rPr>
        <w:t>本文件要求提供的其他资格证明文件及资料。</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 计量单位</w:t>
      </w:r>
      <w:r>
        <w:rPr>
          <w:rFonts w:hint="eastAsia"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除技术要求中另有规定外，本文件所使用的计量单位均应采用国家法定计量单位。</w:t>
      </w:r>
    </w:p>
    <w:p>
      <w:pPr>
        <w:spacing w:line="360" w:lineRule="auto"/>
        <w:rPr>
          <w:rFonts w:ascii="Times New Roman" w:hAnsi="Times New Roman" w:cs="Times New Roman"/>
          <w:bCs/>
          <w:color w:val="000000" w:themeColor="text1"/>
          <w:sz w:val="24"/>
          <w:szCs w:val="24"/>
        </w:rPr>
      </w:pPr>
    </w:p>
    <w:p>
      <w:pPr>
        <w:spacing w:line="360" w:lineRule="auto"/>
        <w:rPr>
          <w:rFonts w:ascii="Times New Roman" w:hAnsi="Times New Roman" w:eastAsia="黑体" w:cs="Times New Roman"/>
          <w:bCs/>
          <w:color w:val="000000" w:themeColor="text1"/>
          <w:sz w:val="24"/>
          <w:szCs w:val="24"/>
        </w:rPr>
      </w:pPr>
      <w:r>
        <w:rPr>
          <w:rFonts w:ascii="Times New Roman" w:hAnsi="Times New Roman" w:eastAsia="黑体" w:cs="Times New Roman"/>
          <w:bCs/>
          <w:color w:val="000000" w:themeColor="text1"/>
          <w:sz w:val="24"/>
          <w:szCs w:val="24"/>
        </w:rPr>
        <w:t>三、响应文件有效期</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 本项目磋商内容自磋商之日算</w:t>
      </w:r>
      <w:r>
        <w:rPr>
          <w:bCs/>
          <w:color w:val="000000" w:themeColor="text1"/>
          <w:sz w:val="24"/>
        </w:rPr>
        <w:t>起</w:t>
      </w:r>
      <w:r>
        <w:rPr>
          <w:rFonts w:hint="eastAsia"/>
          <w:bCs/>
          <w:color w:val="000000" w:themeColor="text1"/>
          <w:sz w:val="24"/>
        </w:rPr>
        <w:t>（</w:t>
      </w:r>
      <w:r>
        <w:rPr>
          <w:rFonts w:hint="eastAsia"/>
          <w:bCs/>
          <w:color w:val="000000" w:themeColor="text1"/>
          <w:sz w:val="24"/>
          <w:u w:val="single"/>
        </w:rPr>
        <w:t>90</w:t>
      </w:r>
      <w:r>
        <w:rPr>
          <w:rFonts w:hint="eastAsia"/>
          <w:bCs/>
          <w:color w:val="000000" w:themeColor="text1"/>
          <w:sz w:val="24"/>
        </w:rPr>
        <w:t>）</w:t>
      </w:r>
      <w:r>
        <w:rPr>
          <w:bCs/>
          <w:color w:val="000000" w:themeColor="text1"/>
          <w:sz w:val="24"/>
        </w:rPr>
        <w:t>日历日</w:t>
      </w:r>
      <w:r>
        <w:rPr>
          <w:rFonts w:hint="eastAsia"/>
          <w:bCs/>
          <w:color w:val="000000" w:themeColor="text1"/>
          <w:sz w:val="24"/>
        </w:rPr>
        <w:t>内</w:t>
      </w:r>
      <w:r>
        <w:rPr>
          <w:rFonts w:ascii="Times New Roman" w:hAnsi="Times New Roman" w:cs="Times New Roman"/>
          <w:bCs/>
          <w:color w:val="000000" w:themeColor="text1"/>
          <w:sz w:val="24"/>
          <w:szCs w:val="24"/>
        </w:rPr>
        <w:t>保持有效。磋商结束后，在有效期内供应商不得改变磋商报价、服务期及承诺的全部义务。响应文件有效期比本文件规定短的，磋商小组将视响应文件无效予以拒绝。</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 在特殊情况下，在原磋商有效期满之前，</w:t>
      </w:r>
      <w:r>
        <w:rPr>
          <w:rFonts w:hint="eastAsia" w:ascii="Times New Roman" w:hAnsi="Times New Roman" w:cs="Times New Roman"/>
          <w:bCs/>
          <w:color w:val="000000" w:themeColor="text1"/>
          <w:sz w:val="24"/>
          <w:szCs w:val="24"/>
        </w:rPr>
        <w:t>采购代理机构</w:t>
      </w:r>
      <w:r>
        <w:rPr>
          <w:rFonts w:ascii="Times New Roman" w:hAnsi="Times New Roman" w:cs="Times New Roman"/>
          <w:bCs/>
          <w:color w:val="000000" w:themeColor="text1"/>
          <w:sz w:val="24"/>
          <w:szCs w:val="24"/>
        </w:rPr>
        <w:t>可向供应商提出延长磋商有效期的要求。这种要求与答复均应采用书面形式。供应商可以拒绝</w:t>
      </w:r>
      <w:r>
        <w:rPr>
          <w:rFonts w:hint="eastAsia" w:ascii="Times New Roman" w:hAnsi="Times New Roman" w:cs="Times New Roman"/>
          <w:bCs/>
          <w:color w:val="000000" w:themeColor="text1"/>
          <w:sz w:val="24"/>
          <w:szCs w:val="24"/>
        </w:rPr>
        <w:t>采购代理机构</w:t>
      </w:r>
      <w:r>
        <w:rPr>
          <w:rFonts w:ascii="Times New Roman" w:hAnsi="Times New Roman" w:cs="Times New Roman"/>
          <w:bCs/>
          <w:color w:val="000000" w:themeColor="text1"/>
          <w:sz w:val="24"/>
          <w:szCs w:val="24"/>
        </w:rPr>
        <w:t>的要求，但其响应文件在原有效期期满后将不再有效。同意延长磋商有效期的供应商不允许修改其响应文件。</w:t>
      </w:r>
    </w:p>
    <w:p>
      <w:pPr>
        <w:spacing w:line="360" w:lineRule="auto"/>
        <w:outlineLvl w:val="0"/>
        <w:rPr>
          <w:rFonts w:ascii="Times New Roman" w:hAnsi="Times New Roman" w:cs="Times New Roman"/>
          <w:b/>
          <w:color w:val="000000" w:themeColor="text1"/>
          <w:sz w:val="24"/>
          <w:szCs w:val="24"/>
        </w:rPr>
      </w:pPr>
    </w:p>
    <w:p>
      <w:pPr>
        <w:spacing w:line="360" w:lineRule="auto"/>
        <w:outlineLvl w:val="0"/>
        <w:rPr>
          <w:rFonts w:ascii="Times New Roman" w:hAnsi="Times New Roman" w:eastAsia="黑体" w:cs="Times New Roman"/>
          <w:color w:val="000000" w:themeColor="text1"/>
          <w:sz w:val="24"/>
          <w:szCs w:val="24"/>
        </w:rPr>
      </w:pPr>
      <w:r>
        <w:rPr>
          <w:rFonts w:ascii="Times New Roman" w:hAnsi="Times New Roman" w:eastAsia="黑体" w:cs="Times New Roman"/>
          <w:color w:val="000000" w:themeColor="text1"/>
          <w:sz w:val="24"/>
          <w:szCs w:val="24"/>
        </w:rPr>
        <w:t>四、报价要求</w:t>
      </w:r>
    </w:p>
    <w:p>
      <w:pPr>
        <w:spacing w:line="360" w:lineRule="auto"/>
        <w:ind w:left="360" w:hanging="360" w:hangingChars="15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 报价以人民币报价。</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 对于本文件中未列明，而供应商认为必需的费用也需列入总报价。在合同实施时，采购人不予支付成交供应商没有列入的项目费用，并认为此项目的费用已包括在总报价中。</w:t>
      </w:r>
    </w:p>
    <w:p>
      <w:pPr>
        <w:spacing w:line="360" w:lineRule="auto"/>
        <w:ind w:left="360" w:hanging="360" w:hangingChars="15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11. 成交供应商负</w:t>
      </w:r>
      <w:r>
        <w:rPr>
          <w:rFonts w:ascii="Times New Roman" w:hAnsi="Times New Roman" w:cs="Times New Roman"/>
          <w:color w:val="000000" w:themeColor="text1"/>
          <w:sz w:val="24"/>
          <w:szCs w:val="24"/>
        </w:rPr>
        <w:t>责本项目所需的售后服务等全部工作，文件另有规定的除外。</w:t>
      </w:r>
    </w:p>
    <w:p>
      <w:pPr>
        <w:spacing w:line="360" w:lineRule="auto"/>
        <w:ind w:left="420" w:hanging="420"/>
        <w:rPr>
          <w:rFonts w:ascii="Times New Roman" w:hAnsi="Times New Roman" w:cs="Times New Roman"/>
          <w:b/>
          <w:bCs/>
          <w:color w:val="000000" w:themeColor="text1"/>
          <w:sz w:val="24"/>
          <w:szCs w:val="24"/>
        </w:rPr>
      </w:pPr>
    </w:p>
    <w:p>
      <w:pPr>
        <w:spacing w:line="360" w:lineRule="auto"/>
        <w:ind w:left="420" w:hanging="420"/>
        <w:rPr>
          <w:rFonts w:ascii="Times New Roman" w:hAnsi="Times New Roman" w:eastAsia="黑体" w:cs="Times New Roman"/>
          <w:bCs/>
          <w:color w:val="000000" w:themeColor="text1"/>
          <w:sz w:val="24"/>
          <w:szCs w:val="24"/>
        </w:rPr>
      </w:pPr>
      <w:r>
        <w:rPr>
          <w:rFonts w:ascii="Times New Roman" w:hAnsi="Times New Roman" w:eastAsia="黑体" w:cs="Times New Roman"/>
          <w:bCs/>
          <w:color w:val="000000" w:themeColor="text1"/>
          <w:sz w:val="24"/>
          <w:szCs w:val="24"/>
        </w:rPr>
        <w:t>五、响应文件的份数、封装和递交</w:t>
      </w:r>
    </w:p>
    <w:p>
      <w:pPr>
        <w:spacing w:line="360" w:lineRule="auto"/>
        <w:ind w:left="420" w:hanging="4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12. 响应文件的份数和封装</w:t>
      </w:r>
    </w:p>
    <w:p>
      <w:pPr>
        <w:spacing w:line="360" w:lineRule="auto"/>
        <w:ind w:left="420" w:hanging="42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12.1响应文</w:t>
      </w:r>
      <w:r>
        <w:rPr>
          <w:rFonts w:ascii="Times New Roman" w:hAnsi="Times New Roman" w:cs="Times New Roman"/>
          <w:b/>
          <w:color w:val="000000" w:themeColor="text1"/>
          <w:sz w:val="24"/>
          <w:szCs w:val="24"/>
        </w:rPr>
        <w:t>件一式</w:t>
      </w:r>
      <w:r>
        <w:rPr>
          <w:rFonts w:hint="eastAsia" w:ascii="Times New Roman" w:hAnsi="Times New Roman" w:cs="Times New Roman"/>
          <w:b/>
          <w:color w:val="000000" w:themeColor="text1"/>
          <w:sz w:val="24"/>
          <w:szCs w:val="24"/>
        </w:rPr>
        <w:t>三</w:t>
      </w:r>
      <w:r>
        <w:rPr>
          <w:rFonts w:ascii="Times New Roman" w:hAnsi="Times New Roman" w:cs="Times New Roman"/>
          <w:b/>
          <w:color w:val="000000" w:themeColor="text1"/>
          <w:sz w:val="24"/>
          <w:szCs w:val="24"/>
        </w:rPr>
        <w:t>份，其中正本一份，副本</w:t>
      </w:r>
      <w:r>
        <w:rPr>
          <w:rFonts w:hint="eastAsia" w:ascii="Times New Roman" w:hAnsi="Times New Roman" w:cs="Times New Roman"/>
          <w:b/>
          <w:bCs/>
          <w:color w:val="000000" w:themeColor="text1"/>
          <w:sz w:val="24"/>
          <w:szCs w:val="24"/>
        </w:rPr>
        <w:t>二</w:t>
      </w:r>
      <w:r>
        <w:rPr>
          <w:rFonts w:ascii="Times New Roman" w:hAnsi="Times New Roman" w:cs="Times New Roman"/>
          <w:b/>
          <w:bCs/>
          <w:color w:val="000000" w:themeColor="text1"/>
          <w:sz w:val="24"/>
          <w:szCs w:val="24"/>
        </w:rPr>
        <w:t>份。</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12.2响应文件的信封上应写明:项目编号、项目名称、磋商内容、供应商名称。</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 响应文件的递交</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13.1所有响应文件应于第一章“竞争性磋商邀请函”中规定的时间前递交到</w:t>
      </w:r>
      <w:r>
        <w:rPr>
          <w:rFonts w:hint="eastAsia" w:ascii="Times New Roman" w:hAnsi="Times New Roman" w:cs="Times New Roman"/>
          <w:bCs/>
          <w:color w:val="000000" w:themeColor="text1"/>
          <w:sz w:val="24"/>
          <w:szCs w:val="24"/>
        </w:rPr>
        <w:t>采购代理机构</w:t>
      </w:r>
      <w:r>
        <w:rPr>
          <w:rFonts w:ascii="Times New Roman" w:hAnsi="Times New Roman" w:cs="Times New Roman"/>
          <w:bCs/>
          <w:color w:val="000000" w:themeColor="text1"/>
          <w:sz w:val="24"/>
          <w:szCs w:val="24"/>
        </w:rPr>
        <w:t>。</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 迟交的响应文件</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14.1</w:t>
      </w:r>
      <w:r>
        <w:rPr>
          <w:rFonts w:hint="eastAsia" w:ascii="Times New Roman" w:hAnsi="Times New Roman" w:cs="Times New Roman"/>
          <w:bCs/>
          <w:color w:val="000000" w:themeColor="text1"/>
          <w:sz w:val="24"/>
          <w:szCs w:val="24"/>
        </w:rPr>
        <w:t>采购代理机构</w:t>
      </w:r>
      <w:r>
        <w:rPr>
          <w:rFonts w:ascii="Times New Roman" w:hAnsi="Times New Roman" w:cs="Times New Roman"/>
          <w:bCs/>
          <w:color w:val="000000" w:themeColor="text1"/>
          <w:sz w:val="24"/>
          <w:szCs w:val="24"/>
        </w:rPr>
        <w:t>将拒绝或原封退回在其规定的递交响应文件截止时间之后递交的任何响应文件。</w:t>
      </w:r>
    </w:p>
    <w:p>
      <w:pPr>
        <w:spacing w:line="360" w:lineRule="auto"/>
        <w:rPr>
          <w:rFonts w:ascii="Times New Roman" w:hAnsi="Times New Roman" w:cs="Times New Roman"/>
          <w:bCs/>
          <w:color w:val="000000" w:themeColor="text1"/>
          <w:sz w:val="24"/>
          <w:szCs w:val="24"/>
        </w:rPr>
      </w:pPr>
    </w:p>
    <w:p>
      <w:pPr>
        <w:spacing w:line="360" w:lineRule="auto"/>
        <w:rPr>
          <w:rFonts w:ascii="Times New Roman" w:hAnsi="Times New Roman" w:eastAsia="黑体" w:cs="Times New Roman"/>
          <w:bCs/>
          <w:color w:val="000000" w:themeColor="text1"/>
          <w:sz w:val="24"/>
          <w:szCs w:val="24"/>
        </w:rPr>
      </w:pPr>
      <w:r>
        <w:rPr>
          <w:rFonts w:ascii="Times New Roman" w:hAnsi="Times New Roman" w:eastAsia="黑体" w:cs="Times New Roman"/>
          <w:bCs/>
          <w:color w:val="000000" w:themeColor="text1"/>
          <w:sz w:val="24"/>
          <w:szCs w:val="24"/>
        </w:rPr>
        <w:t>六、磋商小组的组成</w:t>
      </w:r>
    </w:p>
    <w:p>
      <w:pPr>
        <w:spacing w:line="360" w:lineRule="auto"/>
        <w:ind w:left="420" w:hanging="4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15.磋商小组成员由采购人代表一名和外聘专家两名及以上（技术、经济、法律等方面）组成，外聘专家从</w:t>
      </w:r>
      <w:r>
        <w:rPr>
          <w:rFonts w:hint="eastAsia" w:ascii="Times New Roman" w:hAnsi="Times New Roman" w:cs="Times New Roman"/>
          <w:bCs/>
          <w:color w:val="000000" w:themeColor="text1"/>
          <w:sz w:val="24"/>
          <w:szCs w:val="24"/>
        </w:rPr>
        <w:t>阳新县</w:t>
      </w:r>
      <w:r>
        <w:rPr>
          <w:rFonts w:ascii="Times New Roman" w:hAnsi="Times New Roman" w:cs="Times New Roman"/>
          <w:bCs/>
          <w:color w:val="000000" w:themeColor="text1"/>
          <w:sz w:val="24"/>
          <w:szCs w:val="24"/>
        </w:rPr>
        <w:t>政府采购专家库中随机抽取。</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15.1磋商小组负责制定磋商文件、确定磋商供应商名单、响应文件的评审、磋商谈判、商务服务评议并评分、根据综合评分情况编写评审报告，协助处理质疑等工作。</w:t>
      </w:r>
    </w:p>
    <w:p>
      <w:pPr>
        <w:spacing w:line="360" w:lineRule="auto"/>
        <w:rPr>
          <w:rFonts w:ascii="Times New Roman" w:hAnsi="Times New Roman" w:cs="Times New Roman"/>
          <w:bCs/>
          <w:color w:val="000000" w:themeColor="text1"/>
          <w:sz w:val="24"/>
          <w:szCs w:val="24"/>
        </w:rPr>
      </w:pPr>
    </w:p>
    <w:p>
      <w:pPr>
        <w:spacing w:line="360" w:lineRule="auto"/>
        <w:rPr>
          <w:rFonts w:ascii="Times New Roman" w:hAnsi="Times New Roman" w:eastAsia="黑体" w:cs="Times New Roman"/>
          <w:bCs/>
          <w:color w:val="000000" w:themeColor="text1"/>
          <w:sz w:val="24"/>
          <w:szCs w:val="24"/>
        </w:rPr>
      </w:pPr>
      <w:r>
        <w:rPr>
          <w:rFonts w:ascii="Times New Roman" w:hAnsi="Times New Roman" w:eastAsia="黑体" w:cs="Times New Roman"/>
          <w:bCs/>
          <w:color w:val="000000" w:themeColor="text1"/>
          <w:sz w:val="24"/>
          <w:szCs w:val="24"/>
        </w:rPr>
        <w:t>七、磋商的步骤</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16. 供应商授权代表及其项目相关的商务技术人员按要求参加本项目磋商过程</w:t>
      </w:r>
      <w:r>
        <w:rPr>
          <w:rFonts w:hint="eastAsia" w:ascii="Times New Roman" w:hAnsi="Times New Roman" w:cs="Times New Roman"/>
          <w:bCs/>
          <w:color w:val="000000" w:themeColor="text1"/>
          <w:sz w:val="24"/>
          <w:szCs w:val="24"/>
        </w:rPr>
        <w:t>。</w:t>
      </w:r>
      <w:r>
        <w:rPr>
          <w:rFonts w:hint="eastAsia"/>
          <w:bCs/>
          <w:color w:val="000000" w:themeColor="text1"/>
          <w:sz w:val="24"/>
        </w:rPr>
        <w:t>磋商</w:t>
      </w:r>
      <w:r>
        <w:rPr>
          <w:bCs/>
          <w:color w:val="000000" w:themeColor="text1"/>
          <w:sz w:val="24"/>
        </w:rPr>
        <w:t>供应商授权代表及其商务技术人员按要求参加本项目</w:t>
      </w:r>
      <w:r>
        <w:rPr>
          <w:rFonts w:hint="eastAsia"/>
          <w:bCs/>
          <w:color w:val="000000" w:themeColor="text1"/>
          <w:sz w:val="24"/>
        </w:rPr>
        <w:t>磋商</w:t>
      </w:r>
      <w:r>
        <w:rPr>
          <w:bCs/>
          <w:color w:val="000000" w:themeColor="text1"/>
          <w:sz w:val="24"/>
        </w:rPr>
        <w:t>过程。</w:t>
      </w:r>
      <w:r>
        <w:rPr>
          <w:rFonts w:hint="eastAsia"/>
          <w:bCs/>
          <w:color w:val="000000" w:themeColor="text1"/>
          <w:sz w:val="24"/>
        </w:rPr>
        <w:t>参加磋商的供应商委托授权代表至少须有一名技术人员参加磋商。若磋商小组和授权代表磋商时，授权代表只能简单的回答"不知道"、"不清楚"等，该供应商的磋商将有可能被拒绝。</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17. 资格性审查</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17.1磋商小组验证各供应商代表或委托授权人的身份。供应商代表或委托授权人身份与响应文件不符的、响应文件未按要求加盖印章和签字的，磋商小组</w:t>
      </w:r>
      <w:r>
        <w:rPr>
          <w:rFonts w:hint="eastAsia" w:ascii="Times New Roman" w:hAnsi="Times New Roman" w:cs="Times New Roman"/>
          <w:bCs/>
          <w:color w:val="000000" w:themeColor="text1"/>
          <w:sz w:val="24"/>
          <w:szCs w:val="24"/>
        </w:rPr>
        <w:t>将</w:t>
      </w:r>
      <w:r>
        <w:rPr>
          <w:rFonts w:ascii="Times New Roman" w:hAnsi="Times New Roman" w:cs="Times New Roman"/>
          <w:bCs/>
          <w:color w:val="000000" w:themeColor="text1"/>
          <w:sz w:val="24"/>
          <w:szCs w:val="24"/>
        </w:rPr>
        <w:t>拒绝该供应商参加磋商。</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 第一轮磋商</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18.1磋商小组将按照随机抽签的顺序</w:t>
      </w:r>
      <w:r>
        <w:rPr>
          <w:rFonts w:hint="eastAsia" w:ascii="Times New Roman" w:hAnsi="Times New Roman" w:cs="Times New Roman"/>
          <w:bCs/>
          <w:color w:val="000000" w:themeColor="text1"/>
          <w:sz w:val="24"/>
          <w:szCs w:val="24"/>
        </w:rPr>
        <w:t>或按照签到的顺序</w:t>
      </w:r>
      <w:r>
        <w:rPr>
          <w:rFonts w:ascii="Times New Roman" w:hAnsi="Times New Roman" w:cs="Times New Roman"/>
          <w:bCs/>
          <w:color w:val="000000" w:themeColor="text1"/>
          <w:sz w:val="24"/>
          <w:szCs w:val="24"/>
        </w:rPr>
        <w:t>决定供应商的磋商顺序，并与单一供应商分别进行磋商。</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18.3 响应文件的澄清和说明</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3）供应商可以对参加竞争性磋商项目的采购需求提出优化建议，并以书面提交磋商小组。</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18.4磋商小组按磋商文件设定的方法和标准确定供应商符合磋商文件要求的，该供应商即为合格的供应商。</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18.6合格的供应商不足三家的，磋商小组、采购人在调整采购需求中的技术、服务要求以及合同草案条款后进行下一轮磋商。否则，本次磋商终止。</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19.磋商文件修正</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19.2磋商小组将磋商文件的修改结果以书面形式通知参加磋商的供应商。</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19.4对无法详细描述需求，需要供应商提供设计或者解决方案的项目，磋商小组可以根据采购人对需求确认情况，进行多轮磋商，直至采购人代表最终确认</w:t>
      </w:r>
      <w:r>
        <w:rPr>
          <w:rFonts w:hint="eastAsia" w:ascii="Times New Roman" w:hAnsi="Times New Roman" w:cs="Times New Roman"/>
          <w:bCs/>
          <w:color w:val="000000" w:themeColor="text1"/>
          <w:sz w:val="24"/>
          <w:szCs w:val="24"/>
        </w:rPr>
        <w:t>采购</w:t>
      </w:r>
      <w:r>
        <w:rPr>
          <w:rFonts w:ascii="Times New Roman" w:hAnsi="Times New Roman" w:cs="Times New Roman"/>
          <w:bCs/>
          <w:color w:val="000000" w:themeColor="text1"/>
          <w:sz w:val="24"/>
          <w:szCs w:val="24"/>
        </w:rPr>
        <w:t>需求为止。</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 第二轮磋商</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20.1磋商小组就修正后的磋商文件与供应商分别进行磋商。</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20.2第二轮磋商结束后，实质性响应磋商文件及变动后磋商文件要求的供应商超过或不足三家的，按照上一轮磋商程序办理，以此类推。</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 最后报价</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21.1磋商小组对磋商文件中能够详细列明采购标的的技术、服务要求的，在磋商结束后，所有继续参加磋商合格的供应商应在规定时间内提交最后报价。</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21.3供应商的报价均超过了政府采购预算或报价未超过采购预算的供应商不足三家的，磋商活动终止。</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21.4最后报价文件应密封，并在规定的同一时间内提交。最后报价是供应商响应文件的有效组成部分。</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21.5在提交最后报价之前，供应商可以根据磋商情况退出磋商。</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 综合评议</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22.1 磋商小组将按照磋商文件确定的评审办法对各供应商的响应文件进行商务服务评议和价格评议。</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22.2评审采用综合评分法，具体见“</w:t>
      </w:r>
      <w:r>
        <w:rPr>
          <w:rFonts w:ascii="Times New Roman" w:hAnsi="Times New Roman" w:cs="Times New Roman"/>
          <w:b/>
          <w:bCs/>
          <w:color w:val="000000" w:themeColor="text1"/>
          <w:sz w:val="24"/>
          <w:szCs w:val="24"/>
        </w:rPr>
        <w:t>第四章评审办法及评审标准</w:t>
      </w:r>
      <w:r>
        <w:rPr>
          <w:rFonts w:ascii="Times New Roman" w:hAnsi="Times New Roman" w:cs="Times New Roman"/>
          <w:bCs/>
          <w:color w:val="000000" w:themeColor="text1"/>
          <w:sz w:val="24"/>
          <w:szCs w:val="24"/>
        </w:rPr>
        <w:t>”。</w:t>
      </w:r>
    </w:p>
    <w:p>
      <w:pPr>
        <w:spacing w:line="360" w:lineRule="auto"/>
        <w:ind w:left="360" w:hanging="360" w:hangingChars="150"/>
        <w:rPr>
          <w:rFonts w:ascii="Times New Roman" w:hAnsi="Times New Roman" w:cs="Times New Roman"/>
          <w:bCs/>
          <w:color w:val="000000" w:themeColor="text1"/>
          <w:sz w:val="24"/>
          <w:szCs w:val="24"/>
        </w:rPr>
      </w:pPr>
      <w:r>
        <w:rPr>
          <w:rFonts w:hint="eastAsia" w:ascii="Times New Roman" w:hAnsi="Times New Roman" w:cs="Times New Roman"/>
          <w:bCs/>
          <w:color w:val="000000" w:themeColor="text1"/>
          <w:sz w:val="24"/>
          <w:szCs w:val="24"/>
        </w:rPr>
        <w:t>23.非专门面向中小企业、监狱企业或残疾人福利性单位采购项目价格评议</w:t>
      </w:r>
    </w:p>
    <w:p>
      <w:pPr>
        <w:spacing w:line="360" w:lineRule="auto"/>
        <w:ind w:left="360" w:hanging="360" w:hangingChars="150"/>
        <w:rPr>
          <w:rFonts w:ascii="Times New Roman" w:hAnsi="Times New Roman" w:cs="Times New Roman"/>
          <w:bCs/>
          <w:color w:val="000000" w:themeColor="text1"/>
          <w:sz w:val="24"/>
          <w:szCs w:val="24"/>
        </w:rPr>
      </w:pPr>
      <w:r>
        <w:rPr>
          <w:rFonts w:hint="eastAsia" w:ascii="Times New Roman" w:hAnsi="Times New Roman" w:cs="Times New Roman"/>
          <w:bCs/>
          <w:color w:val="000000" w:themeColor="text1"/>
          <w:sz w:val="24"/>
          <w:szCs w:val="24"/>
        </w:rPr>
        <w:t>23.1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360" w:lineRule="auto"/>
        <w:ind w:left="360" w:hanging="360" w:hangingChars="150"/>
        <w:rPr>
          <w:rFonts w:ascii="Times New Roman" w:hAnsi="Times New Roman" w:cs="Times New Roman"/>
          <w:bCs/>
          <w:color w:val="000000" w:themeColor="text1"/>
          <w:sz w:val="24"/>
          <w:szCs w:val="24"/>
        </w:rPr>
      </w:pPr>
      <w:r>
        <w:rPr>
          <w:rFonts w:hint="eastAsia" w:ascii="Times New Roman" w:hAnsi="Times New Roman" w:cs="Times New Roman"/>
          <w:bCs/>
          <w:color w:val="000000" w:themeColor="text1"/>
          <w:sz w:val="24"/>
          <w:szCs w:val="24"/>
        </w:rPr>
        <w:t>23.2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360" w:lineRule="auto"/>
        <w:ind w:left="360" w:hanging="360" w:hangingChars="150"/>
        <w:rPr>
          <w:rFonts w:ascii="Times New Roman" w:hAnsi="Times New Roman" w:cs="Times New Roman"/>
          <w:bCs/>
          <w:color w:val="000000" w:themeColor="text1"/>
          <w:sz w:val="24"/>
          <w:szCs w:val="24"/>
        </w:rPr>
      </w:pPr>
      <w:r>
        <w:rPr>
          <w:rFonts w:hint="eastAsia" w:ascii="Times New Roman" w:hAnsi="Times New Roman" w:cs="Times New Roman"/>
          <w:bCs/>
          <w:color w:val="000000" w:themeColor="text1"/>
          <w:sz w:val="24"/>
          <w:szCs w:val="24"/>
        </w:rPr>
        <w:t>23.3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spacing w:line="360" w:lineRule="auto"/>
        <w:ind w:left="360" w:hanging="360" w:hangingChars="150"/>
        <w:rPr>
          <w:rFonts w:ascii="Times New Roman" w:hAnsi="Times New Roman" w:cs="Times New Roman"/>
          <w:bCs/>
          <w:color w:val="000000" w:themeColor="text1"/>
          <w:sz w:val="24"/>
          <w:szCs w:val="24"/>
        </w:rPr>
      </w:pPr>
      <w:r>
        <w:rPr>
          <w:rFonts w:hint="eastAsia" w:ascii="Times New Roman" w:hAnsi="Times New Roman" w:cs="Times New Roman"/>
          <w:bCs/>
          <w:color w:val="000000" w:themeColor="text1"/>
          <w:sz w:val="24"/>
          <w:szCs w:val="24"/>
        </w:rPr>
        <w:t>23.4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r>
        <w:rPr>
          <w:rFonts w:hint="eastAsia" w:ascii="Times New Roman" w:hAnsi="Times New Roman" w:cs="Times New Roman"/>
          <w:bCs/>
          <w:color w:val="000000" w:themeColor="text1"/>
          <w:sz w:val="24"/>
          <w:szCs w:val="24"/>
        </w:rPr>
        <w:t>4.</w:t>
      </w:r>
      <w:r>
        <w:rPr>
          <w:rFonts w:ascii="Times New Roman" w:hAnsi="Times New Roman" w:cs="Times New Roman"/>
          <w:bCs/>
          <w:color w:val="000000" w:themeColor="text1"/>
          <w:sz w:val="24"/>
          <w:szCs w:val="24"/>
        </w:rPr>
        <w:t>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r>
        <w:rPr>
          <w:rFonts w:hint="eastAsia" w:ascii="Times New Roman" w:hAnsi="Times New Roman" w:cs="Times New Roman"/>
          <w:bCs/>
          <w:color w:val="000000" w:themeColor="text1"/>
          <w:sz w:val="24"/>
          <w:szCs w:val="24"/>
        </w:rPr>
        <w:t>4.1</w:t>
      </w:r>
      <w:r>
        <w:rPr>
          <w:rFonts w:ascii="Times New Roman" w:hAnsi="Times New Roman" w:cs="Times New Roman"/>
          <w:bCs/>
          <w:color w:val="000000" w:themeColor="text1"/>
          <w:sz w:val="24"/>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r>
        <w:rPr>
          <w:rFonts w:hint="eastAsia" w:ascii="Times New Roman" w:hAnsi="Times New Roman" w:cs="Times New Roman"/>
          <w:bCs/>
          <w:color w:val="000000" w:themeColor="text1"/>
          <w:sz w:val="24"/>
          <w:szCs w:val="24"/>
        </w:rPr>
        <w:t>5.</w:t>
      </w:r>
      <w:r>
        <w:rPr>
          <w:rFonts w:ascii="Times New Roman" w:hAnsi="Times New Roman" w:cs="Times New Roman"/>
          <w:bCs/>
          <w:color w:val="000000" w:themeColor="text1"/>
          <w:sz w:val="24"/>
          <w:szCs w:val="24"/>
        </w:rPr>
        <w:t>磋商小组决定响应文件的响应性只根据响应文件本身的真实无误的内容，而不依据外部的证据，但响应文件有不真实不正确的内容时除外。</w:t>
      </w:r>
    </w:p>
    <w:p>
      <w:pPr>
        <w:spacing w:line="360" w:lineRule="auto"/>
        <w:rPr>
          <w:rFonts w:ascii="Times New Roman" w:hAnsi="Times New Roman" w:eastAsia="黑体" w:cs="Times New Roman"/>
          <w:bCs/>
          <w:color w:val="000000" w:themeColor="text1"/>
          <w:sz w:val="24"/>
          <w:szCs w:val="24"/>
        </w:rPr>
      </w:pPr>
    </w:p>
    <w:p>
      <w:pPr>
        <w:spacing w:line="360" w:lineRule="auto"/>
        <w:rPr>
          <w:rFonts w:ascii="Times New Roman" w:hAnsi="Times New Roman" w:eastAsia="黑体" w:cs="Times New Roman"/>
          <w:bCs/>
          <w:color w:val="000000" w:themeColor="text1"/>
          <w:sz w:val="24"/>
          <w:szCs w:val="24"/>
        </w:rPr>
      </w:pPr>
      <w:r>
        <w:rPr>
          <w:rFonts w:ascii="Times New Roman" w:hAnsi="Times New Roman" w:eastAsia="黑体" w:cs="Times New Roman"/>
          <w:bCs/>
          <w:color w:val="000000" w:themeColor="text1"/>
          <w:sz w:val="24"/>
          <w:szCs w:val="24"/>
        </w:rPr>
        <w:t>八、确定成交供应商</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r>
        <w:rPr>
          <w:rFonts w:hint="eastAsia" w:ascii="Times New Roman" w:hAnsi="Times New Roman" w:cs="Times New Roman"/>
          <w:bCs/>
          <w:color w:val="000000" w:themeColor="text1"/>
          <w:sz w:val="24"/>
          <w:szCs w:val="24"/>
        </w:rPr>
        <w:t>6</w:t>
      </w:r>
      <w:r>
        <w:rPr>
          <w:rFonts w:ascii="Times New Roman" w:hAnsi="Times New Roman" w:cs="Times New Roman"/>
          <w:bCs/>
          <w:color w:val="000000" w:themeColor="text1"/>
          <w:sz w:val="24"/>
          <w:szCs w:val="24"/>
        </w:rPr>
        <w:t>.磋商小组根据综合评分情况，按照评审得分由高到低顺序推荐3名以上成交候选供应商，并编写评审报告。评审得分相同的，按照最</w:t>
      </w:r>
      <w:r>
        <w:rPr>
          <w:rFonts w:hint="eastAsia" w:ascii="Times New Roman" w:hAnsi="Times New Roman" w:cs="Times New Roman"/>
          <w:bCs/>
          <w:color w:val="000000" w:themeColor="text1"/>
          <w:sz w:val="24"/>
          <w:szCs w:val="24"/>
        </w:rPr>
        <w:t>终</w:t>
      </w:r>
      <w:r>
        <w:rPr>
          <w:rFonts w:ascii="Times New Roman" w:hAnsi="Times New Roman" w:cs="Times New Roman"/>
          <w:bCs/>
          <w:color w:val="000000" w:themeColor="text1"/>
          <w:sz w:val="24"/>
          <w:szCs w:val="24"/>
        </w:rPr>
        <w:t>报价由低到高的顺序推荐。评审得分且最后报价相同的，按照技术指标优劣顺序推荐。</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r>
        <w:rPr>
          <w:rFonts w:hint="eastAsia" w:ascii="Times New Roman" w:hAnsi="Times New Roman" w:cs="Times New Roman"/>
          <w:bCs/>
          <w:color w:val="000000" w:themeColor="text1"/>
          <w:sz w:val="24"/>
          <w:szCs w:val="24"/>
        </w:rPr>
        <w:t>7</w:t>
      </w:r>
      <w:r>
        <w:rPr>
          <w:rFonts w:ascii="Times New Roman" w:hAnsi="Times New Roman" w:cs="Times New Roman"/>
          <w:bCs/>
          <w:color w:val="000000" w:themeColor="text1"/>
          <w:sz w:val="24"/>
          <w:szCs w:val="24"/>
        </w:rPr>
        <w:t>.采购人从评审报告提出的成交候选供应商中，按照排序由高到低的原则确定成交供应商。</w:t>
      </w:r>
    </w:p>
    <w:p>
      <w:pPr>
        <w:spacing w:line="360" w:lineRule="auto"/>
        <w:ind w:left="360" w:hanging="360" w:hangingChars="150"/>
        <w:rPr>
          <w:rFonts w:ascii="Times New Roman" w:hAnsi="Times New Roman" w:cs="Times New Roman"/>
          <w:bCs/>
          <w:color w:val="000000" w:themeColor="text1"/>
          <w:sz w:val="24"/>
          <w:szCs w:val="24"/>
        </w:rPr>
      </w:pPr>
    </w:p>
    <w:p>
      <w:pPr>
        <w:spacing w:line="360" w:lineRule="auto"/>
        <w:rPr>
          <w:rFonts w:ascii="Times New Roman" w:hAnsi="Times New Roman" w:eastAsia="黑体" w:cs="Times New Roman"/>
          <w:bCs/>
          <w:color w:val="000000" w:themeColor="text1"/>
          <w:sz w:val="24"/>
          <w:szCs w:val="24"/>
        </w:rPr>
      </w:pPr>
      <w:r>
        <w:rPr>
          <w:rFonts w:ascii="Times New Roman" w:hAnsi="Times New Roman" w:eastAsia="黑体" w:cs="Times New Roman"/>
          <w:bCs/>
          <w:color w:val="000000" w:themeColor="text1"/>
          <w:sz w:val="24"/>
          <w:szCs w:val="24"/>
        </w:rPr>
        <w:t>九、成交公告和质疑</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r>
        <w:rPr>
          <w:rFonts w:hint="eastAsia" w:ascii="Times New Roman" w:hAnsi="Times New Roman" w:cs="Times New Roman"/>
          <w:bCs/>
          <w:color w:val="000000" w:themeColor="text1"/>
          <w:sz w:val="24"/>
          <w:szCs w:val="24"/>
        </w:rPr>
        <w:t>8</w:t>
      </w:r>
      <w:r>
        <w:rPr>
          <w:rFonts w:ascii="Times New Roman" w:hAnsi="Times New Roman" w:cs="Times New Roman"/>
          <w:bCs/>
          <w:color w:val="000000" w:themeColor="text1"/>
          <w:sz w:val="24"/>
          <w:szCs w:val="24"/>
        </w:rPr>
        <w:t>.</w:t>
      </w:r>
      <w:r>
        <w:rPr>
          <w:rFonts w:hint="eastAsia" w:ascii="Times New Roman" w:hAnsi="Times New Roman" w:cs="Times New Roman"/>
          <w:bCs/>
          <w:color w:val="000000" w:themeColor="text1"/>
          <w:sz w:val="24"/>
          <w:szCs w:val="24"/>
        </w:rPr>
        <w:t>采购代理机构</w:t>
      </w:r>
      <w:r>
        <w:rPr>
          <w:rFonts w:ascii="Times New Roman" w:hAnsi="Times New Roman" w:cs="Times New Roman"/>
          <w:bCs/>
          <w:color w:val="000000" w:themeColor="text1"/>
          <w:sz w:val="24"/>
          <w:szCs w:val="24"/>
        </w:rPr>
        <w:t>在成交供应商确定后，在财政部门指定的媒体上公告成交结果，同时向成交供应商发出成交通知书。公告期为一个工作日。</w:t>
      </w:r>
    </w:p>
    <w:p>
      <w:pPr>
        <w:spacing w:line="360" w:lineRule="auto"/>
        <w:ind w:left="360" w:hanging="360" w:hangingChars="15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r>
        <w:rPr>
          <w:rFonts w:hint="eastAsia" w:ascii="Times New Roman" w:hAnsi="Times New Roman" w:cs="Times New Roman"/>
          <w:bCs/>
          <w:color w:val="000000" w:themeColor="text1"/>
          <w:sz w:val="24"/>
          <w:szCs w:val="24"/>
        </w:rPr>
        <w:t>9</w:t>
      </w:r>
      <w:r>
        <w:rPr>
          <w:rFonts w:ascii="Times New Roman" w:hAnsi="Times New Roman" w:cs="Times New Roman"/>
          <w:bCs/>
          <w:color w:val="000000" w:themeColor="text1"/>
          <w:sz w:val="24"/>
          <w:szCs w:val="24"/>
        </w:rPr>
        <w:t>.相关供应商对成交结果、磋商过程有询问或质疑的，可在公告期届满之日起七个工作日内，依据政府采购相关规定，向</w:t>
      </w:r>
      <w:r>
        <w:rPr>
          <w:rFonts w:hint="eastAsia" w:ascii="Times New Roman" w:hAnsi="Times New Roman" w:cs="Times New Roman"/>
          <w:bCs/>
          <w:color w:val="000000" w:themeColor="text1"/>
          <w:sz w:val="24"/>
          <w:szCs w:val="24"/>
        </w:rPr>
        <w:t>采购人或采购代理机构</w:t>
      </w:r>
      <w:r>
        <w:rPr>
          <w:rFonts w:ascii="Times New Roman" w:hAnsi="Times New Roman" w:cs="Times New Roman"/>
          <w:bCs/>
          <w:color w:val="000000" w:themeColor="text1"/>
          <w:sz w:val="24"/>
          <w:szCs w:val="24"/>
        </w:rPr>
        <w:t>提出询问或质疑，</w:t>
      </w:r>
      <w:r>
        <w:rPr>
          <w:rFonts w:hint="eastAsia" w:ascii="Times New Roman" w:hAnsi="Times New Roman" w:cs="Times New Roman"/>
          <w:bCs/>
          <w:color w:val="000000" w:themeColor="text1"/>
          <w:sz w:val="24"/>
          <w:szCs w:val="24"/>
        </w:rPr>
        <w:t>采购人或采购代理机构</w:t>
      </w:r>
      <w:r>
        <w:rPr>
          <w:rFonts w:ascii="Times New Roman" w:hAnsi="Times New Roman" w:cs="Times New Roman"/>
          <w:bCs/>
          <w:color w:val="000000" w:themeColor="text1"/>
          <w:sz w:val="24"/>
          <w:szCs w:val="24"/>
        </w:rPr>
        <w:t>将按政府采购询问或质疑程序处理。质疑书应当包括下列主要内容：</w:t>
      </w:r>
    </w:p>
    <w:p>
      <w:pPr>
        <w:spacing w:line="360" w:lineRule="auto"/>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29.1</w:t>
      </w:r>
      <w:r>
        <w:rPr>
          <w:rFonts w:ascii="Times New Roman" w:hAnsi="Times New Roman" w:cs="Times New Roman"/>
          <w:color w:val="000000" w:themeColor="text1"/>
          <w:sz w:val="24"/>
          <w:szCs w:val="24"/>
        </w:rPr>
        <w:t>质疑人的名称、地址、电话及联系人（法人或负责人授权代表）等；</w:t>
      </w:r>
    </w:p>
    <w:p>
      <w:pPr>
        <w:spacing w:line="360" w:lineRule="auto"/>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29.</w:t>
      </w:r>
      <w:r>
        <w:rPr>
          <w:rFonts w:ascii="Times New Roman" w:hAnsi="Times New Roman" w:cs="Times New Roman"/>
          <w:color w:val="000000" w:themeColor="text1"/>
          <w:sz w:val="24"/>
          <w:szCs w:val="24"/>
        </w:rPr>
        <w:t>2质疑人法人（负责人）签章和单位公章；</w:t>
      </w:r>
    </w:p>
    <w:p>
      <w:pPr>
        <w:spacing w:line="360" w:lineRule="auto"/>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29.</w:t>
      </w:r>
      <w:r>
        <w:rPr>
          <w:rFonts w:ascii="Times New Roman" w:hAnsi="Times New Roman" w:cs="Times New Roman"/>
          <w:color w:val="000000" w:themeColor="text1"/>
          <w:sz w:val="24"/>
          <w:szCs w:val="24"/>
        </w:rPr>
        <w:t>3具体的质疑事项及事实依据；</w:t>
      </w:r>
    </w:p>
    <w:p>
      <w:pPr>
        <w:spacing w:line="360" w:lineRule="auto"/>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29.</w:t>
      </w:r>
      <w:r>
        <w:rPr>
          <w:rFonts w:ascii="Times New Roman" w:hAnsi="Times New Roman" w:cs="Times New Roman"/>
          <w:color w:val="000000" w:themeColor="text1"/>
          <w:sz w:val="24"/>
          <w:szCs w:val="24"/>
        </w:rPr>
        <w:t>4明确的请求和必要的证明材料；</w:t>
      </w:r>
    </w:p>
    <w:p>
      <w:pPr>
        <w:spacing w:line="360" w:lineRule="auto"/>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29.</w:t>
      </w:r>
      <w:r>
        <w:rPr>
          <w:rFonts w:ascii="Times New Roman" w:hAnsi="Times New Roman" w:cs="Times New Roman"/>
          <w:color w:val="000000" w:themeColor="text1"/>
          <w:sz w:val="24"/>
          <w:szCs w:val="24"/>
        </w:rPr>
        <w:t>5以联合体形式参与磋商的，则必须联合体各方共同签署、盖章；</w:t>
      </w:r>
    </w:p>
    <w:p>
      <w:pPr>
        <w:spacing w:line="360" w:lineRule="auto"/>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29.</w:t>
      </w:r>
      <w:r>
        <w:rPr>
          <w:rFonts w:ascii="Times New Roman" w:hAnsi="Times New Roman" w:cs="Times New Roman"/>
          <w:color w:val="000000" w:themeColor="text1"/>
          <w:sz w:val="24"/>
          <w:szCs w:val="24"/>
        </w:rPr>
        <w:t>6提起质疑的日期。</w:t>
      </w:r>
    </w:p>
    <w:p>
      <w:pPr>
        <w:spacing w:line="360" w:lineRule="auto"/>
        <w:rPr>
          <w:rFonts w:ascii="Times New Roman" w:hAnsi="Times New Roman" w:eastAsia="黑体" w:cs="Times New Roman"/>
          <w:bCs/>
          <w:color w:val="000000" w:themeColor="text1"/>
          <w:sz w:val="24"/>
          <w:szCs w:val="24"/>
        </w:rPr>
      </w:pPr>
    </w:p>
    <w:p>
      <w:pPr>
        <w:spacing w:line="360" w:lineRule="auto"/>
        <w:rPr>
          <w:rFonts w:ascii="Times New Roman" w:hAnsi="Times New Roman" w:eastAsia="黑体" w:cs="Times New Roman"/>
          <w:bCs/>
          <w:color w:val="000000" w:themeColor="text1"/>
          <w:sz w:val="24"/>
          <w:szCs w:val="24"/>
        </w:rPr>
      </w:pPr>
      <w:r>
        <w:rPr>
          <w:rFonts w:ascii="Times New Roman" w:hAnsi="Times New Roman" w:eastAsia="黑体" w:cs="Times New Roman"/>
          <w:bCs/>
          <w:color w:val="000000" w:themeColor="text1"/>
          <w:sz w:val="24"/>
          <w:szCs w:val="24"/>
        </w:rPr>
        <w:t>十、签订合同</w:t>
      </w:r>
    </w:p>
    <w:p>
      <w:pPr>
        <w:adjustRightInd w:val="0"/>
        <w:snapToGrid w:val="0"/>
        <w:spacing w:line="360" w:lineRule="auto"/>
        <w:ind w:left="360" w:hanging="360" w:hangingChars="150"/>
        <w:rPr>
          <w:rFonts w:ascii="Times New Roman" w:hAnsi="Times New Roman" w:cs="Times New Roman"/>
          <w:bCs/>
          <w:color w:val="000000" w:themeColor="text1"/>
          <w:sz w:val="24"/>
          <w:szCs w:val="24"/>
        </w:rPr>
      </w:pPr>
      <w:r>
        <w:rPr>
          <w:rFonts w:hint="eastAsia" w:ascii="Times New Roman" w:hAnsi="Times New Roman" w:cs="Times New Roman"/>
          <w:bCs/>
          <w:color w:val="000000" w:themeColor="text1"/>
          <w:sz w:val="24"/>
          <w:szCs w:val="24"/>
        </w:rPr>
        <w:t>30</w:t>
      </w:r>
      <w:r>
        <w:rPr>
          <w:rFonts w:ascii="Times New Roman" w:hAnsi="Times New Roman" w:cs="Times New Roman"/>
          <w:bCs/>
          <w:color w:val="000000" w:themeColor="text1"/>
          <w:sz w:val="24"/>
          <w:szCs w:val="24"/>
        </w:rPr>
        <w:t>.成交供应商在成交通知书</w:t>
      </w:r>
      <w:r>
        <w:rPr>
          <w:rFonts w:hint="eastAsia" w:ascii="Times New Roman" w:hAnsi="Times New Roman" w:cs="Times New Roman"/>
          <w:bCs/>
          <w:color w:val="000000" w:themeColor="text1"/>
          <w:sz w:val="24"/>
          <w:szCs w:val="24"/>
        </w:rPr>
        <w:t>发出之日起</w:t>
      </w:r>
      <w:r>
        <w:rPr>
          <w:rFonts w:ascii="Times New Roman" w:hAnsi="Times New Roman" w:cs="Times New Roman"/>
          <w:bCs/>
          <w:color w:val="000000" w:themeColor="text1"/>
          <w:sz w:val="24"/>
          <w:szCs w:val="24"/>
        </w:rPr>
        <w:t>，三十日内与采购人签订供货（服务）合同。</w:t>
      </w:r>
    </w:p>
    <w:p>
      <w:pPr>
        <w:spacing w:line="360" w:lineRule="auto"/>
        <w:rPr>
          <w:rFonts w:ascii="Times New Roman" w:hAnsi="Times New Roman" w:cs="Times New Roman"/>
          <w:color w:val="000000" w:themeColor="text1"/>
          <w:sz w:val="24"/>
          <w:szCs w:val="24"/>
        </w:rPr>
      </w:pPr>
    </w:p>
    <w:p>
      <w:pPr>
        <w:spacing w:line="360" w:lineRule="auto"/>
        <w:rPr>
          <w:rFonts w:ascii="Times New Roman" w:hAnsi="Times New Roman" w:eastAsia="黑体" w:cs="Times New Roman"/>
          <w:color w:val="000000" w:themeColor="text1"/>
          <w:sz w:val="24"/>
          <w:szCs w:val="24"/>
        </w:rPr>
      </w:pPr>
      <w:r>
        <w:rPr>
          <w:rFonts w:ascii="Times New Roman" w:hAnsi="Times New Roman" w:eastAsia="黑体" w:cs="Times New Roman"/>
          <w:color w:val="000000" w:themeColor="text1"/>
          <w:sz w:val="24"/>
          <w:szCs w:val="24"/>
        </w:rPr>
        <w:t>十一、付款方式</w:t>
      </w:r>
    </w:p>
    <w:p>
      <w:pPr>
        <w:adjustRightInd w:val="0"/>
        <w:snapToGrid w:val="0"/>
        <w:spacing w:line="360" w:lineRule="auto"/>
        <w:ind w:left="360" w:hanging="360" w:hangingChars="150"/>
        <w:rPr>
          <w:rFonts w:ascii="Times New Roman" w:hAnsi="Times New Roman" w:cs="Times New Roman"/>
          <w:bCs/>
          <w:color w:val="000000" w:themeColor="text1"/>
          <w:sz w:val="24"/>
          <w:szCs w:val="24"/>
        </w:rPr>
      </w:pPr>
      <w:r>
        <w:rPr>
          <w:rFonts w:hint="eastAsia" w:ascii="Times New Roman" w:hAnsi="Times New Roman" w:cs="Times New Roman"/>
          <w:bCs/>
          <w:color w:val="000000" w:themeColor="text1"/>
          <w:sz w:val="24"/>
          <w:szCs w:val="24"/>
        </w:rPr>
        <w:t>31</w:t>
      </w:r>
      <w:r>
        <w:rPr>
          <w:rFonts w:ascii="Times New Roman" w:hAnsi="Times New Roman" w:cs="Times New Roman"/>
          <w:bCs/>
          <w:color w:val="000000" w:themeColor="text1"/>
          <w:sz w:val="24"/>
          <w:szCs w:val="24"/>
        </w:rPr>
        <w:t>.货物（服务）交付验收合格后，采购人办理相应金额的支付手续。</w:t>
      </w:r>
    </w:p>
    <w:p>
      <w:pPr>
        <w:spacing w:line="360" w:lineRule="auto"/>
        <w:rPr>
          <w:rFonts w:ascii="Times New Roman" w:hAnsi="Times New Roman" w:eastAsia="黑体" w:cs="Times New Roman"/>
          <w:bCs/>
          <w:color w:val="000000" w:themeColor="text1"/>
          <w:sz w:val="24"/>
          <w:szCs w:val="24"/>
        </w:rPr>
      </w:pPr>
      <w:r>
        <w:rPr>
          <w:rFonts w:ascii="Times New Roman" w:hAnsi="Times New Roman" w:eastAsia="黑体" w:cs="Times New Roman"/>
          <w:bCs/>
          <w:color w:val="000000" w:themeColor="text1"/>
          <w:sz w:val="24"/>
          <w:szCs w:val="24"/>
        </w:rPr>
        <w:t>十二、适用法律</w:t>
      </w:r>
    </w:p>
    <w:p>
      <w:pPr>
        <w:adjustRightInd w:val="0"/>
        <w:snapToGrid w:val="0"/>
        <w:spacing w:line="360" w:lineRule="auto"/>
        <w:ind w:left="360" w:hanging="360" w:hangingChars="150"/>
        <w:rPr>
          <w:rFonts w:ascii="Times New Roman" w:hAnsi="Times New Roman" w:cs="Times New Roman"/>
          <w:color w:val="000000" w:themeColor="text1"/>
          <w:sz w:val="24"/>
          <w:szCs w:val="24"/>
        </w:rPr>
      </w:pPr>
      <w:r>
        <w:rPr>
          <w:rFonts w:hint="eastAsia" w:ascii="Times New Roman" w:hAnsi="Times New Roman" w:cs="Times New Roman"/>
          <w:bCs/>
          <w:color w:val="000000" w:themeColor="text1"/>
          <w:sz w:val="24"/>
          <w:szCs w:val="24"/>
        </w:rPr>
        <w:t>32</w:t>
      </w:r>
      <w:r>
        <w:rPr>
          <w:rFonts w:ascii="Times New Roman" w:hAnsi="Times New Roman" w:cs="Times New Roman"/>
          <w:bCs/>
          <w:color w:val="000000" w:themeColor="text1"/>
          <w:sz w:val="24"/>
          <w:szCs w:val="24"/>
        </w:rPr>
        <w:t>.采购当事人的一切活动均适用于《中华人民共和国政府采购法》、《中华人民共和国政府采购法实施条例》、《政府采购非招标采购方式管理办法》</w:t>
      </w:r>
      <w:r>
        <w:rPr>
          <w:rFonts w:hint="eastAsia" w:ascii="Times New Roman" w:hAnsi="Times New Roman" w:cs="Times New Roman"/>
          <w:bCs/>
          <w:color w:val="000000" w:themeColor="text1"/>
          <w:sz w:val="24"/>
          <w:szCs w:val="24"/>
        </w:rPr>
        <w:t>、《政府采购竞争性磋商采购方式管理暂行办法》</w:t>
      </w:r>
      <w:r>
        <w:rPr>
          <w:rFonts w:ascii="Times New Roman" w:hAnsi="Times New Roman" w:cs="Times New Roman"/>
          <w:bCs/>
          <w:color w:val="000000" w:themeColor="text1"/>
          <w:sz w:val="24"/>
          <w:szCs w:val="24"/>
        </w:rPr>
        <w:t>及相关法规。</w:t>
      </w:r>
    </w:p>
    <w:p>
      <w:pPr>
        <w:spacing w:line="360" w:lineRule="auto"/>
        <w:jc w:val="center"/>
        <w:rPr>
          <w:rFonts w:ascii="Times New Roman" w:hAnsi="Times New Roman" w:cs="Times New Roman"/>
          <w:b/>
          <w:color w:val="000000" w:themeColor="text1"/>
          <w:sz w:val="24"/>
          <w:szCs w:val="24"/>
          <w:lang w:bidi="ar-EG"/>
        </w:rPr>
        <w:sectPr>
          <w:headerReference r:id="rId6" w:type="default"/>
          <w:pgSz w:w="11906" w:h="16838"/>
          <w:pgMar w:top="1440" w:right="1800" w:bottom="1440" w:left="1800" w:header="851" w:footer="992" w:gutter="0"/>
          <w:cols w:space="425" w:num="1"/>
          <w:docGrid w:type="lines" w:linePitch="312" w:charSpace="0"/>
        </w:sectPr>
      </w:pPr>
    </w:p>
    <w:p>
      <w:pPr>
        <w:spacing w:line="360" w:lineRule="auto"/>
        <w:jc w:val="center"/>
        <w:rPr>
          <w:rFonts w:ascii="Times New Roman" w:hAnsi="Times New Roman" w:cs="Times New Roman"/>
          <w:b/>
          <w:color w:val="000000" w:themeColor="text1"/>
          <w:sz w:val="36"/>
          <w:szCs w:val="36"/>
          <w:lang w:val="hr-HR" w:bidi="ar-EG"/>
        </w:rPr>
      </w:pPr>
      <w:r>
        <w:rPr>
          <w:rFonts w:ascii="Times New Roman" w:hAnsi="Times New Roman" w:cs="Times New Roman"/>
          <w:b/>
          <w:color w:val="000000" w:themeColor="text1"/>
          <w:sz w:val="36"/>
          <w:szCs w:val="36"/>
          <w:lang w:val="hr-HR" w:bidi="ar-EG"/>
        </w:rPr>
        <w:t>第三章  采购</w:t>
      </w:r>
      <w:r>
        <w:rPr>
          <w:rFonts w:ascii="Times New Roman" w:hAnsi="Times New Roman" w:cs="Times New Roman"/>
          <w:b/>
          <w:color w:val="000000" w:themeColor="text1"/>
          <w:sz w:val="36"/>
          <w:szCs w:val="36"/>
        </w:rPr>
        <w:t>货物</w:t>
      </w:r>
      <w:r>
        <w:rPr>
          <w:rFonts w:hint="eastAsia" w:ascii="Times New Roman" w:hAnsi="Times New Roman" w:cs="Times New Roman"/>
          <w:b/>
          <w:color w:val="000000" w:themeColor="text1"/>
          <w:sz w:val="36"/>
          <w:szCs w:val="36"/>
        </w:rPr>
        <w:t>（服务）</w:t>
      </w:r>
      <w:r>
        <w:rPr>
          <w:rFonts w:ascii="Times New Roman" w:hAnsi="Times New Roman" w:cs="Times New Roman"/>
          <w:b/>
          <w:color w:val="000000" w:themeColor="text1"/>
          <w:sz w:val="36"/>
          <w:szCs w:val="36"/>
        </w:rPr>
        <w:t>技术参数、规格及要求</w:t>
      </w:r>
    </w:p>
    <w:p>
      <w:pPr>
        <w:pStyle w:val="78"/>
        <w:spacing w:line="420" w:lineRule="exact"/>
        <w:ind w:firstLine="0" w:firstLineChars="0"/>
        <w:rPr>
          <w:rFonts w:eastAsia="宋体"/>
          <w:color w:val="auto"/>
        </w:rPr>
      </w:pPr>
      <w:r>
        <w:rPr>
          <w:rFonts w:hint="eastAsia" w:cs="Times New Roman"/>
          <w:b/>
          <w:color w:val="auto"/>
          <w:sz w:val="36"/>
          <w:szCs w:val="36"/>
        </w:rPr>
        <w:t>一、设计任务书</w:t>
      </w:r>
    </w:p>
    <w:p>
      <w:pPr>
        <w:pStyle w:val="4"/>
        <w:kinsoku w:val="0"/>
        <w:overflowPunct w:val="0"/>
        <w:spacing w:before="0" w:after="0" w:line="420" w:lineRule="exact"/>
        <w:rPr>
          <w:sz w:val="30"/>
          <w:szCs w:val="30"/>
        </w:rPr>
      </w:pPr>
      <w:bookmarkStart w:id="2" w:name="_Toc338065594"/>
      <w:bookmarkStart w:id="3" w:name="_Toc339378680"/>
      <w:r>
        <w:rPr>
          <w:sz w:val="30"/>
          <w:szCs w:val="30"/>
        </w:rPr>
        <w:t>（一）、</w:t>
      </w:r>
      <w:r>
        <w:rPr>
          <w:spacing w:val="2"/>
          <w:sz w:val="30"/>
          <w:szCs w:val="30"/>
        </w:rPr>
        <w:t>工程</w:t>
      </w:r>
      <w:r>
        <w:rPr>
          <w:sz w:val="30"/>
          <w:szCs w:val="30"/>
        </w:rPr>
        <w:t>概况及目的</w:t>
      </w:r>
    </w:p>
    <w:p>
      <w:pPr>
        <w:spacing w:line="420" w:lineRule="exact"/>
        <w:ind w:firstLine="480"/>
      </w:pPr>
      <w:r>
        <w:rPr>
          <w:rFonts w:hint="eastAsia"/>
        </w:rPr>
        <w:t>2020年4月湖北省住房和城乡建设厅、湖北省生态环境厅和湖北省发展和改革委员会联合下发了《湖北省城镇污水处理提质增效行动实施方案》，其中提到“总体目标是到2020年，全省地级以上城市建成区基本消除黑臭水体，全面完成城市污水处理厂提标改造；到2021年，全省地级以上城市建成区基本无生活污水直排口，基本消除城中村、老旧城区和城乡结合部生活污水收集处理设施空白区，城市生活污水集中收集效能显著提高</w:t>
      </w:r>
    </w:p>
    <w:p>
      <w:pPr>
        <w:spacing w:line="420" w:lineRule="exact"/>
        <w:ind w:firstLine="480"/>
      </w:pPr>
      <w:r>
        <w:rPr>
          <w:rFonts w:hint="eastAsia"/>
        </w:rPr>
        <w:t>阳新县老一中片区现状管网主要为</w:t>
      </w:r>
      <w:r>
        <w:t>合流制，</w:t>
      </w:r>
      <w:r>
        <w:rPr>
          <w:rFonts w:hint="eastAsia"/>
        </w:rPr>
        <w:t>部分区域</w:t>
      </w:r>
      <w:r>
        <w:t>存在独立的雨</w:t>
      </w:r>
      <w:r>
        <w:rPr>
          <w:rFonts w:hint="eastAsia"/>
        </w:rPr>
        <w:t>、</w:t>
      </w:r>
      <w:r>
        <w:t>污水</w:t>
      </w:r>
      <w:r>
        <w:rPr>
          <w:rFonts w:hint="eastAsia"/>
        </w:rPr>
        <w:t>管道</w:t>
      </w:r>
      <w:r>
        <w:t>，</w:t>
      </w:r>
      <w:r>
        <w:rPr>
          <w:rFonts w:hint="eastAsia"/>
        </w:rPr>
        <w:t>但</w:t>
      </w:r>
      <w:r>
        <w:t>周边小区、民房</w:t>
      </w:r>
      <w:r>
        <w:rPr>
          <w:rFonts w:hint="eastAsia"/>
        </w:rPr>
        <w:t>和</w:t>
      </w:r>
      <w:r>
        <w:t>餐饮</w:t>
      </w:r>
      <w:r>
        <w:rPr>
          <w:rFonts w:hint="eastAsia"/>
        </w:rPr>
        <w:t>商铺</w:t>
      </w:r>
      <w:r>
        <w:t>等私自将污水接入雨水管道</w:t>
      </w:r>
      <w:r>
        <w:rPr>
          <w:rFonts w:hint="eastAsia"/>
        </w:rPr>
        <w:t>。老一中片区排水系统的</w:t>
      </w:r>
      <w:r>
        <w:t>排口位于莲花湖边，由于片区内</w:t>
      </w:r>
      <w:r>
        <w:rPr>
          <w:rFonts w:hint="eastAsia"/>
        </w:rPr>
        <w:t>雨污分流不彻底</w:t>
      </w:r>
      <w:r>
        <w:t>，排口混流排入莲花湖内</w:t>
      </w:r>
      <w:r>
        <w:rPr>
          <w:rFonts w:hint="eastAsia"/>
        </w:rPr>
        <w:t>，</w:t>
      </w:r>
      <w:r>
        <w:t>导致排口周边水域呈现令人不悦的颜色和散发令人不适</w:t>
      </w:r>
      <w:r>
        <w:rPr>
          <w:rFonts w:hint="eastAsia"/>
        </w:rPr>
        <w:t>的</w:t>
      </w:r>
      <w:r>
        <w:t>气味，</w:t>
      </w:r>
      <w:r>
        <w:rPr>
          <w:rFonts w:hint="eastAsia"/>
        </w:rPr>
        <w:t>既</w:t>
      </w:r>
      <w:r>
        <w:t>给</w:t>
      </w:r>
      <w:r>
        <w:rPr>
          <w:rFonts w:hint="eastAsia"/>
        </w:rPr>
        <w:t>人们带来</w:t>
      </w:r>
      <w:r>
        <w:t>了极差的感官体验，又严重影响了周边居民的</w:t>
      </w:r>
      <w:r>
        <w:rPr>
          <w:rFonts w:hint="eastAsia"/>
        </w:rPr>
        <w:t>生产</w:t>
      </w:r>
      <w:r>
        <w:t>生活</w:t>
      </w:r>
      <w:r>
        <w:rPr>
          <w:rFonts w:hint="eastAsia"/>
        </w:rPr>
        <w:t>，</w:t>
      </w:r>
      <w:r>
        <w:t>阻碍了</w:t>
      </w:r>
      <w:r>
        <w:rPr>
          <w:rFonts w:hint="eastAsia"/>
        </w:rPr>
        <w:t>区域</w:t>
      </w:r>
      <w:r>
        <w:t>的整体发展。</w:t>
      </w:r>
    </w:p>
    <w:p>
      <w:pPr>
        <w:spacing w:line="420" w:lineRule="exact"/>
        <w:ind w:firstLine="420" w:firstLineChars="200"/>
      </w:pPr>
      <w:r>
        <w:rPr>
          <w:rFonts w:hint="eastAsia"/>
        </w:rPr>
        <w:t>为将阳新县城区城东和老城区管网提质增效及管网改造工程（老一中片区污水收集及马蹄湖截污工程）项目统筹考虑，进行系统合理的建设，有效的管理，解决好城区部分地区雨污水分流及各单项工程的技术衔接等问题，创造良好的生态环境，进行城东和老城区管网提质增效及管网改造工程（老一中片区污水收集及马蹄湖截污工程）项目建设已迫在眉睫。</w:t>
      </w:r>
    </w:p>
    <w:p>
      <w:pPr>
        <w:pStyle w:val="4"/>
        <w:kinsoku w:val="0"/>
        <w:overflowPunct w:val="0"/>
        <w:spacing w:before="0" w:after="0" w:line="420" w:lineRule="exact"/>
        <w:rPr>
          <w:sz w:val="30"/>
          <w:szCs w:val="30"/>
        </w:rPr>
      </w:pPr>
      <w:r>
        <w:rPr>
          <w:sz w:val="30"/>
          <w:szCs w:val="30"/>
        </w:rPr>
        <w:t>（二）、设计依据（不限于下述）</w:t>
      </w:r>
    </w:p>
    <w:p>
      <w:pPr>
        <w:spacing w:line="420" w:lineRule="exact"/>
        <w:ind w:firstLine="480"/>
        <w:rPr>
          <w:rFonts w:ascii="Times New Roman" w:hAnsi="Times New Roman"/>
        </w:rPr>
      </w:pPr>
      <w:r>
        <w:rPr>
          <w:rFonts w:hint="eastAsia" w:ascii="Times New Roman" w:hAnsi="Times New Roman"/>
        </w:rPr>
        <w:t>要求原则上按国家相关规范、标准、规定等进行设计，设计单位应结合我县的实际情况进行设计坐标系依据黄海坐标系、黄石坐标系、西安坐标系。</w:t>
      </w:r>
    </w:p>
    <w:p>
      <w:pPr>
        <w:spacing w:line="420" w:lineRule="exact"/>
        <w:ind w:firstLine="480"/>
        <w:rPr>
          <w:rFonts w:ascii="Times New Roman" w:hAnsi="Times New Roman"/>
        </w:rPr>
      </w:pPr>
      <w:r>
        <w:rPr>
          <w:rFonts w:hint="eastAsia" w:ascii="Times New Roman" w:hAnsi="Times New Roman"/>
        </w:rPr>
        <w:t>设计编制深度需满足：</w:t>
      </w:r>
    </w:p>
    <w:p>
      <w:pPr>
        <w:spacing w:line="420" w:lineRule="exact"/>
        <w:ind w:firstLine="420" w:firstLineChars="200"/>
        <w:rPr>
          <w:rFonts w:ascii="Times New Roman" w:hAnsi="Times New Roman"/>
        </w:rPr>
      </w:pPr>
      <w:r>
        <w:rPr>
          <w:rFonts w:hint="eastAsia" w:ascii="Times New Roman" w:hAnsi="Times New Roman"/>
        </w:rPr>
        <w:t>1、《室外排水设计标准（GB50014-2021）》</w:t>
      </w:r>
    </w:p>
    <w:p>
      <w:pPr>
        <w:spacing w:line="420" w:lineRule="exact"/>
        <w:ind w:firstLine="420" w:firstLineChars="200"/>
        <w:rPr>
          <w:rFonts w:ascii="Times New Roman" w:hAnsi="Times New Roman"/>
        </w:rPr>
      </w:pPr>
      <w:r>
        <w:rPr>
          <w:rFonts w:hint="eastAsia" w:ascii="Times New Roman" w:hAnsi="Times New Roman"/>
        </w:rPr>
        <w:t>2、《室外给水设计标准》（GB50013-2018）</w:t>
      </w:r>
    </w:p>
    <w:p>
      <w:pPr>
        <w:spacing w:line="420" w:lineRule="exact"/>
        <w:ind w:firstLine="420" w:firstLineChars="200"/>
        <w:rPr>
          <w:rFonts w:ascii="Times New Roman" w:hAnsi="Times New Roman"/>
        </w:rPr>
      </w:pPr>
      <w:r>
        <w:rPr>
          <w:rFonts w:hint="eastAsia" w:ascii="Times New Roman" w:hAnsi="Times New Roman"/>
        </w:rPr>
        <w:t>3、《城市排水工程规划规范（GB50318-2016）》</w:t>
      </w:r>
    </w:p>
    <w:p>
      <w:pPr>
        <w:spacing w:line="420" w:lineRule="exact"/>
        <w:ind w:firstLine="420" w:firstLineChars="200"/>
        <w:rPr>
          <w:rFonts w:ascii="Times New Roman" w:hAnsi="Times New Roman"/>
        </w:rPr>
      </w:pPr>
      <w:r>
        <w:rPr>
          <w:rFonts w:hint="eastAsia" w:ascii="Times New Roman" w:hAnsi="Times New Roman"/>
        </w:rPr>
        <w:t>4、《水污染防治行动计划》</w:t>
      </w:r>
    </w:p>
    <w:p>
      <w:pPr>
        <w:spacing w:line="420" w:lineRule="exact"/>
        <w:ind w:firstLine="420" w:firstLineChars="200"/>
        <w:rPr>
          <w:rFonts w:ascii="Times New Roman" w:hAnsi="Times New Roman"/>
        </w:rPr>
      </w:pPr>
      <w:r>
        <w:rPr>
          <w:rFonts w:hint="eastAsia" w:ascii="Times New Roman" w:hAnsi="Times New Roman"/>
        </w:rPr>
        <w:t>5、《地表水环境质量标准》</w:t>
      </w:r>
    </w:p>
    <w:p>
      <w:pPr>
        <w:spacing w:line="420" w:lineRule="exact"/>
        <w:ind w:firstLine="420" w:firstLineChars="200"/>
        <w:rPr>
          <w:rFonts w:ascii="Times New Roman" w:hAnsi="Times New Roman"/>
        </w:rPr>
      </w:pPr>
      <w:r>
        <w:rPr>
          <w:rFonts w:hint="eastAsia" w:ascii="Times New Roman" w:hAnsi="Times New Roman"/>
        </w:rPr>
        <w:t>6、《污水排入城镇下水道水质标准》（GB/T 31962-2015）</w:t>
      </w:r>
    </w:p>
    <w:p>
      <w:pPr>
        <w:spacing w:line="420" w:lineRule="exact"/>
        <w:ind w:firstLine="420" w:firstLineChars="200"/>
        <w:rPr>
          <w:rFonts w:ascii="Times New Roman" w:hAnsi="Times New Roman"/>
        </w:rPr>
      </w:pPr>
      <w:r>
        <w:rPr>
          <w:rFonts w:hint="eastAsia" w:ascii="Times New Roman" w:hAnsi="Times New Roman"/>
        </w:rPr>
        <w:t>7、《给水排水工程管道结构设计规范》（GB 50332-2002）</w:t>
      </w:r>
    </w:p>
    <w:p>
      <w:pPr>
        <w:spacing w:line="420" w:lineRule="exact"/>
        <w:ind w:firstLine="420" w:firstLineChars="200"/>
        <w:rPr>
          <w:rFonts w:ascii="Times New Roman" w:hAnsi="Times New Roman"/>
        </w:rPr>
      </w:pPr>
      <w:r>
        <w:rPr>
          <w:rFonts w:hint="eastAsia" w:ascii="Times New Roman" w:hAnsi="Times New Roman"/>
        </w:rPr>
        <w:t>8、《给水排水工程构筑物结构设计规范》（GB 50069-2002）</w:t>
      </w:r>
    </w:p>
    <w:p>
      <w:pPr>
        <w:spacing w:line="420" w:lineRule="exact"/>
        <w:ind w:firstLine="420" w:firstLineChars="200"/>
        <w:rPr>
          <w:rFonts w:ascii="Times New Roman" w:hAnsi="Times New Roman"/>
        </w:rPr>
      </w:pPr>
      <w:r>
        <w:rPr>
          <w:rFonts w:hint="eastAsia" w:ascii="Times New Roman" w:hAnsi="Times New Roman"/>
        </w:rPr>
        <w:t>9、《中华人民共和国环境保护法》</w:t>
      </w:r>
    </w:p>
    <w:p>
      <w:pPr>
        <w:spacing w:line="420" w:lineRule="exact"/>
        <w:ind w:firstLine="420" w:firstLineChars="200"/>
        <w:rPr>
          <w:rFonts w:ascii="Times New Roman" w:hAnsi="Times New Roman"/>
        </w:rPr>
      </w:pPr>
      <w:r>
        <w:rPr>
          <w:rFonts w:hint="eastAsia" w:ascii="Times New Roman" w:hAnsi="Times New Roman"/>
        </w:rPr>
        <w:t>10、《中华人民共和国水污染防治法》</w:t>
      </w:r>
    </w:p>
    <w:p>
      <w:pPr>
        <w:spacing w:line="420" w:lineRule="exact"/>
        <w:ind w:firstLine="420" w:firstLineChars="200"/>
        <w:rPr>
          <w:rFonts w:ascii="Times New Roman" w:hAnsi="Times New Roman"/>
        </w:rPr>
      </w:pPr>
      <w:r>
        <w:rPr>
          <w:rFonts w:hint="eastAsia" w:ascii="Times New Roman" w:hAnsi="Times New Roman"/>
        </w:rPr>
        <w:t>11、《中华人民共和国固体废弃物污染环境保护法》</w:t>
      </w:r>
    </w:p>
    <w:p>
      <w:pPr>
        <w:spacing w:line="420" w:lineRule="exact"/>
        <w:ind w:firstLine="420" w:firstLineChars="200"/>
        <w:rPr>
          <w:rFonts w:ascii="Times New Roman" w:hAnsi="Times New Roman"/>
        </w:rPr>
      </w:pPr>
      <w:r>
        <w:rPr>
          <w:rFonts w:hint="eastAsia" w:ascii="Times New Roman" w:hAnsi="Times New Roman"/>
        </w:rPr>
        <w:t>12、《中华人民共和国大气污染防治法》</w:t>
      </w:r>
    </w:p>
    <w:p>
      <w:pPr>
        <w:spacing w:line="420" w:lineRule="exact"/>
        <w:ind w:firstLine="420" w:firstLineChars="200"/>
        <w:rPr>
          <w:rFonts w:ascii="Times New Roman" w:hAnsi="Times New Roman"/>
          <w:sz w:val="18"/>
          <w:szCs w:val="18"/>
        </w:rPr>
      </w:pPr>
      <w:r>
        <w:rPr>
          <w:rFonts w:hint="eastAsia" w:ascii="Times New Roman" w:hAnsi="Times New Roman"/>
        </w:rPr>
        <w:t>13、《市政公用工程设计文件编制深度规定》（2017 版） 等以及湖北省等相关法律法规及标准的要求。</w:t>
      </w:r>
    </w:p>
    <w:p>
      <w:pPr>
        <w:pStyle w:val="4"/>
        <w:kinsoku w:val="0"/>
        <w:overflowPunct w:val="0"/>
        <w:spacing w:before="0" w:after="0" w:line="420" w:lineRule="exact"/>
        <w:rPr>
          <w:sz w:val="30"/>
          <w:szCs w:val="30"/>
        </w:rPr>
      </w:pPr>
      <w:r>
        <w:rPr>
          <w:sz w:val="30"/>
          <w:szCs w:val="30"/>
        </w:rPr>
        <w:t>（三）、设计范围</w:t>
      </w:r>
    </w:p>
    <w:p>
      <w:pPr>
        <w:spacing w:line="420" w:lineRule="exact"/>
        <w:rPr>
          <w:rFonts w:ascii="Times New Roman" w:hAnsi="Times New Roman"/>
          <w:color w:val="0000FF"/>
        </w:rPr>
      </w:pPr>
      <w:r>
        <w:rPr>
          <w:rFonts w:hint="eastAsia"/>
        </w:rPr>
        <w:t>工程范围考虑范围覆盖面积约1</w:t>
      </w:r>
      <w:r>
        <w:t>20</w:t>
      </w:r>
      <w:r>
        <w:rPr>
          <w:rFonts w:hint="eastAsia"/>
        </w:rPr>
        <w:t>公顷，具体范围为</w:t>
      </w:r>
      <w:r>
        <w:t>西至</w:t>
      </w:r>
      <w:r>
        <w:rPr>
          <w:rFonts w:hint="eastAsia"/>
        </w:rPr>
        <w:t>银山</w:t>
      </w:r>
      <w:r>
        <w:t>大道-</w:t>
      </w:r>
      <w:r>
        <w:rPr>
          <w:rFonts w:hint="eastAsia"/>
        </w:rPr>
        <w:t>莲花湖大道</w:t>
      </w:r>
      <w:r>
        <w:t>连线路段；北至</w:t>
      </w:r>
      <w:r>
        <w:rPr>
          <w:rFonts w:hint="eastAsia"/>
        </w:rPr>
        <w:t>阳新</w:t>
      </w:r>
      <w:r>
        <w:t>大道；东至</w:t>
      </w:r>
      <w:r>
        <w:rPr>
          <w:rFonts w:hint="eastAsia"/>
        </w:rPr>
        <w:t>杨家湾</w:t>
      </w:r>
      <w:r>
        <w:t>路</w:t>
      </w:r>
      <w:r>
        <w:rPr>
          <w:rFonts w:hint="eastAsia"/>
        </w:rPr>
        <w:t>；</w:t>
      </w:r>
      <w:r>
        <w:t>南至湖滨路</w:t>
      </w:r>
      <w:r>
        <w:rPr>
          <w:rFonts w:hint="eastAsia"/>
        </w:rPr>
        <w:t>等。</w:t>
      </w:r>
    </w:p>
    <w:p>
      <w:pPr>
        <w:pStyle w:val="4"/>
        <w:kinsoku w:val="0"/>
        <w:overflowPunct w:val="0"/>
        <w:spacing w:before="0" w:after="0" w:line="420" w:lineRule="exact"/>
        <w:rPr>
          <w:sz w:val="30"/>
          <w:szCs w:val="30"/>
        </w:rPr>
      </w:pPr>
      <w:r>
        <w:rPr>
          <w:sz w:val="30"/>
          <w:szCs w:val="30"/>
        </w:rPr>
        <w:t>（四）、设计内容</w:t>
      </w:r>
    </w:p>
    <w:p>
      <w:pPr>
        <w:spacing w:line="420" w:lineRule="exact"/>
        <w:ind w:firstLine="480"/>
        <w:jc w:val="left"/>
        <w:rPr>
          <w:rFonts w:cs="Times New Roman"/>
          <w:szCs w:val="24"/>
        </w:rPr>
      </w:pPr>
      <w:r>
        <w:rPr>
          <w:rFonts w:cs="Times New Roman"/>
          <w:szCs w:val="24"/>
        </w:rPr>
        <w:t>根据阳新县总体规划及排水规划，本次</w:t>
      </w:r>
      <w:r>
        <w:rPr>
          <w:rFonts w:hint="eastAsia" w:cs="Times New Roman"/>
          <w:szCs w:val="24"/>
        </w:rPr>
        <w:t>初设</w:t>
      </w:r>
      <w:r>
        <w:rPr>
          <w:rFonts w:cs="Times New Roman"/>
          <w:szCs w:val="24"/>
        </w:rPr>
        <w:t>对本项目工程涉及的范围进行了实地考察，将包括概述、城市概况、项目建设的必要性、排水管网设计、管网排查整治、实施计划、环境保护、安全生产、节能、投资估算、环境社会效益评价、结论等内容。</w:t>
      </w:r>
    </w:p>
    <w:p>
      <w:pPr>
        <w:pStyle w:val="4"/>
        <w:kinsoku w:val="0"/>
        <w:overflowPunct w:val="0"/>
        <w:spacing w:before="0" w:after="0" w:line="420" w:lineRule="exact"/>
        <w:rPr>
          <w:sz w:val="30"/>
          <w:szCs w:val="30"/>
        </w:rPr>
      </w:pPr>
      <w:r>
        <w:rPr>
          <w:sz w:val="30"/>
          <w:szCs w:val="30"/>
        </w:rPr>
        <w:t>（五）、主要设计图纸</w:t>
      </w:r>
    </w:p>
    <w:p>
      <w:pPr>
        <w:spacing w:line="420" w:lineRule="exact"/>
        <w:ind w:firstLine="480"/>
        <w:jc w:val="left"/>
        <w:rPr>
          <w:rFonts w:ascii="Times New Roman" w:hAnsi="Times New Roman" w:cs="Times New Roman"/>
          <w:szCs w:val="24"/>
        </w:rPr>
      </w:pPr>
      <w:r>
        <w:rPr>
          <w:rFonts w:hint="eastAsia" w:ascii="Times New Roman" w:hAnsi="Times New Roman" w:cs="Times New Roman"/>
          <w:szCs w:val="24"/>
        </w:rPr>
        <w:t>本次设计的成果包括设计图纸和设计说明。成果的表达清晰、准确、规范，成果文件以书面 和电子文件两种方式表达。</w:t>
      </w:r>
    </w:p>
    <w:p>
      <w:pPr>
        <w:spacing w:line="420" w:lineRule="exact"/>
        <w:ind w:firstLine="480"/>
        <w:jc w:val="left"/>
        <w:rPr>
          <w:rFonts w:ascii="Times New Roman" w:hAnsi="Times New Roman" w:cs="Times New Roman"/>
          <w:szCs w:val="24"/>
        </w:rPr>
      </w:pPr>
      <w:r>
        <w:rPr>
          <w:rFonts w:hint="eastAsia" w:ascii="Times New Roman" w:hAnsi="Times New Roman" w:cs="Times New Roman"/>
          <w:szCs w:val="24"/>
        </w:rPr>
        <w:t>包括以下内容可研文本说明、排水系统图、排水平面布置图、排水纵断面图、工程量表及材料表等。</w:t>
      </w:r>
    </w:p>
    <w:p>
      <w:pPr>
        <w:pStyle w:val="4"/>
        <w:kinsoku w:val="0"/>
        <w:overflowPunct w:val="0"/>
        <w:spacing w:before="0" w:after="0" w:line="420" w:lineRule="exact"/>
        <w:rPr>
          <w:sz w:val="30"/>
          <w:szCs w:val="30"/>
        </w:rPr>
      </w:pPr>
      <w:r>
        <w:rPr>
          <w:sz w:val="30"/>
          <w:szCs w:val="30"/>
        </w:rPr>
        <w:t>（六）、成果要求</w:t>
      </w:r>
    </w:p>
    <w:p>
      <w:pPr>
        <w:spacing w:line="420" w:lineRule="exact"/>
        <w:ind w:firstLine="480"/>
        <w:jc w:val="left"/>
        <w:rPr>
          <w:rFonts w:ascii="Times New Roman" w:hAnsi="Times New Roman" w:cs="Times New Roman"/>
          <w:szCs w:val="24"/>
        </w:rPr>
      </w:pPr>
      <w:r>
        <w:rPr>
          <w:rFonts w:hint="eastAsia" w:ascii="Times New Roman" w:hAnsi="Times New Roman" w:cs="Times New Roman"/>
          <w:szCs w:val="24"/>
        </w:rPr>
        <w:t>（1）设计成果为图纸。</w:t>
      </w:r>
    </w:p>
    <w:p>
      <w:pPr>
        <w:spacing w:line="420" w:lineRule="exact"/>
        <w:ind w:firstLine="480"/>
        <w:jc w:val="left"/>
        <w:rPr>
          <w:rFonts w:ascii="Times New Roman" w:hAnsi="Times New Roman" w:cs="Times New Roman"/>
          <w:szCs w:val="24"/>
        </w:rPr>
      </w:pPr>
      <w:r>
        <w:rPr>
          <w:rFonts w:hint="eastAsia" w:ascii="Times New Roman" w:hAnsi="Times New Roman" w:cs="Times New Roman"/>
          <w:szCs w:val="24"/>
        </w:rPr>
        <w:t>（2）设计成果文件 装订 6 套、电子光盘 2 份，多媒体演示文件 1 份（电子版）。（中间成果可商委托方酌情减少）</w:t>
      </w:r>
    </w:p>
    <w:p>
      <w:pPr>
        <w:spacing w:line="420" w:lineRule="exact"/>
        <w:ind w:firstLine="480"/>
        <w:jc w:val="left"/>
        <w:rPr>
          <w:rFonts w:ascii="Times New Roman" w:hAnsi="Times New Roman" w:eastAsia="宋体" w:cs="Times New Roman"/>
          <w:szCs w:val="24"/>
        </w:rPr>
      </w:pPr>
      <w:r>
        <w:rPr>
          <w:rFonts w:hint="eastAsia" w:ascii="Times New Roman" w:hAnsi="Times New Roman" w:cs="Times New Roman"/>
          <w:szCs w:val="24"/>
        </w:rPr>
        <w:t>（3）图纸提供 dwg 和 PDF 两种格式，成果数据应符合阳新县相关规划的规定。</w:t>
      </w:r>
    </w:p>
    <w:p>
      <w:pPr>
        <w:pStyle w:val="3"/>
        <w:spacing w:before="0" w:after="0" w:line="420" w:lineRule="exact"/>
        <w:jc w:val="left"/>
        <w:rPr>
          <w:rFonts w:ascii="宋体" w:hAnsi="宋体"/>
          <w:bCs w:val="0"/>
          <w:sz w:val="30"/>
          <w:szCs w:val="30"/>
          <w:lang w:val="zh-CN"/>
        </w:rPr>
      </w:pPr>
      <w:bookmarkStart w:id="4" w:name="_Toc495861534"/>
      <w:bookmarkStart w:id="5" w:name="_Toc494561953"/>
      <w:r>
        <w:rPr>
          <w:rFonts w:hint="eastAsia" w:ascii="宋体" w:hAnsi="宋体"/>
          <w:bCs w:val="0"/>
          <w:sz w:val="30"/>
          <w:szCs w:val="30"/>
          <w:lang w:val="zh-CN"/>
        </w:rPr>
        <w:t>二、概述及简介</w:t>
      </w:r>
      <w:bookmarkEnd w:id="4"/>
      <w:bookmarkEnd w:id="5"/>
      <w:bookmarkStart w:id="6" w:name="_Toc494561954"/>
      <w:bookmarkStart w:id="7" w:name="_Toc495861535"/>
    </w:p>
    <w:p>
      <w:pPr>
        <w:spacing w:line="420" w:lineRule="exact"/>
        <w:ind w:firstLine="475" w:firstLineChars="198"/>
        <w:rPr>
          <w:rFonts w:ascii="宋体" w:hAnsi="宋体" w:eastAsia="宋体" w:cs="Helvetica"/>
          <w:color w:val="0000FF"/>
          <w:kern w:val="0"/>
          <w:sz w:val="24"/>
          <w:szCs w:val="24"/>
        </w:rPr>
      </w:pPr>
      <w:r>
        <w:rPr>
          <w:rFonts w:hint="eastAsia" w:ascii="宋体" w:hAnsi="宋体" w:eastAsia="宋体" w:cs="Helvetica"/>
          <w:kern w:val="0"/>
          <w:sz w:val="24"/>
          <w:szCs w:val="24"/>
        </w:rPr>
        <w:t>项目名称：</w:t>
      </w:r>
      <w:r>
        <w:rPr>
          <w:rFonts w:hint="eastAsia"/>
        </w:rPr>
        <w:t>城东和老城区管网提质增效及管网改造工程（老一中片区污水收集及马蹄湖截污工程）设计项目</w:t>
      </w:r>
    </w:p>
    <w:p>
      <w:pPr>
        <w:spacing w:line="420" w:lineRule="exact"/>
        <w:ind w:firstLine="475" w:firstLineChars="198"/>
        <w:rPr>
          <w:rFonts w:ascii="宋体" w:hAnsi="宋体" w:eastAsia="宋体" w:cs="Helvetica"/>
          <w:kern w:val="0"/>
          <w:sz w:val="24"/>
          <w:szCs w:val="24"/>
        </w:rPr>
      </w:pPr>
      <w:r>
        <w:rPr>
          <w:rFonts w:hint="eastAsia" w:ascii="宋体" w:hAnsi="宋体" w:eastAsia="宋体" w:cs="Helvetica"/>
          <w:kern w:val="0"/>
          <w:sz w:val="24"/>
          <w:szCs w:val="24"/>
        </w:rPr>
        <w:t>建设地点：湖北省阳新县</w:t>
      </w:r>
    </w:p>
    <w:p>
      <w:pPr>
        <w:spacing w:line="420" w:lineRule="exact"/>
        <w:ind w:firstLine="475" w:firstLineChars="198"/>
        <w:rPr>
          <w:rFonts w:ascii="宋体" w:hAnsi="宋体" w:eastAsia="宋体" w:cs="Helvetica"/>
          <w:kern w:val="0"/>
          <w:sz w:val="24"/>
          <w:szCs w:val="24"/>
        </w:rPr>
      </w:pPr>
      <w:r>
        <w:rPr>
          <w:rFonts w:hint="eastAsia" w:ascii="宋体" w:hAnsi="宋体" w:eastAsia="宋体" w:cs="Helvetica"/>
          <w:kern w:val="0"/>
          <w:sz w:val="24"/>
          <w:szCs w:val="24"/>
        </w:rPr>
        <w:t>建设单位：阳新县住房和城乡建设局</w:t>
      </w:r>
    </w:p>
    <w:p>
      <w:pPr>
        <w:spacing w:line="420" w:lineRule="exact"/>
        <w:ind w:firstLine="475" w:firstLineChars="198"/>
        <w:rPr>
          <w:rFonts w:ascii="宋体" w:hAnsi="宋体" w:eastAsia="宋体" w:cs="Helvetica"/>
          <w:color w:val="0000FF"/>
          <w:kern w:val="0"/>
          <w:sz w:val="24"/>
          <w:szCs w:val="24"/>
        </w:rPr>
      </w:pPr>
      <w:r>
        <w:rPr>
          <w:rFonts w:hint="eastAsia" w:ascii="宋体" w:hAnsi="宋体" w:eastAsia="宋体" w:cs="Helvetica"/>
          <w:kern w:val="0"/>
          <w:sz w:val="24"/>
          <w:szCs w:val="24"/>
        </w:rPr>
        <w:t>总投资：项目总投资10447.68万元。</w:t>
      </w:r>
    </w:p>
    <w:p>
      <w:pPr>
        <w:spacing w:line="420" w:lineRule="exact"/>
        <w:ind w:firstLine="475" w:firstLineChars="198"/>
        <w:rPr>
          <w:rFonts w:ascii="宋体" w:hAnsi="宋体" w:eastAsia="宋体" w:cs="Helvetica"/>
          <w:kern w:val="0"/>
          <w:sz w:val="24"/>
          <w:szCs w:val="24"/>
        </w:rPr>
      </w:pPr>
      <w:r>
        <w:rPr>
          <w:rFonts w:hint="eastAsia" w:ascii="宋体" w:hAnsi="宋体" w:eastAsia="宋体" w:cs="Helvetica"/>
          <w:kern w:val="0"/>
          <w:sz w:val="24"/>
          <w:szCs w:val="24"/>
        </w:rPr>
        <w:t>近几年，由于城市基础设施建设未能与经济协同发展，城市排水系统建设不完善，管理不到位，全国许多地区内涝频发，人民群众的健康和生命安全都受到了严重的威胁。国家各级政府都高度关注城市内涝问题，国务院、住建部、省住建厅等政府部门都发布了相关文件，旨在系统性、合理性、有效性地解决这些问题。</w:t>
      </w:r>
    </w:p>
    <w:p>
      <w:pPr>
        <w:spacing w:line="420" w:lineRule="exact"/>
        <w:ind w:firstLine="475" w:firstLineChars="198"/>
        <w:rPr>
          <w:rFonts w:ascii="宋体" w:hAnsi="宋体" w:eastAsia="宋体" w:cs="Helvetica"/>
          <w:kern w:val="0"/>
          <w:sz w:val="24"/>
          <w:szCs w:val="24"/>
        </w:rPr>
      </w:pPr>
      <w:r>
        <w:rPr>
          <w:rFonts w:hint="eastAsia" w:ascii="宋体" w:hAnsi="宋体" w:eastAsia="宋体" w:cs="Helvetica"/>
          <w:kern w:val="0"/>
          <w:sz w:val="24"/>
          <w:szCs w:val="24"/>
        </w:rPr>
        <w:t>为将阳新县城区城东和老城区管网提质增效及管网改造工程（老一中片区污水收集及马蹄湖截污工程）项目统筹考虑，进行系统合理的建设，有效的管理，解决好城区部分地区雨污水分流及各单项工程的技术衔接等问题，创造良好的生态环境，进行城东和老城区管网提质增效及管网改造工程（老一中片区污水收集及马蹄湖截污工程）项目建设已迫在眉睫。</w:t>
      </w:r>
    </w:p>
    <w:p>
      <w:pPr>
        <w:pStyle w:val="3"/>
        <w:spacing w:before="0" w:after="0" w:line="420" w:lineRule="exact"/>
        <w:jc w:val="left"/>
        <w:rPr>
          <w:rFonts w:ascii="宋体" w:hAnsi="宋体"/>
          <w:bCs w:val="0"/>
          <w:sz w:val="30"/>
          <w:szCs w:val="30"/>
          <w:lang w:val="zh-CN"/>
        </w:rPr>
      </w:pPr>
      <w:r>
        <w:rPr>
          <w:rFonts w:hint="eastAsia" w:ascii="宋体" w:hAnsi="宋体"/>
          <w:bCs w:val="0"/>
          <w:sz w:val="30"/>
          <w:szCs w:val="30"/>
          <w:lang w:val="zh-CN"/>
        </w:rPr>
        <w:t>三、国家相关行政主管部门颁布的强制标准、规范</w:t>
      </w:r>
      <w:bookmarkEnd w:id="6"/>
      <w:bookmarkEnd w:id="7"/>
    </w:p>
    <w:p>
      <w:pPr>
        <w:spacing w:line="420" w:lineRule="exact"/>
        <w:ind w:firstLine="475" w:firstLineChars="198"/>
        <w:rPr>
          <w:rFonts w:ascii="宋体" w:hAnsi="宋体" w:eastAsia="宋体" w:cs="Helvetica"/>
          <w:kern w:val="0"/>
          <w:sz w:val="24"/>
          <w:szCs w:val="24"/>
        </w:rPr>
      </w:pPr>
      <w:r>
        <w:rPr>
          <w:rFonts w:ascii="Helvetica" w:hAnsi="Helvetica" w:cs="Helvetica"/>
          <w:kern w:val="0"/>
          <w:sz w:val="24"/>
          <w:szCs w:val="24"/>
        </w:rPr>
        <w:t>采购</w:t>
      </w:r>
      <w:r>
        <w:rPr>
          <w:rFonts w:hint="eastAsia" w:ascii="Helvetica" w:hAnsi="Helvetica" w:cs="Helvetica"/>
          <w:kern w:val="0"/>
          <w:sz w:val="24"/>
          <w:szCs w:val="24"/>
        </w:rPr>
        <w:t>内容</w:t>
      </w:r>
      <w:r>
        <w:rPr>
          <w:rFonts w:ascii="Helvetica" w:hAnsi="Helvetica" w:cs="Helvetica"/>
          <w:kern w:val="0"/>
          <w:sz w:val="24"/>
          <w:szCs w:val="24"/>
        </w:rPr>
        <w:t>需执行的国家相关标准、行业标准、地方标准或者其他标准、规范</w:t>
      </w:r>
      <w:r>
        <w:rPr>
          <w:rFonts w:hint="eastAsia" w:ascii="Helvetica" w:hAnsi="Helvetica" w:cs="Helvetica"/>
          <w:kern w:val="0"/>
          <w:sz w:val="24"/>
          <w:szCs w:val="24"/>
        </w:rPr>
        <w:t>（包括不限于）</w:t>
      </w:r>
    </w:p>
    <w:p>
      <w:pPr>
        <w:pStyle w:val="78"/>
        <w:spacing w:line="420" w:lineRule="exact"/>
        <w:rPr>
          <w:color w:val="0000FF"/>
        </w:rPr>
      </w:pPr>
      <w:r>
        <w:rPr>
          <w:rFonts w:hint="eastAsia"/>
          <w:color w:val="auto"/>
        </w:rPr>
        <w:t>设计编制深度需满足：</w:t>
      </w:r>
    </w:p>
    <w:p>
      <w:pPr>
        <w:spacing w:line="420" w:lineRule="exact"/>
        <w:ind w:firstLine="480" w:firstLineChars="200"/>
        <w:rPr>
          <w:rFonts w:ascii="Times New Roman" w:hAnsi="Times New Roman"/>
          <w:sz w:val="24"/>
          <w:szCs w:val="24"/>
        </w:rPr>
      </w:pPr>
      <w:r>
        <w:rPr>
          <w:rFonts w:hint="eastAsia" w:ascii="Times New Roman" w:hAnsi="Times New Roman"/>
          <w:sz w:val="24"/>
          <w:szCs w:val="24"/>
        </w:rPr>
        <w:t>1、《室外排水设计标准（GB50014-2021）》</w:t>
      </w:r>
    </w:p>
    <w:p>
      <w:pPr>
        <w:spacing w:line="420" w:lineRule="exact"/>
        <w:ind w:firstLine="480" w:firstLineChars="200"/>
        <w:rPr>
          <w:rFonts w:ascii="Times New Roman" w:hAnsi="Times New Roman"/>
          <w:sz w:val="24"/>
          <w:szCs w:val="24"/>
        </w:rPr>
      </w:pPr>
      <w:r>
        <w:rPr>
          <w:rFonts w:hint="eastAsia" w:ascii="Times New Roman" w:hAnsi="Times New Roman"/>
          <w:sz w:val="24"/>
          <w:szCs w:val="24"/>
        </w:rPr>
        <w:t>2、《室外给水设计标准》（GB50013-2018）</w:t>
      </w:r>
    </w:p>
    <w:p>
      <w:pPr>
        <w:spacing w:line="420" w:lineRule="exact"/>
        <w:ind w:firstLine="480" w:firstLineChars="200"/>
        <w:rPr>
          <w:rFonts w:ascii="Times New Roman" w:hAnsi="Times New Roman"/>
          <w:sz w:val="24"/>
          <w:szCs w:val="24"/>
        </w:rPr>
      </w:pPr>
      <w:r>
        <w:rPr>
          <w:rFonts w:hint="eastAsia" w:ascii="Times New Roman" w:hAnsi="Times New Roman"/>
          <w:sz w:val="24"/>
          <w:szCs w:val="24"/>
        </w:rPr>
        <w:t>3、《城市排水工程规划规范（GB50318-2016）》</w:t>
      </w:r>
    </w:p>
    <w:p>
      <w:pPr>
        <w:spacing w:line="420" w:lineRule="exact"/>
        <w:ind w:firstLine="480" w:firstLineChars="200"/>
        <w:rPr>
          <w:rFonts w:ascii="Times New Roman" w:hAnsi="Times New Roman"/>
          <w:sz w:val="24"/>
          <w:szCs w:val="24"/>
        </w:rPr>
      </w:pPr>
      <w:r>
        <w:rPr>
          <w:rFonts w:hint="eastAsia" w:ascii="Times New Roman" w:hAnsi="Times New Roman"/>
          <w:sz w:val="24"/>
          <w:szCs w:val="24"/>
        </w:rPr>
        <w:t>4、《水污染防治行动计划》</w:t>
      </w:r>
    </w:p>
    <w:p>
      <w:pPr>
        <w:spacing w:line="420" w:lineRule="exact"/>
        <w:ind w:firstLine="480" w:firstLineChars="200"/>
        <w:rPr>
          <w:rFonts w:ascii="Times New Roman" w:hAnsi="Times New Roman"/>
          <w:sz w:val="24"/>
          <w:szCs w:val="24"/>
        </w:rPr>
      </w:pPr>
      <w:r>
        <w:rPr>
          <w:rFonts w:hint="eastAsia" w:ascii="Times New Roman" w:hAnsi="Times New Roman"/>
          <w:sz w:val="24"/>
          <w:szCs w:val="24"/>
        </w:rPr>
        <w:t>5、《地表水环境质量标准》</w:t>
      </w:r>
    </w:p>
    <w:p>
      <w:pPr>
        <w:spacing w:line="420" w:lineRule="exact"/>
        <w:ind w:firstLine="480" w:firstLineChars="200"/>
        <w:rPr>
          <w:rFonts w:ascii="Times New Roman" w:hAnsi="Times New Roman"/>
          <w:sz w:val="24"/>
          <w:szCs w:val="24"/>
        </w:rPr>
      </w:pPr>
      <w:r>
        <w:rPr>
          <w:rFonts w:hint="eastAsia" w:ascii="Times New Roman" w:hAnsi="Times New Roman"/>
          <w:sz w:val="24"/>
          <w:szCs w:val="24"/>
        </w:rPr>
        <w:t>6、《污水排入城镇下水道水质标准》（GB/T 31962-2015）</w:t>
      </w:r>
    </w:p>
    <w:p>
      <w:pPr>
        <w:spacing w:line="420" w:lineRule="exact"/>
        <w:ind w:firstLine="480" w:firstLineChars="200"/>
        <w:rPr>
          <w:rFonts w:ascii="Times New Roman" w:hAnsi="Times New Roman"/>
          <w:sz w:val="24"/>
          <w:szCs w:val="24"/>
        </w:rPr>
      </w:pPr>
      <w:r>
        <w:rPr>
          <w:rFonts w:hint="eastAsia" w:ascii="Times New Roman" w:hAnsi="Times New Roman"/>
          <w:sz w:val="24"/>
          <w:szCs w:val="24"/>
        </w:rPr>
        <w:t>7、《给水排水工程管道结构设计规范》（GB 50332-2002）</w:t>
      </w:r>
    </w:p>
    <w:p>
      <w:pPr>
        <w:spacing w:line="420" w:lineRule="exact"/>
        <w:ind w:firstLine="480" w:firstLineChars="200"/>
        <w:rPr>
          <w:rFonts w:ascii="Times New Roman" w:hAnsi="Times New Roman"/>
          <w:sz w:val="24"/>
          <w:szCs w:val="24"/>
        </w:rPr>
      </w:pPr>
      <w:r>
        <w:rPr>
          <w:rFonts w:hint="eastAsia" w:ascii="Times New Roman" w:hAnsi="Times New Roman"/>
          <w:sz w:val="24"/>
          <w:szCs w:val="24"/>
        </w:rPr>
        <w:t>8、《给水排水工程构筑物结构设计规范》（GB 50069-2002）</w:t>
      </w:r>
    </w:p>
    <w:p>
      <w:pPr>
        <w:spacing w:line="420" w:lineRule="exact"/>
        <w:ind w:firstLine="480" w:firstLineChars="200"/>
        <w:rPr>
          <w:rFonts w:ascii="Times New Roman" w:hAnsi="Times New Roman"/>
          <w:sz w:val="24"/>
          <w:szCs w:val="24"/>
        </w:rPr>
      </w:pPr>
      <w:r>
        <w:rPr>
          <w:rFonts w:hint="eastAsia" w:ascii="Times New Roman" w:hAnsi="Times New Roman"/>
          <w:sz w:val="24"/>
          <w:szCs w:val="24"/>
        </w:rPr>
        <w:t>9、《中华人民共和国环境保护法》</w:t>
      </w:r>
    </w:p>
    <w:p>
      <w:pPr>
        <w:spacing w:line="420" w:lineRule="exact"/>
        <w:ind w:firstLine="480" w:firstLineChars="200"/>
        <w:rPr>
          <w:rFonts w:ascii="Times New Roman" w:hAnsi="Times New Roman"/>
          <w:sz w:val="24"/>
          <w:szCs w:val="24"/>
        </w:rPr>
      </w:pPr>
      <w:r>
        <w:rPr>
          <w:rFonts w:hint="eastAsia" w:ascii="Times New Roman" w:hAnsi="Times New Roman"/>
          <w:sz w:val="24"/>
          <w:szCs w:val="24"/>
        </w:rPr>
        <w:t>10、《中华人民共和国水污染防治法》</w:t>
      </w:r>
    </w:p>
    <w:p>
      <w:pPr>
        <w:spacing w:line="420" w:lineRule="exact"/>
        <w:ind w:firstLine="480" w:firstLineChars="200"/>
        <w:rPr>
          <w:rFonts w:ascii="Times New Roman" w:hAnsi="Times New Roman"/>
          <w:sz w:val="24"/>
          <w:szCs w:val="24"/>
        </w:rPr>
      </w:pPr>
      <w:r>
        <w:rPr>
          <w:rFonts w:hint="eastAsia" w:ascii="Times New Roman" w:hAnsi="Times New Roman"/>
          <w:sz w:val="24"/>
          <w:szCs w:val="24"/>
        </w:rPr>
        <w:t>11、《中华人民共和国固体废弃物污染环境保护法》</w:t>
      </w:r>
    </w:p>
    <w:p>
      <w:pPr>
        <w:spacing w:line="420" w:lineRule="exact"/>
        <w:ind w:firstLine="480" w:firstLineChars="200"/>
        <w:rPr>
          <w:rFonts w:ascii="Times New Roman" w:hAnsi="Times New Roman"/>
          <w:sz w:val="24"/>
          <w:szCs w:val="24"/>
        </w:rPr>
      </w:pPr>
      <w:r>
        <w:rPr>
          <w:rFonts w:hint="eastAsia" w:ascii="Times New Roman" w:hAnsi="Times New Roman"/>
          <w:sz w:val="24"/>
          <w:szCs w:val="24"/>
        </w:rPr>
        <w:t>12、《中华人民共和国大气污染防治法》</w:t>
      </w:r>
    </w:p>
    <w:p>
      <w:pPr>
        <w:spacing w:line="420" w:lineRule="exact"/>
        <w:ind w:firstLine="480" w:firstLineChars="200"/>
        <w:rPr>
          <w:rFonts w:ascii="Times New Roman" w:hAnsi="Times New Roman"/>
          <w:sz w:val="24"/>
          <w:szCs w:val="24"/>
        </w:rPr>
      </w:pPr>
      <w:r>
        <w:rPr>
          <w:rFonts w:hint="eastAsia" w:ascii="Times New Roman" w:hAnsi="Times New Roman"/>
          <w:sz w:val="24"/>
          <w:szCs w:val="24"/>
        </w:rPr>
        <w:t>13、《市政公用工程设计文件编制深度规定》（2017 版） 等以及湖北省等相关法律法规及标准的要求。</w:t>
      </w:r>
    </w:p>
    <w:bookmarkEnd w:id="2"/>
    <w:bookmarkEnd w:id="3"/>
    <w:p>
      <w:pPr>
        <w:pStyle w:val="3"/>
        <w:spacing w:before="0" w:after="0" w:line="420" w:lineRule="exact"/>
        <w:jc w:val="left"/>
        <w:rPr>
          <w:rFonts w:ascii="宋体" w:hAnsi="宋体"/>
          <w:bCs w:val="0"/>
          <w:sz w:val="30"/>
          <w:szCs w:val="30"/>
          <w:lang w:val="zh-CN"/>
        </w:rPr>
      </w:pPr>
      <w:bookmarkStart w:id="8" w:name="_Toc495861536"/>
      <w:bookmarkStart w:id="9" w:name="_Toc494561955"/>
      <w:r>
        <w:rPr>
          <w:rFonts w:hint="eastAsia" w:ascii="宋体" w:hAnsi="宋体"/>
          <w:bCs w:val="0"/>
          <w:sz w:val="30"/>
          <w:szCs w:val="30"/>
          <w:lang w:val="zh-CN"/>
        </w:rPr>
        <w:t>四、技术要求</w:t>
      </w:r>
      <w:bookmarkEnd w:id="8"/>
      <w:bookmarkEnd w:id="9"/>
    </w:p>
    <w:p>
      <w:pPr>
        <w:spacing w:line="420" w:lineRule="exact"/>
        <w:rPr>
          <w:rFonts w:ascii="宋体" w:hAnsi="宋体" w:cs="宋体"/>
          <w:b/>
          <w:sz w:val="24"/>
          <w:szCs w:val="24"/>
        </w:rPr>
      </w:pPr>
      <w:r>
        <w:rPr>
          <w:rFonts w:hint="eastAsia" w:ascii="宋体" w:hAnsi="宋体" w:cs="宋体"/>
          <w:sz w:val="24"/>
          <w:szCs w:val="24"/>
        </w:rPr>
        <w:t>说明：投标人在投标文件《技术响应、偏离说明表》中应对以下技术逐条进行响应描述或偏离说明。不满足以上要求的，其投标按照</w:t>
      </w:r>
      <w:r>
        <w:rPr>
          <w:rFonts w:hint="eastAsia" w:ascii="宋体" w:hAnsi="宋体" w:cs="宋体"/>
          <w:b/>
          <w:sz w:val="24"/>
          <w:szCs w:val="24"/>
        </w:rPr>
        <w:t>无效投标处理。</w:t>
      </w:r>
    </w:p>
    <w:p>
      <w:pPr>
        <w:pStyle w:val="4"/>
        <w:kinsoku w:val="0"/>
        <w:overflowPunct w:val="0"/>
        <w:spacing w:before="0" w:after="0" w:line="420" w:lineRule="exact"/>
      </w:pPr>
      <w:r>
        <w:rPr>
          <w:spacing w:val="2"/>
        </w:rPr>
        <w:t>1、设</w:t>
      </w:r>
      <w:r>
        <w:t>计范围</w:t>
      </w:r>
    </w:p>
    <w:p>
      <w:pPr>
        <w:spacing w:line="420" w:lineRule="exact"/>
        <w:rPr>
          <w:rFonts w:ascii="Times New Roman" w:hAnsi="Times New Roman"/>
          <w:color w:val="0000FF"/>
        </w:rPr>
      </w:pPr>
      <w:r>
        <w:rPr>
          <w:rFonts w:hint="eastAsia"/>
        </w:rPr>
        <w:t>工程范围考虑范围覆盖面积约1</w:t>
      </w:r>
      <w:r>
        <w:t>20</w:t>
      </w:r>
      <w:r>
        <w:rPr>
          <w:rFonts w:hint="eastAsia"/>
        </w:rPr>
        <w:t>公顷，具体范围为</w:t>
      </w:r>
      <w:r>
        <w:t>西至</w:t>
      </w:r>
      <w:r>
        <w:rPr>
          <w:rFonts w:hint="eastAsia"/>
        </w:rPr>
        <w:t>银山</w:t>
      </w:r>
      <w:r>
        <w:t>大道-</w:t>
      </w:r>
      <w:r>
        <w:rPr>
          <w:rFonts w:hint="eastAsia"/>
        </w:rPr>
        <w:t>莲花湖大道</w:t>
      </w:r>
      <w:r>
        <w:t>连线路段；北至</w:t>
      </w:r>
      <w:r>
        <w:rPr>
          <w:rFonts w:hint="eastAsia"/>
        </w:rPr>
        <w:t>阳新</w:t>
      </w:r>
      <w:r>
        <w:t>大道；东至</w:t>
      </w:r>
      <w:r>
        <w:rPr>
          <w:rFonts w:hint="eastAsia"/>
        </w:rPr>
        <w:t>杨家湾</w:t>
      </w:r>
      <w:r>
        <w:t>路</w:t>
      </w:r>
      <w:r>
        <w:rPr>
          <w:rFonts w:hint="eastAsia"/>
        </w:rPr>
        <w:t>；</w:t>
      </w:r>
      <w:r>
        <w:t>南至湖滨路</w:t>
      </w:r>
      <w:r>
        <w:rPr>
          <w:rFonts w:hint="eastAsia"/>
        </w:rPr>
        <w:t>等。</w:t>
      </w:r>
    </w:p>
    <w:p>
      <w:pPr>
        <w:pStyle w:val="4"/>
        <w:kinsoku w:val="0"/>
        <w:overflowPunct w:val="0"/>
        <w:spacing w:before="0" w:after="0" w:line="420" w:lineRule="exact"/>
        <w:rPr>
          <w:color w:val="0000FF"/>
        </w:rPr>
      </w:pPr>
      <w:r>
        <w:t>2、</w:t>
      </w:r>
      <w:r>
        <w:rPr>
          <w:spacing w:val="2"/>
        </w:rPr>
        <w:t>设</w:t>
      </w:r>
      <w:r>
        <w:t>计内容</w:t>
      </w:r>
    </w:p>
    <w:p>
      <w:pPr>
        <w:pStyle w:val="77"/>
        <w:spacing w:line="420" w:lineRule="exact"/>
        <w:ind w:firstLine="420"/>
        <w:rPr>
          <w:color w:val="0000FF"/>
        </w:rPr>
      </w:pPr>
      <w:r>
        <w:rPr>
          <w:szCs w:val="24"/>
        </w:rPr>
        <w:t>根据阳新县总体规划及排水规划，本次</w:t>
      </w:r>
      <w:r>
        <w:rPr>
          <w:rFonts w:hint="eastAsia"/>
          <w:szCs w:val="24"/>
        </w:rPr>
        <w:t>初设</w:t>
      </w:r>
      <w:r>
        <w:rPr>
          <w:szCs w:val="24"/>
        </w:rPr>
        <w:t>对本项目工程涉及的范围进行了实地考察，将包括概述、城市概况、项目建设的必要性、排水管网设计、管网排查整治、实施计划、环境保护、安全生产、节能、投资估算、环境社会效益评价、结论等内容。</w:t>
      </w:r>
    </w:p>
    <w:p>
      <w:pPr>
        <w:pStyle w:val="4"/>
        <w:kinsoku w:val="0"/>
        <w:overflowPunct w:val="0"/>
        <w:spacing w:before="0" w:after="0" w:line="420" w:lineRule="exact"/>
        <w:rPr>
          <w:color w:val="0000FF"/>
        </w:rPr>
      </w:pPr>
      <w:r>
        <w:t>3、</w:t>
      </w:r>
      <w:r>
        <w:rPr>
          <w:spacing w:val="2"/>
        </w:rPr>
        <w:t>主</w:t>
      </w:r>
      <w:r>
        <w:t>要设计图纸</w:t>
      </w:r>
    </w:p>
    <w:p>
      <w:pPr>
        <w:spacing w:line="420" w:lineRule="exact"/>
        <w:ind w:firstLine="480"/>
        <w:jc w:val="left"/>
        <w:rPr>
          <w:rFonts w:ascii="Times New Roman" w:hAnsi="Times New Roman" w:cs="Times New Roman"/>
          <w:szCs w:val="24"/>
        </w:rPr>
      </w:pPr>
      <w:r>
        <w:rPr>
          <w:rFonts w:hint="eastAsia" w:ascii="Times New Roman" w:hAnsi="Times New Roman" w:cs="Times New Roman"/>
          <w:szCs w:val="24"/>
        </w:rPr>
        <w:t>本次设计的成果包括设计图纸和设计说明。成果的表达清晰、准确、规范，成果文件以书面 和电子文件两种方式表达。</w:t>
      </w:r>
    </w:p>
    <w:p>
      <w:pPr>
        <w:kinsoku w:val="0"/>
        <w:overflowPunct w:val="0"/>
        <w:spacing w:line="420" w:lineRule="exact"/>
        <w:rPr>
          <w:color w:val="0000FF"/>
          <w:sz w:val="20"/>
        </w:rPr>
      </w:pPr>
      <w:r>
        <w:rPr>
          <w:rFonts w:hint="eastAsia" w:ascii="Times New Roman" w:hAnsi="Times New Roman" w:cs="Times New Roman"/>
          <w:szCs w:val="24"/>
        </w:rPr>
        <w:t>包括以下内容可研文本说明、排水系统图、排水平面布置图、排水纵断面图、工程量表及材料表等。</w:t>
      </w:r>
    </w:p>
    <w:p>
      <w:pPr>
        <w:pStyle w:val="4"/>
        <w:kinsoku w:val="0"/>
        <w:overflowPunct w:val="0"/>
        <w:spacing w:before="0" w:after="0" w:line="420" w:lineRule="exact"/>
      </w:pPr>
      <w:r>
        <w:t>4、</w:t>
      </w:r>
      <w:r>
        <w:rPr>
          <w:spacing w:val="2"/>
        </w:rPr>
        <w:t>成</w:t>
      </w:r>
      <w:r>
        <w:t>果要求</w:t>
      </w:r>
    </w:p>
    <w:p>
      <w:pPr>
        <w:spacing w:line="420" w:lineRule="exact"/>
        <w:ind w:firstLine="480"/>
        <w:jc w:val="left"/>
        <w:rPr>
          <w:rFonts w:ascii="Times New Roman" w:hAnsi="Times New Roman" w:cs="Times New Roman"/>
          <w:szCs w:val="24"/>
        </w:rPr>
      </w:pPr>
      <w:r>
        <w:rPr>
          <w:rFonts w:hint="eastAsia" w:ascii="Times New Roman" w:hAnsi="Times New Roman" w:cs="Times New Roman"/>
          <w:szCs w:val="24"/>
        </w:rPr>
        <w:t>（1）设计成果为图纸。</w:t>
      </w:r>
    </w:p>
    <w:p>
      <w:pPr>
        <w:spacing w:line="420" w:lineRule="exact"/>
        <w:ind w:firstLine="480"/>
        <w:jc w:val="left"/>
        <w:rPr>
          <w:rFonts w:ascii="Times New Roman" w:hAnsi="Times New Roman" w:cs="Times New Roman"/>
          <w:szCs w:val="24"/>
        </w:rPr>
      </w:pPr>
      <w:r>
        <w:rPr>
          <w:rFonts w:hint="eastAsia" w:ascii="Times New Roman" w:hAnsi="Times New Roman" w:cs="Times New Roman"/>
          <w:szCs w:val="24"/>
        </w:rPr>
        <w:t>（2）设计成果文件 装订 6 套、电子光盘 2 份，多媒体演示文件 1 份（电子版）。（中间成果可商委托方酌情减少）</w:t>
      </w:r>
    </w:p>
    <w:p>
      <w:pPr>
        <w:spacing w:line="420" w:lineRule="exact"/>
        <w:ind w:firstLine="480"/>
        <w:jc w:val="left"/>
        <w:rPr>
          <w:rFonts w:ascii="Times New Roman" w:hAnsi="Times New Roman" w:eastAsia="宋体" w:cs="Times New Roman"/>
          <w:szCs w:val="24"/>
        </w:rPr>
      </w:pPr>
      <w:r>
        <w:rPr>
          <w:rFonts w:hint="eastAsia" w:ascii="Times New Roman" w:hAnsi="Times New Roman" w:cs="Times New Roman"/>
          <w:szCs w:val="24"/>
        </w:rPr>
        <w:t>（3）图纸提供 dwg 和 PDF 两种格式，成果数据应符合阳新县相关规划的规定。</w:t>
      </w:r>
    </w:p>
    <w:p>
      <w:pPr>
        <w:pStyle w:val="78"/>
        <w:spacing w:line="420" w:lineRule="exact"/>
        <w:ind w:firstLine="0" w:firstLineChars="0"/>
        <w:rPr>
          <w:rFonts w:eastAsia="宋体"/>
        </w:rPr>
      </w:pPr>
      <w:r>
        <w:rPr>
          <w:rFonts w:hint="eastAsia"/>
          <w:b/>
          <w:bCs/>
          <w:sz w:val="32"/>
          <w:szCs w:val="22"/>
        </w:rPr>
        <w:t>五、其它要求</w:t>
      </w:r>
    </w:p>
    <w:p>
      <w:pPr>
        <w:spacing w:line="420" w:lineRule="exact"/>
        <w:jc w:val="left"/>
        <w:rPr>
          <w:rFonts w:ascii="宋体" w:hAnsi="宋体" w:cs="宋体"/>
          <w:bCs/>
          <w:sz w:val="24"/>
          <w:szCs w:val="24"/>
        </w:rPr>
      </w:pPr>
      <w:r>
        <w:rPr>
          <w:rFonts w:hint="eastAsia" w:ascii="宋体" w:hAnsi="宋体" w:cs="宋体"/>
          <w:bCs/>
          <w:sz w:val="24"/>
          <w:szCs w:val="24"/>
        </w:rPr>
        <w:t>1.工期：15日历天完成图纸设计，后期服务至工程竣工验收合格；</w:t>
      </w:r>
    </w:p>
    <w:p>
      <w:pPr>
        <w:spacing w:line="420" w:lineRule="exact"/>
        <w:jc w:val="left"/>
        <w:rPr>
          <w:sz w:val="24"/>
          <w:szCs w:val="24"/>
        </w:rPr>
      </w:pPr>
      <w:r>
        <w:rPr>
          <w:rFonts w:hint="eastAsia" w:cs="宋体" w:asciiTheme="minorEastAsia" w:hAnsiTheme="minorEastAsia"/>
          <w:kern w:val="0"/>
          <w:sz w:val="24"/>
          <w:szCs w:val="24"/>
          <w:shd w:val="clear" w:color="auto" w:fill="FFFFFF"/>
        </w:rPr>
        <w:t>2.预算金额：98万元（超过此报价为无效磋商）</w:t>
      </w:r>
    </w:p>
    <w:p>
      <w:pPr>
        <w:spacing w:line="420" w:lineRule="exact"/>
        <w:jc w:val="left"/>
        <w:rPr>
          <w:sz w:val="24"/>
          <w:szCs w:val="24"/>
        </w:rPr>
      </w:pPr>
      <w:r>
        <w:rPr>
          <w:rFonts w:hint="eastAsia"/>
          <w:sz w:val="24"/>
          <w:szCs w:val="24"/>
        </w:rPr>
        <w:t>3..合同款支付：初步设计评审通过后支付合同价款的20%，施工图设计图审合格后支付合同价款的60%，剩余20%待工程竣工验收备案后付清。</w:t>
      </w:r>
    </w:p>
    <w:p>
      <w:pPr>
        <w:pStyle w:val="71"/>
        <w:numPr>
          <w:ilvl w:val="0"/>
          <w:numId w:val="0"/>
        </w:numPr>
        <w:ind w:firstLine="480"/>
        <w:jc w:val="both"/>
        <w:rPr>
          <w:rFonts w:cs="宋体"/>
          <w:b w:val="0"/>
          <w:color w:val="auto"/>
        </w:rPr>
      </w:pPr>
    </w:p>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rPr>
          <w:color w:val="000000"/>
        </w:rPr>
      </w:pPr>
    </w:p>
    <w:p>
      <w:pPr>
        <w:tabs>
          <w:tab w:val="left" w:pos="4283"/>
        </w:tabs>
        <w:adjustRightInd w:val="0"/>
        <w:snapToGrid w:val="0"/>
        <w:spacing w:line="360" w:lineRule="auto"/>
        <w:rPr>
          <w:rFonts w:ascii="Times New Roman" w:hAnsi="Times New Roman" w:cs="Times New Roman"/>
          <w:color w:val="000000" w:themeColor="text1"/>
          <w:sz w:val="28"/>
          <w:szCs w:val="28"/>
        </w:rPr>
      </w:pPr>
    </w:p>
    <w:p>
      <w:pPr>
        <w:tabs>
          <w:tab w:val="left" w:pos="4283"/>
        </w:tabs>
        <w:adjustRightInd w:val="0"/>
        <w:snapToGrid w:val="0"/>
        <w:spacing w:line="360" w:lineRule="auto"/>
        <w:rPr>
          <w:rFonts w:ascii="Times New Roman" w:hAnsi="Times New Roman" w:cs="Times New Roman"/>
          <w:color w:val="000000" w:themeColor="text1"/>
          <w:sz w:val="28"/>
          <w:szCs w:val="28"/>
        </w:rPr>
      </w:pPr>
    </w:p>
    <w:p>
      <w:pPr>
        <w:tabs>
          <w:tab w:val="left" w:pos="4283"/>
        </w:tabs>
        <w:adjustRightInd w:val="0"/>
        <w:snapToGrid w:val="0"/>
        <w:spacing w:line="360" w:lineRule="auto"/>
        <w:rPr>
          <w:rFonts w:ascii="Times New Roman" w:hAnsi="Times New Roman" w:cs="Times New Roman"/>
          <w:color w:val="000000" w:themeColor="text1"/>
          <w:sz w:val="28"/>
          <w:szCs w:val="28"/>
        </w:rPr>
      </w:pPr>
    </w:p>
    <w:p>
      <w:pPr>
        <w:tabs>
          <w:tab w:val="left" w:pos="4283"/>
        </w:tabs>
        <w:adjustRightInd w:val="0"/>
        <w:snapToGrid w:val="0"/>
        <w:spacing w:line="360" w:lineRule="auto"/>
        <w:rPr>
          <w:rFonts w:ascii="Times New Roman" w:hAnsi="Times New Roman" w:cs="Times New Roman"/>
          <w:color w:val="000000" w:themeColor="text1"/>
          <w:sz w:val="28"/>
          <w:szCs w:val="28"/>
        </w:rPr>
      </w:pPr>
    </w:p>
    <w:p>
      <w:pPr>
        <w:adjustRightInd w:val="0"/>
        <w:snapToGrid w:val="0"/>
        <w:spacing w:line="360" w:lineRule="auto"/>
        <w:jc w:val="center"/>
        <w:outlineLvl w:val="0"/>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第四章  评审办法及评分标准</w:t>
      </w:r>
    </w:p>
    <w:p/>
    <w:p>
      <w:pPr>
        <w:pStyle w:val="16"/>
        <w:spacing w:line="500" w:lineRule="exact"/>
        <w:ind w:firstLine="480" w:firstLineChars="200"/>
        <w:rPr>
          <w:color w:val="000000" w:themeColor="text1"/>
          <w:sz w:val="24"/>
        </w:rPr>
      </w:pPr>
      <w:r>
        <w:rPr>
          <w:rFonts w:hint="eastAsia"/>
          <w:color w:val="000000" w:themeColor="text1"/>
          <w:sz w:val="24"/>
        </w:rPr>
        <w:t>根据《中华人民共和国政府采购法》、《中华人民共和国政府采购法实施条例》、《政府采购竞争性磋商采购方式管理暂行办法》及省、市有关规定，磋商小组成员按照客观、公正、谨慎的原则，根据采购文件规定的评审程序、评审方法和评审标准进行独立评审，确定成交供应商。</w:t>
      </w:r>
    </w:p>
    <w:p>
      <w:pPr>
        <w:pStyle w:val="16"/>
        <w:spacing w:line="500" w:lineRule="exact"/>
        <w:ind w:firstLine="480" w:firstLineChars="200"/>
        <w:rPr>
          <w:color w:val="000000" w:themeColor="text1"/>
          <w:sz w:val="24"/>
        </w:rPr>
      </w:pPr>
      <w:r>
        <w:rPr>
          <w:rFonts w:hint="eastAsia"/>
          <w:color w:val="000000" w:themeColor="text1"/>
          <w:sz w:val="24"/>
        </w:rPr>
        <w:t>本次采购遵循公平竞争原则、公正原则和诚实信用原则。</w:t>
      </w:r>
    </w:p>
    <w:p>
      <w:pPr>
        <w:adjustRightInd w:val="0"/>
        <w:snapToGrid w:val="0"/>
        <w:spacing w:line="360" w:lineRule="auto"/>
        <w:rPr>
          <w:b/>
          <w:bCs/>
          <w:sz w:val="24"/>
          <w:lang w:val="zh-CN"/>
        </w:rPr>
      </w:pPr>
      <w:r>
        <w:rPr>
          <w:rFonts w:hint="eastAsia"/>
          <w:b/>
          <w:bCs/>
          <w:sz w:val="24"/>
          <w:lang w:val="zh-CN"/>
        </w:rPr>
        <w:t>（一）评审方法</w:t>
      </w:r>
    </w:p>
    <w:p>
      <w:pPr>
        <w:adjustRightInd w:val="0"/>
        <w:snapToGrid w:val="0"/>
        <w:spacing w:line="360" w:lineRule="auto"/>
        <w:ind w:firstLine="480" w:firstLineChars="200"/>
        <w:rPr>
          <w:bCs/>
          <w:sz w:val="24"/>
        </w:rPr>
      </w:pPr>
      <w:r>
        <w:rPr>
          <w:rFonts w:hint="eastAsia"/>
          <w:bCs/>
          <w:sz w:val="24"/>
          <w:lang w:val="zh-CN"/>
        </w:rPr>
        <w:t>本次评审采用综合评分法。即满分</w:t>
      </w:r>
      <w:r>
        <w:rPr>
          <w:bCs/>
          <w:sz w:val="24"/>
          <w:lang w:val="zh-CN"/>
        </w:rPr>
        <w:t>100</w:t>
      </w:r>
      <w:r>
        <w:rPr>
          <w:rFonts w:hint="eastAsia"/>
          <w:bCs/>
          <w:sz w:val="24"/>
          <w:lang w:val="zh-CN"/>
        </w:rPr>
        <w:t>分，其中商务服务占</w:t>
      </w:r>
      <w:r>
        <w:rPr>
          <w:rFonts w:hint="eastAsia"/>
          <w:bCs/>
          <w:sz w:val="24"/>
        </w:rPr>
        <w:t>35%</w:t>
      </w:r>
      <w:r>
        <w:rPr>
          <w:rFonts w:hint="eastAsia"/>
          <w:bCs/>
          <w:sz w:val="24"/>
          <w:lang w:val="zh-CN"/>
        </w:rPr>
        <w:t>，技术评议占</w:t>
      </w:r>
      <w:r>
        <w:rPr>
          <w:rFonts w:hint="eastAsia"/>
          <w:bCs/>
          <w:sz w:val="24"/>
        </w:rPr>
        <w:t>55</w:t>
      </w:r>
      <w:r>
        <w:rPr>
          <w:rFonts w:hint="eastAsia"/>
          <w:bCs/>
          <w:sz w:val="24"/>
          <w:lang w:val="zh-CN"/>
        </w:rPr>
        <w:t>％，报价占1</w:t>
      </w:r>
      <w:r>
        <w:rPr>
          <w:bCs/>
          <w:sz w:val="24"/>
          <w:lang w:val="zh-CN"/>
        </w:rPr>
        <w:t>0%</w:t>
      </w:r>
      <w:r>
        <w:rPr>
          <w:rFonts w:hint="eastAsia"/>
          <w:bCs/>
          <w:sz w:val="24"/>
          <w:lang w:val="zh-CN"/>
        </w:rPr>
        <w:t>。</w:t>
      </w:r>
    </w:p>
    <w:p>
      <w:pPr>
        <w:adjustRightInd w:val="0"/>
        <w:snapToGrid w:val="0"/>
        <w:spacing w:line="360" w:lineRule="auto"/>
        <w:rPr>
          <w:b/>
          <w:bCs/>
          <w:sz w:val="24"/>
          <w:lang w:val="zh-CN"/>
        </w:rPr>
      </w:pPr>
      <w:r>
        <w:rPr>
          <w:rFonts w:hint="eastAsia"/>
          <w:b/>
          <w:bCs/>
          <w:sz w:val="24"/>
          <w:lang w:val="zh-CN"/>
        </w:rPr>
        <w:t>（二）评审步骤</w:t>
      </w:r>
    </w:p>
    <w:p>
      <w:pPr>
        <w:adjustRightInd w:val="0"/>
        <w:snapToGrid w:val="0"/>
        <w:spacing w:line="360" w:lineRule="auto"/>
        <w:rPr>
          <w:bCs/>
          <w:sz w:val="24"/>
          <w:lang w:val="zh-CN"/>
        </w:rPr>
      </w:pPr>
      <w:r>
        <w:rPr>
          <w:rFonts w:hint="eastAsia"/>
          <w:bCs/>
          <w:sz w:val="24"/>
          <w:lang w:val="zh-CN"/>
        </w:rPr>
        <w:t>磋商小组对响应文件的评审分为资格性符合性检查、商务服务评议和价格评议：</w:t>
      </w:r>
    </w:p>
    <w:p>
      <w:pPr>
        <w:adjustRightInd w:val="0"/>
        <w:snapToGrid w:val="0"/>
        <w:spacing w:line="360" w:lineRule="auto"/>
        <w:rPr>
          <w:bCs/>
          <w:sz w:val="24"/>
          <w:lang w:val="zh-CN"/>
        </w:rPr>
      </w:pPr>
      <w:r>
        <w:rPr>
          <w:bCs/>
          <w:sz w:val="24"/>
          <w:lang w:val="zh-CN"/>
        </w:rPr>
        <w:t>1.</w:t>
      </w:r>
      <w:r>
        <w:rPr>
          <w:rFonts w:hint="eastAsia"/>
          <w:bCs/>
          <w:sz w:val="24"/>
          <w:lang w:val="zh-CN"/>
        </w:rPr>
        <w:t>资格性符合性检查表</w:t>
      </w:r>
    </w:p>
    <w:p>
      <w:pPr>
        <w:adjustRightInd w:val="0"/>
        <w:snapToGrid w:val="0"/>
        <w:spacing w:line="360" w:lineRule="auto"/>
        <w:ind w:firstLine="480" w:firstLineChars="200"/>
        <w:rPr>
          <w:bCs/>
          <w:sz w:val="24"/>
          <w:lang w:val="zh-CN"/>
        </w:rPr>
      </w:pPr>
      <w:r>
        <w:rPr>
          <w:rFonts w:hint="eastAsia"/>
          <w:bCs/>
          <w:sz w:val="24"/>
          <w:lang w:val="zh-CN"/>
        </w:rPr>
        <w:t>磋商小组验证各供应商代表或委托授权人的身份。供应商代表或委托授权人身份与响应文件不符的、响应文件未按要求加盖印章和签字的，磋商小组有权拒绝该供应商参加磋商。</w:t>
      </w:r>
    </w:p>
    <w:p>
      <w:pPr>
        <w:adjustRightInd w:val="0"/>
        <w:snapToGrid w:val="0"/>
        <w:spacing w:line="360" w:lineRule="auto"/>
        <w:rPr>
          <w:bCs/>
          <w:sz w:val="24"/>
        </w:rPr>
      </w:pPr>
      <w:r>
        <w:rPr>
          <w:bCs/>
          <w:sz w:val="24"/>
          <w:lang w:val="zh-CN"/>
        </w:rPr>
        <w:t>2.</w:t>
      </w:r>
      <w:r>
        <w:rPr>
          <w:rFonts w:hint="eastAsia"/>
          <w:bCs/>
          <w:sz w:val="24"/>
          <w:lang w:val="zh-CN"/>
        </w:rPr>
        <w:t>商务服务评议（占</w:t>
      </w:r>
      <w:r>
        <w:rPr>
          <w:rFonts w:hint="eastAsia"/>
          <w:bCs/>
          <w:sz w:val="24"/>
        </w:rPr>
        <w:t>40</w:t>
      </w:r>
      <w:r>
        <w:rPr>
          <w:bCs/>
          <w:sz w:val="24"/>
          <w:lang w:val="zh-CN"/>
        </w:rPr>
        <w:t>%</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磋商小组依据“商务服务评分表”中的分值及标准进行评分。</w:t>
      </w:r>
    </w:p>
    <w:p>
      <w:pPr>
        <w:adjustRightInd w:val="0"/>
        <w:snapToGrid w:val="0"/>
        <w:spacing w:line="360" w:lineRule="auto"/>
        <w:rPr>
          <w:bCs/>
          <w:sz w:val="24"/>
        </w:rPr>
      </w:pPr>
      <w:r>
        <w:rPr>
          <w:bCs/>
          <w:sz w:val="24"/>
          <w:lang w:val="zh-CN"/>
        </w:rPr>
        <w:t>3.</w:t>
      </w:r>
      <w:r>
        <w:rPr>
          <w:rFonts w:hint="eastAsia"/>
          <w:bCs/>
          <w:sz w:val="24"/>
          <w:lang w:val="zh-CN"/>
        </w:rPr>
        <w:t>技术评议（占</w:t>
      </w:r>
      <w:r>
        <w:rPr>
          <w:rFonts w:hint="eastAsia"/>
          <w:bCs/>
          <w:sz w:val="24"/>
        </w:rPr>
        <w:t>50</w:t>
      </w:r>
      <w:r>
        <w:rPr>
          <w:bCs/>
          <w:sz w:val="24"/>
          <w:lang w:val="zh-CN"/>
        </w:rPr>
        <w:t>%</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磋商小组依据“服务评分表”中的分值及标准进行评分。</w:t>
      </w:r>
    </w:p>
    <w:p>
      <w:pPr>
        <w:adjustRightInd w:val="0"/>
        <w:snapToGrid w:val="0"/>
        <w:spacing w:line="360" w:lineRule="auto"/>
        <w:rPr>
          <w:bCs/>
          <w:sz w:val="24"/>
          <w:lang w:val="zh-CN"/>
        </w:rPr>
      </w:pPr>
      <w:r>
        <w:rPr>
          <w:bCs/>
          <w:sz w:val="24"/>
          <w:lang w:val="zh-CN"/>
        </w:rPr>
        <w:t>4.</w:t>
      </w:r>
      <w:r>
        <w:rPr>
          <w:rFonts w:hint="eastAsia"/>
          <w:bCs/>
          <w:sz w:val="24"/>
          <w:lang w:val="zh-CN"/>
        </w:rPr>
        <w:t>价格评议（占</w:t>
      </w:r>
      <w:r>
        <w:rPr>
          <w:rFonts w:hint="eastAsia"/>
          <w:bCs/>
          <w:sz w:val="24"/>
        </w:rPr>
        <w:t>1</w:t>
      </w:r>
      <w:r>
        <w:rPr>
          <w:bCs/>
          <w:sz w:val="24"/>
          <w:lang w:val="zh-CN"/>
        </w:rPr>
        <w:t>0%</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价格分采用低价优先法计算，即满足磋商文件要求且最后报价最低的供应商的价格为磋商基准价，其价格分为满分。其他供应商的价格分统一按照下列公式计算：</w:t>
      </w:r>
    </w:p>
    <w:p>
      <w:pPr>
        <w:adjustRightInd w:val="0"/>
        <w:snapToGrid w:val="0"/>
        <w:spacing w:line="360" w:lineRule="auto"/>
        <w:ind w:firstLine="480" w:firstLineChars="200"/>
        <w:rPr>
          <w:bCs/>
          <w:sz w:val="24"/>
          <w:lang w:val="zh-CN"/>
        </w:rPr>
      </w:pPr>
      <w:r>
        <w:rPr>
          <w:rFonts w:hint="eastAsia"/>
          <w:bCs/>
          <w:sz w:val="24"/>
          <w:lang w:val="zh-CN"/>
        </w:rPr>
        <w:t>磋商报价得分</w:t>
      </w:r>
      <w:r>
        <w:rPr>
          <w:bCs/>
          <w:sz w:val="24"/>
          <w:lang w:val="zh-CN"/>
        </w:rPr>
        <w:t>=</w:t>
      </w:r>
      <w:r>
        <w:rPr>
          <w:rFonts w:hint="eastAsia"/>
          <w:bCs/>
          <w:sz w:val="24"/>
          <w:lang w:val="zh-CN"/>
        </w:rPr>
        <w:t>（磋商基准价</w:t>
      </w:r>
      <w:r>
        <w:rPr>
          <w:bCs/>
          <w:sz w:val="24"/>
          <w:lang w:val="zh-CN"/>
        </w:rPr>
        <w:t>/</w:t>
      </w:r>
      <w:r>
        <w:rPr>
          <w:rFonts w:hint="eastAsia"/>
          <w:bCs/>
          <w:sz w:val="24"/>
          <w:lang w:val="zh-CN"/>
        </w:rPr>
        <w:t>最后磋商报价）×1</w:t>
      </w:r>
      <w:r>
        <w:rPr>
          <w:bCs/>
          <w:sz w:val="24"/>
          <w:lang w:val="zh-CN"/>
        </w:rPr>
        <w:t>0%</w:t>
      </w:r>
      <w:r>
        <w:rPr>
          <w:rFonts w:hint="eastAsia"/>
          <w:bCs/>
          <w:sz w:val="24"/>
          <w:lang w:val="zh-CN"/>
        </w:rPr>
        <w:t>×</w:t>
      </w:r>
      <w:r>
        <w:rPr>
          <w:bCs/>
          <w:sz w:val="24"/>
          <w:lang w:val="zh-CN"/>
        </w:rPr>
        <w:t>100</w:t>
      </w:r>
    </w:p>
    <w:p>
      <w:pPr>
        <w:adjustRightInd w:val="0"/>
        <w:snapToGrid w:val="0"/>
        <w:spacing w:line="360" w:lineRule="auto"/>
        <w:rPr>
          <w:bCs/>
          <w:sz w:val="24"/>
          <w:lang w:val="zh-CN"/>
        </w:rPr>
      </w:pPr>
      <w:r>
        <w:rPr>
          <w:bCs/>
          <w:sz w:val="24"/>
          <w:lang w:val="zh-CN"/>
        </w:rPr>
        <w:t>5.</w:t>
      </w:r>
      <w:r>
        <w:rPr>
          <w:rFonts w:hint="eastAsia"/>
          <w:bCs/>
          <w:sz w:val="24"/>
          <w:lang w:val="zh-CN"/>
        </w:rPr>
        <w:t>推荐成交候选供应商</w:t>
      </w:r>
    </w:p>
    <w:p>
      <w:pPr>
        <w:adjustRightInd w:val="0"/>
        <w:snapToGrid w:val="0"/>
        <w:spacing w:line="360" w:lineRule="auto"/>
        <w:ind w:firstLine="480" w:firstLineChars="200"/>
        <w:rPr>
          <w:bCs/>
          <w:sz w:val="24"/>
          <w:lang w:val="zh-CN"/>
        </w:rPr>
      </w:pPr>
      <w:r>
        <w:rPr>
          <w:rFonts w:hint="eastAsia"/>
          <w:bCs/>
          <w:sz w:val="24"/>
          <w:lang w:val="zh-CN"/>
        </w:rPr>
        <w:t>评磋商小组应当根据综合评分情况，按照评审得分由高到低顺序推荐</w:t>
      </w:r>
      <w:r>
        <w:rPr>
          <w:bCs/>
          <w:sz w:val="24"/>
          <w:lang w:val="zh-CN"/>
        </w:rPr>
        <w:t>3</w:t>
      </w:r>
      <w:r>
        <w:rPr>
          <w:rFonts w:hint="eastAsia"/>
          <w:bCs/>
          <w:sz w:val="24"/>
          <w:lang w:val="zh-CN"/>
        </w:rPr>
        <w:t>名以上成交候选供应商，并编写评审报告。评审得分相同的，按照最后报价由低到高的顺序推荐。评审得分且最后报价相同的，按照技术指标优劣顺序推荐。</w:t>
      </w:r>
    </w:p>
    <w:p>
      <w:pPr>
        <w:spacing w:line="500" w:lineRule="exact"/>
        <w:jc w:val="left"/>
        <w:outlineLvl w:val="0"/>
        <w:rPr>
          <w:rFonts w:cs="Times New Roman" w:asciiTheme="minorEastAsia" w:hAnsiTheme="minorEastAsia"/>
          <w:b/>
          <w:sz w:val="36"/>
          <w:szCs w:val="36"/>
          <w:lang w:val="hr-HR" w:bidi="ar-EG"/>
        </w:rPr>
      </w:pPr>
      <w:r>
        <w:rPr>
          <w:rFonts w:hint="eastAsia" w:cs="Times New Roman" w:asciiTheme="minorEastAsia" w:hAnsiTheme="minorEastAsia"/>
          <w:b/>
          <w:sz w:val="28"/>
          <w:szCs w:val="28"/>
          <w:lang w:val="hr-HR" w:bidi="ar-EG"/>
        </w:rPr>
        <w:t>一、资格审查</w:t>
      </w:r>
    </w:p>
    <w:tbl>
      <w:tblPr>
        <w:tblStyle w:val="18"/>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898"/>
        <w:gridCol w:w="6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序号</w:t>
            </w:r>
          </w:p>
        </w:tc>
        <w:tc>
          <w:tcPr>
            <w:tcW w:w="1898"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szCs w:val="21"/>
              </w:rPr>
              <w:t>资格要求</w:t>
            </w:r>
          </w:p>
        </w:tc>
        <w:tc>
          <w:tcPr>
            <w:tcW w:w="60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zCs w:val="21"/>
              </w:rPr>
            </w:pPr>
            <w:r>
              <w:rPr>
                <w:rFonts w:hint="eastAsia" w:ascii="宋体" w:hAnsi="宋体" w:eastAsia="宋体"/>
                <w:color w:val="000000"/>
                <w:szCs w:val="21"/>
              </w:rPr>
              <w:t>须提供的资料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189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法人或者其他组织的营业执照等证明文件，如供应商是自然人的提供身份证明材料。</w:t>
            </w:r>
          </w:p>
        </w:tc>
        <w:tc>
          <w:tcPr>
            <w:tcW w:w="6097"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ascii="宋体" w:hAnsi="宋体" w:eastAsia="宋体"/>
                <w:color w:val="000000"/>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189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财务状况报告，依法缴纳税收和社会保障资金的相关材料。</w:t>
            </w:r>
          </w:p>
        </w:tc>
        <w:tc>
          <w:tcPr>
            <w:tcW w:w="609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olor w:val="000000"/>
                <w:szCs w:val="21"/>
              </w:rPr>
            </w:pPr>
            <w:r>
              <w:rPr>
                <w:rFonts w:hint="eastAsia" w:ascii="宋体" w:hAnsi="宋体"/>
                <w:color w:val="000000"/>
                <w:szCs w:val="21"/>
              </w:rPr>
              <w:t>1.财务状况报告：</w:t>
            </w:r>
            <w:r>
              <w:rPr>
                <w:rFonts w:ascii="宋体" w:hAnsi="宋体" w:eastAsia="宋体"/>
                <w:color w:val="000000"/>
                <w:szCs w:val="21"/>
              </w:rPr>
              <w:t>供应商是法人的，应提供上一年度经审计的财务报告，或其基本开户银行出具的资信证明。其他组织和自然人，没有经审计的财务报告，提供银行出具的资信证明。</w:t>
            </w:r>
          </w:p>
          <w:p>
            <w:pPr>
              <w:jc w:val="left"/>
              <w:rPr>
                <w:rFonts w:ascii="宋体" w:hAnsi="宋体" w:eastAsia="宋体"/>
                <w:color w:val="000000"/>
                <w:szCs w:val="21"/>
              </w:rPr>
            </w:pPr>
            <w:r>
              <w:rPr>
                <w:rFonts w:ascii="宋体" w:hAnsi="宋体" w:eastAsia="宋体"/>
                <w:color w:val="000000"/>
                <w:szCs w:val="21"/>
              </w:rPr>
              <w:t>专业担保机构对供应商进行资信审查后出具投标担保函的，可以不用提供经审计的财务报告和银行资信证明文件。</w:t>
            </w:r>
          </w:p>
          <w:p>
            <w:pPr>
              <w:numPr>
                <w:ilvl w:val="0"/>
                <w:numId w:val="3"/>
              </w:numPr>
              <w:jc w:val="left"/>
              <w:rPr>
                <w:rFonts w:ascii="宋体" w:hAnsi="宋体"/>
                <w:color w:val="000000"/>
                <w:szCs w:val="21"/>
              </w:rPr>
            </w:pPr>
            <w:r>
              <w:rPr>
                <w:rFonts w:hint="eastAsia"/>
                <w:szCs w:val="21"/>
              </w:rPr>
              <w:t>依法缴纳税收：</w:t>
            </w:r>
            <w:r>
              <w:rPr>
                <w:rFonts w:ascii="宋体" w:hAnsi="宋体" w:eastAsia="宋体"/>
                <w:color w:val="000000"/>
                <w:szCs w:val="21"/>
              </w:rPr>
              <w:t>供应商依法缴纳税收的证明材料：本项目公告发布时间前6个月内（至少提供1个月）缴纳税收的凭据（完税证、缴款书、印花税票、银行代扣（代缴）转账凭证等均可）</w:t>
            </w:r>
            <w:r>
              <w:rPr>
                <w:rFonts w:hint="eastAsia" w:ascii="宋体" w:hAnsi="宋体"/>
                <w:color w:val="000000"/>
                <w:szCs w:val="21"/>
              </w:rPr>
              <w:t>。</w:t>
            </w:r>
          </w:p>
          <w:p>
            <w:pPr>
              <w:numPr>
                <w:ilvl w:val="0"/>
                <w:numId w:val="3"/>
              </w:numPr>
              <w:jc w:val="left"/>
              <w:rPr>
                <w:rFonts w:ascii="宋体" w:hAnsi="宋体" w:eastAsia="宋体"/>
                <w:color w:val="000000"/>
                <w:szCs w:val="21"/>
              </w:rPr>
            </w:pPr>
            <w:r>
              <w:rPr>
                <w:rFonts w:hint="eastAsia"/>
                <w:szCs w:val="21"/>
              </w:rPr>
              <w:t>社会保障资金：</w:t>
            </w:r>
            <w:r>
              <w:rPr>
                <w:rFonts w:ascii="宋体" w:hAnsi="宋体" w:eastAsia="宋体"/>
                <w:color w:val="000000"/>
                <w:szCs w:val="21"/>
              </w:rPr>
              <w:t>供应商依法缴纳社会保障资金的证明材料：本项目公告发布时间前6个月内（至少提供</w:t>
            </w:r>
            <w:r>
              <w:rPr>
                <w:rFonts w:hint="eastAsia" w:ascii="宋体" w:hAnsi="宋体" w:eastAsia="宋体"/>
                <w:color w:val="000000"/>
                <w:szCs w:val="21"/>
              </w:rPr>
              <w:t>3</w:t>
            </w:r>
            <w:r>
              <w:rPr>
                <w:rFonts w:ascii="宋体" w:hAnsi="宋体" w:eastAsia="宋体"/>
                <w:color w:val="000000"/>
                <w:szCs w:val="21"/>
              </w:rPr>
              <w:t>个月）缴纳社会保险的凭据（专用收据或社会保险交纳清单）；</w:t>
            </w:r>
          </w:p>
          <w:p>
            <w:pPr>
              <w:jc w:val="left"/>
              <w:rPr>
                <w:rFonts w:ascii="宋体" w:hAnsi="宋体" w:eastAsia="宋体"/>
                <w:color w:val="000000"/>
                <w:szCs w:val="21"/>
              </w:rPr>
            </w:pPr>
            <w:r>
              <w:rPr>
                <w:rFonts w:hint="eastAsia" w:ascii="宋体" w:hAnsi="宋体"/>
                <w:color w:val="0000FF"/>
                <w:szCs w:val="21"/>
              </w:rPr>
              <w:t>注：</w:t>
            </w:r>
            <w:r>
              <w:rPr>
                <w:rFonts w:hint="eastAsia" w:ascii="宋体" w:hAnsi="宋体" w:eastAsia="宋体"/>
                <w:color w:val="000000"/>
                <w:szCs w:val="21"/>
              </w:rPr>
              <w:t>供应商为其他组织或自然人的，也需要按此项规定提供缴纳税收的凭据和交纳社会保险的凭据；</w:t>
            </w:r>
          </w:p>
          <w:p>
            <w:pPr>
              <w:ind w:firstLine="420" w:firstLineChars="200"/>
              <w:jc w:val="left"/>
              <w:rPr>
                <w:rFonts w:ascii="宋体" w:hAnsi="宋体" w:eastAsia="宋体"/>
                <w:color w:val="000000"/>
                <w:szCs w:val="21"/>
              </w:rPr>
            </w:pPr>
            <w:r>
              <w:rPr>
                <w:rFonts w:hint="eastAsia" w:ascii="宋体" w:hAnsi="宋体" w:eastAsia="宋体"/>
                <w:color w:val="000000"/>
                <w:szCs w:val="21"/>
              </w:rPr>
              <w:t>递交响应文件截止时间的当月成立但因税务机关原因导致其尚未依法缴纳税收的供应商，提供依法缴纳税收承诺书原件（格式自拟），该承诺书视同税收缴纳凭据。</w:t>
            </w:r>
          </w:p>
          <w:p>
            <w:pPr>
              <w:ind w:firstLine="420" w:firstLineChars="200"/>
              <w:jc w:val="left"/>
              <w:rPr>
                <w:rFonts w:ascii="宋体" w:hAnsi="宋体" w:eastAsia="宋体"/>
                <w:color w:val="000000"/>
                <w:szCs w:val="21"/>
              </w:rPr>
            </w:pPr>
            <w:r>
              <w:rPr>
                <w:rFonts w:hint="eastAsia" w:ascii="宋体" w:hAnsi="宋体" w:eastAsia="宋体"/>
                <w:color w:val="000000"/>
                <w:szCs w:val="21"/>
              </w:rPr>
              <w:t xml:space="preserve">递交响应文件截止时间的当月成立但因社会保障资金管理机关原因导致其尚未依法缴纳社会保障资金的供应商，提供依法缴纳社会保障资金承诺书原件（格式自拟），该承诺书视同社会保险凭据。 </w:t>
            </w:r>
          </w:p>
          <w:p>
            <w:pPr>
              <w:ind w:firstLine="420" w:firstLineChars="200"/>
              <w:jc w:val="left"/>
              <w:rPr>
                <w:rFonts w:ascii="宋体" w:hAnsi="宋体" w:eastAsia="宋体"/>
                <w:color w:val="000000"/>
                <w:szCs w:val="21"/>
              </w:rPr>
            </w:pPr>
            <w:r>
              <w:rPr>
                <w:rFonts w:ascii="宋体" w:hAnsi="宋体" w:eastAsia="宋体"/>
                <w:color w:val="000000"/>
                <w:szCs w:val="21"/>
              </w:rPr>
              <w:t>依法免税或不需要缴纳社会保障资金的供应商，应提供相应文件证明其依法免税或不需要交纳社会保障资金。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3</w:t>
            </w:r>
          </w:p>
        </w:tc>
        <w:tc>
          <w:tcPr>
            <w:tcW w:w="1898"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szCs w:val="21"/>
              </w:rPr>
              <w:t>具备履行合同所必需的设备和专业技术能力的证明材料。</w:t>
            </w:r>
          </w:p>
        </w:tc>
        <w:tc>
          <w:tcPr>
            <w:tcW w:w="6097" w:type="dxa"/>
            <w:tcBorders>
              <w:top w:val="single" w:color="auto" w:sz="4" w:space="0"/>
              <w:left w:val="single" w:color="auto" w:sz="4" w:space="0"/>
              <w:bottom w:val="single" w:color="auto" w:sz="4" w:space="0"/>
              <w:right w:val="single" w:color="auto" w:sz="4" w:space="0"/>
            </w:tcBorders>
            <w:vAlign w:val="center"/>
          </w:tcPr>
          <w:p>
            <w:pPr>
              <w:jc w:val="left"/>
              <w:rPr>
                <w:rFonts w:eastAsia="宋体"/>
                <w:szCs w:val="21"/>
              </w:rPr>
            </w:pPr>
            <w:r>
              <w:rPr>
                <w:rFonts w:ascii="宋体" w:hAnsi="宋体" w:eastAsia="宋体"/>
                <w:color w:val="000000"/>
                <w:szCs w:val="21"/>
              </w:rPr>
              <w:t>供应商履行合同所必须的设备和专业技术能力的证</w:t>
            </w:r>
            <w:r>
              <w:rPr>
                <w:rFonts w:hint="eastAsia" w:ascii="宋体" w:hAnsi="宋体"/>
                <w:color w:val="000000"/>
                <w:szCs w:val="21"/>
              </w:rPr>
              <w:t>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4</w:t>
            </w:r>
          </w:p>
        </w:tc>
        <w:tc>
          <w:tcPr>
            <w:tcW w:w="1898"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szCs w:val="21"/>
              </w:rPr>
              <w:t>参加政府采购活动前3年内在经营活动中没有重大违法记录的书面声明。</w:t>
            </w:r>
          </w:p>
        </w:tc>
        <w:tc>
          <w:tcPr>
            <w:tcW w:w="6097"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szCs w:val="21"/>
              </w:rPr>
              <w:t>格式如下：</w:t>
            </w:r>
          </w:p>
          <w:p>
            <w:pPr>
              <w:jc w:val="left"/>
              <w:rPr>
                <w:szCs w:val="21"/>
              </w:rPr>
            </w:pPr>
            <w:r>
              <w:rPr>
                <w:rFonts w:hint="eastAsia"/>
                <w:szCs w:val="21"/>
              </w:rPr>
              <w:t>参加政府采购活动前3年内在经营活动中没有重大违法记录的书面声明</w:t>
            </w:r>
          </w:p>
          <w:p>
            <w:pPr>
              <w:jc w:val="left"/>
              <w:rPr>
                <w:szCs w:val="21"/>
              </w:rPr>
            </w:pPr>
            <w:r>
              <w:rPr>
                <w:rFonts w:hint="eastAsia"/>
                <w:szCs w:val="21"/>
              </w:rPr>
              <w:t xml:space="preserve">采购人和采购代理机构： </w:t>
            </w:r>
          </w:p>
          <w:p>
            <w:pPr>
              <w:ind w:firstLine="420" w:firstLineChars="200"/>
              <w:jc w:val="left"/>
              <w:rPr>
                <w:szCs w:val="21"/>
              </w:rPr>
            </w:pPr>
            <w:r>
              <w:rPr>
                <w:rFonts w:hint="eastAsia"/>
                <w:szCs w:val="21"/>
              </w:rPr>
              <w:t xml:space="preserve">我方在此声明，我方在参加本次政府采购活动前三年内，在经营活动中没有以下重大违法记录： </w:t>
            </w:r>
          </w:p>
          <w:p>
            <w:pPr>
              <w:ind w:firstLine="420" w:firstLineChars="200"/>
              <w:jc w:val="left"/>
              <w:rPr>
                <w:szCs w:val="21"/>
              </w:rPr>
            </w:pPr>
            <w:r>
              <w:rPr>
                <w:rFonts w:hint="eastAsia"/>
                <w:szCs w:val="21"/>
              </w:rPr>
              <w:t xml:space="preserve">1、我方因违法经营被追究过刑事责任； </w:t>
            </w:r>
          </w:p>
          <w:p>
            <w:pPr>
              <w:ind w:firstLine="420" w:firstLineChars="200"/>
              <w:jc w:val="left"/>
              <w:rPr>
                <w:szCs w:val="21"/>
              </w:rPr>
            </w:pPr>
            <w:r>
              <w:rPr>
                <w:rFonts w:hint="eastAsia"/>
                <w:szCs w:val="21"/>
              </w:rPr>
              <w:t xml:space="preserve">2、我方因违法经营被责令停产停业、吊销许可证或者执照； </w:t>
            </w:r>
          </w:p>
          <w:p>
            <w:pPr>
              <w:ind w:firstLine="420" w:firstLineChars="200"/>
              <w:jc w:val="left"/>
              <w:rPr>
                <w:szCs w:val="21"/>
              </w:rPr>
            </w:pPr>
            <w:r>
              <w:rPr>
                <w:rFonts w:hint="eastAsia"/>
                <w:szCs w:val="21"/>
              </w:rPr>
              <w:t xml:space="preserve">3、我方因违法经营被处以较大数额罚款等行政处罚。 </w:t>
            </w:r>
          </w:p>
          <w:p>
            <w:pPr>
              <w:ind w:firstLine="420" w:firstLineChars="200"/>
              <w:jc w:val="left"/>
              <w:rPr>
                <w:szCs w:val="21"/>
              </w:rPr>
            </w:pPr>
            <w:r>
              <w:rPr>
                <w:rFonts w:hint="eastAsia"/>
                <w:szCs w:val="21"/>
              </w:rPr>
              <w:t xml:space="preserve">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 </w:t>
            </w:r>
          </w:p>
          <w:p>
            <w:pPr>
              <w:jc w:val="left"/>
              <w:rPr>
                <w:szCs w:val="21"/>
              </w:rPr>
            </w:pPr>
            <w:r>
              <w:rPr>
                <w:rFonts w:hint="eastAsia"/>
                <w:szCs w:val="21"/>
              </w:rPr>
              <w:t xml:space="preserve">特此声明！ </w:t>
            </w:r>
          </w:p>
          <w:p>
            <w:pPr>
              <w:rPr>
                <w:szCs w:val="21"/>
                <w:u w:val="single"/>
              </w:rPr>
            </w:pPr>
            <w:r>
              <w:rPr>
                <w:rFonts w:hint="eastAsia"/>
                <w:szCs w:val="21"/>
              </w:rPr>
              <w:t>供应商：</w:t>
            </w:r>
            <w:r>
              <w:rPr>
                <w:rFonts w:hint="eastAsia"/>
                <w:szCs w:val="21"/>
                <w:u w:val="single"/>
              </w:rPr>
              <w:t xml:space="preserve"> （盖单位章）             </w:t>
            </w:r>
          </w:p>
          <w:p>
            <w:pPr>
              <w:rPr>
                <w:szCs w:val="21"/>
                <w:u w:val="single"/>
              </w:rPr>
            </w:pPr>
            <w:r>
              <w:rPr>
                <w:rFonts w:hint="eastAsia"/>
                <w:szCs w:val="21"/>
              </w:rPr>
              <w:t>法定代表人或其委托代理人：</w:t>
            </w:r>
            <w:r>
              <w:rPr>
                <w:rFonts w:hint="eastAsia"/>
                <w:szCs w:val="21"/>
                <w:u w:val="single"/>
              </w:rPr>
              <w:t xml:space="preserve"> （签字）      </w:t>
            </w:r>
          </w:p>
          <w:p>
            <w:pPr>
              <w:jc w:val="right"/>
              <w:rPr>
                <w:szCs w:val="21"/>
              </w:rPr>
            </w:pPr>
            <w:r>
              <w:rPr>
                <w:rFonts w:hint="eastAsia"/>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5</w:t>
            </w:r>
          </w:p>
        </w:tc>
        <w:tc>
          <w:tcPr>
            <w:tcW w:w="1898"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szCs w:val="21"/>
              </w:rPr>
              <w:t>具备法律、行政法规规定的其他条件的证明材料。</w:t>
            </w:r>
          </w:p>
        </w:tc>
        <w:tc>
          <w:tcPr>
            <w:tcW w:w="6097" w:type="dxa"/>
            <w:tcBorders>
              <w:top w:val="single" w:color="auto" w:sz="4" w:space="0"/>
              <w:left w:val="single" w:color="auto" w:sz="4" w:space="0"/>
              <w:bottom w:val="single" w:color="auto" w:sz="4" w:space="0"/>
              <w:right w:val="single" w:color="auto" w:sz="4" w:space="0"/>
            </w:tcBorders>
            <w:vAlign w:val="center"/>
          </w:tcPr>
          <w:p>
            <w:pPr>
              <w:jc w:val="left"/>
              <w:rPr>
                <w:rFonts w:eastAsia="宋体"/>
                <w:szCs w:val="21"/>
              </w:rPr>
            </w:pPr>
            <w:r>
              <w:rPr>
                <w:rFonts w:ascii="宋体" w:hAnsi="宋体" w:eastAsia="宋体"/>
                <w:color w:val="000000"/>
                <w:szCs w:val="21"/>
              </w:rPr>
              <w:t>具备法律、行政法规规定的其他条件的证明材料</w:t>
            </w:r>
            <w:r>
              <w:rPr>
                <w:rFonts w:hint="eastAsia" w:ascii="宋体" w:hAnsi="宋体" w:eastAsia="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6</w:t>
            </w:r>
          </w:p>
        </w:tc>
        <w:tc>
          <w:tcPr>
            <w:tcW w:w="1898"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szCs w:val="21"/>
              </w:rPr>
              <w:t>未被列入 “信用中国”网站（www.creditchina.gov.cn）失信被执行人、重大税收违法案件当事人名单、政府采购严重违法失信行为记录名单。</w:t>
            </w:r>
          </w:p>
        </w:tc>
        <w:tc>
          <w:tcPr>
            <w:tcW w:w="6097"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提供未被列入 “信用中国”网站（www.creditchina.gov.cn）失信被执行人、重大税收违法案件当事人名单、政府采购严重违法失信行为记录名单的网页打印件。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7</w:t>
            </w:r>
          </w:p>
        </w:tc>
        <w:tc>
          <w:tcPr>
            <w:tcW w:w="1898" w:type="dxa"/>
            <w:tcBorders>
              <w:top w:val="single" w:color="auto" w:sz="4" w:space="0"/>
              <w:left w:val="single" w:color="auto" w:sz="4" w:space="0"/>
              <w:bottom w:val="single" w:color="auto" w:sz="4" w:space="0"/>
              <w:right w:val="single" w:color="auto" w:sz="4" w:space="0"/>
            </w:tcBorders>
            <w:vAlign w:val="center"/>
          </w:tcPr>
          <w:p>
            <w:pPr>
              <w:jc w:val="left"/>
              <w:rPr>
                <w:rFonts w:eastAsia="宋体"/>
                <w:szCs w:val="21"/>
              </w:rPr>
            </w:pPr>
            <w:r>
              <w:rPr>
                <w:rFonts w:hint="eastAsia"/>
                <w:szCs w:val="21"/>
              </w:rPr>
              <w:t>特定条件：详见采购公告 </w:t>
            </w:r>
          </w:p>
        </w:tc>
        <w:tc>
          <w:tcPr>
            <w:tcW w:w="6097"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由供应商提供证明材料</w:t>
            </w:r>
          </w:p>
        </w:tc>
      </w:tr>
    </w:tbl>
    <w:p>
      <w:pPr>
        <w:spacing w:line="500" w:lineRule="exact"/>
        <w:jc w:val="center"/>
        <w:outlineLvl w:val="0"/>
        <w:rPr>
          <w:rFonts w:cs="Times New Roman" w:asciiTheme="minorEastAsia" w:hAnsiTheme="minorEastAsia"/>
          <w:b/>
          <w:sz w:val="36"/>
          <w:szCs w:val="36"/>
          <w:lang w:val="hr-HR" w:bidi="ar-EG"/>
        </w:rPr>
      </w:pPr>
    </w:p>
    <w:p>
      <w:pPr>
        <w:pStyle w:val="78"/>
        <w:ind w:firstLine="440"/>
        <w:rPr>
          <w:rFonts w:cs="Times New Roman" w:asciiTheme="minorEastAsia" w:hAnsiTheme="minorEastAsia"/>
          <w:bCs/>
          <w:sz w:val="22"/>
          <w:szCs w:val="22"/>
        </w:rPr>
      </w:pPr>
      <w:r>
        <w:rPr>
          <w:rFonts w:hint="eastAsia" w:cs="Times New Roman" w:asciiTheme="minorEastAsia" w:hAnsiTheme="minorEastAsia"/>
          <w:bCs/>
          <w:sz w:val="22"/>
          <w:szCs w:val="22"/>
        </w:rPr>
        <w:t xml:space="preserve">备注： </w:t>
      </w:r>
    </w:p>
    <w:p>
      <w:pPr>
        <w:pStyle w:val="78"/>
        <w:ind w:firstLine="440"/>
        <w:rPr>
          <w:rFonts w:cs="Times New Roman" w:asciiTheme="minorEastAsia" w:hAnsiTheme="minorEastAsia"/>
          <w:bCs/>
          <w:sz w:val="22"/>
          <w:szCs w:val="22"/>
        </w:rPr>
      </w:pPr>
      <w:r>
        <w:rPr>
          <w:rFonts w:hint="eastAsia" w:cs="Times New Roman" w:asciiTheme="minorEastAsia" w:hAnsiTheme="minorEastAsia"/>
          <w:bCs/>
          <w:sz w:val="22"/>
          <w:szCs w:val="22"/>
        </w:rPr>
        <w:t xml:space="preserve">（1）所有证书、证明文件包括按要求提供的官网截图必须是真实可查证的，须注明资料来源。资格证明文件应为原件的扫描件，响应文件中须编入清晰的彩色扫描件或彩色复印件。所有证明材料须清晰可辨认，如因证明材料模糊无法辨认，缺页、漏页导致无法进行评审认定的责任由供应商自负。如发现弄虚作假将按照有关规定严肃处理。 </w:t>
      </w:r>
    </w:p>
    <w:p>
      <w:pPr>
        <w:pStyle w:val="78"/>
        <w:ind w:firstLine="440"/>
        <w:rPr>
          <w:rFonts w:cs="Times New Roman" w:asciiTheme="minorEastAsia" w:hAnsiTheme="minorEastAsia"/>
          <w:bCs/>
          <w:sz w:val="22"/>
          <w:szCs w:val="22"/>
        </w:rPr>
      </w:pPr>
      <w:r>
        <w:rPr>
          <w:rFonts w:hint="eastAsia" w:cs="Times New Roman" w:asciiTheme="minorEastAsia" w:hAnsiTheme="minorEastAsia"/>
          <w:bCs/>
          <w:sz w:val="22"/>
          <w:szCs w:val="22"/>
        </w:rPr>
        <w:t xml:space="preserve">证明材料仅限于供应商本身，参股或控股单位及独立法人子公司的材料不能作为证明材料，但供应商兼并的企业的材料可作为证明材料。 </w:t>
      </w:r>
    </w:p>
    <w:p>
      <w:pPr>
        <w:pStyle w:val="78"/>
        <w:ind w:firstLine="440"/>
        <w:rPr>
          <w:rFonts w:cs="Times New Roman" w:asciiTheme="minorEastAsia" w:hAnsiTheme="minorEastAsia"/>
          <w:bCs/>
          <w:sz w:val="22"/>
          <w:szCs w:val="22"/>
        </w:rPr>
      </w:pPr>
      <w:r>
        <w:rPr>
          <w:rFonts w:hint="eastAsia" w:cs="Times New Roman" w:asciiTheme="minorEastAsia" w:hAnsiTheme="minorEastAsia"/>
          <w:bCs/>
          <w:sz w:val="22"/>
          <w:szCs w:val="22"/>
        </w:rPr>
        <w:t xml:space="preserve">（2）对于响应文件中有任意一条不满足上表要求的将视为未实质性响应谈判文件，不进入下一项评审。 </w:t>
      </w:r>
    </w:p>
    <w:p>
      <w:pPr>
        <w:rPr>
          <w:rFonts w:cs="Times New Roman" w:asciiTheme="minorEastAsia" w:hAnsiTheme="minorEastAsia"/>
          <w:bCs/>
          <w:szCs w:val="24"/>
        </w:rPr>
      </w:pPr>
      <w:r>
        <w:rPr>
          <w:rFonts w:hint="eastAsia" w:cs="Times New Roman" w:asciiTheme="minorEastAsia" w:hAnsiTheme="minorEastAsia"/>
          <w:bCs/>
          <w:szCs w:val="24"/>
        </w:rPr>
        <w:br w:type="page"/>
      </w:r>
    </w:p>
    <w:p>
      <w:pPr>
        <w:pStyle w:val="78"/>
        <w:ind w:firstLine="0" w:firstLineChars="0"/>
        <w:rPr>
          <w:rFonts w:cs="Times New Roman" w:asciiTheme="minorEastAsia" w:hAnsiTheme="minorEastAsia"/>
          <w:bCs/>
          <w:szCs w:val="24"/>
        </w:rPr>
      </w:pPr>
      <w:r>
        <w:rPr>
          <w:rFonts w:hint="eastAsia" w:cs="Times New Roman" w:asciiTheme="minorEastAsia" w:hAnsiTheme="minorEastAsia"/>
          <w:b/>
          <w:color w:val="auto"/>
          <w:sz w:val="28"/>
          <w:szCs w:val="28"/>
          <w:lang w:val="hr-HR" w:bidi="ar-EG"/>
        </w:rPr>
        <w:t>二、符合性审查</w:t>
      </w:r>
    </w:p>
    <w:tbl>
      <w:tblPr>
        <w:tblStyle w:val="19"/>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5276"/>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restart"/>
            <w:vAlign w:val="center"/>
          </w:tcPr>
          <w:p>
            <w:pPr>
              <w:jc w:val="center"/>
              <w:rPr>
                <w:rFonts w:ascii="Calibri" w:hAnsi="Calibri"/>
                <w:kern w:val="0"/>
                <w:szCs w:val="21"/>
              </w:rPr>
            </w:pPr>
            <w:r>
              <w:rPr>
                <w:rFonts w:hint="eastAsia" w:ascii="Calibri" w:hAnsi="Calibri"/>
                <w:kern w:val="0"/>
                <w:szCs w:val="21"/>
              </w:rPr>
              <w:t>符合性审查</w:t>
            </w:r>
          </w:p>
        </w:tc>
        <w:tc>
          <w:tcPr>
            <w:tcW w:w="5276" w:type="dxa"/>
          </w:tcPr>
          <w:p>
            <w:pPr>
              <w:jc w:val="center"/>
              <w:rPr>
                <w:rFonts w:ascii="宋体" w:hAnsi="宋体" w:eastAsia="宋体"/>
                <w:color w:val="000000"/>
              </w:rPr>
            </w:pPr>
            <w:r>
              <w:rPr>
                <w:rFonts w:hint="eastAsia" w:ascii="宋体" w:hAnsi="宋体" w:eastAsia="宋体"/>
                <w:color w:val="000000"/>
              </w:rPr>
              <w:t>审查内容</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ascii="Calibri" w:hAnsi="Calibri"/>
                <w:kern w:val="0"/>
                <w:szCs w:val="21"/>
              </w:rPr>
            </w:pPr>
          </w:p>
        </w:tc>
        <w:tc>
          <w:tcPr>
            <w:tcW w:w="5276" w:type="dxa"/>
            <w:vAlign w:val="center"/>
          </w:tcPr>
          <w:p>
            <w:pPr>
              <w:rPr>
                <w:rFonts w:ascii="Calibri" w:hAnsi="Calibri"/>
                <w:sz w:val="22"/>
              </w:rPr>
            </w:pPr>
            <w:r>
              <w:rPr>
                <w:rFonts w:hint="eastAsia" w:ascii="宋体" w:hAnsi="宋体" w:eastAsia="宋体"/>
                <w:color w:val="000000"/>
              </w:rPr>
              <w:t xml:space="preserve">1.按照磋商文件规定要求签署、盖章； </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ascii="Calibri" w:hAnsi="Calibri"/>
                <w:kern w:val="0"/>
                <w:szCs w:val="21"/>
              </w:rPr>
            </w:pPr>
          </w:p>
        </w:tc>
        <w:tc>
          <w:tcPr>
            <w:tcW w:w="5276" w:type="dxa"/>
            <w:vAlign w:val="center"/>
          </w:tcPr>
          <w:p>
            <w:pPr>
              <w:rPr>
                <w:rFonts w:ascii="Calibri" w:hAnsi="Calibri"/>
                <w:sz w:val="22"/>
              </w:rPr>
            </w:pPr>
            <w:r>
              <w:rPr>
                <w:rFonts w:hint="eastAsia" w:ascii="宋体" w:hAnsi="宋体" w:eastAsia="宋体"/>
                <w:color w:val="000000"/>
              </w:rPr>
              <w:t xml:space="preserve">2.按磋商文件要求进行报价； </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ascii="Calibri" w:hAnsi="Calibri"/>
                <w:kern w:val="0"/>
                <w:szCs w:val="21"/>
              </w:rPr>
            </w:pPr>
          </w:p>
        </w:tc>
        <w:tc>
          <w:tcPr>
            <w:tcW w:w="5276" w:type="dxa"/>
            <w:vAlign w:val="center"/>
          </w:tcPr>
          <w:p>
            <w:pPr>
              <w:rPr>
                <w:rFonts w:ascii="Calibri" w:hAnsi="Calibri"/>
                <w:sz w:val="22"/>
              </w:rPr>
            </w:pPr>
            <w:r>
              <w:rPr>
                <w:rFonts w:hint="eastAsia" w:ascii="宋体" w:hAnsi="宋体" w:eastAsia="宋体"/>
                <w:color w:val="000000"/>
              </w:rPr>
              <w:t xml:space="preserve">3.响应文件有效期满足磋商文件规定； </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ascii="Calibri" w:hAnsi="Calibri"/>
                <w:kern w:val="0"/>
                <w:szCs w:val="21"/>
              </w:rPr>
            </w:pPr>
          </w:p>
        </w:tc>
        <w:tc>
          <w:tcPr>
            <w:tcW w:w="5276" w:type="dxa"/>
            <w:vAlign w:val="center"/>
          </w:tcPr>
          <w:p>
            <w:pPr>
              <w:rPr>
                <w:rFonts w:ascii="Calibri" w:hAnsi="Calibri"/>
                <w:sz w:val="22"/>
              </w:rPr>
            </w:pPr>
            <w:r>
              <w:rPr>
                <w:rFonts w:hint="eastAsia" w:ascii="宋体" w:hAnsi="宋体" w:eastAsia="宋体"/>
                <w:color w:val="000000"/>
              </w:rPr>
              <w:t xml:space="preserve">4.响应文件中未附有采购人不能接受条件； </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662" w:type="dxa"/>
            <w:vMerge w:val="continue"/>
            <w:vAlign w:val="center"/>
          </w:tcPr>
          <w:p>
            <w:pPr>
              <w:jc w:val="center"/>
              <w:rPr>
                <w:rFonts w:ascii="Calibri" w:hAnsi="Calibri"/>
                <w:kern w:val="0"/>
                <w:szCs w:val="21"/>
              </w:rPr>
            </w:pPr>
          </w:p>
        </w:tc>
        <w:tc>
          <w:tcPr>
            <w:tcW w:w="5276" w:type="dxa"/>
            <w:vAlign w:val="center"/>
          </w:tcPr>
          <w:p>
            <w:pPr>
              <w:rPr>
                <w:rFonts w:ascii="宋体" w:hAnsi="宋体" w:eastAsia="宋体"/>
                <w:color w:val="000000"/>
              </w:rPr>
            </w:pPr>
            <w:r>
              <w:rPr>
                <w:rFonts w:hint="eastAsia" w:ascii="宋体" w:hAnsi="宋体" w:eastAsia="宋体"/>
                <w:color w:val="000000"/>
              </w:rPr>
              <w:t xml:space="preserve">5.响应文件满足磋商文件商务、技术等实质性要求； </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2" w:type="dxa"/>
            <w:vMerge w:val="continue"/>
            <w:vAlign w:val="center"/>
          </w:tcPr>
          <w:p>
            <w:pPr>
              <w:jc w:val="center"/>
              <w:rPr>
                <w:rFonts w:ascii="Calibri" w:hAnsi="Calibri"/>
                <w:kern w:val="0"/>
                <w:szCs w:val="21"/>
              </w:rPr>
            </w:pPr>
          </w:p>
        </w:tc>
        <w:tc>
          <w:tcPr>
            <w:tcW w:w="5276" w:type="dxa"/>
            <w:vAlign w:val="center"/>
          </w:tcPr>
          <w:p>
            <w:pPr>
              <w:rPr>
                <w:rFonts w:ascii="宋体" w:hAnsi="宋体" w:eastAsia="宋体"/>
                <w:color w:val="000000"/>
              </w:rPr>
            </w:pPr>
            <w:r>
              <w:rPr>
                <w:rFonts w:hint="eastAsia" w:ascii="宋体" w:hAnsi="宋体" w:eastAsia="宋体"/>
                <w:color w:val="000000"/>
              </w:rPr>
              <w:t xml:space="preserve">6.供应商未出现磋商文件中规定无效的其它条款； </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1662" w:type="dxa"/>
            <w:vMerge w:val="continue"/>
            <w:vAlign w:val="center"/>
          </w:tcPr>
          <w:p>
            <w:pPr>
              <w:jc w:val="center"/>
              <w:rPr>
                <w:rFonts w:ascii="Calibri" w:hAnsi="Calibri"/>
                <w:kern w:val="0"/>
                <w:szCs w:val="21"/>
              </w:rPr>
            </w:pPr>
          </w:p>
        </w:tc>
        <w:tc>
          <w:tcPr>
            <w:tcW w:w="5276" w:type="dxa"/>
            <w:vAlign w:val="center"/>
          </w:tcPr>
          <w:p>
            <w:pPr>
              <w:rPr>
                <w:rFonts w:ascii="宋体" w:hAnsi="宋体" w:eastAsia="宋体"/>
                <w:color w:val="000000"/>
              </w:rPr>
            </w:pPr>
            <w:r>
              <w:rPr>
                <w:rFonts w:hint="eastAsia" w:ascii="宋体" w:hAnsi="宋体" w:eastAsia="宋体"/>
                <w:color w:val="000000"/>
              </w:rPr>
              <w:t xml:space="preserve">7.供应商未有下列任一情形： </w:t>
            </w:r>
          </w:p>
          <w:p>
            <w:pPr>
              <w:rPr>
                <w:rFonts w:ascii="宋体" w:hAnsi="宋体" w:eastAsia="宋体"/>
                <w:color w:val="000000"/>
              </w:rPr>
            </w:pPr>
            <w:r>
              <w:rPr>
                <w:rFonts w:hint="eastAsia" w:ascii="宋体" w:hAnsi="宋体" w:eastAsia="宋体"/>
                <w:color w:val="000000"/>
              </w:rPr>
              <w:t xml:space="preserve">（1）不同供应商的响应文件由同一单位或者个人编制； </w:t>
            </w:r>
          </w:p>
          <w:p>
            <w:pPr>
              <w:rPr>
                <w:rFonts w:ascii="宋体" w:hAnsi="宋体" w:eastAsia="宋体"/>
                <w:color w:val="000000"/>
              </w:rPr>
            </w:pPr>
            <w:r>
              <w:rPr>
                <w:rFonts w:hint="eastAsia" w:ascii="宋体" w:hAnsi="宋体" w:eastAsia="宋体"/>
                <w:color w:val="000000"/>
              </w:rPr>
              <w:t xml:space="preserve">（2）不同供应商委托同一单位或者个人办理投标事宜； </w:t>
            </w:r>
          </w:p>
          <w:p>
            <w:pPr>
              <w:rPr>
                <w:rFonts w:ascii="宋体" w:hAnsi="宋体" w:eastAsia="宋体"/>
                <w:color w:val="000000"/>
              </w:rPr>
            </w:pPr>
            <w:r>
              <w:rPr>
                <w:rFonts w:hint="eastAsia" w:ascii="宋体" w:hAnsi="宋体" w:eastAsia="宋体"/>
                <w:color w:val="000000"/>
              </w:rPr>
              <w:t xml:space="preserve">（3）不同供应商的响应文件载明的项目管理成员或者联系人员为同一人； </w:t>
            </w:r>
          </w:p>
          <w:p>
            <w:pPr>
              <w:rPr>
                <w:rFonts w:ascii="宋体" w:hAnsi="宋体" w:eastAsia="宋体"/>
                <w:color w:val="000000"/>
              </w:rPr>
            </w:pPr>
            <w:r>
              <w:rPr>
                <w:rFonts w:hint="eastAsia" w:ascii="宋体" w:hAnsi="宋体" w:eastAsia="宋体"/>
                <w:color w:val="000000"/>
              </w:rPr>
              <w:t xml:space="preserve">（4）不同供应商的响应文件异常一致或者投标报价呈规律性差异； </w:t>
            </w:r>
          </w:p>
          <w:p>
            <w:pPr>
              <w:rPr>
                <w:rFonts w:ascii="宋体" w:hAnsi="宋体" w:eastAsia="宋体"/>
                <w:color w:val="000000"/>
              </w:rPr>
            </w:pPr>
            <w:r>
              <w:rPr>
                <w:rFonts w:hint="eastAsia" w:ascii="宋体" w:hAnsi="宋体" w:eastAsia="宋体"/>
                <w:color w:val="000000"/>
              </w:rPr>
              <w:t>（5）不同供应商的响应文件相互混装。</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938" w:type="dxa"/>
            <w:gridSpan w:val="2"/>
            <w:vAlign w:val="center"/>
          </w:tcPr>
          <w:p>
            <w:pPr>
              <w:jc w:val="center"/>
              <w:rPr>
                <w:rFonts w:ascii="宋体" w:hAnsi="宋体" w:eastAsia="宋体"/>
                <w:color w:val="000000"/>
              </w:rPr>
            </w:pPr>
            <w:r>
              <w:rPr>
                <w:rFonts w:hint="eastAsia" w:ascii="宋体" w:hAnsi="宋体" w:eastAsia="宋体"/>
                <w:color w:val="000000"/>
              </w:rPr>
              <w:t>审查结论</w:t>
            </w:r>
          </w:p>
        </w:tc>
        <w:tc>
          <w:tcPr>
            <w:tcW w:w="1920" w:type="dxa"/>
          </w:tcPr>
          <w:p>
            <w:pPr>
              <w:jc w:val="center"/>
              <w:rPr>
                <w:rFonts w:ascii="Calibri" w:hAnsi="Calibri"/>
                <w:kern w:val="0"/>
                <w:szCs w:val="21"/>
              </w:rPr>
            </w:pPr>
          </w:p>
        </w:tc>
      </w:tr>
    </w:tbl>
    <w:p>
      <w:pPr>
        <w:jc w:val="left"/>
        <w:rPr>
          <w:rFonts w:ascii="宋体" w:hAnsi="宋体" w:eastAsia="宋体"/>
          <w:color w:val="000000"/>
          <w:sz w:val="24"/>
        </w:rPr>
      </w:pPr>
    </w:p>
    <w:tbl>
      <w:tblPr>
        <w:tblStyle w:val="18"/>
        <w:tblW w:w="0" w:type="auto"/>
        <w:tblInd w:w="0" w:type="dxa"/>
        <w:tblLayout w:type="fixed"/>
        <w:tblCellMar>
          <w:top w:w="0" w:type="dxa"/>
          <w:left w:w="108" w:type="dxa"/>
          <w:bottom w:w="0" w:type="dxa"/>
          <w:right w:w="108" w:type="dxa"/>
        </w:tblCellMar>
      </w:tblPr>
      <w:tblGrid>
        <w:gridCol w:w="8842"/>
      </w:tblGrid>
      <w:tr>
        <w:tblPrEx>
          <w:tblCellMar>
            <w:top w:w="0" w:type="dxa"/>
            <w:left w:w="108" w:type="dxa"/>
            <w:bottom w:w="0" w:type="dxa"/>
            <w:right w:w="108" w:type="dxa"/>
          </w:tblCellMar>
        </w:tblPrEx>
        <w:trPr>
          <w:trHeight w:val="105" w:hRule="atLeast"/>
        </w:trPr>
        <w:tc>
          <w:tcPr>
            <w:tcW w:w="8842" w:type="dxa"/>
            <w:tcBorders>
              <w:tl2br w:val="nil"/>
              <w:tr2bl w:val="nil"/>
            </w:tcBorders>
          </w:tcPr>
          <w:p>
            <w:pPr>
              <w:jc w:val="left"/>
              <w:rPr>
                <w:rFonts w:ascii="宋体" w:hAnsi="宋体" w:eastAsia="宋体"/>
                <w:color w:val="000000"/>
              </w:rPr>
            </w:pPr>
            <w:r>
              <w:rPr>
                <w:rFonts w:hint="eastAsia" w:ascii="宋体" w:hAnsi="宋体" w:eastAsia="宋体"/>
                <w:color w:val="000000"/>
              </w:rPr>
              <w:t xml:space="preserve">说明： </w:t>
            </w:r>
          </w:p>
        </w:tc>
      </w:tr>
      <w:tr>
        <w:tblPrEx>
          <w:tblCellMar>
            <w:top w:w="0" w:type="dxa"/>
            <w:left w:w="108" w:type="dxa"/>
            <w:bottom w:w="0" w:type="dxa"/>
            <w:right w:w="108" w:type="dxa"/>
          </w:tblCellMar>
        </w:tblPrEx>
        <w:trPr>
          <w:trHeight w:val="105" w:hRule="atLeast"/>
        </w:trPr>
        <w:tc>
          <w:tcPr>
            <w:tcW w:w="8842" w:type="dxa"/>
            <w:tcBorders>
              <w:tl2br w:val="nil"/>
              <w:tr2bl w:val="nil"/>
            </w:tcBorders>
          </w:tcPr>
          <w:p>
            <w:pPr>
              <w:jc w:val="left"/>
              <w:rPr>
                <w:rFonts w:ascii="宋体" w:hAnsi="宋体" w:eastAsia="宋体"/>
                <w:color w:val="000000"/>
              </w:rPr>
            </w:pPr>
            <w:r>
              <w:rPr>
                <w:rFonts w:hint="eastAsia" w:ascii="宋体" w:hAnsi="宋体" w:eastAsia="宋体"/>
                <w:color w:val="000000"/>
              </w:rPr>
              <w:t xml:space="preserve">1）磋商小组分别对每一响应文件依据上表进行检查。 </w:t>
            </w:r>
          </w:p>
        </w:tc>
      </w:tr>
      <w:tr>
        <w:tblPrEx>
          <w:tblCellMar>
            <w:top w:w="0" w:type="dxa"/>
            <w:left w:w="108" w:type="dxa"/>
            <w:bottom w:w="0" w:type="dxa"/>
            <w:right w:w="108" w:type="dxa"/>
          </w:tblCellMar>
        </w:tblPrEx>
        <w:trPr>
          <w:trHeight w:val="241" w:hRule="atLeast"/>
        </w:trPr>
        <w:tc>
          <w:tcPr>
            <w:tcW w:w="8842" w:type="dxa"/>
            <w:tcBorders>
              <w:tl2br w:val="nil"/>
              <w:tr2bl w:val="nil"/>
            </w:tcBorders>
          </w:tcPr>
          <w:p>
            <w:pPr>
              <w:jc w:val="left"/>
              <w:rPr>
                <w:rFonts w:ascii="宋体" w:hAnsi="宋体" w:eastAsia="宋体"/>
                <w:color w:val="000000"/>
              </w:rPr>
            </w:pPr>
            <w:r>
              <w:rPr>
                <w:rFonts w:hint="eastAsia" w:ascii="宋体" w:hAnsi="宋体" w:eastAsia="宋体"/>
                <w:color w:val="000000"/>
              </w:rPr>
              <w:t xml:space="preserve">2）磋商小组决定供应商的响应性只根据响应文件本身的真实无误的内容，而不依据外部的证据，但响应文件有不真实不正确的内容时除外。 </w:t>
            </w:r>
          </w:p>
        </w:tc>
      </w:tr>
      <w:tr>
        <w:tblPrEx>
          <w:tblCellMar>
            <w:top w:w="0" w:type="dxa"/>
            <w:left w:w="108" w:type="dxa"/>
            <w:bottom w:w="0" w:type="dxa"/>
            <w:right w:w="108" w:type="dxa"/>
          </w:tblCellMar>
        </w:tblPrEx>
        <w:trPr>
          <w:trHeight w:val="105" w:hRule="atLeast"/>
        </w:trPr>
        <w:tc>
          <w:tcPr>
            <w:tcW w:w="8842" w:type="dxa"/>
            <w:tcBorders>
              <w:tl2br w:val="nil"/>
              <w:tr2bl w:val="nil"/>
            </w:tcBorders>
          </w:tcPr>
          <w:p>
            <w:pPr>
              <w:jc w:val="left"/>
              <w:rPr>
                <w:rFonts w:ascii="宋体" w:hAnsi="宋体" w:eastAsia="宋体"/>
                <w:color w:val="000000"/>
              </w:rPr>
            </w:pPr>
            <w:r>
              <w:rPr>
                <w:rFonts w:hint="eastAsia" w:ascii="宋体" w:hAnsi="宋体" w:eastAsia="宋体"/>
                <w:color w:val="000000"/>
              </w:rPr>
              <w:t>3）满足要求的条款打</w:t>
            </w:r>
            <w:r>
              <w:rPr>
                <w:rFonts w:ascii="宋体" w:hAnsi="宋体" w:eastAsia="宋体"/>
                <w:color w:val="000000"/>
              </w:rPr>
              <w:t>“</w:t>
            </w:r>
            <w:r>
              <w:rPr>
                <w:rFonts w:hint="eastAsia" w:ascii="宋体" w:hAnsi="宋体" w:eastAsia="宋体"/>
                <w:color w:val="000000"/>
              </w:rPr>
              <w:t>√</w:t>
            </w:r>
            <w:r>
              <w:rPr>
                <w:rFonts w:ascii="宋体" w:hAnsi="宋体" w:eastAsia="宋体"/>
                <w:color w:val="000000"/>
              </w:rPr>
              <w:t>”</w:t>
            </w:r>
            <w:r>
              <w:rPr>
                <w:rFonts w:hint="eastAsia" w:ascii="宋体" w:hAnsi="宋体" w:eastAsia="宋体"/>
                <w:color w:val="000000"/>
              </w:rPr>
              <w:t>，否则为</w:t>
            </w:r>
            <w:r>
              <w:rPr>
                <w:rFonts w:ascii="宋体" w:hAnsi="宋体" w:eastAsia="宋体"/>
                <w:color w:val="000000"/>
              </w:rPr>
              <w:t>“</w:t>
            </w:r>
            <w:r>
              <w:rPr>
                <w:rFonts w:hint="eastAsia" w:ascii="宋体" w:hAnsi="宋体" w:eastAsia="宋体"/>
                <w:color w:val="000000"/>
              </w:rPr>
              <w:t>×</w:t>
            </w:r>
            <w:r>
              <w:rPr>
                <w:rFonts w:ascii="宋体" w:hAnsi="宋体" w:eastAsia="宋体"/>
                <w:color w:val="000000"/>
              </w:rPr>
              <w:t>”</w:t>
            </w:r>
            <w:r>
              <w:rPr>
                <w:rFonts w:hint="eastAsia" w:ascii="宋体" w:hAnsi="宋体" w:eastAsia="宋体"/>
                <w:color w:val="000000"/>
              </w:rPr>
              <w:t xml:space="preserve">。 </w:t>
            </w:r>
          </w:p>
        </w:tc>
      </w:tr>
      <w:tr>
        <w:tblPrEx>
          <w:tblCellMar>
            <w:top w:w="0" w:type="dxa"/>
            <w:left w:w="108" w:type="dxa"/>
            <w:bottom w:w="0" w:type="dxa"/>
            <w:right w:w="108" w:type="dxa"/>
          </w:tblCellMar>
        </w:tblPrEx>
        <w:trPr>
          <w:trHeight w:val="105" w:hRule="atLeast"/>
        </w:trPr>
        <w:tc>
          <w:tcPr>
            <w:tcW w:w="8842" w:type="dxa"/>
            <w:tcBorders>
              <w:tl2br w:val="nil"/>
              <w:tr2bl w:val="nil"/>
            </w:tcBorders>
          </w:tcPr>
          <w:p>
            <w:pPr>
              <w:jc w:val="left"/>
              <w:rPr>
                <w:rFonts w:ascii="宋体" w:hAnsi="宋体" w:eastAsia="宋体"/>
                <w:color w:val="000000"/>
              </w:rPr>
            </w:pPr>
            <w:r>
              <w:rPr>
                <w:rFonts w:hint="eastAsia" w:ascii="宋体" w:hAnsi="宋体" w:eastAsia="宋体"/>
                <w:color w:val="000000"/>
              </w:rPr>
              <w:t xml:space="preserve">4）对于响应文件中有任意一条不满足要求将视为未实质性响应谈判文件，不进入磋商程序。 </w:t>
            </w:r>
          </w:p>
        </w:tc>
      </w:tr>
    </w:tbl>
    <w:p>
      <w:pPr>
        <w:pStyle w:val="78"/>
        <w:ind w:firstLine="0" w:firstLineChars="0"/>
        <w:rPr>
          <w:rFonts w:cs="Times New Roman" w:asciiTheme="minorEastAsia" w:hAnsiTheme="minorEastAsia"/>
          <w:bCs/>
          <w:szCs w:val="24"/>
        </w:rPr>
      </w:pPr>
    </w:p>
    <w:p>
      <w:pPr>
        <w:rPr>
          <w:rFonts w:cs="Times New Roman" w:asciiTheme="minorEastAsia" w:hAnsiTheme="minorEastAsia"/>
          <w:bCs/>
          <w:szCs w:val="24"/>
        </w:rPr>
      </w:pPr>
      <w:r>
        <w:rPr>
          <w:rFonts w:hint="eastAsia" w:cs="Times New Roman" w:asciiTheme="minorEastAsia" w:hAnsiTheme="minorEastAsia"/>
          <w:bCs/>
          <w:szCs w:val="24"/>
        </w:rPr>
        <w:br w:type="page"/>
      </w:r>
    </w:p>
    <w:p>
      <w:pPr>
        <w:pStyle w:val="78"/>
        <w:ind w:firstLine="0" w:firstLineChars="0"/>
        <w:rPr>
          <w:rFonts w:cs="Times New Roman" w:asciiTheme="minorEastAsia" w:hAnsiTheme="minorEastAsia"/>
          <w:b/>
          <w:color w:val="auto"/>
          <w:sz w:val="28"/>
          <w:szCs w:val="28"/>
          <w:lang w:val="hr-HR" w:bidi="ar-EG"/>
        </w:rPr>
      </w:pPr>
      <w:r>
        <w:rPr>
          <w:rFonts w:hint="eastAsia" w:cs="Times New Roman" w:asciiTheme="minorEastAsia" w:hAnsiTheme="minorEastAsia"/>
          <w:b/>
          <w:color w:val="auto"/>
          <w:sz w:val="28"/>
          <w:szCs w:val="28"/>
          <w:lang w:val="hr-HR" w:bidi="ar-EG"/>
        </w:rPr>
        <w:t>三、评分标准</w:t>
      </w:r>
    </w:p>
    <w:tbl>
      <w:tblPr>
        <w:tblStyle w:val="18"/>
        <w:tblW w:w="9180" w:type="dxa"/>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559"/>
        <w:gridCol w:w="68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exact"/>
        </w:trPr>
        <w:tc>
          <w:tcPr>
            <w:tcW w:w="747" w:type="dxa"/>
            <w:vMerge w:val="restart"/>
            <w:tcBorders>
              <w:tl2br w:val="nil"/>
              <w:tr2bl w:val="nil"/>
            </w:tcBorders>
            <w:vAlign w:val="center"/>
          </w:tcPr>
          <w:p>
            <w:pPr>
              <w:pStyle w:val="45"/>
              <w:spacing w:before="148" w:line="384" w:lineRule="auto"/>
              <w:ind w:left="136" w:right="137"/>
              <w:jc w:val="center"/>
              <w:rPr>
                <w:rFonts w:eastAsia="宋体"/>
                <w:szCs w:val="21"/>
              </w:rPr>
            </w:pPr>
            <w:r>
              <w:rPr>
                <w:rFonts w:hint="eastAsia" w:eastAsia="宋体"/>
                <w:szCs w:val="21"/>
              </w:rPr>
              <w:t>商务评议（4</w:t>
            </w:r>
            <w:r>
              <w:rPr>
                <w:rFonts w:hint="eastAsia"/>
                <w:szCs w:val="21"/>
              </w:rPr>
              <w:t>0</w:t>
            </w:r>
            <w:r>
              <w:rPr>
                <w:rFonts w:hint="eastAsia" w:eastAsia="宋体"/>
                <w:szCs w:val="21"/>
              </w:rPr>
              <w:t>分）</w:t>
            </w:r>
          </w:p>
        </w:tc>
        <w:tc>
          <w:tcPr>
            <w:tcW w:w="1559" w:type="dxa"/>
            <w:tcBorders>
              <w:tl2br w:val="nil"/>
              <w:tr2bl w:val="nil"/>
            </w:tcBorders>
          </w:tcPr>
          <w:p>
            <w:pPr>
              <w:pStyle w:val="45"/>
              <w:spacing w:before="106"/>
              <w:jc w:val="center"/>
              <w:rPr>
                <w:rFonts w:eastAsia="宋体"/>
                <w:szCs w:val="21"/>
              </w:rPr>
            </w:pPr>
            <w:r>
              <w:rPr>
                <w:rFonts w:eastAsia="宋体"/>
                <w:b/>
                <w:bCs/>
                <w:szCs w:val="21"/>
              </w:rPr>
              <w:t>评分因素</w:t>
            </w:r>
          </w:p>
        </w:tc>
        <w:tc>
          <w:tcPr>
            <w:tcW w:w="6874" w:type="dxa"/>
            <w:tcBorders>
              <w:tl2br w:val="nil"/>
              <w:tr2bl w:val="nil"/>
            </w:tcBorders>
          </w:tcPr>
          <w:p>
            <w:pPr>
              <w:pStyle w:val="45"/>
              <w:spacing w:before="106"/>
              <w:ind w:left="1"/>
              <w:jc w:val="center"/>
              <w:rPr>
                <w:rFonts w:eastAsia="宋体"/>
                <w:szCs w:val="21"/>
              </w:rPr>
            </w:pPr>
            <w:r>
              <w:rPr>
                <w:rFonts w:eastAsia="宋体"/>
                <w:b/>
                <w:bCs/>
                <w:szCs w:val="21"/>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exact"/>
        </w:trPr>
        <w:tc>
          <w:tcPr>
            <w:tcW w:w="747" w:type="dxa"/>
            <w:vMerge w:val="continue"/>
            <w:tcBorders>
              <w:tl2br w:val="nil"/>
              <w:tr2bl w:val="nil"/>
            </w:tcBorders>
          </w:tcPr>
          <w:p/>
        </w:tc>
        <w:tc>
          <w:tcPr>
            <w:tcW w:w="1559" w:type="dxa"/>
            <w:tcBorders>
              <w:tl2br w:val="nil"/>
              <w:tr2bl w:val="nil"/>
            </w:tcBorders>
            <w:vAlign w:val="center"/>
          </w:tcPr>
          <w:p>
            <w:pPr>
              <w:pStyle w:val="45"/>
              <w:spacing w:before="47"/>
              <w:jc w:val="center"/>
              <w:rPr>
                <w:rFonts w:eastAsia="宋体"/>
                <w:szCs w:val="21"/>
              </w:rPr>
            </w:pPr>
            <w:r>
              <w:rPr>
                <w:rFonts w:eastAsia="宋体"/>
                <w:szCs w:val="21"/>
              </w:rPr>
              <w:t>类似项目业绩</w:t>
            </w:r>
            <w:r>
              <w:rPr>
                <w:rFonts w:hint="eastAsia" w:eastAsia="宋体"/>
                <w:szCs w:val="21"/>
              </w:rPr>
              <w:t>（10分）</w:t>
            </w:r>
          </w:p>
        </w:tc>
        <w:tc>
          <w:tcPr>
            <w:tcW w:w="6874" w:type="dxa"/>
            <w:tcBorders>
              <w:tl2br w:val="nil"/>
              <w:tr2bl w:val="nil"/>
            </w:tcBorders>
            <w:vAlign w:val="center"/>
          </w:tcPr>
          <w:p>
            <w:pPr>
              <w:pStyle w:val="38"/>
              <w:numPr>
                <w:ilvl w:val="0"/>
                <w:numId w:val="4"/>
              </w:numPr>
              <w:spacing w:line="360" w:lineRule="auto"/>
              <w:ind w:firstLineChars="0"/>
              <w:rPr>
                <w:rFonts w:ascii="宋体" w:hAnsi="宋体" w:cs="宋体"/>
              </w:rPr>
            </w:pPr>
            <w:r>
              <w:rPr>
                <w:rFonts w:hint="eastAsia" w:ascii="宋体" w:hAnsi="宋体"/>
              </w:rPr>
              <w:t>近三年（投标截止时间前）</w:t>
            </w:r>
            <w:r>
              <w:rPr>
                <w:rFonts w:hint="eastAsia" w:ascii="宋体" w:hAnsi="宋体" w:cs="宋体"/>
              </w:rPr>
              <w:t>供应商有类似排水工程设计业绩</w:t>
            </w:r>
            <w:r>
              <w:rPr>
                <w:rFonts w:hint="eastAsia" w:ascii="宋体" w:hAnsi="宋体"/>
              </w:rPr>
              <w:t>，</w:t>
            </w:r>
            <w:r>
              <w:rPr>
                <w:rFonts w:hint="eastAsia" w:ascii="宋体" w:hAnsi="宋体" w:cs="宋体"/>
              </w:rPr>
              <w:t>每一个得1分，最多得10分。</w:t>
            </w:r>
          </w:p>
          <w:p>
            <w:pPr>
              <w:spacing w:line="360" w:lineRule="auto"/>
              <w:ind w:left="80"/>
              <w:rPr>
                <w:rFonts w:ascii="宋体" w:hAnsi="宋体" w:cs="宋体"/>
              </w:rPr>
            </w:pPr>
            <w:r>
              <w:rPr>
                <w:rFonts w:hint="eastAsia"/>
              </w:rPr>
              <w:t>（以相应的中标通知书或设计合同或竣工验收证明资料复印件为准）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exact"/>
        </w:trPr>
        <w:tc>
          <w:tcPr>
            <w:tcW w:w="747" w:type="dxa"/>
            <w:vMerge w:val="continue"/>
            <w:tcBorders>
              <w:tl2br w:val="nil"/>
              <w:tr2bl w:val="nil"/>
            </w:tcBorders>
          </w:tcPr>
          <w:p/>
        </w:tc>
        <w:tc>
          <w:tcPr>
            <w:tcW w:w="1559" w:type="dxa"/>
            <w:tcBorders>
              <w:tl2br w:val="nil"/>
              <w:tr2bl w:val="nil"/>
            </w:tcBorders>
            <w:vAlign w:val="center"/>
          </w:tcPr>
          <w:p>
            <w:pPr>
              <w:pStyle w:val="45"/>
              <w:spacing w:before="47"/>
              <w:ind w:left="182"/>
              <w:jc w:val="center"/>
              <w:rPr>
                <w:rFonts w:eastAsia="宋体"/>
                <w:szCs w:val="21"/>
              </w:rPr>
            </w:pPr>
            <w:r>
              <w:rPr>
                <w:rFonts w:hint="eastAsia" w:eastAsia="宋体"/>
                <w:szCs w:val="21"/>
              </w:rPr>
              <w:t>拟投入人员团队（</w:t>
            </w:r>
            <w:r>
              <w:rPr>
                <w:rFonts w:hint="eastAsia"/>
                <w:szCs w:val="21"/>
              </w:rPr>
              <w:t>12</w:t>
            </w:r>
            <w:r>
              <w:rPr>
                <w:rFonts w:hint="eastAsia" w:eastAsia="宋体"/>
                <w:szCs w:val="21"/>
              </w:rPr>
              <w:t>分）</w:t>
            </w:r>
          </w:p>
        </w:tc>
        <w:tc>
          <w:tcPr>
            <w:tcW w:w="6874" w:type="dxa"/>
            <w:tcBorders>
              <w:tl2br w:val="nil"/>
              <w:tr2bl w:val="nil"/>
            </w:tcBorders>
            <w:vAlign w:val="center"/>
          </w:tcPr>
          <w:p>
            <w:pPr>
              <w:numPr>
                <w:ilvl w:val="0"/>
                <w:numId w:val="5"/>
              </w:numPr>
              <w:adjustRightInd w:val="0"/>
              <w:snapToGrid w:val="0"/>
              <w:jc w:val="left"/>
              <w:rPr>
                <w:rFonts w:ascii="宋体" w:hAnsi="宋体"/>
                <w:szCs w:val="21"/>
              </w:rPr>
            </w:pPr>
            <w:r>
              <w:rPr>
                <w:rFonts w:hint="eastAsia" w:ascii="宋体" w:hAnsi="宋体"/>
                <w:szCs w:val="21"/>
              </w:rPr>
              <w:t>拟派项目负责人获得过省级及以上优秀勘察设计师荣誉的得2分；拟派项目负责人具备研究员级高级工程师的得1分。</w:t>
            </w:r>
            <w:r>
              <w:rPr>
                <w:rFonts w:hint="eastAsia" w:hAnsi="宋体"/>
                <w:szCs w:val="21"/>
              </w:rPr>
              <w:t>最多得3分。</w:t>
            </w:r>
          </w:p>
          <w:p>
            <w:pPr>
              <w:pStyle w:val="77"/>
              <w:ind w:firstLine="0" w:firstLineChars="0"/>
            </w:pPr>
            <w:r>
              <w:rPr>
                <w:rFonts w:hint="eastAsia" w:hAnsi="宋体"/>
                <w:szCs w:val="21"/>
              </w:rPr>
              <w:t>2、道路、排水、结构、电气、造价各专业人员获得过省级及以上优秀勘察设计师荣誉的每个得2分，最多得6分。</w:t>
            </w:r>
          </w:p>
          <w:p>
            <w:pPr>
              <w:pStyle w:val="45"/>
              <w:spacing w:before="155"/>
              <w:rPr>
                <w:rFonts w:ascii="Times New Roman" w:hAnsi="Times New Roman" w:eastAsia="Times New Roman" w:cs="Times New Roman"/>
                <w:szCs w:val="21"/>
              </w:rPr>
            </w:pPr>
            <w:r>
              <w:rPr>
                <w:rFonts w:hint="eastAsia"/>
                <w:szCs w:val="21"/>
              </w:rPr>
              <w:t>3、道路、排水、结构、电气、造价各专业人员为研究员级高级工程师的每个加0.5分，具备注册执业资格证书的每个加0.5分，最多得</w:t>
            </w:r>
            <w:r>
              <w:rPr>
                <w:rFonts w:hint="eastAsia" w:eastAsia="宋体"/>
                <w:szCs w:val="21"/>
              </w:rPr>
              <w:t>3</w:t>
            </w:r>
            <w:r>
              <w:rPr>
                <w:rFonts w:hint="eastAsia"/>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1" w:hRule="exact"/>
        </w:trPr>
        <w:tc>
          <w:tcPr>
            <w:tcW w:w="747" w:type="dxa"/>
            <w:vMerge w:val="continue"/>
            <w:tcBorders>
              <w:tl2br w:val="nil"/>
              <w:tr2bl w:val="nil"/>
            </w:tcBorders>
          </w:tcPr>
          <w:p/>
        </w:tc>
        <w:tc>
          <w:tcPr>
            <w:tcW w:w="1559" w:type="dxa"/>
            <w:tcBorders>
              <w:tl2br w:val="nil"/>
              <w:tr2bl w:val="nil"/>
            </w:tcBorders>
            <w:vAlign w:val="center"/>
          </w:tcPr>
          <w:p>
            <w:pPr>
              <w:pStyle w:val="45"/>
              <w:spacing w:line="274" w:lineRule="exact"/>
              <w:jc w:val="center"/>
              <w:rPr>
                <w:rFonts w:eastAsia="宋体"/>
                <w:szCs w:val="21"/>
              </w:rPr>
            </w:pPr>
            <w:r>
              <w:rPr>
                <w:rFonts w:hint="eastAsia" w:ascii="Times New Roman" w:hAnsi="Times New Roman" w:eastAsia="宋体" w:cs="Times New Roman"/>
                <w:szCs w:val="21"/>
              </w:rPr>
              <w:t>获奖情况（10分）</w:t>
            </w:r>
          </w:p>
        </w:tc>
        <w:tc>
          <w:tcPr>
            <w:tcW w:w="6874" w:type="dxa"/>
            <w:tcBorders>
              <w:tl2br w:val="nil"/>
              <w:tr2bl w:val="nil"/>
            </w:tcBorders>
            <w:vAlign w:val="center"/>
          </w:tcPr>
          <w:p>
            <w:pPr>
              <w:pStyle w:val="45"/>
            </w:pPr>
            <w:r>
              <w:rPr>
                <w:rFonts w:hint="eastAsia"/>
              </w:rPr>
              <w:t>投标人近三年（投标截止时间前）设计项目获省级奖项的每一项得0.5分，此项最多得7分。</w:t>
            </w:r>
          </w:p>
          <w:p>
            <w:pPr>
              <w:pStyle w:val="45"/>
              <w:rPr>
                <w:rFonts w:ascii="Times New Roman" w:hAnsi="Times New Roman" w:eastAsia="Times New Roman" w:cs="Times New Roman"/>
                <w:szCs w:val="21"/>
              </w:rPr>
            </w:pPr>
            <w:r>
              <w:rPr>
                <w:rFonts w:hint="eastAsia"/>
              </w:rPr>
              <w:t>投标人近三年（投标截止时间前）设计项目获国家级奖项的每一项得1分，最多得3分。（以获奖证书的日期为准，同一项目获多个奖项的按得分高项计分，不重复计分。提供获奖证书及获奖批文复</w:t>
            </w:r>
            <w:r>
              <w:rPr>
                <w:rFonts w:hint="eastAsia"/>
                <w:color w:val="0000CC"/>
              </w:rPr>
              <w:t>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exact"/>
        </w:trPr>
        <w:tc>
          <w:tcPr>
            <w:tcW w:w="747" w:type="dxa"/>
            <w:vMerge w:val="continue"/>
            <w:tcBorders>
              <w:tl2br w:val="nil"/>
              <w:tr2bl w:val="nil"/>
            </w:tcBorders>
          </w:tcPr>
          <w:p/>
        </w:tc>
        <w:tc>
          <w:tcPr>
            <w:tcW w:w="1559" w:type="dxa"/>
            <w:tcBorders>
              <w:tl2br w:val="nil"/>
              <w:tr2bl w:val="nil"/>
            </w:tcBorders>
            <w:vAlign w:val="center"/>
          </w:tcPr>
          <w:p>
            <w:pPr>
              <w:pStyle w:val="45"/>
              <w:spacing w:before="98"/>
              <w:ind w:right="1"/>
              <w:jc w:val="center"/>
              <w:rPr>
                <w:rFonts w:ascii="Times New Roman" w:hAnsi="Times New Roman" w:eastAsia="宋体" w:cs="Times New Roman"/>
                <w:szCs w:val="21"/>
              </w:rPr>
            </w:pPr>
            <w:r>
              <w:rPr>
                <w:rFonts w:hint="eastAsia" w:ascii="Times New Roman" w:hAnsi="Times New Roman" w:eastAsia="宋体" w:cs="Times New Roman"/>
                <w:szCs w:val="21"/>
              </w:rPr>
              <w:t>综合实力（8分）</w:t>
            </w:r>
          </w:p>
        </w:tc>
        <w:tc>
          <w:tcPr>
            <w:tcW w:w="6874" w:type="dxa"/>
            <w:tcBorders>
              <w:tl2br w:val="nil"/>
              <w:tr2bl w:val="nil"/>
            </w:tcBorders>
            <w:vAlign w:val="center"/>
          </w:tcPr>
          <w:p>
            <w:pPr>
              <w:adjustRightInd w:val="0"/>
              <w:snapToGrid w:val="0"/>
              <w:spacing w:line="360" w:lineRule="auto"/>
              <w:rPr>
                <w:rFonts w:ascii="宋体" w:hAnsi="宋体"/>
                <w:szCs w:val="21"/>
              </w:rPr>
            </w:pPr>
            <w:r>
              <w:rPr>
                <w:rFonts w:hint="eastAsia" w:ascii="宋体" w:hAnsi="宋体" w:eastAsia="宋体"/>
                <w:szCs w:val="21"/>
              </w:rPr>
              <w:t>1、</w:t>
            </w:r>
            <w:r>
              <w:rPr>
                <w:rFonts w:hint="eastAsia" w:ascii="宋体" w:hAnsi="宋体"/>
                <w:szCs w:val="21"/>
              </w:rPr>
              <w:t>投标人近三年</w:t>
            </w:r>
            <w:r>
              <w:rPr>
                <w:rFonts w:hint="eastAsia" w:ascii="宋体" w:hAnsi="宋体" w:cs="宋体"/>
                <w:szCs w:val="21"/>
              </w:rPr>
              <w:t>（</w:t>
            </w:r>
            <w:r>
              <w:rPr>
                <w:rFonts w:hint="eastAsia"/>
              </w:rPr>
              <w:t>投标截止时间前</w:t>
            </w:r>
            <w:r>
              <w:rPr>
                <w:rFonts w:hint="eastAsia" w:ascii="宋体" w:hAnsi="宋体" w:cs="宋体"/>
                <w:szCs w:val="21"/>
              </w:rPr>
              <w:t>）</w:t>
            </w:r>
            <w:r>
              <w:rPr>
                <w:rFonts w:hint="eastAsia" w:ascii="宋体" w:hAnsi="宋体"/>
                <w:szCs w:val="21"/>
              </w:rPr>
              <w:t>获得过省级及以上工程勘察设计行业诚信单位得4分，没有的不得分。</w:t>
            </w:r>
          </w:p>
          <w:p>
            <w:pPr>
              <w:pStyle w:val="45"/>
              <w:spacing w:before="154"/>
              <w:rPr>
                <w:szCs w:val="21"/>
              </w:rPr>
            </w:pPr>
            <w:r>
              <w:rPr>
                <w:rFonts w:hint="eastAsia"/>
                <w:szCs w:val="21"/>
              </w:rPr>
              <w:t>2、投标人近三年（</w:t>
            </w:r>
            <w:r>
              <w:rPr>
                <w:rFonts w:hint="eastAsia"/>
              </w:rPr>
              <w:t>投标截止时间前</w:t>
            </w:r>
            <w:r>
              <w:rPr>
                <w:rFonts w:hint="eastAsia"/>
                <w:szCs w:val="21"/>
              </w:rPr>
              <w:t>）获得过省级及以上勘察设计质量管理先进单位得4分，没有的不得分。</w:t>
            </w:r>
          </w:p>
          <w:p>
            <w:pPr>
              <w:pStyle w:val="45"/>
              <w:spacing w:before="154"/>
              <w:rPr>
                <w:szCs w:val="21"/>
              </w:rPr>
            </w:pPr>
            <w:r>
              <w:rPr>
                <w:rFonts w:hint="eastAsia"/>
                <w:szCs w:val="21"/>
              </w:rPr>
              <w:t>（以获奖证书或政府网站公示日期为准。须提供证书或公示网页截图复印件，加盖投标人公章。）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747" w:type="dxa"/>
            <w:vMerge w:val="restart"/>
            <w:tcBorders>
              <w:tl2br w:val="nil"/>
              <w:tr2bl w:val="nil"/>
            </w:tcBorders>
          </w:tcPr>
          <w:p>
            <w:pPr>
              <w:pStyle w:val="45"/>
              <w:jc w:val="left"/>
              <w:rPr>
                <w:rFonts w:ascii="Times New Roman" w:hAnsi="Times New Roman" w:eastAsia="Times New Roman" w:cs="Times New Roman"/>
                <w:sz w:val="20"/>
                <w:szCs w:val="20"/>
              </w:rPr>
            </w:pPr>
          </w:p>
          <w:p>
            <w:pPr>
              <w:pStyle w:val="45"/>
              <w:jc w:val="left"/>
              <w:rPr>
                <w:rFonts w:ascii="Times New Roman" w:hAnsi="Times New Roman" w:eastAsia="Times New Roman" w:cs="Times New Roman"/>
                <w:sz w:val="20"/>
                <w:szCs w:val="20"/>
              </w:rPr>
            </w:pPr>
          </w:p>
          <w:p>
            <w:pPr>
              <w:pStyle w:val="45"/>
              <w:jc w:val="left"/>
              <w:rPr>
                <w:rFonts w:ascii="Times New Roman" w:hAnsi="Times New Roman" w:eastAsia="Times New Roman" w:cs="Times New Roman"/>
                <w:sz w:val="20"/>
                <w:szCs w:val="20"/>
              </w:rPr>
            </w:pPr>
          </w:p>
          <w:p>
            <w:pPr>
              <w:pStyle w:val="45"/>
              <w:jc w:val="center"/>
              <w:rPr>
                <w:rFonts w:ascii="Times New Roman" w:hAnsi="Times New Roman" w:eastAsia="Times New Roman" w:cs="Times New Roman"/>
                <w:sz w:val="20"/>
                <w:szCs w:val="20"/>
              </w:rPr>
            </w:pPr>
            <w:r>
              <w:rPr>
                <w:rFonts w:hint="eastAsia" w:eastAsia="宋体"/>
                <w:szCs w:val="21"/>
              </w:rPr>
              <w:t>技术评议（5</w:t>
            </w:r>
            <w:r>
              <w:rPr>
                <w:rFonts w:hint="eastAsia"/>
                <w:szCs w:val="21"/>
              </w:rPr>
              <w:t>0</w:t>
            </w:r>
            <w:r>
              <w:rPr>
                <w:rFonts w:hint="eastAsia" w:eastAsia="宋体"/>
                <w:szCs w:val="21"/>
              </w:rPr>
              <w:t>分）</w:t>
            </w:r>
          </w:p>
          <w:p>
            <w:pPr>
              <w:pStyle w:val="45"/>
              <w:jc w:val="left"/>
              <w:rPr>
                <w:rFonts w:ascii="Times New Roman" w:hAnsi="Times New Roman" w:eastAsia="Times New Roman" w:cs="Times New Roman"/>
                <w:sz w:val="20"/>
                <w:szCs w:val="20"/>
              </w:rPr>
            </w:pPr>
          </w:p>
          <w:p>
            <w:pPr>
              <w:pStyle w:val="45"/>
              <w:jc w:val="left"/>
              <w:rPr>
                <w:rFonts w:ascii="Times New Roman" w:hAnsi="Times New Roman" w:eastAsia="Times New Roman" w:cs="Times New Roman"/>
                <w:sz w:val="20"/>
                <w:szCs w:val="20"/>
              </w:rPr>
            </w:pPr>
          </w:p>
          <w:p>
            <w:pPr>
              <w:pStyle w:val="45"/>
              <w:spacing w:before="143" w:line="384" w:lineRule="auto"/>
              <w:ind w:left="136" w:right="137"/>
              <w:jc w:val="left"/>
              <w:rPr>
                <w:rFonts w:eastAsia="宋体"/>
                <w:szCs w:val="21"/>
              </w:rPr>
            </w:pPr>
          </w:p>
        </w:tc>
        <w:tc>
          <w:tcPr>
            <w:tcW w:w="1559" w:type="dxa"/>
            <w:tcBorders>
              <w:bottom w:val="single" w:color="auto" w:sz="4" w:space="0"/>
              <w:tl2br w:val="nil"/>
              <w:tr2bl w:val="nil"/>
            </w:tcBorders>
            <w:vAlign w:val="center"/>
          </w:tcPr>
          <w:p>
            <w:pPr>
              <w:pStyle w:val="45"/>
              <w:spacing w:before="54"/>
              <w:jc w:val="left"/>
              <w:rPr>
                <w:rFonts w:eastAsia="宋体"/>
                <w:szCs w:val="21"/>
              </w:rPr>
            </w:pPr>
            <w:r>
              <w:rPr>
                <w:rFonts w:hint="eastAsia" w:ascii="Times New Roman" w:hAnsi="Times New Roman" w:eastAsia="宋体" w:cs="Times New Roman"/>
                <w:szCs w:val="21"/>
              </w:rPr>
              <w:t>上位条件( 15分)</w:t>
            </w:r>
          </w:p>
        </w:tc>
        <w:tc>
          <w:tcPr>
            <w:tcW w:w="6874" w:type="dxa"/>
            <w:tcBorders>
              <w:bottom w:val="single" w:color="auto" w:sz="4" w:space="0"/>
              <w:tl2br w:val="nil"/>
              <w:tr2bl w:val="nil"/>
            </w:tcBorders>
            <w:vAlign w:val="center"/>
          </w:tcPr>
          <w:p>
            <w:pPr>
              <w:autoSpaceDE w:val="0"/>
              <w:autoSpaceDN w:val="0"/>
              <w:adjustRightIn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设计方案是否满足项目建议书和可行性研究报告的要求，完全满足得15-10分，基本满足得9-6分，一般得5-0分；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exact"/>
        </w:trPr>
        <w:tc>
          <w:tcPr>
            <w:tcW w:w="747" w:type="dxa"/>
            <w:vMerge w:val="continue"/>
            <w:tcBorders>
              <w:tl2br w:val="nil"/>
              <w:tr2bl w:val="nil"/>
            </w:tcBorders>
          </w:tcPr>
          <w:p>
            <w:pPr>
              <w:pStyle w:val="45"/>
              <w:spacing w:before="143" w:line="384" w:lineRule="auto"/>
              <w:ind w:left="136" w:right="137"/>
              <w:jc w:val="left"/>
              <w:rPr>
                <w:szCs w:val="21"/>
              </w:rPr>
            </w:pPr>
          </w:p>
        </w:tc>
        <w:tc>
          <w:tcPr>
            <w:tcW w:w="1559" w:type="dxa"/>
            <w:tcBorders>
              <w:top w:val="single" w:color="auto" w:sz="4" w:space="0"/>
              <w:bottom w:val="single" w:color="auto" w:sz="4" w:space="0"/>
              <w:tl2br w:val="nil"/>
              <w:tr2bl w:val="nil"/>
            </w:tcBorders>
            <w:vAlign w:val="center"/>
          </w:tcPr>
          <w:p>
            <w:pPr>
              <w:pStyle w:val="45"/>
              <w:spacing w:before="54"/>
              <w:jc w:val="left"/>
              <w:rPr>
                <w:rFonts w:eastAsia="宋体"/>
                <w:b/>
                <w:szCs w:val="21"/>
              </w:rPr>
            </w:pPr>
            <w:r>
              <w:rPr>
                <w:rFonts w:hint="eastAsia" w:ascii="Times New Roman" w:hAnsi="Times New Roman" w:eastAsia="宋体" w:cs="Times New Roman"/>
                <w:szCs w:val="21"/>
              </w:rPr>
              <w:t>现状调研( 15分)</w:t>
            </w:r>
          </w:p>
        </w:tc>
        <w:tc>
          <w:tcPr>
            <w:tcW w:w="6874" w:type="dxa"/>
            <w:tcBorders>
              <w:top w:val="single" w:color="auto" w:sz="4" w:space="0"/>
              <w:bottom w:val="single" w:color="auto" w:sz="4" w:space="0"/>
              <w:tl2br w:val="nil"/>
              <w:tr2bl w:val="nil"/>
            </w:tcBorders>
            <w:vAlign w:val="center"/>
          </w:tcPr>
          <w:p>
            <w:pPr>
              <w:pStyle w:val="45"/>
              <w:spacing w:before="162"/>
              <w:rPr>
                <w:rFonts w:ascii="Times New Roman" w:hAnsi="Times New Roman" w:eastAsia="Times New Roman" w:cs="Times New Roman"/>
                <w:sz w:val="20"/>
                <w:szCs w:val="20"/>
              </w:rPr>
            </w:pPr>
            <w:r>
              <w:rPr>
                <w:rFonts w:hint="eastAsia" w:ascii="Times New Roman" w:hAnsi="Times New Roman" w:eastAsia="宋体" w:cs="Times New Roman"/>
                <w:szCs w:val="21"/>
              </w:rPr>
              <w:t>根据投标人现状图中对区域自然条件、地形地貌及管网现状的了解程度打分，特别了解得15-10分，基本了解得9-6分，一般得5-0分；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4" w:hRule="exact"/>
        </w:trPr>
        <w:tc>
          <w:tcPr>
            <w:tcW w:w="747" w:type="dxa"/>
            <w:vMerge w:val="continue"/>
            <w:tcBorders>
              <w:tl2br w:val="nil"/>
              <w:tr2bl w:val="nil"/>
            </w:tcBorders>
          </w:tcPr>
          <w:p>
            <w:pPr>
              <w:pStyle w:val="45"/>
              <w:spacing w:before="143" w:line="384" w:lineRule="auto"/>
              <w:ind w:left="136" w:right="137"/>
              <w:jc w:val="left"/>
              <w:rPr>
                <w:szCs w:val="21"/>
              </w:rPr>
            </w:pPr>
          </w:p>
        </w:tc>
        <w:tc>
          <w:tcPr>
            <w:tcW w:w="1559" w:type="dxa"/>
            <w:tcBorders>
              <w:top w:val="single" w:color="auto" w:sz="4" w:space="0"/>
              <w:bottom w:val="single" w:color="auto" w:sz="4" w:space="0"/>
              <w:tl2br w:val="nil"/>
              <w:tr2bl w:val="nil"/>
            </w:tcBorders>
            <w:vAlign w:val="center"/>
          </w:tcPr>
          <w:p>
            <w:pPr>
              <w:pStyle w:val="45"/>
              <w:spacing w:before="54"/>
              <w:jc w:val="left"/>
              <w:rPr>
                <w:rFonts w:eastAsia="宋体"/>
                <w:b/>
                <w:szCs w:val="21"/>
              </w:rPr>
            </w:pPr>
            <w:r>
              <w:rPr>
                <w:rFonts w:hint="eastAsia"/>
                <w:szCs w:val="21"/>
              </w:rPr>
              <w:t>设计方案( 15分)</w:t>
            </w:r>
          </w:p>
        </w:tc>
        <w:tc>
          <w:tcPr>
            <w:tcW w:w="6874" w:type="dxa"/>
            <w:tcBorders>
              <w:top w:val="single" w:color="auto" w:sz="4" w:space="0"/>
              <w:bottom w:val="single" w:color="auto" w:sz="4" w:space="0"/>
              <w:tl2br w:val="nil"/>
              <w:tr2bl w:val="nil"/>
            </w:tcBorders>
            <w:vAlign w:val="center"/>
          </w:tcPr>
          <w:p>
            <w:pPr>
              <w:pStyle w:val="45"/>
              <w:spacing w:before="162"/>
              <w:rPr>
                <w:rFonts w:ascii="Times New Roman" w:hAnsi="Times New Roman" w:eastAsia="Times New Roman" w:cs="Times New Roman"/>
                <w:sz w:val="20"/>
                <w:szCs w:val="20"/>
              </w:rPr>
            </w:pPr>
            <w:r>
              <w:rPr>
                <w:rFonts w:hint="eastAsia"/>
                <w:szCs w:val="21"/>
              </w:rPr>
              <w:t>要求提供达到初步设计深度的技术文件，管道平面符合规划、可研的要求及雨污分流的需要，横断面布置合理，管线选材及布置适合本地要求；设计符合国家和地方相关规范及深度要求、造价经济；优秀者得15-10分，较好者得9-6分，一般者得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exact"/>
        </w:trPr>
        <w:tc>
          <w:tcPr>
            <w:tcW w:w="747" w:type="dxa"/>
            <w:vMerge w:val="continue"/>
            <w:tcBorders>
              <w:tl2br w:val="nil"/>
              <w:tr2bl w:val="nil"/>
            </w:tcBorders>
          </w:tcPr>
          <w:p>
            <w:pPr>
              <w:pStyle w:val="45"/>
              <w:spacing w:before="143" w:line="384" w:lineRule="auto"/>
              <w:ind w:left="136" w:right="137"/>
              <w:jc w:val="left"/>
              <w:rPr>
                <w:szCs w:val="21"/>
              </w:rPr>
            </w:pPr>
          </w:p>
        </w:tc>
        <w:tc>
          <w:tcPr>
            <w:tcW w:w="1559" w:type="dxa"/>
            <w:tcBorders>
              <w:top w:val="single" w:color="auto" w:sz="4" w:space="0"/>
              <w:tl2br w:val="nil"/>
              <w:tr2bl w:val="nil"/>
            </w:tcBorders>
            <w:vAlign w:val="center"/>
          </w:tcPr>
          <w:p>
            <w:pPr>
              <w:jc w:val="left"/>
              <w:rPr>
                <w:rFonts w:ascii="宋体" w:hAnsi="宋体"/>
                <w:szCs w:val="21"/>
              </w:rPr>
            </w:pPr>
            <w:r>
              <w:rPr>
                <w:rFonts w:hint="eastAsia" w:ascii="宋体" w:hAnsi="宋体"/>
                <w:szCs w:val="21"/>
              </w:rPr>
              <w:t>质量、进度、投资控制、后续服务工作 承诺及保证措施（5分）</w:t>
            </w:r>
          </w:p>
        </w:tc>
        <w:tc>
          <w:tcPr>
            <w:tcW w:w="6874" w:type="dxa"/>
            <w:tcBorders>
              <w:top w:val="single" w:color="auto" w:sz="4" w:space="0"/>
              <w:tl2br w:val="nil"/>
              <w:tr2bl w:val="nil"/>
            </w:tcBorders>
            <w:vAlign w:val="center"/>
          </w:tcPr>
          <w:p>
            <w:pPr>
              <w:widowControl/>
              <w:jc w:val="left"/>
              <w:rPr>
                <w:rFonts w:ascii="宋体" w:hAnsi="宋体"/>
                <w:szCs w:val="21"/>
              </w:rPr>
            </w:pPr>
            <w:r>
              <w:rPr>
                <w:rFonts w:hint="eastAsia" w:ascii="宋体" w:hAnsi="宋体"/>
                <w:szCs w:val="21"/>
              </w:rPr>
              <w:t xml:space="preserve">承诺、保证措施具体可靠、可实施、可适用的， 得 4-5 分； </w:t>
            </w:r>
          </w:p>
          <w:p>
            <w:pPr>
              <w:widowControl/>
              <w:jc w:val="left"/>
              <w:rPr>
                <w:rFonts w:ascii="宋体" w:hAnsi="宋体"/>
                <w:szCs w:val="21"/>
              </w:rPr>
            </w:pPr>
            <w:r>
              <w:rPr>
                <w:rFonts w:hint="eastAsia" w:ascii="宋体" w:hAnsi="宋体"/>
                <w:szCs w:val="21"/>
              </w:rPr>
              <w:t xml:space="preserve">承诺、保证措施不是很可靠、实施性、适用性不强的， 得 2-3 分； </w:t>
            </w:r>
          </w:p>
          <w:p>
            <w:pPr>
              <w:widowControl/>
              <w:jc w:val="left"/>
              <w:rPr>
                <w:rFonts w:ascii="宋体" w:hAnsi="宋体"/>
                <w:szCs w:val="21"/>
              </w:rPr>
            </w:pPr>
            <w:r>
              <w:rPr>
                <w:rFonts w:hint="eastAsia" w:ascii="宋体" w:hAnsi="宋体"/>
                <w:szCs w:val="21"/>
              </w:rPr>
              <w:t>承诺、保证措施不可靠、不可实施、不适用的， 得 0-1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6" w:hRule="exact"/>
        </w:trPr>
        <w:tc>
          <w:tcPr>
            <w:tcW w:w="747" w:type="dxa"/>
            <w:tcBorders>
              <w:tl2br w:val="nil"/>
              <w:tr2bl w:val="nil"/>
            </w:tcBorders>
            <w:vAlign w:val="center"/>
          </w:tcPr>
          <w:p>
            <w:pPr>
              <w:pStyle w:val="45"/>
              <w:tabs>
                <w:tab w:val="left" w:pos="1100"/>
              </w:tabs>
              <w:spacing w:before="3" w:line="440" w:lineRule="exact"/>
              <w:ind w:left="136" w:right="135"/>
              <w:jc w:val="center"/>
              <w:rPr>
                <w:rFonts w:cstheme="minorBidi"/>
                <w:szCs w:val="21"/>
                <w:lang w:val="en-US" w:bidi="ar-SA"/>
              </w:rPr>
            </w:pPr>
            <w:r>
              <w:rPr>
                <w:rFonts w:hint="eastAsia" w:cstheme="minorBidi"/>
                <w:szCs w:val="21"/>
                <w:lang w:val="en-US" w:bidi="ar-SA"/>
              </w:rPr>
              <w:t>价格评议（10分）</w:t>
            </w:r>
          </w:p>
        </w:tc>
        <w:tc>
          <w:tcPr>
            <w:tcW w:w="1559" w:type="dxa"/>
            <w:tcBorders>
              <w:tl2br w:val="nil"/>
              <w:tr2bl w:val="nil"/>
            </w:tcBorders>
            <w:vAlign w:val="center"/>
          </w:tcPr>
          <w:p>
            <w:pPr>
              <w:pStyle w:val="45"/>
              <w:tabs>
                <w:tab w:val="left" w:pos="1100"/>
              </w:tabs>
              <w:spacing w:before="3" w:line="440" w:lineRule="exact"/>
              <w:ind w:left="136" w:right="135"/>
              <w:jc w:val="center"/>
              <w:rPr>
                <w:rFonts w:cstheme="minorBidi"/>
                <w:szCs w:val="21"/>
                <w:lang w:val="en-US" w:bidi="ar-SA"/>
              </w:rPr>
            </w:pPr>
            <w:r>
              <w:rPr>
                <w:rFonts w:hint="eastAsia" w:cstheme="minorBidi"/>
                <w:szCs w:val="21"/>
                <w:lang w:val="en-US" w:bidi="ar-SA"/>
              </w:rPr>
              <w:t>计算投标报价得分</w:t>
            </w:r>
          </w:p>
          <w:p>
            <w:pPr>
              <w:pStyle w:val="45"/>
              <w:tabs>
                <w:tab w:val="left" w:pos="1100"/>
              </w:tabs>
              <w:spacing w:before="3" w:line="440" w:lineRule="exact"/>
              <w:ind w:left="136" w:right="135"/>
              <w:jc w:val="center"/>
              <w:rPr>
                <w:rFonts w:cstheme="minorBidi"/>
                <w:szCs w:val="21"/>
                <w:lang w:val="en-US" w:bidi="ar-SA"/>
              </w:rPr>
            </w:pPr>
            <w:r>
              <w:rPr>
                <w:rFonts w:hint="eastAsia" w:cstheme="minorBidi"/>
                <w:szCs w:val="21"/>
                <w:lang w:val="en-US" w:bidi="ar-SA"/>
              </w:rPr>
              <w:t>（10分）</w:t>
            </w:r>
          </w:p>
        </w:tc>
        <w:tc>
          <w:tcPr>
            <w:tcW w:w="6874" w:type="dxa"/>
            <w:tcBorders>
              <w:tl2br w:val="nil"/>
              <w:tr2bl w:val="nil"/>
            </w:tcBorders>
          </w:tcPr>
          <w:p>
            <w:pPr>
              <w:pStyle w:val="45"/>
              <w:spacing w:before="153"/>
              <w:jc w:val="left"/>
              <w:rPr>
                <w:rFonts w:cstheme="minorBidi"/>
                <w:szCs w:val="21"/>
                <w:lang w:val="en-US" w:bidi="ar-SA"/>
              </w:rPr>
            </w:pPr>
            <w:r>
              <w:rPr>
                <w:rFonts w:cstheme="minorBidi"/>
                <w:szCs w:val="21"/>
                <w:lang w:val="en-US" w:bidi="ar-SA"/>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价格分。计算时保留两位小数</w:t>
            </w:r>
            <w:r>
              <w:rPr>
                <w:rFonts w:hint="eastAsia" w:cstheme="minorBidi"/>
                <w:szCs w:val="21"/>
                <w:lang w:val="en-US" w:bidi="ar-SA"/>
              </w:rPr>
              <w:t>。为保证服务质量，投标报价低于采购预算85%时，评标委员会将对其进行成本分析，评标委员会认为报价低于成本价时将否决其投标。</w:t>
            </w:r>
          </w:p>
        </w:tc>
      </w:tr>
    </w:tbl>
    <w:p>
      <w:pPr>
        <w:pStyle w:val="78"/>
        <w:ind w:firstLine="0" w:firstLineChars="0"/>
        <w:rPr>
          <w:rFonts w:cs="Times New Roman" w:asciiTheme="minorEastAsia" w:hAnsiTheme="minorEastAsia"/>
          <w:b/>
          <w:color w:val="auto"/>
          <w:sz w:val="28"/>
          <w:szCs w:val="28"/>
          <w:lang w:val="hr-HR" w:bidi="ar-EG"/>
        </w:rPr>
      </w:pPr>
    </w:p>
    <w:p>
      <w:pPr>
        <w:widowControl/>
        <w:spacing w:line="360" w:lineRule="auto"/>
        <w:jc w:val="center"/>
        <w:rPr>
          <w:rFonts w:ascii="宋体" w:hAnsi="宋体"/>
          <w:b/>
          <w:color w:val="000000"/>
          <w:sz w:val="24"/>
          <w:highlight w:val="yellow"/>
        </w:rPr>
      </w:pPr>
      <w:r>
        <w:rPr>
          <w:rFonts w:hint="eastAsia" w:asciiTheme="minorEastAsia" w:hAnsiTheme="minorEastAsia"/>
          <w:b/>
          <w:color w:val="000000"/>
          <w:sz w:val="24"/>
        </w:rPr>
        <w:t>备注：商务标计算按报价人最终报价计算。本次评标采用综合评分法。磋商小组对满足竞争性磋商文件实质性要求的报价文件，按照本章规定的评分标准进行打分，并按得分由高到低顺序推荐中标候选人，但投标报价低于其成本的除外。评审得分相同的，按照最后报价由低到高的顺序推荐。评审得分且最后报价相同的，按照技术指标优劣顺序推荐。</w:t>
      </w:r>
      <w:r>
        <w:rPr>
          <w:rFonts w:hint="eastAsia" w:ascii="宋体" w:hAnsi="宋体"/>
          <w:b/>
          <w:color w:val="000000"/>
          <w:sz w:val="24"/>
          <w:highlight w:val="yellow"/>
        </w:rPr>
        <w:t>证明材料复印件需提供真彩扫描打</w:t>
      </w:r>
    </w:p>
    <w:p>
      <w:pPr>
        <w:widowControl/>
        <w:spacing w:line="360" w:lineRule="auto"/>
        <w:rPr>
          <w:rFonts w:ascii="Times New Roman" w:hAnsi="Times New Roman" w:cs="Times New Roman"/>
          <w:b/>
          <w:color w:val="000000" w:themeColor="text1"/>
          <w:sz w:val="32"/>
          <w:szCs w:val="32"/>
        </w:rPr>
      </w:pPr>
      <w:r>
        <w:rPr>
          <w:rFonts w:hint="eastAsia" w:ascii="宋体" w:hAnsi="宋体"/>
          <w:b/>
          <w:color w:val="000000"/>
          <w:sz w:val="24"/>
          <w:highlight w:val="yellow"/>
        </w:rPr>
        <w:t>件。</w:t>
      </w:r>
    </w:p>
    <w:p>
      <w:pPr>
        <w:widowControl/>
        <w:spacing w:line="360" w:lineRule="auto"/>
        <w:jc w:val="center"/>
        <w:rPr>
          <w:rFonts w:ascii="Times New Roman" w:hAnsi="Times New Roman" w:cs="Times New Roman"/>
          <w:b/>
          <w:color w:val="000000" w:themeColor="text1"/>
          <w:sz w:val="32"/>
          <w:szCs w:val="32"/>
        </w:rPr>
      </w:pPr>
    </w:p>
    <w:p>
      <w:pPr>
        <w:widowControl/>
        <w:spacing w:line="360" w:lineRule="auto"/>
        <w:jc w:val="center"/>
        <w:rPr>
          <w:rFonts w:ascii="Times New Roman" w:hAnsi="Times New Roman" w:cs="Times New Roman"/>
          <w:b/>
          <w:color w:val="000000" w:themeColor="text1"/>
          <w:sz w:val="32"/>
          <w:szCs w:val="32"/>
        </w:rPr>
      </w:pPr>
    </w:p>
    <w:p>
      <w:pPr>
        <w:widowControl/>
        <w:spacing w:line="360" w:lineRule="auto"/>
        <w:jc w:val="center"/>
        <w:rPr>
          <w:rFonts w:ascii="Times New Roman" w:hAnsi="Times New Roman" w:cs="Times New Roman"/>
          <w:b/>
          <w:color w:val="000000" w:themeColor="text1"/>
          <w:sz w:val="32"/>
          <w:szCs w:val="32"/>
        </w:rPr>
      </w:pPr>
    </w:p>
    <w:p>
      <w:pPr>
        <w:widowControl/>
        <w:spacing w:line="360" w:lineRule="auto"/>
        <w:jc w:val="center"/>
        <w:rPr>
          <w:rFonts w:ascii="Times New Roman" w:hAnsi="Times New Roman" w:cs="Times New Roman"/>
          <w:b/>
          <w:color w:val="000000" w:themeColor="text1"/>
          <w:sz w:val="32"/>
          <w:szCs w:val="32"/>
        </w:rPr>
      </w:pPr>
    </w:p>
    <w:p>
      <w:pPr>
        <w:widowControl/>
        <w:spacing w:line="360" w:lineRule="auto"/>
        <w:jc w:val="center"/>
        <w:rPr>
          <w:rFonts w:ascii="Times New Roman" w:hAnsi="Times New Roman" w:cs="Times New Roman"/>
          <w:b/>
          <w:color w:val="000000" w:themeColor="text1"/>
          <w:sz w:val="32"/>
          <w:szCs w:val="32"/>
        </w:rPr>
      </w:pPr>
    </w:p>
    <w:p>
      <w:pPr>
        <w:widowControl/>
        <w:spacing w:line="360" w:lineRule="auto"/>
        <w:jc w:val="center"/>
        <w:rPr>
          <w:rFonts w:ascii="Times New Roman" w:hAnsi="Times New Roman" w:cs="Times New Roman"/>
          <w:b/>
          <w:color w:val="000000" w:themeColor="text1"/>
          <w:sz w:val="32"/>
          <w:szCs w:val="32"/>
        </w:rPr>
      </w:pPr>
    </w:p>
    <w:p>
      <w:pPr>
        <w:widowControl/>
        <w:spacing w:line="360" w:lineRule="auto"/>
        <w:jc w:val="center"/>
        <w:rPr>
          <w:rFonts w:ascii="Times New Roman" w:hAnsi="Times New Roman" w:cs="Times New Roman"/>
          <w:b/>
          <w:color w:val="000000" w:themeColor="text1"/>
          <w:sz w:val="32"/>
          <w:szCs w:val="32"/>
        </w:rPr>
      </w:pPr>
    </w:p>
    <w:p>
      <w:pPr>
        <w:widowControl/>
        <w:spacing w:line="360" w:lineRule="auto"/>
        <w:jc w:val="center"/>
        <w:rPr>
          <w:rFonts w:ascii="Times New Roman" w:hAnsi="Times New Roman" w:cs="Times New Roman"/>
          <w:b/>
          <w:color w:val="000000" w:themeColor="text1"/>
          <w:sz w:val="32"/>
          <w:szCs w:val="32"/>
        </w:rPr>
      </w:pPr>
    </w:p>
    <w:p>
      <w:pPr>
        <w:widowControl/>
        <w:spacing w:line="360" w:lineRule="auto"/>
        <w:jc w:val="center"/>
        <w:rPr>
          <w:rFonts w:ascii="Times New Roman" w:hAnsi="Times New Roman" w:cs="Times New Roman"/>
          <w:b/>
          <w:color w:val="000000" w:themeColor="text1"/>
          <w:sz w:val="32"/>
          <w:szCs w:val="32"/>
        </w:rPr>
      </w:pPr>
    </w:p>
    <w:p>
      <w:pPr>
        <w:widowControl/>
        <w:spacing w:line="360" w:lineRule="auto"/>
        <w:jc w:val="center"/>
        <w:rPr>
          <w:rFonts w:ascii="Times New Roman" w:hAnsi="Times New Roman" w:cs="Times New Roman"/>
          <w:b/>
          <w:color w:val="000000" w:themeColor="text1"/>
          <w:sz w:val="32"/>
          <w:szCs w:val="32"/>
        </w:rPr>
      </w:pPr>
    </w:p>
    <w:p>
      <w:pPr>
        <w:widowControl/>
        <w:spacing w:line="360" w:lineRule="auto"/>
        <w:jc w:val="center"/>
        <w:rPr>
          <w:rFonts w:ascii="Times New Roman" w:hAnsi="Times New Roman" w:cs="Times New Roman"/>
          <w:b/>
          <w:color w:val="000000" w:themeColor="text1"/>
          <w:sz w:val="32"/>
          <w:szCs w:val="32"/>
        </w:rPr>
      </w:pPr>
    </w:p>
    <w:p>
      <w:pPr>
        <w:widowControl/>
        <w:spacing w:line="360" w:lineRule="auto"/>
        <w:jc w:val="center"/>
        <w:rPr>
          <w:rFonts w:ascii="Times New Roman" w:hAnsi="Times New Roman" w:cs="Times New Roman"/>
          <w:b/>
          <w:color w:val="000000" w:themeColor="text1"/>
          <w:sz w:val="32"/>
          <w:szCs w:val="32"/>
        </w:rPr>
      </w:pPr>
    </w:p>
    <w:p>
      <w:pPr>
        <w:widowControl/>
        <w:spacing w:line="360" w:lineRule="auto"/>
        <w:jc w:val="center"/>
        <w:rPr>
          <w:rFonts w:ascii="Times New Roman" w:hAnsi="Times New Roman" w:cs="Times New Roman"/>
          <w:b/>
          <w:color w:val="000000" w:themeColor="text1"/>
          <w:sz w:val="32"/>
          <w:szCs w:val="32"/>
        </w:rPr>
      </w:pPr>
    </w:p>
    <w:p>
      <w:pPr>
        <w:widowControl/>
        <w:spacing w:line="360" w:lineRule="auto"/>
        <w:jc w:val="center"/>
        <w:rPr>
          <w:rFonts w:ascii="Times New Roman" w:hAnsi="Times New Roman" w:cs="Times New Roman"/>
          <w:b/>
          <w:color w:val="000000" w:themeColor="text1"/>
          <w:sz w:val="32"/>
          <w:szCs w:val="32"/>
        </w:rPr>
      </w:pPr>
    </w:p>
    <w:p>
      <w:pPr>
        <w:widowControl/>
        <w:spacing w:line="360" w:lineRule="auto"/>
        <w:jc w:val="center"/>
        <w:rPr>
          <w:rFonts w:ascii="Times New Roman" w:hAnsi="Times New Roman" w:cs="Times New Roman"/>
          <w:b/>
          <w:color w:val="000000" w:themeColor="text1"/>
          <w:sz w:val="32"/>
          <w:szCs w:val="32"/>
        </w:rPr>
      </w:pPr>
    </w:p>
    <w:p>
      <w:pPr>
        <w:widowControl/>
        <w:spacing w:line="360" w:lineRule="auto"/>
        <w:jc w:val="center"/>
        <w:rPr>
          <w:rFonts w:ascii="Times New Roman" w:hAnsi="Times New Roman" w:cs="Times New Roman"/>
          <w:bCs/>
          <w:color w:val="000000" w:themeColor="text1"/>
          <w:sz w:val="32"/>
          <w:szCs w:val="32"/>
        </w:rPr>
      </w:pPr>
      <w:r>
        <w:rPr>
          <w:rFonts w:ascii="Times New Roman" w:hAnsi="Times New Roman" w:cs="Times New Roman"/>
          <w:b/>
          <w:color w:val="000000" w:themeColor="text1"/>
          <w:sz w:val="32"/>
          <w:szCs w:val="32"/>
        </w:rPr>
        <w:t>第五章 合同书（参考格式）</w:t>
      </w:r>
    </w:p>
    <w:p>
      <w:pPr>
        <w:spacing w:line="360" w:lineRule="auto"/>
        <w:ind w:firstLine="480" w:firstLineChars="200"/>
        <w:rPr>
          <w:rFonts w:ascii="Times New Roman" w:hAnsi="Times New Roman" w:cs="Times New Roman"/>
          <w:color w:val="000000" w:themeColor="text1"/>
          <w:sz w:val="24"/>
          <w:szCs w:val="24"/>
        </w:rPr>
      </w:pPr>
    </w:p>
    <w:p>
      <w:pPr>
        <w:spacing w:line="360" w:lineRule="auto"/>
        <w:ind w:firstLine="480" w:firstLineChars="200"/>
        <w:rPr>
          <w:rFonts w:ascii="Times New Roman" w:hAnsi="Times New Roman" w:cs="Times New Roman"/>
          <w:color w:val="000000" w:themeColor="text1"/>
          <w:spacing w:val="-10"/>
          <w:sz w:val="24"/>
          <w:szCs w:val="24"/>
        </w:rPr>
      </w:pPr>
      <w:r>
        <w:rPr>
          <w:rFonts w:ascii="Times New Roman" w:hAnsi="Times New Roman" w:cs="Times New Roman"/>
          <w:color w:val="000000" w:themeColor="text1"/>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rFonts w:ascii="Times New Roman" w:hAnsi="Times New Roman" w:cs="Times New Roman"/>
          <w:b/>
          <w:color w:val="000000" w:themeColor="text1"/>
          <w:kern w:val="0"/>
          <w:sz w:val="24"/>
          <w:szCs w:val="24"/>
        </w:rPr>
      </w:pPr>
    </w:p>
    <w:p>
      <w:pPr>
        <w:spacing w:line="360" w:lineRule="auto"/>
        <w:ind w:firstLine="540"/>
        <w:jc w:val="center"/>
        <w:rPr>
          <w:rFonts w:ascii="Times New Roman" w:hAnsi="Times New Roman" w:cs="Times New Roman"/>
          <w:b/>
          <w:color w:val="000000" w:themeColor="text1"/>
          <w:kern w:val="0"/>
          <w:sz w:val="30"/>
          <w:szCs w:val="30"/>
        </w:rPr>
      </w:pPr>
      <w:r>
        <w:rPr>
          <w:rFonts w:ascii="Times New Roman" w:hAnsi="Times New Roman" w:cs="Times New Roman"/>
          <w:b/>
          <w:color w:val="000000" w:themeColor="text1"/>
          <w:kern w:val="0"/>
          <w:sz w:val="30"/>
          <w:szCs w:val="30"/>
        </w:rPr>
        <w:t>合 同 书</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项目名称：</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合同编号：</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签订日期：</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签订合同地点：</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本合同由（以下简称“需方”）与（以下简称“供方”）签订。</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供方以总金额万元人民币（用大写数字书写）向需方提供如下货物：</w:t>
      </w:r>
    </w:p>
    <w:p>
      <w:pPr>
        <w:autoSpaceDE w:val="0"/>
        <w:autoSpaceDN w:val="0"/>
        <w:adjustRightInd w:val="0"/>
        <w:spacing w:line="360" w:lineRule="auto"/>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经双方协商，同意按下列条文执行：</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2.需方保证按合同条款规定的时间和方式付给供方到期应付的货款，并承担应负的责任和义务。</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3.供方保证全部按合同条款规定的内容和交货期向需方提供合格的货物，并承担应负的责任和义务。</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4.合同文件</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下列文件为本合同不可分割的部分：</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4.1竞争性磋商文件(编号：　　　　)；</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4.2供方成交的响应文件（副本）；</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4.3合同书；</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4.4合同条款；</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4.5</w:t>
      </w:r>
      <w:r>
        <w:rPr>
          <w:rFonts w:hint="eastAsia"/>
          <w:color w:val="000000" w:themeColor="text1"/>
          <w:kern w:val="0"/>
          <w:sz w:val="24"/>
          <w:szCs w:val="20"/>
        </w:rPr>
        <w:t>（集中采购机构名称）</w:t>
      </w:r>
      <w:r>
        <w:rPr>
          <w:rFonts w:ascii="Times New Roman" w:hAnsi="Times New Roman" w:cs="Times New Roman"/>
          <w:color w:val="000000" w:themeColor="text1"/>
          <w:kern w:val="0"/>
          <w:sz w:val="24"/>
          <w:szCs w:val="24"/>
        </w:rPr>
        <w:t>发出的成交通知书；</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4.6在商洽本合同时，双方澄清、确认并共同签字的补充文件、技术协议。</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5.合同范围和条件</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本合同的范围和条件应与上述规定的合同文件内容相一致。</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6.货物及数量</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本合同所提供的货物及数量详见磋商文件的要求及供方响应文件中的承诺。</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7.付款条件</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本合同的付款条件在磋商文件的磋商书中有明确规定。</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8.合同金额</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合同总金额见合同书，分项价格在供方的最终报价表中有明确规定。</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9.交货时间和交货地点</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本合同中货物的交货时间、交货地点在竞争性磋商文件中有明确规定。</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10.合同生效</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本合同经供、需双方授权代表签字和加盖公章（或合同专用章）后生效。如申请公证的，合同需经公证机构公证后生效。</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11.合同的份数</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本合同正本一式　　份，需方执　　份，供方执　　份；副本一式　　份，需方执　　份，供方执　　份，湖北省财政厅政府采购管理处壹份备案。</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需　　方：</w:t>
      </w:r>
      <w:r>
        <w:rPr>
          <w:rFonts w:ascii="Times New Roman" w:hAnsi="Times New Roman" w:cs="Times New Roman"/>
          <w:color w:val="000000" w:themeColor="text1"/>
          <w:kern w:val="0"/>
          <w:sz w:val="24"/>
          <w:szCs w:val="24"/>
        </w:rPr>
        <w:tab/>
      </w:r>
      <w:r>
        <w:rPr>
          <w:rFonts w:ascii="Times New Roman" w:hAnsi="Times New Roman" w:cs="Times New Roman"/>
          <w:color w:val="000000" w:themeColor="text1"/>
          <w:kern w:val="0"/>
          <w:sz w:val="24"/>
          <w:szCs w:val="24"/>
        </w:rPr>
        <w:t>供　　方：</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单位名称（盖章）：</w:t>
      </w:r>
      <w:r>
        <w:rPr>
          <w:rFonts w:ascii="Times New Roman" w:hAnsi="Times New Roman" w:cs="Times New Roman"/>
          <w:color w:val="000000" w:themeColor="text1"/>
          <w:kern w:val="0"/>
          <w:sz w:val="24"/>
          <w:szCs w:val="24"/>
        </w:rPr>
        <w:tab/>
      </w:r>
      <w:r>
        <w:rPr>
          <w:rFonts w:ascii="Times New Roman" w:hAnsi="Times New Roman" w:cs="Times New Roman"/>
          <w:color w:val="000000" w:themeColor="text1"/>
          <w:kern w:val="0"/>
          <w:sz w:val="24"/>
          <w:szCs w:val="24"/>
        </w:rPr>
        <w:t>单位名称（盖章）：</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单位地址：</w:t>
      </w:r>
      <w:r>
        <w:rPr>
          <w:rFonts w:ascii="Times New Roman" w:hAnsi="Times New Roman" w:cs="Times New Roman"/>
          <w:color w:val="000000" w:themeColor="text1"/>
          <w:kern w:val="0"/>
          <w:sz w:val="24"/>
          <w:szCs w:val="24"/>
        </w:rPr>
        <w:tab/>
      </w:r>
      <w:r>
        <w:rPr>
          <w:rFonts w:ascii="Times New Roman" w:hAnsi="Times New Roman" w:cs="Times New Roman"/>
          <w:color w:val="000000" w:themeColor="text1"/>
          <w:kern w:val="0"/>
          <w:sz w:val="24"/>
          <w:szCs w:val="24"/>
        </w:rPr>
        <w:t>单位地址：</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法人（负责人）代表授权人(签字)：</w:t>
      </w:r>
      <w:r>
        <w:rPr>
          <w:rFonts w:ascii="Times New Roman" w:hAnsi="Times New Roman" w:cs="Times New Roman"/>
          <w:color w:val="000000" w:themeColor="text1"/>
          <w:kern w:val="0"/>
          <w:sz w:val="24"/>
          <w:szCs w:val="24"/>
        </w:rPr>
        <w:tab/>
      </w:r>
      <w:r>
        <w:rPr>
          <w:rFonts w:ascii="Times New Roman" w:hAnsi="Times New Roman" w:cs="Times New Roman"/>
          <w:color w:val="000000" w:themeColor="text1"/>
          <w:kern w:val="0"/>
          <w:sz w:val="24"/>
          <w:szCs w:val="24"/>
        </w:rPr>
        <w:t>法人（负责人）代表授权人(签字)：</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联系人：</w:t>
      </w:r>
      <w:r>
        <w:rPr>
          <w:rFonts w:ascii="Times New Roman" w:hAnsi="Times New Roman" w:cs="Times New Roman"/>
          <w:color w:val="000000" w:themeColor="text1"/>
          <w:kern w:val="0"/>
          <w:sz w:val="24"/>
          <w:szCs w:val="24"/>
        </w:rPr>
        <w:tab/>
      </w:r>
      <w:r>
        <w:rPr>
          <w:rFonts w:ascii="Times New Roman" w:hAnsi="Times New Roman" w:cs="Times New Roman"/>
          <w:color w:val="000000" w:themeColor="text1"/>
          <w:kern w:val="0"/>
          <w:sz w:val="24"/>
          <w:szCs w:val="24"/>
        </w:rPr>
        <w:t>联系人：</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电　　话：</w:t>
      </w:r>
      <w:r>
        <w:rPr>
          <w:rFonts w:ascii="Times New Roman" w:hAnsi="Times New Roman" w:cs="Times New Roman"/>
          <w:color w:val="000000" w:themeColor="text1"/>
          <w:kern w:val="0"/>
          <w:sz w:val="24"/>
          <w:szCs w:val="24"/>
        </w:rPr>
        <w:tab/>
      </w:r>
      <w:r>
        <w:rPr>
          <w:rFonts w:ascii="Times New Roman" w:hAnsi="Times New Roman" w:cs="Times New Roman"/>
          <w:color w:val="000000" w:themeColor="text1"/>
          <w:kern w:val="0"/>
          <w:sz w:val="24"/>
          <w:szCs w:val="24"/>
        </w:rPr>
        <w:t>电　　话：</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传　　真：</w:t>
      </w:r>
      <w:r>
        <w:rPr>
          <w:rFonts w:ascii="Times New Roman" w:hAnsi="Times New Roman" w:cs="Times New Roman"/>
          <w:color w:val="000000" w:themeColor="text1"/>
          <w:kern w:val="0"/>
          <w:sz w:val="24"/>
          <w:szCs w:val="24"/>
        </w:rPr>
        <w:tab/>
      </w:r>
      <w:r>
        <w:rPr>
          <w:rFonts w:ascii="Times New Roman" w:hAnsi="Times New Roman" w:cs="Times New Roman"/>
          <w:color w:val="000000" w:themeColor="text1"/>
          <w:kern w:val="0"/>
          <w:sz w:val="24"/>
          <w:szCs w:val="24"/>
        </w:rPr>
        <w:t>传　　真：</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邮政编码：</w:t>
      </w:r>
      <w:r>
        <w:rPr>
          <w:rFonts w:ascii="Times New Roman" w:hAnsi="Times New Roman" w:cs="Times New Roman"/>
          <w:color w:val="000000" w:themeColor="text1"/>
          <w:kern w:val="0"/>
          <w:sz w:val="24"/>
          <w:szCs w:val="24"/>
        </w:rPr>
        <w:tab/>
      </w:r>
      <w:r>
        <w:rPr>
          <w:rFonts w:ascii="Times New Roman" w:hAnsi="Times New Roman" w:cs="Times New Roman"/>
          <w:color w:val="000000" w:themeColor="text1"/>
          <w:kern w:val="0"/>
          <w:sz w:val="24"/>
          <w:szCs w:val="24"/>
        </w:rPr>
        <w:t>邮政编码：</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开户银行：</w:t>
      </w:r>
      <w:r>
        <w:rPr>
          <w:rFonts w:ascii="Times New Roman" w:hAnsi="Times New Roman" w:cs="Times New Roman"/>
          <w:color w:val="000000" w:themeColor="text1"/>
          <w:kern w:val="0"/>
          <w:sz w:val="24"/>
          <w:szCs w:val="24"/>
        </w:rPr>
        <w:tab/>
      </w:r>
      <w:r>
        <w:rPr>
          <w:rFonts w:ascii="Times New Roman" w:hAnsi="Times New Roman" w:cs="Times New Roman"/>
          <w:color w:val="000000" w:themeColor="text1"/>
          <w:kern w:val="0"/>
          <w:sz w:val="24"/>
          <w:szCs w:val="24"/>
        </w:rPr>
        <w:t>开户银行：</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帐　　号：</w:t>
      </w:r>
      <w:r>
        <w:rPr>
          <w:rFonts w:ascii="Times New Roman" w:hAnsi="Times New Roman" w:cs="Times New Roman"/>
          <w:color w:val="000000" w:themeColor="text1"/>
          <w:kern w:val="0"/>
          <w:sz w:val="24"/>
          <w:szCs w:val="24"/>
        </w:rPr>
        <w:tab/>
      </w:r>
      <w:r>
        <w:rPr>
          <w:rFonts w:ascii="Times New Roman" w:hAnsi="Times New Roman" w:cs="Times New Roman"/>
          <w:color w:val="000000" w:themeColor="text1"/>
          <w:kern w:val="0"/>
          <w:sz w:val="24"/>
          <w:szCs w:val="24"/>
        </w:rPr>
        <w:t>帐　　号：</w:t>
      </w:r>
    </w:p>
    <w:p>
      <w:pPr>
        <w:autoSpaceDE w:val="0"/>
        <w:autoSpaceDN w:val="0"/>
        <w:adjustRightInd w:val="0"/>
        <w:spacing w:line="360" w:lineRule="auto"/>
        <w:ind w:firstLine="480" w:firstLineChars="200"/>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税　　号：</w:t>
      </w:r>
      <w:r>
        <w:rPr>
          <w:rFonts w:ascii="Times New Roman" w:hAnsi="Times New Roman" w:cs="Times New Roman"/>
          <w:color w:val="000000" w:themeColor="text1"/>
          <w:kern w:val="0"/>
          <w:sz w:val="24"/>
          <w:szCs w:val="24"/>
        </w:rPr>
        <w:tab/>
      </w:r>
      <w:r>
        <w:rPr>
          <w:rFonts w:ascii="Times New Roman" w:hAnsi="Times New Roman" w:cs="Times New Roman"/>
          <w:color w:val="000000" w:themeColor="text1"/>
          <w:kern w:val="0"/>
          <w:sz w:val="24"/>
          <w:szCs w:val="24"/>
        </w:rPr>
        <w:t>税　　号：</w:t>
      </w:r>
    </w:p>
    <w:p>
      <w:pPr>
        <w:widowControl/>
        <w:spacing w:line="360" w:lineRule="auto"/>
        <w:jc w:val="left"/>
        <w:rPr>
          <w:rFonts w:ascii="Times New Roman" w:hAnsi="Times New Roman" w:cs="Times New Roman"/>
          <w:b/>
          <w:color w:val="000000" w:themeColor="text1"/>
          <w:sz w:val="24"/>
          <w:szCs w:val="24"/>
        </w:rPr>
      </w:pPr>
    </w:p>
    <w:p>
      <w:pPr>
        <w:adjustRightInd w:val="0"/>
        <w:snapToGrid w:val="0"/>
        <w:spacing w:line="360" w:lineRule="auto"/>
        <w:jc w:val="center"/>
        <w:outlineLvl w:val="0"/>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br w:type="page"/>
      </w:r>
    </w:p>
    <w:p>
      <w:pPr>
        <w:adjustRightInd w:val="0"/>
        <w:snapToGrid w:val="0"/>
        <w:spacing w:line="360" w:lineRule="auto"/>
        <w:jc w:val="center"/>
        <w:outlineLvl w:val="0"/>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第六章 响应文件格式</w:t>
      </w:r>
    </w:p>
    <w:p>
      <w:pPr>
        <w:adjustRightInd w:val="0"/>
        <w:snapToGrid w:val="0"/>
        <w:spacing w:line="360" w:lineRule="auto"/>
        <w:jc w:val="center"/>
        <w:outlineLvl w:val="0"/>
        <w:rPr>
          <w:rFonts w:ascii="Times New Roman" w:hAnsi="Times New Roman" w:cs="Times New Roman"/>
          <w:b/>
          <w:color w:val="000000" w:themeColor="text1"/>
          <w:sz w:val="18"/>
          <w:szCs w:val="18"/>
        </w:rPr>
      </w:pPr>
    </w:p>
    <w:p>
      <w:pPr>
        <w:adjustRightInd w:val="0"/>
        <w:snapToGrid w:val="0"/>
        <w:spacing w:line="360" w:lineRule="auto"/>
        <w:outlineLvl w:val="0"/>
        <w:rPr>
          <w:rFonts w:ascii="Times New Roman" w:hAnsi="Times New Roman" w:cs="Times New Roman"/>
          <w:color w:val="000000" w:themeColor="text1"/>
          <w:szCs w:val="28"/>
        </w:rPr>
      </w:pPr>
      <w:r>
        <w:rPr>
          <w:rFonts w:ascii="Times New Roman" w:hAnsi="Times New Roman" w:cs="Times New Roman"/>
          <w:color w:val="000000" w:themeColor="text1"/>
          <w:szCs w:val="28"/>
        </w:rPr>
        <w:t>封面：</w:t>
      </w:r>
    </w:p>
    <w:p>
      <w:pPr>
        <w:tabs>
          <w:tab w:val="left" w:pos="1260"/>
        </w:tabs>
        <w:spacing w:line="360" w:lineRule="auto"/>
        <w:jc w:val="center"/>
        <w:rPr>
          <w:rFonts w:ascii="Times New Roman" w:hAnsi="Times New Roman" w:eastAsia="宋体" w:cs="Times New Roman"/>
          <w:b/>
          <w:bCs/>
          <w:color w:val="000000" w:themeColor="text1"/>
          <w:spacing w:val="100"/>
          <w:w w:val="110"/>
          <w:sz w:val="36"/>
          <w:szCs w:val="36"/>
        </w:rPr>
      </w:pPr>
    </w:p>
    <w:p>
      <w:pPr>
        <w:tabs>
          <w:tab w:val="left" w:pos="1260"/>
        </w:tabs>
        <w:spacing w:line="360" w:lineRule="auto"/>
        <w:jc w:val="center"/>
        <w:rPr>
          <w:rFonts w:ascii="Times New Roman" w:hAnsi="Times New Roman" w:eastAsia="宋体" w:cs="Times New Roman"/>
          <w:bCs/>
          <w:color w:val="000000" w:themeColor="text1"/>
          <w:spacing w:val="100"/>
          <w:w w:val="110"/>
          <w:sz w:val="36"/>
          <w:szCs w:val="36"/>
        </w:rPr>
      </w:pPr>
      <w:r>
        <w:rPr>
          <w:rFonts w:hint="eastAsia" w:ascii="Times New Roman" w:hAnsi="Times New Roman" w:eastAsia="宋体" w:cs="Times New Roman"/>
          <w:bCs/>
          <w:color w:val="000000" w:themeColor="text1"/>
          <w:spacing w:val="100"/>
          <w:w w:val="110"/>
          <w:sz w:val="36"/>
          <w:szCs w:val="36"/>
        </w:rPr>
        <w:t>阳新县县</w:t>
      </w:r>
      <w:r>
        <w:rPr>
          <w:rFonts w:ascii="Times New Roman" w:hAnsi="Times New Roman" w:eastAsia="宋体" w:cs="Times New Roman"/>
          <w:bCs/>
          <w:color w:val="000000" w:themeColor="text1"/>
          <w:spacing w:val="100"/>
          <w:w w:val="110"/>
          <w:sz w:val="36"/>
          <w:szCs w:val="36"/>
        </w:rPr>
        <w:t>级政府采购</w:t>
      </w:r>
    </w:p>
    <w:p>
      <w:pPr>
        <w:tabs>
          <w:tab w:val="left" w:pos="1260"/>
        </w:tabs>
        <w:spacing w:line="360" w:lineRule="auto"/>
        <w:jc w:val="center"/>
        <w:rPr>
          <w:rFonts w:ascii="Times New Roman" w:hAnsi="Times New Roman" w:eastAsia="宋体" w:cs="Times New Roman"/>
          <w:color w:val="000000" w:themeColor="text1"/>
          <w:spacing w:val="100"/>
          <w:w w:val="110"/>
          <w:sz w:val="100"/>
          <w:szCs w:val="100"/>
        </w:rPr>
      </w:pPr>
      <w:r>
        <w:rPr>
          <w:rFonts w:hint="eastAsia" w:ascii="Times New Roman" w:hAnsi="Times New Roman" w:eastAsia="宋体" w:cs="Times New Roman"/>
          <w:bCs/>
          <w:color w:val="000000" w:themeColor="text1"/>
          <w:spacing w:val="100"/>
          <w:w w:val="110"/>
          <w:sz w:val="100"/>
          <w:szCs w:val="100"/>
        </w:rPr>
        <w:t>磋商</w:t>
      </w:r>
      <w:r>
        <w:rPr>
          <w:rFonts w:ascii="Times New Roman" w:hAnsi="Times New Roman" w:eastAsia="宋体" w:cs="Times New Roman"/>
          <w:bCs/>
          <w:color w:val="000000" w:themeColor="text1"/>
          <w:spacing w:val="100"/>
          <w:w w:val="110"/>
          <w:sz w:val="100"/>
          <w:szCs w:val="100"/>
        </w:rPr>
        <w:t>响应文件</w:t>
      </w:r>
    </w:p>
    <w:p>
      <w:pPr>
        <w:spacing w:line="360" w:lineRule="auto"/>
        <w:jc w:val="center"/>
        <w:rPr>
          <w:rFonts w:ascii="Times New Roman" w:hAnsi="Times New Roman" w:eastAsia="宋体" w:cs="Times New Roman"/>
          <w:color w:val="000000" w:themeColor="text1"/>
          <w:sz w:val="44"/>
          <w:szCs w:val="21"/>
        </w:rPr>
      </w:pPr>
      <w:r>
        <w:rPr>
          <w:rFonts w:ascii="Times New Roman" w:hAnsi="Times New Roman" w:eastAsia="宋体" w:cs="Times New Roman"/>
          <w:color w:val="000000" w:themeColor="text1"/>
          <w:sz w:val="44"/>
          <w:szCs w:val="21"/>
        </w:rPr>
        <w:t>（正本/副本）</w:t>
      </w:r>
    </w:p>
    <w:p>
      <w:pPr>
        <w:spacing w:line="360" w:lineRule="auto"/>
        <w:jc w:val="center"/>
        <w:rPr>
          <w:rFonts w:ascii="Times New Roman" w:hAnsi="Times New Roman" w:eastAsia="宋体" w:cs="Times New Roman"/>
          <w:color w:val="000000" w:themeColor="text1"/>
          <w:sz w:val="44"/>
          <w:szCs w:val="21"/>
        </w:rPr>
      </w:pPr>
    </w:p>
    <w:p>
      <w:pPr>
        <w:spacing w:line="360" w:lineRule="auto"/>
        <w:jc w:val="center"/>
        <w:rPr>
          <w:rFonts w:ascii="Times New Roman" w:hAnsi="Times New Roman" w:eastAsia="宋体" w:cs="Times New Roman"/>
          <w:color w:val="000000" w:themeColor="text1"/>
          <w:sz w:val="44"/>
          <w:szCs w:val="21"/>
        </w:rPr>
      </w:pPr>
    </w:p>
    <w:p>
      <w:pPr>
        <w:spacing w:line="360" w:lineRule="auto"/>
        <w:ind w:firstLine="1280" w:firstLineChars="400"/>
        <w:rPr>
          <w:rFonts w:ascii="Times New Roman" w:hAnsi="Times New Roman" w:eastAsia="宋体" w:cs="Times New Roman"/>
          <w:color w:val="000000" w:themeColor="text1"/>
          <w:sz w:val="32"/>
          <w:szCs w:val="32"/>
        </w:rPr>
      </w:pPr>
      <w:r>
        <w:rPr>
          <w:rFonts w:ascii="Times New Roman" w:hAnsi="Times New Roman" w:eastAsia="宋体" w:cs="Times New Roman"/>
          <w:color w:val="000000" w:themeColor="text1"/>
          <w:sz w:val="32"/>
          <w:szCs w:val="32"/>
        </w:rPr>
        <w:t>项目编号：</w:t>
      </w:r>
    </w:p>
    <w:p>
      <w:pPr>
        <w:spacing w:line="360" w:lineRule="auto"/>
        <w:ind w:firstLine="1280" w:firstLineChars="400"/>
        <w:rPr>
          <w:rFonts w:ascii="Times New Roman" w:hAnsi="Times New Roman" w:eastAsia="宋体" w:cs="Times New Roman"/>
          <w:color w:val="000000" w:themeColor="text1"/>
          <w:sz w:val="32"/>
          <w:szCs w:val="32"/>
          <w:u w:val="single"/>
        </w:rPr>
      </w:pPr>
      <w:r>
        <w:rPr>
          <w:rFonts w:hint="eastAsia" w:ascii="Times New Roman" w:hAnsi="Times New Roman" w:eastAsia="宋体" w:cs="Times New Roman"/>
          <w:color w:val="000000" w:themeColor="text1"/>
          <w:sz w:val="32"/>
          <w:szCs w:val="32"/>
        </w:rPr>
        <w:t>采购人：</w:t>
      </w:r>
    </w:p>
    <w:p>
      <w:pPr>
        <w:spacing w:line="360" w:lineRule="auto"/>
        <w:ind w:firstLine="1280" w:firstLineChars="400"/>
        <w:rPr>
          <w:rFonts w:ascii="Times New Roman" w:hAnsi="Times New Roman" w:eastAsia="宋体" w:cs="Times New Roman"/>
          <w:color w:val="000000" w:themeColor="text1"/>
          <w:sz w:val="32"/>
          <w:szCs w:val="32"/>
        </w:rPr>
      </w:pPr>
      <w:r>
        <w:rPr>
          <w:rFonts w:ascii="Times New Roman" w:hAnsi="Times New Roman" w:eastAsia="宋体" w:cs="Times New Roman"/>
          <w:color w:val="000000" w:themeColor="text1"/>
          <w:sz w:val="32"/>
          <w:szCs w:val="32"/>
        </w:rPr>
        <w:t>项目名称：</w:t>
      </w:r>
    </w:p>
    <w:p>
      <w:pPr>
        <w:spacing w:line="360" w:lineRule="auto"/>
        <w:ind w:firstLine="1280" w:firstLineChars="400"/>
        <w:rPr>
          <w:rFonts w:ascii="Times New Roman" w:hAnsi="Times New Roman" w:eastAsia="宋体" w:cs="Times New Roman"/>
          <w:color w:val="000000" w:themeColor="text1"/>
          <w:sz w:val="32"/>
          <w:szCs w:val="32"/>
        </w:rPr>
      </w:pPr>
      <w:r>
        <w:rPr>
          <w:rFonts w:ascii="Times New Roman" w:hAnsi="Times New Roman" w:eastAsia="宋体" w:cs="Times New Roman"/>
          <w:color w:val="000000" w:themeColor="text1"/>
          <w:sz w:val="32"/>
          <w:szCs w:val="32"/>
        </w:rPr>
        <w:t>磋商内容：</w:t>
      </w:r>
    </w:p>
    <w:p>
      <w:pPr>
        <w:spacing w:line="360" w:lineRule="auto"/>
        <w:ind w:firstLine="1280" w:firstLineChars="400"/>
        <w:rPr>
          <w:rFonts w:ascii="Times New Roman" w:hAnsi="Times New Roman" w:eastAsia="宋体" w:cs="Times New Roman"/>
          <w:color w:val="000000" w:themeColor="text1"/>
          <w:sz w:val="32"/>
          <w:szCs w:val="32"/>
          <w:u w:val="single"/>
        </w:rPr>
      </w:pPr>
    </w:p>
    <w:p>
      <w:pPr>
        <w:spacing w:line="360" w:lineRule="auto"/>
        <w:jc w:val="center"/>
        <w:rPr>
          <w:rFonts w:ascii="Times New Roman" w:hAnsi="Times New Roman" w:eastAsia="宋体" w:cs="Times New Roman"/>
          <w:color w:val="000000" w:themeColor="text1"/>
          <w:sz w:val="144"/>
          <w:szCs w:val="144"/>
        </w:rPr>
      </w:pPr>
      <w:r>
        <w:rPr>
          <w:rFonts w:ascii="Times New Roman" w:hAnsi="Times New Roman" w:eastAsia="宋体" w:cs="Times New Roman"/>
          <w:color w:val="000000" w:themeColor="text1"/>
          <w:sz w:val="144"/>
          <w:szCs w:val="144"/>
        </w:rPr>
        <w:t>供应商名称</w:t>
      </w:r>
      <w:r>
        <w:rPr>
          <w:rFonts w:hint="eastAsia" w:ascii="Times New Roman" w:hAnsi="Times New Roman" w:eastAsia="宋体" w:cs="Times New Roman"/>
          <w:color w:val="000000" w:themeColor="text1"/>
          <w:sz w:val="144"/>
          <w:szCs w:val="144"/>
        </w:rPr>
        <w:t>：</w:t>
      </w:r>
    </w:p>
    <w:p>
      <w:pPr>
        <w:spacing w:line="360" w:lineRule="auto"/>
        <w:jc w:val="center"/>
        <w:rPr>
          <w:rFonts w:ascii="Times New Roman" w:hAnsi="Times New Roman" w:eastAsia="宋体" w:cs="Times New Roman"/>
          <w:color w:val="000000" w:themeColor="text1"/>
          <w:sz w:val="32"/>
          <w:szCs w:val="32"/>
          <w:u w:val="single"/>
        </w:rPr>
      </w:pPr>
      <w:r>
        <w:rPr>
          <w:rFonts w:ascii="Times New Roman" w:hAnsi="Times New Roman" w:eastAsia="宋体" w:cs="Times New Roman"/>
          <w:color w:val="000000" w:themeColor="text1"/>
          <w:sz w:val="32"/>
          <w:szCs w:val="32"/>
        </w:rPr>
        <w:t>年  月  日</w:t>
      </w:r>
    </w:p>
    <w:p>
      <w:pPr>
        <w:adjustRightInd w:val="0"/>
        <w:snapToGrid w:val="0"/>
        <w:spacing w:line="360" w:lineRule="auto"/>
        <w:jc w:val="center"/>
        <w:outlineLvl w:val="0"/>
        <w:rPr>
          <w:rFonts w:ascii="Times New Roman" w:hAnsi="Times New Roman" w:cs="Times New Roman"/>
          <w:b/>
          <w:color w:val="000000" w:themeColor="text1"/>
          <w:sz w:val="32"/>
          <w:szCs w:val="32"/>
        </w:rPr>
      </w:pPr>
      <w:r>
        <w:rPr>
          <w:rFonts w:ascii="Times New Roman" w:hAnsi="Times New Roman" w:cs="Times New Roman"/>
          <w:b/>
          <w:color w:val="000000" w:themeColor="text1"/>
        </w:rPr>
        <w:br w:type="page"/>
      </w:r>
      <w:r>
        <w:rPr>
          <w:rFonts w:ascii="Times New Roman" w:hAnsi="Times New Roman" w:cs="Times New Roman"/>
          <w:b/>
          <w:color w:val="000000" w:themeColor="text1"/>
          <w:sz w:val="32"/>
          <w:szCs w:val="32"/>
        </w:rPr>
        <w:t>目  录</w:t>
      </w:r>
    </w:p>
    <w:p>
      <w:pPr>
        <w:adjustRightInd w:val="0"/>
        <w:snapToGrid w:val="0"/>
        <w:spacing w:line="360" w:lineRule="auto"/>
        <w:outlineLvl w:val="0"/>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br w:type="page"/>
      </w:r>
      <w:r>
        <w:rPr>
          <w:rFonts w:ascii="Times New Roman" w:hAnsi="Times New Roman" w:cs="Times New Roman"/>
          <w:bCs/>
          <w:color w:val="000000" w:themeColor="text1"/>
          <w:sz w:val="24"/>
          <w:szCs w:val="24"/>
        </w:rPr>
        <w:t>附件1</w:t>
      </w:r>
    </w:p>
    <w:p>
      <w:pPr>
        <w:spacing w:line="360" w:lineRule="auto"/>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磋 商 书</w:t>
      </w:r>
    </w:p>
    <w:p>
      <w:pPr>
        <w:spacing w:line="360" w:lineRule="auto"/>
        <w:ind w:left="-88" w:leftChars="-42"/>
        <w:rPr>
          <w:rFonts w:ascii="Times New Roman" w:hAnsi="Times New Roman" w:eastAsia="仿宋_GB2312" w:cs="Times New Roman"/>
          <w:color w:val="000000" w:themeColor="text1"/>
          <w:sz w:val="24"/>
          <w:szCs w:val="24"/>
        </w:rPr>
      </w:pPr>
    </w:p>
    <w:p>
      <w:pPr>
        <w:spacing w:line="360" w:lineRule="auto"/>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致：</w:t>
      </w:r>
      <w:r>
        <w:rPr>
          <w:rFonts w:ascii="Times New Roman" w:hAnsi="Times New Roman" w:eastAsia="宋体" w:cs="Times New Roman"/>
          <w:color w:val="000000" w:themeColor="text1"/>
          <w:sz w:val="24"/>
          <w:szCs w:val="24"/>
          <w:u w:val="single"/>
        </w:rPr>
        <w:t>(</w:t>
      </w:r>
      <w:r>
        <w:rPr>
          <w:rFonts w:hint="eastAsia" w:ascii="Times New Roman" w:hAnsi="Times New Roman" w:eastAsia="宋体" w:cs="Times New Roman"/>
          <w:color w:val="000000" w:themeColor="text1"/>
          <w:sz w:val="24"/>
          <w:szCs w:val="24"/>
          <w:u w:val="single"/>
        </w:rPr>
        <w:t>采购人、采购代理机构</w:t>
      </w:r>
      <w:r>
        <w:rPr>
          <w:rFonts w:ascii="Times New Roman" w:hAnsi="Times New Roman" w:eastAsia="宋体" w:cs="Times New Roman"/>
          <w:color w:val="000000" w:themeColor="text1"/>
          <w:sz w:val="24"/>
          <w:szCs w:val="24"/>
          <w:u w:val="single"/>
        </w:rPr>
        <w:t>)</w:t>
      </w:r>
    </w:p>
    <w:p>
      <w:pPr>
        <w:spacing w:line="360" w:lineRule="auto"/>
        <w:ind w:firstLine="480"/>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根据贵方</w:t>
      </w:r>
      <w:r>
        <w:rPr>
          <w:rFonts w:ascii="Times New Roman" w:hAnsi="Times New Roman" w:eastAsia="宋体" w:cs="Times New Roman"/>
          <w:color w:val="000000" w:themeColor="text1"/>
          <w:sz w:val="24"/>
          <w:szCs w:val="24"/>
          <w:u w:val="single"/>
        </w:rPr>
        <w:t>（项目名称/项目编号）</w:t>
      </w:r>
      <w:r>
        <w:rPr>
          <w:rFonts w:ascii="Times New Roman" w:hAnsi="Times New Roman" w:eastAsia="宋体" w:cs="Times New Roman"/>
          <w:color w:val="000000" w:themeColor="text1"/>
          <w:sz w:val="24"/>
          <w:szCs w:val="24"/>
        </w:rPr>
        <w:t>项目政府采购的磋商邀请，</w:t>
      </w:r>
      <w:r>
        <w:rPr>
          <w:rFonts w:ascii="Times New Roman" w:hAnsi="Times New Roman" w:eastAsia="宋体" w:cs="Times New Roman"/>
          <w:color w:val="000000" w:themeColor="text1"/>
          <w:sz w:val="24"/>
          <w:szCs w:val="24"/>
          <w:u w:val="single"/>
        </w:rPr>
        <w:t>签字代表</w:t>
      </w:r>
      <w:r>
        <w:rPr>
          <w:rFonts w:ascii="Times New Roman" w:hAnsi="Times New Roman" w:eastAsia="宋体" w:cs="Times New Roman"/>
          <w:color w:val="000000" w:themeColor="text1"/>
          <w:sz w:val="24"/>
          <w:szCs w:val="24"/>
        </w:rPr>
        <w:t>（姓名和职务）经正式授权并代表供应商</w:t>
      </w:r>
      <w:r>
        <w:rPr>
          <w:rFonts w:ascii="Times New Roman" w:hAnsi="Times New Roman" w:eastAsia="宋体" w:cs="Times New Roman"/>
          <w:color w:val="000000" w:themeColor="text1"/>
          <w:sz w:val="24"/>
          <w:szCs w:val="24"/>
          <w:u w:val="single"/>
        </w:rPr>
        <w:t>（供应商名称、地址）</w:t>
      </w:r>
      <w:r>
        <w:rPr>
          <w:rFonts w:ascii="Times New Roman" w:hAnsi="Times New Roman" w:eastAsia="宋体" w:cs="Times New Roman"/>
          <w:color w:val="000000" w:themeColor="text1"/>
          <w:sz w:val="24"/>
          <w:szCs w:val="24"/>
        </w:rPr>
        <w:t>提交下述响应文件正本一份、副本二份、电子文件一份。</w:t>
      </w:r>
    </w:p>
    <w:p>
      <w:pPr>
        <w:spacing w:line="360" w:lineRule="auto"/>
        <w:ind w:firstLine="480"/>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1）磋商书 (附件1) ；</w:t>
      </w:r>
    </w:p>
    <w:p>
      <w:pPr>
        <w:spacing w:line="360" w:lineRule="auto"/>
        <w:ind w:firstLine="480"/>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2）报价组成情况表(附件2) ；</w:t>
      </w:r>
    </w:p>
    <w:p>
      <w:pPr>
        <w:spacing w:line="360" w:lineRule="auto"/>
        <w:ind w:firstLine="480"/>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3）货物（服务）清单(附件3)；</w:t>
      </w:r>
    </w:p>
    <w:p>
      <w:pPr>
        <w:spacing w:line="360" w:lineRule="auto"/>
        <w:ind w:firstLine="480"/>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4）资格性符合性检查对照表(附件4)；</w:t>
      </w:r>
    </w:p>
    <w:p>
      <w:pPr>
        <w:spacing w:line="360" w:lineRule="auto"/>
        <w:ind w:firstLine="480"/>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5）技术响应、偏离情况说明表(附件5)；</w:t>
      </w:r>
    </w:p>
    <w:p>
      <w:pPr>
        <w:spacing w:line="360" w:lineRule="auto"/>
        <w:ind w:firstLine="480"/>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6</w:t>
      </w:r>
      <w:r>
        <w:rPr>
          <w:rFonts w:ascii="Times New Roman" w:hAnsi="Times New Roman" w:eastAsia="宋体" w:cs="Times New Roman"/>
          <w:color w:val="000000" w:themeColor="text1"/>
          <w:sz w:val="24"/>
          <w:szCs w:val="24"/>
        </w:rPr>
        <w:t>）法人（负责人）代表授权书（附件</w:t>
      </w:r>
      <w:r>
        <w:rPr>
          <w:rFonts w:hint="eastAsia" w:ascii="Times New Roman" w:hAnsi="Times New Roman" w:eastAsia="宋体" w:cs="Times New Roman"/>
          <w:color w:val="000000" w:themeColor="text1"/>
          <w:sz w:val="24"/>
          <w:szCs w:val="24"/>
        </w:rPr>
        <w:t>6</w:t>
      </w:r>
      <w:r>
        <w:rPr>
          <w:rFonts w:ascii="Times New Roman" w:hAnsi="Times New Roman" w:eastAsia="宋体" w:cs="Times New Roman"/>
          <w:color w:val="000000" w:themeColor="text1"/>
          <w:sz w:val="24"/>
          <w:szCs w:val="24"/>
        </w:rPr>
        <w:t>）；</w:t>
      </w:r>
    </w:p>
    <w:p>
      <w:pPr>
        <w:spacing w:line="360" w:lineRule="auto"/>
        <w:ind w:firstLine="480"/>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7</w:t>
      </w:r>
      <w:r>
        <w:rPr>
          <w:rFonts w:ascii="Times New Roman" w:hAnsi="Times New Roman" w:eastAsia="宋体" w:cs="Times New Roman"/>
          <w:color w:val="000000" w:themeColor="text1"/>
          <w:sz w:val="24"/>
          <w:szCs w:val="24"/>
        </w:rPr>
        <w:t>）法人或者其他组织的营业执照等证明文件，自然人的身份证明(附件</w:t>
      </w:r>
      <w:r>
        <w:rPr>
          <w:rFonts w:hint="eastAsia" w:ascii="Times New Roman" w:hAnsi="Times New Roman" w:eastAsia="宋体" w:cs="Times New Roman"/>
          <w:color w:val="000000" w:themeColor="text1"/>
          <w:sz w:val="24"/>
          <w:szCs w:val="24"/>
        </w:rPr>
        <w:t>7</w:t>
      </w:r>
      <w:r>
        <w:rPr>
          <w:rFonts w:ascii="Times New Roman" w:hAnsi="Times New Roman" w:eastAsia="宋体" w:cs="Times New Roman"/>
          <w:color w:val="000000" w:themeColor="text1"/>
          <w:sz w:val="24"/>
          <w:szCs w:val="24"/>
        </w:rPr>
        <w:t>)；</w:t>
      </w:r>
    </w:p>
    <w:p>
      <w:pPr>
        <w:spacing w:line="360" w:lineRule="auto"/>
        <w:ind w:firstLine="480"/>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8</w:t>
      </w:r>
      <w:r>
        <w:rPr>
          <w:rFonts w:ascii="Times New Roman" w:hAnsi="Times New Roman" w:eastAsia="宋体" w:cs="Times New Roman"/>
          <w:color w:val="000000" w:themeColor="text1"/>
          <w:sz w:val="24"/>
          <w:szCs w:val="24"/>
        </w:rPr>
        <w:t>）财务状况报告，依法缴纳税收和社会保障资金的相关材料(附件</w:t>
      </w:r>
      <w:r>
        <w:rPr>
          <w:rFonts w:hint="eastAsia" w:ascii="Times New Roman" w:hAnsi="Times New Roman" w:eastAsia="宋体" w:cs="Times New Roman"/>
          <w:color w:val="000000" w:themeColor="text1"/>
          <w:sz w:val="24"/>
          <w:szCs w:val="24"/>
        </w:rPr>
        <w:t>8</w:t>
      </w:r>
      <w:r>
        <w:rPr>
          <w:rFonts w:ascii="Times New Roman" w:hAnsi="Times New Roman" w:eastAsia="宋体" w:cs="Times New Roman"/>
          <w:color w:val="000000" w:themeColor="text1"/>
          <w:sz w:val="24"/>
          <w:szCs w:val="24"/>
        </w:rPr>
        <w:t>)；</w:t>
      </w:r>
    </w:p>
    <w:p>
      <w:pPr>
        <w:spacing w:line="360" w:lineRule="auto"/>
        <w:ind w:firstLine="480"/>
        <w:rPr>
          <w:rFonts w:ascii="Times New Roman" w:hAnsi="Times New Roman" w:eastAsia="宋体" w:cs="Times New Roman"/>
          <w:color w:val="000000" w:themeColor="text1"/>
          <w:sz w:val="24"/>
          <w:szCs w:val="24"/>
        </w:rPr>
      </w:pPr>
      <w:r>
        <w:rPr>
          <w:rFonts w:hint="eastAsia" w:ascii="Times New Roman" w:hAnsi="Times New Roman" w:eastAsia="宋体" w:cs="Times New Roman"/>
          <w:color w:val="000000" w:themeColor="text1"/>
          <w:sz w:val="24"/>
          <w:szCs w:val="24"/>
        </w:rPr>
        <w:t>9</w:t>
      </w:r>
      <w:r>
        <w:rPr>
          <w:rFonts w:ascii="Times New Roman" w:hAnsi="Times New Roman" w:eastAsia="宋体" w:cs="Times New Roman"/>
          <w:color w:val="000000" w:themeColor="text1"/>
          <w:sz w:val="24"/>
          <w:szCs w:val="24"/>
        </w:rPr>
        <w:t>）具备履行合同所必需的设备和专业技术能力的证明材料(附件</w:t>
      </w:r>
      <w:r>
        <w:rPr>
          <w:rFonts w:hint="eastAsia" w:ascii="Times New Roman" w:hAnsi="Times New Roman" w:eastAsia="宋体" w:cs="Times New Roman"/>
          <w:color w:val="000000" w:themeColor="text1"/>
          <w:sz w:val="24"/>
          <w:szCs w:val="24"/>
        </w:rPr>
        <w:t>9</w:t>
      </w:r>
      <w:r>
        <w:rPr>
          <w:rFonts w:ascii="Times New Roman" w:hAnsi="Times New Roman" w:eastAsia="宋体" w:cs="Times New Roman"/>
          <w:color w:val="000000" w:themeColor="text1"/>
          <w:sz w:val="24"/>
          <w:szCs w:val="24"/>
        </w:rPr>
        <w:t>)；</w:t>
      </w:r>
    </w:p>
    <w:p>
      <w:pPr>
        <w:spacing w:line="360" w:lineRule="auto"/>
        <w:ind w:firstLine="480"/>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1</w:t>
      </w:r>
      <w:r>
        <w:rPr>
          <w:rFonts w:hint="eastAsia" w:ascii="Times New Roman" w:hAnsi="Times New Roman" w:eastAsia="宋体" w:cs="Times New Roman"/>
          <w:color w:val="000000" w:themeColor="text1"/>
          <w:sz w:val="24"/>
          <w:szCs w:val="24"/>
        </w:rPr>
        <w:t>0</w:t>
      </w:r>
      <w:r>
        <w:rPr>
          <w:rFonts w:ascii="Times New Roman" w:hAnsi="Times New Roman" w:eastAsia="宋体" w:cs="Times New Roman"/>
          <w:color w:val="000000" w:themeColor="text1"/>
          <w:sz w:val="24"/>
          <w:szCs w:val="24"/>
        </w:rPr>
        <w:t>）参加政府采购活动前3年内在经营活动中没有重大违法记录的书面声明(附件1</w:t>
      </w:r>
      <w:r>
        <w:rPr>
          <w:rFonts w:hint="eastAsia" w:ascii="Times New Roman" w:hAnsi="Times New Roman" w:eastAsia="宋体" w:cs="Times New Roman"/>
          <w:color w:val="000000" w:themeColor="text1"/>
          <w:sz w:val="24"/>
          <w:szCs w:val="24"/>
        </w:rPr>
        <w:t>0</w:t>
      </w:r>
      <w:r>
        <w:rPr>
          <w:rFonts w:ascii="Times New Roman" w:hAnsi="Times New Roman" w:eastAsia="宋体" w:cs="Times New Roman"/>
          <w:color w:val="000000" w:themeColor="text1"/>
          <w:sz w:val="24"/>
          <w:szCs w:val="24"/>
        </w:rPr>
        <w:t>)；</w:t>
      </w:r>
    </w:p>
    <w:p>
      <w:pPr>
        <w:spacing w:line="360" w:lineRule="auto"/>
        <w:ind w:firstLine="480"/>
        <w:rPr>
          <w:rFonts w:ascii="Times New Roman" w:hAnsi="Times New Roman" w:eastAsia="宋体" w:cs="Times New Roman"/>
          <w:color w:val="000000" w:themeColor="text1"/>
          <w:sz w:val="24"/>
          <w:szCs w:val="24"/>
        </w:rPr>
      </w:pPr>
      <w:r>
        <w:rPr>
          <w:rFonts w:hint="eastAsia"/>
          <w:bCs/>
          <w:color w:val="000000" w:themeColor="text1"/>
          <w:sz w:val="24"/>
        </w:rPr>
        <w:t>11）未被列入“信用中国”网站(www.creditchina. gov.cn)失信被执行人、重大税收违法案件当事人名单、政府采购严重违法失信行为记录名单的</w:t>
      </w:r>
      <w:r>
        <w:rPr>
          <w:rFonts w:hint="eastAsia"/>
          <w:bCs/>
          <w:color w:val="FF0000"/>
          <w:sz w:val="24"/>
        </w:rPr>
        <w:t>网页打印件</w:t>
      </w:r>
      <w:r>
        <w:rPr>
          <w:rFonts w:hint="eastAsia"/>
          <w:bCs/>
          <w:color w:val="000000" w:themeColor="text1"/>
          <w:sz w:val="24"/>
        </w:rPr>
        <w:t>(附件11)。</w:t>
      </w:r>
    </w:p>
    <w:p>
      <w:pPr>
        <w:spacing w:line="360" w:lineRule="auto"/>
        <w:ind w:firstLine="480"/>
        <w:rPr>
          <w:rFonts w:ascii="Times New Roman" w:hAnsi="Times New Roman" w:eastAsia="宋体" w:cs="Times New Roman"/>
          <w:color w:val="000000" w:themeColor="text1"/>
          <w:sz w:val="24"/>
          <w:szCs w:val="24"/>
        </w:rPr>
      </w:pPr>
      <w:r>
        <w:rPr>
          <w:rFonts w:hint="eastAsia"/>
          <w:bCs/>
          <w:color w:val="000000" w:themeColor="text1"/>
          <w:sz w:val="24"/>
        </w:rPr>
        <w:t>12）《中小企业声明函》、《残疾人福利性单位声明函》、属于监狱企业的证明文件等（如果有的话）(附件12、13)。</w:t>
      </w:r>
    </w:p>
    <w:p>
      <w:pPr>
        <w:spacing w:line="360" w:lineRule="auto"/>
        <w:ind w:firstLine="480"/>
        <w:rPr>
          <w:rFonts w:ascii="Times New Roman" w:hAnsi="Times New Roman" w:eastAsia="宋体" w:cs="Times New Roman"/>
          <w:color w:val="000000" w:themeColor="text1"/>
          <w:sz w:val="24"/>
          <w:szCs w:val="24"/>
        </w:rPr>
      </w:pPr>
      <w:r>
        <w:rPr>
          <w:rFonts w:hint="eastAsia"/>
          <w:b/>
          <w:bCs/>
          <w:color w:val="000000" w:themeColor="text1"/>
          <w:sz w:val="24"/>
        </w:rPr>
        <w:t>本文件要求提供的其他资格证明文件及资料。</w:t>
      </w:r>
    </w:p>
    <w:p>
      <w:pPr>
        <w:spacing w:line="360" w:lineRule="auto"/>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在此，我方宣布同意如下：</w:t>
      </w:r>
    </w:p>
    <w:p>
      <w:pPr>
        <w:spacing w:line="360" w:lineRule="auto"/>
        <w:ind w:firstLine="480"/>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1. 将按磋商文件的规定履行合同责任和义务；</w:t>
      </w:r>
    </w:p>
    <w:p>
      <w:pPr>
        <w:spacing w:line="360" w:lineRule="auto"/>
        <w:ind w:left="840" w:hanging="360"/>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2. 已详细审查全部磋商文件，包括第（编号、补遗书）（如果有的话）；我们完全理解并同意放弃对这方面有不明及误解的权力；</w:t>
      </w:r>
    </w:p>
    <w:p>
      <w:pPr>
        <w:spacing w:line="360" w:lineRule="auto"/>
        <w:ind w:firstLine="480"/>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3. 本响应文件有效期为自磋商之日起</w:t>
      </w:r>
      <w:r>
        <w:rPr>
          <w:rFonts w:hint="eastAsia" w:ascii="Times New Roman" w:hAnsi="Times New Roman" w:eastAsia="宋体" w:cs="Times New Roman"/>
          <w:color w:val="000000" w:themeColor="text1"/>
          <w:sz w:val="24"/>
          <w:szCs w:val="24"/>
        </w:rPr>
        <w:t>（   ）</w:t>
      </w:r>
      <w:r>
        <w:rPr>
          <w:rFonts w:ascii="Times New Roman" w:hAnsi="Times New Roman" w:eastAsia="宋体" w:cs="Times New Roman"/>
          <w:color w:val="000000" w:themeColor="text1"/>
          <w:sz w:val="24"/>
          <w:szCs w:val="24"/>
        </w:rPr>
        <w:t>个日历日；</w:t>
      </w:r>
    </w:p>
    <w:p>
      <w:pPr>
        <w:spacing w:line="360" w:lineRule="auto"/>
        <w:ind w:left="840" w:hanging="360"/>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4. 同意提供按照贵方可能要求的与其磋商有关的一切数据或资料；</w:t>
      </w:r>
    </w:p>
    <w:p>
      <w:pPr>
        <w:spacing w:line="360" w:lineRule="auto"/>
        <w:ind w:firstLine="480"/>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5. 与本磋商有关的一切正式往来信函请寄：</w:t>
      </w:r>
    </w:p>
    <w:p>
      <w:pPr>
        <w:spacing w:line="360" w:lineRule="auto"/>
        <w:ind w:firstLine="840"/>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地址：</w:t>
      </w:r>
    </w:p>
    <w:p>
      <w:pPr>
        <w:spacing w:line="360" w:lineRule="auto"/>
        <w:ind w:firstLine="840"/>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电话/传真：</w:t>
      </w:r>
    </w:p>
    <w:p>
      <w:pPr>
        <w:spacing w:line="360" w:lineRule="auto"/>
        <w:ind w:firstLine="840"/>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电子信箱：</w:t>
      </w:r>
    </w:p>
    <w:p>
      <w:pPr>
        <w:spacing w:line="360" w:lineRule="auto"/>
        <w:ind w:firstLine="840"/>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供应商（授权）代表签字：</w:t>
      </w:r>
    </w:p>
    <w:p>
      <w:pPr>
        <w:spacing w:line="360" w:lineRule="auto"/>
        <w:ind w:firstLine="840"/>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供应商名称（公章）：</w:t>
      </w:r>
    </w:p>
    <w:p>
      <w:pPr>
        <w:spacing w:line="360" w:lineRule="auto"/>
        <w:ind w:firstLine="840"/>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日期：</w:t>
      </w: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color w:val="000000" w:themeColor="text1"/>
          <w:sz w:val="24"/>
          <w:szCs w:val="24"/>
        </w:rPr>
      </w:pPr>
    </w:p>
    <w:p>
      <w:pPr>
        <w:spacing w:line="360" w:lineRule="auto"/>
        <w:ind w:left="480" w:hanging="480"/>
        <w:rPr>
          <w:rFonts w:ascii="Times New Roman" w:hAnsi="Times New Roman" w:eastAsia="宋体" w:cs="Times New Roman"/>
          <w:bCs/>
          <w:color w:val="000000" w:themeColor="text1"/>
          <w:sz w:val="24"/>
          <w:szCs w:val="24"/>
        </w:rPr>
      </w:pPr>
      <w:r>
        <w:rPr>
          <w:rFonts w:ascii="Times New Roman" w:hAnsi="Times New Roman" w:cs="Times New Roman"/>
          <w:bCs/>
          <w:color w:val="000000" w:themeColor="text1"/>
          <w:sz w:val="24"/>
          <w:szCs w:val="24"/>
        </w:rPr>
        <w:t>附件2</w:t>
      </w:r>
    </w:p>
    <w:p>
      <w:pPr>
        <w:autoSpaceDE w:val="0"/>
        <w:autoSpaceDN w:val="0"/>
        <w:adjustRightInd w:val="0"/>
        <w:ind w:left="283" w:leftChars="135"/>
        <w:jc w:val="center"/>
        <w:rPr>
          <w:color w:val="000000"/>
          <w:kern w:val="0"/>
          <w:sz w:val="30"/>
          <w:szCs w:val="30"/>
        </w:rPr>
      </w:pPr>
      <w:r>
        <w:rPr>
          <w:rFonts w:hint="eastAsia"/>
          <w:color w:val="000000"/>
          <w:kern w:val="0"/>
          <w:sz w:val="30"/>
          <w:szCs w:val="30"/>
        </w:rPr>
        <w:t>报价一览表</w:t>
      </w:r>
    </w:p>
    <w:tbl>
      <w:tblPr>
        <w:tblStyle w:val="18"/>
        <w:tblW w:w="927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7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15" w:type="dxa"/>
            <w:vAlign w:val="center"/>
          </w:tcPr>
          <w:p>
            <w:pPr>
              <w:jc w:val="center"/>
              <w:rPr>
                <w:rFonts w:hAnsi="宋体"/>
                <w:sz w:val="24"/>
              </w:rPr>
            </w:pPr>
            <w:r>
              <w:rPr>
                <w:rFonts w:hint="eastAsia" w:hAnsi="宋体"/>
                <w:sz w:val="24"/>
              </w:rPr>
              <w:t>项目编号</w:t>
            </w:r>
          </w:p>
        </w:tc>
        <w:tc>
          <w:tcPr>
            <w:tcW w:w="7455"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15" w:type="dxa"/>
            <w:vAlign w:val="center"/>
          </w:tcPr>
          <w:p>
            <w:pPr>
              <w:jc w:val="center"/>
              <w:rPr>
                <w:rFonts w:hAnsi="宋体"/>
                <w:sz w:val="24"/>
              </w:rPr>
            </w:pPr>
            <w:r>
              <w:rPr>
                <w:rFonts w:hint="eastAsia" w:hAnsi="宋体"/>
                <w:sz w:val="24"/>
              </w:rPr>
              <w:t>项目名称</w:t>
            </w:r>
          </w:p>
        </w:tc>
        <w:tc>
          <w:tcPr>
            <w:tcW w:w="7455"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1815" w:type="dxa"/>
            <w:vAlign w:val="center"/>
          </w:tcPr>
          <w:p>
            <w:pPr>
              <w:jc w:val="center"/>
              <w:rPr>
                <w:rFonts w:hAnsi="宋体"/>
                <w:sz w:val="24"/>
              </w:rPr>
            </w:pPr>
            <w:r>
              <w:rPr>
                <w:rFonts w:hint="eastAsia" w:hAnsi="宋体"/>
                <w:sz w:val="24"/>
              </w:rPr>
              <w:t>磋商报价</w:t>
            </w:r>
            <w:r>
              <w:rPr>
                <w:rFonts w:hAnsi="宋体"/>
                <w:sz w:val="24"/>
              </w:rPr>
              <w:t>/</w:t>
            </w:r>
            <w:r>
              <w:rPr>
                <w:rFonts w:hint="eastAsia" w:hAnsi="宋体"/>
                <w:sz w:val="24"/>
              </w:rPr>
              <w:t>元</w:t>
            </w:r>
          </w:p>
          <w:p>
            <w:pPr>
              <w:jc w:val="center"/>
              <w:rPr>
                <w:rFonts w:hAnsi="宋体"/>
                <w:sz w:val="24"/>
              </w:rPr>
            </w:pPr>
            <w:r>
              <w:rPr>
                <w:rFonts w:hint="eastAsia" w:hAnsi="宋体"/>
                <w:sz w:val="24"/>
              </w:rPr>
              <w:t>（第一次）</w:t>
            </w:r>
          </w:p>
          <w:p>
            <w:pPr>
              <w:jc w:val="center"/>
              <w:rPr>
                <w:rFonts w:hAnsi="宋体"/>
                <w:szCs w:val="21"/>
              </w:rPr>
            </w:pPr>
          </w:p>
        </w:tc>
        <w:tc>
          <w:tcPr>
            <w:tcW w:w="7455" w:type="dxa"/>
            <w:vAlign w:val="center"/>
          </w:tcPr>
          <w:p>
            <w:pPr>
              <w:spacing w:line="360" w:lineRule="auto"/>
              <w:ind w:firstLine="873" w:firstLineChars="364"/>
              <w:rPr>
                <w:rFonts w:hAnsi="宋体"/>
                <w:sz w:val="24"/>
              </w:rPr>
            </w:pPr>
          </w:p>
          <w:p>
            <w:pPr>
              <w:spacing w:line="360" w:lineRule="auto"/>
              <w:ind w:firstLine="873" w:firstLineChars="364"/>
              <w:rPr>
                <w:rFonts w:hAnsi="Courier New"/>
                <w:sz w:val="24"/>
              </w:rPr>
            </w:pPr>
            <w:r>
              <w:rPr>
                <w:rFonts w:hint="eastAsia" w:hAnsi="宋体"/>
                <w:sz w:val="24"/>
              </w:rPr>
              <w:t>（大写）：</w:t>
            </w:r>
            <w:r>
              <w:rPr>
                <w:rFonts w:hAnsi="Courier New"/>
                <w:sz w:val="24"/>
                <w:u w:val="single"/>
              </w:rPr>
              <w:t xml:space="preserve">                             </w:t>
            </w:r>
          </w:p>
          <w:p>
            <w:pPr>
              <w:spacing w:line="360" w:lineRule="auto"/>
              <w:ind w:firstLine="873" w:firstLineChars="364"/>
              <w:rPr>
                <w:rFonts w:hAnsi="Courier New"/>
                <w:sz w:val="24"/>
              </w:rPr>
            </w:pPr>
          </w:p>
          <w:p>
            <w:pPr>
              <w:spacing w:line="360" w:lineRule="auto"/>
              <w:ind w:firstLine="873" w:firstLineChars="364"/>
              <w:rPr>
                <w:rFonts w:hAnsi="Courier New"/>
                <w:sz w:val="24"/>
                <w:u w:val="single"/>
              </w:rPr>
            </w:pPr>
            <w:r>
              <w:rPr>
                <w:rFonts w:hint="eastAsia" w:hAnsi="Courier New"/>
                <w:sz w:val="24"/>
              </w:rPr>
              <w:t>（小写）：</w:t>
            </w:r>
            <w:r>
              <w:rPr>
                <w:rFonts w:hAnsi="Courier New"/>
                <w:sz w:val="24"/>
                <w:u w:val="single"/>
              </w:rPr>
              <w:t xml:space="preserve">                             </w:t>
            </w:r>
          </w:p>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815" w:type="dxa"/>
            <w:vAlign w:val="center"/>
          </w:tcPr>
          <w:p>
            <w:pPr>
              <w:jc w:val="center"/>
              <w:rPr>
                <w:rFonts w:hAnsi="宋体"/>
                <w:szCs w:val="21"/>
              </w:rPr>
            </w:pPr>
            <w:r>
              <w:rPr>
                <w:rFonts w:hint="eastAsia" w:hAnsi="宋体"/>
                <w:sz w:val="24"/>
              </w:rPr>
              <w:t>项目负责人</w:t>
            </w:r>
          </w:p>
        </w:tc>
        <w:tc>
          <w:tcPr>
            <w:tcW w:w="7455"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815" w:type="dxa"/>
            <w:vAlign w:val="center"/>
          </w:tcPr>
          <w:p>
            <w:pPr>
              <w:jc w:val="center"/>
              <w:rPr>
                <w:rFonts w:hAnsi="宋体"/>
                <w:sz w:val="24"/>
              </w:rPr>
            </w:pPr>
            <w:r>
              <w:rPr>
                <w:rFonts w:hint="eastAsia" w:hAnsi="宋体"/>
                <w:sz w:val="24"/>
              </w:rPr>
              <w:t>工期</w:t>
            </w:r>
          </w:p>
        </w:tc>
        <w:tc>
          <w:tcPr>
            <w:tcW w:w="7455"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815" w:type="dxa"/>
            <w:vAlign w:val="center"/>
          </w:tcPr>
          <w:p>
            <w:pPr>
              <w:jc w:val="center"/>
              <w:rPr>
                <w:rFonts w:hAnsi="宋体"/>
                <w:sz w:val="24"/>
              </w:rPr>
            </w:pPr>
            <w:r>
              <w:rPr>
                <w:rFonts w:hint="eastAsia" w:hAnsi="宋体"/>
                <w:sz w:val="24"/>
              </w:rPr>
              <w:t>备注</w:t>
            </w:r>
          </w:p>
        </w:tc>
        <w:tc>
          <w:tcPr>
            <w:tcW w:w="7455" w:type="dxa"/>
            <w:vAlign w:val="center"/>
          </w:tcPr>
          <w:p>
            <w:pPr>
              <w:pStyle w:val="10"/>
              <w:ind w:left="0" w:leftChars="0"/>
              <w:rPr>
                <w:sz w:val="24"/>
              </w:rPr>
            </w:pPr>
          </w:p>
        </w:tc>
      </w:tr>
    </w:tbl>
    <w:p>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注：本表仅作为磋商小组了解报价组成情况，不作为最终成交价。</w:t>
      </w:r>
    </w:p>
    <w:p>
      <w:pPr>
        <w:adjustRightInd w:val="0"/>
        <w:spacing w:line="400" w:lineRule="exact"/>
        <w:ind w:firstLine="480" w:firstLineChars="200"/>
        <w:jc w:val="left"/>
        <w:rPr>
          <w:rFonts w:ascii="宋体"/>
          <w:sz w:val="24"/>
        </w:rPr>
      </w:pPr>
      <w:r>
        <w:rPr>
          <w:rFonts w:hint="eastAsia" w:ascii="宋体" w:hAnsi="宋体"/>
          <w:sz w:val="24"/>
        </w:rPr>
        <w:t>供应商名称</w:t>
      </w:r>
      <w:r>
        <w:rPr>
          <w:rFonts w:hint="eastAsia" w:ascii="宋体" w:hAnsi="宋体" w:cs="宋体"/>
          <w:color w:val="000000"/>
          <w:kern w:val="0"/>
          <w:sz w:val="24"/>
        </w:rPr>
        <w:t>（加盖公章）</w:t>
      </w:r>
      <w:r>
        <w:rPr>
          <w:rFonts w:hint="eastAsia" w:ascii="宋体" w:hAnsi="宋体"/>
          <w:sz w:val="24"/>
        </w:rPr>
        <w:t>：</w:t>
      </w:r>
    </w:p>
    <w:p>
      <w:pPr>
        <w:adjustRightInd w:val="0"/>
        <w:spacing w:line="400" w:lineRule="exact"/>
        <w:ind w:firstLine="480" w:firstLineChars="200"/>
        <w:jc w:val="left"/>
        <w:rPr>
          <w:rFonts w:ascii="宋体"/>
          <w:sz w:val="24"/>
        </w:rPr>
      </w:pPr>
      <w:r>
        <w:rPr>
          <w:rFonts w:hint="eastAsia" w:ascii="宋体" w:hAnsi="宋体"/>
          <w:sz w:val="24"/>
        </w:rPr>
        <w:t>法定代表人或其授权代表（签字）：</w:t>
      </w:r>
    </w:p>
    <w:p>
      <w:pPr>
        <w:adjustRightInd w:val="0"/>
        <w:spacing w:line="400" w:lineRule="exact"/>
        <w:ind w:firstLine="480" w:firstLineChars="200"/>
        <w:jc w:val="left"/>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adjustRightInd w:val="0"/>
        <w:spacing w:line="400" w:lineRule="exact"/>
        <w:ind w:firstLine="480" w:firstLineChars="200"/>
        <w:jc w:val="left"/>
        <w:rPr>
          <w:rFonts w:ascii="宋体"/>
          <w:sz w:val="24"/>
        </w:rPr>
      </w:pPr>
      <w:r>
        <w:rPr>
          <w:rFonts w:ascii="宋体"/>
          <w:sz w:val="24"/>
        </w:rPr>
        <w:br w:type="page"/>
      </w:r>
    </w:p>
    <w:p>
      <w:pPr>
        <w:widowControl/>
        <w:spacing w:line="360" w:lineRule="auto"/>
        <w:jc w:val="lef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附件3</w:t>
      </w:r>
    </w:p>
    <w:p>
      <w:pPr>
        <w:widowControl/>
        <w:spacing w:line="360" w:lineRule="auto"/>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货物（服务）清单</w:t>
      </w:r>
    </w:p>
    <w:p>
      <w:pPr>
        <w:spacing w:line="360" w:lineRule="auto"/>
        <w:rPr>
          <w:rFonts w:ascii="Times New Roman" w:hAnsi="Times New Roman" w:cs="Times New Roman"/>
          <w:color w:val="000000" w:themeColor="text1"/>
          <w:sz w:val="24"/>
        </w:rPr>
      </w:pPr>
    </w:p>
    <w:p>
      <w:pPr>
        <w:spacing w:line="36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项目编号（包号）：</w:t>
      </w:r>
    </w:p>
    <w:p>
      <w:pPr>
        <w:spacing w:line="360" w:lineRule="auto"/>
        <w:rPr>
          <w:rFonts w:ascii="Times New Roman" w:hAnsi="Times New Roman" w:cs="Times New Roman"/>
          <w:b/>
          <w:bCs/>
          <w:color w:val="000000" w:themeColor="text1"/>
          <w:sz w:val="32"/>
          <w:szCs w:val="32"/>
        </w:rPr>
      </w:pPr>
      <w:r>
        <w:rPr>
          <w:rFonts w:ascii="Times New Roman" w:hAnsi="Times New Roman" w:cs="Times New Roman"/>
          <w:color w:val="000000" w:themeColor="text1"/>
          <w:sz w:val="24"/>
        </w:rPr>
        <w:t>项目名称：</w:t>
      </w:r>
    </w:p>
    <w:tbl>
      <w:tblPr>
        <w:tblStyle w:val="18"/>
        <w:tblW w:w="90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5001"/>
        <w:gridCol w:w="1080"/>
        <w:gridCol w:w="1080"/>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851" w:type="dxa"/>
            <w:tcBorders>
              <w:top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ascii="宋体" w:hAnsi="宋体"/>
                <w:iCs/>
                <w:szCs w:val="21"/>
              </w:rPr>
              <w:t xml:space="preserve">                  </w:t>
            </w:r>
            <w:r>
              <w:rPr>
                <w:rFonts w:hint="eastAsia" w:ascii="宋体" w:hAnsi="宋体"/>
                <w:iCs/>
                <w:szCs w:val="21"/>
              </w:rPr>
              <w:t>序号</w:t>
            </w:r>
          </w:p>
        </w:tc>
        <w:tc>
          <w:tcPr>
            <w:tcW w:w="500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jc w:val="center"/>
              <w:rPr>
                <w:rFonts w:ascii="宋体"/>
                <w:iCs/>
                <w:szCs w:val="21"/>
              </w:rPr>
            </w:pPr>
            <w:r>
              <w:rPr>
                <w:rFonts w:hint="eastAsia" w:ascii="宋体" w:hAnsi="宋体"/>
                <w:iCs/>
                <w:szCs w:val="21"/>
              </w:rPr>
              <w:t>工作内容</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hint="eastAsia" w:ascii="宋体" w:hAnsi="宋体"/>
                <w:iCs/>
                <w:szCs w:val="21"/>
              </w:rPr>
              <w:t>工作量</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hint="eastAsia" w:ascii="宋体" w:hAnsi="宋体"/>
                <w:iCs/>
                <w:szCs w:val="21"/>
              </w:rPr>
              <w:t>单价</w:t>
            </w:r>
          </w:p>
          <w:p>
            <w:pPr>
              <w:spacing w:line="380" w:lineRule="exact"/>
              <w:jc w:val="center"/>
              <w:rPr>
                <w:rFonts w:ascii="宋体"/>
                <w:iCs/>
                <w:szCs w:val="21"/>
              </w:rPr>
            </w:pPr>
            <w:r>
              <w:rPr>
                <w:rFonts w:hint="eastAsia" w:ascii="宋体" w:hAnsi="宋体"/>
                <w:iCs/>
                <w:szCs w:val="21"/>
              </w:rPr>
              <w:t>（万元）</w:t>
            </w:r>
          </w:p>
        </w:tc>
        <w:tc>
          <w:tcPr>
            <w:tcW w:w="1080" w:type="dxa"/>
            <w:tcBorders>
              <w:top w:val="single" w:color="auto" w:sz="4" w:space="0"/>
              <w:left w:val="single" w:color="auto" w:sz="4" w:space="0"/>
              <w:bottom w:val="single" w:color="auto" w:sz="4" w:space="0"/>
            </w:tcBorders>
            <w:vAlign w:val="center"/>
          </w:tcPr>
          <w:p>
            <w:pPr>
              <w:spacing w:line="380" w:lineRule="exact"/>
              <w:jc w:val="center"/>
              <w:rPr>
                <w:rFonts w:ascii="宋体"/>
                <w:iCs/>
                <w:szCs w:val="21"/>
              </w:rPr>
            </w:pPr>
            <w:r>
              <w:rPr>
                <w:rFonts w:hint="eastAsia" w:ascii="宋体" w:hAnsi="宋体"/>
                <w:iCs/>
                <w:szCs w:val="21"/>
              </w:rPr>
              <w:t>合计</w:t>
            </w:r>
          </w:p>
          <w:p>
            <w:pPr>
              <w:spacing w:line="380" w:lineRule="exact"/>
              <w:jc w:val="center"/>
              <w:rPr>
                <w:rFonts w:ascii="宋体"/>
                <w:iCs/>
                <w:szCs w:val="21"/>
              </w:rPr>
            </w:pPr>
            <w:r>
              <w:rPr>
                <w:rFonts w:hint="eastAsia" w:ascii="宋体" w:hAnsi="宋体"/>
                <w:iCs/>
                <w:szCs w:val="21"/>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51" w:type="dxa"/>
            <w:tcBorders>
              <w:top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ascii="宋体" w:hAnsi="宋体"/>
                <w:iCs/>
                <w:szCs w:val="21"/>
              </w:rPr>
              <w:t>1</w:t>
            </w:r>
          </w:p>
        </w:tc>
        <w:tc>
          <w:tcPr>
            <w:tcW w:w="50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jc w:val="center"/>
              <w:rPr>
                <w:rFonts w:ascii="宋体"/>
                <w:iCs/>
                <w:szCs w:val="21"/>
              </w:rPr>
            </w:pPr>
          </w:p>
        </w:tc>
        <w:tc>
          <w:tcPr>
            <w:tcW w:w="1080" w:type="dxa"/>
            <w:tcBorders>
              <w:top w:val="single" w:color="auto" w:sz="4" w:space="0"/>
              <w:left w:val="single" w:color="auto" w:sz="4" w:space="0"/>
              <w:bottom w:val="single" w:color="auto" w:sz="4" w:space="0"/>
            </w:tcBorders>
            <w:vAlign w:val="center"/>
          </w:tcPr>
          <w:p>
            <w:pPr>
              <w:spacing w:line="380" w:lineRule="exact"/>
              <w:ind w:firstLine="420" w:firstLineChars="200"/>
              <w:jc w:val="center"/>
              <w:rPr>
                <w:rFonts w:ascii="宋体"/>
                <w:i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exact"/>
          <w:jc w:val="center"/>
        </w:trPr>
        <w:tc>
          <w:tcPr>
            <w:tcW w:w="851" w:type="dxa"/>
            <w:tcBorders>
              <w:top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ascii="宋体" w:hAnsi="宋体"/>
                <w:iCs/>
                <w:szCs w:val="21"/>
              </w:rPr>
              <w:t>2</w:t>
            </w:r>
          </w:p>
        </w:tc>
        <w:tc>
          <w:tcPr>
            <w:tcW w:w="50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jc w:val="center"/>
              <w:rPr>
                <w:rFonts w:ascii="宋体"/>
                <w:iCs/>
                <w:szCs w:val="21"/>
              </w:rPr>
            </w:pPr>
          </w:p>
        </w:tc>
        <w:tc>
          <w:tcPr>
            <w:tcW w:w="1080" w:type="dxa"/>
            <w:tcBorders>
              <w:top w:val="single" w:color="auto" w:sz="4" w:space="0"/>
              <w:left w:val="single" w:color="auto" w:sz="4" w:space="0"/>
              <w:bottom w:val="single" w:color="auto" w:sz="4" w:space="0"/>
            </w:tcBorders>
            <w:vAlign w:val="center"/>
          </w:tcPr>
          <w:p>
            <w:pPr>
              <w:spacing w:line="380" w:lineRule="exact"/>
              <w:ind w:firstLine="420" w:firstLineChars="200"/>
              <w:jc w:val="center"/>
              <w:rPr>
                <w:rFonts w:ascii="宋体"/>
                <w:i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exact"/>
          <w:jc w:val="center"/>
        </w:trPr>
        <w:tc>
          <w:tcPr>
            <w:tcW w:w="851" w:type="dxa"/>
            <w:tcBorders>
              <w:top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ascii="宋体" w:hAnsi="宋体"/>
                <w:iCs/>
                <w:szCs w:val="21"/>
              </w:rPr>
              <w:t>3</w:t>
            </w:r>
          </w:p>
        </w:tc>
        <w:tc>
          <w:tcPr>
            <w:tcW w:w="50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jc w:val="center"/>
              <w:rPr>
                <w:rFonts w:ascii="宋体"/>
                <w:iCs/>
                <w:szCs w:val="21"/>
              </w:rPr>
            </w:pPr>
          </w:p>
        </w:tc>
        <w:tc>
          <w:tcPr>
            <w:tcW w:w="1080" w:type="dxa"/>
            <w:tcBorders>
              <w:top w:val="single" w:color="auto" w:sz="4" w:space="0"/>
              <w:left w:val="single" w:color="auto" w:sz="4" w:space="0"/>
              <w:bottom w:val="single" w:color="auto" w:sz="4" w:space="0"/>
            </w:tcBorders>
            <w:vAlign w:val="center"/>
          </w:tcPr>
          <w:p>
            <w:pPr>
              <w:spacing w:line="380" w:lineRule="exact"/>
              <w:ind w:firstLine="420" w:firstLineChars="200"/>
              <w:jc w:val="center"/>
              <w:rPr>
                <w:rFonts w:ascii="宋体"/>
                <w:i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exact"/>
          <w:jc w:val="center"/>
        </w:trPr>
        <w:tc>
          <w:tcPr>
            <w:tcW w:w="851" w:type="dxa"/>
            <w:tcBorders>
              <w:top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ascii="宋体" w:hAnsi="宋体"/>
                <w:iCs/>
                <w:szCs w:val="21"/>
              </w:rPr>
              <w:t>4</w:t>
            </w:r>
          </w:p>
        </w:tc>
        <w:tc>
          <w:tcPr>
            <w:tcW w:w="50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jc w:val="center"/>
              <w:rPr>
                <w:rFonts w:ascii="宋体"/>
                <w:iCs/>
                <w:szCs w:val="21"/>
              </w:rPr>
            </w:pPr>
          </w:p>
        </w:tc>
        <w:tc>
          <w:tcPr>
            <w:tcW w:w="1080" w:type="dxa"/>
            <w:tcBorders>
              <w:top w:val="single" w:color="auto" w:sz="4" w:space="0"/>
              <w:left w:val="single" w:color="auto" w:sz="4" w:space="0"/>
              <w:bottom w:val="single" w:color="auto" w:sz="4" w:space="0"/>
            </w:tcBorders>
            <w:vAlign w:val="center"/>
          </w:tcPr>
          <w:p>
            <w:pPr>
              <w:spacing w:line="380" w:lineRule="exact"/>
              <w:ind w:firstLine="420" w:firstLineChars="200"/>
              <w:jc w:val="center"/>
              <w:rPr>
                <w:rFonts w:ascii="宋体"/>
                <w:i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51" w:type="dxa"/>
            <w:tcBorders>
              <w:top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ascii="宋体" w:hAnsi="宋体"/>
                <w:iCs/>
                <w:szCs w:val="21"/>
              </w:rPr>
              <w:t>5</w:t>
            </w:r>
          </w:p>
        </w:tc>
        <w:tc>
          <w:tcPr>
            <w:tcW w:w="50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jc w:val="center"/>
              <w:rPr>
                <w:rFonts w:ascii="宋体"/>
                <w:iCs/>
                <w:szCs w:val="21"/>
              </w:rPr>
            </w:pPr>
          </w:p>
        </w:tc>
        <w:tc>
          <w:tcPr>
            <w:tcW w:w="1080" w:type="dxa"/>
            <w:tcBorders>
              <w:top w:val="single" w:color="auto" w:sz="4" w:space="0"/>
              <w:left w:val="single" w:color="auto" w:sz="4" w:space="0"/>
              <w:bottom w:val="single" w:color="auto" w:sz="4" w:space="0"/>
            </w:tcBorders>
            <w:vAlign w:val="center"/>
          </w:tcPr>
          <w:p>
            <w:pPr>
              <w:spacing w:line="380" w:lineRule="exact"/>
              <w:ind w:firstLine="420" w:firstLineChars="200"/>
              <w:jc w:val="center"/>
              <w:rPr>
                <w:rFonts w:ascii="宋体"/>
                <w:i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3" w:hRule="exact"/>
          <w:jc w:val="center"/>
        </w:trPr>
        <w:tc>
          <w:tcPr>
            <w:tcW w:w="851" w:type="dxa"/>
            <w:tcBorders>
              <w:top w:val="single" w:color="auto" w:sz="4" w:space="0"/>
              <w:bottom w:val="single" w:color="auto" w:sz="4" w:space="0"/>
              <w:right w:val="single" w:color="auto" w:sz="4" w:space="0"/>
            </w:tcBorders>
            <w:vAlign w:val="center"/>
          </w:tcPr>
          <w:p>
            <w:pPr>
              <w:spacing w:line="380" w:lineRule="exact"/>
              <w:jc w:val="center"/>
              <w:rPr>
                <w:rFonts w:ascii="宋体"/>
                <w:iCs/>
                <w:szCs w:val="21"/>
              </w:rPr>
            </w:pPr>
            <w:r>
              <w:rPr>
                <w:rFonts w:ascii="宋体" w:hAnsi="宋体"/>
                <w:iCs/>
                <w:szCs w:val="21"/>
              </w:rPr>
              <w:t>6</w:t>
            </w:r>
          </w:p>
        </w:tc>
        <w:tc>
          <w:tcPr>
            <w:tcW w:w="8241" w:type="dxa"/>
            <w:gridSpan w:val="4"/>
            <w:tcBorders>
              <w:top w:val="single" w:color="auto" w:sz="4" w:space="0"/>
              <w:left w:val="single" w:color="auto" w:sz="4" w:space="0"/>
              <w:bottom w:val="single" w:color="auto" w:sz="4" w:space="0"/>
            </w:tcBorders>
            <w:vAlign w:val="center"/>
          </w:tcPr>
          <w:p>
            <w:pPr>
              <w:spacing w:line="380" w:lineRule="exact"/>
              <w:rPr>
                <w:rFonts w:ascii="宋体"/>
                <w:iCs/>
                <w:szCs w:val="21"/>
              </w:rPr>
            </w:pPr>
            <w:r>
              <w:rPr>
                <w:rFonts w:hint="eastAsia" w:ascii="宋体" w:hAnsi="宋体"/>
                <w:iCs/>
                <w:szCs w:val="21"/>
              </w:rPr>
              <w:t>总报价：大写：</w:t>
            </w:r>
            <w:r>
              <w:rPr>
                <w:rFonts w:ascii="宋体" w:hAnsi="宋体"/>
                <w:iCs/>
                <w:szCs w:val="21"/>
              </w:rPr>
              <w:t xml:space="preserve">                               </w:t>
            </w:r>
          </w:p>
          <w:p>
            <w:pPr>
              <w:spacing w:line="380" w:lineRule="exact"/>
              <w:rPr>
                <w:rFonts w:ascii="宋体"/>
                <w:iCs/>
                <w:szCs w:val="21"/>
              </w:rPr>
            </w:pPr>
            <w:r>
              <w:rPr>
                <w:rFonts w:ascii="宋体" w:hAnsi="宋体"/>
                <w:iCs/>
                <w:szCs w:val="21"/>
              </w:rPr>
              <w:t xml:space="preserve">        </w:t>
            </w:r>
            <w:r>
              <w:rPr>
                <w:rFonts w:hint="eastAsia" w:ascii="宋体" w:hAnsi="宋体"/>
                <w:iCs/>
                <w:szCs w:val="21"/>
              </w:rPr>
              <w:t>小写：</w:t>
            </w:r>
          </w:p>
        </w:tc>
      </w:tr>
    </w:tbl>
    <w:p>
      <w:pPr>
        <w:spacing w:line="360" w:lineRule="auto"/>
        <w:ind w:left="1049" w:hanging="1048" w:hangingChars="437"/>
        <w:jc w:val="left"/>
        <w:rPr>
          <w:rFonts w:ascii="宋体"/>
          <w:sz w:val="24"/>
        </w:rPr>
      </w:pPr>
      <w:r>
        <w:rPr>
          <w:rFonts w:ascii="宋体" w:hAnsi="宋体"/>
          <w:sz w:val="24"/>
        </w:rPr>
        <w:t>1</w:t>
      </w:r>
      <w:r>
        <w:rPr>
          <w:rFonts w:hint="eastAsia" w:ascii="宋体" w:hAnsi="宋体"/>
          <w:sz w:val="24"/>
        </w:rPr>
        <w:t>．所有价格均用人民币表示，单位为万元。</w:t>
      </w:r>
    </w:p>
    <w:p>
      <w:pPr>
        <w:spacing w:line="360" w:lineRule="auto"/>
        <w:jc w:val="left"/>
        <w:rPr>
          <w:rFonts w:ascii="宋体"/>
          <w:color w:val="0D0D0D"/>
          <w:sz w:val="24"/>
        </w:rPr>
      </w:pPr>
      <w:r>
        <w:rPr>
          <w:rFonts w:ascii="宋体" w:hAnsi="宋体"/>
          <w:color w:val="0D0D0D"/>
          <w:sz w:val="24"/>
        </w:rPr>
        <w:t>2</w:t>
      </w:r>
      <w:r>
        <w:rPr>
          <w:rFonts w:hint="eastAsia" w:ascii="宋体" w:hAnsi="宋体"/>
          <w:color w:val="0D0D0D"/>
          <w:sz w:val="24"/>
        </w:rPr>
        <w:t>．报价明细表合计应与《报价一览表》中的投标总报价一致。</w:t>
      </w:r>
    </w:p>
    <w:p>
      <w:pPr>
        <w:spacing w:line="360" w:lineRule="auto"/>
        <w:jc w:val="left"/>
        <w:rPr>
          <w:rFonts w:ascii="宋体"/>
          <w:color w:val="0D0D0D"/>
          <w:sz w:val="24"/>
        </w:rPr>
      </w:pPr>
      <w:r>
        <w:rPr>
          <w:rFonts w:ascii="宋体" w:hAnsi="宋体"/>
          <w:color w:val="0D0D0D"/>
          <w:sz w:val="24"/>
        </w:rPr>
        <w:t>3</w:t>
      </w:r>
      <w:r>
        <w:rPr>
          <w:rFonts w:hint="eastAsia" w:ascii="宋体" w:hAnsi="宋体"/>
          <w:color w:val="0D0D0D"/>
          <w:sz w:val="24"/>
        </w:rPr>
        <w:t>．未提供详细的货物（工程或服务）报价明细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rPr>
          <w:rFonts w:ascii="Times New Roman" w:hAnsi="Times New Roman" w:eastAsia="仿宋_GB2312" w:cs="Times New Roman"/>
          <w:color w:val="000000" w:themeColor="text1"/>
          <w:sz w:val="24"/>
        </w:rPr>
      </w:pPr>
    </w:p>
    <w:p>
      <w:pPr>
        <w:pStyle w:val="9"/>
        <w:spacing w:line="360"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供应商名称（公章）：</w:t>
      </w:r>
    </w:p>
    <w:p>
      <w:pPr>
        <w:pStyle w:val="9"/>
        <w:spacing w:line="360"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授权代表（签字）：</w:t>
      </w:r>
    </w:p>
    <w:p>
      <w:pPr>
        <w:pStyle w:val="9"/>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时间：</w:t>
      </w:r>
    </w:p>
    <w:p>
      <w:pPr>
        <w:widowControl/>
        <w:spacing w:line="360" w:lineRule="auto"/>
        <w:jc w:val="left"/>
        <w:rPr>
          <w:rFonts w:ascii="Times New Roman" w:hAnsi="Times New Roman" w:cs="Times New Roman"/>
          <w:color w:val="000000" w:themeColor="text1"/>
          <w:sz w:val="32"/>
          <w:szCs w:val="32"/>
        </w:rPr>
      </w:pPr>
    </w:p>
    <w:p>
      <w:pPr>
        <w:widowControl/>
        <w:spacing w:line="360" w:lineRule="auto"/>
        <w:jc w:val="lef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br w:type="page"/>
      </w:r>
    </w:p>
    <w:p>
      <w:pPr>
        <w:spacing w:line="36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附件4</w:t>
      </w:r>
    </w:p>
    <w:p>
      <w:pPr>
        <w:spacing w:line="360" w:lineRule="auto"/>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资格性符合性检查对照表</w:t>
      </w:r>
    </w:p>
    <w:p>
      <w:pPr>
        <w:spacing w:line="360"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rPr>
        <w:t>项目编号（包号）</w:t>
      </w:r>
      <w:r>
        <w:rPr>
          <w:rFonts w:ascii="Times New Roman" w:hAnsi="Times New Roman" w:cs="Times New Roman"/>
          <w:color w:val="000000" w:themeColor="text1"/>
          <w:sz w:val="24"/>
          <w:szCs w:val="24"/>
        </w:rPr>
        <w:t>：</w:t>
      </w:r>
    </w:p>
    <w:p>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项目名称： </w:t>
      </w:r>
    </w:p>
    <w:tbl>
      <w:tblPr>
        <w:tblStyle w:val="1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5"/>
        <w:gridCol w:w="1274"/>
        <w:gridCol w:w="1104"/>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序号</w:t>
            </w:r>
          </w:p>
        </w:tc>
        <w:tc>
          <w:tcPr>
            <w:tcW w:w="4175" w:type="dxa"/>
            <w:vAlign w:val="center"/>
          </w:tcPr>
          <w:p>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资格性符合性检查内容</w:t>
            </w:r>
          </w:p>
        </w:tc>
        <w:tc>
          <w:tcPr>
            <w:tcW w:w="1274" w:type="dxa"/>
            <w:vAlign w:val="center"/>
          </w:tcPr>
          <w:p>
            <w:pPr>
              <w:spacing w:line="360" w:lineRule="auto"/>
              <w:ind w:leftChars="-51" w:hanging="107" w:hangingChars="51"/>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响应文件响应情况</w:t>
            </w:r>
          </w:p>
        </w:tc>
        <w:tc>
          <w:tcPr>
            <w:tcW w:w="1104" w:type="dxa"/>
            <w:vAlign w:val="center"/>
          </w:tcPr>
          <w:p>
            <w:pPr>
              <w:spacing w:line="360" w:lineRule="auto"/>
              <w:ind w:leftChars="-51" w:hanging="107" w:hangingChars="51"/>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偏离情况说明</w:t>
            </w:r>
          </w:p>
        </w:tc>
        <w:tc>
          <w:tcPr>
            <w:tcW w:w="1549" w:type="dxa"/>
            <w:vAlign w:val="center"/>
          </w:tcPr>
          <w:p>
            <w:pPr>
              <w:spacing w:line="360" w:lineRule="auto"/>
              <w:ind w:leftChars="-51" w:hanging="107" w:hangingChars="51"/>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w:t>
            </w:r>
          </w:p>
        </w:tc>
        <w:tc>
          <w:tcPr>
            <w:tcW w:w="4175" w:type="dxa"/>
          </w:tcPr>
          <w:p>
            <w:pPr>
              <w:spacing w:line="360" w:lineRule="auto"/>
              <w:rPr>
                <w:rFonts w:ascii="Times New Roman" w:hAnsi="Times New Roman" w:cs="Times New Roman"/>
                <w:color w:val="000000" w:themeColor="text1"/>
              </w:rPr>
            </w:pPr>
          </w:p>
        </w:tc>
        <w:tc>
          <w:tcPr>
            <w:tcW w:w="1274" w:type="dxa"/>
          </w:tcPr>
          <w:p>
            <w:pPr>
              <w:spacing w:line="360" w:lineRule="auto"/>
              <w:jc w:val="center"/>
              <w:rPr>
                <w:rFonts w:ascii="Times New Roman" w:hAnsi="Times New Roman" w:cs="Times New Roman"/>
                <w:color w:val="000000" w:themeColor="text1"/>
                <w:szCs w:val="21"/>
              </w:rPr>
            </w:pPr>
          </w:p>
        </w:tc>
        <w:tc>
          <w:tcPr>
            <w:tcW w:w="1104" w:type="dxa"/>
          </w:tcPr>
          <w:p>
            <w:pPr>
              <w:spacing w:line="360" w:lineRule="auto"/>
              <w:jc w:val="center"/>
              <w:rPr>
                <w:rFonts w:ascii="Times New Roman" w:hAnsi="Times New Roman" w:cs="Times New Roman"/>
                <w:color w:val="000000" w:themeColor="text1"/>
                <w:szCs w:val="21"/>
              </w:rPr>
            </w:pPr>
          </w:p>
        </w:tc>
        <w:tc>
          <w:tcPr>
            <w:tcW w:w="1549" w:type="dxa"/>
            <w:vAlign w:val="center"/>
          </w:tcPr>
          <w:p>
            <w:pPr>
              <w:spacing w:line="360" w:lineRule="auto"/>
              <w:ind w:leftChars="-50" w:hanging="105" w:hangingChars="50"/>
              <w:jc w:val="center"/>
              <w:rPr>
                <w:rFonts w:ascii="Times New Roman" w:hAnsi="Times New Roman"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2</w:t>
            </w:r>
          </w:p>
        </w:tc>
        <w:tc>
          <w:tcPr>
            <w:tcW w:w="4175" w:type="dxa"/>
          </w:tcPr>
          <w:p>
            <w:pPr>
              <w:spacing w:line="360" w:lineRule="auto"/>
              <w:rPr>
                <w:rFonts w:ascii="Times New Roman" w:hAnsi="Times New Roman" w:cs="Times New Roman"/>
                <w:color w:val="000000" w:themeColor="text1"/>
              </w:rPr>
            </w:pPr>
          </w:p>
        </w:tc>
        <w:tc>
          <w:tcPr>
            <w:tcW w:w="1274" w:type="dxa"/>
          </w:tcPr>
          <w:p>
            <w:pPr>
              <w:spacing w:line="360" w:lineRule="auto"/>
              <w:jc w:val="center"/>
              <w:rPr>
                <w:rFonts w:ascii="Times New Roman" w:hAnsi="Times New Roman" w:cs="Times New Roman"/>
                <w:color w:val="000000" w:themeColor="text1"/>
                <w:szCs w:val="21"/>
              </w:rPr>
            </w:pPr>
          </w:p>
        </w:tc>
        <w:tc>
          <w:tcPr>
            <w:tcW w:w="1104" w:type="dxa"/>
          </w:tcPr>
          <w:p>
            <w:pPr>
              <w:spacing w:line="360" w:lineRule="auto"/>
              <w:jc w:val="center"/>
              <w:rPr>
                <w:rFonts w:ascii="Times New Roman" w:hAnsi="Times New Roman" w:cs="Times New Roman"/>
                <w:color w:val="000000" w:themeColor="text1"/>
                <w:szCs w:val="21"/>
              </w:rPr>
            </w:pPr>
          </w:p>
        </w:tc>
        <w:tc>
          <w:tcPr>
            <w:tcW w:w="1549" w:type="dxa"/>
            <w:vAlign w:val="center"/>
          </w:tcPr>
          <w:p>
            <w:pPr>
              <w:spacing w:line="360" w:lineRule="auto"/>
              <w:jc w:val="center"/>
              <w:rPr>
                <w:rFonts w:ascii="Times New Roman" w:hAnsi="Times New Roman"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3</w:t>
            </w:r>
          </w:p>
        </w:tc>
        <w:tc>
          <w:tcPr>
            <w:tcW w:w="4175" w:type="dxa"/>
          </w:tcPr>
          <w:p>
            <w:pPr>
              <w:spacing w:line="360" w:lineRule="auto"/>
              <w:rPr>
                <w:rFonts w:ascii="Times New Roman" w:hAnsi="Times New Roman" w:cs="Times New Roman"/>
                <w:color w:val="000000" w:themeColor="text1"/>
              </w:rPr>
            </w:pPr>
          </w:p>
        </w:tc>
        <w:tc>
          <w:tcPr>
            <w:tcW w:w="1274" w:type="dxa"/>
          </w:tcPr>
          <w:p>
            <w:pPr>
              <w:spacing w:line="360" w:lineRule="auto"/>
              <w:jc w:val="center"/>
              <w:rPr>
                <w:rFonts w:ascii="Times New Roman" w:hAnsi="Times New Roman" w:cs="Times New Roman"/>
                <w:color w:val="000000" w:themeColor="text1"/>
                <w:szCs w:val="21"/>
              </w:rPr>
            </w:pPr>
          </w:p>
        </w:tc>
        <w:tc>
          <w:tcPr>
            <w:tcW w:w="1104" w:type="dxa"/>
          </w:tcPr>
          <w:p>
            <w:pPr>
              <w:spacing w:line="360" w:lineRule="auto"/>
              <w:jc w:val="center"/>
              <w:rPr>
                <w:rFonts w:ascii="Times New Roman" w:hAnsi="Times New Roman" w:cs="Times New Roman"/>
                <w:color w:val="000000" w:themeColor="text1"/>
                <w:szCs w:val="21"/>
              </w:rPr>
            </w:pPr>
          </w:p>
        </w:tc>
        <w:tc>
          <w:tcPr>
            <w:tcW w:w="1549" w:type="dxa"/>
            <w:vAlign w:val="center"/>
          </w:tcPr>
          <w:p>
            <w:pPr>
              <w:spacing w:line="360" w:lineRule="auto"/>
              <w:jc w:val="center"/>
              <w:rPr>
                <w:rFonts w:ascii="Times New Roman" w:hAnsi="Times New Roman"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w:t>
            </w:r>
          </w:p>
        </w:tc>
        <w:tc>
          <w:tcPr>
            <w:tcW w:w="4175" w:type="dxa"/>
          </w:tcPr>
          <w:p>
            <w:pPr>
              <w:spacing w:line="360" w:lineRule="auto"/>
              <w:rPr>
                <w:rFonts w:ascii="Times New Roman" w:hAnsi="Times New Roman" w:cs="Times New Roman"/>
                <w:color w:val="000000" w:themeColor="text1"/>
              </w:rPr>
            </w:pPr>
          </w:p>
        </w:tc>
        <w:tc>
          <w:tcPr>
            <w:tcW w:w="1274" w:type="dxa"/>
          </w:tcPr>
          <w:p>
            <w:pPr>
              <w:spacing w:line="360" w:lineRule="auto"/>
              <w:jc w:val="center"/>
              <w:rPr>
                <w:rFonts w:ascii="Times New Roman" w:hAnsi="Times New Roman" w:cs="Times New Roman"/>
                <w:color w:val="000000" w:themeColor="text1"/>
                <w:szCs w:val="21"/>
              </w:rPr>
            </w:pPr>
          </w:p>
        </w:tc>
        <w:tc>
          <w:tcPr>
            <w:tcW w:w="1104" w:type="dxa"/>
          </w:tcPr>
          <w:p>
            <w:pPr>
              <w:spacing w:line="360" w:lineRule="auto"/>
              <w:jc w:val="center"/>
              <w:rPr>
                <w:rFonts w:ascii="Times New Roman" w:hAnsi="Times New Roman" w:cs="Times New Roman"/>
                <w:color w:val="000000" w:themeColor="text1"/>
                <w:szCs w:val="21"/>
              </w:rPr>
            </w:pPr>
          </w:p>
        </w:tc>
        <w:tc>
          <w:tcPr>
            <w:tcW w:w="1549" w:type="dxa"/>
            <w:vAlign w:val="center"/>
          </w:tcPr>
          <w:p>
            <w:pPr>
              <w:spacing w:line="360" w:lineRule="auto"/>
              <w:jc w:val="center"/>
              <w:rPr>
                <w:rFonts w:ascii="Times New Roman" w:hAnsi="Times New Roman"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5</w:t>
            </w:r>
          </w:p>
        </w:tc>
        <w:tc>
          <w:tcPr>
            <w:tcW w:w="4175" w:type="dxa"/>
          </w:tcPr>
          <w:p>
            <w:pPr>
              <w:spacing w:line="360" w:lineRule="auto"/>
              <w:rPr>
                <w:rFonts w:ascii="Times New Roman" w:hAnsi="Times New Roman" w:cs="Times New Roman"/>
                <w:color w:val="000000" w:themeColor="text1"/>
              </w:rPr>
            </w:pPr>
          </w:p>
        </w:tc>
        <w:tc>
          <w:tcPr>
            <w:tcW w:w="1274" w:type="dxa"/>
          </w:tcPr>
          <w:p>
            <w:pPr>
              <w:spacing w:line="360" w:lineRule="auto"/>
              <w:jc w:val="center"/>
              <w:rPr>
                <w:rFonts w:ascii="Times New Roman" w:hAnsi="Times New Roman" w:cs="Times New Roman"/>
                <w:color w:val="000000" w:themeColor="text1"/>
                <w:szCs w:val="21"/>
              </w:rPr>
            </w:pPr>
          </w:p>
        </w:tc>
        <w:tc>
          <w:tcPr>
            <w:tcW w:w="1104" w:type="dxa"/>
          </w:tcPr>
          <w:p>
            <w:pPr>
              <w:spacing w:line="360" w:lineRule="auto"/>
              <w:jc w:val="center"/>
              <w:rPr>
                <w:rFonts w:ascii="Times New Roman" w:hAnsi="Times New Roman" w:cs="Times New Roman"/>
                <w:color w:val="000000" w:themeColor="text1"/>
                <w:szCs w:val="21"/>
              </w:rPr>
            </w:pPr>
          </w:p>
        </w:tc>
        <w:tc>
          <w:tcPr>
            <w:tcW w:w="1549" w:type="dxa"/>
            <w:vAlign w:val="center"/>
          </w:tcPr>
          <w:p>
            <w:pPr>
              <w:spacing w:line="360" w:lineRule="auto"/>
              <w:jc w:val="center"/>
              <w:rPr>
                <w:rFonts w:ascii="Times New Roman" w:hAnsi="Times New Roman"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6</w:t>
            </w:r>
          </w:p>
        </w:tc>
        <w:tc>
          <w:tcPr>
            <w:tcW w:w="4175" w:type="dxa"/>
          </w:tcPr>
          <w:p>
            <w:pPr>
              <w:spacing w:line="360" w:lineRule="auto"/>
              <w:rPr>
                <w:rFonts w:ascii="Times New Roman" w:hAnsi="Times New Roman" w:cs="Times New Roman"/>
                <w:color w:val="000000" w:themeColor="text1"/>
              </w:rPr>
            </w:pPr>
          </w:p>
        </w:tc>
        <w:tc>
          <w:tcPr>
            <w:tcW w:w="1274" w:type="dxa"/>
          </w:tcPr>
          <w:p>
            <w:pPr>
              <w:spacing w:line="360" w:lineRule="auto"/>
              <w:jc w:val="left"/>
              <w:rPr>
                <w:rFonts w:ascii="Times New Roman" w:hAnsi="Times New Roman" w:cs="Times New Roman"/>
                <w:color w:val="000000" w:themeColor="text1"/>
                <w:szCs w:val="21"/>
              </w:rPr>
            </w:pPr>
          </w:p>
        </w:tc>
        <w:tc>
          <w:tcPr>
            <w:tcW w:w="1104" w:type="dxa"/>
          </w:tcPr>
          <w:p>
            <w:pPr>
              <w:spacing w:line="360" w:lineRule="auto"/>
              <w:jc w:val="left"/>
              <w:rPr>
                <w:rFonts w:ascii="Times New Roman" w:hAnsi="Times New Roman" w:cs="Times New Roman"/>
                <w:color w:val="000000" w:themeColor="text1"/>
                <w:szCs w:val="21"/>
              </w:rPr>
            </w:pPr>
          </w:p>
        </w:tc>
        <w:tc>
          <w:tcPr>
            <w:tcW w:w="1549" w:type="dxa"/>
            <w:vAlign w:val="center"/>
          </w:tcPr>
          <w:p>
            <w:pPr>
              <w:spacing w:line="360" w:lineRule="auto"/>
              <w:jc w:val="center"/>
              <w:rPr>
                <w:rFonts w:ascii="Times New Roman" w:hAnsi="Times New Roman"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7</w:t>
            </w:r>
          </w:p>
        </w:tc>
        <w:tc>
          <w:tcPr>
            <w:tcW w:w="4175" w:type="dxa"/>
          </w:tcPr>
          <w:p>
            <w:pPr>
              <w:spacing w:line="360" w:lineRule="auto"/>
              <w:rPr>
                <w:rFonts w:ascii="Times New Roman" w:hAnsi="Times New Roman" w:cs="Times New Roman"/>
                <w:color w:val="000000" w:themeColor="text1"/>
              </w:rPr>
            </w:pPr>
          </w:p>
        </w:tc>
        <w:tc>
          <w:tcPr>
            <w:tcW w:w="1274" w:type="dxa"/>
          </w:tcPr>
          <w:p>
            <w:pPr>
              <w:spacing w:line="360" w:lineRule="auto"/>
              <w:jc w:val="left"/>
              <w:rPr>
                <w:rFonts w:ascii="Times New Roman" w:hAnsi="Times New Roman" w:cs="Times New Roman"/>
                <w:color w:val="000000" w:themeColor="text1"/>
                <w:szCs w:val="21"/>
              </w:rPr>
            </w:pPr>
          </w:p>
        </w:tc>
        <w:tc>
          <w:tcPr>
            <w:tcW w:w="1104" w:type="dxa"/>
          </w:tcPr>
          <w:p>
            <w:pPr>
              <w:spacing w:line="360" w:lineRule="auto"/>
              <w:jc w:val="left"/>
              <w:rPr>
                <w:rFonts w:ascii="Times New Roman" w:hAnsi="Times New Roman" w:cs="Times New Roman"/>
                <w:color w:val="000000" w:themeColor="text1"/>
                <w:szCs w:val="21"/>
              </w:rPr>
            </w:pPr>
          </w:p>
        </w:tc>
        <w:tc>
          <w:tcPr>
            <w:tcW w:w="1549" w:type="dxa"/>
            <w:vAlign w:val="center"/>
          </w:tcPr>
          <w:p>
            <w:pPr>
              <w:spacing w:line="360" w:lineRule="auto"/>
              <w:jc w:val="center"/>
              <w:rPr>
                <w:rFonts w:ascii="Times New Roman" w:hAnsi="Times New Roman"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w:t>
            </w:r>
          </w:p>
        </w:tc>
        <w:tc>
          <w:tcPr>
            <w:tcW w:w="4175" w:type="dxa"/>
          </w:tcPr>
          <w:p>
            <w:pPr>
              <w:spacing w:line="360" w:lineRule="auto"/>
              <w:rPr>
                <w:rFonts w:ascii="Times New Roman" w:hAnsi="Times New Roman" w:cs="Times New Roman"/>
                <w:color w:val="000000" w:themeColor="text1"/>
              </w:rPr>
            </w:pPr>
          </w:p>
        </w:tc>
        <w:tc>
          <w:tcPr>
            <w:tcW w:w="1274" w:type="dxa"/>
          </w:tcPr>
          <w:p>
            <w:pPr>
              <w:spacing w:line="360" w:lineRule="auto"/>
              <w:jc w:val="center"/>
              <w:rPr>
                <w:rFonts w:ascii="Times New Roman" w:hAnsi="Times New Roman" w:cs="Times New Roman"/>
                <w:color w:val="000000" w:themeColor="text1"/>
                <w:szCs w:val="21"/>
              </w:rPr>
            </w:pPr>
          </w:p>
        </w:tc>
        <w:tc>
          <w:tcPr>
            <w:tcW w:w="1104" w:type="dxa"/>
          </w:tcPr>
          <w:p>
            <w:pPr>
              <w:spacing w:line="360" w:lineRule="auto"/>
              <w:jc w:val="center"/>
              <w:rPr>
                <w:rFonts w:ascii="Times New Roman" w:hAnsi="Times New Roman" w:cs="Times New Roman"/>
                <w:color w:val="000000" w:themeColor="text1"/>
                <w:szCs w:val="21"/>
              </w:rPr>
            </w:pPr>
          </w:p>
        </w:tc>
        <w:tc>
          <w:tcPr>
            <w:tcW w:w="1549" w:type="dxa"/>
            <w:vAlign w:val="center"/>
          </w:tcPr>
          <w:p>
            <w:pPr>
              <w:spacing w:line="360" w:lineRule="auto"/>
              <w:jc w:val="center"/>
              <w:rPr>
                <w:rFonts w:ascii="Times New Roman" w:hAnsi="Times New Roman" w:cs="Times New Roman"/>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1" w:type="dxa"/>
            <w:gridSpan w:val="2"/>
            <w:vAlign w:val="center"/>
          </w:tcPr>
          <w:p>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自评结论</w:t>
            </w:r>
          </w:p>
        </w:tc>
        <w:tc>
          <w:tcPr>
            <w:tcW w:w="1274" w:type="dxa"/>
          </w:tcPr>
          <w:p>
            <w:pPr>
              <w:spacing w:line="360" w:lineRule="auto"/>
              <w:jc w:val="center"/>
              <w:rPr>
                <w:rFonts w:ascii="Times New Roman" w:hAnsi="Times New Roman" w:cs="Times New Roman"/>
                <w:color w:val="000000" w:themeColor="text1"/>
                <w:szCs w:val="21"/>
              </w:rPr>
            </w:pPr>
          </w:p>
        </w:tc>
        <w:tc>
          <w:tcPr>
            <w:tcW w:w="1104" w:type="dxa"/>
          </w:tcPr>
          <w:p>
            <w:pPr>
              <w:spacing w:line="360" w:lineRule="auto"/>
              <w:jc w:val="center"/>
              <w:rPr>
                <w:rFonts w:ascii="Times New Roman" w:hAnsi="Times New Roman" w:cs="Times New Roman"/>
                <w:color w:val="000000" w:themeColor="text1"/>
                <w:szCs w:val="21"/>
              </w:rPr>
            </w:pPr>
          </w:p>
        </w:tc>
        <w:tc>
          <w:tcPr>
            <w:tcW w:w="1549" w:type="dxa"/>
            <w:vAlign w:val="center"/>
          </w:tcPr>
          <w:p>
            <w:pPr>
              <w:spacing w:line="360" w:lineRule="auto"/>
              <w:jc w:val="center"/>
              <w:rPr>
                <w:rFonts w:ascii="Times New Roman" w:hAnsi="Times New Roman" w:cs="Times New Roman"/>
                <w:color w:val="000000" w:themeColor="text1"/>
                <w:szCs w:val="21"/>
              </w:rPr>
            </w:pPr>
          </w:p>
        </w:tc>
      </w:tr>
    </w:tbl>
    <w:p>
      <w:pPr>
        <w:spacing w:line="360" w:lineRule="auto"/>
        <w:rPr>
          <w:rFonts w:ascii="Times New Roman" w:hAnsi="Times New Roman" w:cs="Times New Roman"/>
          <w:color w:val="000000" w:themeColor="text1"/>
          <w:szCs w:val="21"/>
        </w:rPr>
      </w:pPr>
      <w:r>
        <w:rPr>
          <w:rFonts w:ascii="Times New Roman" w:hAnsi="Times New Roman" w:eastAsia="宋体" w:cs="Times New Roman"/>
          <w:color w:val="000000" w:themeColor="text1"/>
          <w:szCs w:val="21"/>
        </w:rPr>
        <w:t>说明：</w:t>
      </w:r>
      <w:r>
        <w:rPr>
          <w:rFonts w:ascii="Times New Roman" w:hAnsi="Times New Roman" w:cs="Times New Roman"/>
          <w:color w:val="000000" w:themeColor="text1"/>
          <w:szCs w:val="21"/>
        </w:rPr>
        <w:t>1. 备注栏中应提供相关内容在响应文件中的页码。</w:t>
      </w:r>
    </w:p>
    <w:p>
      <w:pPr>
        <w:spacing w:line="360" w:lineRule="auto"/>
        <w:ind w:left="945" w:leftChars="300" w:hanging="315" w:hangingChars="150"/>
        <w:rPr>
          <w:rFonts w:ascii="Times New Roman" w:hAnsi="Times New Roman" w:cs="Times New Roman"/>
          <w:color w:val="000000" w:themeColor="text1"/>
          <w:szCs w:val="21"/>
        </w:rPr>
      </w:pPr>
      <w:r>
        <w:rPr>
          <w:rFonts w:ascii="Times New Roman" w:hAnsi="Times New Roman" w:cs="Times New Roman"/>
          <w:color w:val="000000" w:themeColor="text1"/>
          <w:szCs w:val="21"/>
        </w:rPr>
        <w:t>2. 应对照磋商文件的要求，逐条说明所提供服务已对磋商文件的服务要求做出了实质性的响应，</w:t>
      </w:r>
      <w:r>
        <w:rPr>
          <w:rFonts w:ascii="Times New Roman" w:hAnsi="Times New Roman" w:cs="Times New Roman"/>
          <w:color w:val="000000" w:themeColor="text1"/>
          <w:sz w:val="24"/>
          <w:szCs w:val="24"/>
        </w:rPr>
        <w:t>并</w:t>
      </w:r>
      <w:r>
        <w:rPr>
          <w:rFonts w:ascii="Times New Roman" w:hAnsi="Times New Roman" w:cs="Times New Roman"/>
          <w:color w:val="000000" w:themeColor="text1"/>
          <w:sz w:val="24"/>
        </w:rPr>
        <w:t>说明</w:t>
      </w:r>
      <w:r>
        <w:rPr>
          <w:rFonts w:ascii="Times New Roman" w:hAnsi="Times New Roman" w:cs="Times New Roman"/>
          <w:color w:val="000000" w:themeColor="text1"/>
          <w:sz w:val="24"/>
          <w:szCs w:val="24"/>
        </w:rPr>
        <w:t>响应</w:t>
      </w:r>
      <w:r>
        <w:rPr>
          <w:rFonts w:ascii="Times New Roman" w:hAnsi="Times New Roman" w:cs="Times New Roman"/>
          <w:color w:val="000000" w:themeColor="text1"/>
          <w:sz w:val="24"/>
        </w:rPr>
        <w:t>情况</w:t>
      </w:r>
      <w:r>
        <w:rPr>
          <w:rFonts w:ascii="Times New Roman" w:hAnsi="Times New Roman" w:cs="Times New Roman"/>
          <w:color w:val="000000" w:themeColor="text1"/>
          <w:szCs w:val="21"/>
        </w:rPr>
        <w:t>。如果仅注明“符合”、“满足”或简单复制磋商文件要求，将导致响应文件无效。</w:t>
      </w:r>
    </w:p>
    <w:p>
      <w:pPr>
        <w:spacing w:line="360" w:lineRule="auto"/>
        <w:rPr>
          <w:rFonts w:ascii="Times New Roman" w:hAnsi="Times New Roman" w:eastAsia="宋体" w:cs="Times New Roman"/>
          <w:color w:val="000000" w:themeColor="text1"/>
          <w:sz w:val="24"/>
          <w:szCs w:val="24"/>
        </w:rPr>
      </w:pPr>
    </w:p>
    <w:p>
      <w:pPr>
        <w:spacing w:line="360" w:lineRule="auto"/>
        <w:rPr>
          <w:rFonts w:ascii="Times New Roman" w:hAnsi="Times New Roman" w:eastAsia="宋体" w:cs="Times New Roman"/>
          <w:color w:val="000000" w:themeColor="text1"/>
          <w:sz w:val="24"/>
          <w:szCs w:val="24"/>
          <w:u w:val="single"/>
        </w:rPr>
      </w:pPr>
      <w:r>
        <w:rPr>
          <w:rFonts w:ascii="Times New Roman" w:hAnsi="Times New Roman" w:eastAsia="宋体" w:cs="Times New Roman"/>
          <w:color w:val="000000" w:themeColor="text1"/>
          <w:sz w:val="24"/>
          <w:szCs w:val="24"/>
        </w:rPr>
        <w:t>供应商名称（公章）：</w:t>
      </w:r>
    </w:p>
    <w:p>
      <w:pPr>
        <w:spacing w:line="360" w:lineRule="auto"/>
        <w:rPr>
          <w:rFonts w:ascii="Times New Roman" w:hAnsi="Times New Roman" w:eastAsia="宋体" w:cs="Times New Roman"/>
          <w:color w:val="000000" w:themeColor="text1"/>
          <w:sz w:val="24"/>
          <w:szCs w:val="24"/>
          <w:u w:val="single"/>
        </w:rPr>
      </w:pPr>
      <w:r>
        <w:rPr>
          <w:rFonts w:ascii="Times New Roman" w:hAnsi="Times New Roman" w:eastAsia="宋体" w:cs="Times New Roman"/>
          <w:color w:val="000000" w:themeColor="text1"/>
          <w:sz w:val="24"/>
          <w:szCs w:val="24"/>
        </w:rPr>
        <w:t>授权代表（签字）：</w:t>
      </w:r>
    </w:p>
    <w:p>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时间：</w:t>
      </w:r>
    </w:p>
    <w:p>
      <w:pPr>
        <w:widowControl/>
        <w:spacing w:line="36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r>
        <w:rPr>
          <w:rFonts w:ascii="Times New Roman" w:hAnsi="Times New Roman" w:cs="Times New Roman"/>
          <w:color w:val="000000" w:themeColor="text1"/>
          <w:sz w:val="24"/>
          <w:szCs w:val="24"/>
        </w:rPr>
        <w:t>附件5</w:t>
      </w:r>
    </w:p>
    <w:p>
      <w:pPr>
        <w:spacing w:line="360" w:lineRule="auto"/>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技术响应、偏离情况说明表</w:t>
      </w:r>
    </w:p>
    <w:p>
      <w:pPr>
        <w:spacing w:line="360"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项目编号（包号）：</w:t>
      </w:r>
    </w:p>
    <w:p>
      <w:pPr>
        <w:spacing w:line="360" w:lineRule="auto"/>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项目名称：</w:t>
      </w:r>
    </w:p>
    <w:tbl>
      <w:tblPr>
        <w:tblStyle w:val="1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281"/>
        <w:gridCol w:w="85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57" w:type="dxa"/>
            <w:vAlign w:val="center"/>
          </w:tcPr>
          <w:p>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磋商文件要求</w:t>
            </w:r>
          </w:p>
        </w:tc>
        <w:tc>
          <w:tcPr>
            <w:tcW w:w="1281" w:type="dxa"/>
            <w:vAlign w:val="center"/>
          </w:tcPr>
          <w:p>
            <w:pPr>
              <w:spacing w:line="360" w:lineRule="auto"/>
              <w:ind w:left="-109" w:leftChars="-52" w:right="-107" w:rightChars="-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响应文件响应情况</w:t>
            </w:r>
          </w:p>
        </w:tc>
        <w:tc>
          <w:tcPr>
            <w:tcW w:w="853" w:type="dxa"/>
            <w:vAlign w:val="center"/>
          </w:tcPr>
          <w:p>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偏离说明</w:t>
            </w:r>
          </w:p>
        </w:tc>
        <w:tc>
          <w:tcPr>
            <w:tcW w:w="1637" w:type="dxa"/>
            <w:vAlign w:val="center"/>
          </w:tcPr>
          <w:p>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color w:val="000000" w:themeColor="text1"/>
              </w:rPr>
            </w:pPr>
          </w:p>
        </w:tc>
        <w:tc>
          <w:tcPr>
            <w:tcW w:w="1281" w:type="dxa"/>
          </w:tcPr>
          <w:p>
            <w:pPr>
              <w:spacing w:line="360" w:lineRule="auto"/>
              <w:rPr>
                <w:rFonts w:ascii="Times New Roman" w:hAnsi="Times New Roman" w:cs="Times New Roman"/>
                <w:color w:val="000000" w:themeColor="text1"/>
                <w:sz w:val="24"/>
                <w:szCs w:val="24"/>
              </w:rPr>
            </w:pPr>
          </w:p>
        </w:tc>
        <w:tc>
          <w:tcPr>
            <w:tcW w:w="853" w:type="dxa"/>
          </w:tcPr>
          <w:p>
            <w:pPr>
              <w:spacing w:line="360" w:lineRule="auto"/>
              <w:rPr>
                <w:rFonts w:ascii="Times New Roman" w:hAnsi="Times New Roman" w:cs="Times New Roman"/>
                <w:color w:val="000000" w:themeColor="text1"/>
                <w:sz w:val="24"/>
                <w:szCs w:val="24"/>
              </w:rPr>
            </w:pPr>
          </w:p>
        </w:tc>
        <w:tc>
          <w:tcPr>
            <w:tcW w:w="1637" w:type="dxa"/>
          </w:tcPr>
          <w:p>
            <w:pPr>
              <w:spacing w:line="360" w:lineRule="auto"/>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color w:val="000000" w:themeColor="text1"/>
              </w:rPr>
            </w:pPr>
          </w:p>
        </w:tc>
        <w:tc>
          <w:tcPr>
            <w:tcW w:w="1281" w:type="dxa"/>
          </w:tcPr>
          <w:p>
            <w:pPr>
              <w:spacing w:line="360" w:lineRule="auto"/>
              <w:rPr>
                <w:rFonts w:ascii="Times New Roman" w:hAnsi="Times New Roman" w:cs="Times New Roman"/>
                <w:color w:val="000000" w:themeColor="text1"/>
                <w:sz w:val="24"/>
                <w:szCs w:val="24"/>
              </w:rPr>
            </w:pPr>
          </w:p>
        </w:tc>
        <w:tc>
          <w:tcPr>
            <w:tcW w:w="853" w:type="dxa"/>
          </w:tcPr>
          <w:p>
            <w:pPr>
              <w:spacing w:line="360" w:lineRule="auto"/>
              <w:rPr>
                <w:rFonts w:ascii="Times New Roman" w:hAnsi="Times New Roman" w:cs="Times New Roman"/>
                <w:color w:val="000000" w:themeColor="text1"/>
                <w:sz w:val="24"/>
                <w:szCs w:val="24"/>
              </w:rPr>
            </w:pPr>
          </w:p>
        </w:tc>
        <w:tc>
          <w:tcPr>
            <w:tcW w:w="1637" w:type="dxa"/>
          </w:tcPr>
          <w:p>
            <w:pPr>
              <w:spacing w:line="360" w:lineRule="auto"/>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color w:val="000000" w:themeColor="text1"/>
              </w:rPr>
            </w:pPr>
          </w:p>
        </w:tc>
        <w:tc>
          <w:tcPr>
            <w:tcW w:w="1281" w:type="dxa"/>
          </w:tcPr>
          <w:p>
            <w:pPr>
              <w:spacing w:line="360" w:lineRule="auto"/>
              <w:rPr>
                <w:rFonts w:ascii="Times New Roman" w:hAnsi="Times New Roman" w:cs="Times New Roman"/>
                <w:color w:val="000000" w:themeColor="text1"/>
                <w:sz w:val="24"/>
                <w:szCs w:val="24"/>
              </w:rPr>
            </w:pPr>
          </w:p>
        </w:tc>
        <w:tc>
          <w:tcPr>
            <w:tcW w:w="853" w:type="dxa"/>
          </w:tcPr>
          <w:p>
            <w:pPr>
              <w:spacing w:line="360" w:lineRule="auto"/>
              <w:rPr>
                <w:rFonts w:ascii="Times New Roman" w:hAnsi="Times New Roman" w:cs="Times New Roman"/>
                <w:color w:val="000000" w:themeColor="text1"/>
                <w:sz w:val="24"/>
                <w:szCs w:val="24"/>
              </w:rPr>
            </w:pPr>
          </w:p>
        </w:tc>
        <w:tc>
          <w:tcPr>
            <w:tcW w:w="1637" w:type="dxa"/>
          </w:tcPr>
          <w:p>
            <w:pPr>
              <w:spacing w:line="360" w:lineRule="auto"/>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color w:val="000000" w:themeColor="text1"/>
              </w:rPr>
            </w:pPr>
          </w:p>
        </w:tc>
        <w:tc>
          <w:tcPr>
            <w:tcW w:w="1281" w:type="dxa"/>
          </w:tcPr>
          <w:p>
            <w:pPr>
              <w:spacing w:line="360" w:lineRule="auto"/>
              <w:rPr>
                <w:rFonts w:ascii="Times New Roman" w:hAnsi="Times New Roman" w:cs="Times New Roman"/>
                <w:color w:val="000000" w:themeColor="text1"/>
                <w:sz w:val="24"/>
                <w:szCs w:val="24"/>
              </w:rPr>
            </w:pPr>
          </w:p>
        </w:tc>
        <w:tc>
          <w:tcPr>
            <w:tcW w:w="853" w:type="dxa"/>
          </w:tcPr>
          <w:p>
            <w:pPr>
              <w:spacing w:line="360" w:lineRule="auto"/>
              <w:rPr>
                <w:rFonts w:ascii="Times New Roman" w:hAnsi="Times New Roman" w:cs="Times New Roman"/>
                <w:color w:val="000000" w:themeColor="text1"/>
                <w:sz w:val="24"/>
                <w:szCs w:val="24"/>
              </w:rPr>
            </w:pPr>
          </w:p>
        </w:tc>
        <w:tc>
          <w:tcPr>
            <w:tcW w:w="1637" w:type="dxa"/>
          </w:tcPr>
          <w:p>
            <w:pPr>
              <w:spacing w:line="360" w:lineRule="auto"/>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color w:val="000000" w:themeColor="text1"/>
              </w:rPr>
            </w:pPr>
          </w:p>
        </w:tc>
        <w:tc>
          <w:tcPr>
            <w:tcW w:w="1281" w:type="dxa"/>
          </w:tcPr>
          <w:p>
            <w:pPr>
              <w:spacing w:line="360" w:lineRule="auto"/>
              <w:rPr>
                <w:rFonts w:ascii="Times New Roman" w:hAnsi="Times New Roman" w:cs="Times New Roman"/>
                <w:color w:val="000000" w:themeColor="text1"/>
                <w:sz w:val="24"/>
                <w:szCs w:val="24"/>
              </w:rPr>
            </w:pPr>
          </w:p>
        </w:tc>
        <w:tc>
          <w:tcPr>
            <w:tcW w:w="853" w:type="dxa"/>
          </w:tcPr>
          <w:p>
            <w:pPr>
              <w:spacing w:line="360" w:lineRule="auto"/>
              <w:rPr>
                <w:rFonts w:ascii="Times New Roman" w:hAnsi="Times New Roman" w:cs="Times New Roman"/>
                <w:color w:val="000000" w:themeColor="text1"/>
                <w:sz w:val="24"/>
                <w:szCs w:val="24"/>
              </w:rPr>
            </w:pPr>
          </w:p>
        </w:tc>
        <w:tc>
          <w:tcPr>
            <w:tcW w:w="1637" w:type="dxa"/>
          </w:tcPr>
          <w:p>
            <w:pPr>
              <w:spacing w:line="360" w:lineRule="auto"/>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color w:val="000000" w:themeColor="text1"/>
              </w:rPr>
            </w:pPr>
          </w:p>
        </w:tc>
        <w:tc>
          <w:tcPr>
            <w:tcW w:w="1281" w:type="dxa"/>
          </w:tcPr>
          <w:p>
            <w:pPr>
              <w:spacing w:line="360" w:lineRule="auto"/>
              <w:rPr>
                <w:rFonts w:ascii="Times New Roman" w:hAnsi="Times New Roman" w:cs="Times New Roman"/>
                <w:color w:val="000000" w:themeColor="text1"/>
                <w:sz w:val="24"/>
                <w:szCs w:val="24"/>
              </w:rPr>
            </w:pPr>
          </w:p>
        </w:tc>
        <w:tc>
          <w:tcPr>
            <w:tcW w:w="853" w:type="dxa"/>
          </w:tcPr>
          <w:p>
            <w:pPr>
              <w:spacing w:line="360" w:lineRule="auto"/>
              <w:rPr>
                <w:rFonts w:ascii="Times New Roman" w:hAnsi="Times New Roman" w:cs="Times New Roman"/>
                <w:color w:val="000000" w:themeColor="text1"/>
                <w:sz w:val="24"/>
                <w:szCs w:val="24"/>
              </w:rPr>
            </w:pPr>
          </w:p>
        </w:tc>
        <w:tc>
          <w:tcPr>
            <w:tcW w:w="1637" w:type="dxa"/>
          </w:tcPr>
          <w:p>
            <w:pPr>
              <w:spacing w:line="360" w:lineRule="auto"/>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color w:val="000000" w:themeColor="text1"/>
              </w:rPr>
            </w:pPr>
          </w:p>
        </w:tc>
        <w:tc>
          <w:tcPr>
            <w:tcW w:w="1281" w:type="dxa"/>
          </w:tcPr>
          <w:p>
            <w:pPr>
              <w:spacing w:line="360" w:lineRule="auto"/>
              <w:rPr>
                <w:rFonts w:ascii="Times New Roman" w:hAnsi="Times New Roman" w:cs="Times New Roman"/>
                <w:color w:val="000000" w:themeColor="text1"/>
                <w:sz w:val="24"/>
                <w:szCs w:val="24"/>
              </w:rPr>
            </w:pPr>
          </w:p>
        </w:tc>
        <w:tc>
          <w:tcPr>
            <w:tcW w:w="853" w:type="dxa"/>
          </w:tcPr>
          <w:p>
            <w:pPr>
              <w:spacing w:line="360" w:lineRule="auto"/>
              <w:rPr>
                <w:rFonts w:ascii="Times New Roman" w:hAnsi="Times New Roman" w:cs="Times New Roman"/>
                <w:color w:val="000000" w:themeColor="text1"/>
                <w:sz w:val="24"/>
                <w:szCs w:val="24"/>
              </w:rPr>
            </w:pPr>
          </w:p>
        </w:tc>
        <w:tc>
          <w:tcPr>
            <w:tcW w:w="1637" w:type="dxa"/>
          </w:tcPr>
          <w:p>
            <w:pPr>
              <w:spacing w:line="360" w:lineRule="auto"/>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color w:val="000000" w:themeColor="text1"/>
              </w:rPr>
            </w:pPr>
          </w:p>
        </w:tc>
        <w:tc>
          <w:tcPr>
            <w:tcW w:w="1281" w:type="dxa"/>
          </w:tcPr>
          <w:p>
            <w:pPr>
              <w:spacing w:line="360" w:lineRule="auto"/>
              <w:rPr>
                <w:rFonts w:ascii="Times New Roman" w:hAnsi="Times New Roman" w:cs="Times New Roman"/>
                <w:color w:val="000000" w:themeColor="text1"/>
                <w:sz w:val="24"/>
                <w:szCs w:val="24"/>
              </w:rPr>
            </w:pPr>
          </w:p>
        </w:tc>
        <w:tc>
          <w:tcPr>
            <w:tcW w:w="853" w:type="dxa"/>
          </w:tcPr>
          <w:p>
            <w:pPr>
              <w:spacing w:line="360" w:lineRule="auto"/>
              <w:rPr>
                <w:rFonts w:ascii="Times New Roman" w:hAnsi="Times New Roman" w:cs="Times New Roman"/>
                <w:color w:val="000000" w:themeColor="text1"/>
                <w:sz w:val="24"/>
                <w:szCs w:val="24"/>
              </w:rPr>
            </w:pPr>
          </w:p>
        </w:tc>
        <w:tc>
          <w:tcPr>
            <w:tcW w:w="1637" w:type="dxa"/>
          </w:tcPr>
          <w:p>
            <w:pPr>
              <w:spacing w:line="360" w:lineRule="auto"/>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color w:val="000000" w:themeColor="text1"/>
              </w:rPr>
            </w:pPr>
          </w:p>
        </w:tc>
        <w:tc>
          <w:tcPr>
            <w:tcW w:w="1281" w:type="dxa"/>
          </w:tcPr>
          <w:p>
            <w:pPr>
              <w:spacing w:line="360" w:lineRule="auto"/>
              <w:rPr>
                <w:rFonts w:ascii="Times New Roman" w:hAnsi="Times New Roman" w:cs="Times New Roman"/>
                <w:color w:val="000000" w:themeColor="text1"/>
                <w:sz w:val="24"/>
                <w:szCs w:val="24"/>
              </w:rPr>
            </w:pPr>
          </w:p>
        </w:tc>
        <w:tc>
          <w:tcPr>
            <w:tcW w:w="853" w:type="dxa"/>
          </w:tcPr>
          <w:p>
            <w:pPr>
              <w:spacing w:line="360" w:lineRule="auto"/>
              <w:rPr>
                <w:rFonts w:ascii="Times New Roman" w:hAnsi="Times New Roman" w:cs="Times New Roman"/>
                <w:color w:val="000000" w:themeColor="text1"/>
                <w:sz w:val="24"/>
                <w:szCs w:val="24"/>
              </w:rPr>
            </w:pPr>
          </w:p>
        </w:tc>
        <w:tc>
          <w:tcPr>
            <w:tcW w:w="1637" w:type="dxa"/>
          </w:tcPr>
          <w:p>
            <w:pPr>
              <w:spacing w:line="360" w:lineRule="auto"/>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color w:val="000000" w:themeColor="text1"/>
              </w:rPr>
            </w:pPr>
          </w:p>
        </w:tc>
        <w:tc>
          <w:tcPr>
            <w:tcW w:w="1281" w:type="dxa"/>
          </w:tcPr>
          <w:p>
            <w:pPr>
              <w:spacing w:line="360" w:lineRule="auto"/>
              <w:rPr>
                <w:rFonts w:ascii="Times New Roman" w:hAnsi="Times New Roman" w:cs="Times New Roman"/>
                <w:color w:val="000000" w:themeColor="text1"/>
                <w:sz w:val="24"/>
                <w:szCs w:val="24"/>
              </w:rPr>
            </w:pPr>
          </w:p>
        </w:tc>
        <w:tc>
          <w:tcPr>
            <w:tcW w:w="853" w:type="dxa"/>
          </w:tcPr>
          <w:p>
            <w:pPr>
              <w:spacing w:line="360" w:lineRule="auto"/>
              <w:rPr>
                <w:rFonts w:ascii="Times New Roman" w:hAnsi="Times New Roman" w:cs="Times New Roman"/>
                <w:color w:val="000000" w:themeColor="text1"/>
                <w:sz w:val="24"/>
                <w:szCs w:val="24"/>
              </w:rPr>
            </w:pPr>
          </w:p>
        </w:tc>
        <w:tc>
          <w:tcPr>
            <w:tcW w:w="1637" w:type="dxa"/>
          </w:tcPr>
          <w:p>
            <w:pPr>
              <w:spacing w:line="360" w:lineRule="auto"/>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color w:val="000000" w:themeColor="text1"/>
              </w:rPr>
            </w:pPr>
          </w:p>
        </w:tc>
        <w:tc>
          <w:tcPr>
            <w:tcW w:w="1281" w:type="dxa"/>
          </w:tcPr>
          <w:p>
            <w:pPr>
              <w:spacing w:line="360" w:lineRule="auto"/>
              <w:rPr>
                <w:rFonts w:ascii="Times New Roman" w:hAnsi="Times New Roman" w:cs="Times New Roman"/>
                <w:color w:val="000000" w:themeColor="text1"/>
                <w:sz w:val="24"/>
                <w:szCs w:val="24"/>
              </w:rPr>
            </w:pPr>
          </w:p>
        </w:tc>
        <w:tc>
          <w:tcPr>
            <w:tcW w:w="853" w:type="dxa"/>
          </w:tcPr>
          <w:p>
            <w:pPr>
              <w:spacing w:line="360" w:lineRule="auto"/>
              <w:rPr>
                <w:rFonts w:ascii="Times New Roman" w:hAnsi="Times New Roman" w:cs="Times New Roman"/>
                <w:color w:val="000000" w:themeColor="text1"/>
                <w:sz w:val="24"/>
                <w:szCs w:val="24"/>
              </w:rPr>
            </w:pPr>
          </w:p>
        </w:tc>
        <w:tc>
          <w:tcPr>
            <w:tcW w:w="1637" w:type="dxa"/>
          </w:tcPr>
          <w:p>
            <w:pPr>
              <w:spacing w:line="360" w:lineRule="auto"/>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color w:val="000000" w:themeColor="text1"/>
              </w:rPr>
            </w:pPr>
          </w:p>
        </w:tc>
        <w:tc>
          <w:tcPr>
            <w:tcW w:w="1281" w:type="dxa"/>
          </w:tcPr>
          <w:p>
            <w:pPr>
              <w:spacing w:line="360" w:lineRule="auto"/>
              <w:rPr>
                <w:rFonts w:ascii="Times New Roman" w:hAnsi="Times New Roman" w:cs="Times New Roman"/>
                <w:color w:val="000000" w:themeColor="text1"/>
                <w:sz w:val="24"/>
                <w:szCs w:val="24"/>
              </w:rPr>
            </w:pPr>
          </w:p>
        </w:tc>
        <w:tc>
          <w:tcPr>
            <w:tcW w:w="853" w:type="dxa"/>
          </w:tcPr>
          <w:p>
            <w:pPr>
              <w:spacing w:line="360" w:lineRule="auto"/>
              <w:rPr>
                <w:rFonts w:ascii="Times New Roman" w:hAnsi="Times New Roman" w:cs="Times New Roman"/>
                <w:color w:val="000000" w:themeColor="text1"/>
                <w:sz w:val="24"/>
                <w:szCs w:val="24"/>
              </w:rPr>
            </w:pPr>
          </w:p>
        </w:tc>
        <w:tc>
          <w:tcPr>
            <w:tcW w:w="1637" w:type="dxa"/>
          </w:tcPr>
          <w:p>
            <w:pPr>
              <w:spacing w:line="360" w:lineRule="auto"/>
              <w:rPr>
                <w:rFonts w:ascii="Times New Roman" w:hAnsi="Times New Roman" w:cs="Times New Roman"/>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自评结论</w:t>
            </w:r>
          </w:p>
        </w:tc>
        <w:tc>
          <w:tcPr>
            <w:tcW w:w="1281" w:type="dxa"/>
          </w:tcPr>
          <w:p>
            <w:pPr>
              <w:spacing w:line="360" w:lineRule="auto"/>
              <w:rPr>
                <w:rFonts w:ascii="Times New Roman" w:hAnsi="Times New Roman" w:cs="Times New Roman"/>
                <w:color w:val="000000" w:themeColor="text1"/>
                <w:sz w:val="24"/>
                <w:szCs w:val="24"/>
              </w:rPr>
            </w:pPr>
          </w:p>
        </w:tc>
        <w:tc>
          <w:tcPr>
            <w:tcW w:w="853" w:type="dxa"/>
          </w:tcPr>
          <w:p>
            <w:pPr>
              <w:spacing w:line="360" w:lineRule="auto"/>
              <w:rPr>
                <w:rFonts w:ascii="Times New Roman" w:hAnsi="Times New Roman" w:cs="Times New Roman"/>
                <w:color w:val="000000" w:themeColor="text1"/>
                <w:sz w:val="24"/>
                <w:szCs w:val="24"/>
              </w:rPr>
            </w:pPr>
          </w:p>
        </w:tc>
        <w:tc>
          <w:tcPr>
            <w:tcW w:w="1637" w:type="dxa"/>
          </w:tcPr>
          <w:p>
            <w:pPr>
              <w:spacing w:line="360" w:lineRule="auto"/>
              <w:rPr>
                <w:rFonts w:ascii="Times New Roman" w:hAnsi="Times New Roman" w:cs="Times New Roman"/>
                <w:color w:val="000000" w:themeColor="text1"/>
                <w:sz w:val="24"/>
                <w:szCs w:val="24"/>
              </w:rPr>
            </w:pPr>
          </w:p>
        </w:tc>
      </w:tr>
    </w:tbl>
    <w:p>
      <w:pPr>
        <w:spacing w:line="360" w:lineRule="auto"/>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说明：</w:t>
      </w:r>
    </w:p>
    <w:p>
      <w:pPr>
        <w:spacing w:line="360" w:lineRule="auto"/>
        <w:ind w:firstLine="480" w:firstLineChars="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备注栏中应提供相关内容在响应文件中的页码。</w:t>
      </w:r>
    </w:p>
    <w:p>
      <w:pPr>
        <w:spacing w:line="360" w:lineRule="auto"/>
        <w:ind w:firstLine="480" w:firstLineChars="200"/>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2. 应对照磋商文件的要求，逐条说明所提供服务已对磋商文件的服务要求做出了实质性的响应，并说明响应情况。特别对有具体数量要求的指标，供应商必须提供具体数值。如果仅注明“符合”、“满足”或简单复制磋商文件要求，将导致响应文件无效。</w:t>
      </w:r>
    </w:p>
    <w:p>
      <w:pPr>
        <w:spacing w:line="360" w:lineRule="auto"/>
        <w:rPr>
          <w:rFonts w:ascii="Times New Roman" w:hAnsi="Times New Roman" w:eastAsia="宋体" w:cs="Times New Roman"/>
          <w:color w:val="000000" w:themeColor="text1"/>
          <w:sz w:val="24"/>
          <w:szCs w:val="24"/>
        </w:rPr>
      </w:pPr>
    </w:p>
    <w:p>
      <w:pPr>
        <w:spacing w:line="360" w:lineRule="auto"/>
        <w:rPr>
          <w:rFonts w:ascii="Times New Roman" w:hAnsi="Times New Roman" w:eastAsia="宋体" w:cs="Times New Roman"/>
          <w:color w:val="000000" w:themeColor="text1"/>
          <w:sz w:val="24"/>
          <w:szCs w:val="24"/>
        </w:rPr>
      </w:pPr>
    </w:p>
    <w:p>
      <w:pPr>
        <w:spacing w:line="360" w:lineRule="auto"/>
        <w:rPr>
          <w:rFonts w:ascii="Times New Roman" w:hAnsi="Times New Roman" w:eastAsia="宋体" w:cs="Times New Roman"/>
          <w:color w:val="000000" w:themeColor="text1"/>
          <w:sz w:val="24"/>
          <w:szCs w:val="24"/>
          <w:u w:val="single"/>
        </w:rPr>
      </w:pPr>
      <w:r>
        <w:rPr>
          <w:rFonts w:ascii="Times New Roman" w:hAnsi="Times New Roman" w:eastAsia="宋体" w:cs="Times New Roman"/>
          <w:color w:val="000000" w:themeColor="text1"/>
          <w:sz w:val="24"/>
          <w:szCs w:val="24"/>
        </w:rPr>
        <w:t>供应商名称（公章）：</w:t>
      </w:r>
    </w:p>
    <w:p>
      <w:pPr>
        <w:spacing w:line="360" w:lineRule="auto"/>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授权代表（签字）：</w:t>
      </w:r>
    </w:p>
    <w:p>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时间：</w:t>
      </w:r>
    </w:p>
    <w:p>
      <w:pPr>
        <w:widowControl/>
        <w:spacing w:line="36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pPr>
        <w:widowControl/>
        <w:spacing w:line="360" w:lineRule="auto"/>
        <w:jc w:val="left"/>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rPr>
        <w:t>附件</w:t>
      </w:r>
      <w:r>
        <w:rPr>
          <w:rFonts w:hint="eastAsia" w:ascii="Times New Roman" w:hAnsi="Times New Roman" w:eastAsia="宋体" w:cs="Times New Roman"/>
          <w:color w:val="000000" w:themeColor="text1"/>
          <w:sz w:val="24"/>
          <w:szCs w:val="24"/>
        </w:rPr>
        <w:t>6</w:t>
      </w:r>
    </w:p>
    <w:p>
      <w:pPr>
        <w:adjustRightInd w:val="0"/>
        <w:snapToGrid w:val="0"/>
        <w:spacing w:line="360" w:lineRule="auto"/>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法人（负责人）代表授权书</w:t>
      </w:r>
    </w:p>
    <w:p>
      <w:pPr>
        <w:spacing w:before="120" w:beforeLines="50" w:after="240" w:afterLines="100" w:line="360" w:lineRule="auto"/>
        <w:rPr>
          <w:rFonts w:ascii="Times New Roman" w:hAnsi="Times New Roman" w:cs="Times New Roman"/>
          <w:color w:val="000000" w:themeColor="text1"/>
          <w:sz w:val="24"/>
          <w:szCs w:val="24"/>
        </w:rPr>
      </w:pPr>
    </w:p>
    <w:p>
      <w:pPr>
        <w:spacing w:line="360" w:lineRule="auto"/>
        <w:rPr>
          <w:rFonts w:ascii="Times New Roman" w:hAnsi="Times New Roman" w:cs="Times New Roman"/>
          <w:bCs/>
          <w:color w:val="000000" w:themeColor="text1"/>
          <w:sz w:val="24"/>
          <w:szCs w:val="24"/>
        </w:rPr>
      </w:pPr>
      <w:r>
        <w:rPr>
          <w:rFonts w:ascii="Times New Roman" w:hAnsi="Times New Roman" w:eastAsia="宋体" w:cs="Times New Roman"/>
          <w:color w:val="000000" w:themeColor="text1"/>
          <w:sz w:val="24"/>
          <w:szCs w:val="24"/>
          <w:u w:val="single"/>
        </w:rPr>
        <w:t>(</w:t>
      </w:r>
      <w:r>
        <w:rPr>
          <w:rFonts w:hint="eastAsia" w:ascii="Times New Roman" w:hAnsi="Times New Roman" w:eastAsia="宋体" w:cs="Times New Roman"/>
          <w:color w:val="000000" w:themeColor="text1"/>
          <w:sz w:val="24"/>
          <w:szCs w:val="24"/>
          <w:u w:val="single"/>
        </w:rPr>
        <w:t>采购人、采购代理机构</w:t>
      </w:r>
      <w:r>
        <w:rPr>
          <w:rFonts w:ascii="Times New Roman" w:hAnsi="Times New Roman" w:eastAsia="宋体" w:cs="Times New Roman"/>
          <w:color w:val="000000" w:themeColor="text1"/>
          <w:sz w:val="24"/>
          <w:szCs w:val="24"/>
          <w:u w:val="single"/>
        </w:rPr>
        <w:t>)</w:t>
      </w:r>
      <w:r>
        <w:rPr>
          <w:rFonts w:ascii="Times New Roman" w:hAnsi="Times New Roman" w:cs="Times New Roman"/>
          <w:bCs/>
          <w:color w:val="000000" w:themeColor="text1"/>
          <w:sz w:val="24"/>
          <w:szCs w:val="24"/>
        </w:rPr>
        <w:t>：</w:t>
      </w:r>
    </w:p>
    <w:p>
      <w:pPr>
        <w:spacing w:line="360" w:lineRule="auto"/>
        <w:ind w:firstLine="480" w:firstLineChars="20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u w:val="single"/>
        </w:rPr>
        <w:t>（供应商名称）</w:t>
      </w:r>
      <w:r>
        <w:rPr>
          <w:rFonts w:ascii="Times New Roman" w:hAnsi="Times New Roman" w:cs="Times New Roman"/>
          <w:bCs/>
          <w:color w:val="000000" w:themeColor="text1"/>
          <w:sz w:val="24"/>
          <w:szCs w:val="24"/>
        </w:rPr>
        <w:t>在下面签字的（</w:t>
      </w:r>
      <w:r>
        <w:rPr>
          <w:rFonts w:ascii="Times New Roman" w:hAnsi="Times New Roman" w:cs="Times New Roman"/>
          <w:bCs/>
          <w:color w:val="000000" w:themeColor="text1"/>
          <w:sz w:val="24"/>
          <w:szCs w:val="24"/>
          <w:u w:val="single"/>
        </w:rPr>
        <w:t>法定代表人姓名、职务</w:t>
      </w:r>
      <w:r>
        <w:rPr>
          <w:rFonts w:ascii="Times New Roman" w:hAnsi="Times New Roman" w:cs="Times New Roman"/>
          <w:bCs/>
          <w:color w:val="000000" w:themeColor="text1"/>
          <w:sz w:val="24"/>
          <w:szCs w:val="24"/>
        </w:rPr>
        <w:t>）代表本公司授权（供应商名称）的下面签字的</w:t>
      </w:r>
      <w:r>
        <w:rPr>
          <w:rFonts w:ascii="Times New Roman" w:hAnsi="Times New Roman" w:cs="Times New Roman"/>
          <w:bCs/>
          <w:color w:val="000000" w:themeColor="text1"/>
          <w:sz w:val="24"/>
          <w:szCs w:val="24"/>
          <w:u w:val="single"/>
        </w:rPr>
        <w:t>（被授权代表的姓名、职务）</w:t>
      </w:r>
      <w:r>
        <w:rPr>
          <w:rFonts w:ascii="Times New Roman" w:hAnsi="Times New Roman" w:cs="Times New Roman"/>
          <w:bCs/>
          <w:color w:val="000000" w:themeColor="text1"/>
          <w:sz w:val="24"/>
          <w:szCs w:val="24"/>
        </w:rPr>
        <w:t>为本公司的合法代理人，就（</w:t>
      </w:r>
      <w:r>
        <w:rPr>
          <w:rFonts w:ascii="Times New Roman" w:hAnsi="Times New Roman" w:cs="Times New Roman"/>
          <w:bCs/>
          <w:color w:val="000000" w:themeColor="text1"/>
          <w:sz w:val="24"/>
          <w:szCs w:val="24"/>
          <w:u w:val="single"/>
        </w:rPr>
        <w:t>项目名称、项目编号</w:t>
      </w:r>
      <w:r>
        <w:rPr>
          <w:rFonts w:ascii="Times New Roman" w:hAnsi="Times New Roman" w:cs="Times New Roman"/>
          <w:bCs/>
          <w:color w:val="000000" w:themeColor="text1"/>
          <w:sz w:val="24"/>
          <w:szCs w:val="24"/>
        </w:rPr>
        <w:t>）的竞争性磋商，以本公司的名义处理一切与之有关的事务。</w:t>
      </w:r>
    </w:p>
    <w:p>
      <w:pPr>
        <w:spacing w:line="360" w:lineRule="auto"/>
        <w:ind w:firstLine="480" w:firstLineChars="20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本授权书自    年    月    日至    年    月    日止签字有效。</w:t>
      </w:r>
    </w:p>
    <w:p>
      <w:pPr>
        <w:spacing w:line="360" w:lineRule="auto"/>
        <w:ind w:firstLine="480" w:firstLineChars="20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特此声明。</w:t>
      </w:r>
    </w:p>
    <w:p>
      <w:pPr>
        <w:spacing w:before="240" w:beforeLines="100" w:after="100" w:afterAutospacing="1" w:line="360" w:lineRule="auto"/>
        <w:ind w:firstLine="480" w:firstLineChars="20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委托人名称（公章）：                被授权人（签章）：</w:t>
      </w:r>
    </w:p>
    <w:p>
      <w:pPr>
        <w:spacing w:before="240" w:beforeLines="100" w:after="100" w:afterAutospacing="1" w:line="360" w:lineRule="auto"/>
        <w:ind w:firstLine="480" w:firstLineChars="200"/>
        <w:rPr>
          <w:rFonts w:ascii="Times New Roman" w:hAnsi="Times New Roman" w:cs="Times New Roman"/>
          <w:bCs/>
          <w:color w:val="000000" w:themeColor="text1"/>
          <w:sz w:val="24"/>
          <w:szCs w:val="24"/>
          <w:u w:val="single"/>
        </w:rPr>
      </w:pPr>
      <w:r>
        <w:rPr>
          <w:rFonts w:ascii="Times New Roman" w:hAnsi="Times New Roman" w:cs="Times New Roman"/>
          <w:bCs/>
          <w:color w:val="000000" w:themeColor="text1"/>
          <w:sz w:val="24"/>
          <w:szCs w:val="24"/>
        </w:rPr>
        <w:t>法定（负责人）代表人（签章）：      身份证号码：</w:t>
      </w:r>
    </w:p>
    <w:p>
      <w:pPr>
        <w:spacing w:before="240" w:beforeLines="100" w:after="100" w:afterAutospacing="1" w:line="360" w:lineRule="auto"/>
        <w:ind w:firstLine="480" w:firstLineChars="200"/>
        <w:rPr>
          <w:rFonts w:ascii="Times New Roman" w:hAnsi="Times New Roman" w:cs="Times New Roman"/>
          <w:bCs/>
          <w:color w:val="000000" w:themeColor="text1"/>
          <w:sz w:val="24"/>
          <w:szCs w:val="24"/>
          <w:u w:val="single"/>
        </w:rPr>
      </w:pPr>
      <w:r>
        <w:rPr>
          <w:rFonts w:ascii="Times New Roman" w:hAnsi="Times New Roman" w:cs="Times New Roman"/>
          <w:bCs/>
          <w:color w:val="000000" w:themeColor="text1"/>
          <w:sz w:val="24"/>
          <w:szCs w:val="24"/>
        </w:rPr>
        <w:t>电话：                               电话（手机）：</w:t>
      </w:r>
    </w:p>
    <w:p>
      <w:pPr>
        <w:spacing w:before="240" w:beforeLines="100" w:after="100" w:afterAutospacing="1" w:line="360" w:lineRule="auto"/>
        <w:ind w:firstLine="480" w:firstLineChars="200"/>
        <w:rPr>
          <w:rFonts w:ascii="Times New Roman" w:hAnsi="Times New Roman" w:cs="Times New Roman"/>
          <w:bCs/>
          <w:color w:val="000000" w:themeColor="text1"/>
          <w:sz w:val="24"/>
          <w:szCs w:val="24"/>
          <w:u w:val="single"/>
        </w:rPr>
      </w:pPr>
      <w:r>
        <w:rPr>
          <w:rFonts w:ascii="Times New Roman" w:hAnsi="Times New Roman" w:cs="Times New Roman"/>
          <w:bCs/>
          <w:color w:val="000000" w:themeColor="text1"/>
          <w:sz w:val="24"/>
          <w:szCs w:val="24"/>
        </w:rPr>
        <w:t>传真：办公                           电话/传真：</w:t>
      </w:r>
    </w:p>
    <w:p>
      <w:pPr>
        <w:spacing w:before="120" w:beforeLines="50" w:after="240" w:afterLines="100" w:line="360" w:lineRule="auto"/>
        <w:rPr>
          <w:rFonts w:ascii="Times New Roman" w:hAnsi="Times New Roman" w:cs="Times New Roman"/>
          <w:bCs/>
          <w:color w:val="000000" w:themeColor="text1"/>
          <w:sz w:val="24"/>
          <w:szCs w:val="24"/>
          <w:u w:val="single"/>
        </w:rPr>
      </w:pPr>
    </w:p>
    <w:tbl>
      <w:tblPr>
        <w:tblStyle w:val="1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528" w:type="dxa"/>
          </w:tcPr>
          <w:p>
            <w:pPr>
              <w:spacing w:before="120" w:beforeLines="50" w:after="240" w:afterLines="10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粘贴</w:t>
            </w:r>
            <w:r>
              <w:rPr>
                <w:rFonts w:hint="eastAsia" w:ascii="Times New Roman" w:hAnsi="Times New Roman" w:cs="Times New Roman"/>
                <w:bCs/>
                <w:color w:val="000000" w:themeColor="text1"/>
                <w:sz w:val="24"/>
                <w:szCs w:val="24"/>
              </w:rPr>
              <w:t>法人及</w:t>
            </w:r>
            <w:r>
              <w:rPr>
                <w:rFonts w:ascii="Times New Roman" w:hAnsi="Times New Roman" w:cs="Times New Roman"/>
                <w:bCs/>
                <w:color w:val="000000" w:themeColor="text1"/>
                <w:sz w:val="24"/>
                <w:szCs w:val="24"/>
              </w:rPr>
              <w:t>被授权人身份证（复印件）</w:t>
            </w:r>
          </w:p>
        </w:tc>
      </w:tr>
    </w:tbl>
    <w:p>
      <w:pPr>
        <w:spacing w:line="360" w:lineRule="auto"/>
        <w:rPr>
          <w:rFonts w:ascii="Times New Roman" w:hAnsi="Times New Roman" w:cs="Times New Roman"/>
          <w:bCs/>
          <w:color w:val="000000" w:themeColor="text1"/>
          <w:sz w:val="24"/>
          <w:szCs w:val="24"/>
        </w:rPr>
      </w:pPr>
    </w:p>
    <w:p>
      <w:pPr>
        <w:widowControl/>
        <w:spacing w:line="360" w:lineRule="auto"/>
        <w:jc w:val="lef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br w:type="page"/>
      </w:r>
    </w:p>
    <w:p>
      <w:pPr>
        <w:spacing w:before="120" w:beforeLines="50" w:after="240" w:afterLines="100"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附件</w:t>
      </w:r>
      <w:r>
        <w:rPr>
          <w:rFonts w:hint="eastAsia" w:ascii="Times New Roman" w:hAnsi="Times New Roman" w:cs="Times New Roman"/>
          <w:bCs/>
          <w:color w:val="000000" w:themeColor="text1"/>
          <w:sz w:val="24"/>
        </w:rPr>
        <w:t>7</w:t>
      </w:r>
    </w:p>
    <w:p>
      <w:pPr>
        <w:spacing w:line="360" w:lineRule="auto"/>
        <w:jc w:val="center"/>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法人或者其他组织的营业执照等证明文件，自然人的</w:t>
      </w:r>
    </w:p>
    <w:p>
      <w:pPr>
        <w:spacing w:line="360" w:lineRule="auto"/>
        <w:jc w:val="center"/>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身份证明等证明材料</w:t>
      </w:r>
    </w:p>
    <w:p>
      <w:pPr>
        <w:spacing w:line="360" w:lineRule="auto"/>
        <w:rPr>
          <w:rFonts w:ascii="Times New Roman" w:hAnsi="Times New Roman" w:eastAsia="仿宋_GB2312" w:cs="Times New Roman"/>
          <w:bCs/>
          <w:color w:val="000000" w:themeColor="text1"/>
          <w:szCs w:val="28"/>
        </w:rPr>
      </w:pPr>
    </w:p>
    <w:p>
      <w:pPr>
        <w:widowControl/>
        <w:spacing w:line="360" w:lineRule="auto"/>
        <w:jc w:val="left"/>
        <w:rPr>
          <w:rFonts w:ascii="Times New Roman" w:hAnsi="Times New Roman" w:cs="Times New Roman"/>
          <w:bCs/>
          <w:color w:val="000000" w:themeColor="text1"/>
          <w:sz w:val="24"/>
        </w:rPr>
      </w:pPr>
      <w:r>
        <w:rPr>
          <w:rFonts w:ascii="Times New Roman" w:hAnsi="Times New Roman" w:cs="Times New Roman"/>
          <w:bCs/>
          <w:color w:val="000000" w:themeColor="text1"/>
          <w:sz w:val="24"/>
        </w:rPr>
        <w:t>（企业法人营业执照、税务登记证，供应商是自然人的身份证明材料等）</w:t>
      </w:r>
    </w:p>
    <w:p>
      <w:pPr>
        <w:widowControl/>
        <w:spacing w:line="360" w:lineRule="auto"/>
        <w:jc w:val="left"/>
        <w:rPr>
          <w:rFonts w:ascii="Times New Roman" w:hAnsi="Times New Roman" w:cs="Times New Roman"/>
          <w:bCs/>
          <w:color w:val="000000" w:themeColor="text1"/>
          <w:sz w:val="24"/>
        </w:rPr>
      </w:pPr>
      <w:r>
        <w:rPr>
          <w:rFonts w:ascii="Times New Roman" w:hAnsi="Times New Roman" w:cs="Times New Roman"/>
          <w:bCs/>
          <w:color w:val="000000" w:themeColor="text1"/>
          <w:sz w:val="24"/>
        </w:rPr>
        <w:br w:type="page"/>
      </w:r>
    </w:p>
    <w:p>
      <w:pPr>
        <w:spacing w:line="360" w:lineRule="auto"/>
        <w:ind w:left="360" w:hanging="360" w:hangingChars="150"/>
        <w:rPr>
          <w:rFonts w:ascii="Times New Roman" w:hAnsi="Times New Roman" w:cs="Times New Roman"/>
          <w:bCs/>
          <w:color w:val="000000" w:themeColor="text1"/>
          <w:sz w:val="24"/>
        </w:rPr>
      </w:pPr>
      <w:r>
        <w:rPr>
          <w:rFonts w:ascii="Times New Roman" w:hAnsi="Times New Roman" w:cs="Times New Roman"/>
          <w:bCs/>
          <w:color w:val="000000" w:themeColor="text1"/>
          <w:sz w:val="24"/>
        </w:rPr>
        <w:t>附件</w:t>
      </w:r>
      <w:r>
        <w:rPr>
          <w:rFonts w:hint="eastAsia" w:ascii="Times New Roman" w:hAnsi="Times New Roman" w:cs="Times New Roman"/>
          <w:bCs/>
          <w:color w:val="000000" w:themeColor="text1"/>
          <w:sz w:val="24"/>
        </w:rPr>
        <w:t>8</w:t>
      </w:r>
    </w:p>
    <w:p>
      <w:pPr>
        <w:spacing w:line="360" w:lineRule="auto"/>
        <w:ind w:left="360" w:hanging="360" w:hangingChars="150"/>
        <w:rPr>
          <w:rFonts w:ascii="Times New Roman" w:hAnsi="Times New Roman" w:cs="Times New Roman"/>
          <w:bCs/>
          <w:color w:val="000000" w:themeColor="text1"/>
          <w:sz w:val="24"/>
        </w:rPr>
      </w:pPr>
    </w:p>
    <w:p>
      <w:pPr>
        <w:spacing w:line="360" w:lineRule="auto"/>
        <w:jc w:val="center"/>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财务状况报告，依法缴纳税收和社会保障资金的相关材料</w:t>
      </w:r>
    </w:p>
    <w:p>
      <w:pPr>
        <w:spacing w:line="360" w:lineRule="auto"/>
        <w:rPr>
          <w:rFonts w:ascii="Times New Roman" w:hAnsi="Times New Roman" w:eastAsia="仿宋_GB2312" w:cs="Times New Roman"/>
          <w:bCs/>
          <w:color w:val="000000" w:themeColor="text1"/>
          <w:szCs w:val="28"/>
        </w:rPr>
      </w:pPr>
    </w:p>
    <w:p>
      <w:pPr>
        <w:spacing w:line="360" w:lineRule="auto"/>
        <w:ind w:firstLine="480" w:firstLineChars="200"/>
        <w:rPr>
          <w:rFonts w:ascii="Times New Roman" w:hAnsi="Times New Roman" w:cs="Times New Roman"/>
          <w:bCs/>
          <w:color w:val="000000" w:themeColor="text1"/>
          <w:sz w:val="24"/>
        </w:rPr>
      </w:pPr>
      <w:r>
        <w:rPr>
          <w:rFonts w:ascii="Times New Roman" w:hAnsi="Times New Roman" w:cs="Times New Roman"/>
          <w:bCs/>
          <w:color w:val="000000" w:themeColor="text1"/>
          <w:sz w:val="24"/>
        </w:rPr>
        <w:t>一、参加本采购项目前一年度的财务报表（企业成立时间不足一年不适用），或其他证明具备实施本项目的财务状况证明材料；</w:t>
      </w:r>
    </w:p>
    <w:p>
      <w:pPr>
        <w:spacing w:line="360" w:lineRule="auto"/>
        <w:ind w:firstLine="480" w:firstLineChars="200"/>
        <w:rPr>
          <w:rFonts w:ascii="Times New Roman" w:hAnsi="Times New Roman" w:cs="Times New Roman"/>
          <w:bCs/>
          <w:color w:val="000000" w:themeColor="text1"/>
          <w:sz w:val="24"/>
        </w:rPr>
      </w:pPr>
      <w:r>
        <w:rPr>
          <w:rFonts w:ascii="Times New Roman" w:hAnsi="Times New Roman" w:cs="Times New Roman"/>
          <w:bCs/>
          <w:color w:val="000000" w:themeColor="text1"/>
          <w:sz w:val="24"/>
        </w:rPr>
        <w:t>二、参加本采购项目前，近期的纳税证明；</w:t>
      </w:r>
    </w:p>
    <w:p>
      <w:pPr>
        <w:spacing w:line="360" w:lineRule="auto"/>
        <w:ind w:left="2" w:leftChars="1" w:firstLine="480" w:firstLineChars="200"/>
        <w:rPr>
          <w:rFonts w:ascii="Times New Roman" w:hAnsi="Times New Roman" w:cs="Times New Roman"/>
          <w:bCs/>
          <w:color w:val="000000" w:themeColor="text1"/>
          <w:sz w:val="24"/>
        </w:rPr>
      </w:pPr>
      <w:r>
        <w:rPr>
          <w:rFonts w:ascii="Times New Roman" w:hAnsi="Times New Roman" w:cs="Times New Roman"/>
          <w:bCs/>
          <w:color w:val="000000" w:themeColor="text1"/>
          <w:sz w:val="24"/>
        </w:rPr>
        <w:t>三、参加本采购项目前，近期缴纳社会保障资金证明等。</w:t>
      </w:r>
      <w:r>
        <w:rPr>
          <w:rFonts w:ascii="Times New Roman" w:hAnsi="Times New Roman" w:cs="Times New Roman"/>
          <w:color w:val="000000" w:themeColor="text1"/>
          <w:szCs w:val="28"/>
        </w:rPr>
        <w:br w:type="page"/>
      </w:r>
      <w:r>
        <w:rPr>
          <w:rFonts w:ascii="Times New Roman" w:hAnsi="Times New Roman" w:cs="Times New Roman"/>
          <w:bCs/>
          <w:color w:val="000000" w:themeColor="text1"/>
          <w:sz w:val="24"/>
        </w:rPr>
        <w:t>附件</w:t>
      </w:r>
      <w:r>
        <w:rPr>
          <w:rFonts w:hint="eastAsia" w:ascii="Times New Roman" w:hAnsi="Times New Roman" w:cs="Times New Roman"/>
          <w:bCs/>
          <w:color w:val="000000" w:themeColor="text1"/>
          <w:sz w:val="24"/>
        </w:rPr>
        <w:t>9</w:t>
      </w:r>
    </w:p>
    <w:p>
      <w:pPr>
        <w:widowControl/>
        <w:spacing w:line="360" w:lineRule="auto"/>
        <w:jc w:val="left"/>
        <w:rPr>
          <w:rFonts w:ascii="Times New Roman" w:hAnsi="Times New Roman" w:cs="Times New Roman"/>
          <w:bCs/>
          <w:color w:val="000000" w:themeColor="text1"/>
          <w:sz w:val="24"/>
        </w:rPr>
      </w:pPr>
    </w:p>
    <w:p>
      <w:pPr>
        <w:spacing w:line="360" w:lineRule="auto"/>
        <w:jc w:val="center"/>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具备履行合同所必需的设备和专业技术能力的</w:t>
      </w:r>
    </w:p>
    <w:p>
      <w:pPr>
        <w:spacing w:line="360" w:lineRule="auto"/>
        <w:jc w:val="center"/>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证明材料</w:t>
      </w:r>
    </w:p>
    <w:p>
      <w:pPr>
        <w:spacing w:line="360" w:lineRule="auto"/>
        <w:jc w:val="center"/>
        <w:rPr>
          <w:rFonts w:ascii="Times New Roman" w:hAnsi="Times New Roman" w:cs="Times New Roman"/>
          <w:bCs/>
          <w:color w:val="000000" w:themeColor="text1"/>
          <w:sz w:val="32"/>
          <w:szCs w:val="32"/>
        </w:rPr>
      </w:pPr>
    </w:p>
    <w:p>
      <w:pPr>
        <w:spacing w:line="360" w:lineRule="auto"/>
        <w:jc w:val="center"/>
        <w:rPr>
          <w:rFonts w:ascii="Times New Roman" w:hAnsi="Times New Roman" w:cs="Times New Roman" w:eastAsiaTheme="majorEastAsia"/>
          <w:bCs/>
          <w:color w:val="000000" w:themeColor="text1"/>
          <w:sz w:val="24"/>
        </w:rPr>
      </w:pPr>
      <w:r>
        <w:rPr>
          <w:rFonts w:ascii="Times New Roman" w:hAnsi="Times New Roman" w:cs="Times New Roman"/>
          <w:bCs/>
          <w:color w:val="000000" w:themeColor="text1"/>
          <w:sz w:val="24"/>
        </w:rPr>
        <w:t>（提供履行合同所必需的设备和专业技术能力的相关文件）</w:t>
      </w:r>
    </w:p>
    <w:p>
      <w:pPr>
        <w:widowControl/>
        <w:spacing w:line="360" w:lineRule="auto"/>
        <w:jc w:val="left"/>
        <w:rPr>
          <w:rFonts w:ascii="Times New Roman" w:hAnsi="Times New Roman" w:cs="Times New Roman"/>
          <w:color w:val="000000" w:themeColor="text1"/>
          <w:sz w:val="24"/>
        </w:rPr>
      </w:pPr>
      <w:r>
        <w:rPr>
          <w:rFonts w:ascii="Times New Roman" w:hAnsi="Times New Roman" w:cs="Times New Roman"/>
          <w:color w:val="000000" w:themeColor="text1"/>
          <w:sz w:val="24"/>
        </w:rPr>
        <w:br w:type="page"/>
      </w:r>
    </w:p>
    <w:p>
      <w:pPr>
        <w:spacing w:before="120" w:beforeLines="50" w:after="240" w:afterLines="100" w:line="360" w:lineRule="auto"/>
        <w:rPr>
          <w:rFonts w:ascii="Times New Roman" w:hAnsi="Times New Roman" w:cs="Times New Roman"/>
          <w:bCs/>
          <w:color w:val="000000" w:themeColor="text1"/>
          <w:sz w:val="24"/>
        </w:rPr>
      </w:pPr>
      <w:r>
        <w:rPr>
          <w:rFonts w:ascii="Times New Roman" w:hAnsi="Times New Roman" w:cs="Times New Roman"/>
          <w:bCs/>
          <w:color w:val="000000" w:themeColor="text1"/>
          <w:sz w:val="24"/>
        </w:rPr>
        <w:t>附件</w:t>
      </w:r>
      <w:r>
        <w:rPr>
          <w:rFonts w:hint="eastAsia" w:ascii="Times New Roman" w:hAnsi="Times New Roman" w:cs="Times New Roman"/>
          <w:bCs/>
          <w:color w:val="000000" w:themeColor="text1"/>
          <w:sz w:val="24"/>
        </w:rPr>
        <w:t>10</w:t>
      </w:r>
    </w:p>
    <w:p>
      <w:pPr>
        <w:spacing w:line="360" w:lineRule="auto"/>
        <w:jc w:val="center"/>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参加政府采购活动前3年内在经营活动中</w:t>
      </w:r>
    </w:p>
    <w:p>
      <w:pPr>
        <w:spacing w:line="360" w:lineRule="auto"/>
        <w:jc w:val="center"/>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没有重大违法记录的书面声明</w:t>
      </w:r>
    </w:p>
    <w:p>
      <w:pPr>
        <w:spacing w:line="360" w:lineRule="auto"/>
        <w:jc w:val="center"/>
        <w:rPr>
          <w:rFonts w:ascii="Times New Roman" w:hAnsi="Times New Roman" w:eastAsia="仿宋_GB2312" w:cs="Times New Roman"/>
          <w:color w:val="000000" w:themeColor="text1"/>
          <w:sz w:val="24"/>
        </w:rPr>
      </w:pPr>
    </w:p>
    <w:p>
      <w:pPr>
        <w:spacing w:line="360" w:lineRule="auto"/>
        <w:jc w:val="center"/>
        <w:rPr>
          <w:rFonts w:ascii="Times New Roman" w:hAnsi="Times New Roman" w:cs="Times New Roman" w:eastAsiaTheme="majorEastAsia"/>
          <w:bCs/>
          <w:color w:val="000000" w:themeColor="text1"/>
          <w:sz w:val="32"/>
          <w:szCs w:val="32"/>
        </w:rPr>
      </w:pPr>
      <w:r>
        <w:rPr>
          <w:rFonts w:ascii="Times New Roman" w:hAnsi="Times New Roman" w:cs="Times New Roman"/>
          <w:color w:val="000000" w:themeColor="text1"/>
          <w:sz w:val="24"/>
        </w:rPr>
        <w:t>（供应商自行编写）</w:t>
      </w:r>
    </w:p>
    <w:p>
      <w:pPr>
        <w:widowControl/>
        <w:spacing w:line="360" w:lineRule="auto"/>
        <w:jc w:val="left"/>
        <w:rPr>
          <w:rFonts w:ascii="Times New Roman" w:hAnsi="Times New Roman" w:cs="Times New Roman" w:eastAsiaTheme="majorEastAsia"/>
          <w:bCs/>
          <w:color w:val="000000" w:themeColor="text1"/>
          <w:sz w:val="32"/>
          <w:szCs w:val="32"/>
        </w:rPr>
      </w:pPr>
      <w:r>
        <w:rPr>
          <w:rFonts w:ascii="Times New Roman" w:hAnsi="Times New Roman" w:cs="Times New Roman" w:eastAsiaTheme="majorEastAsia"/>
          <w:bCs/>
          <w:color w:val="000000" w:themeColor="text1"/>
          <w:sz w:val="32"/>
          <w:szCs w:val="32"/>
        </w:rPr>
        <w:br w:type="page"/>
      </w:r>
    </w:p>
    <w:p>
      <w:pPr>
        <w:widowControl/>
        <w:spacing w:line="360" w:lineRule="auto"/>
        <w:jc w:val="left"/>
        <w:rPr>
          <w:rFonts w:ascii="Times New Roman" w:hAnsi="Times New Roman" w:cs="Times New Roman"/>
          <w:color w:val="000000" w:themeColor="text1"/>
          <w:sz w:val="32"/>
          <w:szCs w:val="32"/>
        </w:rPr>
      </w:pPr>
      <w:r>
        <w:rPr>
          <w:rFonts w:ascii="Times New Roman" w:hAnsi="Times New Roman" w:cs="Times New Roman"/>
          <w:bCs/>
          <w:color w:val="000000" w:themeColor="text1"/>
          <w:sz w:val="24"/>
        </w:rPr>
        <w:t>附件1</w:t>
      </w:r>
      <w:r>
        <w:rPr>
          <w:rFonts w:hint="eastAsia" w:ascii="Times New Roman" w:hAnsi="Times New Roman" w:cs="Times New Roman"/>
          <w:bCs/>
          <w:color w:val="000000" w:themeColor="text1"/>
          <w:sz w:val="24"/>
        </w:rPr>
        <w:t>1</w:t>
      </w:r>
    </w:p>
    <w:p>
      <w:pPr>
        <w:adjustRightInd w:val="0"/>
        <w:snapToGrid w:val="0"/>
        <w:spacing w:line="360" w:lineRule="auto"/>
        <w:jc w:val="center"/>
        <w:outlineLvl w:val="0"/>
        <w:rPr>
          <w:rFonts w:ascii="Times New Roman" w:hAnsi="Times New Roman" w:cs="Times New Roman"/>
          <w:color w:val="000000" w:themeColor="text1"/>
          <w:sz w:val="32"/>
          <w:szCs w:val="32"/>
        </w:rPr>
      </w:pPr>
    </w:p>
    <w:p>
      <w:pPr>
        <w:spacing w:line="360" w:lineRule="auto"/>
        <w:jc w:val="center"/>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未被列入“信用中国”网站失信被执行人、重大税收违法案件当事人名单、政府采购严重违法失信行为</w:t>
      </w:r>
    </w:p>
    <w:p>
      <w:pPr>
        <w:spacing w:line="360" w:lineRule="auto"/>
        <w:jc w:val="center"/>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记录名单的</w:t>
      </w:r>
      <w:r>
        <w:rPr>
          <w:rFonts w:ascii="Times New Roman" w:hAnsi="Times New Roman" w:cs="Times New Roman"/>
          <w:bCs/>
          <w:color w:val="FF0000"/>
          <w:sz w:val="32"/>
          <w:szCs w:val="32"/>
        </w:rPr>
        <w:t>网页打印件</w:t>
      </w:r>
    </w:p>
    <w:p>
      <w:pPr>
        <w:spacing w:line="360" w:lineRule="auto"/>
        <w:jc w:val="center"/>
        <w:rPr>
          <w:rFonts w:ascii="Times New Roman" w:hAnsi="Times New Roman" w:cs="Times New Roman"/>
          <w:color w:val="000000" w:themeColor="text1"/>
          <w:sz w:val="24"/>
        </w:rPr>
      </w:pPr>
    </w:p>
    <w:p>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sz w:val="24"/>
        </w:rPr>
        <w:t>（供应商自行打印）</w:t>
      </w:r>
    </w:p>
    <w:p>
      <w:pPr>
        <w:spacing w:line="360" w:lineRule="auto"/>
        <w:rPr>
          <w:rFonts w:ascii="Times New Roman" w:hAnsi="Times New Roman" w:cs="Times New Roman"/>
          <w:color w:val="000000" w:themeColor="text1"/>
        </w:rPr>
      </w:pPr>
    </w:p>
    <w:p>
      <w:pPr>
        <w:widowControl/>
        <w:spacing w:line="360" w:lineRule="auto"/>
        <w:jc w:val="left"/>
        <w:rPr>
          <w:rFonts w:ascii="Times New Roman" w:hAnsi="Times New Roman" w:cs="Times New Roman"/>
          <w:bCs/>
          <w:color w:val="000000" w:themeColor="text1"/>
          <w:sz w:val="24"/>
        </w:rPr>
      </w:pPr>
      <w:r>
        <w:rPr>
          <w:rFonts w:ascii="Times New Roman" w:hAnsi="Times New Roman" w:cs="Times New Roman"/>
          <w:bCs/>
          <w:color w:val="000000" w:themeColor="text1"/>
          <w:sz w:val="24"/>
        </w:rPr>
        <w:br w:type="page"/>
      </w:r>
    </w:p>
    <w:p>
      <w:pPr>
        <w:spacing w:line="360" w:lineRule="auto"/>
        <w:rPr>
          <w:color w:val="000000" w:themeColor="text1"/>
          <w:sz w:val="24"/>
        </w:rPr>
      </w:pPr>
      <w:r>
        <w:rPr>
          <w:rFonts w:hint="eastAsia"/>
          <w:color w:val="000000" w:themeColor="text1"/>
          <w:sz w:val="24"/>
        </w:rPr>
        <w:t>附件12</w:t>
      </w:r>
    </w:p>
    <w:p>
      <w:pPr>
        <w:spacing w:line="360" w:lineRule="auto"/>
        <w:rPr>
          <w:color w:val="000000" w:themeColor="text1"/>
          <w:sz w:val="24"/>
        </w:rPr>
      </w:pPr>
    </w:p>
    <w:p>
      <w:pPr>
        <w:spacing w:line="360" w:lineRule="auto"/>
        <w:jc w:val="center"/>
        <w:rPr>
          <w:color w:val="000000" w:themeColor="text1"/>
          <w:sz w:val="32"/>
          <w:szCs w:val="32"/>
        </w:rPr>
      </w:pPr>
      <w:r>
        <w:rPr>
          <w:rFonts w:hint="eastAsia"/>
          <w:color w:val="000000" w:themeColor="text1"/>
          <w:sz w:val="32"/>
          <w:szCs w:val="32"/>
        </w:rPr>
        <w:t>中小企业声明函</w:t>
      </w:r>
    </w:p>
    <w:p>
      <w:pPr>
        <w:spacing w:line="360" w:lineRule="auto"/>
        <w:rPr>
          <w:color w:val="000000" w:themeColor="text1"/>
          <w:sz w:val="32"/>
          <w:szCs w:val="32"/>
        </w:rPr>
      </w:pPr>
      <w:r>
        <w:rPr>
          <w:rFonts w:hint="eastAsia"/>
          <w:color w:val="000000" w:themeColor="text1"/>
          <w:sz w:val="32"/>
          <w:szCs w:val="32"/>
        </w:rPr>
        <w:t>　　</w:t>
      </w:r>
    </w:p>
    <w:p>
      <w:pPr>
        <w:spacing w:line="360" w:lineRule="auto"/>
        <w:ind w:firstLine="480" w:firstLineChars="200"/>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本公司郑重声明，根据《政府采购促进中小企业发展暂行办法》（财库〔2020〕146号）的规定，本公司为______（请填写：中型、小型、微型）企业。即，本公司同时满足以下条件：</w:t>
      </w:r>
      <w:r>
        <w:rPr>
          <w:rFonts w:hint="eastAsia" w:asciiTheme="majorEastAsia" w:hAnsiTheme="majorEastAsia" w:eastAsiaTheme="majorEastAsia"/>
          <w:color w:val="000000" w:themeColor="text1"/>
          <w:sz w:val="24"/>
        </w:rPr>
        <w:br w:type="textWrapping"/>
      </w:r>
      <w:r>
        <w:rPr>
          <w:rFonts w:hint="eastAsia" w:asciiTheme="majorEastAsia" w:hAnsiTheme="majorEastAsia" w:eastAsiaTheme="majorEastAsia"/>
          <w:color w:val="000000" w:themeColor="text1"/>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Theme="majorEastAsia" w:hAnsiTheme="majorEastAsia" w:eastAsiaTheme="majorEastAsia"/>
          <w:color w:val="000000" w:themeColor="text1"/>
          <w:sz w:val="24"/>
        </w:rPr>
        <w:br w:type="textWrapping"/>
      </w:r>
      <w:r>
        <w:rPr>
          <w:rFonts w:hint="eastAsia" w:asciiTheme="majorEastAsia" w:hAnsiTheme="majorEastAsia" w:eastAsiaTheme="majorEastAsia"/>
          <w:color w:val="000000" w:themeColor="text1"/>
          <w:sz w:val="24"/>
        </w:rPr>
        <w:t>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hint="eastAsia" w:asciiTheme="majorEastAsia" w:hAnsiTheme="majorEastAsia" w:eastAsiaTheme="majorEastAsia"/>
          <w:color w:val="000000" w:themeColor="text1"/>
          <w:sz w:val="24"/>
        </w:rPr>
        <w:br w:type="textWrapping"/>
      </w:r>
      <w:r>
        <w:rPr>
          <w:rFonts w:hint="eastAsia" w:asciiTheme="majorEastAsia" w:hAnsiTheme="majorEastAsia" w:eastAsiaTheme="majorEastAsia"/>
          <w:color w:val="000000" w:themeColor="text1"/>
          <w:sz w:val="24"/>
        </w:rPr>
        <w:t>　　本公司对上述声明的真实性负责。如有虚假，将依法承担相应责任。</w:t>
      </w:r>
      <w:r>
        <w:rPr>
          <w:rFonts w:hint="eastAsia" w:asciiTheme="majorEastAsia" w:hAnsiTheme="majorEastAsia" w:eastAsiaTheme="majorEastAsia"/>
          <w:color w:val="000000" w:themeColor="text1"/>
          <w:sz w:val="24"/>
        </w:rPr>
        <w:br w:type="textWrapping"/>
      </w:r>
      <w:r>
        <w:rPr>
          <w:rFonts w:hint="eastAsia" w:asciiTheme="majorEastAsia" w:hAnsiTheme="majorEastAsia" w:eastAsiaTheme="majorEastAsia"/>
          <w:color w:val="000000" w:themeColor="text1"/>
          <w:sz w:val="24"/>
        </w:rPr>
        <w:t>　　</w:t>
      </w:r>
    </w:p>
    <w:p>
      <w:pPr>
        <w:spacing w:line="360" w:lineRule="auto"/>
        <w:ind w:firstLine="480" w:firstLineChars="200"/>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企业名称（盖章）：</w:t>
      </w:r>
    </w:p>
    <w:p>
      <w:pPr>
        <w:spacing w:line="360" w:lineRule="auto"/>
        <w:ind w:firstLine="480" w:firstLineChars="200"/>
        <w:rPr>
          <w:rFonts w:asciiTheme="majorEastAsia" w:hAnsiTheme="majorEastAsia" w:eastAsiaTheme="majorEastAsia"/>
          <w:color w:val="000000" w:themeColor="text1"/>
          <w:sz w:val="24"/>
        </w:rPr>
        <w:sectPr>
          <w:footerReference r:id="rId7" w:type="default"/>
          <w:pgSz w:w="11906" w:h="16838"/>
          <w:pgMar w:top="1440" w:right="1797" w:bottom="1440" w:left="1797" w:header="851" w:footer="992" w:gutter="0"/>
          <w:cols w:space="425" w:num="1"/>
          <w:docGrid w:linePitch="312" w:charSpace="0"/>
        </w:sectPr>
      </w:pPr>
      <w:r>
        <w:rPr>
          <w:rFonts w:hint="eastAsia" w:asciiTheme="majorEastAsia" w:hAnsiTheme="majorEastAsia" w:eastAsiaTheme="majorEastAsia"/>
          <w:color w:val="000000" w:themeColor="text1"/>
          <w:sz w:val="24"/>
        </w:rPr>
        <w:t>企业法人（负责人）签字（签章）：</w:t>
      </w:r>
      <w:r>
        <w:rPr>
          <w:rFonts w:hint="eastAsia" w:asciiTheme="majorEastAsia" w:hAnsiTheme="majorEastAsia" w:eastAsiaTheme="majorEastAsia"/>
          <w:color w:val="000000" w:themeColor="text1"/>
          <w:sz w:val="24"/>
        </w:rPr>
        <w:br w:type="textWrapping"/>
      </w:r>
      <w:r>
        <w:rPr>
          <w:rFonts w:hint="eastAsia" w:asciiTheme="majorEastAsia" w:hAnsiTheme="majorEastAsia" w:eastAsiaTheme="majorEastAsia"/>
          <w:color w:val="000000" w:themeColor="text1"/>
          <w:sz w:val="24"/>
        </w:rPr>
        <w:t>　　日</w:t>
      </w:r>
      <w:r>
        <w:rPr>
          <w:rFonts w:hint="eastAsia" w:cs="宋体" w:asciiTheme="majorEastAsia" w:hAnsiTheme="majorEastAsia" w:eastAsiaTheme="majorEastAsia"/>
          <w:color w:val="000000" w:themeColor="text1"/>
          <w:sz w:val="24"/>
        </w:rPr>
        <w:t>  </w:t>
      </w:r>
      <w:r>
        <w:rPr>
          <w:rFonts w:hint="eastAsia" w:asciiTheme="majorEastAsia" w:hAnsiTheme="majorEastAsia" w:eastAsiaTheme="majorEastAsia"/>
          <w:color w:val="000000" w:themeColor="text1"/>
          <w:sz w:val="24"/>
        </w:rPr>
        <w:t>期：</w:t>
      </w:r>
    </w:p>
    <w:p>
      <w:pPr>
        <w:spacing w:line="360" w:lineRule="auto"/>
        <w:jc w:val="center"/>
        <w:rPr>
          <w:rFonts w:ascii="宋体" w:hAnsi="宋体" w:cs="宋体"/>
          <w:color w:val="000000" w:themeColor="text1"/>
          <w:kern w:val="0"/>
          <w:sz w:val="36"/>
          <w:szCs w:val="36"/>
        </w:rPr>
      </w:pPr>
      <w:r>
        <w:rPr>
          <w:rFonts w:hint="eastAsia" w:ascii="宋体" w:hAnsi="宋体" w:cs="宋体"/>
          <w:color w:val="000000" w:themeColor="text1"/>
          <w:kern w:val="0"/>
          <w:sz w:val="36"/>
          <w:szCs w:val="36"/>
        </w:rPr>
        <w:t>中小企业划型标准</w:t>
      </w:r>
    </w:p>
    <w:tbl>
      <w:tblPr>
        <w:tblStyle w:val="18"/>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color w:val="000000" w:themeColor="text1"/>
                <w:kern w:val="0"/>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营业收入</w:t>
            </w:r>
          </w:p>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从业人员</w:t>
            </w:r>
          </w:p>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总资产</w:t>
            </w:r>
          </w:p>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营业收入</w:t>
            </w:r>
          </w:p>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从业人员</w:t>
            </w:r>
          </w:p>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总资产</w:t>
            </w:r>
          </w:p>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营业收入</w:t>
            </w:r>
          </w:p>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1" w:leftChars="-40" w:right="-57" w:rightChars="-27" w:hanging="165" w:hangingChars="79"/>
              <w:jc w:val="center"/>
              <w:rPr>
                <w:rFonts w:ascii="宋体" w:hAnsi="宋体" w:cs="宋体"/>
                <w:color w:val="000000" w:themeColor="text1"/>
                <w:kern w:val="0"/>
                <w:szCs w:val="21"/>
              </w:rPr>
            </w:pPr>
            <w:r>
              <w:rPr>
                <w:rFonts w:hint="eastAsia" w:ascii="宋体" w:hAnsi="宋体" w:cs="宋体"/>
                <w:color w:val="000000" w:themeColor="text1"/>
                <w:kern w:val="0"/>
                <w:szCs w:val="21"/>
              </w:rPr>
              <w:t>从业人员</w:t>
            </w:r>
          </w:p>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总资产</w:t>
            </w:r>
          </w:p>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营业收入</w:t>
            </w:r>
          </w:p>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从业人员</w:t>
            </w:r>
          </w:p>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总资产</w:t>
            </w:r>
          </w:p>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color w:val="000000" w:themeColor="text1"/>
                <w:kern w:val="0"/>
                <w:szCs w:val="21"/>
              </w:rPr>
            </w:pPr>
            <w:r>
              <w:rPr>
                <w:rFonts w:hint="eastAsia" w:ascii="宋体" w:hAnsi="宋体" w:cs="宋体"/>
                <w:color w:val="000000" w:themeColor="text1"/>
                <w:kern w:val="0"/>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color w:val="000000" w:themeColor="text1"/>
                <w:kern w:val="0"/>
                <w:szCs w:val="21"/>
              </w:rPr>
            </w:pPr>
            <w:r>
              <w:rPr>
                <w:rFonts w:hint="eastAsia" w:ascii="宋体" w:hAnsi="宋体" w:cs="宋体"/>
                <w:color w:val="000000" w:themeColor="text1"/>
                <w:kern w:val="0"/>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color w:val="000000" w:themeColor="text1"/>
                <w:kern w:val="0"/>
                <w:szCs w:val="21"/>
              </w:rPr>
            </w:pPr>
            <w:r>
              <w:rPr>
                <w:rFonts w:hint="eastAsia" w:ascii="宋体" w:hAnsi="宋体" w:cs="宋体"/>
                <w:color w:val="000000" w:themeColor="text1"/>
                <w:kern w:val="0"/>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color w:val="000000" w:themeColor="text1"/>
                <w:kern w:val="0"/>
                <w:szCs w:val="21"/>
              </w:rPr>
            </w:pPr>
            <w:r>
              <w:rPr>
                <w:rFonts w:hint="eastAsia" w:ascii="宋体" w:hAnsi="宋体" w:cs="宋体"/>
                <w:color w:val="000000" w:themeColor="text1"/>
                <w:kern w:val="0"/>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color w:val="000000" w:themeColor="text1"/>
                <w:kern w:val="0"/>
                <w:szCs w:val="21"/>
              </w:rPr>
            </w:pPr>
            <w:r>
              <w:rPr>
                <w:rFonts w:hint="eastAsia" w:ascii="宋体" w:hAnsi="宋体" w:cs="宋体"/>
                <w:color w:val="000000" w:themeColor="text1"/>
                <w:kern w:val="0"/>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color w:val="000000" w:themeColor="text1"/>
                <w:kern w:val="0"/>
                <w:szCs w:val="21"/>
              </w:rPr>
            </w:pPr>
            <w:r>
              <w:rPr>
                <w:rFonts w:hint="eastAsia" w:ascii="宋体" w:hAnsi="宋体" w:cs="宋体"/>
                <w:color w:val="000000" w:themeColor="text1"/>
                <w:kern w:val="0"/>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color w:val="000000" w:themeColor="text1"/>
                <w:kern w:val="0"/>
                <w:szCs w:val="21"/>
              </w:rPr>
            </w:pPr>
            <w:r>
              <w:rPr>
                <w:rFonts w:hint="eastAsia" w:ascii="宋体" w:hAnsi="宋体" w:cs="宋体"/>
                <w:color w:val="000000" w:themeColor="text1"/>
                <w:kern w:val="0"/>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color w:val="000000" w:themeColor="text1"/>
                <w:kern w:val="0"/>
                <w:szCs w:val="21"/>
              </w:rPr>
            </w:pPr>
            <w:r>
              <w:rPr>
                <w:rFonts w:hint="eastAsia" w:ascii="宋体" w:hAnsi="宋体" w:cs="宋体"/>
                <w:color w:val="000000" w:themeColor="text1"/>
                <w:kern w:val="0"/>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color w:val="000000" w:themeColor="text1"/>
                <w:kern w:val="0"/>
                <w:szCs w:val="21"/>
              </w:rPr>
            </w:pPr>
            <w:r>
              <w:rPr>
                <w:rFonts w:hint="eastAsia" w:ascii="宋体" w:hAnsi="宋体" w:cs="宋体"/>
                <w:color w:val="000000" w:themeColor="text1"/>
                <w:kern w:val="0"/>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color w:val="000000" w:themeColor="text1"/>
                <w:kern w:val="0"/>
                <w:szCs w:val="21"/>
              </w:rPr>
            </w:pPr>
            <w:r>
              <w:rPr>
                <w:rFonts w:hint="eastAsia" w:ascii="宋体" w:hAnsi="宋体" w:cs="宋体"/>
                <w:color w:val="000000" w:themeColor="text1"/>
                <w:kern w:val="0"/>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color w:val="000000" w:themeColor="text1"/>
                <w:kern w:val="0"/>
                <w:szCs w:val="21"/>
              </w:rPr>
            </w:pPr>
            <w:r>
              <w:rPr>
                <w:rFonts w:hint="eastAsia" w:ascii="宋体" w:hAnsi="宋体" w:cs="宋体"/>
                <w:color w:val="000000" w:themeColor="text1"/>
                <w:kern w:val="0"/>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color w:val="000000" w:themeColor="text1"/>
                <w:kern w:val="0"/>
                <w:szCs w:val="21"/>
              </w:rPr>
            </w:pPr>
            <w:r>
              <w:rPr>
                <w:rFonts w:hint="eastAsia" w:ascii="宋体" w:hAnsi="宋体" w:cs="宋体"/>
                <w:color w:val="000000" w:themeColor="text1"/>
                <w:kern w:val="0"/>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ascii="宋体" w:hAnsi="宋体" w:cs="宋体"/>
                <w:color w:val="000000" w:themeColor="text1"/>
                <w:kern w:val="0"/>
                <w:szCs w:val="21"/>
              </w:rPr>
            </w:pPr>
            <w:r>
              <w:rPr>
                <w:rFonts w:hint="eastAsia" w:ascii="宋体" w:hAnsi="宋体" w:cs="宋体"/>
                <w:color w:val="000000" w:themeColor="text1"/>
                <w:kern w:val="0"/>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27" w:leftChars="-40" w:right="-57" w:rightChars="-27" w:hanging="111" w:hangingChars="53"/>
              <w:jc w:val="center"/>
              <w:rPr>
                <w:rFonts w:ascii="宋体" w:hAnsi="宋体" w:cs="宋体"/>
                <w:color w:val="000000" w:themeColor="text1"/>
                <w:kern w:val="0"/>
                <w:szCs w:val="21"/>
              </w:rPr>
            </w:pPr>
            <w:r>
              <w:rPr>
                <w:rFonts w:hint="eastAsia" w:ascii="宋体" w:hAnsi="宋体" w:cs="宋体"/>
                <w:color w:val="000000" w:themeColor="text1"/>
                <w:kern w:val="0"/>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color w:val="000000" w:themeColor="text1"/>
                <w:kern w:val="0"/>
                <w:szCs w:val="21"/>
              </w:rPr>
            </w:pPr>
            <w:r>
              <w:rPr>
                <w:rFonts w:hint="eastAsia" w:ascii="宋体" w:hAnsi="宋体" w:cs="宋体"/>
                <w:color w:val="000000" w:themeColor="text1"/>
                <w:kern w:val="0"/>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color w:val="000000" w:themeColor="text1"/>
                <w:kern w:val="0"/>
                <w:szCs w:val="21"/>
              </w:rPr>
            </w:pPr>
            <w:r>
              <w:rPr>
                <w:rFonts w:hint="eastAsia" w:ascii="宋体" w:hAnsi="宋体" w:cs="宋体"/>
                <w:color w:val="000000" w:themeColor="text1"/>
                <w:kern w:val="0"/>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ascii="宋体" w:hAnsi="宋体" w:cs="宋体"/>
                <w:color w:val="000000" w:themeColor="text1"/>
                <w:kern w:val="0"/>
                <w:szCs w:val="21"/>
              </w:rPr>
            </w:pPr>
            <w:r>
              <w:rPr>
                <w:rFonts w:hint="eastAsia" w:ascii="宋体" w:hAnsi="宋体" w:cs="宋体"/>
                <w:color w:val="000000" w:themeColor="text1"/>
                <w:kern w:val="0"/>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bl>
    <w:p>
      <w:pPr>
        <w:spacing w:line="360" w:lineRule="auto"/>
        <w:rPr>
          <w:rFonts w:asciiTheme="majorEastAsia" w:hAnsiTheme="majorEastAsia" w:eastAsiaTheme="majorEastAsia"/>
          <w:color w:val="000000" w:themeColor="text1"/>
          <w:sz w:val="24"/>
        </w:rPr>
        <w:sectPr>
          <w:pgSz w:w="16838" w:h="11906" w:orient="landscape"/>
          <w:pgMar w:top="1797" w:right="1440" w:bottom="1797" w:left="1440" w:header="851" w:footer="992" w:gutter="0"/>
          <w:cols w:space="425" w:num="1"/>
          <w:docGrid w:linePitch="312" w:charSpace="0"/>
        </w:sectPr>
      </w:pPr>
    </w:p>
    <w:p>
      <w:pPr>
        <w:spacing w:line="360" w:lineRule="auto"/>
        <w:rPr>
          <w:color w:val="000000" w:themeColor="text1"/>
          <w:sz w:val="24"/>
        </w:rPr>
      </w:pPr>
      <w:r>
        <w:rPr>
          <w:rFonts w:hint="eastAsia"/>
          <w:color w:val="000000" w:themeColor="text1"/>
          <w:sz w:val="24"/>
        </w:rPr>
        <w:t>附件13</w:t>
      </w:r>
    </w:p>
    <w:p>
      <w:pPr>
        <w:spacing w:line="360" w:lineRule="auto"/>
        <w:ind w:firstLine="667"/>
        <w:jc w:val="center"/>
        <w:rPr>
          <w:rFonts w:asciiTheme="majorEastAsia" w:hAnsiTheme="majorEastAsia" w:eastAsiaTheme="majorEastAsia"/>
          <w:b/>
          <w:color w:val="000000" w:themeColor="text1"/>
          <w:spacing w:val="6"/>
          <w:sz w:val="32"/>
          <w:szCs w:val="32"/>
        </w:rPr>
      </w:pPr>
      <w:bookmarkStart w:id="10" w:name="OLE_LINK13"/>
      <w:bookmarkStart w:id="11" w:name="OLE_LINK14"/>
      <w:r>
        <w:rPr>
          <w:rFonts w:asciiTheme="majorEastAsia" w:hAnsiTheme="majorEastAsia" w:eastAsiaTheme="majorEastAsia"/>
          <w:b/>
          <w:color w:val="000000" w:themeColor="text1"/>
          <w:spacing w:val="6"/>
          <w:sz w:val="32"/>
          <w:szCs w:val="32"/>
        </w:rPr>
        <w:t>残疾人福利性单位声明函</w:t>
      </w:r>
    </w:p>
    <w:bookmarkEnd w:id="10"/>
    <w:bookmarkEnd w:id="11"/>
    <w:p>
      <w:pPr>
        <w:spacing w:line="360" w:lineRule="auto"/>
        <w:ind w:firstLine="626"/>
        <w:rPr>
          <w:rFonts w:eastAsia="仿宋_GB2312"/>
          <w:b/>
          <w:color w:val="000000" w:themeColor="text1"/>
          <w:spacing w:val="6"/>
          <w:sz w:val="30"/>
          <w:szCs w:val="30"/>
        </w:rPr>
      </w:pPr>
    </w:p>
    <w:p>
      <w:pPr>
        <w:spacing w:line="360" w:lineRule="auto"/>
        <w:ind w:firstLine="624"/>
        <w:rPr>
          <w:rFonts w:eastAsia="仿宋_GB2312"/>
          <w:color w:val="000000" w:themeColor="text1"/>
          <w:spacing w:val="6"/>
          <w:sz w:val="30"/>
          <w:szCs w:val="30"/>
        </w:rPr>
      </w:pPr>
      <w:r>
        <w:rPr>
          <w:rFonts w:eastAsia="仿宋_GB2312"/>
          <w:color w:val="000000" w:themeColor="text1"/>
          <w:spacing w:val="6"/>
          <w:sz w:val="30"/>
          <w:szCs w:val="30"/>
        </w:rPr>
        <w:t>本单位郑重声明，根据《财政部 民政部 中国残疾人联合会关于促进残疾人就业政府采购政策的通知》（财库</w:t>
      </w:r>
      <w:r>
        <w:rPr>
          <w:rFonts w:eastAsia="仿宋_GB2312"/>
          <w:color w:val="000000" w:themeColor="text1"/>
          <w:sz w:val="32"/>
          <w:szCs w:val="32"/>
        </w:rPr>
        <w:t>〔2017〕 141</w:t>
      </w:r>
      <w:r>
        <w:rPr>
          <w:rFonts w:eastAsia="仿宋_GB2312"/>
          <w:color w:val="000000" w:themeColor="text1"/>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624"/>
        <w:rPr>
          <w:rFonts w:eastAsia="仿宋_GB2312"/>
          <w:color w:val="000000" w:themeColor="text1"/>
          <w:spacing w:val="6"/>
          <w:sz w:val="30"/>
          <w:szCs w:val="30"/>
        </w:rPr>
      </w:pPr>
      <w:r>
        <w:rPr>
          <w:rFonts w:eastAsia="仿宋_GB2312"/>
          <w:color w:val="000000" w:themeColor="text1"/>
          <w:spacing w:val="6"/>
          <w:sz w:val="30"/>
          <w:szCs w:val="30"/>
        </w:rPr>
        <w:t>本单位对上述声明的真实性负责。如有虚假，将依法承担相应责任。</w:t>
      </w:r>
    </w:p>
    <w:p>
      <w:pPr>
        <w:spacing w:line="360" w:lineRule="auto"/>
        <w:ind w:firstLine="624"/>
        <w:rPr>
          <w:rFonts w:eastAsia="仿宋_GB2312"/>
          <w:color w:val="000000" w:themeColor="text1"/>
          <w:spacing w:val="6"/>
          <w:sz w:val="30"/>
          <w:szCs w:val="30"/>
        </w:rPr>
      </w:pPr>
    </w:p>
    <w:p>
      <w:pPr>
        <w:spacing w:line="360" w:lineRule="auto"/>
        <w:ind w:firstLine="624"/>
        <w:rPr>
          <w:rFonts w:eastAsia="仿宋_GB2312"/>
          <w:color w:val="000000" w:themeColor="text1"/>
          <w:spacing w:val="6"/>
          <w:sz w:val="30"/>
          <w:szCs w:val="30"/>
        </w:rPr>
      </w:pPr>
    </w:p>
    <w:p>
      <w:pPr>
        <w:tabs>
          <w:tab w:val="left" w:pos="4860"/>
        </w:tabs>
        <w:spacing w:line="360" w:lineRule="auto"/>
        <w:ind w:right="1560" w:firstLine="624"/>
        <w:jc w:val="center"/>
        <w:rPr>
          <w:rFonts w:eastAsia="仿宋_GB2312"/>
          <w:color w:val="000000" w:themeColor="text1"/>
          <w:spacing w:val="6"/>
          <w:sz w:val="30"/>
          <w:szCs w:val="30"/>
        </w:rPr>
      </w:pPr>
      <w:r>
        <w:rPr>
          <w:rFonts w:eastAsia="仿宋_GB2312"/>
          <w:color w:val="000000" w:themeColor="text1"/>
          <w:spacing w:val="6"/>
          <w:sz w:val="30"/>
          <w:szCs w:val="30"/>
        </w:rPr>
        <w:t xml:space="preserve">               单位名称（盖章）：</w:t>
      </w:r>
    </w:p>
    <w:p>
      <w:pPr>
        <w:tabs>
          <w:tab w:val="left" w:pos="4860"/>
        </w:tabs>
        <w:spacing w:line="360" w:lineRule="auto"/>
        <w:ind w:right="1560" w:firstLine="624"/>
        <w:jc w:val="center"/>
        <w:rPr>
          <w:rFonts w:eastAsia="仿宋_GB2312"/>
          <w:color w:val="000000" w:themeColor="text1"/>
          <w:spacing w:val="6"/>
          <w:sz w:val="30"/>
          <w:szCs w:val="30"/>
        </w:rPr>
      </w:pPr>
      <w:r>
        <w:rPr>
          <w:rFonts w:eastAsia="仿宋_GB2312"/>
          <w:color w:val="000000" w:themeColor="text1"/>
          <w:spacing w:val="6"/>
          <w:sz w:val="30"/>
          <w:szCs w:val="30"/>
        </w:rPr>
        <w:t xml:space="preserve">       日  期：</w:t>
      </w:r>
    </w:p>
    <w:p>
      <w:pPr>
        <w:widowControl/>
        <w:spacing w:line="360" w:lineRule="auto"/>
        <w:jc w:val="left"/>
        <w:rPr>
          <w:rFonts w:ascii="宋体" w:hAnsi="宋体"/>
          <w:bCs/>
          <w:color w:val="000000" w:themeColor="text1"/>
          <w:sz w:val="32"/>
          <w:szCs w:val="32"/>
        </w:rPr>
      </w:pPr>
      <w:r>
        <w:rPr>
          <w:rFonts w:ascii="宋体" w:hAnsi="宋体"/>
          <w:bCs/>
          <w:color w:val="000000" w:themeColor="text1"/>
          <w:sz w:val="32"/>
          <w:szCs w:val="32"/>
        </w:rPr>
        <w:br w:type="page"/>
      </w:r>
    </w:p>
    <w:p>
      <w:pPr>
        <w:spacing w:line="360" w:lineRule="auto"/>
        <w:rPr>
          <w:color w:val="000000" w:themeColor="text1"/>
          <w:sz w:val="24"/>
        </w:rPr>
      </w:pPr>
      <w:r>
        <w:rPr>
          <w:rFonts w:hint="eastAsia"/>
          <w:color w:val="000000" w:themeColor="text1"/>
          <w:sz w:val="24"/>
        </w:rPr>
        <w:t>附件14</w:t>
      </w:r>
    </w:p>
    <w:p>
      <w:pPr>
        <w:spacing w:line="360" w:lineRule="auto"/>
        <w:rPr>
          <w:color w:val="000000" w:themeColor="text1"/>
          <w:sz w:val="24"/>
        </w:rPr>
      </w:pPr>
    </w:p>
    <w:p>
      <w:pPr>
        <w:tabs>
          <w:tab w:val="left" w:pos="7665"/>
        </w:tabs>
        <w:spacing w:line="360" w:lineRule="auto"/>
        <w:jc w:val="center"/>
        <w:outlineLvl w:val="1"/>
        <w:rPr>
          <w:rFonts w:ascii="宋体" w:hAnsi="宋体"/>
          <w:bCs/>
          <w:color w:val="000000" w:themeColor="text1"/>
          <w:sz w:val="32"/>
          <w:szCs w:val="32"/>
        </w:rPr>
      </w:pPr>
      <w:r>
        <w:rPr>
          <w:rFonts w:hint="eastAsia" w:ascii="宋体" w:hAnsi="宋体"/>
          <w:bCs/>
          <w:color w:val="000000" w:themeColor="text1"/>
          <w:sz w:val="32"/>
          <w:szCs w:val="32"/>
        </w:rPr>
        <w:t>省级以上监狱管理局、戒毒管理局（含新疆生产建设兵团）出具的属于监狱企业的证明文件</w:t>
      </w:r>
      <w:r>
        <w:rPr>
          <w:rFonts w:hint="eastAsia" w:ascii="宋体" w:hAnsi="宋体"/>
          <w:bCs/>
          <w:color w:val="000000" w:themeColor="text1"/>
          <w:sz w:val="32"/>
          <w:szCs w:val="32"/>
        </w:rPr>
        <w:br w:type="textWrapping"/>
      </w:r>
      <w:r>
        <w:rPr>
          <w:rFonts w:ascii="宋体" w:hAnsi="宋体"/>
          <w:bCs/>
          <w:color w:val="000000" w:themeColor="text1"/>
          <w:sz w:val="32"/>
          <w:szCs w:val="32"/>
        </w:rPr>
        <w:br w:type="textWrapping"/>
      </w:r>
    </w:p>
    <w:p>
      <w:pPr>
        <w:widowControl/>
        <w:spacing w:line="360" w:lineRule="auto"/>
        <w:jc w:val="left"/>
        <w:rPr>
          <w:rFonts w:ascii="宋体" w:hAnsi="宋体"/>
          <w:bCs/>
          <w:color w:val="000000" w:themeColor="text1"/>
          <w:sz w:val="32"/>
          <w:szCs w:val="32"/>
        </w:rPr>
      </w:pPr>
      <w:r>
        <w:rPr>
          <w:rFonts w:ascii="宋体" w:hAnsi="宋体"/>
          <w:bCs/>
          <w:color w:val="000000" w:themeColor="text1"/>
          <w:sz w:val="32"/>
          <w:szCs w:val="32"/>
        </w:rPr>
        <w:br w:type="page"/>
      </w:r>
    </w:p>
    <w:p>
      <w:pPr>
        <w:tabs>
          <w:tab w:val="left" w:pos="7665"/>
        </w:tabs>
        <w:spacing w:line="360" w:lineRule="auto"/>
        <w:jc w:val="center"/>
        <w:outlineLvl w:val="1"/>
        <w:rPr>
          <w:rFonts w:ascii="宋体" w:hAnsi="宋体"/>
          <w:bCs/>
          <w:color w:val="000000" w:themeColor="text1"/>
          <w:sz w:val="32"/>
          <w:szCs w:val="32"/>
        </w:rPr>
      </w:pPr>
      <w:r>
        <w:rPr>
          <w:rFonts w:ascii="宋体" w:hAnsi="宋体"/>
          <w:bCs/>
          <w:color w:val="000000" w:themeColor="text1"/>
          <w:sz w:val="32"/>
          <w:szCs w:val="32"/>
        </w:rPr>
        <w:t>其他</w:t>
      </w:r>
      <w:r>
        <w:rPr>
          <w:rFonts w:hint="eastAsia" w:ascii="宋体" w:hAnsi="宋体"/>
          <w:bCs/>
          <w:color w:val="000000" w:themeColor="text1"/>
          <w:sz w:val="32"/>
          <w:szCs w:val="32"/>
        </w:rPr>
        <w:t>资格证明文件及</w:t>
      </w:r>
      <w:r>
        <w:rPr>
          <w:rFonts w:ascii="宋体" w:hAnsi="宋体"/>
          <w:bCs/>
          <w:color w:val="000000" w:themeColor="text1"/>
          <w:sz w:val="32"/>
          <w:szCs w:val="32"/>
        </w:rPr>
        <w:t>资料</w:t>
      </w:r>
      <w:r>
        <w:rPr>
          <w:rFonts w:hint="eastAsia" w:ascii="宋体" w:hAnsi="宋体"/>
          <w:bCs/>
          <w:color w:val="000000" w:themeColor="text1"/>
          <w:sz w:val="32"/>
          <w:szCs w:val="32"/>
        </w:rPr>
        <w:t>（格式自拟）</w:t>
      </w:r>
    </w:p>
    <w:p>
      <w:pPr>
        <w:tabs>
          <w:tab w:val="left" w:pos="7665"/>
        </w:tabs>
        <w:spacing w:line="360" w:lineRule="auto"/>
        <w:jc w:val="center"/>
        <w:outlineLvl w:val="1"/>
        <w:rPr>
          <w:rFonts w:ascii="宋体" w:hAnsi="宋体"/>
          <w:bCs/>
          <w:color w:val="000000" w:themeColor="text1"/>
          <w:sz w:val="32"/>
          <w:szCs w:val="32"/>
        </w:rPr>
      </w:pPr>
    </w:p>
    <w:p>
      <w:pPr>
        <w:tabs>
          <w:tab w:val="left" w:pos="7665"/>
        </w:tabs>
        <w:spacing w:line="360" w:lineRule="auto"/>
        <w:jc w:val="center"/>
        <w:outlineLvl w:val="1"/>
        <w:rPr>
          <w:rFonts w:ascii="宋体" w:hAnsi="宋体"/>
          <w:bCs/>
          <w:color w:val="000000" w:themeColor="text1"/>
          <w:sz w:val="32"/>
          <w:szCs w:val="32"/>
        </w:rPr>
      </w:pPr>
    </w:p>
    <w:p>
      <w:pPr>
        <w:tabs>
          <w:tab w:val="left" w:pos="7665"/>
        </w:tabs>
        <w:spacing w:line="360" w:lineRule="auto"/>
        <w:jc w:val="center"/>
        <w:outlineLvl w:val="1"/>
        <w:rPr>
          <w:rFonts w:ascii="宋体" w:hAnsi="宋体"/>
          <w:bCs/>
          <w:color w:val="000000" w:themeColor="text1"/>
          <w:sz w:val="32"/>
          <w:szCs w:val="32"/>
        </w:rPr>
      </w:pPr>
    </w:p>
    <w:p>
      <w:pPr>
        <w:tabs>
          <w:tab w:val="left" w:pos="7665"/>
        </w:tabs>
        <w:spacing w:line="360" w:lineRule="auto"/>
        <w:jc w:val="center"/>
        <w:outlineLvl w:val="1"/>
        <w:rPr>
          <w:rFonts w:ascii="宋体" w:hAnsi="宋体"/>
          <w:bCs/>
          <w:color w:val="000000" w:themeColor="text1"/>
          <w:sz w:val="32"/>
          <w:szCs w:val="32"/>
        </w:rPr>
      </w:pPr>
    </w:p>
    <w:p>
      <w:pPr>
        <w:tabs>
          <w:tab w:val="left" w:pos="7665"/>
        </w:tabs>
        <w:spacing w:line="360" w:lineRule="auto"/>
        <w:jc w:val="center"/>
        <w:outlineLvl w:val="1"/>
        <w:rPr>
          <w:rFonts w:ascii="宋体" w:hAnsi="宋体"/>
          <w:bCs/>
          <w:color w:val="000000" w:themeColor="text1"/>
          <w:sz w:val="32"/>
          <w:szCs w:val="32"/>
        </w:rPr>
      </w:pPr>
    </w:p>
    <w:p>
      <w:pPr>
        <w:tabs>
          <w:tab w:val="left" w:pos="7665"/>
        </w:tabs>
        <w:spacing w:line="360" w:lineRule="auto"/>
        <w:jc w:val="center"/>
        <w:outlineLvl w:val="1"/>
        <w:rPr>
          <w:rFonts w:ascii="宋体" w:hAnsi="宋体"/>
          <w:bCs/>
          <w:color w:val="000000" w:themeColor="text1"/>
          <w:sz w:val="32"/>
          <w:szCs w:val="32"/>
        </w:rPr>
      </w:pPr>
    </w:p>
    <w:p>
      <w:pPr>
        <w:tabs>
          <w:tab w:val="left" w:pos="7665"/>
        </w:tabs>
        <w:spacing w:line="360" w:lineRule="auto"/>
        <w:jc w:val="center"/>
        <w:outlineLvl w:val="1"/>
        <w:rPr>
          <w:rFonts w:ascii="宋体" w:hAnsi="宋体"/>
          <w:bCs/>
          <w:color w:val="000000" w:themeColor="text1"/>
          <w:sz w:val="32"/>
          <w:szCs w:val="32"/>
        </w:rPr>
      </w:pPr>
    </w:p>
    <w:p>
      <w:pPr>
        <w:tabs>
          <w:tab w:val="left" w:pos="7665"/>
        </w:tabs>
        <w:spacing w:line="360" w:lineRule="auto"/>
        <w:jc w:val="center"/>
        <w:outlineLvl w:val="1"/>
        <w:rPr>
          <w:rFonts w:ascii="宋体" w:hAnsi="宋体"/>
          <w:bCs/>
          <w:color w:val="000000" w:themeColor="text1"/>
          <w:sz w:val="32"/>
          <w:szCs w:val="32"/>
        </w:rPr>
      </w:pPr>
    </w:p>
    <w:p>
      <w:pPr>
        <w:tabs>
          <w:tab w:val="left" w:pos="7665"/>
        </w:tabs>
        <w:spacing w:line="360" w:lineRule="auto"/>
        <w:jc w:val="center"/>
        <w:outlineLvl w:val="1"/>
        <w:rPr>
          <w:rFonts w:ascii="宋体" w:hAnsi="宋体"/>
          <w:bCs/>
          <w:color w:val="000000" w:themeColor="text1"/>
          <w:sz w:val="32"/>
          <w:szCs w:val="32"/>
        </w:rPr>
      </w:pPr>
    </w:p>
    <w:p>
      <w:pPr>
        <w:tabs>
          <w:tab w:val="left" w:pos="7665"/>
        </w:tabs>
        <w:spacing w:line="360" w:lineRule="auto"/>
        <w:jc w:val="center"/>
        <w:outlineLvl w:val="1"/>
        <w:rPr>
          <w:rFonts w:ascii="宋体" w:hAnsi="宋体"/>
          <w:bCs/>
          <w:color w:val="000000" w:themeColor="text1"/>
          <w:sz w:val="32"/>
          <w:szCs w:val="32"/>
        </w:rPr>
      </w:pPr>
    </w:p>
    <w:p>
      <w:pPr>
        <w:tabs>
          <w:tab w:val="left" w:pos="7665"/>
        </w:tabs>
        <w:spacing w:line="360" w:lineRule="auto"/>
        <w:jc w:val="center"/>
        <w:outlineLvl w:val="1"/>
        <w:rPr>
          <w:rFonts w:ascii="宋体" w:hAnsi="宋体"/>
          <w:bCs/>
          <w:color w:val="000000" w:themeColor="text1"/>
          <w:sz w:val="32"/>
          <w:szCs w:val="32"/>
        </w:rPr>
      </w:pPr>
    </w:p>
    <w:p>
      <w:pPr>
        <w:tabs>
          <w:tab w:val="left" w:pos="7665"/>
        </w:tabs>
        <w:spacing w:line="360" w:lineRule="auto"/>
        <w:jc w:val="center"/>
        <w:outlineLvl w:val="1"/>
        <w:rPr>
          <w:rFonts w:ascii="宋体" w:hAnsi="宋体"/>
          <w:bCs/>
          <w:color w:val="000000" w:themeColor="text1"/>
          <w:sz w:val="32"/>
          <w:szCs w:val="32"/>
        </w:rPr>
      </w:pPr>
    </w:p>
    <w:p>
      <w:pPr>
        <w:tabs>
          <w:tab w:val="left" w:pos="7665"/>
        </w:tabs>
        <w:spacing w:line="360" w:lineRule="auto"/>
        <w:jc w:val="center"/>
        <w:outlineLvl w:val="1"/>
        <w:rPr>
          <w:rFonts w:ascii="宋体" w:hAnsi="宋体"/>
          <w:bCs/>
          <w:color w:val="000000" w:themeColor="text1"/>
          <w:sz w:val="32"/>
          <w:szCs w:val="32"/>
        </w:rPr>
      </w:pPr>
    </w:p>
    <w:p>
      <w:pPr>
        <w:tabs>
          <w:tab w:val="left" w:pos="7665"/>
        </w:tabs>
        <w:spacing w:line="360" w:lineRule="auto"/>
        <w:jc w:val="center"/>
        <w:outlineLvl w:val="1"/>
        <w:rPr>
          <w:rFonts w:ascii="宋体" w:hAnsi="宋体"/>
          <w:bCs/>
          <w:color w:val="000000" w:themeColor="text1"/>
          <w:sz w:val="32"/>
          <w:szCs w:val="32"/>
        </w:rPr>
      </w:pPr>
    </w:p>
    <w:p>
      <w:pPr>
        <w:tabs>
          <w:tab w:val="left" w:pos="7665"/>
        </w:tabs>
        <w:spacing w:line="360" w:lineRule="auto"/>
        <w:jc w:val="center"/>
        <w:outlineLvl w:val="1"/>
        <w:rPr>
          <w:rFonts w:ascii="宋体" w:hAnsi="宋体"/>
          <w:bCs/>
          <w:color w:val="000000" w:themeColor="text1"/>
          <w:sz w:val="32"/>
          <w:szCs w:val="32"/>
        </w:rPr>
      </w:pPr>
    </w:p>
    <w:p>
      <w:pPr>
        <w:tabs>
          <w:tab w:val="left" w:pos="7665"/>
        </w:tabs>
        <w:spacing w:line="360" w:lineRule="auto"/>
        <w:jc w:val="center"/>
        <w:outlineLvl w:val="1"/>
        <w:rPr>
          <w:rFonts w:ascii="宋体" w:hAnsi="宋体"/>
          <w:bCs/>
          <w:color w:val="000000" w:themeColor="text1"/>
          <w:sz w:val="32"/>
          <w:szCs w:val="32"/>
        </w:rPr>
      </w:pPr>
    </w:p>
    <w:p>
      <w:pPr>
        <w:tabs>
          <w:tab w:val="left" w:pos="7665"/>
        </w:tabs>
        <w:spacing w:line="360" w:lineRule="auto"/>
        <w:jc w:val="center"/>
        <w:outlineLvl w:val="1"/>
        <w:rPr>
          <w:rFonts w:ascii="宋体" w:hAnsi="宋体"/>
          <w:bCs/>
          <w:color w:val="000000" w:themeColor="text1"/>
          <w:sz w:val="32"/>
          <w:szCs w:val="32"/>
        </w:rPr>
      </w:pPr>
    </w:p>
    <w:p>
      <w:pPr>
        <w:tabs>
          <w:tab w:val="left" w:pos="7665"/>
        </w:tabs>
        <w:spacing w:line="360" w:lineRule="auto"/>
        <w:jc w:val="center"/>
        <w:outlineLvl w:val="1"/>
        <w:rPr>
          <w:rFonts w:ascii="宋体" w:hAnsi="宋体"/>
          <w:bCs/>
          <w:color w:val="000000" w:themeColor="text1"/>
          <w:sz w:val="32"/>
          <w:szCs w:val="32"/>
        </w:rPr>
      </w:pPr>
    </w:p>
    <w:p>
      <w:pPr>
        <w:tabs>
          <w:tab w:val="left" w:pos="7665"/>
        </w:tabs>
        <w:spacing w:line="360" w:lineRule="auto"/>
        <w:jc w:val="center"/>
        <w:outlineLvl w:val="1"/>
        <w:rPr>
          <w:rFonts w:ascii="宋体" w:hAnsi="宋体"/>
          <w:bCs/>
          <w:color w:val="000000" w:themeColor="text1"/>
          <w:sz w:val="32"/>
          <w:szCs w:val="32"/>
        </w:rPr>
      </w:pPr>
    </w:p>
    <w:p>
      <w:pPr>
        <w:tabs>
          <w:tab w:val="left" w:pos="7665"/>
        </w:tabs>
        <w:spacing w:line="360" w:lineRule="auto"/>
        <w:jc w:val="center"/>
        <w:outlineLvl w:val="1"/>
        <w:rPr>
          <w:rFonts w:ascii="宋体" w:hAnsi="宋体"/>
          <w:bCs/>
          <w:color w:val="000000" w:themeColor="text1"/>
          <w:sz w:val="32"/>
          <w:szCs w:val="32"/>
        </w:rPr>
      </w:pPr>
    </w:p>
    <w:p>
      <w:pPr>
        <w:tabs>
          <w:tab w:val="left" w:pos="7665"/>
        </w:tabs>
        <w:spacing w:line="360" w:lineRule="auto"/>
        <w:jc w:val="center"/>
        <w:outlineLvl w:val="1"/>
        <w:rPr>
          <w:rFonts w:ascii="宋体" w:hAnsi="宋体"/>
          <w:bCs/>
          <w:color w:val="000000" w:themeColor="text1"/>
          <w:sz w:val="32"/>
          <w:szCs w:val="32"/>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5</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12"/>
          <w:jc w:val="center"/>
        </w:pPr>
        <w:r>
          <w:fldChar w:fldCharType="begin"/>
        </w:r>
        <w:r>
          <w:instrText xml:space="preserve">PAGE   \* MERGEFORMAT</w:instrText>
        </w:r>
        <w:r>
          <w:fldChar w:fldCharType="separate"/>
        </w:r>
        <w:r>
          <w:rPr>
            <w:lang w:val="zh-CN"/>
          </w:rPr>
          <w:t>46</w:t>
        </w:r>
        <w:r>
          <w:rPr>
            <w:lang w:val="zh-CN"/>
          </w:rP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60F1C"/>
    <w:multiLevelType w:val="multilevel"/>
    <w:tmpl w:val="0A760F1C"/>
    <w:lvl w:ilvl="0" w:tentative="0">
      <w:start w:val="1"/>
      <w:numFmt w:val="decimal"/>
      <w:suff w:val="space"/>
      <w:lvlText w:val="第%1章"/>
      <w:lvlJc w:val="center"/>
      <w:pPr>
        <w:ind w:firstLine="288"/>
      </w:pPr>
      <w:rPr>
        <w:rFonts w:hint="eastAsia" w:ascii="宋体" w:hAnsi="黑体" w:eastAsia="宋体" w:cs="Times New Roman"/>
        <w:sz w:val="44"/>
        <w:szCs w:val="44"/>
      </w:rPr>
    </w:lvl>
    <w:lvl w:ilvl="1" w:tentative="0">
      <w:start w:val="1"/>
      <w:numFmt w:val="decimal"/>
      <w:suff w:val="space"/>
      <w:lvlText w:val="%1.%2"/>
      <w:lvlJc w:val="left"/>
      <w:rPr>
        <w:rFonts w:hint="eastAsia" w:ascii="黑体" w:hAnsi="黑体" w:eastAsia="黑体" w:cs="Times New Roman"/>
        <w:sz w:val="36"/>
        <w:szCs w:val="36"/>
      </w:rPr>
    </w:lvl>
    <w:lvl w:ilvl="2" w:tentative="0">
      <w:start w:val="1"/>
      <w:numFmt w:val="decimal"/>
      <w:pStyle w:val="73"/>
      <w:suff w:val="space"/>
      <w:lvlText w:val="%1.%2.%3"/>
      <w:lvlJc w:val="left"/>
      <w:pPr>
        <w:ind w:left="480"/>
      </w:pPr>
      <w:rPr>
        <w:rFonts w:hint="eastAsia" w:ascii="黑体" w:hAnsi="黑体" w:eastAsia="黑体" w:cs="Times New Roman"/>
        <w:sz w:val="32"/>
      </w:rPr>
    </w:lvl>
    <w:lvl w:ilvl="3" w:tentative="0">
      <w:start w:val="1"/>
      <w:numFmt w:val="decimal"/>
      <w:suff w:val="space"/>
      <w:lvlText w:val="%1.%2.%3.%4"/>
      <w:lvlJc w:val="left"/>
      <w:pPr>
        <w:ind w:left="709"/>
      </w:pPr>
      <w:rPr>
        <w:rFonts w:cs="Times New Roman"/>
      </w:rPr>
    </w:lvl>
    <w:lvl w:ilvl="4" w:tentative="0">
      <w:start w:val="1"/>
      <w:numFmt w:val="decimal"/>
      <w:lvlText w:val="%1.%2.%3.%4.%5"/>
      <w:lvlJc w:val="left"/>
      <w:rPr>
        <w:rFonts w:cs="Times New Roman"/>
      </w:rPr>
    </w:lvl>
    <w:lvl w:ilvl="5" w:tentative="0">
      <w:start w:val="1"/>
      <w:numFmt w:val="decimal"/>
      <w:pStyle w:val="74"/>
      <w:lvlText w:val="%1.%2.%3.%4.%5.%6"/>
      <w:lvlJc w:val="left"/>
      <w:rPr>
        <w:rFonts w:hint="eastAsia" w:cs="Times New Roman"/>
      </w:rPr>
    </w:lvl>
    <w:lvl w:ilvl="6" w:tentative="0">
      <w:start w:val="1"/>
      <w:numFmt w:val="decimal"/>
      <w:lvlText w:val="%1.%2.%3.%4.%5.%6.%7"/>
      <w:lvlJc w:val="left"/>
      <w:rPr>
        <w:rFonts w:hint="eastAsia" w:cs="Times New Roman"/>
      </w:rPr>
    </w:lvl>
    <w:lvl w:ilvl="7" w:tentative="0">
      <w:start w:val="1"/>
      <w:numFmt w:val="decimal"/>
      <w:lvlText w:val="%1.%2.%3.%4.%5.%6.%7.%8"/>
      <w:lvlJc w:val="left"/>
      <w:rPr>
        <w:rFonts w:hint="eastAsia" w:cs="Times New Roman"/>
      </w:rPr>
    </w:lvl>
    <w:lvl w:ilvl="8" w:tentative="0">
      <w:start w:val="1"/>
      <w:numFmt w:val="decimal"/>
      <w:lvlText w:val="%1.%2.%3.%4.%5.%6.%7.%8.%9"/>
      <w:lvlJc w:val="left"/>
      <w:rPr>
        <w:rFonts w:hint="eastAsia" w:cs="Times New Roman"/>
      </w:rPr>
    </w:lvl>
  </w:abstractNum>
  <w:abstractNum w:abstractNumId="1">
    <w:nsid w:val="1B71F110"/>
    <w:multiLevelType w:val="singleLevel"/>
    <w:tmpl w:val="1B71F110"/>
    <w:lvl w:ilvl="0" w:tentative="0">
      <w:start w:val="1"/>
      <w:numFmt w:val="decimal"/>
      <w:suff w:val="nothing"/>
      <w:lvlText w:val="%1、"/>
      <w:lvlJc w:val="left"/>
    </w:lvl>
  </w:abstractNum>
  <w:abstractNum w:abstractNumId="2">
    <w:nsid w:val="2BED61D6"/>
    <w:multiLevelType w:val="multilevel"/>
    <w:tmpl w:val="2BED61D6"/>
    <w:lvl w:ilvl="0" w:tentative="0">
      <w:start w:val="1"/>
      <w:numFmt w:val="decimal"/>
      <w:lvlText w:val="%1、"/>
      <w:lvlJc w:val="left"/>
      <w:pPr>
        <w:ind w:left="440" w:hanging="360"/>
      </w:pPr>
      <w:rPr>
        <w:rFonts w:hint="default"/>
      </w:rPr>
    </w:lvl>
    <w:lvl w:ilvl="1" w:tentative="0">
      <w:start w:val="1"/>
      <w:numFmt w:val="lowerLetter"/>
      <w:lvlText w:val="%2)"/>
      <w:lvlJc w:val="left"/>
      <w:pPr>
        <w:ind w:left="920" w:hanging="420"/>
      </w:pPr>
    </w:lvl>
    <w:lvl w:ilvl="2" w:tentative="0">
      <w:start w:val="1"/>
      <w:numFmt w:val="lowerRoman"/>
      <w:lvlText w:val="%3."/>
      <w:lvlJc w:val="right"/>
      <w:pPr>
        <w:ind w:left="1340" w:hanging="420"/>
      </w:pPr>
    </w:lvl>
    <w:lvl w:ilvl="3" w:tentative="0">
      <w:start w:val="1"/>
      <w:numFmt w:val="decimal"/>
      <w:lvlText w:val="%4."/>
      <w:lvlJc w:val="left"/>
      <w:pPr>
        <w:ind w:left="1760" w:hanging="420"/>
      </w:pPr>
    </w:lvl>
    <w:lvl w:ilvl="4" w:tentative="0">
      <w:start w:val="1"/>
      <w:numFmt w:val="lowerLetter"/>
      <w:lvlText w:val="%5)"/>
      <w:lvlJc w:val="left"/>
      <w:pPr>
        <w:ind w:left="2180" w:hanging="420"/>
      </w:pPr>
    </w:lvl>
    <w:lvl w:ilvl="5" w:tentative="0">
      <w:start w:val="1"/>
      <w:numFmt w:val="lowerRoman"/>
      <w:lvlText w:val="%6."/>
      <w:lvlJc w:val="right"/>
      <w:pPr>
        <w:ind w:left="2600" w:hanging="420"/>
      </w:pPr>
    </w:lvl>
    <w:lvl w:ilvl="6" w:tentative="0">
      <w:start w:val="1"/>
      <w:numFmt w:val="decimal"/>
      <w:lvlText w:val="%7."/>
      <w:lvlJc w:val="left"/>
      <w:pPr>
        <w:ind w:left="3020" w:hanging="420"/>
      </w:pPr>
    </w:lvl>
    <w:lvl w:ilvl="7" w:tentative="0">
      <w:start w:val="1"/>
      <w:numFmt w:val="lowerLetter"/>
      <w:lvlText w:val="%8)"/>
      <w:lvlJc w:val="left"/>
      <w:pPr>
        <w:ind w:left="3440" w:hanging="420"/>
      </w:pPr>
    </w:lvl>
    <w:lvl w:ilvl="8" w:tentative="0">
      <w:start w:val="1"/>
      <w:numFmt w:val="lowerRoman"/>
      <w:lvlText w:val="%9."/>
      <w:lvlJc w:val="right"/>
      <w:pPr>
        <w:ind w:left="3860" w:hanging="420"/>
      </w:pPr>
    </w:lvl>
  </w:abstractNum>
  <w:abstractNum w:abstractNumId="3">
    <w:nsid w:val="5044164E"/>
    <w:multiLevelType w:val="singleLevel"/>
    <w:tmpl w:val="5044164E"/>
    <w:lvl w:ilvl="0" w:tentative="0">
      <w:start w:val="1"/>
      <w:numFmt w:val="decimal"/>
      <w:pStyle w:val="71"/>
      <w:lvlText w:val="%1．"/>
      <w:lvlJc w:val="left"/>
      <w:pPr>
        <w:tabs>
          <w:tab w:val="left" w:pos="480"/>
        </w:tabs>
        <w:ind w:left="480" w:hanging="480"/>
      </w:pPr>
      <w:rPr>
        <w:rFonts w:hint="eastAsia" w:cs="Times New Roman"/>
      </w:rPr>
    </w:lvl>
  </w:abstractNum>
  <w:abstractNum w:abstractNumId="4">
    <w:nsid w:val="6ED9E2C5"/>
    <w:multiLevelType w:val="singleLevel"/>
    <w:tmpl w:val="6ED9E2C5"/>
    <w:lvl w:ilvl="0" w:tentative="0">
      <w:start w:val="2"/>
      <w:numFmt w:val="decimal"/>
      <w:lvlText w:val="%1."/>
      <w:lvlJc w:val="left"/>
      <w:pPr>
        <w:tabs>
          <w:tab w:val="left" w:pos="312"/>
        </w:tabs>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AB"/>
    <w:rsid w:val="00000FBD"/>
    <w:rsid w:val="00003D5F"/>
    <w:rsid w:val="00004E16"/>
    <w:rsid w:val="00006AB3"/>
    <w:rsid w:val="000200C7"/>
    <w:rsid w:val="00020A54"/>
    <w:rsid w:val="00021344"/>
    <w:rsid w:val="00025685"/>
    <w:rsid w:val="00025EE6"/>
    <w:rsid w:val="00030E97"/>
    <w:rsid w:val="00032974"/>
    <w:rsid w:val="000350B6"/>
    <w:rsid w:val="00035860"/>
    <w:rsid w:val="00035EC7"/>
    <w:rsid w:val="00040017"/>
    <w:rsid w:val="00060E9C"/>
    <w:rsid w:val="000636E1"/>
    <w:rsid w:val="00065C57"/>
    <w:rsid w:val="00066596"/>
    <w:rsid w:val="000711D8"/>
    <w:rsid w:val="000713E4"/>
    <w:rsid w:val="0007705F"/>
    <w:rsid w:val="00081D2D"/>
    <w:rsid w:val="00083226"/>
    <w:rsid w:val="00083499"/>
    <w:rsid w:val="00083A5C"/>
    <w:rsid w:val="00083EDD"/>
    <w:rsid w:val="00084658"/>
    <w:rsid w:val="000918E7"/>
    <w:rsid w:val="00091BFE"/>
    <w:rsid w:val="00092329"/>
    <w:rsid w:val="00095FF7"/>
    <w:rsid w:val="00096A27"/>
    <w:rsid w:val="00096E98"/>
    <w:rsid w:val="000A0829"/>
    <w:rsid w:val="000A25FC"/>
    <w:rsid w:val="000A65E4"/>
    <w:rsid w:val="000B08F0"/>
    <w:rsid w:val="000B112F"/>
    <w:rsid w:val="000B5C35"/>
    <w:rsid w:val="000B72E7"/>
    <w:rsid w:val="000B7F00"/>
    <w:rsid w:val="000C150F"/>
    <w:rsid w:val="000C1C7B"/>
    <w:rsid w:val="000C5507"/>
    <w:rsid w:val="000D05D5"/>
    <w:rsid w:val="000D4073"/>
    <w:rsid w:val="000D7AB8"/>
    <w:rsid w:val="000E0852"/>
    <w:rsid w:val="000E22C9"/>
    <w:rsid w:val="000E30C0"/>
    <w:rsid w:val="000E57FF"/>
    <w:rsid w:val="000F2A73"/>
    <w:rsid w:val="000F2F39"/>
    <w:rsid w:val="001035E0"/>
    <w:rsid w:val="00105430"/>
    <w:rsid w:val="00110244"/>
    <w:rsid w:val="00116D6B"/>
    <w:rsid w:val="0011717A"/>
    <w:rsid w:val="00130A62"/>
    <w:rsid w:val="00130F62"/>
    <w:rsid w:val="00133F7C"/>
    <w:rsid w:val="0013566F"/>
    <w:rsid w:val="00141616"/>
    <w:rsid w:val="00145EE0"/>
    <w:rsid w:val="00146B0C"/>
    <w:rsid w:val="00150FED"/>
    <w:rsid w:val="00153820"/>
    <w:rsid w:val="00161CC7"/>
    <w:rsid w:val="00163032"/>
    <w:rsid w:val="001635B3"/>
    <w:rsid w:val="00166C2E"/>
    <w:rsid w:val="00170C05"/>
    <w:rsid w:val="00170C2F"/>
    <w:rsid w:val="001733D0"/>
    <w:rsid w:val="0018132B"/>
    <w:rsid w:val="0018203A"/>
    <w:rsid w:val="001828AF"/>
    <w:rsid w:val="00185DEC"/>
    <w:rsid w:val="00192EAC"/>
    <w:rsid w:val="001A6184"/>
    <w:rsid w:val="001B23DC"/>
    <w:rsid w:val="001B6EA3"/>
    <w:rsid w:val="001C03B0"/>
    <w:rsid w:val="001C78C9"/>
    <w:rsid w:val="001D18D5"/>
    <w:rsid w:val="001D1983"/>
    <w:rsid w:val="001E1558"/>
    <w:rsid w:val="001E360D"/>
    <w:rsid w:val="001E3E76"/>
    <w:rsid w:val="001E530C"/>
    <w:rsid w:val="001F3B6E"/>
    <w:rsid w:val="001F42EE"/>
    <w:rsid w:val="00202F63"/>
    <w:rsid w:val="00206A90"/>
    <w:rsid w:val="00206D8D"/>
    <w:rsid w:val="002114F1"/>
    <w:rsid w:val="0021394C"/>
    <w:rsid w:val="0021403F"/>
    <w:rsid w:val="002228A8"/>
    <w:rsid w:val="0022499F"/>
    <w:rsid w:val="002303FF"/>
    <w:rsid w:val="00231898"/>
    <w:rsid w:val="00234EDF"/>
    <w:rsid w:val="002369FF"/>
    <w:rsid w:val="00241F76"/>
    <w:rsid w:val="00243153"/>
    <w:rsid w:val="00247DAB"/>
    <w:rsid w:val="00247DF4"/>
    <w:rsid w:val="00254D6A"/>
    <w:rsid w:val="002563E6"/>
    <w:rsid w:val="0025720C"/>
    <w:rsid w:val="00262696"/>
    <w:rsid w:val="002673A8"/>
    <w:rsid w:val="00273E5A"/>
    <w:rsid w:val="002749E6"/>
    <w:rsid w:val="00274B51"/>
    <w:rsid w:val="00283219"/>
    <w:rsid w:val="00291AF0"/>
    <w:rsid w:val="002A0CA1"/>
    <w:rsid w:val="002A54F0"/>
    <w:rsid w:val="002A5502"/>
    <w:rsid w:val="002A7C10"/>
    <w:rsid w:val="002B0A93"/>
    <w:rsid w:val="002B11B9"/>
    <w:rsid w:val="002B5A87"/>
    <w:rsid w:val="002B61E7"/>
    <w:rsid w:val="002B6681"/>
    <w:rsid w:val="002C04F0"/>
    <w:rsid w:val="002C17D9"/>
    <w:rsid w:val="002C2CA2"/>
    <w:rsid w:val="002D0A5D"/>
    <w:rsid w:val="002D13CF"/>
    <w:rsid w:val="002D20AD"/>
    <w:rsid w:val="002D29C8"/>
    <w:rsid w:val="002D2F1B"/>
    <w:rsid w:val="002D47A8"/>
    <w:rsid w:val="002D4A75"/>
    <w:rsid w:val="002D4D30"/>
    <w:rsid w:val="002D63B0"/>
    <w:rsid w:val="002E5305"/>
    <w:rsid w:val="002F11F5"/>
    <w:rsid w:val="002F1CF7"/>
    <w:rsid w:val="002F297A"/>
    <w:rsid w:val="002F3F09"/>
    <w:rsid w:val="002F4D10"/>
    <w:rsid w:val="00300EBE"/>
    <w:rsid w:val="0030177B"/>
    <w:rsid w:val="00302EA2"/>
    <w:rsid w:val="00303D45"/>
    <w:rsid w:val="00312609"/>
    <w:rsid w:val="003134CE"/>
    <w:rsid w:val="00314957"/>
    <w:rsid w:val="00316887"/>
    <w:rsid w:val="00317E8D"/>
    <w:rsid w:val="00321B6E"/>
    <w:rsid w:val="003408D2"/>
    <w:rsid w:val="00341CC9"/>
    <w:rsid w:val="00343AE7"/>
    <w:rsid w:val="00344AFD"/>
    <w:rsid w:val="00345BF5"/>
    <w:rsid w:val="00351ED9"/>
    <w:rsid w:val="00353F12"/>
    <w:rsid w:val="00354F0C"/>
    <w:rsid w:val="00361C22"/>
    <w:rsid w:val="00364E17"/>
    <w:rsid w:val="0037354A"/>
    <w:rsid w:val="0037368B"/>
    <w:rsid w:val="00375118"/>
    <w:rsid w:val="0037753D"/>
    <w:rsid w:val="003800B9"/>
    <w:rsid w:val="00380E88"/>
    <w:rsid w:val="003854E4"/>
    <w:rsid w:val="003874D4"/>
    <w:rsid w:val="003A5280"/>
    <w:rsid w:val="003B04BC"/>
    <w:rsid w:val="003B221E"/>
    <w:rsid w:val="003B2797"/>
    <w:rsid w:val="003B41F1"/>
    <w:rsid w:val="003B66C3"/>
    <w:rsid w:val="003B75D0"/>
    <w:rsid w:val="003C754C"/>
    <w:rsid w:val="003D1BFB"/>
    <w:rsid w:val="003E0ABC"/>
    <w:rsid w:val="003E3759"/>
    <w:rsid w:val="003E4AF6"/>
    <w:rsid w:val="003E4F78"/>
    <w:rsid w:val="003F14C4"/>
    <w:rsid w:val="003F1CA4"/>
    <w:rsid w:val="003F3C98"/>
    <w:rsid w:val="003F7ADF"/>
    <w:rsid w:val="00402AD9"/>
    <w:rsid w:val="00407B3A"/>
    <w:rsid w:val="00413051"/>
    <w:rsid w:val="00414509"/>
    <w:rsid w:val="00416B19"/>
    <w:rsid w:val="00423555"/>
    <w:rsid w:val="00423B1D"/>
    <w:rsid w:val="004253ED"/>
    <w:rsid w:val="004264EE"/>
    <w:rsid w:val="00443D25"/>
    <w:rsid w:val="004446B7"/>
    <w:rsid w:val="0044654C"/>
    <w:rsid w:val="00447285"/>
    <w:rsid w:val="00455E46"/>
    <w:rsid w:val="004560AD"/>
    <w:rsid w:val="00461558"/>
    <w:rsid w:val="004636EA"/>
    <w:rsid w:val="0046639F"/>
    <w:rsid w:val="00470B38"/>
    <w:rsid w:val="00472ABA"/>
    <w:rsid w:val="00474F19"/>
    <w:rsid w:val="004830BD"/>
    <w:rsid w:val="00487CE1"/>
    <w:rsid w:val="0049516C"/>
    <w:rsid w:val="004A323D"/>
    <w:rsid w:val="004B6ECC"/>
    <w:rsid w:val="004C0AE1"/>
    <w:rsid w:val="004C1E56"/>
    <w:rsid w:val="004C22E3"/>
    <w:rsid w:val="004C7F7D"/>
    <w:rsid w:val="004D15E9"/>
    <w:rsid w:val="004D3D06"/>
    <w:rsid w:val="004D3F9D"/>
    <w:rsid w:val="004D7317"/>
    <w:rsid w:val="004E043F"/>
    <w:rsid w:val="004E4AD7"/>
    <w:rsid w:val="004E4F1B"/>
    <w:rsid w:val="004F3852"/>
    <w:rsid w:val="004F3DD5"/>
    <w:rsid w:val="004F7299"/>
    <w:rsid w:val="004F7C48"/>
    <w:rsid w:val="00501A7A"/>
    <w:rsid w:val="005042C2"/>
    <w:rsid w:val="00505134"/>
    <w:rsid w:val="00507B07"/>
    <w:rsid w:val="005161AF"/>
    <w:rsid w:val="00516FB5"/>
    <w:rsid w:val="00521D58"/>
    <w:rsid w:val="00522B52"/>
    <w:rsid w:val="00523427"/>
    <w:rsid w:val="005237F8"/>
    <w:rsid w:val="00527CC7"/>
    <w:rsid w:val="0053047A"/>
    <w:rsid w:val="005308E2"/>
    <w:rsid w:val="00530CB1"/>
    <w:rsid w:val="00531023"/>
    <w:rsid w:val="005324BD"/>
    <w:rsid w:val="00532ADB"/>
    <w:rsid w:val="00536182"/>
    <w:rsid w:val="00537DFC"/>
    <w:rsid w:val="00541968"/>
    <w:rsid w:val="005436D9"/>
    <w:rsid w:val="00545EBA"/>
    <w:rsid w:val="00547300"/>
    <w:rsid w:val="0056467C"/>
    <w:rsid w:val="00567487"/>
    <w:rsid w:val="00570587"/>
    <w:rsid w:val="005712B0"/>
    <w:rsid w:val="00582097"/>
    <w:rsid w:val="00582D82"/>
    <w:rsid w:val="00585A5F"/>
    <w:rsid w:val="0059476F"/>
    <w:rsid w:val="00594D10"/>
    <w:rsid w:val="005954A7"/>
    <w:rsid w:val="005A1B29"/>
    <w:rsid w:val="005A312F"/>
    <w:rsid w:val="005A4951"/>
    <w:rsid w:val="005A634B"/>
    <w:rsid w:val="005A7E41"/>
    <w:rsid w:val="005B0A06"/>
    <w:rsid w:val="005B7CFA"/>
    <w:rsid w:val="005C1EC3"/>
    <w:rsid w:val="005C22D8"/>
    <w:rsid w:val="005C4851"/>
    <w:rsid w:val="005C74DC"/>
    <w:rsid w:val="005D004D"/>
    <w:rsid w:val="005D5A0C"/>
    <w:rsid w:val="005D5B5A"/>
    <w:rsid w:val="005D7F18"/>
    <w:rsid w:val="005E3C65"/>
    <w:rsid w:val="005E5181"/>
    <w:rsid w:val="005E6A23"/>
    <w:rsid w:val="005E7A12"/>
    <w:rsid w:val="006040C1"/>
    <w:rsid w:val="00604611"/>
    <w:rsid w:val="006075F3"/>
    <w:rsid w:val="006100DE"/>
    <w:rsid w:val="006108C4"/>
    <w:rsid w:val="00612616"/>
    <w:rsid w:val="00616FCF"/>
    <w:rsid w:val="00622D73"/>
    <w:rsid w:val="00630877"/>
    <w:rsid w:val="00632920"/>
    <w:rsid w:val="00634543"/>
    <w:rsid w:val="00635884"/>
    <w:rsid w:val="00636360"/>
    <w:rsid w:val="00637129"/>
    <w:rsid w:val="00642FD5"/>
    <w:rsid w:val="00643BC9"/>
    <w:rsid w:val="006441BA"/>
    <w:rsid w:val="00644924"/>
    <w:rsid w:val="00646607"/>
    <w:rsid w:val="00647336"/>
    <w:rsid w:val="00650A88"/>
    <w:rsid w:val="0065188A"/>
    <w:rsid w:val="006608EB"/>
    <w:rsid w:val="006617AE"/>
    <w:rsid w:val="00662542"/>
    <w:rsid w:val="00666CB0"/>
    <w:rsid w:val="0067461F"/>
    <w:rsid w:val="00677F08"/>
    <w:rsid w:val="00685ECF"/>
    <w:rsid w:val="00692B5A"/>
    <w:rsid w:val="00693405"/>
    <w:rsid w:val="00694C4F"/>
    <w:rsid w:val="006A736C"/>
    <w:rsid w:val="006B4913"/>
    <w:rsid w:val="006B5A6C"/>
    <w:rsid w:val="006B7BA9"/>
    <w:rsid w:val="006C18C8"/>
    <w:rsid w:val="006C2C76"/>
    <w:rsid w:val="006C2D04"/>
    <w:rsid w:val="006C5710"/>
    <w:rsid w:val="006C577A"/>
    <w:rsid w:val="006D18B2"/>
    <w:rsid w:val="006D3998"/>
    <w:rsid w:val="006D40A6"/>
    <w:rsid w:val="006E088B"/>
    <w:rsid w:val="006E1A25"/>
    <w:rsid w:val="006E30B2"/>
    <w:rsid w:val="006E37C0"/>
    <w:rsid w:val="006F0658"/>
    <w:rsid w:val="006F16B4"/>
    <w:rsid w:val="006F46A4"/>
    <w:rsid w:val="006F6EA1"/>
    <w:rsid w:val="006F7E76"/>
    <w:rsid w:val="00701B57"/>
    <w:rsid w:val="00704371"/>
    <w:rsid w:val="00705D12"/>
    <w:rsid w:val="0070731E"/>
    <w:rsid w:val="00712B37"/>
    <w:rsid w:val="00712E7D"/>
    <w:rsid w:val="00713FA4"/>
    <w:rsid w:val="00717EA5"/>
    <w:rsid w:val="00720073"/>
    <w:rsid w:val="00725053"/>
    <w:rsid w:val="00726173"/>
    <w:rsid w:val="00731C0F"/>
    <w:rsid w:val="00733A4E"/>
    <w:rsid w:val="00735E21"/>
    <w:rsid w:val="0073728E"/>
    <w:rsid w:val="007419B4"/>
    <w:rsid w:val="00745FCF"/>
    <w:rsid w:val="00747FF3"/>
    <w:rsid w:val="007507EE"/>
    <w:rsid w:val="00754F3A"/>
    <w:rsid w:val="0075735E"/>
    <w:rsid w:val="00763910"/>
    <w:rsid w:val="00763CC9"/>
    <w:rsid w:val="007643DE"/>
    <w:rsid w:val="0076544A"/>
    <w:rsid w:val="00766354"/>
    <w:rsid w:val="00766E9D"/>
    <w:rsid w:val="007673D1"/>
    <w:rsid w:val="00767D2B"/>
    <w:rsid w:val="00767F5C"/>
    <w:rsid w:val="00772D83"/>
    <w:rsid w:val="00782CE1"/>
    <w:rsid w:val="00790CE5"/>
    <w:rsid w:val="00791121"/>
    <w:rsid w:val="007929B6"/>
    <w:rsid w:val="007971C9"/>
    <w:rsid w:val="00797D03"/>
    <w:rsid w:val="007A589E"/>
    <w:rsid w:val="007A68BC"/>
    <w:rsid w:val="007A748C"/>
    <w:rsid w:val="007B13E5"/>
    <w:rsid w:val="007B4D53"/>
    <w:rsid w:val="007C5475"/>
    <w:rsid w:val="007D5239"/>
    <w:rsid w:val="007D5A85"/>
    <w:rsid w:val="007D6494"/>
    <w:rsid w:val="007E2A8F"/>
    <w:rsid w:val="007F2A61"/>
    <w:rsid w:val="007F5F8D"/>
    <w:rsid w:val="008012B5"/>
    <w:rsid w:val="00804A78"/>
    <w:rsid w:val="008052C0"/>
    <w:rsid w:val="00810937"/>
    <w:rsid w:val="00811A5C"/>
    <w:rsid w:val="008121B7"/>
    <w:rsid w:val="00814EEE"/>
    <w:rsid w:val="00816F84"/>
    <w:rsid w:val="0082052A"/>
    <w:rsid w:val="00822A1A"/>
    <w:rsid w:val="00822F1B"/>
    <w:rsid w:val="00827B28"/>
    <w:rsid w:val="008307C5"/>
    <w:rsid w:val="00831A77"/>
    <w:rsid w:val="00832D54"/>
    <w:rsid w:val="00833C88"/>
    <w:rsid w:val="00834EA2"/>
    <w:rsid w:val="00837ED8"/>
    <w:rsid w:val="00840EBA"/>
    <w:rsid w:val="008410C8"/>
    <w:rsid w:val="00845213"/>
    <w:rsid w:val="00851E48"/>
    <w:rsid w:val="00856C34"/>
    <w:rsid w:val="0086326C"/>
    <w:rsid w:val="0086616B"/>
    <w:rsid w:val="0087223A"/>
    <w:rsid w:val="00872321"/>
    <w:rsid w:val="00874E75"/>
    <w:rsid w:val="0088149C"/>
    <w:rsid w:val="00882D51"/>
    <w:rsid w:val="0088509F"/>
    <w:rsid w:val="008869EE"/>
    <w:rsid w:val="00887862"/>
    <w:rsid w:val="008948EE"/>
    <w:rsid w:val="008A1BA9"/>
    <w:rsid w:val="008A25D2"/>
    <w:rsid w:val="008A2612"/>
    <w:rsid w:val="008A47D4"/>
    <w:rsid w:val="008A635D"/>
    <w:rsid w:val="008B76CB"/>
    <w:rsid w:val="008B79A5"/>
    <w:rsid w:val="008C2489"/>
    <w:rsid w:val="008C2627"/>
    <w:rsid w:val="008C2D07"/>
    <w:rsid w:val="008C39A9"/>
    <w:rsid w:val="008C7874"/>
    <w:rsid w:val="008D1679"/>
    <w:rsid w:val="008D1AF0"/>
    <w:rsid w:val="008D1C25"/>
    <w:rsid w:val="008D4A31"/>
    <w:rsid w:val="008D4F21"/>
    <w:rsid w:val="008D5EE1"/>
    <w:rsid w:val="008D689E"/>
    <w:rsid w:val="008D7586"/>
    <w:rsid w:val="008E0F39"/>
    <w:rsid w:val="008E5F84"/>
    <w:rsid w:val="008E68D7"/>
    <w:rsid w:val="008E6BF2"/>
    <w:rsid w:val="008E6C83"/>
    <w:rsid w:val="008E7B09"/>
    <w:rsid w:val="008F5792"/>
    <w:rsid w:val="008F619D"/>
    <w:rsid w:val="009047FF"/>
    <w:rsid w:val="009121D6"/>
    <w:rsid w:val="009171B5"/>
    <w:rsid w:val="00921087"/>
    <w:rsid w:val="00924836"/>
    <w:rsid w:val="00927B80"/>
    <w:rsid w:val="00930A3E"/>
    <w:rsid w:val="0094147F"/>
    <w:rsid w:val="00942EC5"/>
    <w:rsid w:val="009450F7"/>
    <w:rsid w:val="0094645F"/>
    <w:rsid w:val="009464E6"/>
    <w:rsid w:val="0095132A"/>
    <w:rsid w:val="00951477"/>
    <w:rsid w:val="00953A93"/>
    <w:rsid w:val="00956983"/>
    <w:rsid w:val="00964D13"/>
    <w:rsid w:val="0096559C"/>
    <w:rsid w:val="00966858"/>
    <w:rsid w:val="00970713"/>
    <w:rsid w:val="00971B53"/>
    <w:rsid w:val="00973542"/>
    <w:rsid w:val="009745E6"/>
    <w:rsid w:val="00982AF2"/>
    <w:rsid w:val="00983452"/>
    <w:rsid w:val="00986693"/>
    <w:rsid w:val="00986BF2"/>
    <w:rsid w:val="0099236E"/>
    <w:rsid w:val="009930C9"/>
    <w:rsid w:val="00995751"/>
    <w:rsid w:val="00996829"/>
    <w:rsid w:val="009A561D"/>
    <w:rsid w:val="009A6F0B"/>
    <w:rsid w:val="009B0337"/>
    <w:rsid w:val="009B1BB1"/>
    <w:rsid w:val="009B24B0"/>
    <w:rsid w:val="009B4A0C"/>
    <w:rsid w:val="009B5316"/>
    <w:rsid w:val="009B7886"/>
    <w:rsid w:val="009C0077"/>
    <w:rsid w:val="009C051E"/>
    <w:rsid w:val="009C26CF"/>
    <w:rsid w:val="009C46AD"/>
    <w:rsid w:val="009D260E"/>
    <w:rsid w:val="009D4795"/>
    <w:rsid w:val="009D49E4"/>
    <w:rsid w:val="009D65F2"/>
    <w:rsid w:val="009D78D5"/>
    <w:rsid w:val="009E0460"/>
    <w:rsid w:val="009E099B"/>
    <w:rsid w:val="009E5F22"/>
    <w:rsid w:val="009F2ED0"/>
    <w:rsid w:val="009F36F4"/>
    <w:rsid w:val="009F75E7"/>
    <w:rsid w:val="00A0050C"/>
    <w:rsid w:val="00A04633"/>
    <w:rsid w:val="00A1014B"/>
    <w:rsid w:val="00A111A7"/>
    <w:rsid w:val="00A13573"/>
    <w:rsid w:val="00A158E8"/>
    <w:rsid w:val="00A164EA"/>
    <w:rsid w:val="00A178B4"/>
    <w:rsid w:val="00A17ABD"/>
    <w:rsid w:val="00A21AB0"/>
    <w:rsid w:val="00A222E4"/>
    <w:rsid w:val="00A26857"/>
    <w:rsid w:val="00A35D5E"/>
    <w:rsid w:val="00A35F86"/>
    <w:rsid w:val="00A40DCB"/>
    <w:rsid w:val="00A42F82"/>
    <w:rsid w:val="00A443B8"/>
    <w:rsid w:val="00A473A2"/>
    <w:rsid w:val="00A51137"/>
    <w:rsid w:val="00A51B7E"/>
    <w:rsid w:val="00A553D0"/>
    <w:rsid w:val="00A55710"/>
    <w:rsid w:val="00A55863"/>
    <w:rsid w:val="00A55E8E"/>
    <w:rsid w:val="00A579E8"/>
    <w:rsid w:val="00A61089"/>
    <w:rsid w:val="00A64F0B"/>
    <w:rsid w:val="00A654CA"/>
    <w:rsid w:val="00A708B9"/>
    <w:rsid w:val="00A73C8A"/>
    <w:rsid w:val="00A802C9"/>
    <w:rsid w:val="00A80A96"/>
    <w:rsid w:val="00A81A93"/>
    <w:rsid w:val="00A87F30"/>
    <w:rsid w:val="00A91047"/>
    <w:rsid w:val="00A976A6"/>
    <w:rsid w:val="00A97B72"/>
    <w:rsid w:val="00AA0687"/>
    <w:rsid w:val="00AA0F28"/>
    <w:rsid w:val="00AA2D6E"/>
    <w:rsid w:val="00AA339F"/>
    <w:rsid w:val="00AA6234"/>
    <w:rsid w:val="00AB51A4"/>
    <w:rsid w:val="00AC44DA"/>
    <w:rsid w:val="00AC50A0"/>
    <w:rsid w:val="00AC53BF"/>
    <w:rsid w:val="00AC61E5"/>
    <w:rsid w:val="00AD213B"/>
    <w:rsid w:val="00AD74B5"/>
    <w:rsid w:val="00AD7807"/>
    <w:rsid w:val="00AE2B04"/>
    <w:rsid w:val="00AF0FA7"/>
    <w:rsid w:val="00AF2783"/>
    <w:rsid w:val="00AF422B"/>
    <w:rsid w:val="00AF4F2F"/>
    <w:rsid w:val="00AF66FA"/>
    <w:rsid w:val="00AF7C83"/>
    <w:rsid w:val="00B012F7"/>
    <w:rsid w:val="00B040BA"/>
    <w:rsid w:val="00B04E7B"/>
    <w:rsid w:val="00B06A86"/>
    <w:rsid w:val="00B10399"/>
    <w:rsid w:val="00B10EAB"/>
    <w:rsid w:val="00B16CA3"/>
    <w:rsid w:val="00B1794F"/>
    <w:rsid w:val="00B302B7"/>
    <w:rsid w:val="00B314B3"/>
    <w:rsid w:val="00B31B45"/>
    <w:rsid w:val="00B31C93"/>
    <w:rsid w:val="00B32063"/>
    <w:rsid w:val="00B37409"/>
    <w:rsid w:val="00B42F6C"/>
    <w:rsid w:val="00B47E61"/>
    <w:rsid w:val="00B5350D"/>
    <w:rsid w:val="00B615A0"/>
    <w:rsid w:val="00B61792"/>
    <w:rsid w:val="00B6747D"/>
    <w:rsid w:val="00B71ED9"/>
    <w:rsid w:val="00B76794"/>
    <w:rsid w:val="00B8498C"/>
    <w:rsid w:val="00B91D14"/>
    <w:rsid w:val="00B939CB"/>
    <w:rsid w:val="00B940F4"/>
    <w:rsid w:val="00B94C24"/>
    <w:rsid w:val="00B95809"/>
    <w:rsid w:val="00B95945"/>
    <w:rsid w:val="00BA248B"/>
    <w:rsid w:val="00BA2681"/>
    <w:rsid w:val="00BA2938"/>
    <w:rsid w:val="00BA52CB"/>
    <w:rsid w:val="00BA68F5"/>
    <w:rsid w:val="00BB2685"/>
    <w:rsid w:val="00BB270F"/>
    <w:rsid w:val="00BB27B5"/>
    <w:rsid w:val="00BB68D2"/>
    <w:rsid w:val="00BB7B05"/>
    <w:rsid w:val="00BC21F1"/>
    <w:rsid w:val="00BC245F"/>
    <w:rsid w:val="00BD249D"/>
    <w:rsid w:val="00BD39D8"/>
    <w:rsid w:val="00BD6B25"/>
    <w:rsid w:val="00BD735B"/>
    <w:rsid w:val="00BE25AE"/>
    <w:rsid w:val="00BF2B03"/>
    <w:rsid w:val="00C01265"/>
    <w:rsid w:val="00C020AB"/>
    <w:rsid w:val="00C04E2F"/>
    <w:rsid w:val="00C12156"/>
    <w:rsid w:val="00C13D6A"/>
    <w:rsid w:val="00C167DC"/>
    <w:rsid w:val="00C222B9"/>
    <w:rsid w:val="00C24214"/>
    <w:rsid w:val="00C25808"/>
    <w:rsid w:val="00C258B3"/>
    <w:rsid w:val="00C328AD"/>
    <w:rsid w:val="00C41ADB"/>
    <w:rsid w:val="00C44885"/>
    <w:rsid w:val="00C466D8"/>
    <w:rsid w:val="00C50AEF"/>
    <w:rsid w:val="00C53B17"/>
    <w:rsid w:val="00C55D11"/>
    <w:rsid w:val="00C63C0B"/>
    <w:rsid w:val="00C65DE8"/>
    <w:rsid w:val="00C72223"/>
    <w:rsid w:val="00C7673C"/>
    <w:rsid w:val="00C77309"/>
    <w:rsid w:val="00C77335"/>
    <w:rsid w:val="00C81A0D"/>
    <w:rsid w:val="00C90535"/>
    <w:rsid w:val="00C914AB"/>
    <w:rsid w:val="00C938EA"/>
    <w:rsid w:val="00C93C47"/>
    <w:rsid w:val="00CA0CD3"/>
    <w:rsid w:val="00CA5B6E"/>
    <w:rsid w:val="00CB0AED"/>
    <w:rsid w:val="00CB4F11"/>
    <w:rsid w:val="00CC037C"/>
    <w:rsid w:val="00CC1812"/>
    <w:rsid w:val="00CC38AE"/>
    <w:rsid w:val="00CD0BB4"/>
    <w:rsid w:val="00CD1DD5"/>
    <w:rsid w:val="00CD3D99"/>
    <w:rsid w:val="00CD5CD9"/>
    <w:rsid w:val="00CE341F"/>
    <w:rsid w:val="00CE42C6"/>
    <w:rsid w:val="00CE6772"/>
    <w:rsid w:val="00CE74B1"/>
    <w:rsid w:val="00CE7CE2"/>
    <w:rsid w:val="00CF1461"/>
    <w:rsid w:val="00CF2556"/>
    <w:rsid w:val="00CF4E82"/>
    <w:rsid w:val="00CF761E"/>
    <w:rsid w:val="00D03341"/>
    <w:rsid w:val="00D03497"/>
    <w:rsid w:val="00D05443"/>
    <w:rsid w:val="00D066AF"/>
    <w:rsid w:val="00D06742"/>
    <w:rsid w:val="00D14F9E"/>
    <w:rsid w:val="00D15486"/>
    <w:rsid w:val="00D23FAB"/>
    <w:rsid w:val="00D259D9"/>
    <w:rsid w:val="00D305A0"/>
    <w:rsid w:val="00D3118F"/>
    <w:rsid w:val="00D327D1"/>
    <w:rsid w:val="00D3490A"/>
    <w:rsid w:val="00D37928"/>
    <w:rsid w:val="00D43174"/>
    <w:rsid w:val="00D46E32"/>
    <w:rsid w:val="00D47D7C"/>
    <w:rsid w:val="00D505BB"/>
    <w:rsid w:val="00D505F5"/>
    <w:rsid w:val="00D53BCB"/>
    <w:rsid w:val="00D67912"/>
    <w:rsid w:val="00D72BFA"/>
    <w:rsid w:val="00D73CF3"/>
    <w:rsid w:val="00D75740"/>
    <w:rsid w:val="00D770C9"/>
    <w:rsid w:val="00D82C10"/>
    <w:rsid w:val="00D831D4"/>
    <w:rsid w:val="00D85C5C"/>
    <w:rsid w:val="00D92E22"/>
    <w:rsid w:val="00D92F17"/>
    <w:rsid w:val="00D94A7C"/>
    <w:rsid w:val="00D954E8"/>
    <w:rsid w:val="00DA4965"/>
    <w:rsid w:val="00DA6EED"/>
    <w:rsid w:val="00DA76C7"/>
    <w:rsid w:val="00DA7FC9"/>
    <w:rsid w:val="00DB208D"/>
    <w:rsid w:val="00DC1000"/>
    <w:rsid w:val="00DC20BA"/>
    <w:rsid w:val="00DC25B8"/>
    <w:rsid w:val="00DC3294"/>
    <w:rsid w:val="00DC3683"/>
    <w:rsid w:val="00DD09E4"/>
    <w:rsid w:val="00DD27A6"/>
    <w:rsid w:val="00DD711E"/>
    <w:rsid w:val="00DE2948"/>
    <w:rsid w:val="00DE6523"/>
    <w:rsid w:val="00DF3C9A"/>
    <w:rsid w:val="00DF3CF6"/>
    <w:rsid w:val="00DF4205"/>
    <w:rsid w:val="00DF65F8"/>
    <w:rsid w:val="00DF749D"/>
    <w:rsid w:val="00E03756"/>
    <w:rsid w:val="00E04D66"/>
    <w:rsid w:val="00E0584C"/>
    <w:rsid w:val="00E0596D"/>
    <w:rsid w:val="00E079A5"/>
    <w:rsid w:val="00E11181"/>
    <w:rsid w:val="00E11885"/>
    <w:rsid w:val="00E11EE7"/>
    <w:rsid w:val="00E13824"/>
    <w:rsid w:val="00E153F4"/>
    <w:rsid w:val="00E202B7"/>
    <w:rsid w:val="00E208EF"/>
    <w:rsid w:val="00E226D7"/>
    <w:rsid w:val="00E27DB8"/>
    <w:rsid w:val="00E3238A"/>
    <w:rsid w:val="00E40501"/>
    <w:rsid w:val="00E44424"/>
    <w:rsid w:val="00E53303"/>
    <w:rsid w:val="00E64FA4"/>
    <w:rsid w:val="00E67A72"/>
    <w:rsid w:val="00E75B29"/>
    <w:rsid w:val="00E76A9C"/>
    <w:rsid w:val="00E854E3"/>
    <w:rsid w:val="00E875A0"/>
    <w:rsid w:val="00E91638"/>
    <w:rsid w:val="00E9351F"/>
    <w:rsid w:val="00E94183"/>
    <w:rsid w:val="00E97962"/>
    <w:rsid w:val="00EA0B5A"/>
    <w:rsid w:val="00EA30DF"/>
    <w:rsid w:val="00EB239A"/>
    <w:rsid w:val="00EB4633"/>
    <w:rsid w:val="00EC264E"/>
    <w:rsid w:val="00EC4FF2"/>
    <w:rsid w:val="00ED023A"/>
    <w:rsid w:val="00ED6D98"/>
    <w:rsid w:val="00EE5373"/>
    <w:rsid w:val="00EF20F7"/>
    <w:rsid w:val="00EF5B76"/>
    <w:rsid w:val="00F02299"/>
    <w:rsid w:val="00F07814"/>
    <w:rsid w:val="00F1043B"/>
    <w:rsid w:val="00F11F71"/>
    <w:rsid w:val="00F1495F"/>
    <w:rsid w:val="00F21452"/>
    <w:rsid w:val="00F228FE"/>
    <w:rsid w:val="00F255ED"/>
    <w:rsid w:val="00F269B5"/>
    <w:rsid w:val="00F35284"/>
    <w:rsid w:val="00F3656A"/>
    <w:rsid w:val="00F4295F"/>
    <w:rsid w:val="00F44183"/>
    <w:rsid w:val="00F47FD9"/>
    <w:rsid w:val="00F517CA"/>
    <w:rsid w:val="00F51A5A"/>
    <w:rsid w:val="00F55920"/>
    <w:rsid w:val="00F60C3B"/>
    <w:rsid w:val="00F72014"/>
    <w:rsid w:val="00F7284C"/>
    <w:rsid w:val="00F74637"/>
    <w:rsid w:val="00F74C61"/>
    <w:rsid w:val="00F75B4A"/>
    <w:rsid w:val="00F82637"/>
    <w:rsid w:val="00F8317A"/>
    <w:rsid w:val="00F83A27"/>
    <w:rsid w:val="00F858E8"/>
    <w:rsid w:val="00F92387"/>
    <w:rsid w:val="00F93081"/>
    <w:rsid w:val="00F93964"/>
    <w:rsid w:val="00F95149"/>
    <w:rsid w:val="00F9618B"/>
    <w:rsid w:val="00FA0133"/>
    <w:rsid w:val="00FA0596"/>
    <w:rsid w:val="00FA5957"/>
    <w:rsid w:val="00FB5640"/>
    <w:rsid w:val="00FC3E2B"/>
    <w:rsid w:val="00FC3F62"/>
    <w:rsid w:val="00FD5383"/>
    <w:rsid w:val="00FD7C0E"/>
    <w:rsid w:val="00FE0BFD"/>
    <w:rsid w:val="00FE3FF8"/>
    <w:rsid w:val="00FE624A"/>
    <w:rsid w:val="00FE6E97"/>
    <w:rsid w:val="00FE7D1E"/>
    <w:rsid w:val="00FF0428"/>
    <w:rsid w:val="00FF1D43"/>
    <w:rsid w:val="00FF2D7C"/>
    <w:rsid w:val="00FF60C9"/>
    <w:rsid w:val="00FF60D2"/>
    <w:rsid w:val="00FF6C4F"/>
    <w:rsid w:val="00FF73C1"/>
    <w:rsid w:val="020524F5"/>
    <w:rsid w:val="02C15A0B"/>
    <w:rsid w:val="0A21680E"/>
    <w:rsid w:val="101A23EB"/>
    <w:rsid w:val="10DD46B8"/>
    <w:rsid w:val="1279795D"/>
    <w:rsid w:val="15981831"/>
    <w:rsid w:val="16C849EF"/>
    <w:rsid w:val="17AD397B"/>
    <w:rsid w:val="1FA53C11"/>
    <w:rsid w:val="246E1DA9"/>
    <w:rsid w:val="265F40BE"/>
    <w:rsid w:val="27541198"/>
    <w:rsid w:val="2B870FC9"/>
    <w:rsid w:val="2F1803D1"/>
    <w:rsid w:val="335602C3"/>
    <w:rsid w:val="373C7A4F"/>
    <w:rsid w:val="3D205459"/>
    <w:rsid w:val="3E0F72E7"/>
    <w:rsid w:val="405F786F"/>
    <w:rsid w:val="4062290B"/>
    <w:rsid w:val="43E10E72"/>
    <w:rsid w:val="46471F97"/>
    <w:rsid w:val="4BE2478D"/>
    <w:rsid w:val="4C0D2254"/>
    <w:rsid w:val="4C975461"/>
    <w:rsid w:val="4E286B25"/>
    <w:rsid w:val="4F2F7295"/>
    <w:rsid w:val="50105E33"/>
    <w:rsid w:val="50617644"/>
    <w:rsid w:val="516D3763"/>
    <w:rsid w:val="564748A2"/>
    <w:rsid w:val="5D6B3E61"/>
    <w:rsid w:val="6A475748"/>
    <w:rsid w:val="79CD3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9"/>
    <w:pPr>
      <w:keepNext/>
      <w:keepLines/>
      <w:spacing w:before="340" w:after="330" w:line="576" w:lineRule="auto"/>
      <w:outlineLvl w:val="0"/>
    </w:pPr>
    <w:rPr>
      <w:rFonts w:ascii="Calibri" w:hAnsi="Calibri" w:eastAsia="宋体" w:cs="黑体"/>
      <w:b/>
      <w:bCs/>
      <w:kern w:val="44"/>
      <w:sz w:val="44"/>
      <w:szCs w:val="44"/>
    </w:rPr>
  </w:style>
  <w:style w:type="paragraph" w:styleId="3">
    <w:name w:val="heading 2"/>
    <w:basedOn w:val="1"/>
    <w:next w:val="1"/>
    <w:link w:val="40"/>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76"/>
    <w:semiHidden/>
    <w:unhideWhenUsed/>
    <w:qFormat/>
    <w:uiPriority w:val="9"/>
    <w:pPr>
      <w:keepNext/>
      <w:keepLines/>
      <w:spacing w:before="260" w:after="260" w:line="416" w:lineRule="auto"/>
      <w:outlineLvl w:val="2"/>
    </w:pPr>
    <w:rPr>
      <w:b/>
      <w:bCs/>
      <w:sz w:val="32"/>
      <w:szCs w:val="32"/>
    </w:rPr>
  </w:style>
  <w:style w:type="paragraph" w:styleId="5">
    <w:name w:val="heading 6"/>
    <w:basedOn w:val="1"/>
    <w:next w:val="1"/>
    <w:link w:val="75"/>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6">
    <w:name w:val="Normal Indent"/>
    <w:basedOn w:val="1"/>
    <w:link w:val="42"/>
    <w:qFormat/>
    <w:uiPriority w:val="99"/>
    <w:pPr>
      <w:widowControl/>
      <w:spacing w:line="360" w:lineRule="auto"/>
      <w:ind w:firstLine="200" w:firstLineChars="200"/>
      <w:jc w:val="left"/>
    </w:pPr>
    <w:rPr>
      <w:rFonts w:ascii="Calibri" w:hAnsi="Calibri" w:eastAsia="宋体" w:cs="Times New Roman"/>
      <w:kern w:val="0"/>
      <w:sz w:val="24"/>
      <w:szCs w:val="20"/>
      <w:lang w:val="zh-CN"/>
    </w:rPr>
  </w:style>
  <w:style w:type="paragraph" w:styleId="7">
    <w:name w:val="caption"/>
    <w:basedOn w:val="1"/>
    <w:next w:val="1"/>
    <w:unhideWhenUsed/>
    <w:qFormat/>
    <w:uiPriority w:val="35"/>
    <w:rPr>
      <w:rFonts w:eastAsia="黑体" w:asciiTheme="majorHAnsi" w:hAnsiTheme="majorHAnsi" w:cstheme="majorBidi"/>
      <w:sz w:val="20"/>
      <w:szCs w:val="20"/>
    </w:rPr>
  </w:style>
  <w:style w:type="paragraph" w:styleId="8">
    <w:name w:val="Body Text"/>
    <w:basedOn w:val="1"/>
    <w:link w:val="44"/>
    <w:qFormat/>
    <w:uiPriority w:val="99"/>
    <w:pPr>
      <w:spacing w:after="120"/>
    </w:pPr>
  </w:style>
  <w:style w:type="paragraph" w:styleId="9">
    <w:name w:val="Plain Text"/>
    <w:basedOn w:val="1"/>
    <w:link w:val="37"/>
    <w:qFormat/>
    <w:uiPriority w:val="0"/>
    <w:rPr>
      <w:rFonts w:ascii="宋体" w:hAnsi="Courier New" w:eastAsia="宋体" w:cs="Courier New"/>
      <w:szCs w:val="21"/>
    </w:rPr>
  </w:style>
  <w:style w:type="paragraph" w:styleId="10">
    <w:name w:val="Date"/>
    <w:basedOn w:val="1"/>
    <w:next w:val="1"/>
    <w:link w:val="72"/>
    <w:qFormat/>
    <w:uiPriority w:val="99"/>
    <w:pPr>
      <w:ind w:left="100" w:leftChars="2500"/>
    </w:pPr>
    <w:rPr>
      <w:rFonts w:ascii="Calibri" w:hAnsi="Calibri" w:eastAsia="宋体" w:cs="Times New Roman"/>
      <w:szCs w:val="24"/>
    </w:rPr>
  </w:style>
  <w:style w:type="paragraph" w:styleId="11">
    <w:name w:val="Balloon Text"/>
    <w:basedOn w:val="1"/>
    <w:link w:val="25"/>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59" w:lineRule="auto"/>
      <w:jc w:val="left"/>
    </w:pPr>
    <w:rPr>
      <w:rFonts w:cs="Times New Roman"/>
      <w:kern w:val="0"/>
      <w:sz w:val="22"/>
    </w:rPr>
  </w:style>
  <w:style w:type="paragraph" w:styleId="15">
    <w:name w:val="List"/>
    <w:basedOn w:val="1"/>
    <w:qFormat/>
    <w:uiPriority w:val="99"/>
    <w:pPr>
      <w:ind w:left="200" w:hanging="200" w:hangingChars="200"/>
    </w:pPr>
    <w:rPr>
      <w:rFonts w:ascii="Calibri" w:hAnsi="Calibri" w:eastAsia="宋体" w:cs="Times New Roman"/>
      <w:szCs w:val="24"/>
    </w:rPr>
  </w:style>
  <w:style w:type="paragraph" w:styleId="16">
    <w:name w:val="Body Text 2"/>
    <w:basedOn w:val="1"/>
    <w:link w:val="43"/>
    <w:unhideWhenUsed/>
    <w:qFormat/>
    <w:uiPriority w:val="99"/>
    <w:pPr>
      <w:spacing w:after="120" w:line="480" w:lineRule="auto"/>
    </w:pPr>
    <w:rPr>
      <w:rFonts w:ascii="Times New Roman" w:hAnsi="Times New Roman" w:eastAsia="宋体" w:cs="Times New Roman"/>
      <w:szCs w:val="24"/>
    </w:rPr>
  </w:style>
  <w:style w:type="paragraph" w:styleId="17">
    <w:name w:val="Normal (Web)"/>
    <w:basedOn w:val="1"/>
    <w:unhideWhenUsed/>
    <w:qFormat/>
    <w:uiPriority w:val="99"/>
    <w:pPr>
      <w:spacing w:beforeAutospacing="1" w:afterAutospacing="1"/>
      <w:jc w:val="left"/>
    </w:pPr>
    <w:rPr>
      <w:rFonts w:ascii="Calibri" w:hAnsi="Calibri" w:eastAsia="宋体" w:cs="Times New Roman"/>
      <w:kern w:val="0"/>
      <w:sz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semiHidden/>
    <w:unhideWhenUsed/>
    <w:uiPriority w:val="99"/>
    <w:rPr>
      <w:color w:val="954F72"/>
      <w:u w:val="single"/>
    </w:rPr>
  </w:style>
  <w:style w:type="character" w:styleId="22">
    <w:name w:val="Hyperlink"/>
    <w:basedOn w:val="20"/>
    <w:unhideWhenUsed/>
    <w:qFormat/>
    <w:uiPriority w:val="99"/>
    <w:rPr>
      <w:color w:val="0000FF" w:themeColor="hyperlink"/>
      <w:u w:val="single"/>
    </w:rPr>
  </w:style>
  <w:style w:type="character" w:customStyle="1" w:styleId="23">
    <w:name w:val="页脚 Char"/>
    <w:basedOn w:val="20"/>
    <w:link w:val="12"/>
    <w:qFormat/>
    <w:uiPriority w:val="99"/>
    <w:rPr>
      <w:sz w:val="18"/>
      <w:szCs w:val="18"/>
    </w:rPr>
  </w:style>
  <w:style w:type="paragraph" w:customStyle="1" w:styleId="24">
    <w:name w:val="列出段落1"/>
    <w:basedOn w:val="1"/>
    <w:qFormat/>
    <w:uiPriority w:val="34"/>
    <w:pPr>
      <w:ind w:firstLine="420" w:firstLineChars="200"/>
    </w:pPr>
  </w:style>
  <w:style w:type="character" w:customStyle="1" w:styleId="25">
    <w:name w:val="批注框文本 Char"/>
    <w:basedOn w:val="20"/>
    <w:link w:val="11"/>
    <w:semiHidden/>
    <w:qFormat/>
    <w:uiPriority w:val="99"/>
    <w:rPr>
      <w:sz w:val="18"/>
      <w:szCs w:val="18"/>
    </w:rPr>
  </w:style>
  <w:style w:type="character" w:customStyle="1" w:styleId="26">
    <w:name w:val="页眉 Char"/>
    <w:basedOn w:val="20"/>
    <w:link w:val="13"/>
    <w:qFormat/>
    <w:uiPriority w:val="99"/>
    <w:rPr>
      <w:sz w:val="18"/>
      <w:szCs w:val="18"/>
    </w:rPr>
  </w:style>
  <w:style w:type="character" w:customStyle="1" w:styleId="27">
    <w:name w:val="font01"/>
    <w:basedOn w:val="20"/>
    <w:qFormat/>
    <w:uiPriority w:val="0"/>
    <w:rPr>
      <w:rFonts w:ascii="Helvetica" w:hAnsi="Helvetica" w:eastAsia="Helvetica" w:cs="Helvetica"/>
      <w:color w:val="000000"/>
      <w:sz w:val="16"/>
      <w:szCs w:val="16"/>
      <w:u w:val="none"/>
    </w:rPr>
  </w:style>
  <w:style w:type="character" w:customStyle="1" w:styleId="28">
    <w:name w:val="font41"/>
    <w:basedOn w:val="20"/>
    <w:qFormat/>
    <w:uiPriority w:val="0"/>
    <w:rPr>
      <w:rFonts w:hint="eastAsia" w:ascii="宋体" w:hAnsi="宋体" w:eastAsia="宋体" w:cs="宋体"/>
      <w:color w:val="000000"/>
      <w:sz w:val="16"/>
      <w:szCs w:val="16"/>
      <w:u w:val="none"/>
    </w:rPr>
  </w:style>
  <w:style w:type="character" w:customStyle="1" w:styleId="29">
    <w:name w:val="font11"/>
    <w:basedOn w:val="20"/>
    <w:qFormat/>
    <w:uiPriority w:val="0"/>
    <w:rPr>
      <w:rFonts w:hint="default" w:ascii="Times New Roman" w:hAnsi="Times New Roman" w:cs="Times New Roman"/>
      <w:color w:val="000000"/>
      <w:sz w:val="16"/>
      <w:szCs w:val="16"/>
      <w:u w:val="none"/>
    </w:rPr>
  </w:style>
  <w:style w:type="character" w:customStyle="1" w:styleId="30">
    <w:name w:val="font21"/>
    <w:basedOn w:val="20"/>
    <w:qFormat/>
    <w:uiPriority w:val="0"/>
    <w:rPr>
      <w:rFonts w:ascii="Helvetica" w:hAnsi="Helvetica" w:eastAsia="Helvetica" w:cs="Helvetica"/>
      <w:color w:val="000000"/>
      <w:sz w:val="16"/>
      <w:szCs w:val="16"/>
      <w:u w:val="none"/>
    </w:rPr>
  </w:style>
  <w:style w:type="character" w:customStyle="1" w:styleId="31">
    <w:name w:val="font51"/>
    <w:basedOn w:val="20"/>
    <w:qFormat/>
    <w:uiPriority w:val="0"/>
    <w:rPr>
      <w:rFonts w:hint="eastAsia" w:ascii="宋体" w:hAnsi="宋体" w:eastAsia="宋体" w:cs="宋体"/>
      <w:color w:val="000000"/>
      <w:sz w:val="16"/>
      <w:szCs w:val="16"/>
      <w:u w:val="none"/>
    </w:rPr>
  </w:style>
  <w:style w:type="character" w:customStyle="1" w:styleId="32">
    <w:name w:val="font31"/>
    <w:basedOn w:val="20"/>
    <w:qFormat/>
    <w:uiPriority w:val="0"/>
    <w:rPr>
      <w:rFonts w:hint="eastAsia" w:ascii="宋体" w:hAnsi="宋体" w:eastAsia="宋体" w:cs="宋体"/>
      <w:color w:val="000000"/>
      <w:sz w:val="16"/>
      <w:szCs w:val="16"/>
      <w:u w:val="none"/>
    </w:rPr>
  </w:style>
  <w:style w:type="character" w:customStyle="1" w:styleId="33">
    <w:name w:val="font61"/>
    <w:basedOn w:val="20"/>
    <w:qFormat/>
    <w:uiPriority w:val="0"/>
    <w:rPr>
      <w:rFonts w:hint="eastAsia" w:ascii="宋体" w:hAnsi="宋体" w:eastAsia="宋体" w:cs="宋体"/>
      <w:color w:val="000000"/>
      <w:sz w:val="16"/>
      <w:szCs w:val="16"/>
      <w:u w:val="none"/>
    </w:rPr>
  </w:style>
  <w:style w:type="character" w:customStyle="1" w:styleId="34">
    <w:name w:val="font71"/>
    <w:basedOn w:val="20"/>
    <w:qFormat/>
    <w:uiPriority w:val="0"/>
    <w:rPr>
      <w:rFonts w:ascii="Helvetica" w:hAnsi="Helvetica" w:eastAsia="Helvetica" w:cs="Helvetica"/>
      <w:color w:val="000000"/>
      <w:sz w:val="16"/>
      <w:szCs w:val="16"/>
      <w:u w:val="none"/>
    </w:rPr>
  </w:style>
  <w:style w:type="character" w:customStyle="1" w:styleId="35">
    <w:name w:val="font91"/>
    <w:basedOn w:val="20"/>
    <w:qFormat/>
    <w:uiPriority w:val="0"/>
    <w:rPr>
      <w:rFonts w:hint="default" w:ascii="Times New Roman" w:hAnsi="Times New Roman" w:cs="Times New Roman"/>
      <w:color w:val="000000"/>
      <w:sz w:val="16"/>
      <w:szCs w:val="16"/>
      <w:u w:val="none"/>
    </w:rPr>
  </w:style>
  <w:style w:type="character" w:customStyle="1" w:styleId="36">
    <w:name w:val="font81"/>
    <w:basedOn w:val="20"/>
    <w:qFormat/>
    <w:uiPriority w:val="0"/>
    <w:rPr>
      <w:rFonts w:hint="eastAsia" w:ascii="宋体" w:hAnsi="宋体" w:eastAsia="宋体" w:cs="宋体"/>
      <w:color w:val="000000"/>
      <w:sz w:val="16"/>
      <w:szCs w:val="16"/>
      <w:u w:val="none"/>
    </w:rPr>
  </w:style>
  <w:style w:type="character" w:customStyle="1" w:styleId="37">
    <w:name w:val="纯文本 Char"/>
    <w:basedOn w:val="20"/>
    <w:link w:val="9"/>
    <w:qFormat/>
    <w:uiPriority w:val="0"/>
    <w:rPr>
      <w:rFonts w:ascii="宋体" w:hAnsi="Courier New" w:cs="Courier New"/>
      <w:kern w:val="2"/>
      <w:sz w:val="21"/>
      <w:szCs w:val="21"/>
    </w:rPr>
  </w:style>
  <w:style w:type="paragraph" w:styleId="38">
    <w:name w:val="List Paragraph"/>
    <w:basedOn w:val="1"/>
    <w:qFormat/>
    <w:uiPriority w:val="99"/>
    <w:pPr>
      <w:ind w:firstLine="420" w:firstLineChars="200"/>
    </w:pPr>
    <w:rPr>
      <w:rFonts w:ascii="Calibri" w:hAnsi="Calibri" w:eastAsia="宋体" w:cs="Times New Roman"/>
      <w:szCs w:val="21"/>
    </w:rPr>
  </w:style>
  <w:style w:type="character" w:customStyle="1" w:styleId="39">
    <w:name w:val="标题 1 Char"/>
    <w:basedOn w:val="20"/>
    <w:link w:val="2"/>
    <w:qFormat/>
    <w:uiPriority w:val="9"/>
    <w:rPr>
      <w:rFonts w:ascii="Calibri" w:hAnsi="Calibri" w:cs="黑体"/>
      <w:b/>
      <w:bCs/>
      <w:kern w:val="44"/>
      <w:sz w:val="44"/>
      <w:szCs w:val="44"/>
    </w:rPr>
  </w:style>
  <w:style w:type="character" w:customStyle="1" w:styleId="40">
    <w:name w:val="标题 2 Char"/>
    <w:basedOn w:val="20"/>
    <w:link w:val="3"/>
    <w:qFormat/>
    <w:uiPriority w:val="9"/>
    <w:rPr>
      <w:rFonts w:ascii="Cambria" w:hAnsi="Cambria"/>
      <w:b/>
      <w:bCs/>
      <w:kern w:val="2"/>
      <w:sz w:val="32"/>
      <w:szCs w:val="32"/>
    </w:rPr>
  </w:style>
  <w:style w:type="paragraph" w:customStyle="1" w:styleId="41">
    <w:name w:val="Defined_BodyText"/>
    <w:basedOn w:val="1"/>
    <w:qFormat/>
    <w:uiPriority w:val="0"/>
    <w:rPr>
      <w:rFonts w:ascii="Tahoma" w:hAnsi="Tahoma" w:eastAsia="宋体" w:cs="Tahoma"/>
      <w:color w:val="000000"/>
      <w:sz w:val="16"/>
      <w:szCs w:val="21"/>
    </w:rPr>
  </w:style>
  <w:style w:type="character" w:customStyle="1" w:styleId="42">
    <w:name w:val="正文缩进 Char"/>
    <w:link w:val="6"/>
    <w:qFormat/>
    <w:locked/>
    <w:uiPriority w:val="99"/>
    <w:rPr>
      <w:rFonts w:ascii="Calibri" w:hAnsi="Calibri"/>
      <w:sz w:val="24"/>
      <w:lang w:val="zh-CN"/>
    </w:rPr>
  </w:style>
  <w:style w:type="character" w:customStyle="1" w:styleId="43">
    <w:name w:val="正文文本 2 Char"/>
    <w:basedOn w:val="20"/>
    <w:link w:val="16"/>
    <w:uiPriority w:val="99"/>
    <w:rPr>
      <w:kern w:val="2"/>
      <w:sz w:val="21"/>
      <w:szCs w:val="24"/>
    </w:rPr>
  </w:style>
  <w:style w:type="character" w:customStyle="1" w:styleId="44">
    <w:name w:val="正文文本 Char"/>
    <w:basedOn w:val="20"/>
    <w:link w:val="8"/>
    <w:qFormat/>
    <w:uiPriority w:val="99"/>
    <w:rPr>
      <w:rFonts w:asciiTheme="minorHAnsi" w:hAnsiTheme="minorHAnsi" w:eastAsiaTheme="minorEastAsia" w:cstheme="minorBidi"/>
      <w:kern w:val="2"/>
      <w:sz w:val="21"/>
      <w:szCs w:val="22"/>
    </w:rPr>
  </w:style>
  <w:style w:type="paragraph" w:customStyle="1" w:styleId="45">
    <w:name w:val="Table Paragraph"/>
    <w:basedOn w:val="1"/>
    <w:qFormat/>
    <w:uiPriority w:val="1"/>
    <w:rPr>
      <w:rFonts w:ascii="宋体" w:hAnsi="宋体" w:cs="宋体"/>
      <w:lang w:val="zh-CN" w:bidi="zh-CN"/>
    </w:rPr>
  </w:style>
  <w:style w:type="paragraph" w:customStyle="1" w:styleId="46">
    <w:name w:val="font5"/>
    <w:basedOn w:val="1"/>
    <w:qFormat/>
    <w:uiPriority w:val="0"/>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47">
    <w:name w:val="font6"/>
    <w:basedOn w:val="1"/>
    <w:qFormat/>
    <w:uiPriority w:val="0"/>
    <w:pPr>
      <w:widowControl/>
      <w:spacing w:before="100" w:beforeAutospacing="1" w:after="100" w:afterAutospacing="1"/>
      <w:jc w:val="left"/>
    </w:pPr>
    <w:rPr>
      <w:rFonts w:ascii="仿宋" w:hAnsi="仿宋" w:eastAsia="仿宋" w:cs="宋体"/>
      <w:b/>
      <w:bCs/>
      <w:color w:val="000000"/>
      <w:kern w:val="0"/>
      <w:sz w:val="20"/>
      <w:szCs w:val="20"/>
    </w:rPr>
  </w:style>
  <w:style w:type="paragraph" w:customStyle="1" w:styleId="48">
    <w:name w:val="font7"/>
    <w:basedOn w:val="1"/>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49">
    <w:name w:val="xl15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0"/>
      <w:szCs w:val="20"/>
    </w:rPr>
  </w:style>
  <w:style w:type="paragraph" w:customStyle="1" w:styleId="50">
    <w:name w:val="xl16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color w:val="000000"/>
      <w:kern w:val="0"/>
      <w:sz w:val="20"/>
      <w:szCs w:val="20"/>
    </w:rPr>
  </w:style>
  <w:style w:type="paragraph" w:customStyle="1" w:styleId="51">
    <w:name w:val="xl16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0"/>
      <w:szCs w:val="20"/>
    </w:rPr>
  </w:style>
  <w:style w:type="paragraph" w:customStyle="1" w:styleId="52">
    <w:name w:val="xl16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0"/>
      <w:szCs w:val="20"/>
    </w:rPr>
  </w:style>
  <w:style w:type="paragraph" w:customStyle="1" w:styleId="53">
    <w:name w:val="xl16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 w:hAnsi="仿宋" w:eastAsia="仿宋" w:cs="宋体"/>
      <w:b/>
      <w:bCs/>
      <w:color w:val="000000"/>
      <w:kern w:val="0"/>
      <w:sz w:val="20"/>
      <w:szCs w:val="20"/>
    </w:rPr>
  </w:style>
  <w:style w:type="paragraph" w:customStyle="1" w:styleId="54">
    <w:name w:val="xl1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0"/>
      <w:szCs w:val="20"/>
    </w:rPr>
  </w:style>
  <w:style w:type="paragraph" w:customStyle="1" w:styleId="55">
    <w:name w:val="xl1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56">
    <w:name w:val="xl1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57">
    <w:name w:val="xl16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color w:val="000000"/>
      <w:kern w:val="0"/>
      <w:sz w:val="20"/>
      <w:szCs w:val="20"/>
    </w:rPr>
  </w:style>
  <w:style w:type="paragraph" w:customStyle="1" w:styleId="58">
    <w:name w:val="xl168"/>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color w:val="000000"/>
      <w:kern w:val="0"/>
      <w:sz w:val="20"/>
      <w:szCs w:val="20"/>
    </w:rPr>
  </w:style>
  <w:style w:type="paragraph" w:customStyle="1" w:styleId="59">
    <w:name w:val="xl169"/>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color w:val="000000"/>
      <w:kern w:val="0"/>
      <w:sz w:val="20"/>
      <w:szCs w:val="20"/>
    </w:rPr>
  </w:style>
  <w:style w:type="paragraph" w:customStyle="1" w:styleId="60">
    <w:name w:val="xl170"/>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color w:val="000000"/>
      <w:kern w:val="0"/>
      <w:sz w:val="20"/>
      <w:szCs w:val="20"/>
    </w:rPr>
  </w:style>
  <w:style w:type="paragraph" w:customStyle="1" w:styleId="61">
    <w:name w:val="xl171"/>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20"/>
      <w:szCs w:val="20"/>
    </w:rPr>
  </w:style>
  <w:style w:type="paragraph" w:customStyle="1" w:styleId="62">
    <w:name w:val="xl172"/>
    <w:basedOn w:val="1"/>
    <w:uiPriority w:val="0"/>
    <w:pPr>
      <w:widowControl/>
      <w:pBdr>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20"/>
      <w:szCs w:val="20"/>
    </w:rPr>
  </w:style>
  <w:style w:type="paragraph" w:customStyle="1" w:styleId="63">
    <w:name w:val="xl173"/>
    <w:basedOn w:val="1"/>
    <w:uiPriority w:val="0"/>
    <w:pPr>
      <w:widowControl/>
      <w:pBdr>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64">
    <w:name w:val="xl174"/>
    <w:basedOn w:val="1"/>
    <w:qFormat/>
    <w:uiPriority w:val="0"/>
    <w:pPr>
      <w:widowControl/>
      <w:pBdr>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paragraph" w:customStyle="1" w:styleId="65">
    <w:name w:val="xl175"/>
    <w:basedOn w:val="1"/>
    <w:uiPriority w:val="0"/>
    <w:pPr>
      <w:widowControl/>
      <w:pBdr>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20"/>
      <w:szCs w:val="20"/>
    </w:rPr>
  </w:style>
  <w:style w:type="paragraph" w:customStyle="1" w:styleId="66">
    <w:name w:val="xl17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color w:val="000000"/>
      <w:kern w:val="0"/>
      <w:sz w:val="20"/>
      <w:szCs w:val="20"/>
    </w:rPr>
  </w:style>
  <w:style w:type="paragraph" w:customStyle="1" w:styleId="67">
    <w:name w:val="xl17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 w:hAnsi="仿宋" w:eastAsia="仿宋" w:cs="宋体"/>
      <w:b/>
      <w:bCs/>
      <w:color w:val="000000"/>
      <w:kern w:val="0"/>
      <w:sz w:val="20"/>
      <w:szCs w:val="20"/>
    </w:rPr>
  </w:style>
  <w:style w:type="paragraph" w:customStyle="1" w:styleId="68">
    <w:name w:val="xl178"/>
    <w:basedOn w:val="1"/>
    <w:uiPriority w:val="0"/>
    <w:pPr>
      <w:widowControl/>
      <w:shd w:val="clear" w:color="000000" w:fill="FFFFFF"/>
      <w:spacing w:before="100" w:beforeAutospacing="1" w:after="100" w:afterAutospacing="1"/>
      <w:jc w:val="center"/>
      <w:textAlignment w:val="center"/>
    </w:pPr>
    <w:rPr>
      <w:rFonts w:ascii="仿宋" w:hAnsi="仿宋" w:eastAsia="仿宋" w:cs="宋体"/>
      <w:b/>
      <w:bCs/>
      <w:color w:val="000000"/>
      <w:kern w:val="0"/>
      <w:sz w:val="32"/>
      <w:szCs w:val="32"/>
    </w:rPr>
  </w:style>
  <w:style w:type="paragraph" w:customStyle="1" w:styleId="69">
    <w:name w:val="xl179"/>
    <w:basedOn w:val="1"/>
    <w:uiPriority w:val="0"/>
    <w:pPr>
      <w:widowControl/>
      <w:shd w:val="clear" w:color="000000" w:fill="FFFFFF"/>
      <w:spacing w:before="100" w:beforeAutospacing="1" w:after="100" w:afterAutospacing="1"/>
      <w:jc w:val="center"/>
      <w:textAlignment w:val="center"/>
    </w:pPr>
    <w:rPr>
      <w:rFonts w:ascii="仿宋" w:hAnsi="仿宋" w:eastAsia="仿宋" w:cs="宋体"/>
      <w:b/>
      <w:bCs/>
      <w:kern w:val="0"/>
      <w:sz w:val="32"/>
      <w:szCs w:val="32"/>
    </w:rPr>
  </w:style>
  <w:style w:type="paragraph" w:customStyle="1" w:styleId="70">
    <w:name w:val="xl180"/>
    <w:basedOn w:val="1"/>
    <w:uiPriority w:val="0"/>
    <w:pPr>
      <w:widowControl/>
      <w:shd w:val="clear" w:color="000000" w:fill="FFFFFF"/>
      <w:spacing w:before="100" w:beforeAutospacing="1" w:after="100" w:afterAutospacing="1"/>
      <w:jc w:val="center"/>
      <w:textAlignment w:val="center"/>
    </w:pPr>
    <w:rPr>
      <w:rFonts w:ascii="仿宋" w:hAnsi="仿宋" w:eastAsia="仿宋" w:cs="宋体"/>
      <w:b/>
      <w:bCs/>
      <w:color w:val="000000"/>
      <w:kern w:val="0"/>
      <w:sz w:val="32"/>
      <w:szCs w:val="32"/>
    </w:rPr>
  </w:style>
  <w:style w:type="paragraph" w:customStyle="1" w:styleId="71">
    <w:name w:val="样式4"/>
    <w:basedOn w:val="1"/>
    <w:qFormat/>
    <w:uiPriority w:val="99"/>
    <w:pPr>
      <w:numPr>
        <w:ilvl w:val="0"/>
        <w:numId w:val="1"/>
      </w:numPr>
      <w:spacing w:line="500" w:lineRule="exact"/>
      <w:jc w:val="left"/>
    </w:pPr>
    <w:rPr>
      <w:rFonts w:ascii="宋体" w:hAnsi="宋体" w:eastAsia="宋体" w:cs="Times New Roman"/>
      <w:b/>
      <w:bCs/>
      <w:color w:val="000000"/>
      <w:sz w:val="24"/>
      <w:szCs w:val="24"/>
    </w:rPr>
  </w:style>
  <w:style w:type="character" w:customStyle="1" w:styleId="72">
    <w:name w:val="日期 Char"/>
    <w:basedOn w:val="20"/>
    <w:link w:val="10"/>
    <w:qFormat/>
    <w:uiPriority w:val="99"/>
    <w:rPr>
      <w:rFonts w:ascii="Calibri" w:hAnsi="Calibri"/>
      <w:kern w:val="2"/>
      <w:sz w:val="21"/>
      <w:szCs w:val="24"/>
    </w:rPr>
  </w:style>
  <w:style w:type="paragraph" w:customStyle="1" w:styleId="73">
    <w:name w:val="3级标题"/>
    <w:basedOn w:val="1"/>
    <w:qFormat/>
    <w:uiPriority w:val="99"/>
    <w:pPr>
      <w:keepLines/>
      <w:widowControl/>
      <w:numPr>
        <w:ilvl w:val="2"/>
        <w:numId w:val="2"/>
      </w:numPr>
      <w:spacing w:before="120" w:after="120" w:line="360" w:lineRule="auto"/>
      <w:contextualSpacing/>
      <w:jc w:val="left"/>
      <w:outlineLvl w:val="2"/>
    </w:pPr>
    <w:rPr>
      <w:rFonts w:ascii="Calibri" w:hAnsi="Calibri" w:eastAsia="宋体" w:cs="Times New Roman"/>
      <w:b/>
      <w:kern w:val="0"/>
      <w:sz w:val="32"/>
      <w:szCs w:val="36"/>
      <w:lang w:eastAsia="en-US"/>
    </w:rPr>
  </w:style>
  <w:style w:type="paragraph" w:customStyle="1" w:styleId="74">
    <w:name w:val="样式 标题 6 + 黑色"/>
    <w:basedOn w:val="5"/>
    <w:next w:val="45"/>
    <w:qFormat/>
    <w:uiPriority w:val="99"/>
    <w:pPr>
      <w:numPr>
        <w:ilvl w:val="5"/>
        <w:numId w:val="2"/>
      </w:numPr>
      <w:adjustRightInd w:val="0"/>
      <w:spacing w:before="120" w:after="60" w:line="320" w:lineRule="atLeast"/>
      <w:jc w:val="left"/>
      <w:textAlignment w:val="baseline"/>
    </w:pPr>
    <w:rPr>
      <w:rFonts w:ascii="Arial" w:hAnsi="Arial" w:eastAsia="宋体" w:cs="Times New Roman"/>
      <w:color w:val="000000"/>
      <w:kern w:val="0"/>
      <w:sz w:val="28"/>
    </w:rPr>
  </w:style>
  <w:style w:type="character" w:customStyle="1" w:styleId="75">
    <w:name w:val="标题 6 Char"/>
    <w:basedOn w:val="20"/>
    <w:link w:val="5"/>
    <w:semiHidden/>
    <w:uiPriority w:val="9"/>
    <w:rPr>
      <w:rFonts w:asciiTheme="majorHAnsi" w:hAnsiTheme="majorHAnsi" w:eastAsiaTheme="majorEastAsia" w:cstheme="majorBidi"/>
      <w:b/>
      <w:bCs/>
      <w:kern w:val="2"/>
      <w:sz w:val="24"/>
      <w:szCs w:val="24"/>
    </w:rPr>
  </w:style>
  <w:style w:type="character" w:customStyle="1" w:styleId="76">
    <w:name w:val="标题 3 Char"/>
    <w:basedOn w:val="20"/>
    <w:link w:val="4"/>
    <w:semiHidden/>
    <w:uiPriority w:val="9"/>
    <w:rPr>
      <w:rFonts w:asciiTheme="minorHAnsi" w:hAnsiTheme="minorHAnsi" w:eastAsiaTheme="minorEastAsia" w:cstheme="minorBidi"/>
      <w:b/>
      <w:bCs/>
      <w:kern w:val="2"/>
      <w:sz w:val="32"/>
      <w:szCs w:val="32"/>
    </w:rPr>
  </w:style>
  <w:style w:type="paragraph" w:customStyle="1" w:styleId="77">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78">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8DDDD6-34C9-41C2-AA6E-5DB6746F18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17785</Words>
  <Characters>19404</Characters>
  <Lines>156</Lines>
  <Paragraphs>43</Paragraphs>
  <TotalTime>712</TotalTime>
  <ScaleCrop>false</ScaleCrop>
  <LinksUpToDate>false</LinksUpToDate>
  <CharactersWithSpaces>20055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lenovo</cp:lastModifiedBy>
  <cp:lastPrinted>2022-04-11T08:54:00Z</cp:lastPrinted>
  <dcterms:modified xsi:type="dcterms:W3CDTF">2022-04-18T02:26:59Z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02155A93086F43D1AFF86171906D0B6E</vt:lpwstr>
  </property>
</Properties>
</file>