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22"/>
        </w:tabs>
        <w:spacing w:line="360" w:lineRule="auto"/>
        <w:rPr>
          <w:rFonts w:ascii="黑体" w:hAnsi="黑体" w:eastAsia="黑体" w:cs="Times New Roman"/>
          <w:b/>
          <w:bCs/>
          <w:color w:val="000000"/>
          <w:sz w:val="72"/>
          <w:szCs w:val="48"/>
        </w:rPr>
      </w:pPr>
      <w:r>
        <w:rPr>
          <w:rFonts w:hint="eastAsia" w:ascii="黑体" w:hAnsi="黑体" w:eastAsia="黑体" w:cs="Times New Roman"/>
          <w:b/>
          <w:bCs/>
          <w:color w:val="000000"/>
          <w:sz w:val="72"/>
          <w:szCs w:val="48"/>
        </w:rPr>
        <w:t xml:space="preserve">                          </w:t>
      </w:r>
    </w:p>
    <w:p>
      <w:pPr>
        <w:pStyle w:val="8"/>
        <w:rPr>
          <w:color w:val="000000"/>
        </w:rPr>
      </w:pPr>
      <w:r>
        <w:rPr>
          <w:rFonts w:hint="eastAsia"/>
          <w:color w:val="000000"/>
        </w:rPr>
        <w:t xml:space="preserve"> </w:t>
      </w:r>
    </w:p>
    <w:p>
      <w:pPr>
        <w:spacing w:after="312" w:afterLines="100"/>
        <w:jc w:val="center"/>
        <w:rPr>
          <w:rFonts w:ascii="黑体" w:hAnsi="黑体" w:eastAsia="黑体" w:cs="Times New Roman"/>
          <w:b/>
          <w:bCs/>
          <w:color w:val="000000"/>
          <w:sz w:val="96"/>
          <w:szCs w:val="96"/>
        </w:rPr>
      </w:pPr>
      <w:r>
        <w:rPr>
          <w:rFonts w:hint="eastAsia" w:ascii="黑体" w:hAnsi="黑体" w:eastAsia="黑体" w:cs="Times New Roman"/>
          <w:b/>
          <w:bCs/>
          <w:color w:val="000000"/>
          <w:sz w:val="96"/>
          <w:szCs w:val="96"/>
        </w:rPr>
        <w:t>阳新县县级政府采购</w:t>
      </w:r>
    </w:p>
    <w:p>
      <w:pPr>
        <w:spacing w:after="312" w:afterLines="100"/>
        <w:rPr>
          <w:color w:val="000000"/>
        </w:rPr>
      </w:pPr>
    </w:p>
    <w:p>
      <w:pPr>
        <w:spacing w:after="312" w:afterLines="100"/>
        <w:jc w:val="center"/>
        <w:rPr>
          <w:rFonts w:ascii="黑体" w:hAnsi="黑体" w:eastAsia="黑体" w:cs="Times New Roman"/>
          <w:b/>
          <w:bCs/>
          <w:color w:val="000000"/>
          <w:sz w:val="96"/>
          <w:szCs w:val="96"/>
        </w:rPr>
      </w:pPr>
      <w:r>
        <w:rPr>
          <w:rFonts w:hint="eastAsia" w:ascii="黑体" w:hAnsi="黑体" w:eastAsia="黑体" w:cs="Times New Roman"/>
          <w:b/>
          <w:bCs/>
          <w:color w:val="000000"/>
          <w:sz w:val="96"/>
          <w:szCs w:val="96"/>
        </w:rPr>
        <w:t>招 标 文 件</w:t>
      </w:r>
    </w:p>
    <w:p>
      <w:pPr>
        <w:tabs>
          <w:tab w:val="left" w:pos="8222"/>
        </w:tabs>
        <w:spacing w:line="360" w:lineRule="auto"/>
        <w:rPr>
          <w:rFonts w:ascii="黑体" w:hAnsi="黑体" w:eastAsia="黑体" w:cs="Times New Roman"/>
          <w:b/>
          <w:bCs/>
          <w:color w:val="000000"/>
          <w:sz w:val="72"/>
          <w:szCs w:val="48"/>
        </w:rPr>
      </w:pPr>
    </w:p>
    <w:p>
      <w:pPr>
        <w:tabs>
          <w:tab w:val="left" w:pos="8222"/>
        </w:tabs>
        <w:spacing w:line="360" w:lineRule="auto"/>
        <w:jc w:val="center"/>
        <w:rPr>
          <w:rFonts w:ascii="黑体" w:hAnsi="黑体" w:eastAsia="黑体" w:cs="Times New Roman"/>
          <w:b/>
          <w:bCs/>
          <w:color w:val="000000"/>
          <w:sz w:val="72"/>
          <w:szCs w:val="48"/>
        </w:rPr>
      </w:pPr>
    </w:p>
    <w:p>
      <w:pPr>
        <w:tabs>
          <w:tab w:val="left" w:pos="8222"/>
        </w:tabs>
        <w:spacing w:line="360" w:lineRule="auto"/>
        <w:ind w:firstLine="1401" w:firstLineChars="436"/>
        <w:rPr>
          <w:rFonts w:hint="default" w:ascii="仿宋" w:hAnsi="仿宋" w:eastAsia="黑体" w:cs="仿宋"/>
          <w:color w:val="000000"/>
          <w:sz w:val="32"/>
          <w:szCs w:val="32"/>
          <w:lang w:val="en-US" w:eastAsia="zh-CN"/>
        </w:rPr>
      </w:pPr>
      <w:r>
        <w:rPr>
          <w:rFonts w:hint="eastAsia" w:ascii="黑体" w:hAnsi="黑体" w:eastAsia="黑体"/>
          <w:b/>
          <w:color w:val="000000"/>
          <w:sz w:val="32"/>
        </w:rPr>
        <w:t>项目编号：</w:t>
      </w:r>
      <w:r>
        <w:rPr>
          <w:rFonts w:hint="eastAsia" w:ascii="黑体" w:hAnsi="黑体" w:eastAsia="黑体"/>
          <w:b/>
          <w:sz w:val="32"/>
        </w:rPr>
        <w:t>131-2022CG-</w:t>
      </w:r>
      <w:r>
        <w:rPr>
          <w:rFonts w:hint="eastAsia" w:ascii="黑体" w:hAnsi="黑体" w:eastAsia="黑体"/>
          <w:b/>
          <w:sz w:val="32"/>
          <w:lang w:val="en-US" w:eastAsia="zh-CN"/>
        </w:rPr>
        <w:t>092</w:t>
      </w:r>
    </w:p>
    <w:p>
      <w:pPr>
        <w:spacing w:line="360" w:lineRule="auto"/>
        <w:ind w:left="3000" w:leftChars="664" w:hanging="1606" w:hangingChars="500"/>
        <w:rPr>
          <w:rFonts w:ascii="黑体" w:hAnsi="黑体" w:eastAsia="黑体"/>
          <w:b/>
          <w:color w:val="000000"/>
          <w:sz w:val="32"/>
        </w:rPr>
      </w:pPr>
      <w:r>
        <w:rPr>
          <w:rFonts w:hint="eastAsia" w:ascii="黑体" w:hAnsi="黑体" w:eastAsia="黑体"/>
          <w:b/>
          <w:color w:val="000000"/>
          <w:sz w:val="32"/>
        </w:rPr>
        <w:t>项目名称：</w:t>
      </w:r>
      <w:r>
        <w:rPr>
          <w:rFonts w:hint="eastAsia" w:ascii="仿宋" w:hAnsi="仿宋" w:eastAsia="仿宋" w:cs="仿宋"/>
          <w:color w:val="000000"/>
          <w:sz w:val="32"/>
          <w:szCs w:val="32"/>
        </w:rPr>
        <w:t>阳新县中医医院中医康复设备一批采购项目</w:t>
      </w:r>
    </w:p>
    <w:p>
      <w:pPr>
        <w:spacing w:line="360" w:lineRule="auto"/>
        <w:ind w:firstLine="1401" w:firstLineChars="436"/>
        <w:rPr>
          <w:rFonts w:ascii="仿宋" w:hAnsi="仿宋" w:eastAsia="仿宋" w:cs="仿宋"/>
          <w:color w:val="000000"/>
          <w:sz w:val="32"/>
          <w:szCs w:val="32"/>
        </w:rPr>
      </w:pPr>
      <w:r>
        <w:rPr>
          <w:rFonts w:hint="eastAsia" w:ascii="黑体" w:hAnsi="黑体" w:eastAsia="黑体"/>
          <w:b/>
          <w:color w:val="000000"/>
          <w:sz w:val="32"/>
        </w:rPr>
        <w:t>招标内容：</w:t>
      </w:r>
      <w:r>
        <w:rPr>
          <w:rFonts w:hint="eastAsia" w:ascii="仿宋" w:hAnsi="仿宋" w:eastAsia="仿宋" w:cs="仿宋"/>
          <w:color w:val="000000"/>
          <w:sz w:val="32"/>
          <w:szCs w:val="32"/>
        </w:rPr>
        <w:t>子午流注低频治疗仪采购</w:t>
      </w:r>
    </w:p>
    <w:p>
      <w:pPr>
        <w:spacing w:line="360" w:lineRule="auto"/>
        <w:ind w:left="2052" w:leftChars="619" w:right="1306" w:rightChars="622" w:hanging="752" w:hangingChars="209"/>
        <w:rPr>
          <w:rFonts w:ascii="宋体" w:hAnsi="宋体" w:cs="Times New Roman"/>
          <w:color w:val="000000"/>
          <w:sz w:val="36"/>
          <w:szCs w:val="36"/>
        </w:rPr>
      </w:pPr>
    </w:p>
    <w:p>
      <w:pPr>
        <w:spacing w:line="360" w:lineRule="auto"/>
        <w:ind w:left="2052" w:leftChars="619" w:right="1306" w:rightChars="622" w:hanging="752" w:hangingChars="209"/>
        <w:rPr>
          <w:rFonts w:ascii="宋体" w:hAnsi="宋体" w:cs="Times New Roman"/>
          <w:color w:val="000000"/>
          <w:sz w:val="36"/>
          <w:szCs w:val="36"/>
        </w:rPr>
      </w:pPr>
    </w:p>
    <w:p>
      <w:pPr>
        <w:spacing w:line="360" w:lineRule="auto"/>
        <w:ind w:right="1306" w:rightChars="622"/>
        <w:rPr>
          <w:rFonts w:ascii="宋体" w:hAnsi="宋体" w:cs="Times New Roman"/>
          <w:color w:val="000000"/>
          <w:sz w:val="36"/>
          <w:szCs w:val="36"/>
        </w:rPr>
      </w:pPr>
    </w:p>
    <w:p>
      <w:pPr>
        <w:spacing w:line="360" w:lineRule="auto"/>
        <w:ind w:right="1306" w:rightChars="622"/>
        <w:rPr>
          <w:rFonts w:ascii="宋体" w:hAnsi="宋体" w:cs="Times New Roman"/>
          <w:color w:val="000000"/>
          <w:sz w:val="36"/>
          <w:szCs w:val="36"/>
        </w:rPr>
      </w:pPr>
    </w:p>
    <w:p>
      <w:pPr>
        <w:spacing w:line="360" w:lineRule="auto"/>
        <w:jc w:val="center"/>
        <w:rPr>
          <w:rFonts w:ascii="黑体" w:hAnsi="黑体" w:eastAsia="黑体"/>
          <w:b/>
          <w:bCs/>
          <w:color w:val="000000"/>
          <w:sz w:val="36"/>
          <w:szCs w:val="36"/>
        </w:rPr>
      </w:pPr>
      <w:r>
        <w:rPr>
          <w:rFonts w:hint="eastAsia" w:ascii="黑体" w:hAnsi="黑体" w:eastAsia="黑体"/>
          <w:b/>
          <w:bCs/>
          <w:color w:val="000000"/>
          <w:sz w:val="36"/>
          <w:szCs w:val="36"/>
        </w:rPr>
        <w:t>武汉安平天志工程咨询有限公司</w:t>
      </w:r>
    </w:p>
    <w:p>
      <w:pPr>
        <w:spacing w:line="360" w:lineRule="auto"/>
        <w:jc w:val="center"/>
        <w:rPr>
          <w:rFonts w:ascii="黑体" w:hAnsi="黑体" w:eastAsia="黑体"/>
          <w:b/>
          <w:bCs/>
          <w:color w:val="000000"/>
          <w:sz w:val="36"/>
          <w:szCs w:val="36"/>
        </w:rPr>
      </w:pPr>
      <w:r>
        <w:rPr>
          <w:rFonts w:hint="eastAsia" w:ascii="黑体" w:hAnsi="黑体" w:eastAsia="黑体"/>
          <w:b/>
          <w:bCs/>
          <w:color w:val="000000"/>
          <w:sz w:val="36"/>
          <w:szCs w:val="36"/>
        </w:rPr>
        <w:t>二O二二年五月</w:t>
      </w:r>
    </w:p>
    <w:p>
      <w:pPr>
        <w:spacing w:line="360" w:lineRule="auto"/>
        <w:ind w:right="1306" w:rightChars="622"/>
        <w:rPr>
          <w:rFonts w:ascii="宋体" w:hAnsi="宋体"/>
          <w:color w:val="000000"/>
          <w:sz w:val="36"/>
          <w:szCs w:val="36"/>
        </w:rPr>
      </w:pPr>
    </w:p>
    <w:p>
      <w:pPr>
        <w:spacing w:before="312" w:beforeLines="100" w:after="312" w:afterLines="100"/>
        <w:jc w:val="center"/>
        <w:rPr>
          <w:color w:val="000000"/>
          <w:sz w:val="28"/>
          <w:lang w:val="zh-CN"/>
        </w:rPr>
      </w:pPr>
      <w:r>
        <w:rPr>
          <w:rFonts w:hint="eastAsia" w:ascii="黑体" w:hAnsi="黑体" w:eastAsia="黑体"/>
          <w:b/>
          <w:color w:val="000000"/>
          <w:sz w:val="48"/>
          <w:szCs w:val="48"/>
        </w:rPr>
        <w:t>目   录</w:t>
      </w:r>
    </w:p>
    <w:p>
      <w:pPr>
        <w:pStyle w:val="18"/>
        <w:tabs>
          <w:tab w:val="right" w:leader="dot" w:pos="9524"/>
          <w:tab w:val="clear" w:pos="1176"/>
          <w:tab w:val="clear" w:pos="9514"/>
        </w:tabs>
      </w:pPr>
      <w:r>
        <w:rPr>
          <w:sz w:val="28"/>
        </w:rPr>
        <w:fldChar w:fldCharType="begin"/>
      </w:r>
      <w:r>
        <w:rPr>
          <w:sz w:val="28"/>
        </w:rPr>
        <w:instrText xml:space="preserve"> TOC \o "1-2" \h \z \u </w:instrText>
      </w:r>
      <w:r>
        <w:rPr>
          <w:sz w:val="28"/>
        </w:rPr>
        <w:fldChar w:fldCharType="separate"/>
      </w:r>
      <w:r>
        <w:fldChar w:fldCharType="begin"/>
      </w:r>
      <w:r>
        <w:instrText xml:space="preserve"> HYPERLINK \l "_Toc901" </w:instrText>
      </w:r>
      <w:r>
        <w:fldChar w:fldCharType="separate"/>
      </w:r>
      <w:r>
        <w:rPr>
          <w:rFonts w:hint="eastAsia" w:ascii="黑体" w:hAnsi="黑体"/>
        </w:rPr>
        <w:t>第一章 投标邀请书</w:t>
      </w:r>
      <w:r>
        <w:tab/>
      </w:r>
      <w:r>
        <w:fldChar w:fldCharType="begin"/>
      </w:r>
      <w:r>
        <w:instrText xml:space="preserve"> PAGEREF _Toc901 \h </w:instrText>
      </w:r>
      <w:r>
        <w:fldChar w:fldCharType="separate"/>
      </w:r>
      <w:r>
        <w:t>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"_Toc3064" </w:instrText>
      </w:r>
      <w:r>
        <w:fldChar w:fldCharType="separate"/>
      </w:r>
      <w:r>
        <w:rPr>
          <w:rFonts w:hint="eastAsia" w:ascii="宋体" w:hAnsi="宋体" w:cs="宋体"/>
          <w:szCs w:val="24"/>
        </w:rPr>
        <w:t>3.本项目不接受联合体形式的投标。</w:t>
      </w:r>
      <w:r>
        <w:tab/>
      </w:r>
      <w:r>
        <w:fldChar w:fldCharType="begin"/>
      </w:r>
      <w:r>
        <w:instrText xml:space="preserve"> PAGEREF _Toc3064 \h </w:instrText>
      </w:r>
      <w:r>
        <w:fldChar w:fldCharType="separate"/>
      </w:r>
      <w:r>
        <w:t>1</w:t>
      </w:r>
      <w:r>
        <w:fldChar w:fldCharType="end"/>
      </w:r>
      <w:r>
        <w:fldChar w:fldCharType="end"/>
      </w:r>
    </w:p>
    <w:p>
      <w:pPr>
        <w:pStyle w:val="18"/>
        <w:tabs>
          <w:tab w:val="right" w:leader="dot" w:pos="9524"/>
          <w:tab w:val="clear" w:pos="1176"/>
          <w:tab w:val="clear" w:pos="9514"/>
        </w:tabs>
      </w:pPr>
      <w:r>
        <w:fldChar w:fldCharType="begin"/>
      </w:r>
      <w:r>
        <w:instrText xml:space="preserve"> HYPERLINK \l "_Toc2906" </w:instrText>
      </w:r>
      <w:r>
        <w:fldChar w:fldCharType="separate"/>
      </w:r>
      <w:r>
        <w:rPr>
          <w:rFonts w:hint="eastAsia" w:ascii="黑体" w:hAnsi="黑体"/>
        </w:rPr>
        <w:t>第二章 投标人须知</w:t>
      </w:r>
      <w:r>
        <w:tab/>
      </w:r>
      <w:r>
        <w:fldChar w:fldCharType="begin"/>
      </w:r>
      <w:r>
        <w:instrText xml:space="preserve"> PAGEREF _Toc2906 \h </w:instrText>
      </w:r>
      <w:r>
        <w:fldChar w:fldCharType="separate"/>
      </w:r>
      <w:r>
        <w:t>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"_Toc7669" </w:instrText>
      </w:r>
      <w:r>
        <w:fldChar w:fldCharType="separate"/>
      </w:r>
      <w:r>
        <w:rPr>
          <w:rFonts w:ascii="宋体" w:hAnsi="宋体"/>
          <w:bCs/>
          <w:szCs w:val="32"/>
        </w:rPr>
        <w:t>投标须知前附表</w:t>
      </w:r>
      <w:r>
        <w:tab/>
      </w:r>
      <w:r>
        <w:fldChar w:fldCharType="begin"/>
      </w:r>
      <w:r>
        <w:instrText xml:space="preserve"> PAGEREF _Toc7669 \h </w:instrText>
      </w:r>
      <w:r>
        <w:fldChar w:fldCharType="separate"/>
      </w:r>
      <w:r>
        <w:t>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"_Toc25358" </w:instrText>
      </w:r>
      <w:r>
        <w:fldChar w:fldCharType="separate"/>
      </w:r>
      <w:r>
        <w:rPr>
          <w:rFonts w:hint="eastAsia" w:ascii="宋体" w:hAnsi="宋体"/>
          <w:szCs w:val="30"/>
        </w:rPr>
        <w:t xml:space="preserve">一、 </w:t>
      </w:r>
      <w:r>
        <w:rPr>
          <w:rFonts w:hint="eastAsia" w:ascii="宋体" w:hAnsi="宋体"/>
        </w:rPr>
        <w:t>说  明</w:t>
      </w:r>
      <w:r>
        <w:tab/>
      </w:r>
      <w:r>
        <w:fldChar w:fldCharType="begin"/>
      </w:r>
      <w:r>
        <w:instrText xml:space="preserve"> PAGEREF _Toc25358 \h </w:instrText>
      </w:r>
      <w:r>
        <w:fldChar w:fldCharType="separate"/>
      </w:r>
      <w:r>
        <w:t>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"_Toc20342" </w:instrText>
      </w:r>
      <w:r>
        <w:fldChar w:fldCharType="separate"/>
      </w:r>
      <w:r>
        <w:rPr>
          <w:rFonts w:hint="eastAsia" w:ascii="宋体" w:hAnsi="宋体"/>
          <w:szCs w:val="30"/>
        </w:rPr>
        <w:t xml:space="preserve">二、 </w:t>
      </w:r>
      <w:r>
        <w:rPr>
          <w:rFonts w:hint="eastAsia" w:ascii="宋体" w:hAnsi="宋体"/>
        </w:rPr>
        <w:t>招标文件</w:t>
      </w:r>
      <w:r>
        <w:tab/>
      </w:r>
      <w:r>
        <w:fldChar w:fldCharType="begin"/>
      </w:r>
      <w:r>
        <w:instrText xml:space="preserve"> PAGEREF _Toc20342 \h </w:instrText>
      </w:r>
      <w:r>
        <w:fldChar w:fldCharType="separate"/>
      </w:r>
      <w:r>
        <w:t>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"_Toc32725" </w:instrText>
      </w:r>
      <w:r>
        <w:fldChar w:fldCharType="separate"/>
      </w:r>
      <w:r>
        <w:rPr>
          <w:rFonts w:hint="eastAsia" w:ascii="宋体" w:hAnsi="宋体"/>
          <w:szCs w:val="30"/>
        </w:rPr>
        <w:t xml:space="preserve">三、 </w:t>
      </w:r>
      <w:r>
        <w:rPr>
          <w:rFonts w:hint="eastAsia" w:ascii="宋体" w:hAnsi="宋体"/>
        </w:rPr>
        <w:t>投标文件</w:t>
      </w:r>
      <w:r>
        <w:tab/>
      </w:r>
      <w:r>
        <w:fldChar w:fldCharType="begin"/>
      </w:r>
      <w:r>
        <w:instrText xml:space="preserve"> PAGEREF _Toc32725 \h </w:instrText>
      </w:r>
      <w:r>
        <w:fldChar w:fldCharType="separate"/>
      </w:r>
      <w:r>
        <w:t>6</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"_Toc21471" </w:instrText>
      </w:r>
      <w:r>
        <w:fldChar w:fldCharType="separate"/>
      </w:r>
      <w:r>
        <w:rPr>
          <w:rFonts w:hint="eastAsia" w:ascii="宋体" w:hAnsi="宋体"/>
          <w:szCs w:val="30"/>
        </w:rPr>
        <w:t xml:space="preserve">四、 </w:t>
      </w:r>
      <w:r>
        <w:rPr>
          <w:rFonts w:hint="eastAsia" w:ascii="宋体" w:hAnsi="宋体"/>
        </w:rPr>
        <w:t>开标与评标</w:t>
      </w:r>
      <w:r>
        <w:tab/>
      </w:r>
      <w:r>
        <w:fldChar w:fldCharType="begin"/>
      </w:r>
      <w:r>
        <w:instrText xml:space="preserve"> PAGEREF _Toc21471 \h </w:instrText>
      </w:r>
      <w:r>
        <w:fldChar w:fldCharType="separate"/>
      </w:r>
      <w:r>
        <w:t>10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"_Toc5760" </w:instrText>
      </w:r>
      <w:r>
        <w:fldChar w:fldCharType="separate"/>
      </w:r>
      <w:r>
        <w:rPr>
          <w:rFonts w:hint="eastAsia" w:ascii="宋体" w:hAnsi="宋体"/>
          <w:szCs w:val="30"/>
        </w:rPr>
        <w:t xml:space="preserve">五、 </w:t>
      </w:r>
      <w:r>
        <w:rPr>
          <w:rFonts w:hint="eastAsia" w:ascii="宋体" w:hAnsi="宋体"/>
        </w:rPr>
        <w:t>投标人信用信息及查询</w:t>
      </w:r>
      <w:r>
        <w:tab/>
      </w:r>
      <w:r>
        <w:fldChar w:fldCharType="begin"/>
      </w:r>
      <w:r>
        <w:instrText xml:space="preserve"> PAGEREF _Toc5760 \h </w:instrText>
      </w:r>
      <w:r>
        <w:fldChar w:fldCharType="separate"/>
      </w:r>
      <w:r>
        <w:t>12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"_Toc2002" </w:instrText>
      </w:r>
      <w:r>
        <w:fldChar w:fldCharType="separate"/>
      </w:r>
      <w:r>
        <w:rPr>
          <w:rFonts w:hint="eastAsia" w:ascii="宋体" w:hAnsi="宋体"/>
          <w:szCs w:val="30"/>
        </w:rPr>
        <w:t xml:space="preserve">六、 </w:t>
      </w:r>
      <w:r>
        <w:rPr>
          <w:rFonts w:ascii="宋体" w:hAnsi="宋体"/>
        </w:rPr>
        <w:t>中标</w:t>
      </w:r>
      <w:r>
        <w:rPr>
          <w:rFonts w:hint="eastAsia" w:ascii="宋体" w:hAnsi="宋体"/>
        </w:rPr>
        <w:t>与</w:t>
      </w:r>
      <w:r>
        <w:rPr>
          <w:rFonts w:ascii="宋体" w:hAnsi="宋体"/>
        </w:rPr>
        <w:t>合同</w:t>
      </w:r>
      <w:r>
        <w:tab/>
      </w:r>
      <w:r>
        <w:fldChar w:fldCharType="begin"/>
      </w:r>
      <w:r>
        <w:instrText xml:space="preserve"> PAGEREF _Toc2002 \h </w:instrText>
      </w:r>
      <w:r>
        <w:fldChar w:fldCharType="separate"/>
      </w:r>
      <w:r>
        <w:t>12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"_Toc26606" </w:instrText>
      </w:r>
      <w:r>
        <w:fldChar w:fldCharType="separate"/>
      </w:r>
      <w:r>
        <w:rPr>
          <w:rFonts w:hint="eastAsia" w:ascii="宋体" w:hAnsi="宋体"/>
          <w:szCs w:val="30"/>
        </w:rPr>
        <w:t xml:space="preserve">七、 </w:t>
      </w:r>
      <w:r>
        <w:rPr>
          <w:rFonts w:hint="eastAsia" w:ascii="宋体" w:hAnsi="宋体"/>
        </w:rPr>
        <w:t>采购信息公告</w:t>
      </w:r>
      <w:r>
        <w:tab/>
      </w:r>
      <w:r>
        <w:fldChar w:fldCharType="begin"/>
      </w:r>
      <w:r>
        <w:instrText xml:space="preserve"> PAGEREF _Toc26606 \h </w:instrText>
      </w:r>
      <w:r>
        <w:fldChar w:fldCharType="separate"/>
      </w:r>
      <w:r>
        <w:t>13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"_Toc19536" </w:instrText>
      </w:r>
      <w:r>
        <w:fldChar w:fldCharType="separate"/>
      </w:r>
      <w:r>
        <w:rPr>
          <w:rFonts w:hint="eastAsia" w:ascii="宋体" w:hAnsi="宋体"/>
          <w:szCs w:val="30"/>
        </w:rPr>
        <w:t xml:space="preserve">八、 </w:t>
      </w:r>
      <w:r>
        <w:rPr>
          <w:rFonts w:hint="eastAsia" w:ascii="宋体" w:hAnsi="宋体"/>
        </w:rPr>
        <w:t>质疑及提交</w:t>
      </w:r>
      <w:r>
        <w:tab/>
      </w:r>
      <w:r>
        <w:fldChar w:fldCharType="begin"/>
      </w:r>
      <w:r>
        <w:instrText xml:space="preserve"> PAGEREF _Toc19536 \h </w:instrText>
      </w:r>
      <w:r>
        <w:fldChar w:fldCharType="separate"/>
      </w:r>
      <w:r>
        <w:t>14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"_Toc28216" </w:instrText>
      </w:r>
      <w:r>
        <w:fldChar w:fldCharType="separate"/>
      </w:r>
      <w:r>
        <w:rPr>
          <w:rFonts w:hint="eastAsia" w:ascii="宋体" w:hAnsi="宋体"/>
          <w:szCs w:val="30"/>
        </w:rPr>
        <w:t xml:space="preserve">九、 </w:t>
      </w:r>
      <w:r>
        <w:rPr>
          <w:rFonts w:hint="eastAsia" w:ascii="宋体" w:hAnsi="宋体"/>
        </w:rPr>
        <w:t>相关条文解读</w:t>
      </w:r>
      <w:r>
        <w:tab/>
      </w:r>
      <w:r>
        <w:fldChar w:fldCharType="begin"/>
      </w:r>
      <w:r>
        <w:instrText xml:space="preserve"> PAGEREF _Toc28216 \h </w:instrText>
      </w:r>
      <w:r>
        <w:fldChar w:fldCharType="separate"/>
      </w:r>
      <w:r>
        <w:t>14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"_Toc17346" </w:instrText>
      </w:r>
      <w:r>
        <w:fldChar w:fldCharType="separate"/>
      </w:r>
      <w:r>
        <w:rPr>
          <w:rFonts w:hint="eastAsia" w:ascii="宋体" w:hAnsi="宋体"/>
          <w:szCs w:val="30"/>
        </w:rPr>
        <w:t xml:space="preserve">十、 </w:t>
      </w:r>
      <w:r>
        <w:rPr>
          <w:rFonts w:hint="eastAsia" w:ascii="宋体" w:hAnsi="宋体"/>
        </w:rPr>
        <w:t>其他注意事项</w:t>
      </w:r>
      <w:r>
        <w:tab/>
      </w:r>
      <w:r>
        <w:fldChar w:fldCharType="begin"/>
      </w:r>
      <w:r>
        <w:instrText xml:space="preserve"> PAGEREF _Toc17346 \h </w:instrText>
      </w:r>
      <w:r>
        <w:fldChar w:fldCharType="separate"/>
      </w:r>
      <w:r>
        <w:t>15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"_Toc22544" </w:instrText>
      </w:r>
      <w:r>
        <w:fldChar w:fldCharType="separate"/>
      </w:r>
      <w:r>
        <w:rPr>
          <w:rFonts w:hint="eastAsia" w:ascii="宋体" w:hAnsi="宋体"/>
          <w:szCs w:val="30"/>
        </w:rPr>
        <w:t xml:space="preserve">十一、 </w:t>
      </w:r>
      <w:r>
        <w:rPr>
          <w:rFonts w:hint="eastAsia" w:ascii="宋体" w:hAnsi="宋体"/>
        </w:rPr>
        <w:t>适用法律</w:t>
      </w:r>
      <w:r>
        <w:tab/>
      </w:r>
      <w:r>
        <w:fldChar w:fldCharType="begin"/>
      </w:r>
      <w:r>
        <w:instrText xml:space="preserve"> PAGEREF _Toc22544 \h </w:instrText>
      </w:r>
      <w:r>
        <w:fldChar w:fldCharType="separate"/>
      </w:r>
      <w:r>
        <w:t>15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"_Toc18519" </w:instrText>
      </w:r>
      <w:r>
        <w:fldChar w:fldCharType="separate"/>
      </w:r>
      <w:r>
        <w:rPr>
          <w:rFonts w:hint="eastAsia" w:ascii="宋体" w:hAnsi="宋体"/>
          <w:szCs w:val="30"/>
        </w:rPr>
        <w:t xml:space="preserve">十二、 </w:t>
      </w:r>
      <w:r>
        <w:rPr>
          <w:rFonts w:hint="eastAsia" w:ascii="宋体" w:hAnsi="宋体"/>
        </w:rPr>
        <w:t>招标文件的解释权</w:t>
      </w:r>
      <w:r>
        <w:tab/>
      </w:r>
      <w:r>
        <w:fldChar w:fldCharType="begin"/>
      </w:r>
      <w:r>
        <w:instrText xml:space="preserve"> PAGEREF _Toc18519 \h </w:instrText>
      </w:r>
      <w:r>
        <w:fldChar w:fldCharType="separate"/>
      </w:r>
      <w:r>
        <w:t>15</w:t>
      </w:r>
      <w:r>
        <w:fldChar w:fldCharType="end"/>
      </w:r>
      <w:r>
        <w:fldChar w:fldCharType="end"/>
      </w:r>
    </w:p>
    <w:p>
      <w:pPr>
        <w:pStyle w:val="18"/>
        <w:tabs>
          <w:tab w:val="right" w:leader="dot" w:pos="9524"/>
          <w:tab w:val="clear" w:pos="1176"/>
          <w:tab w:val="clear" w:pos="9514"/>
        </w:tabs>
      </w:pPr>
      <w:r>
        <w:fldChar w:fldCharType="begin"/>
      </w:r>
      <w:r>
        <w:instrText xml:space="preserve"> HYPERLINK \l "_Toc27678" </w:instrText>
      </w:r>
      <w:r>
        <w:fldChar w:fldCharType="separate"/>
      </w:r>
      <w:r>
        <w:rPr>
          <w:rFonts w:hint="eastAsia" w:ascii="黑体" w:hAnsi="黑体"/>
        </w:rPr>
        <w:t>第三章 项目技术、服务及商务要求</w:t>
      </w:r>
      <w:r>
        <w:tab/>
      </w:r>
      <w:r>
        <w:fldChar w:fldCharType="begin"/>
      </w:r>
      <w:r>
        <w:instrText xml:space="preserve"> PAGEREF _Toc27678 \h </w:instrText>
      </w:r>
      <w:r>
        <w:fldChar w:fldCharType="separate"/>
      </w:r>
      <w:r>
        <w:t>16</w:t>
      </w:r>
      <w:r>
        <w:fldChar w:fldCharType="end"/>
      </w:r>
      <w:r>
        <w:fldChar w:fldCharType="end"/>
      </w:r>
    </w:p>
    <w:p>
      <w:pPr>
        <w:pStyle w:val="18"/>
        <w:tabs>
          <w:tab w:val="right" w:leader="dot" w:pos="9524"/>
          <w:tab w:val="clear" w:pos="1176"/>
          <w:tab w:val="clear" w:pos="9514"/>
        </w:tabs>
      </w:pPr>
      <w:r>
        <w:fldChar w:fldCharType="begin"/>
      </w:r>
      <w:r>
        <w:instrText xml:space="preserve"> HYPERLINK \l "_Toc28260" </w:instrText>
      </w:r>
      <w:r>
        <w:fldChar w:fldCharType="separate"/>
      </w:r>
      <w:r>
        <w:rPr>
          <w:rFonts w:hint="eastAsia" w:ascii="黑体" w:hAnsi="黑体"/>
        </w:rPr>
        <w:t>第四章 资格审查方法及标准</w:t>
      </w:r>
      <w:r>
        <w:tab/>
      </w:r>
      <w:r>
        <w:fldChar w:fldCharType="begin"/>
      </w:r>
      <w:r>
        <w:instrText xml:space="preserve"> PAGEREF _Toc28260 \h </w:instrText>
      </w:r>
      <w:r>
        <w:fldChar w:fldCharType="separate"/>
      </w:r>
      <w:r>
        <w:t>17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"_Toc31857" </w:instrText>
      </w:r>
      <w:r>
        <w:fldChar w:fldCharType="separate"/>
      </w:r>
      <w:r>
        <w:rPr>
          <w:rFonts w:hint="eastAsia" w:ascii="宋体" w:hAnsi="宋体"/>
          <w:szCs w:val="30"/>
        </w:rPr>
        <w:t>一、 资格审查方法</w:t>
      </w:r>
      <w:r>
        <w:tab/>
      </w:r>
      <w:r>
        <w:fldChar w:fldCharType="begin"/>
      </w:r>
      <w:r>
        <w:instrText xml:space="preserve"> PAGEREF _Toc31857 \h </w:instrText>
      </w:r>
      <w:r>
        <w:fldChar w:fldCharType="separate"/>
      </w:r>
      <w:r>
        <w:t>17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"_Toc15010" </w:instrText>
      </w:r>
      <w:r>
        <w:fldChar w:fldCharType="separate"/>
      </w:r>
      <w:r>
        <w:rPr>
          <w:rFonts w:hint="eastAsia" w:ascii="宋体" w:hAnsi="宋体"/>
          <w:szCs w:val="30"/>
        </w:rPr>
        <w:t>二、 资格审查标准</w:t>
      </w:r>
      <w:r>
        <w:tab/>
      </w:r>
      <w:r>
        <w:fldChar w:fldCharType="begin"/>
      </w:r>
      <w:r>
        <w:instrText xml:space="preserve"> PAGEREF _Toc15010 \h </w:instrText>
      </w:r>
      <w:r>
        <w:fldChar w:fldCharType="separate"/>
      </w:r>
      <w:r>
        <w:t>17</w:t>
      </w:r>
      <w:r>
        <w:fldChar w:fldCharType="end"/>
      </w:r>
      <w:r>
        <w:fldChar w:fldCharType="end"/>
      </w:r>
    </w:p>
    <w:p>
      <w:pPr>
        <w:pStyle w:val="18"/>
        <w:tabs>
          <w:tab w:val="right" w:leader="dot" w:pos="9524"/>
          <w:tab w:val="clear" w:pos="1176"/>
          <w:tab w:val="clear" w:pos="9514"/>
        </w:tabs>
      </w:pPr>
      <w:r>
        <w:fldChar w:fldCharType="begin"/>
      </w:r>
      <w:r>
        <w:instrText xml:space="preserve"> HYPERLINK \l "_Toc4659" </w:instrText>
      </w:r>
      <w:r>
        <w:fldChar w:fldCharType="separate"/>
      </w:r>
      <w:r>
        <w:rPr>
          <w:rFonts w:hint="eastAsia" w:ascii="黑体" w:hAnsi="黑体"/>
        </w:rPr>
        <w:t>第五章评标方法、程序及标准</w:t>
      </w:r>
      <w:r>
        <w:tab/>
      </w:r>
      <w:r>
        <w:fldChar w:fldCharType="begin"/>
      </w:r>
      <w:r>
        <w:instrText xml:space="preserve"> PAGEREF _Toc4659 \h </w:instrText>
      </w:r>
      <w:r>
        <w:fldChar w:fldCharType="separate"/>
      </w:r>
      <w:r>
        <w:t>20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"_Toc13185" </w:instrText>
      </w:r>
      <w:r>
        <w:fldChar w:fldCharType="separate"/>
      </w:r>
      <w:r>
        <w:rPr>
          <w:rFonts w:hint="eastAsia" w:ascii="宋体" w:hAnsi="宋体" w:eastAsia="宋体"/>
          <w:szCs w:val="30"/>
        </w:rPr>
        <w:t xml:space="preserve">一、 </w:t>
      </w:r>
      <w:r>
        <w:rPr>
          <w:rFonts w:hint="eastAsia" w:ascii="宋体" w:hAnsi="宋体"/>
          <w:szCs w:val="30"/>
        </w:rPr>
        <w:t>评标方法</w:t>
      </w:r>
      <w:r>
        <w:tab/>
      </w:r>
      <w:r>
        <w:fldChar w:fldCharType="begin"/>
      </w:r>
      <w:r>
        <w:instrText xml:space="preserve"> PAGEREF _Toc13185 \h </w:instrText>
      </w:r>
      <w:r>
        <w:fldChar w:fldCharType="separate"/>
      </w:r>
      <w:r>
        <w:t>20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"_Toc31812" </w:instrText>
      </w:r>
      <w:r>
        <w:fldChar w:fldCharType="separate"/>
      </w:r>
      <w:r>
        <w:rPr>
          <w:rFonts w:hint="eastAsia" w:ascii="宋体" w:hAnsi="宋体" w:eastAsia="宋体"/>
          <w:szCs w:val="30"/>
        </w:rPr>
        <w:t xml:space="preserve">二、 </w:t>
      </w:r>
      <w:r>
        <w:rPr>
          <w:rFonts w:hint="eastAsia" w:ascii="宋体" w:hAnsi="宋体"/>
          <w:szCs w:val="30"/>
        </w:rPr>
        <w:t>评标程序及标准</w:t>
      </w:r>
      <w:r>
        <w:tab/>
      </w:r>
      <w:r>
        <w:fldChar w:fldCharType="begin"/>
      </w:r>
      <w:r>
        <w:instrText xml:space="preserve"> PAGEREF _Toc31812 \h </w:instrText>
      </w:r>
      <w:r>
        <w:fldChar w:fldCharType="separate"/>
      </w:r>
      <w:r>
        <w:t>20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"_Toc28134" </w:instrText>
      </w:r>
      <w:r>
        <w:fldChar w:fldCharType="separate"/>
      </w:r>
      <w:r>
        <w:rPr>
          <w:rFonts w:hint="eastAsia" w:asciiTheme="majorEastAsia" w:hAnsiTheme="majorEastAsia"/>
          <w:szCs w:val="30"/>
          <w:lang w:val="zh-CN"/>
        </w:rPr>
        <w:t>二、 评分标准</w:t>
      </w:r>
      <w:r>
        <w:tab/>
      </w:r>
      <w:r>
        <w:fldChar w:fldCharType="begin"/>
      </w:r>
      <w:r>
        <w:instrText xml:space="preserve"> PAGEREF _Toc28134 \h </w:instrText>
      </w:r>
      <w:r>
        <w:fldChar w:fldCharType="separate"/>
      </w:r>
      <w:r>
        <w:t>24</w:t>
      </w:r>
      <w:r>
        <w:fldChar w:fldCharType="end"/>
      </w:r>
      <w:r>
        <w:fldChar w:fldCharType="end"/>
      </w:r>
    </w:p>
    <w:p>
      <w:pPr>
        <w:pStyle w:val="18"/>
        <w:tabs>
          <w:tab w:val="right" w:leader="dot" w:pos="9524"/>
          <w:tab w:val="clear" w:pos="1176"/>
          <w:tab w:val="clear" w:pos="9514"/>
        </w:tabs>
      </w:pPr>
      <w:r>
        <w:fldChar w:fldCharType="begin"/>
      </w:r>
      <w:r>
        <w:instrText xml:space="preserve"> HYPERLINK \l "_Toc32618" </w:instrText>
      </w:r>
      <w:r>
        <w:fldChar w:fldCharType="separate"/>
      </w:r>
      <w:r>
        <w:rPr>
          <w:rFonts w:hint="eastAsia" w:ascii="黑体" w:hAnsi="黑体"/>
        </w:rPr>
        <w:t>第四章 合同书格式（参考）</w:t>
      </w:r>
      <w:r>
        <w:tab/>
      </w:r>
      <w:r>
        <w:fldChar w:fldCharType="begin"/>
      </w:r>
      <w:r>
        <w:instrText xml:space="preserve"> PAGEREF _Toc32618 \h </w:instrText>
      </w:r>
      <w:r>
        <w:fldChar w:fldCharType="separate"/>
      </w:r>
      <w:r>
        <w:t>26</w:t>
      </w:r>
      <w:r>
        <w:fldChar w:fldCharType="end"/>
      </w:r>
      <w:r>
        <w:fldChar w:fldCharType="end"/>
      </w:r>
    </w:p>
    <w:p>
      <w:pPr>
        <w:pStyle w:val="18"/>
        <w:tabs>
          <w:tab w:val="right" w:leader="dot" w:pos="9524"/>
          <w:tab w:val="clear" w:pos="1176"/>
          <w:tab w:val="clear" w:pos="9514"/>
        </w:tabs>
      </w:pPr>
      <w:r>
        <w:fldChar w:fldCharType="begin"/>
      </w:r>
      <w:r>
        <w:instrText xml:space="preserve"> HYPERLINK \l "_Toc30994" </w:instrText>
      </w:r>
      <w:r>
        <w:fldChar w:fldCharType="separate"/>
      </w:r>
      <w:r>
        <w:rPr>
          <w:rFonts w:hint="eastAsia" w:ascii="黑体" w:hAnsi="黑体"/>
        </w:rPr>
        <w:t>第五章 投标文件格式（参考）</w:t>
      </w:r>
      <w:r>
        <w:tab/>
      </w:r>
      <w:r>
        <w:fldChar w:fldCharType="begin"/>
      </w:r>
      <w:r>
        <w:instrText xml:space="preserve"> PAGEREF _Toc30994 \h </w:instrText>
      </w:r>
      <w:r>
        <w:fldChar w:fldCharType="separate"/>
      </w:r>
      <w:r>
        <w:t>28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"_Toc7473" </w:instrText>
      </w:r>
      <w:r>
        <w:fldChar w:fldCharType="separate"/>
      </w:r>
      <w:r>
        <w:rPr>
          <w:rFonts w:hint="eastAsia" w:ascii="宋体" w:hAnsi="宋体"/>
          <w:szCs w:val="44"/>
        </w:rPr>
        <w:t>第一部分 资格证明文件</w:t>
      </w:r>
      <w:r>
        <w:tab/>
      </w:r>
      <w:r>
        <w:fldChar w:fldCharType="begin"/>
      </w:r>
      <w:r>
        <w:instrText xml:space="preserve"> PAGEREF _Toc7473 \h </w:instrText>
      </w:r>
      <w:r>
        <w:fldChar w:fldCharType="separate"/>
      </w:r>
      <w:r>
        <w:t>28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"_Toc27266" </w:instrText>
      </w:r>
      <w:r>
        <w:fldChar w:fldCharType="separate"/>
      </w:r>
      <w:r>
        <w:rPr>
          <w:rFonts w:hint="eastAsia"/>
          <w:szCs w:val="36"/>
        </w:rPr>
        <w:t>资格证明文件组成</w:t>
      </w:r>
      <w:r>
        <w:tab/>
      </w:r>
      <w:r>
        <w:fldChar w:fldCharType="begin"/>
      </w:r>
      <w:r>
        <w:instrText xml:space="preserve"> PAGEREF _Toc27266 \h </w:instrText>
      </w:r>
      <w:r>
        <w:fldChar w:fldCharType="separate"/>
      </w:r>
      <w:r>
        <w:t>29</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"_Toc20153" </w:instrText>
      </w:r>
      <w:r>
        <w:fldChar w:fldCharType="separate"/>
      </w:r>
      <w:r>
        <w:rPr>
          <w:rFonts w:hint="eastAsia"/>
          <w:szCs w:val="36"/>
        </w:rPr>
        <w:t>附：无重大违法记录声明函格式</w:t>
      </w:r>
      <w:r>
        <w:tab/>
      </w:r>
      <w:r>
        <w:fldChar w:fldCharType="begin"/>
      </w:r>
      <w:r>
        <w:instrText xml:space="preserve"> PAGEREF _Toc20153 \h </w:instrText>
      </w:r>
      <w:r>
        <w:fldChar w:fldCharType="separate"/>
      </w:r>
      <w:r>
        <w:t>32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"_Toc4611" </w:instrText>
      </w:r>
      <w:r>
        <w:fldChar w:fldCharType="separate"/>
      </w:r>
      <w:r>
        <w:rPr>
          <w:rFonts w:hint="eastAsia" w:ascii="宋体" w:hAnsi="宋体"/>
          <w:szCs w:val="44"/>
        </w:rPr>
        <w:t>第二部分 商务文件</w:t>
      </w:r>
      <w:r>
        <w:tab/>
      </w:r>
      <w:r>
        <w:fldChar w:fldCharType="begin"/>
      </w:r>
      <w:r>
        <w:instrText xml:space="preserve"> PAGEREF _Toc4611 \h </w:instrText>
      </w:r>
      <w:r>
        <w:fldChar w:fldCharType="separate"/>
      </w:r>
      <w:r>
        <w:t>33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"_Toc15106" </w:instrText>
      </w:r>
      <w:r>
        <w:fldChar w:fldCharType="separate"/>
      </w:r>
      <w:r>
        <w:rPr>
          <w:rFonts w:hint="eastAsia"/>
          <w:szCs w:val="36"/>
        </w:rPr>
        <w:t>商务文件组成</w:t>
      </w:r>
      <w:r>
        <w:tab/>
      </w:r>
      <w:r>
        <w:fldChar w:fldCharType="begin"/>
      </w:r>
      <w:r>
        <w:instrText xml:space="preserve"> PAGEREF _Toc15106 \h </w:instrText>
      </w:r>
      <w:r>
        <w:fldChar w:fldCharType="separate"/>
      </w:r>
      <w:r>
        <w:t>34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"_Toc24415" </w:instrText>
      </w:r>
      <w:r>
        <w:fldChar w:fldCharType="separate"/>
      </w:r>
      <w:r>
        <w:rPr>
          <w:rFonts w:hint="eastAsia" w:ascii="宋体" w:hAnsi="宋体"/>
          <w:szCs w:val="44"/>
        </w:rPr>
        <w:t>第三部分 技术、服务文件</w:t>
      </w:r>
      <w:r>
        <w:tab/>
      </w:r>
      <w:r>
        <w:fldChar w:fldCharType="begin"/>
      </w:r>
      <w:r>
        <w:instrText xml:space="preserve"> PAGEREF _Toc24415 \h </w:instrText>
      </w:r>
      <w:r>
        <w:fldChar w:fldCharType="separate"/>
      </w:r>
      <w:r>
        <w:t>35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"_Toc27759" </w:instrText>
      </w:r>
      <w:r>
        <w:fldChar w:fldCharType="separate"/>
      </w:r>
      <w:r>
        <w:rPr>
          <w:rFonts w:hint="eastAsia"/>
          <w:szCs w:val="36"/>
        </w:rPr>
        <w:t>技术、服务文件组成</w:t>
      </w:r>
      <w:r>
        <w:tab/>
      </w:r>
      <w:r>
        <w:fldChar w:fldCharType="begin"/>
      </w:r>
      <w:r>
        <w:instrText xml:space="preserve"> PAGEREF _Toc27759 \h </w:instrText>
      </w:r>
      <w:r>
        <w:fldChar w:fldCharType="separate"/>
      </w:r>
      <w:r>
        <w:t>36</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"_Toc3640" </w:instrText>
      </w:r>
      <w:r>
        <w:fldChar w:fldCharType="separate"/>
      </w:r>
      <w:r>
        <w:rPr>
          <w:rFonts w:hint="eastAsia" w:ascii="宋体" w:hAnsi="宋体"/>
          <w:szCs w:val="32"/>
        </w:rPr>
        <w:t xml:space="preserve">附件一： </w:t>
      </w:r>
      <w:r>
        <w:rPr>
          <w:rFonts w:hint="eastAsia" w:ascii="宋体" w:hAnsi="宋体"/>
        </w:rPr>
        <w:t>投标书</w:t>
      </w:r>
      <w:r>
        <w:tab/>
      </w:r>
      <w:r>
        <w:fldChar w:fldCharType="begin"/>
      </w:r>
      <w:r>
        <w:instrText xml:space="preserve"> PAGEREF _Toc3640 \h </w:instrText>
      </w:r>
      <w:r>
        <w:fldChar w:fldCharType="separate"/>
      </w:r>
      <w:r>
        <w:t>37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"_Toc26527" </w:instrText>
      </w:r>
      <w:r>
        <w:fldChar w:fldCharType="separate"/>
      </w:r>
      <w:r>
        <w:rPr>
          <w:rFonts w:hint="eastAsia" w:ascii="宋体" w:hAnsi="宋体"/>
          <w:szCs w:val="32"/>
        </w:rPr>
        <w:t xml:space="preserve">附件二： </w:t>
      </w:r>
      <w:r>
        <w:rPr>
          <w:rFonts w:hint="eastAsia" w:ascii="宋体" w:hAnsi="宋体"/>
        </w:rPr>
        <w:t>制造商中小企业声明函（适用于货物类项目）</w:t>
      </w:r>
      <w:r>
        <w:tab/>
      </w:r>
      <w:r>
        <w:fldChar w:fldCharType="begin"/>
      </w:r>
      <w:r>
        <w:instrText xml:space="preserve"> PAGEREF _Toc26527 \h </w:instrText>
      </w:r>
      <w:r>
        <w:fldChar w:fldCharType="separate"/>
      </w:r>
      <w:r>
        <w:t>38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"_Toc4634" </w:instrText>
      </w:r>
      <w:r>
        <w:fldChar w:fldCharType="separate"/>
      </w:r>
      <w:r>
        <w:rPr>
          <w:rFonts w:hint="eastAsia" w:ascii="宋体" w:hAnsi="宋体"/>
          <w:szCs w:val="32"/>
        </w:rPr>
        <w:t xml:space="preserve">附件三： </w:t>
      </w:r>
      <w:r>
        <w:rPr>
          <w:rFonts w:hint="eastAsia" w:ascii="宋体" w:hAnsi="宋体"/>
        </w:rPr>
        <w:t>中小企业声明函（适用于工程类、服务类项目）</w:t>
      </w:r>
      <w:r>
        <w:tab/>
      </w:r>
      <w:r>
        <w:fldChar w:fldCharType="begin"/>
      </w:r>
      <w:r>
        <w:instrText xml:space="preserve"> PAGEREF _Toc4634 \h </w:instrText>
      </w:r>
      <w:r>
        <w:fldChar w:fldCharType="separate"/>
      </w:r>
      <w:r>
        <w:t>39</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"_Toc21960" </w:instrText>
      </w:r>
      <w:r>
        <w:fldChar w:fldCharType="separate"/>
      </w:r>
      <w:r>
        <w:rPr>
          <w:rFonts w:hint="eastAsia" w:ascii="宋体" w:hAnsi="宋体"/>
          <w:szCs w:val="32"/>
        </w:rPr>
        <w:t xml:space="preserve">附件四： </w:t>
      </w:r>
      <w:r>
        <w:rPr>
          <w:rFonts w:hint="eastAsia" w:ascii="宋体" w:hAnsi="宋体"/>
        </w:rPr>
        <w:t>中小企业划型标准</w:t>
      </w:r>
      <w:r>
        <w:tab/>
      </w:r>
      <w:r>
        <w:fldChar w:fldCharType="begin"/>
      </w:r>
      <w:r>
        <w:instrText xml:space="preserve"> PAGEREF _Toc21960 \h </w:instrText>
      </w:r>
      <w:r>
        <w:fldChar w:fldCharType="separate"/>
      </w:r>
      <w:r>
        <w:t>40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"_Toc19406" </w:instrText>
      </w:r>
      <w:r>
        <w:fldChar w:fldCharType="separate"/>
      </w:r>
      <w:r>
        <w:rPr>
          <w:rFonts w:hint="eastAsia" w:ascii="宋体" w:hAnsi="宋体"/>
          <w:szCs w:val="32"/>
        </w:rPr>
        <w:t xml:space="preserve">附件五： </w:t>
      </w:r>
      <w:r>
        <w:rPr>
          <w:rFonts w:hint="eastAsia" w:ascii="宋体" w:hAnsi="宋体"/>
        </w:rPr>
        <w:t>残疾人福利性单位声明函（适用于货物类项目）</w:t>
      </w:r>
      <w:r>
        <w:tab/>
      </w:r>
      <w:r>
        <w:fldChar w:fldCharType="begin"/>
      </w:r>
      <w:r>
        <w:instrText xml:space="preserve"> PAGEREF _Toc19406 \h </w:instrText>
      </w:r>
      <w:r>
        <w:fldChar w:fldCharType="separate"/>
      </w:r>
      <w:r>
        <w:t>41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"_Toc6757" </w:instrText>
      </w:r>
      <w:r>
        <w:fldChar w:fldCharType="separate"/>
      </w:r>
      <w:r>
        <w:rPr>
          <w:rFonts w:hint="eastAsia" w:ascii="宋体" w:hAnsi="宋体"/>
          <w:szCs w:val="32"/>
        </w:rPr>
        <w:t xml:space="preserve">附件六： </w:t>
      </w:r>
      <w:r>
        <w:rPr>
          <w:rFonts w:hint="eastAsia" w:ascii="宋体" w:hAnsi="宋体"/>
        </w:rPr>
        <w:t>残疾人福利性单位声明函（适用于工程类、服务类项目）</w:t>
      </w:r>
      <w:r>
        <w:tab/>
      </w:r>
      <w:r>
        <w:fldChar w:fldCharType="begin"/>
      </w:r>
      <w:r>
        <w:instrText xml:space="preserve"> PAGEREF _Toc6757 \h </w:instrText>
      </w:r>
      <w:r>
        <w:fldChar w:fldCharType="separate"/>
      </w:r>
      <w:r>
        <w:t>42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"_Toc30399" </w:instrText>
      </w:r>
      <w:r>
        <w:fldChar w:fldCharType="separate"/>
      </w:r>
      <w:r>
        <w:rPr>
          <w:rFonts w:hint="eastAsia" w:ascii="宋体" w:hAnsi="宋体"/>
          <w:szCs w:val="32"/>
        </w:rPr>
        <w:t xml:space="preserve">附件七： </w:t>
      </w:r>
      <w:r>
        <w:rPr>
          <w:rFonts w:hint="eastAsia" w:ascii="宋体" w:hAnsi="宋体"/>
        </w:rPr>
        <w:t>享受政府采购支持政策的残疾人福利性单位的标准</w:t>
      </w:r>
      <w:r>
        <w:tab/>
      </w:r>
      <w:r>
        <w:fldChar w:fldCharType="begin"/>
      </w:r>
      <w:r>
        <w:instrText xml:space="preserve"> PAGEREF _Toc30399 \h </w:instrText>
      </w:r>
      <w:r>
        <w:fldChar w:fldCharType="separate"/>
      </w:r>
      <w:r>
        <w:t>43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"_Toc31953" </w:instrText>
      </w:r>
      <w:r>
        <w:fldChar w:fldCharType="separate"/>
      </w:r>
      <w:r>
        <w:rPr>
          <w:rFonts w:hint="eastAsia" w:ascii="宋体" w:hAnsi="宋体"/>
          <w:szCs w:val="32"/>
        </w:rPr>
        <w:t xml:space="preserve">附件八： </w:t>
      </w:r>
      <w:r>
        <w:rPr>
          <w:rFonts w:hint="eastAsia" w:ascii="宋体" w:hAnsi="宋体"/>
        </w:rPr>
        <w:t>开标一览表</w:t>
      </w:r>
      <w:r>
        <w:tab/>
      </w:r>
      <w:r>
        <w:fldChar w:fldCharType="begin"/>
      </w:r>
      <w:r>
        <w:instrText xml:space="preserve"> PAGEREF _Toc31953 \h </w:instrText>
      </w:r>
      <w:r>
        <w:fldChar w:fldCharType="separate"/>
      </w:r>
      <w:r>
        <w:t>44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"_Toc27818" </w:instrText>
      </w:r>
      <w:r>
        <w:fldChar w:fldCharType="separate"/>
      </w:r>
      <w:r>
        <w:rPr>
          <w:rFonts w:hint="eastAsia" w:ascii="宋体" w:hAnsi="宋体"/>
          <w:szCs w:val="32"/>
        </w:rPr>
        <w:t xml:space="preserve">附件九： </w:t>
      </w:r>
      <w:r>
        <w:rPr>
          <w:rFonts w:hint="eastAsia" w:ascii="宋体" w:hAnsi="宋体"/>
        </w:rPr>
        <w:t>投标报价明细表</w:t>
      </w:r>
      <w:r>
        <w:tab/>
      </w:r>
      <w:r>
        <w:fldChar w:fldCharType="begin"/>
      </w:r>
      <w:r>
        <w:instrText xml:space="preserve"> PAGEREF _Toc27818 \h </w:instrText>
      </w:r>
      <w:r>
        <w:fldChar w:fldCharType="separate"/>
      </w:r>
      <w:r>
        <w:t>45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"_Toc6936" </w:instrText>
      </w:r>
      <w:r>
        <w:fldChar w:fldCharType="separate"/>
      </w:r>
      <w:r>
        <w:rPr>
          <w:rFonts w:hint="eastAsia" w:ascii="宋体" w:hAnsi="宋体"/>
          <w:szCs w:val="32"/>
        </w:rPr>
        <w:t xml:space="preserve">附件十： </w:t>
      </w:r>
      <w:r>
        <w:rPr>
          <w:rFonts w:hint="eastAsia" w:ascii="宋体" w:hAnsi="宋体"/>
          <w:szCs w:val="31"/>
        </w:rPr>
        <w:t>小型和微型企业、监狱企业、残疾人福利性单位货物汇总表</w:t>
      </w:r>
      <w:r>
        <w:tab/>
      </w:r>
      <w:r>
        <w:fldChar w:fldCharType="begin"/>
      </w:r>
      <w:r>
        <w:instrText xml:space="preserve"> PAGEREF _Toc6936 \h </w:instrText>
      </w:r>
      <w:r>
        <w:fldChar w:fldCharType="separate"/>
      </w:r>
      <w:r>
        <w:t>46</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"_Toc30706" </w:instrText>
      </w:r>
      <w:r>
        <w:fldChar w:fldCharType="separate"/>
      </w:r>
      <w:r>
        <w:rPr>
          <w:rFonts w:hint="eastAsia" w:ascii="宋体" w:hAnsi="宋体"/>
          <w:szCs w:val="32"/>
        </w:rPr>
        <w:t xml:space="preserve">附件十一： </w:t>
      </w:r>
      <w:r>
        <w:rPr>
          <w:rFonts w:hint="eastAsia" w:ascii="宋体" w:hAnsi="宋体"/>
          <w:szCs w:val="31"/>
        </w:rPr>
        <w:t>投标货物（工程或服务）清单</w:t>
      </w:r>
      <w:r>
        <w:tab/>
      </w:r>
      <w:r>
        <w:fldChar w:fldCharType="begin"/>
      </w:r>
      <w:r>
        <w:instrText xml:space="preserve"> PAGEREF _Toc30706 \h </w:instrText>
      </w:r>
      <w:r>
        <w:fldChar w:fldCharType="separate"/>
      </w:r>
      <w:r>
        <w:t>47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"_Toc11541" </w:instrText>
      </w:r>
      <w:r>
        <w:fldChar w:fldCharType="separate"/>
      </w:r>
      <w:r>
        <w:rPr>
          <w:rFonts w:hint="eastAsia" w:ascii="宋体" w:hAnsi="宋体"/>
          <w:szCs w:val="32"/>
        </w:rPr>
        <w:t xml:space="preserve">附件十二： </w:t>
      </w:r>
      <w:r>
        <w:rPr>
          <w:rFonts w:hint="eastAsia" w:ascii="宋体" w:hAnsi="宋体"/>
        </w:rPr>
        <w:t>交纳投标保证金的银行凭证</w:t>
      </w:r>
      <w:r>
        <w:tab/>
      </w:r>
      <w:r>
        <w:fldChar w:fldCharType="begin"/>
      </w:r>
      <w:r>
        <w:instrText xml:space="preserve"> PAGEREF _Toc11541 \h </w:instrText>
      </w:r>
      <w:r>
        <w:fldChar w:fldCharType="separate"/>
      </w:r>
      <w:r>
        <w:t>48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"_Toc19456" </w:instrText>
      </w:r>
      <w:r>
        <w:fldChar w:fldCharType="separate"/>
      </w:r>
      <w:r>
        <w:rPr>
          <w:rFonts w:hint="eastAsia" w:ascii="宋体" w:hAnsi="宋体"/>
          <w:szCs w:val="32"/>
        </w:rPr>
        <w:t xml:space="preserve">附件十三： </w:t>
      </w:r>
      <w:r>
        <w:rPr>
          <w:rFonts w:hint="eastAsia" w:ascii="宋体" w:hAnsi="宋体"/>
        </w:rPr>
        <w:t>法定代表人授权书</w:t>
      </w:r>
      <w:r>
        <w:tab/>
      </w:r>
      <w:r>
        <w:fldChar w:fldCharType="begin"/>
      </w:r>
      <w:r>
        <w:instrText xml:space="preserve"> PAGEREF _Toc19456 \h </w:instrText>
      </w:r>
      <w:r>
        <w:fldChar w:fldCharType="separate"/>
      </w:r>
      <w:r>
        <w:t>49</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"_Toc23302" </w:instrText>
      </w:r>
      <w:r>
        <w:fldChar w:fldCharType="separate"/>
      </w:r>
      <w:r>
        <w:rPr>
          <w:rFonts w:hint="eastAsia" w:ascii="宋体" w:hAnsi="宋体"/>
          <w:szCs w:val="32"/>
        </w:rPr>
        <w:t xml:space="preserve">附件十四： </w:t>
      </w:r>
      <w:r>
        <w:rPr>
          <w:rFonts w:hint="eastAsia" w:ascii="宋体" w:hAnsi="宋体"/>
        </w:rPr>
        <w:t>投标人的资格声明</w:t>
      </w:r>
      <w:r>
        <w:tab/>
      </w:r>
      <w:r>
        <w:fldChar w:fldCharType="begin"/>
      </w:r>
      <w:r>
        <w:instrText xml:space="preserve"> PAGEREF _Toc23302 \h </w:instrText>
      </w:r>
      <w:r>
        <w:fldChar w:fldCharType="separate"/>
      </w:r>
      <w:r>
        <w:t>50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"_Toc28113" </w:instrText>
      </w:r>
      <w:r>
        <w:fldChar w:fldCharType="separate"/>
      </w:r>
      <w:r>
        <w:rPr>
          <w:rFonts w:hint="eastAsia" w:ascii="宋体" w:hAnsi="宋体"/>
          <w:szCs w:val="32"/>
        </w:rPr>
        <w:t xml:space="preserve">附件十五： </w:t>
      </w:r>
      <w:r>
        <w:rPr>
          <w:rFonts w:hint="eastAsia" w:ascii="宋体" w:hAnsi="宋体"/>
        </w:rPr>
        <w:t>项目负责人、技术负责人简历表</w:t>
      </w:r>
      <w:r>
        <w:tab/>
      </w:r>
      <w:r>
        <w:fldChar w:fldCharType="begin"/>
      </w:r>
      <w:r>
        <w:instrText xml:space="preserve"> PAGEREF _Toc28113 \h </w:instrText>
      </w:r>
      <w:r>
        <w:fldChar w:fldCharType="separate"/>
      </w:r>
      <w:r>
        <w:t>51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"_Toc10473" </w:instrText>
      </w:r>
      <w:r>
        <w:fldChar w:fldCharType="separate"/>
      </w:r>
      <w:r>
        <w:rPr>
          <w:rFonts w:hint="eastAsia" w:ascii="宋体" w:hAnsi="宋体"/>
          <w:szCs w:val="32"/>
        </w:rPr>
        <w:t xml:space="preserve">附件十六： </w:t>
      </w:r>
      <w:r>
        <w:rPr>
          <w:rFonts w:hint="eastAsia" w:ascii="宋体" w:hAnsi="宋体"/>
        </w:rPr>
        <w:t>项目班子成员情况表</w:t>
      </w:r>
      <w:r>
        <w:tab/>
      </w:r>
      <w:r>
        <w:fldChar w:fldCharType="begin"/>
      </w:r>
      <w:r>
        <w:instrText xml:space="preserve"> PAGEREF _Toc10473 \h </w:instrText>
      </w:r>
      <w:r>
        <w:fldChar w:fldCharType="separate"/>
      </w:r>
      <w:r>
        <w:t>52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"_Toc19987" </w:instrText>
      </w:r>
      <w:r>
        <w:fldChar w:fldCharType="separate"/>
      </w:r>
      <w:r>
        <w:rPr>
          <w:rFonts w:hint="eastAsia" w:ascii="宋体" w:hAnsi="宋体"/>
          <w:szCs w:val="32"/>
        </w:rPr>
        <w:t xml:space="preserve">附件十七： </w:t>
      </w:r>
      <w:r>
        <w:rPr>
          <w:rFonts w:hint="eastAsia" w:ascii="宋体" w:hAnsi="宋体"/>
        </w:rPr>
        <w:t>投标人类似项目业绩表</w:t>
      </w:r>
      <w:r>
        <w:tab/>
      </w:r>
      <w:r>
        <w:fldChar w:fldCharType="begin"/>
      </w:r>
      <w:r>
        <w:instrText xml:space="preserve"> PAGEREF _Toc19987 \h </w:instrText>
      </w:r>
      <w:r>
        <w:fldChar w:fldCharType="separate"/>
      </w:r>
      <w:r>
        <w:t>53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"_Toc27915" </w:instrText>
      </w:r>
      <w:r>
        <w:fldChar w:fldCharType="separate"/>
      </w:r>
      <w:r>
        <w:rPr>
          <w:rFonts w:hint="eastAsia" w:ascii="宋体" w:hAnsi="宋体"/>
          <w:szCs w:val="32"/>
        </w:rPr>
        <w:t xml:space="preserve">附件十八： </w:t>
      </w:r>
      <w:r>
        <w:rPr>
          <w:rFonts w:hint="eastAsia" w:ascii="宋体" w:hAnsi="宋体"/>
        </w:rPr>
        <w:t>符合性审查对照表</w:t>
      </w:r>
      <w:r>
        <w:tab/>
      </w:r>
      <w:r>
        <w:fldChar w:fldCharType="begin"/>
      </w:r>
      <w:r>
        <w:instrText xml:space="preserve"> PAGEREF _Toc27915 \h </w:instrText>
      </w:r>
      <w:r>
        <w:fldChar w:fldCharType="separate"/>
      </w:r>
      <w:r>
        <w:t>54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"_Toc12444" </w:instrText>
      </w:r>
      <w:r>
        <w:fldChar w:fldCharType="separate"/>
      </w:r>
      <w:r>
        <w:rPr>
          <w:rFonts w:hint="eastAsia" w:ascii="宋体" w:hAnsi="宋体"/>
          <w:szCs w:val="32"/>
        </w:rPr>
        <w:t xml:space="preserve">附件十九： </w:t>
      </w:r>
      <w:r>
        <w:rPr>
          <w:rFonts w:hint="eastAsia" w:ascii="宋体" w:hAnsi="宋体"/>
        </w:rPr>
        <w:t>商务要求响应、偏离说明表</w:t>
      </w:r>
      <w:r>
        <w:tab/>
      </w:r>
      <w:r>
        <w:fldChar w:fldCharType="begin"/>
      </w:r>
      <w:r>
        <w:instrText xml:space="preserve"> PAGEREF _Toc12444 \h </w:instrText>
      </w:r>
      <w:r>
        <w:fldChar w:fldCharType="separate"/>
      </w:r>
      <w:r>
        <w:t>55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"_Toc16567" </w:instrText>
      </w:r>
      <w:r>
        <w:fldChar w:fldCharType="separate"/>
      </w:r>
      <w:r>
        <w:rPr>
          <w:rFonts w:hint="eastAsia" w:ascii="宋体" w:hAnsi="宋体"/>
          <w:szCs w:val="32"/>
        </w:rPr>
        <w:t xml:space="preserve">附件二十： </w:t>
      </w:r>
      <w:r>
        <w:rPr>
          <w:rFonts w:hint="eastAsia" w:ascii="宋体" w:hAnsi="宋体"/>
        </w:rPr>
        <w:t>商务要求“★”号条款响应、偏离说明表</w:t>
      </w:r>
      <w:r>
        <w:tab/>
      </w:r>
      <w:r>
        <w:fldChar w:fldCharType="begin"/>
      </w:r>
      <w:r>
        <w:instrText xml:space="preserve"> PAGEREF _Toc16567 \h </w:instrText>
      </w:r>
      <w:r>
        <w:fldChar w:fldCharType="separate"/>
      </w:r>
      <w:r>
        <w:t>56</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"_Toc18986" </w:instrText>
      </w:r>
      <w:r>
        <w:fldChar w:fldCharType="separate"/>
      </w:r>
      <w:r>
        <w:rPr>
          <w:rFonts w:hint="eastAsia" w:ascii="宋体" w:hAnsi="宋体"/>
          <w:szCs w:val="32"/>
        </w:rPr>
        <w:t xml:space="preserve">附件二十一： </w:t>
      </w:r>
      <w:r>
        <w:rPr>
          <w:rFonts w:hint="eastAsia" w:ascii="宋体" w:hAnsi="宋体"/>
        </w:rPr>
        <w:t>商务评议对照表</w:t>
      </w:r>
      <w:r>
        <w:tab/>
      </w:r>
      <w:r>
        <w:fldChar w:fldCharType="begin"/>
      </w:r>
      <w:r>
        <w:instrText xml:space="preserve"> PAGEREF _Toc18986 \h </w:instrText>
      </w:r>
      <w:r>
        <w:fldChar w:fldCharType="separate"/>
      </w:r>
      <w:r>
        <w:t>57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"_Toc27613" </w:instrText>
      </w:r>
      <w:r>
        <w:fldChar w:fldCharType="separate"/>
      </w:r>
      <w:r>
        <w:rPr>
          <w:rFonts w:hint="eastAsia" w:ascii="宋体" w:hAnsi="宋体"/>
          <w:szCs w:val="32"/>
        </w:rPr>
        <w:t xml:space="preserve">附件二十二： </w:t>
      </w:r>
      <w:r>
        <w:rPr>
          <w:rFonts w:hint="eastAsia" w:ascii="宋体" w:hAnsi="宋体"/>
        </w:rPr>
        <w:t>技术、服务要求响应、偏离说明表</w:t>
      </w:r>
      <w:r>
        <w:tab/>
      </w:r>
      <w:r>
        <w:fldChar w:fldCharType="begin"/>
      </w:r>
      <w:r>
        <w:instrText xml:space="preserve"> PAGEREF _Toc27613 \h </w:instrText>
      </w:r>
      <w:r>
        <w:fldChar w:fldCharType="separate"/>
      </w:r>
      <w:r>
        <w:t>58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"_Toc9550" </w:instrText>
      </w:r>
      <w:r>
        <w:fldChar w:fldCharType="separate"/>
      </w:r>
      <w:r>
        <w:rPr>
          <w:rFonts w:hint="eastAsia" w:ascii="宋体" w:hAnsi="宋体"/>
          <w:szCs w:val="32"/>
        </w:rPr>
        <w:t xml:space="preserve">附件二十三： </w:t>
      </w:r>
      <w:r>
        <w:rPr>
          <w:rFonts w:hint="eastAsia" w:ascii="宋体" w:hAnsi="宋体"/>
        </w:rPr>
        <w:t>技术、服务要求“★”号条款响应、偏离说明表</w:t>
      </w:r>
      <w:r>
        <w:tab/>
      </w:r>
      <w:r>
        <w:fldChar w:fldCharType="begin"/>
      </w:r>
      <w:r>
        <w:instrText xml:space="preserve"> PAGEREF _Toc9550 \h </w:instrText>
      </w:r>
      <w:r>
        <w:fldChar w:fldCharType="separate"/>
      </w:r>
      <w:r>
        <w:t>59</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"_Toc3123" </w:instrText>
      </w:r>
      <w:r>
        <w:fldChar w:fldCharType="separate"/>
      </w:r>
      <w:r>
        <w:rPr>
          <w:rFonts w:hint="eastAsia" w:ascii="宋体" w:hAnsi="宋体"/>
          <w:szCs w:val="32"/>
        </w:rPr>
        <w:t xml:space="preserve">附件二十四： </w:t>
      </w:r>
      <w:r>
        <w:rPr>
          <w:rFonts w:hint="eastAsia" w:ascii="宋体" w:hAnsi="宋体"/>
        </w:rPr>
        <w:t>技术、服务评议对照表</w:t>
      </w:r>
      <w:r>
        <w:tab/>
      </w:r>
      <w:r>
        <w:fldChar w:fldCharType="begin"/>
      </w:r>
      <w:r>
        <w:instrText xml:space="preserve"> PAGEREF _Toc3123 \h </w:instrText>
      </w:r>
      <w:r>
        <w:fldChar w:fldCharType="separate"/>
      </w:r>
      <w:r>
        <w:t>60</w:t>
      </w:r>
      <w:r>
        <w:fldChar w:fldCharType="end"/>
      </w:r>
      <w:r>
        <w:fldChar w:fldCharType="end"/>
      </w:r>
    </w:p>
    <w:p>
      <w:pPr>
        <w:widowControl/>
        <w:tabs>
          <w:tab w:val="left" w:pos="1260"/>
          <w:tab w:val="right" w:leader="dot" w:pos="9514"/>
        </w:tabs>
        <w:spacing w:line="440" w:lineRule="exact"/>
        <w:jc w:val="left"/>
        <w:rPr>
          <w:rFonts w:eastAsia="黑体"/>
          <w:bCs/>
          <w:iCs/>
          <w:color w:val="000000"/>
          <w:kern w:val="0"/>
          <w:sz w:val="28"/>
          <w:lang w:val="zh-CN"/>
        </w:rPr>
        <w:sectPr>
          <w:headerReference r:id="rId3" w:type="default"/>
          <w:footerReference r:id="rId4" w:type="default"/>
          <w:pgSz w:w="11906" w:h="16838"/>
          <w:pgMar w:top="1134" w:right="1191" w:bottom="1134" w:left="1191" w:header="851" w:footer="992" w:gutter="0"/>
          <w:pgNumType w:start="2"/>
          <w:cols w:space="720" w:num="1"/>
          <w:docGrid w:type="lines" w:linePitch="312" w:charSpace="0"/>
        </w:sectPr>
      </w:pPr>
      <w:r>
        <w:rPr>
          <w:rFonts w:eastAsia="黑体"/>
          <w:iCs/>
          <w:color w:val="000000"/>
          <w:kern w:val="0"/>
        </w:rPr>
        <w:fldChar w:fldCharType="end"/>
      </w:r>
      <w:r>
        <w:rPr>
          <w:rFonts w:eastAsia="黑体"/>
          <w:bCs/>
          <w:iCs/>
          <w:color w:val="000000"/>
          <w:kern w:val="0"/>
          <w:sz w:val="28"/>
          <w:lang w:val="zh-CN"/>
        </w:rPr>
        <w:tab/>
      </w:r>
    </w:p>
    <w:p>
      <w:pPr>
        <w:pStyle w:val="5"/>
        <w:numPr>
          <w:ilvl w:val="0"/>
          <w:numId w:val="5"/>
        </w:numPr>
        <w:spacing w:before="240" w:after="120"/>
        <w:ind w:left="883" w:hanging="883" w:hangingChars="200"/>
        <w:jc w:val="center"/>
        <w:rPr>
          <w:rFonts w:ascii="黑体" w:hAnsi="黑体" w:eastAsia="黑体"/>
          <w:color w:val="000000"/>
        </w:rPr>
      </w:pPr>
      <w:bookmarkStart w:id="0" w:name="_Toc901"/>
      <w:bookmarkStart w:id="1" w:name="_Toc511889414"/>
      <w:bookmarkStart w:id="2" w:name="_Toc511894492"/>
      <w:r>
        <w:rPr>
          <w:rFonts w:hint="eastAsia" w:ascii="黑体" w:hAnsi="黑体" w:eastAsia="黑体"/>
          <w:color w:val="000000"/>
        </w:rPr>
        <w:t>投标邀请书</w:t>
      </w:r>
      <w:bookmarkEnd w:id="0"/>
      <w:bookmarkEnd w:id="1"/>
      <w:bookmarkEnd w:id="2"/>
    </w:p>
    <w:p>
      <w:pPr>
        <w:spacing w:line="360" w:lineRule="auto"/>
        <w:rPr>
          <w:rFonts w:ascii="宋体" w:hAnsi="宋体" w:cs="宋体"/>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bCs/>
          <w:sz w:val="24"/>
          <w:szCs w:val="24"/>
        </w:rPr>
      </w:pPr>
      <w:r>
        <w:rPr>
          <w:rFonts w:hint="eastAsia" w:ascii="宋体" w:hAnsi="宋体" w:cs="宋体"/>
          <w:sz w:val="24"/>
          <w:szCs w:val="24"/>
        </w:rPr>
        <w:t>阳新县中医医院中医康复设备一批采购项目的潜在投标人应在“湖北省政府采购网”、“黄石市公共资源交易信息网”及“阳新县人民政府网”获取招标文件，并于2022</w:t>
      </w:r>
      <w:r>
        <w:rPr>
          <w:rFonts w:hint="eastAsia" w:ascii="宋体" w:hAnsi="宋体" w:cs="宋体"/>
          <w:bCs/>
          <w:sz w:val="24"/>
          <w:szCs w:val="24"/>
        </w:rPr>
        <w:t>年</w:t>
      </w:r>
      <w:r>
        <w:rPr>
          <w:rFonts w:hint="eastAsia" w:ascii="宋体" w:hAnsi="宋体" w:cs="宋体"/>
          <w:bCs/>
          <w:sz w:val="24"/>
          <w:szCs w:val="24"/>
          <w:lang w:val="en-US" w:eastAsia="zh-CN"/>
        </w:rPr>
        <w:t>6</w:t>
      </w:r>
      <w:r>
        <w:rPr>
          <w:rFonts w:hint="eastAsia" w:ascii="宋体" w:hAnsi="宋体" w:cs="宋体"/>
          <w:bCs/>
          <w:sz w:val="24"/>
          <w:szCs w:val="24"/>
        </w:rPr>
        <w:t>月</w:t>
      </w:r>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10</w:t>
      </w:r>
      <w:r>
        <w:rPr>
          <w:rFonts w:hint="eastAsia" w:ascii="宋体" w:hAnsi="宋体" w:cs="宋体"/>
          <w:bCs/>
          <w:sz w:val="24"/>
          <w:szCs w:val="24"/>
        </w:rPr>
        <w:t>日9点00分（北京时间）前递交投标文件</w:t>
      </w:r>
      <w:r>
        <w:rPr>
          <w:rFonts w:hint="eastAsia" w:ascii="宋体" w:hAnsi="宋体" w:cs="宋体"/>
          <w:sz w:val="24"/>
          <w:szCs w:val="24"/>
        </w:rPr>
        <w:t>。</w:t>
      </w:r>
    </w:p>
    <w:p>
      <w:pPr>
        <w:spacing w:line="360" w:lineRule="auto"/>
        <w:rPr>
          <w:b/>
          <w:bCs/>
          <w:sz w:val="24"/>
          <w:szCs w:val="24"/>
        </w:rPr>
      </w:pPr>
      <w:bookmarkStart w:id="3" w:name="_Toc28359002"/>
      <w:bookmarkStart w:id="4" w:name="_Toc35393621"/>
      <w:bookmarkStart w:id="5" w:name="_Toc35393790"/>
      <w:bookmarkStart w:id="6" w:name="_Toc28359079"/>
      <w:bookmarkStart w:id="7" w:name="_Hlk24379207"/>
      <w:r>
        <w:rPr>
          <w:rFonts w:hint="eastAsia"/>
          <w:b/>
          <w:bCs/>
          <w:sz w:val="24"/>
          <w:szCs w:val="24"/>
        </w:rPr>
        <w:t>一、项目基本情况</w:t>
      </w:r>
      <w:bookmarkEnd w:id="3"/>
      <w:bookmarkEnd w:id="4"/>
      <w:bookmarkEnd w:id="5"/>
      <w:bookmarkEnd w:id="6"/>
    </w:p>
    <w:p>
      <w:pPr>
        <w:spacing w:line="360" w:lineRule="auto"/>
        <w:ind w:firstLine="480" w:firstLineChars="200"/>
        <w:rPr>
          <w:rFonts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项目编号：131-2022CG-</w:t>
      </w:r>
      <w:r>
        <w:rPr>
          <w:rFonts w:hint="eastAsia" w:ascii="宋体" w:hAnsi="宋体" w:cs="宋体"/>
          <w:color w:val="333333"/>
          <w:kern w:val="0"/>
          <w:sz w:val="24"/>
          <w:szCs w:val="24"/>
          <w:shd w:val="clear" w:color="auto" w:fill="FFFFFF"/>
          <w:lang w:val="en-US" w:eastAsia="zh-CN" w:bidi="ar"/>
        </w:rPr>
        <w:t>092</w:t>
      </w:r>
      <w:r>
        <w:rPr>
          <w:rFonts w:hint="eastAsia" w:ascii="宋体" w:hAnsi="宋体" w:cs="宋体"/>
          <w:color w:val="333333"/>
          <w:kern w:val="0"/>
          <w:sz w:val="24"/>
          <w:szCs w:val="24"/>
          <w:shd w:val="clear" w:color="auto" w:fill="FFFFFF"/>
          <w:lang w:bidi="ar"/>
        </w:rPr>
        <w:t>（政府采购计划编号：阳财采计备[2022]</w:t>
      </w:r>
      <w:r>
        <w:rPr>
          <w:rFonts w:hint="eastAsia" w:ascii="宋体" w:hAnsi="宋体" w:cs="宋体"/>
          <w:color w:val="333333"/>
          <w:kern w:val="0"/>
          <w:sz w:val="24"/>
          <w:szCs w:val="24"/>
          <w:shd w:val="clear" w:color="auto" w:fill="FFFFFF"/>
          <w:lang w:val="en-US" w:eastAsia="zh-CN" w:bidi="ar"/>
        </w:rPr>
        <w:t>A0504</w:t>
      </w:r>
      <w:r>
        <w:rPr>
          <w:rFonts w:hint="eastAsia" w:ascii="宋体" w:hAnsi="宋体" w:cs="宋体"/>
          <w:color w:val="333333"/>
          <w:kern w:val="0"/>
          <w:sz w:val="24"/>
          <w:szCs w:val="24"/>
          <w:shd w:val="clear" w:color="auto" w:fill="FFFFFF"/>
          <w:lang w:bidi="ar"/>
        </w:rPr>
        <w:t>号）</w:t>
      </w:r>
    </w:p>
    <w:p>
      <w:pPr>
        <w:spacing w:line="360" w:lineRule="auto"/>
        <w:ind w:firstLine="480" w:firstLineChars="200"/>
        <w:rPr>
          <w:rFonts w:ascii="宋体" w:hAnsi="宋体" w:cs="宋体"/>
          <w:sz w:val="24"/>
          <w:szCs w:val="24"/>
        </w:rPr>
      </w:pPr>
      <w:r>
        <w:rPr>
          <w:rFonts w:hint="eastAsia" w:ascii="宋体" w:hAnsi="宋体" w:cs="宋体"/>
          <w:sz w:val="24"/>
          <w:szCs w:val="24"/>
        </w:rPr>
        <w:t>项目名称：</w:t>
      </w:r>
      <w:bookmarkStart w:id="234" w:name="_GoBack"/>
      <w:r>
        <w:rPr>
          <w:rFonts w:hint="eastAsia" w:ascii="宋体" w:hAnsi="宋体" w:cs="宋体"/>
          <w:sz w:val="24"/>
          <w:szCs w:val="24"/>
        </w:rPr>
        <w:t>阳新县中医医院中医康复设备一批采购项目</w:t>
      </w:r>
      <w:bookmarkEnd w:id="234"/>
    </w:p>
    <w:bookmarkEnd w:id="7"/>
    <w:p>
      <w:pPr>
        <w:spacing w:line="360" w:lineRule="auto"/>
        <w:ind w:firstLine="480" w:firstLineChars="200"/>
        <w:rPr>
          <w:rFonts w:ascii="宋体" w:hAnsi="宋体" w:cs="宋体"/>
          <w:sz w:val="24"/>
          <w:szCs w:val="24"/>
        </w:rPr>
      </w:pPr>
      <w:r>
        <w:rPr>
          <w:rFonts w:hint="eastAsia" w:ascii="宋体" w:hAnsi="宋体" w:cs="宋体"/>
          <w:sz w:val="24"/>
          <w:szCs w:val="24"/>
        </w:rPr>
        <w:t>预算金额：132万元</w:t>
      </w:r>
    </w:p>
    <w:p>
      <w:pPr>
        <w:spacing w:line="360" w:lineRule="auto"/>
        <w:ind w:firstLine="480" w:firstLineChars="200"/>
        <w:rPr>
          <w:rFonts w:ascii="宋体" w:hAnsi="宋体" w:cs="宋体"/>
          <w:sz w:val="24"/>
          <w:szCs w:val="24"/>
        </w:rPr>
      </w:pPr>
      <w:r>
        <w:rPr>
          <w:rFonts w:hint="eastAsia" w:ascii="宋体" w:hAnsi="宋体" w:cs="宋体"/>
          <w:sz w:val="24"/>
          <w:szCs w:val="24"/>
        </w:rPr>
        <w:t>采购需求：子午流注低频治疗仪采购6台（详见《招标文件》第三章）</w:t>
      </w:r>
    </w:p>
    <w:p>
      <w:pPr>
        <w:spacing w:line="360" w:lineRule="auto"/>
        <w:ind w:firstLine="480" w:firstLineChars="200"/>
        <w:rPr>
          <w:rFonts w:ascii="宋体" w:hAnsi="宋体" w:cs="宋体"/>
          <w:sz w:val="24"/>
          <w:szCs w:val="24"/>
        </w:rPr>
      </w:pPr>
      <w:r>
        <w:rPr>
          <w:rFonts w:hint="eastAsia" w:ascii="宋体" w:hAnsi="宋体" w:cs="宋体"/>
          <w:sz w:val="24"/>
          <w:szCs w:val="24"/>
        </w:rPr>
        <w:t>合同履行期限：签订合同后7个工作日内交付使用</w:t>
      </w:r>
    </w:p>
    <w:p>
      <w:pPr>
        <w:spacing w:line="360" w:lineRule="auto"/>
        <w:ind w:firstLine="480" w:firstLineChars="200"/>
        <w:rPr>
          <w:rFonts w:ascii="宋体" w:hAnsi="宋体" w:cs="宋体"/>
          <w:sz w:val="24"/>
          <w:szCs w:val="24"/>
        </w:rPr>
      </w:pPr>
      <w:r>
        <w:rPr>
          <w:rFonts w:hint="eastAsia" w:ascii="宋体" w:hAnsi="宋体" w:cs="宋体"/>
          <w:sz w:val="24"/>
          <w:szCs w:val="24"/>
        </w:rPr>
        <w:t>本项目不接受联合体投标。</w:t>
      </w:r>
      <w:bookmarkStart w:id="8" w:name="_Toc28359080"/>
      <w:bookmarkStart w:id="9" w:name="_Toc35393791"/>
      <w:bookmarkStart w:id="10" w:name="_Toc35393622"/>
      <w:bookmarkStart w:id="11" w:name="_Toc28359003"/>
    </w:p>
    <w:p>
      <w:pPr>
        <w:spacing w:line="360" w:lineRule="auto"/>
        <w:rPr>
          <w:b/>
          <w:bCs/>
          <w:sz w:val="24"/>
          <w:szCs w:val="24"/>
        </w:rPr>
      </w:pPr>
      <w:r>
        <w:rPr>
          <w:rFonts w:hint="eastAsia"/>
          <w:b/>
          <w:bCs/>
          <w:sz w:val="24"/>
          <w:szCs w:val="24"/>
        </w:rPr>
        <w:t>二、申请人的资格要求：</w:t>
      </w:r>
      <w:bookmarkEnd w:id="8"/>
      <w:bookmarkEnd w:id="9"/>
      <w:bookmarkEnd w:id="10"/>
      <w:bookmarkEnd w:id="11"/>
      <w:bookmarkStart w:id="12" w:name="_Toc28359004"/>
      <w:bookmarkStart w:id="13" w:name="_Toc35393623"/>
      <w:bookmarkStart w:id="14" w:name="_Toc35393792"/>
      <w:bookmarkStart w:id="15" w:name="_Toc28359081"/>
    </w:p>
    <w:p>
      <w:pPr>
        <w:tabs>
          <w:tab w:val="left" w:pos="896"/>
        </w:tabs>
        <w:spacing w:line="360" w:lineRule="auto"/>
        <w:ind w:firstLine="480" w:firstLineChars="200"/>
        <w:rPr>
          <w:rFonts w:ascii="宋体" w:hAnsi="宋体" w:cs="宋体"/>
          <w:sz w:val="24"/>
          <w:szCs w:val="24"/>
        </w:rPr>
      </w:pPr>
      <w:r>
        <w:rPr>
          <w:rFonts w:hint="eastAsia" w:ascii="宋体" w:hAnsi="宋体" w:cs="宋体"/>
          <w:sz w:val="24"/>
          <w:szCs w:val="24"/>
        </w:rPr>
        <w:t>1.应具备《政府采购法》第二十二条第一款规定的条件；</w:t>
      </w:r>
    </w:p>
    <w:p>
      <w:pPr>
        <w:spacing w:line="360" w:lineRule="auto"/>
        <w:ind w:firstLine="480" w:firstLineChars="200"/>
        <w:rPr>
          <w:rFonts w:ascii="宋体" w:hAnsi="宋体" w:cs="宋体"/>
          <w:sz w:val="24"/>
          <w:szCs w:val="24"/>
        </w:rPr>
      </w:pPr>
      <w:r>
        <w:rPr>
          <w:rFonts w:hint="eastAsia" w:ascii="宋体" w:hAnsi="宋体" w:cs="宋体"/>
          <w:sz w:val="24"/>
          <w:szCs w:val="24"/>
        </w:rPr>
        <w:t>2.应未被“信用中国”网站列入失信被执行人、重大税收违法案件当事人名单；“中国政府采购网”政府采购严重违法失信行为记录名单。</w:t>
      </w:r>
    </w:p>
    <w:p>
      <w:pPr>
        <w:spacing w:line="360" w:lineRule="auto"/>
        <w:ind w:firstLine="480" w:firstLineChars="200"/>
        <w:rPr>
          <w:rFonts w:ascii="宋体" w:hAnsi="宋体" w:cs="宋体"/>
          <w:sz w:val="24"/>
          <w:szCs w:val="24"/>
        </w:rPr>
      </w:pPr>
      <w:bookmarkStart w:id="16" w:name="_Toc11438"/>
      <w:bookmarkStart w:id="17" w:name="_Toc3064"/>
      <w:r>
        <w:rPr>
          <w:rFonts w:hint="eastAsia" w:ascii="宋体" w:hAnsi="宋体" w:cs="宋体"/>
          <w:sz w:val="24"/>
          <w:szCs w:val="24"/>
        </w:rPr>
        <w:t>3.本项目不接受联合体形式的投标。</w:t>
      </w:r>
      <w:bookmarkEnd w:id="16"/>
      <w:bookmarkEnd w:id="17"/>
    </w:p>
    <w:p>
      <w:pPr>
        <w:spacing w:line="360" w:lineRule="auto"/>
        <w:rPr>
          <w:b/>
          <w:bCs/>
          <w:sz w:val="24"/>
          <w:szCs w:val="24"/>
        </w:rPr>
      </w:pPr>
      <w:r>
        <w:rPr>
          <w:rFonts w:hint="eastAsia"/>
          <w:b/>
          <w:bCs/>
          <w:sz w:val="24"/>
          <w:szCs w:val="24"/>
        </w:rPr>
        <w:t>三、获取招标文件</w:t>
      </w:r>
      <w:bookmarkEnd w:id="12"/>
      <w:bookmarkEnd w:id="13"/>
      <w:bookmarkEnd w:id="14"/>
      <w:bookmarkEnd w:id="15"/>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时间：2022年 </w:t>
      </w:r>
      <w:r>
        <w:rPr>
          <w:rFonts w:hint="eastAsia" w:ascii="宋体" w:hAnsi="宋体" w:cs="宋体"/>
          <w:sz w:val="24"/>
          <w:szCs w:val="24"/>
          <w:lang w:val="en-US" w:eastAsia="zh-CN"/>
        </w:rPr>
        <w:t>5</w:t>
      </w:r>
      <w:r>
        <w:rPr>
          <w:rFonts w:hint="eastAsia" w:ascii="宋体" w:hAnsi="宋体" w:cs="宋体"/>
          <w:sz w:val="24"/>
          <w:szCs w:val="24"/>
        </w:rPr>
        <w:t xml:space="preserve">月 </w:t>
      </w:r>
      <w:r>
        <w:rPr>
          <w:rFonts w:hint="eastAsia" w:ascii="宋体" w:hAnsi="宋体" w:cs="宋体"/>
          <w:sz w:val="24"/>
          <w:szCs w:val="24"/>
          <w:lang w:val="en-US" w:eastAsia="zh-CN"/>
        </w:rPr>
        <w:t>20</w:t>
      </w:r>
      <w:r>
        <w:rPr>
          <w:rFonts w:hint="eastAsia" w:ascii="宋体" w:hAnsi="宋体" w:cs="宋体"/>
          <w:sz w:val="24"/>
          <w:szCs w:val="24"/>
        </w:rPr>
        <w:t>日至2022年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27</w:t>
      </w:r>
      <w:r>
        <w:rPr>
          <w:rFonts w:hint="eastAsia" w:ascii="宋体" w:hAnsi="宋体" w:cs="宋体"/>
          <w:sz w:val="24"/>
          <w:szCs w:val="24"/>
        </w:rPr>
        <w:t>日17：30(北京时间）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招标文件下载：见附件</w:t>
      </w:r>
    </w:p>
    <w:p>
      <w:pPr>
        <w:spacing w:line="360" w:lineRule="auto"/>
        <w:rPr>
          <w:b/>
          <w:bCs/>
          <w:sz w:val="24"/>
          <w:szCs w:val="24"/>
        </w:rPr>
      </w:pPr>
      <w:bookmarkStart w:id="18" w:name="_Toc28359082"/>
      <w:bookmarkStart w:id="19" w:name="_Toc28359005"/>
      <w:bookmarkStart w:id="20" w:name="_Toc35393793"/>
      <w:bookmarkStart w:id="21" w:name="_Toc35393624"/>
      <w:r>
        <w:rPr>
          <w:rFonts w:hint="eastAsia"/>
          <w:b/>
          <w:bCs/>
          <w:sz w:val="24"/>
          <w:szCs w:val="24"/>
        </w:rPr>
        <w:t>四、提交投标文件</w:t>
      </w:r>
      <w:bookmarkEnd w:id="18"/>
      <w:bookmarkEnd w:id="19"/>
      <w:r>
        <w:rPr>
          <w:rFonts w:hint="eastAsia"/>
          <w:b/>
          <w:bCs/>
          <w:sz w:val="24"/>
          <w:szCs w:val="24"/>
        </w:rPr>
        <w:t>截止时间、开标时间和地点</w:t>
      </w:r>
      <w:bookmarkEnd w:id="20"/>
      <w:bookmarkEnd w:id="21"/>
    </w:p>
    <w:p>
      <w:pPr>
        <w:spacing w:line="360" w:lineRule="auto"/>
        <w:ind w:firstLine="480" w:firstLineChars="200"/>
        <w:rPr>
          <w:rFonts w:ascii="宋体" w:hAnsi="宋体" w:cs="宋体"/>
          <w:sz w:val="24"/>
          <w:szCs w:val="24"/>
        </w:rPr>
      </w:pPr>
      <w:r>
        <w:rPr>
          <w:rFonts w:hint="eastAsia" w:ascii="宋体" w:hAnsi="宋体" w:cs="宋体"/>
          <w:sz w:val="24"/>
          <w:szCs w:val="24"/>
        </w:rPr>
        <w:t>开标时间：2022</w:t>
      </w:r>
      <w:r>
        <w:rPr>
          <w:rFonts w:hint="eastAsia" w:ascii="宋体" w:hAnsi="宋体" w:cs="宋体"/>
          <w:bCs/>
          <w:sz w:val="24"/>
          <w:szCs w:val="24"/>
        </w:rPr>
        <w:t>年</w:t>
      </w:r>
      <w:r>
        <w:rPr>
          <w:rFonts w:hint="eastAsia" w:ascii="宋体" w:hAnsi="宋体" w:cs="宋体"/>
          <w:bCs/>
          <w:sz w:val="24"/>
          <w:szCs w:val="24"/>
          <w:lang w:val="en-US" w:eastAsia="zh-CN"/>
        </w:rPr>
        <w:t>6</w:t>
      </w:r>
      <w:r>
        <w:rPr>
          <w:rFonts w:hint="eastAsia" w:ascii="宋体" w:hAnsi="宋体" w:cs="宋体"/>
          <w:bCs/>
          <w:sz w:val="24"/>
          <w:szCs w:val="24"/>
        </w:rPr>
        <w:t>月</w:t>
      </w:r>
      <w:r>
        <w:rPr>
          <w:rFonts w:hint="eastAsia" w:ascii="宋体" w:hAnsi="宋体" w:cs="宋体"/>
          <w:bCs/>
          <w:sz w:val="24"/>
          <w:szCs w:val="24"/>
          <w:lang w:val="en-US" w:eastAsia="zh-CN"/>
        </w:rPr>
        <w:t>10</w:t>
      </w:r>
      <w:r>
        <w:rPr>
          <w:rFonts w:hint="eastAsia" w:ascii="宋体" w:hAnsi="宋体" w:cs="宋体"/>
          <w:bCs/>
          <w:sz w:val="24"/>
          <w:szCs w:val="24"/>
        </w:rPr>
        <w:t>日9点00分</w:t>
      </w:r>
      <w:r>
        <w:rPr>
          <w:rFonts w:hint="eastAsia" w:ascii="宋体" w:hAnsi="宋体" w:cs="宋体"/>
          <w:sz w:val="24"/>
          <w:szCs w:val="24"/>
        </w:rPr>
        <w:t>（北京时间）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投标文件递交截止时间：2022</w:t>
      </w:r>
      <w:r>
        <w:rPr>
          <w:rFonts w:hint="eastAsia" w:ascii="宋体" w:hAnsi="宋体" w:cs="宋体"/>
          <w:bCs/>
          <w:sz w:val="24"/>
          <w:szCs w:val="24"/>
        </w:rPr>
        <w:t>年</w:t>
      </w:r>
      <w:r>
        <w:rPr>
          <w:rFonts w:hint="eastAsia" w:ascii="宋体" w:hAnsi="宋体" w:cs="宋体"/>
          <w:bCs/>
          <w:sz w:val="24"/>
          <w:szCs w:val="24"/>
          <w:lang w:val="en-US" w:eastAsia="zh-CN"/>
        </w:rPr>
        <w:t>6</w:t>
      </w:r>
      <w:r>
        <w:rPr>
          <w:rFonts w:hint="eastAsia" w:ascii="宋体" w:hAnsi="宋体" w:cs="宋体"/>
          <w:bCs/>
          <w:sz w:val="24"/>
          <w:szCs w:val="24"/>
        </w:rPr>
        <w:t xml:space="preserve">月 </w:t>
      </w:r>
      <w:r>
        <w:rPr>
          <w:rFonts w:hint="eastAsia" w:ascii="宋体" w:hAnsi="宋体" w:cs="宋体"/>
          <w:bCs/>
          <w:sz w:val="24"/>
          <w:szCs w:val="24"/>
          <w:lang w:val="en-US" w:eastAsia="zh-CN"/>
        </w:rPr>
        <w:t>10</w:t>
      </w:r>
      <w:r>
        <w:rPr>
          <w:rFonts w:hint="eastAsia" w:ascii="宋体" w:hAnsi="宋体" w:cs="宋体"/>
          <w:bCs/>
          <w:sz w:val="24"/>
          <w:szCs w:val="24"/>
        </w:rPr>
        <w:t xml:space="preserve"> 日9点00分</w:t>
      </w:r>
      <w:r>
        <w:rPr>
          <w:rFonts w:hint="eastAsia" w:ascii="宋体" w:hAnsi="宋体" w:cs="宋体"/>
          <w:sz w:val="24"/>
          <w:szCs w:val="24"/>
        </w:rPr>
        <w:t>（提前半小时开始接收投标文件，拒收逾期送达或者未按招标文件要求密封的投标文件）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开标地点：阳新县公共资源交易中心</w:t>
      </w:r>
      <w:r>
        <w:rPr>
          <w:rFonts w:hint="eastAsia" w:ascii="宋体" w:hAnsi="宋体" w:cs="宋体"/>
          <w:sz w:val="24"/>
          <w:szCs w:val="24"/>
          <w:u w:val="single"/>
          <w:lang w:val="en-US" w:eastAsia="zh-CN"/>
        </w:rPr>
        <w:t>1</w:t>
      </w:r>
      <w:r>
        <w:rPr>
          <w:rFonts w:hint="eastAsia" w:ascii="宋体" w:hAnsi="宋体" w:cs="宋体"/>
          <w:sz w:val="24"/>
          <w:szCs w:val="24"/>
        </w:rPr>
        <w:t>楼开标大厅（阳新县太阳城四期红绿灯口四合院）</w:t>
      </w:r>
      <w:bookmarkStart w:id="22" w:name="_Toc35393794"/>
      <w:bookmarkStart w:id="23" w:name="_Toc35393625"/>
      <w:bookmarkStart w:id="24" w:name="_Toc28359084"/>
      <w:bookmarkStart w:id="25" w:name="_Toc28359007"/>
    </w:p>
    <w:p>
      <w:pPr>
        <w:spacing w:line="360" w:lineRule="auto"/>
        <w:rPr>
          <w:b/>
          <w:bCs/>
          <w:sz w:val="24"/>
          <w:szCs w:val="24"/>
        </w:rPr>
      </w:pPr>
      <w:r>
        <w:rPr>
          <w:rFonts w:hint="eastAsia"/>
          <w:b/>
          <w:bCs/>
          <w:sz w:val="24"/>
          <w:szCs w:val="24"/>
        </w:rPr>
        <w:t>五、公告期限</w:t>
      </w:r>
      <w:bookmarkEnd w:id="22"/>
      <w:bookmarkEnd w:id="23"/>
      <w:bookmarkEnd w:id="24"/>
      <w:bookmarkEnd w:id="25"/>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spacing w:line="360" w:lineRule="auto"/>
        <w:rPr>
          <w:b/>
          <w:bCs/>
          <w:sz w:val="24"/>
          <w:szCs w:val="24"/>
        </w:rPr>
      </w:pPr>
      <w:bookmarkStart w:id="26" w:name="_Toc35393795"/>
      <w:bookmarkStart w:id="27" w:name="_Toc35393626"/>
      <w:r>
        <w:rPr>
          <w:rFonts w:hint="eastAsia"/>
          <w:b/>
          <w:bCs/>
          <w:sz w:val="24"/>
          <w:szCs w:val="24"/>
        </w:rPr>
        <w:t>六、其他补充事宜</w:t>
      </w:r>
      <w:bookmarkEnd w:id="26"/>
      <w:bookmarkEnd w:id="27"/>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000000"/>
          <w:kern w:val="0"/>
          <w:sz w:val="24"/>
          <w:szCs w:val="24"/>
          <w:lang w:val="zh-CN"/>
        </w:rPr>
        <w:t>投标人认为招标文件、招标过程和中标结果使自己的权益受到损害的，可以在知道或者应知其权益受到损害之日起7个工作日内，向采购人或</w:t>
      </w:r>
      <w:r>
        <w:rPr>
          <w:rFonts w:hint="eastAsia" w:ascii="宋体" w:hAnsi="宋体" w:cs="宋体"/>
          <w:sz w:val="24"/>
          <w:szCs w:val="24"/>
        </w:rPr>
        <w:t>采购中心</w:t>
      </w:r>
      <w:r>
        <w:rPr>
          <w:rFonts w:hint="eastAsia" w:ascii="宋体" w:hAnsi="宋体" w:cs="宋体"/>
          <w:color w:val="000000"/>
          <w:kern w:val="0"/>
          <w:sz w:val="24"/>
          <w:szCs w:val="24"/>
          <w:lang w:val="zh-CN"/>
        </w:rPr>
        <w:t>提出</w:t>
      </w:r>
      <w:r>
        <w:rPr>
          <w:rFonts w:hint="eastAsia" w:cs="宋体"/>
          <w:color w:val="000000"/>
          <w:kern w:val="0"/>
          <w:sz w:val="24"/>
          <w:szCs w:val="24"/>
          <w:lang w:val="zh-CN"/>
        </w:rPr>
        <w:t>书面</w:t>
      </w:r>
      <w:r>
        <w:rPr>
          <w:rFonts w:hint="eastAsia" w:ascii="宋体" w:hAnsi="宋体" w:cs="宋体"/>
          <w:color w:val="000000"/>
          <w:kern w:val="0"/>
          <w:sz w:val="24"/>
          <w:szCs w:val="24"/>
          <w:lang w:val="zh-CN"/>
        </w:rPr>
        <w:t>质疑。</w:t>
      </w:r>
      <w:r>
        <w:rPr>
          <w:rFonts w:hint="eastAsia" w:ascii="宋体" w:hAnsi="宋体" w:cs="宋体"/>
          <w:color w:val="000000"/>
          <w:kern w:val="0"/>
          <w:sz w:val="24"/>
          <w:szCs w:val="24"/>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ascii="宋体" w:hAnsi="宋体" w:cs="宋体"/>
          <w:sz w:val="24"/>
          <w:szCs w:val="24"/>
        </w:rPr>
      </w:pPr>
      <w:r>
        <w:rPr>
          <w:rFonts w:hint="eastAsia" w:ascii="宋体" w:hAnsi="宋体" w:cs="宋体"/>
          <w:sz w:val="24"/>
          <w:szCs w:val="24"/>
        </w:rPr>
        <w:t>2.落实政府采购强制、优先采购节能产品政策；政府采购优先采购环保产品政策；政府采购促进中小企业发展（监狱企业、残疾人福利性单位视同小微企业）等政策。</w:t>
      </w:r>
    </w:p>
    <w:p>
      <w:pPr>
        <w:spacing w:line="360" w:lineRule="auto"/>
        <w:ind w:firstLine="480" w:firstLineChars="200"/>
        <w:rPr>
          <w:rFonts w:ascii="宋体" w:hAnsi="宋体" w:cs="宋体"/>
          <w:sz w:val="24"/>
          <w:szCs w:val="24"/>
        </w:rPr>
      </w:pPr>
      <w:r>
        <w:rPr>
          <w:rFonts w:hint="eastAsia" w:ascii="宋体" w:hAnsi="宋体" w:cs="宋体"/>
          <w:sz w:val="24"/>
          <w:szCs w:val="24"/>
        </w:rPr>
        <w:t>3.是否专门面向中小企业、监狱企业、残疾人福利性单位：是。</w:t>
      </w:r>
    </w:p>
    <w:p>
      <w:pPr>
        <w:spacing w:line="360" w:lineRule="auto"/>
        <w:rPr>
          <w:b/>
          <w:bCs/>
          <w:sz w:val="24"/>
          <w:szCs w:val="24"/>
        </w:rPr>
      </w:pPr>
      <w:bookmarkStart w:id="28" w:name="_Toc28359085"/>
      <w:bookmarkStart w:id="29" w:name="_Toc28359008"/>
      <w:bookmarkStart w:id="30" w:name="_Toc35393627"/>
      <w:bookmarkStart w:id="31" w:name="_Toc35393796"/>
      <w:r>
        <w:rPr>
          <w:rFonts w:hint="eastAsia"/>
          <w:b/>
          <w:bCs/>
          <w:sz w:val="24"/>
          <w:szCs w:val="24"/>
        </w:rPr>
        <w:t>七、对本次招标提出询问，请按以下方式联系。</w:t>
      </w:r>
      <w:bookmarkEnd w:id="28"/>
      <w:bookmarkEnd w:id="29"/>
      <w:bookmarkEnd w:id="30"/>
      <w:bookmarkEnd w:id="31"/>
    </w:p>
    <w:p>
      <w:pPr>
        <w:spacing w:line="360" w:lineRule="auto"/>
        <w:ind w:firstLine="480" w:firstLineChars="200"/>
        <w:rPr>
          <w:rFonts w:ascii="宋体" w:hAnsi="宋体" w:cs="宋体"/>
          <w:sz w:val="24"/>
          <w:szCs w:val="24"/>
        </w:rPr>
      </w:pPr>
      <w:r>
        <w:rPr>
          <w:rFonts w:hint="eastAsia" w:ascii="宋体" w:hAnsi="宋体" w:cs="宋体"/>
          <w:sz w:val="24"/>
          <w:szCs w:val="24"/>
        </w:rPr>
        <w:t>1.采购人信息</w:t>
      </w:r>
    </w:p>
    <w:p>
      <w:pPr>
        <w:spacing w:line="360" w:lineRule="auto"/>
        <w:ind w:firstLine="480" w:firstLineChars="200"/>
        <w:rPr>
          <w:rFonts w:ascii="宋体" w:hAnsi="宋体" w:cs="宋体"/>
          <w:sz w:val="24"/>
          <w:szCs w:val="24"/>
        </w:rPr>
      </w:pPr>
      <w:r>
        <w:rPr>
          <w:rFonts w:hint="eastAsia" w:ascii="宋体" w:hAnsi="宋体" w:cs="宋体"/>
          <w:sz w:val="24"/>
          <w:szCs w:val="24"/>
        </w:rPr>
        <w:t>名    称：阳新县中医医院</w:t>
      </w:r>
    </w:p>
    <w:p>
      <w:pPr>
        <w:spacing w:line="360" w:lineRule="auto"/>
        <w:ind w:firstLine="480" w:firstLineChars="200"/>
        <w:rPr>
          <w:rFonts w:ascii="宋体" w:hAnsi="宋体" w:cs="宋体"/>
          <w:sz w:val="24"/>
          <w:szCs w:val="24"/>
        </w:rPr>
      </w:pPr>
      <w:r>
        <w:rPr>
          <w:rFonts w:hint="eastAsia" w:ascii="宋体" w:hAnsi="宋体" w:cs="宋体"/>
          <w:sz w:val="24"/>
          <w:szCs w:val="24"/>
        </w:rPr>
        <w:t>地    址：阳新县兴国镇陵园大道9号</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bookmarkStart w:id="32" w:name="_Toc28359009"/>
      <w:bookmarkStart w:id="33" w:name="_Toc28359086"/>
      <w:r>
        <w:rPr>
          <w:rFonts w:hint="eastAsia" w:ascii="宋体" w:hAnsi="宋体" w:cs="宋体"/>
          <w:sz w:val="24"/>
          <w:szCs w:val="24"/>
        </w:rPr>
        <w:t>马锐   0714-7331134</w:t>
      </w:r>
    </w:p>
    <w:p>
      <w:pPr>
        <w:spacing w:line="360" w:lineRule="auto"/>
        <w:ind w:firstLine="480" w:firstLineChars="200"/>
        <w:rPr>
          <w:rFonts w:ascii="宋体" w:hAnsi="宋体" w:cs="宋体"/>
          <w:sz w:val="24"/>
          <w:szCs w:val="24"/>
        </w:rPr>
      </w:pPr>
      <w:r>
        <w:rPr>
          <w:rFonts w:hint="eastAsia" w:ascii="宋体" w:hAnsi="宋体" w:cs="宋体"/>
          <w:sz w:val="24"/>
          <w:szCs w:val="24"/>
        </w:rPr>
        <w:t>2.采购代理机构信息</w:t>
      </w:r>
      <w:bookmarkEnd w:id="32"/>
      <w:bookmarkEnd w:id="33"/>
    </w:p>
    <w:p>
      <w:pPr>
        <w:spacing w:line="360" w:lineRule="auto"/>
        <w:ind w:firstLine="480" w:firstLineChars="200"/>
        <w:rPr>
          <w:rFonts w:ascii="宋体" w:hAnsi="宋体" w:cs="宋体"/>
          <w:sz w:val="24"/>
          <w:szCs w:val="24"/>
        </w:rPr>
      </w:pPr>
      <w:r>
        <w:rPr>
          <w:rFonts w:hint="eastAsia" w:ascii="宋体" w:hAnsi="宋体" w:cs="宋体"/>
          <w:sz w:val="24"/>
          <w:szCs w:val="24"/>
        </w:rPr>
        <w:t>名    称：武汉安平天志工程咨询有限公司</w:t>
      </w:r>
    </w:p>
    <w:p>
      <w:pPr>
        <w:spacing w:line="360" w:lineRule="auto"/>
        <w:ind w:firstLine="480" w:firstLineChars="200"/>
        <w:rPr>
          <w:rFonts w:ascii="宋体" w:hAnsi="宋体" w:cs="宋体"/>
          <w:sz w:val="24"/>
          <w:szCs w:val="24"/>
        </w:rPr>
      </w:pPr>
      <w:r>
        <w:rPr>
          <w:rFonts w:hint="eastAsia" w:ascii="宋体" w:hAnsi="宋体" w:cs="宋体"/>
          <w:sz w:val="24"/>
          <w:szCs w:val="24"/>
        </w:rPr>
        <w:t>地    址：阳新县太阳城四期红绿灯口四合院</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bookmarkStart w:id="34" w:name="_Toc28359010"/>
      <w:bookmarkStart w:id="35" w:name="_Toc28359087"/>
      <w:r>
        <w:rPr>
          <w:rFonts w:hint="eastAsia" w:ascii="宋体" w:hAnsi="宋体" w:cs="宋体"/>
          <w:sz w:val="24"/>
          <w:szCs w:val="24"/>
        </w:rPr>
        <w:t>徐 苏   15997137035</w:t>
      </w:r>
    </w:p>
    <w:bookmarkEnd w:id="34"/>
    <w:bookmarkEnd w:id="35"/>
    <w:p>
      <w:pPr>
        <w:spacing w:line="360" w:lineRule="auto"/>
        <w:ind w:firstLine="480" w:firstLineChars="200"/>
        <w:rPr>
          <w:rFonts w:ascii="宋体" w:hAnsi="宋体" w:cs="宋体"/>
          <w:sz w:val="24"/>
          <w:szCs w:val="24"/>
        </w:rPr>
      </w:pPr>
    </w:p>
    <w:p>
      <w:pPr>
        <w:spacing w:line="360" w:lineRule="auto"/>
        <w:ind w:firstLine="6000" w:firstLineChars="2500"/>
        <w:rPr>
          <w:rFonts w:ascii="宋体" w:hAnsi="宋体" w:cs="宋体"/>
          <w:sz w:val="24"/>
          <w:szCs w:val="24"/>
        </w:rPr>
      </w:pPr>
    </w:p>
    <w:p>
      <w:pPr>
        <w:wordWrap w:val="0"/>
        <w:spacing w:line="360" w:lineRule="auto"/>
        <w:ind w:firstLine="480" w:firstLineChars="200"/>
        <w:jc w:val="right"/>
        <w:rPr>
          <w:rFonts w:ascii="宋体" w:hAnsi="宋体" w:cs="宋体"/>
          <w:sz w:val="24"/>
          <w:szCs w:val="24"/>
        </w:rPr>
      </w:pPr>
      <w:r>
        <w:rPr>
          <w:rFonts w:hint="eastAsia" w:ascii="宋体" w:hAnsi="宋体" w:cs="宋体"/>
          <w:sz w:val="24"/>
          <w:szCs w:val="24"/>
        </w:rPr>
        <w:t>2022年5月</w:t>
      </w:r>
      <w:r>
        <w:rPr>
          <w:rFonts w:hint="eastAsia" w:ascii="宋体" w:hAnsi="宋体" w:cs="宋体"/>
          <w:sz w:val="24"/>
          <w:szCs w:val="24"/>
          <w:lang w:val="en-US" w:eastAsia="zh-CN"/>
        </w:rPr>
        <w:t>20</w:t>
      </w:r>
      <w:r>
        <w:rPr>
          <w:rFonts w:hint="eastAsia" w:ascii="宋体" w:hAnsi="宋体" w:cs="宋体"/>
          <w:sz w:val="24"/>
          <w:szCs w:val="24"/>
        </w:rPr>
        <w:t>日</w:t>
      </w:r>
    </w:p>
    <w:p>
      <w:pPr>
        <w:rPr>
          <w:color w:val="000000"/>
          <w:lang w:val="zh-CN"/>
        </w:rPr>
      </w:pPr>
      <w:r>
        <w:rPr>
          <w:color w:val="000000"/>
          <w:lang w:val="zh-CN"/>
        </w:rPr>
        <w:br w:type="page"/>
      </w:r>
    </w:p>
    <w:p>
      <w:pPr>
        <w:pStyle w:val="5"/>
        <w:numPr>
          <w:ilvl w:val="0"/>
          <w:numId w:val="5"/>
        </w:numPr>
        <w:spacing w:before="120" w:after="120"/>
        <w:ind w:left="883" w:hanging="883" w:hangingChars="200"/>
        <w:jc w:val="center"/>
        <w:rPr>
          <w:rFonts w:ascii="黑体" w:hAnsi="黑体" w:eastAsia="黑体"/>
          <w:color w:val="000000"/>
        </w:rPr>
      </w:pPr>
      <w:bookmarkStart w:id="36" w:name="_Toc511889415"/>
      <w:bookmarkStart w:id="37" w:name="_Toc2906"/>
      <w:bookmarkStart w:id="38" w:name="_Toc511894493"/>
      <w:r>
        <w:rPr>
          <w:rFonts w:hint="eastAsia" w:ascii="黑体" w:hAnsi="黑体" w:eastAsia="黑体"/>
          <w:color w:val="000000"/>
        </w:rPr>
        <w:t>投标人须知</w:t>
      </w:r>
      <w:bookmarkEnd w:id="36"/>
      <w:bookmarkEnd w:id="37"/>
      <w:bookmarkEnd w:id="38"/>
    </w:p>
    <w:p>
      <w:pPr>
        <w:keepNext/>
        <w:keepLines/>
        <w:spacing w:line="360" w:lineRule="auto"/>
        <w:jc w:val="center"/>
        <w:outlineLvl w:val="1"/>
        <w:rPr>
          <w:rFonts w:ascii="宋体" w:hAnsi="宋体" w:cs="Times New Roman"/>
          <w:b/>
          <w:bCs/>
          <w:color w:val="000000"/>
          <w:sz w:val="32"/>
          <w:szCs w:val="32"/>
        </w:rPr>
      </w:pPr>
      <w:bookmarkStart w:id="39" w:name="_Toc511889416"/>
      <w:bookmarkStart w:id="40" w:name="_Toc7669"/>
      <w:bookmarkStart w:id="41" w:name="_Toc511894494"/>
      <w:r>
        <w:rPr>
          <w:rFonts w:ascii="宋体" w:hAnsi="宋体" w:cs="Times New Roman"/>
          <w:b/>
          <w:bCs/>
          <w:color w:val="000000"/>
          <w:sz w:val="32"/>
          <w:szCs w:val="32"/>
        </w:rPr>
        <w:t>投标须知前附表</w:t>
      </w:r>
      <w:bookmarkEnd w:id="39"/>
      <w:bookmarkEnd w:id="40"/>
      <w:bookmarkEnd w:id="41"/>
    </w:p>
    <w:tbl>
      <w:tblPr>
        <w:tblStyle w:val="25"/>
        <w:tblW w:w="9043"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2206"/>
        <w:gridCol w:w="6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blHeader/>
        </w:trPr>
        <w:tc>
          <w:tcPr>
            <w:tcW w:w="588" w:type="dxa"/>
            <w:tcBorders>
              <w:top w:val="single" w:color="auto" w:sz="4" w:space="0"/>
              <w:bottom w:val="single" w:color="auto" w:sz="4" w:space="0"/>
              <w:right w:val="single" w:color="auto" w:sz="4" w:space="0"/>
            </w:tcBorders>
            <w:shd w:val="pct10" w:color="C3BD96" w:fill="DDD9C4"/>
            <w:vAlign w:val="center"/>
          </w:tcPr>
          <w:p>
            <w:pPr>
              <w:spacing w:line="360" w:lineRule="auto"/>
              <w:ind w:left="-65" w:leftChars="-31" w:right="-80" w:rightChars="-38"/>
              <w:jc w:val="center"/>
              <w:rPr>
                <w:rFonts w:ascii="宋体" w:hAnsi="宋体" w:cs="Times New Roman"/>
                <w:b/>
                <w:color w:val="000000"/>
                <w:sz w:val="22"/>
              </w:rPr>
            </w:pPr>
            <w:r>
              <w:rPr>
                <w:rFonts w:ascii="宋体" w:hAnsi="宋体" w:cs="Times New Roman"/>
                <w:b/>
                <w:color w:val="000000"/>
                <w:sz w:val="22"/>
              </w:rPr>
              <w:t>序号</w:t>
            </w:r>
          </w:p>
        </w:tc>
        <w:tc>
          <w:tcPr>
            <w:tcW w:w="2206" w:type="dxa"/>
            <w:tcBorders>
              <w:top w:val="single" w:color="auto" w:sz="4" w:space="0"/>
              <w:left w:val="single" w:color="auto" w:sz="4" w:space="0"/>
              <w:bottom w:val="single" w:color="auto" w:sz="4" w:space="0"/>
              <w:right w:val="single" w:color="auto" w:sz="4" w:space="0"/>
            </w:tcBorders>
            <w:shd w:val="pct10" w:color="C3BD96" w:fill="DDD9C4"/>
            <w:vAlign w:val="center"/>
          </w:tcPr>
          <w:p>
            <w:pPr>
              <w:spacing w:line="360" w:lineRule="auto"/>
              <w:ind w:right="-11"/>
              <w:jc w:val="center"/>
              <w:rPr>
                <w:rFonts w:ascii="Times New Roman" w:hAnsi="Times New Roman" w:cs="Times New Roman"/>
                <w:b/>
                <w:color w:val="000000"/>
                <w:sz w:val="22"/>
              </w:rPr>
            </w:pPr>
            <w:r>
              <w:rPr>
                <w:rFonts w:hint="eastAsia" w:ascii="Times New Roman" w:hAnsi="宋体" w:cs="Times New Roman"/>
                <w:b/>
                <w:color w:val="000000"/>
                <w:sz w:val="22"/>
              </w:rPr>
              <w:t>名  称</w:t>
            </w:r>
          </w:p>
        </w:tc>
        <w:tc>
          <w:tcPr>
            <w:tcW w:w="6249" w:type="dxa"/>
            <w:tcBorders>
              <w:top w:val="single" w:color="auto" w:sz="4" w:space="0"/>
              <w:left w:val="single" w:color="auto" w:sz="4" w:space="0"/>
              <w:bottom w:val="single" w:color="auto" w:sz="4" w:space="0"/>
            </w:tcBorders>
            <w:shd w:val="pct10" w:color="C3BD96" w:fill="DDD9C4"/>
            <w:vAlign w:val="center"/>
          </w:tcPr>
          <w:p>
            <w:pPr>
              <w:spacing w:line="360" w:lineRule="auto"/>
              <w:ind w:left="57" w:right="57" w:firstLine="444" w:firstLineChars="201"/>
              <w:jc w:val="center"/>
              <w:rPr>
                <w:rFonts w:ascii="Times New Roman" w:hAnsi="Times New Roman" w:cs="Times New Roman"/>
                <w:b/>
                <w:color w:val="000000"/>
                <w:sz w:val="22"/>
              </w:rPr>
            </w:pPr>
            <w:r>
              <w:rPr>
                <w:rFonts w:ascii="Times New Roman" w:hAnsi="宋体" w:cs="Times New Roman"/>
                <w:b/>
                <w:color w:val="000000"/>
                <w:sz w:val="22"/>
              </w:rPr>
              <w:t>内</w:t>
            </w:r>
            <w:r>
              <w:rPr>
                <w:rFonts w:ascii="Times New Roman" w:hAnsi="Times New Roman" w:cs="Times New Roman"/>
                <w:b/>
                <w:color w:val="000000"/>
                <w:sz w:val="22"/>
              </w:rPr>
              <w:t xml:space="preserve">           </w:t>
            </w:r>
            <w:r>
              <w:rPr>
                <w:rFonts w:ascii="Times New Roman" w:hAnsi="宋体" w:cs="Times New Roman"/>
                <w:b/>
                <w:color w:val="000000"/>
                <w:sz w:val="22"/>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项目编号</w:t>
            </w:r>
          </w:p>
        </w:tc>
        <w:tc>
          <w:tcPr>
            <w:tcW w:w="6249" w:type="dxa"/>
            <w:tcBorders>
              <w:top w:val="single" w:color="auto" w:sz="4" w:space="0"/>
              <w:left w:val="single" w:color="auto" w:sz="4" w:space="0"/>
              <w:bottom w:val="single" w:color="auto" w:sz="4" w:space="0"/>
            </w:tcBorders>
            <w:vAlign w:val="center"/>
          </w:tcPr>
          <w:p>
            <w:pPr>
              <w:spacing w:line="360" w:lineRule="auto"/>
              <w:rPr>
                <w:rFonts w:hint="default" w:ascii="Times New Roman" w:hAnsi="Times New Roman" w:eastAsia="宋体" w:cs="Times New Roman"/>
                <w:color w:val="000000"/>
                <w:sz w:val="22"/>
                <w:lang w:val="en-US" w:eastAsia="zh-CN"/>
              </w:rPr>
            </w:pPr>
            <w:r>
              <w:rPr>
                <w:rFonts w:hint="eastAsia" w:ascii="宋体" w:hAnsi="宋体" w:cs="宋体"/>
                <w:kern w:val="0"/>
                <w:sz w:val="24"/>
                <w:szCs w:val="24"/>
                <w:shd w:val="clear" w:color="auto" w:fill="FFFFFF"/>
                <w:lang w:bidi="ar"/>
              </w:rPr>
              <w:t>131-2022CG-</w:t>
            </w:r>
            <w:r>
              <w:rPr>
                <w:rFonts w:hint="eastAsia" w:ascii="宋体" w:hAnsi="宋体" w:cs="宋体"/>
                <w:kern w:val="0"/>
                <w:sz w:val="24"/>
                <w:szCs w:val="24"/>
                <w:shd w:val="clear" w:color="auto" w:fill="FFFFFF"/>
                <w:lang w:val="en-US" w:eastAsia="zh-CN" w:bidi="ar"/>
              </w:rPr>
              <w:t>092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项目名称</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宋体" w:hAnsi="宋体" w:cs="宋体"/>
                <w:sz w:val="24"/>
                <w:szCs w:val="24"/>
              </w:rPr>
              <w:t>阳新县中医医院中医康复设备一批采购项目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项目属性</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采购人</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Times New Roman"/>
                <w:color w:val="000000"/>
                <w:sz w:val="22"/>
              </w:rPr>
              <w:t>阳新县中医医院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投标保证金</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b/>
                <w:color w:val="000000"/>
                <w:kern w:val="0"/>
                <w:sz w:val="22"/>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投标文件份数</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ascii="Times New Roman" w:hAnsi="Times New Roman" w:cs="Times New Roman"/>
                <w:color w:val="000000"/>
                <w:sz w:val="22"/>
              </w:rPr>
              <w:t>正本</w:t>
            </w:r>
            <w:r>
              <w:rPr>
                <w:rFonts w:hint="eastAsia" w:ascii="Times New Roman" w:hAnsi="Times New Roman" w:cs="Times New Roman"/>
                <w:color w:val="000000"/>
                <w:sz w:val="22"/>
              </w:rPr>
              <w:t>一</w:t>
            </w:r>
            <w:r>
              <w:rPr>
                <w:rFonts w:ascii="Times New Roman" w:hAnsi="Times New Roman" w:cs="Times New Roman"/>
                <w:color w:val="000000"/>
                <w:sz w:val="22"/>
              </w:rPr>
              <w:t>份</w:t>
            </w:r>
            <w:r>
              <w:rPr>
                <w:rFonts w:hint="eastAsia" w:ascii="Times New Roman" w:hAnsi="Times New Roman" w:cs="Times New Roman"/>
                <w:color w:val="000000"/>
                <w:sz w:val="22"/>
              </w:rPr>
              <w:t>，</w:t>
            </w:r>
            <w:r>
              <w:rPr>
                <w:rFonts w:ascii="Times New Roman" w:hAnsi="Times New Roman" w:cs="Times New Roman"/>
                <w:color w:val="000000"/>
                <w:sz w:val="22"/>
              </w:rPr>
              <w:t>副本</w:t>
            </w:r>
            <w:r>
              <w:rPr>
                <w:rFonts w:hint="eastAsia" w:ascii="Times New Roman" w:hAnsi="Times New Roman" w:cs="Times New Roman"/>
                <w:color w:val="000000"/>
                <w:sz w:val="22"/>
              </w:rPr>
              <w:t>四</w:t>
            </w:r>
            <w:r>
              <w:rPr>
                <w:rFonts w:ascii="Times New Roman" w:hAnsi="Times New Roman" w:cs="Times New Roman"/>
                <w:color w:val="000000"/>
                <w:sz w:val="22"/>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ind w:left="-50" w:leftChars="-24" w:right="-65" w:rightChars="-31"/>
              <w:jc w:val="center"/>
              <w:rPr>
                <w:rFonts w:ascii="Times New Roman" w:hAnsi="宋体" w:cs="Times New Roman"/>
                <w:bCs/>
                <w:color w:val="000000"/>
                <w:sz w:val="22"/>
              </w:rPr>
            </w:pPr>
            <w:r>
              <w:rPr>
                <w:rFonts w:hint="eastAsia" w:ascii="Times New Roman" w:hAnsi="宋体" w:cs="Times New Roman"/>
                <w:bCs/>
                <w:color w:val="000000"/>
                <w:sz w:val="22"/>
              </w:rPr>
              <w:t>投标文件封装及递交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sz w:val="22"/>
              </w:rPr>
            </w:pPr>
            <w:r>
              <w:rPr>
                <w:rFonts w:hint="eastAsia" w:ascii="宋体" w:hAnsi="宋体" w:cs="Times New Roman"/>
                <w:color w:val="000000"/>
                <w:sz w:val="22"/>
              </w:rPr>
              <w:t>详见本章第20和21条相关规定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投标有效期</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宋体" w:hAnsi="宋体" w:cs="宋体"/>
                <w:color w:val="000000"/>
                <w:kern w:val="0"/>
                <w:sz w:val="22"/>
              </w:rPr>
              <w:t>提交投标文件截止之日起90日历天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资格预审</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投标文件递交时间</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开标时间</w:t>
            </w:r>
            <w:r>
              <w:rPr>
                <w:rFonts w:hint="eastAsia" w:ascii="Times New Roman" w:hAnsi="宋体" w:cs="Times New Roman"/>
                <w:color w:val="000000"/>
                <w:sz w:val="22"/>
              </w:rPr>
              <w:t>、地点</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备选方案</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实物样品</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宋体" w:hAnsi="宋体" w:cs="宋体"/>
                <w:color w:val="000000"/>
                <w:sz w:val="22"/>
              </w:rPr>
              <w:t>现场考察</w:t>
            </w:r>
          </w:p>
        </w:tc>
        <w:tc>
          <w:tcPr>
            <w:tcW w:w="6249" w:type="dxa"/>
            <w:tcBorders>
              <w:top w:val="single" w:color="auto" w:sz="4" w:space="0"/>
              <w:left w:val="single" w:color="auto" w:sz="4" w:space="0"/>
              <w:bottom w:val="single" w:color="auto" w:sz="4" w:space="0"/>
            </w:tcBorders>
            <w:vAlign w:val="center"/>
          </w:tcPr>
          <w:p>
            <w:pPr>
              <w:spacing w:line="360" w:lineRule="auto"/>
              <w:ind w:right="-105" w:rightChars="-50"/>
              <w:rPr>
                <w:rFonts w:ascii="Times New Roman" w:hAnsi="Times New Roman" w:cs="Times New Roman"/>
                <w:color w:val="000000"/>
                <w:sz w:val="22"/>
              </w:rPr>
            </w:pPr>
            <w:r>
              <w:rPr>
                <w:rFonts w:hint="eastAsia" w:ascii="Times New Roman" w:hAnsi="Times New Roman" w:cs="Times New Roman"/>
                <w:color w:val="000000"/>
                <w:sz w:val="2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中标后分包</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评标办法</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ascii="Times New Roman" w:hAnsi="Times New Roman" w:cs="Times New Roman"/>
                <w:color w:val="000000"/>
                <w:sz w:val="22"/>
              </w:rPr>
              <w:t>综合评分法</w:t>
            </w:r>
          </w:p>
          <w:p>
            <w:pPr>
              <w:spacing w:line="360" w:lineRule="auto"/>
              <w:rPr>
                <w:rFonts w:ascii="Times New Roman" w:hAnsi="Times New Roman" w:cs="Times New Roman"/>
                <w:color w:val="000000"/>
                <w:sz w:val="22"/>
                <w:lang w:val="zh-CN"/>
              </w:rPr>
            </w:pPr>
            <w:r>
              <w:rPr>
                <w:rFonts w:hint="eastAsia" w:ascii="Times New Roman" w:hAnsi="Times New Roman" w:cs="Times New Roman"/>
                <w:color w:val="000000"/>
                <w:sz w:val="22"/>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中小企业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监狱企业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质疑及提交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sz w:val="22"/>
              </w:rPr>
            </w:pPr>
            <w:r>
              <w:rPr>
                <w:rFonts w:hint="eastAsia" w:ascii="宋体" w:hAnsi="宋体" w:cs="Times New Roman"/>
                <w:color w:val="000000"/>
                <w:sz w:val="22"/>
              </w:rPr>
              <w:t>详见本章“质疑及提交”要求</w:t>
            </w:r>
          </w:p>
        </w:tc>
      </w:tr>
    </w:tbl>
    <w:p>
      <w:pPr>
        <w:rPr>
          <w:color w:val="000000"/>
        </w:rPr>
      </w:pPr>
    </w:p>
    <w:p>
      <w:pPr>
        <w:rPr>
          <w:color w:val="000000"/>
        </w:rPr>
      </w:pPr>
      <w:r>
        <w:rPr>
          <w:color w:val="000000"/>
        </w:rPr>
        <w:br w:type="page"/>
      </w:r>
    </w:p>
    <w:p>
      <w:pPr>
        <w:pStyle w:val="6"/>
        <w:numPr>
          <w:ilvl w:val="0"/>
          <w:numId w:val="7"/>
        </w:numPr>
        <w:spacing w:before="40" w:after="40" w:line="360" w:lineRule="auto"/>
        <w:ind w:left="658" w:hanging="658"/>
        <w:jc w:val="left"/>
        <w:rPr>
          <w:rFonts w:ascii="宋体" w:hAnsi="宋体" w:cs="Times New Roman"/>
          <w:bCs w:val="0"/>
          <w:color w:val="000000"/>
        </w:rPr>
      </w:pPr>
      <w:bookmarkStart w:id="42" w:name="_Toc511894495"/>
      <w:bookmarkStart w:id="43" w:name="_Toc25358"/>
      <w:bookmarkStart w:id="44" w:name="_Toc511889417"/>
      <w:r>
        <w:rPr>
          <w:rFonts w:hint="eastAsia" w:ascii="宋体" w:hAnsi="宋体" w:cs="Times New Roman"/>
          <w:bCs w:val="0"/>
          <w:color w:val="000000"/>
        </w:rPr>
        <w:t>说  明</w:t>
      </w:r>
      <w:bookmarkEnd w:id="42"/>
      <w:bookmarkEnd w:id="43"/>
      <w:bookmarkEnd w:id="44"/>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适用范围</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招标文件仅适用于第一章“投标邀请书”中所述项目的货物、工程及服务的采购。</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当事人定义</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“采购人”是指：</w:t>
      </w:r>
      <w:r>
        <w:rPr>
          <w:rFonts w:hint="eastAsia" w:ascii="宋体" w:hAnsi="宋体" w:cs="Times New Roman"/>
          <w:color w:val="000000"/>
          <w:sz w:val="24"/>
          <w:szCs w:val="24"/>
        </w:rPr>
        <w:t>详见第一章“投标邀请书”。</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“监管部门”是指：阳新县财政局</w:t>
      </w:r>
      <w:r>
        <w:rPr>
          <w:rFonts w:hint="eastAsia" w:ascii="宋体" w:hAnsi="宋体" w:cs="Times New Roman"/>
          <w:color w:val="000000"/>
          <w:sz w:val="24"/>
          <w:szCs w:val="24"/>
        </w:rPr>
        <w:t>。</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“集中采购机构”是指：</w:t>
      </w:r>
      <w:r>
        <w:rPr>
          <w:rFonts w:hint="eastAsia" w:ascii="宋体" w:hAnsi="宋体" w:cs="Times New Roman"/>
          <w:color w:val="000000"/>
          <w:sz w:val="24"/>
          <w:szCs w:val="24"/>
        </w:rPr>
        <w:t>武汉安平天志工程咨询有限公司。</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“投标人”是指：</w:t>
      </w:r>
      <w:r>
        <w:rPr>
          <w:rFonts w:ascii="宋体" w:hAnsi="宋体" w:cs="Helvetica"/>
          <w:color w:val="000000"/>
          <w:kern w:val="0"/>
          <w:sz w:val="24"/>
          <w:szCs w:val="24"/>
        </w:rPr>
        <w:t>响应招标、参加投标竞争的</w:t>
      </w:r>
      <w:r>
        <w:rPr>
          <w:rFonts w:hint="eastAsia" w:ascii="宋体" w:hAnsi="宋体" w:cs="Helvetica"/>
          <w:color w:val="000000"/>
          <w:kern w:val="0"/>
          <w:sz w:val="24"/>
          <w:szCs w:val="24"/>
        </w:rPr>
        <w:t>法人</w:t>
      </w:r>
      <w:r>
        <w:rPr>
          <w:rFonts w:ascii="宋体" w:hAnsi="宋体" w:cs="Helvetica"/>
          <w:color w:val="000000"/>
          <w:kern w:val="0"/>
          <w:sz w:val="24"/>
          <w:szCs w:val="24"/>
        </w:rPr>
        <w:t>、其他组织或者自然人。</w:t>
      </w:r>
    </w:p>
    <w:p>
      <w:pPr>
        <w:numPr>
          <w:ilvl w:val="0"/>
          <w:numId w:val="9"/>
        </w:numPr>
        <w:spacing w:line="360" w:lineRule="auto"/>
        <w:ind w:left="476" w:hanging="476"/>
        <w:rPr>
          <w:rFonts w:ascii="宋体" w:hAnsi="宋体" w:cs="Helvetica"/>
          <w:color w:val="000000"/>
          <w:kern w:val="0"/>
          <w:sz w:val="24"/>
          <w:szCs w:val="24"/>
        </w:rPr>
      </w:pPr>
      <w:r>
        <w:rPr>
          <w:rFonts w:hint="eastAsia" w:ascii="宋体" w:hAnsi="宋体" w:cs="Times New Roman"/>
          <w:b/>
          <w:color w:val="000000"/>
          <w:sz w:val="24"/>
          <w:szCs w:val="24"/>
        </w:rPr>
        <w:t>“合格的投标人”是指：</w:t>
      </w:r>
      <w:r>
        <w:rPr>
          <w:rFonts w:hint="eastAsia" w:ascii="宋体" w:hAnsi="宋体" w:cs="Helvetica"/>
          <w:color w:val="000000"/>
          <w:kern w:val="0"/>
          <w:sz w:val="24"/>
          <w:szCs w:val="24"/>
        </w:rPr>
        <w:t>资格审查和符合性审查合格的投标人。</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“中标人”是指：</w:t>
      </w:r>
      <w:r>
        <w:rPr>
          <w:rFonts w:hint="eastAsia" w:ascii="宋体" w:hAnsi="宋体" w:cs="Times New Roman"/>
          <w:color w:val="000000"/>
          <w:sz w:val="24"/>
          <w:szCs w:val="24"/>
        </w:rPr>
        <w:t>经评标委员会评审，授予合同的投标人。</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项目属性及定义</w:t>
      </w:r>
    </w:p>
    <w:p>
      <w:pPr>
        <w:numPr>
          <w:ilvl w:val="0"/>
          <w:numId w:val="10"/>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“货物”是指</w:t>
      </w:r>
      <w:r>
        <w:rPr>
          <w:rFonts w:hint="eastAsia" w:ascii="宋体" w:hAnsi="宋体" w:cs="Times New Roman"/>
          <w:color w:val="000000"/>
          <w:sz w:val="24"/>
          <w:szCs w:val="24"/>
        </w:rPr>
        <w:t>：各种形态和种类的物品，包括原材料、燃料、设备、产品等。</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3.1.1招标文件中没有提及招标货物来源地的，根据《政府采购法》及相关规定均应是本国货物，另有规定的除外。</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3.1.2投标的货物应是合法生产的符合国家有关标准要求的货物，并能够按照合同规定的品牌、产地、质量、价格和有效期等履约。</w:t>
      </w:r>
    </w:p>
    <w:p>
      <w:pPr>
        <w:numPr>
          <w:ilvl w:val="0"/>
          <w:numId w:val="10"/>
        </w:numPr>
        <w:spacing w:line="360" w:lineRule="auto"/>
        <w:ind w:left="476" w:hanging="476"/>
        <w:rPr>
          <w:rFonts w:ascii="宋体" w:hAnsi="宋体" w:cs="Times New Roman"/>
          <w:b/>
          <w:color w:val="000000"/>
          <w:sz w:val="24"/>
          <w:szCs w:val="24"/>
        </w:rPr>
      </w:pPr>
      <w:r>
        <w:rPr>
          <w:rFonts w:hint="eastAsia" w:ascii="宋体" w:hAnsi="宋体" w:cs="Times New Roman"/>
          <w:b/>
          <w:color w:val="000000"/>
          <w:sz w:val="24"/>
          <w:szCs w:val="24"/>
        </w:rPr>
        <w:t>“工程”是指</w:t>
      </w:r>
      <w:r>
        <w:rPr>
          <w:rFonts w:hint="eastAsia" w:ascii="宋体" w:hAnsi="宋体" w:cs="Times New Roman"/>
          <w:color w:val="000000"/>
          <w:sz w:val="24"/>
          <w:szCs w:val="24"/>
        </w:rPr>
        <w:t>：计算机网络系统工程。</w:t>
      </w:r>
    </w:p>
    <w:p>
      <w:pPr>
        <w:numPr>
          <w:ilvl w:val="0"/>
          <w:numId w:val="10"/>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“服务”是指：</w:t>
      </w:r>
      <w:r>
        <w:rPr>
          <w:rFonts w:hint="eastAsia" w:ascii="宋体" w:hAnsi="宋体" w:cs="Times New Roman"/>
          <w:color w:val="000000"/>
          <w:sz w:val="24"/>
          <w:szCs w:val="24"/>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ascii="宋体" w:hAnsi="宋体" w:cs="Times New Roman"/>
          <w:color w:val="000000"/>
          <w:sz w:val="24"/>
          <w:szCs w:val="24"/>
        </w:rPr>
      </w:pPr>
      <w:r>
        <w:rPr>
          <w:rFonts w:ascii="宋体" w:hAnsi="宋体" w:cs="Times New Roman"/>
          <w:color w:val="000000"/>
          <w:sz w:val="24"/>
          <w:szCs w:val="24"/>
        </w:rPr>
        <w:t>采购人应当按照财政部制定的《政府采购品目分类目录》确定采购项目属性</w:t>
      </w:r>
      <w:r>
        <w:rPr>
          <w:rFonts w:hint="eastAsia" w:ascii="宋体" w:hAnsi="宋体" w:cs="Times New Roman"/>
          <w:color w:val="000000"/>
          <w:sz w:val="24"/>
          <w:szCs w:val="24"/>
        </w:rPr>
        <w:t>。</w:t>
      </w:r>
      <w:r>
        <w:rPr>
          <w:rFonts w:ascii="宋体" w:hAnsi="宋体" w:cs="Times New Roman"/>
          <w:color w:val="000000"/>
          <w:sz w:val="24"/>
          <w:szCs w:val="24"/>
        </w:rPr>
        <w:t>按照《政府采购品目分类目录》无法确定的，按照有利于采购项目实施的原则确定。</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投标费用</w:t>
      </w:r>
    </w:p>
    <w:p>
      <w:pPr>
        <w:numPr>
          <w:ilvl w:val="0"/>
          <w:numId w:val="11"/>
        </w:numPr>
        <w:spacing w:line="360" w:lineRule="auto"/>
        <w:ind w:left="476" w:hanging="476"/>
        <w:rPr>
          <w:rFonts w:ascii="宋体" w:hAnsi="宋体" w:cs="Times New Roman"/>
          <w:color w:val="000000"/>
          <w:sz w:val="24"/>
          <w:szCs w:val="24"/>
        </w:rPr>
      </w:pPr>
      <w:r>
        <w:rPr>
          <w:rFonts w:hint="eastAsia" w:ascii="宋体" w:hAnsi="宋体" w:cs="Times New Roman"/>
          <w:color w:val="000000"/>
          <w:sz w:val="24"/>
          <w:szCs w:val="24"/>
        </w:rPr>
        <w:t>投标人应承担所有与准备和参加投标有关的费用。不论投标的结果如何，集中采购机构和采购人均无义务和责任承担这些费用。</w:t>
      </w:r>
    </w:p>
    <w:p>
      <w:pPr>
        <w:numPr>
          <w:ilvl w:val="0"/>
          <w:numId w:val="11"/>
        </w:numPr>
        <w:spacing w:line="360" w:lineRule="auto"/>
        <w:ind w:left="476" w:hanging="476"/>
        <w:rPr>
          <w:rFonts w:ascii="宋体" w:hAnsi="宋体" w:cs="Times New Roman"/>
          <w:color w:val="000000"/>
          <w:sz w:val="24"/>
          <w:szCs w:val="24"/>
        </w:rPr>
      </w:pPr>
      <w:r>
        <w:rPr>
          <w:rFonts w:hint="eastAsia" w:ascii="宋体" w:hAnsi="宋体" w:cs="Times New Roman"/>
          <w:color w:val="000000"/>
          <w:sz w:val="24"/>
          <w:szCs w:val="24"/>
        </w:rPr>
        <w:t xml:space="preserve">根据《政府采购法》和有关规定，集中采购机构不向中标人收取中标服务费。 </w:t>
      </w:r>
    </w:p>
    <w:p>
      <w:pPr>
        <w:pStyle w:val="6"/>
        <w:numPr>
          <w:ilvl w:val="0"/>
          <w:numId w:val="7"/>
        </w:numPr>
        <w:spacing w:before="40" w:after="40" w:line="360" w:lineRule="auto"/>
        <w:ind w:left="658" w:hanging="658"/>
        <w:jc w:val="left"/>
        <w:rPr>
          <w:rFonts w:ascii="宋体" w:hAnsi="宋体" w:cs="Times New Roman"/>
          <w:bCs w:val="0"/>
          <w:color w:val="000000"/>
        </w:rPr>
      </w:pPr>
      <w:bookmarkStart w:id="45" w:name="_Toc511894496"/>
      <w:bookmarkStart w:id="46" w:name="_Toc511889418"/>
      <w:bookmarkStart w:id="47" w:name="_Toc20342"/>
      <w:r>
        <w:rPr>
          <w:rFonts w:hint="eastAsia" w:ascii="宋体" w:hAnsi="宋体" w:cs="Times New Roman"/>
          <w:bCs w:val="0"/>
          <w:color w:val="000000"/>
        </w:rPr>
        <w:t>招标文件</w:t>
      </w:r>
      <w:bookmarkEnd w:id="45"/>
      <w:bookmarkEnd w:id="46"/>
      <w:bookmarkEnd w:id="47"/>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招标文件的构成</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第一章 投标邀请书</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第二章 投标人须知</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第三章 项目技术、服务及商务要求</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第四章 资格审查方法及标准</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第五章 评标方法、程序及标准</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第六章 合同书格式（参考）</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第七章 投标文件格式（参考）</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其 他  在招标过程中由集中采购机构发出的修正和补充文件等</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招标文件疑问的提交</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潜在投标人对招标文件有疑问的，可以向集中采购机构提出询问，或在6.2规定的时间前以书面的形式向集中采购机构提交疑问函。</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潜在投标人在项目招标公告期限届满之日起7个工作日内未对招标文件提出疑问的，集中采购机构将视其认同招标文件，在规定的时间后就招标文件内容提出的疑问将不予受理。</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招标文件的澄清、修改</w:t>
      </w:r>
    </w:p>
    <w:p>
      <w:pPr>
        <w:numPr>
          <w:ilvl w:val="0"/>
          <w:numId w:val="13"/>
        </w:numPr>
        <w:spacing w:line="360" w:lineRule="auto"/>
        <w:ind w:left="476" w:hanging="476"/>
        <w:rPr>
          <w:rFonts w:ascii="Helvetica" w:hAnsi="Helvetica" w:cs="Helvetica"/>
          <w:color w:val="000000"/>
          <w:kern w:val="0"/>
          <w:sz w:val="24"/>
          <w:szCs w:val="24"/>
        </w:rPr>
      </w:pPr>
      <w:r>
        <w:rPr>
          <w:rFonts w:hint="eastAsia" w:ascii="宋体" w:hAnsi="宋体" w:cs="Times New Roman"/>
          <w:color w:val="000000"/>
          <w:sz w:val="24"/>
          <w:szCs w:val="20"/>
        </w:rPr>
        <w:t>集中采购机构和采购人可以对已发出的招标文件进行必要的澄清或者修改，</w:t>
      </w:r>
      <w:r>
        <w:rPr>
          <w:rFonts w:hint="eastAsia" w:ascii="Helvetica" w:hAnsi="Helvetica" w:cs="Helvetica"/>
          <w:color w:val="000000"/>
          <w:kern w:val="0"/>
          <w:sz w:val="24"/>
          <w:szCs w:val="24"/>
        </w:rPr>
        <w:t>但不得改变采购标的和资格条件</w:t>
      </w:r>
      <w:r>
        <w:rPr>
          <w:rFonts w:hint="eastAsia" w:ascii="宋体" w:hAnsi="宋体" w:cs="Times New Roman"/>
          <w:color w:val="000000"/>
          <w:sz w:val="24"/>
          <w:szCs w:val="20"/>
        </w:rPr>
        <w:t>。</w:t>
      </w:r>
      <w:r>
        <w:rPr>
          <w:rFonts w:hint="eastAsia" w:ascii="Helvetica" w:hAnsi="Helvetica" w:cs="Helvetica"/>
          <w:color w:val="000000"/>
          <w:kern w:val="0"/>
          <w:sz w:val="24"/>
          <w:szCs w:val="24"/>
        </w:rPr>
        <w:t>澄清或者修改将在原公告发布媒体上发布澄清公告。澄清或者修改的内容可能影响投标文件编制的，集中采购机构和采购人将在投标截止时间至少</w:t>
      </w:r>
      <w:r>
        <w:rPr>
          <w:rFonts w:hint="eastAsia" w:ascii="宋体" w:hAnsi="宋体" w:cs="Times New Roman"/>
          <w:color w:val="000000"/>
          <w:sz w:val="24"/>
          <w:szCs w:val="20"/>
        </w:rPr>
        <w:t>15</w:t>
      </w:r>
      <w:r>
        <w:rPr>
          <w:rFonts w:hint="eastAsia" w:ascii="Helvetica" w:hAnsi="Helvetica" w:cs="Helvetica"/>
          <w:color w:val="000000"/>
          <w:kern w:val="0"/>
          <w:sz w:val="24"/>
          <w:szCs w:val="24"/>
        </w:rPr>
        <w:t>日前，以书面形式通知所有获取招标文件的潜在投标人。</w:t>
      </w:r>
    </w:p>
    <w:p>
      <w:pPr>
        <w:numPr>
          <w:ilvl w:val="0"/>
          <w:numId w:val="13"/>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澄清或者修改的内容为招标文件的组成部分，并对潜在投标人具有约束力。潜在投标人在收到上述通知后，应立即以书面（或邮件）形式向集中采购机构确认收悉。</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现场考察</w:t>
      </w:r>
    </w:p>
    <w:p>
      <w:pPr>
        <w:numPr>
          <w:ilvl w:val="0"/>
          <w:numId w:val="14"/>
        </w:numPr>
        <w:spacing w:line="360" w:lineRule="auto"/>
        <w:ind w:left="476" w:hanging="476"/>
        <w:rPr>
          <w:rFonts w:ascii="宋体" w:hAnsi="宋体" w:cs="Times New Roman"/>
          <w:color w:val="000000" w:themeColor="text1"/>
          <w:sz w:val="24"/>
          <w:szCs w:val="20"/>
          <w:lang w:val="zh-CN"/>
          <w14:textFill>
            <w14:solidFill>
              <w14:schemeClr w14:val="tx1"/>
            </w14:solidFill>
          </w14:textFill>
        </w:rPr>
      </w:pPr>
      <w:r>
        <w:rPr>
          <w:rFonts w:hint="eastAsia" w:ascii="宋体" w:hAnsi="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8.2采购人向潜在投标人提供有关现场的数据和资料。是采购人现有的能被潜在投标人利用的客观资料，采购人对潜在投标人依此作出的任何推论、理解和结论均不负责任。</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8.3经采购人允许，潜在投标人可进入项目现场进行考察，但潜在投标人不得因此使采购人承担有关责任和蒙受损失。潜在投标人应自行承担现场考察的全部费用、责任和风险。</w:t>
      </w:r>
    </w:p>
    <w:p>
      <w:pPr>
        <w:pStyle w:val="6"/>
        <w:numPr>
          <w:ilvl w:val="0"/>
          <w:numId w:val="7"/>
        </w:numPr>
        <w:spacing w:before="40" w:after="40" w:line="360" w:lineRule="auto"/>
        <w:ind w:left="658" w:hanging="658"/>
        <w:jc w:val="left"/>
        <w:rPr>
          <w:rFonts w:ascii="宋体" w:hAnsi="宋体" w:cs="Times New Roman"/>
          <w:bCs w:val="0"/>
          <w:color w:val="000000"/>
        </w:rPr>
      </w:pPr>
      <w:bookmarkStart w:id="48" w:name="_Toc511894497"/>
      <w:bookmarkStart w:id="49" w:name="_Toc511889419"/>
      <w:bookmarkStart w:id="50" w:name="_Toc32725"/>
      <w:r>
        <w:rPr>
          <w:rFonts w:hint="eastAsia" w:ascii="宋体" w:hAnsi="宋体" w:cs="Times New Roman"/>
          <w:bCs w:val="0"/>
          <w:color w:val="000000"/>
        </w:rPr>
        <w:t>投标文件</w:t>
      </w:r>
      <w:bookmarkEnd w:id="48"/>
      <w:bookmarkEnd w:id="49"/>
      <w:bookmarkEnd w:id="50"/>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投标的语言</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投标文件的构成</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投标人编制的投标文件应包括但不限于下列内容：</w:t>
      </w:r>
    </w:p>
    <w:p>
      <w:pPr>
        <w:spacing w:line="360" w:lineRule="auto"/>
        <w:ind w:left="1673" w:leftChars="229" w:hanging="1192" w:hangingChars="497"/>
        <w:rPr>
          <w:rFonts w:ascii="宋体" w:hAnsi="宋体" w:cs="Times New Roman"/>
          <w:color w:val="000000"/>
          <w:sz w:val="24"/>
          <w:szCs w:val="24"/>
        </w:rPr>
      </w:pPr>
      <w:r>
        <w:rPr>
          <w:rFonts w:hint="eastAsia" w:ascii="宋体" w:hAnsi="宋体" w:cs="Times New Roman"/>
          <w:color w:val="000000"/>
          <w:sz w:val="24"/>
          <w:szCs w:val="24"/>
        </w:rPr>
        <w:t>第一部分  资格证明文件（详见第七章“投标文件格式”中资格证明文件组成），如采购人已组织过项目资格预审的，投标人无需再提交资格证明文件）</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第二部分  商务文件（详见第七章“投标文件格式”中商务文件组成）</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第三部分  技术、服务文件（详见第七章“投标文件格式”中技术、服务文件组成）</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投标文件编制</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投标人应对投标文件中所提供资料的真实性负责，若有虚假，将依法承担相应责任。投标人应自觉接受集中采购机构对其中任何资料进一步核实的要求。</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投标文件用纸应统一为A4规格（图纸除外）。</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投标人应将投标文件第一部分资格证明文件、第二部分商务文件、第三部分技术、服务文件分册编制装订，分别逐页连续标注页码，建立目录索引。各部分文件及内容详见第七章“投标文件格式”要求。</w:t>
      </w:r>
    </w:p>
    <w:p>
      <w:pPr>
        <w:spacing w:line="360" w:lineRule="auto"/>
      </w:pPr>
      <w:r>
        <w:rPr>
          <w:rFonts w:hint="eastAsia" w:hAnsi="宋体" w:cs="Times New Roman"/>
          <w:b/>
          <w:color w:val="000000"/>
          <w:sz w:val="24"/>
          <w:szCs w:val="20"/>
        </w:rPr>
        <w:t xml:space="preserve">11.8  </w:t>
      </w: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被拒绝。开标一览表必须按要求由投标人法定代表人或法定代表人授权代表签字，并加盖投标单位公章，单独密封提交，否则将被视为非响应性投标，将按照无效投标处理。</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投标报价</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投标人所提供的货物（工程或服务）均以人民币计价。</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《投标报价明细表》填写时应响应下列要求：</w:t>
      </w:r>
    </w:p>
    <w:p>
      <w:pPr>
        <w:numPr>
          <w:ilvl w:val="0"/>
          <w:numId w:val="17"/>
        </w:numPr>
        <w:spacing w:line="360" w:lineRule="auto"/>
        <w:ind w:left="980" w:hanging="854"/>
        <w:jc w:val="left"/>
        <w:rPr>
          <w:rFonts w:ascii="宋体" w:hAnsi="宋体" w:cs="Times New Roman"/>
          <w:color w:val="000000"/>
          <w:sz w:val="24"/>
          <w:szCs w:val="24"/>
        </w:rPr>
      </w:pPr>
      <w:r>
        <w:rPr>
          <w:rFonts w:hint="eastAsia" w:ascii="宋体" w:hAnsi="宋体"/>
          <w:color w:val="000000"/>
          <w:sz w:val="24"/>
        </w:rPr>
        <w:t>应包括所有根据合同或其他原因由投标人支付的款项、费用</w:t>
      </w:r>
      <w:r>
        <w:rPr>
          <w:rFonts w:hint="eastAsia" w:ascii="宋体" w:hAnsi="宋体" w:cs="Times New Roman"/>
          <w:color w:val="000000"/>
          <w:sz w:val="24"/>
          <w:szCs w:val="24"/>
        </w:rPr>
        <w:t>；</w:t>
      </w:r>
    </w:p>
    <w:p>
      <w:pPr>
        <w:numPr>
          <w:ilvl w:val="0"/>
          <w:numId w:val="17"/>
        </w:numPr>
        <w:spacing w:line="360" w:lineRule="auto"/>
        <w:ind w:left="980" w:hanging="854"/>
        <w:rPr>
          <w:rFonts w:ascii="宋体" w:hAnsi="宋体" w:cs="Times New Roman"/>
          <w:color w:val="000000"/>
          <w:spacing w:val="-6"/>
          <w:sz w:val="24"/>
          <w:szCs w:val="24"/>
        </w:rPr>
      </w:pPr>
      <w:r>
        <w:rPr>
          <w:rFonts w:hint="eastAsia" w:ascii="宋体" w:hAnsi="宋体" w:cs="Times New Roman"/>
          <w:color w:val="000000"/>
          <w:spacing w:val="-6"/>
          <w:sz w:val="24"/>
          <w:szCs w:val="24"/>
        </w:rPr>
        <w:t>应包含货物运至最终目的地的运输、保险和伴随货物（工程或服务）的有关费用；</w:t>
      </w:r>
    </w:p>
    <w:p>
      <w:pPr>
        <w:numPr>
          <w:ilvl w:val="0"/>
          <w:numId w:val="17"/>
        </w:numPr>
        <w:spacing w:line="360" w:lineRule="auto"/>
        <w:ind w:left="980" w:hanging="854"/>
        <w:rPr>
          <w:rFonts w:ascii="宋体" w:hAnsi="宋体" w:cs="Courier New"/>
          <w:color w:val="000000"/>
          <w:sz w:val="24"/>
          <w:szCs w:val="24"/>
        </w:rPr>
      </w:pPr>
      <w:r>
        <w:rPr>
          <w:rFonts w:hint="eastAsia" w:ascii="宋体" w:hAnsi="宋体" w:cs="Times New Roman"/>
          <w:color w:val="000000"/>
          <w:sz w:val="24"/>
          <w:szCs w:val="24"/>
        </w:rPr>
        <w:t>应详细提供《投标报价明细表》和《投标货物、服务清单》等内容，否则按照</w:t>
      </w:r>
      <w:r>
        <w:rPr>
          <w:rFonts w:hint="eastAsia" w:ascii="宋体" w:hAnsi="宋体" w:cs="Times New Roman"/>
          <w:b/>
          <w:color w:val="000000"/>
          <w:sz w:val="24"/>
          <w:szCs w:val="24"/>
        </w:rPr>
        <w:t>无效投标处理。</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每一种规格的货物（工程或服务）只允许有一个报价，否则按照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投标人应对项目招标范围内的全部内容进行报价，不得缺、漏项或只投其中的部分内容的，否则按照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备选方案</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只允许投标人提供一个投标方案（招标文件中要求提供备选方案的除外），否则按照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中标后分包</w:t>
      </w:r>
    </w:p>
    <w:p>
      <w:pPr>
        <w:spacing w:line="360" w:lineRule="auto"/>
        <w:ind w:firstLine="480" w:firstLineChars="200"/>
        <w:rPr>
          <w:rFonts w:ascii="宋体" w:hAnsi="宋体" w:cs="Times New Roman"/>
          <w:color w:val="000000"/>
          <w:sz w:val="24"/>
          <w:szCs w:val="24"/>
        </w:rPr>
      </w:pPr>
      <w:r>
        <w:rPr>
          <w:rFonts w:ascii="宋体" w:hAnsi="宋体" w:cs="Times New Roman"/>
          <w:color w:val="000000"/>
          <w:sz w:val="24"/>
          <w:szCs w:val="24"/>
        </w:rPr>
        <w:t>招标文件规定</w:t>
      </w:r>
      <w:r>
        <w:rPr>
          <w:rFonts w:hint="eastAsia" w:ascii="宋体" w:hAnsi="宋体" w:cs="Times New Roman"/>
          <w:color w:val="000000"/>
          <w:sz w:val="24"/>
          <w:szCs w:val="24"/>
        </w:rPr>
        <w:t>项目非主体、非关键性工作中标后可以分包</w:t>
      </w:r>
      <w:r>
        <w:rPr>
          <w:rFonts w:ascii="宋体" w:hAnsi="宋体" w:cs="Times New Roman"/>
          <w:color w:val="000000"/>
          <w:sz w:val="24"/>
          <w:szCs w:val="24"/>
        </w:rPr>
        <w:t>的，投标人拟在中标后将项目的非主体、非关键性工作分包，应当在投标文件中载明</w:t>
      </w:r>
      <w:r>
        <w:rPr>
          <w:rFonts w:hint="eastAsia" w:ascii="宋体" w:hAnsi="宋体" w:cs="Times New Roman"/>
          <w:color w:val="000000"/>
          <w:sz w:val="24"/>
          <w:szCs w:val="24"/>
        </w:rPr>
        <w:t>具备相应资质条件的</w:t>
      </w:r>
      <w:r>
        <w:rPr>
          <w:rFonts w:ascii="宋体" w:hAnsi="宋体" w:cs="Times New Roman"/>
          <w:color w:val="000000"/>
          <w:sz w:val="24"/>
          <w:szCs w:val="24"/>
        </w:rPr>
        <w:t>分包承担主体，分包承担主体不得再次分包。</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联合体投标</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两个及以上供应商可以组成一个联合体，以一个投标人的身份共同参与投标。</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采取联合体形式投标的，项目评审时只对联合体主体进行评议。</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联合体中标的，联合体各方应当共同与采购人签订采购合同，</w:t>
      </w:r>
      <w:r>
        <w:rPr>
          <w:rFonts w:hint="eastAsia" w:ascii="宋体" w:hAnsi="宋体"/>
          <w:color w:val="000000"/>
          <w:sz w:val="24"/>
        </w:rPr>
        <w:t>就采购合同约定的事项对采购人承担连带责任，</w:t>
      </w:r>
      <w:r>
        <w:rPr>
          <w:rFonts w:hint="eastAsia" w:ascii="宋体" w:hAnsi="宋体" w:cs="Times New Roman"/>
          <w:color w:val="000000"/>
          <w:sz w:val="24"/>
          <w:szCs w:val="24"/>
        </w:rPr>
        <w:t>联合体主体单位负主要责任。</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联合体中有同类资质的供应商按照联合体分工承担相同工作的，应当按照资质等级较低的供应商确定资质等级。</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招标文件第一章“投标人资格要求”中</w:t>
      </w:r>
      <w:r>
        <w:rPr>
          <w:rFonts w:ascii="宋体" w:hAnsi="宋体" w:cs="Times New Roman"/>
          <w:color w:val="000000"/>
          <w:sz w:val="24"/>
          <w:szCs w:val="24"/>
        </w:rPr>
        <w:t>未载明</w:t>
      </w:r>
      <w:r>
        <w:rPr>
          <w:rFonts w:hint="eastAsia" w:ascii="宋体" w:hAnsi="宋体" w:cs="Times New Roman"/>
          <w:color w:val="000000"/>
          <w:sz w:val="24"/>
          <w:szCs w:val="24"/>
        </w:rPr>
        <w:t>是否接受联合体投标的</w:t>
      </w:r>
      <w:r>
        <w:rPr>
          <w:rFonts w:ascii="宋体" w:hAnsi="宋体" w:cs="Times New Roman"/>
          <w:color w:val="000000"/>
          <w:sz w:val="24"/>
          <w:szCs w:val="24"/>
        </w:rPr>
        <w:t>，</w:t>
      </w:r>
      <w:r>
        <w:rPr>
          <w:rFonts w:hint="eastAsia" w:ascii="宋体" w:hAnsi="宋体" w:cs="Times New Roman"/>
          <w:color w:val="000000"/>
          <w:sz w:val="24"/>
          <w:szCs w:val="24"/>
        </w:rPr>
        <w:t>视同接受</w:t>
      </w:r>
      <w:r>
        <w:rPr>
          <w:rFonts w:ascii="宋体" w:hAnsi="宋体" w:cs="Times New Roman"/>
          <w:color w:val="000000"/>
          <w:sz w:val="24"/>
          <w:szCs w:val="24"/>
        </w:rPr>
        <w:t>。</w:t>
      </w:r>
    </w:p>
    <w:p>
      <w:pPr>
        <w:numPr>
          <w:ilvl w:val="0"/>
          <w:numId w:val="18"/>
        </w:numPr>
        <w:spacing w:line="360" w:lineRule="auto"/>
        <w:ind w:left="728" w:hanging="728"/>
        <w:rPr>
          <w:rFonts w:ascii="宋体" w:hAnsi="宋体" w:cs="Times New Roman"/>
          <w:color w:val="000000"/>
          <w:sz w:val="24"/>
          <w:szCs w:val="24"/>
        </w:rPr>
      </w:pPr>
      <w:r>
        <w:rPr>
          <w:rFonts w:hint="eastAsia" w:ascii="宋体" w:hAnsi="宋体" w:cs="Times New Roman"/>
          <w:color w:val="000000"/>
          <w:sz w:val="24"/>
          <w:szCs w:val="24"/>
        </w:rPr>
        <w:t>以联合体形式参与投标的，其价格扣除相关规定详见第五章“评标方法、程序及标准”。</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sz w:val="24"/>
          <w:szCs w:val="24"/>
        </w:rPr>
        <w:t>资格证明文件</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资格证明文件应真实、合法，并就此承担相应法律责任。</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资格证明文件正本应为清晰彩色影印件且加盖单位公章，否则按照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。副本可为正本的复印件,但应在副本封面加盖单位公章，开标现场</w:t>
      </w:r>
      <w:r>
        <w:rPr>
          <w:rFonts w:hint="eastAsia" w:ascii="宋体" w:hAnsi="宋体" w:cs="Times New Roman"/>
          <w:b/>
          <w:bCs/>
          <w:color w:val="000000" w:themeColor="text1"/>
          <w:sz w:val="24"/>
          <w:szCs w:val="24"/>
          <w14:textFill>
            <w14:solidFill>
              <w14:schemeClr w14:val="tx1"/>
            </w14:solidFill>
          </w14:textFill>
        </w:rPr>
        <w:t>需提供资格证明文件的原件</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资格证明文件内容详见</w:t>
      </w:r>
      <w:r>
        <w:rPr>
          <w:rFonts w:hint="eastAsia" w:ascii="宋体" w:hAnsi="宋体" w:cs="Times New Roman"/>
          <w:color w:val="000000" w:themeColor="text1"/>
          <w:sz w:val="24"/>
          <w:szCs w:val="24"/>
          <w14:textFill>
            <w14:solidFill>
              <w14:schemeClr w14:val="tx1"/>
            </w14:solidFill>
          </w14:textFill>
        </w:rPr>
        <w:t>第四章“资格审查方法及标准”中资格审查内容</w:t>
      </w:r>
      <w:r>
        <w:rPr>
          <w:rFonts w:hint="eastAsia" w:ascii="宋体" w:hAnsi="宋体" w:cs="Helvetica"/>
          <w:color w:val="000000" w:themeColor="text1"/>
          <w:kern w:val="0"/>
          <w:sz w:val="24"/>
          <w:szCs w:val="24"/>
          <w14:textFill>
            <w14:solidFill>
              <w14:schemeClr w14:val="tx1"/>
            </w14:solidFill>
          </w14:textFill>
        </w:rPr>
        <w:t>。</w:t>
      </w:r>
    </w:p>
    <w:p>
      <w:pPr>
        <w:numPr>
          <w:ilvl w:val="0"/>
          <w:numId w:val="19"/>
        </w:numPr>
        <w:spacing w:line="360" w:lineRule="auto"/>
        <w:ind w:left="616" w:hanging="616"/>
        <w:rPr>
          <w:rFonts w:ascii="宋体" w:hAnsi="宋体" w:cs="Times New Roman"/>
          <w:color w:val="000000" w:themeColor="text1"/>
          <w:spacing w:val="-6"/>
          <w:sz w:val="24"/>
          <w:szCs w:val="24"/>
          <w14:textFill>
            <w14:solidFill>
              <w14:schemeClr w14:val="tx1"/>
            </w14:solidFill>
          </w14:textFill>
        </w:rPr>
      </w:pPr>
      <w:r>
        <w:rPr>
          <w:rFonts w:hint="eastAsia" w:ascii="宋体" w:hAnsi="宋体" w:cs="Helvetica"/>
          <w:b/>
          <w:color w:val="000000" w:themeColor="text1"/>
          <w:spacing w:val="-6"/>
          <w:kern w:val="0"/>
          <w:sz w:val="24"/>
          <w:szCs w:val="24"/>
          <w14:textFill>
            <w14:solidFill>
              <w14:schemeClr w14:val="tx1"/>
            </w14:solidFill>
          </w14:textFill>
        </w:rPr>
        <w:t>如采购人组织项目资格预审的，集中采购机构将拒绝未通过资格预审投标人的投标</w:t>
      </w:r>
      <w:r>
        <w:rPr>
          <w:rFonts w:hint="eastAsia" w:ascii="宋体" w:hAnsi="宋体" w:cs="Helvetica"/>
          <w:color w:val="000000" w:themeColor="text1"/>
          <w:spacing w:val="-6"/>
          <w:kern w:val="0"/>
          <w:sz w:val="24"/>
          <w:szCs w:val="24"/>
          <w14:textFill>
            <w14:solidFill>
              <w14:schemeClr w14:val="tx1"/>
            </w14:solidFill>
          </w14:textFill>
        </w:rPr>
        <w:t>。</w:t>
      </w:r>
    </w:p>
    <w:p>
      <w:pPr>
        <w:numPr>
          <w:ilvl w:val="0"/>
          <w:numId w:val="8"/>
        </w:numPr>
        <w:spacing w:line="360" w:lineRule="auto"/>
        <w:ind w:left="560" w:hanging="560"/>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投标保证金</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本项目不收取投标保证金，详见本章“投标须知前附表”中的说明。</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投标有效期</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投标有效期详见本章“投标须知前附表”中规定。</w:t>
      </w:r>
      <w:r>
        <w:rPr>
          <w:rFonts w:ascii="宋体" w:hAnsi="宋体" w:cs="Helvetica"/>
          <w:color w:val="000000" w:themeColor="text1"/>
          <w:kern w:val="0"/>
          <w:sz w:val="24"/>
          <w:szCs w:val="24"/>
          <w14:textFill>
            <w14:solidFill>
              <w14:schemeClr w14:val="tx1"/>
            </w14:solidFill>
          </w14:textFill>
        </w:rPr>
        <w:t>投标文件中承诺的投标有效期</w:t>
      </w:r>
      <w:r>
        <w:rPr>
          <w:rFonts w:ascii="宋体" w:hAnsi="宋体" w:cs="Helvetica"/>
          <w:color w:val="000000" w:themeColor="text1"/>
          <w:spacing w:val="-6"/>
          <w:kern w:val="0"/>
          <w:sz w:val="24"/>
          <w:szCs w:val="24"/>
          <w14:textFill>
            <w14:solidFill>
              <w14:schemeClr w14:val="tx1"/>
            </w14:solidFill>
          </w14:textFill>
        </w:rPr>
        <w:t>应当不少于招标文件中载明的投标有效期</w:t>
      </w:r>
      <w:r>
        <w:rPr>
          <w:rFonts w:hint="eastAsia" w:ascii="宋体" w:hAnsi="宋体" w:cs="Helvetica"/>
          <w:color w:val="000000" w:themeColor="text1"/>
          <w:spacing w:val="-6"/>
          <w:kern w:val="0"/>
          <w:sz w:val="24"/>
          <w:szCs w:val="24"/>
          <w14:textFill>
            <w14:solidFill>
              <w14:schemeClr w14:val="tx1"/>
            </w14:solidFill>
          </w14:textFill>
        </w:rPr>
        <w:t>。投标有效期不足的，</w:t>
      </w:r>
      <w:r>
        <w:rPr>
          <w:rFonts w:hint="eastAsia" w:ascii="宋体" w:hAnsi="宋体" w:cs="Times New Roman"/>
          <w:color w:val="000000" w:themeColor="text1"/>
          <w:spacing w:val="-6"/>
          <w:sz w:val="24"/>
          <w:szCs w:val="24"/>
          <w14:textFill>
            <w14:solidFill>
              <w14:schemeClr w14:val="tx1"/>
            </w14:solidFill>
          </w14:textFill>
        </w:rPr>
        <w:t>按照</w:t>
      </w:r>
      <w:r>
        <w:rPr>
          <w:rFonts w:hint="eastAsia" w:ascii="宋体" w:hAnsi="宋体" w:cs="Times New Roman"/>
          <w:b/>
          <w:color w:val="000000" w:themeColor="text1"/>
          <w:spacing w:val="-6"/>
          <w:sz w:val="24"/>
          <w:szCs w:val="24"/>
          <w14:textFill>
            <w14:solidFill>
              <w14:schemeClr w14:val="tx1"/>
            </w14:solidFill>
          </w14:textFill>
        </w:rPr>
        <w:t>无效投标处理。</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投标文件的数量和签署</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投标文件的正本应打印或用不褪色墨水书写，应由法定代表人或经其正式授权的代表签字或盖章。由被授权代表签字的，应以书面形式出具授权证明，其《法定代表人授权书》应附在投标文件中。</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投标文件中任何涂改和增删，应由法定代表人或经其正式授权的代表在旁边签字后方为有效。</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招标文件中要求加盖公章及签字（签章）之处，投标文件正本中应按要求提供加盖公章及签字（签章）的原件，否则按照</w:t>
      </w:r>
      <w:r>
        <w:rPr>
          <w:rFonts w:hint="eastAsia" w:ascii="宋体" w:hAnsi="宋体" w:cs="Times New Roman"/>
          <w:b/>
          <w:color w:val="000000" w:themeColor="text1"/>
          <w:sz w:val="24"/>
          <w:szCs w:val="24"/>
          <w14:textFill>
            <w14:solidFill>
              <w14:schemeClr w14:val="tx1"/>
            </w14:solidFill>
          </w14:textFill>
        </w:rPr>
        <w:t>无效投标处理。</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投标文件的密封和标记</w:t>
      </w:r>
    </w:p>
    <w:p>
      <w:pPr>
        <w:numPr>
          <w:ilvl w:val="0"/>
          <w:numId w:val="23"/>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投标文件包括第一部分资格证明文件，第二部分商务文件，第三部分技术、服务文件, 上述三部分应分别密封在独立封包中，并在封包上标明各部分名称，每个封包内应包括正本1份、副本4份。（</w:t>
      </w:r>
      <w:r>
        <w:rPr>
          <w:rFonts w:hint="eastAsia" w:ascii="宋体" w:hAnsi="宋体" w:cs="Times New Roman"/>
          <w:b/>
          <w:color w:val="000000" w:themeColor="text1"/>
          <w:sz w:val="24"/>
          <w:szCs w:val="24"/>
          <w14:textFill>
            <w14:solidFill>
              <w14:schemeClr w14:val="tx1"/>
            </w14:solidFill>
          </w14:textFill>
        </w:rPr>
        <w:t>如</w:t>
      </w:r>
      <w:r>
        <w:rPr>
          <w:rFonts w:hint="eastAsia" w:ascii="宋体" w:hAnsi="宋体" w:cs="Helvetica"/>
          <w:b/>
          <w:color w:val="000000" w:themeColor="text1"/>
          <w:kern w:val="0"/>
          <w:sz w:val="24"/>
          <w:szCs w:val="24"/>
          <w14:textFill>
            <w14:solidFill>
              <w14:schemeClr w14:val="tx1"/>
            </w14:solidFill>
          </w14:textFill>
        </w:rPr>
        <w:t>采购人已组织过项目资格预审的，投标人无需再提交资格证明文件</w:t>
      </w:r>
      <w:r>
        <w:rPr>
          <w:rFonts w:hint="eastAsia" w:ascii="宋体" w:hAnsi="宋体" w:cs="Times New Roman"/>
          <w:color w:val="000000" w:themeColor="text1"/>
          <w:sz w:val="24"/>
          <w:szCs w:val="20"/>
          <w14:textFill>
            <w14:solidFill>
              <w14:schemeClr w14:val="tx1"/>
            </w14:solidFill>
          </w14:textFill>
        </w:rPr>
        <w:t>）</w:t>
      </w:r>
    </w:p>
    <w:p>
      <w:pPr>
        <w:numPr>
          <w:ilvl w:val="0"/>
          <w:numId w:val="23"/>
        </w:numPr>
        <w:spacing w:line="360" w:lineRule="auto"/>
        <w:ind w:left="616" w:hanging="616"/>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为方便开标时唱标，投标人应将《开标一览表》原件一份</w:t>
      </w:r>
      <w:r>
        <w:rPr>
          <w:rFonts w:hint="eastAsia" w:ascii="宋体" w:hAnsi="宋体" w:cs="Times New Roman"/>
          <w:color w:val="000000" w:themeColor="text1"/>
          <w:spacing w:val="-6"/>
          <w:kern w:val="0"/>
          <w:sz w:val="24"/>
          <w:szCs w:val="20"/>
          <w14:textFill>
            <w14:solidFill>
              <w14:schemeClr w14:val="tx1"/>
            </w14:solidFill>
          </w14:textFill>
        </w:rPr>
        <w:t>装入一个信封，单独密封提交</w:t>
      </w:r>
      <w:r>
        <w:rPr>
          <w:rFonts w:hint="eastAsia" w:ascii="宋体" w:hAnsi="宋体" w:cs="Times New Roman"/>
          <w:color w:val="000000" w:themeColor="text1"/>
          <w:sz w:val="24"/>
          <w:szCs w:val="20"/>
          <w14:textFill>
            <w14:solidFill>
              <w14:schemeClr w14:val="tx1"/>
            </w14:solidFill>
          </w14:textFill>
        </w:rPr>
        <w:t>，并在信封上注明“开标一览表”字样。未单独提交或单独提交的上述资料未按照招标文件规定的格式填写完整并签字、盖章的集中采购机构</w:t>
      </w:r>
      <w:r>
        <w:rPr>
          <w:rFonts w:hint="eastAsia" w:ascii="宋体" w:hAnsi="宋体" w:cs="Times New Roman"/>
          <w:b/>
          <w:color w:val="000000" w:themeColor="text1"/>
          <w:sz w:val="24"/>
          <w:szCs w:val="20"/>
          <w14:textFill>
            <w14:solidFill>
              <w14:schemeClr w14:val="tx1"/>
            </w14:solidFill>
          </w14:textFill>
        </w:rPr>
        <w:t>拒绝</w:t>
      </w:r>
      <w:r>
        <w:rPr>
          <w:rFonts w:hint="eastAsia" w:ascii="宋体" w:hAnsi="宋体" w:cs="Times New Roman"/>
          <w:color w:val="000000" w:themeColor="text1"/>
          <w:sz w:val="24"/>
          <w:szCs w:val="20"/>
          <w14:textFill>
            <w14:solidFill>
              <w14:schemeClr w14:val="tx1"/>
            </w14:solidFill>
          </w14:textFill>
        </w:rPr>
        <w:t>其投标。</w:t>
      </w:r>
    </w:p>
    <w:p>
      <w:pPr>
        <w:numPr>
          <w:ilvl w:val="0"/>
          <w:numId w:val="23"/>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“开标一览表”信封和投标文件各部分的封包上还应注明采购项目编号、项目名称、投标内容和有“在（招标文件中规定的开标日期和时间）之前不得启封”的字样，封口处加盖投标人公章。</w:t>
      </w:r>
    </w:p>
    <w:p>
      <w:pPr>
        <w:numPr>
          <w:ilvl w:val="0"/>
          <w:numId w:val="23"/>
        </w:numPr>
        <w:spacing w:line="360" w:lineRule="auto"/>
        <w:ind w:left="618" w:hanging="618"/>
        <w:rPr>
          <w:rFonts w:ascii="宋体" w:hAnsi="宋体" w:cs="Times New Roman"/>
          <w:color w:val="000000"/>
          <w:sz w:val="24"/>
          <w:szCs w:val="20"/>
        </w:rPr>
      </w:pPr>
      <w:r>
        <w:rPr>
          <w:rFonts w:hint="eastAsia" w:ascii="宋体" w:hAnsi="宋体" w:cs="Times New Roman"/>
          <w:color w:val="000000"/>
          <w:sz w:val="24"/>
          <w:szCs w:val="20"/>
        </w:rPr>
        <w:t>未按要求密封、标记或存在错误，集中采购机构对其误投或提前启封概不负责。</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投标文件递交</w:t>
      </w:r>
    </w:p>
    <w:p>
      <w:pPr>
        <w:numPr>
          <w:ilvl w:val="0"/>
          <w:numId w:val="24"/>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投标人应在不迟于投标邀请书中规定的投标截止日期和时间将投标文件密封递交至集中采购机构规定的投标地点。</w:t>
      </w:r>
    </w:p>
    <w:p>
      <w:pPr>
        <w:numPr>
          <w:ilvl w:val="0"/>
          <w:numId w:val="24"/>
        </w:numPr>
        <w:spacing w:line="360" w:lineRule="auto"/>
        <w:ind w:left="616" w:hanging="616"/>
        <w:rPr>
          <w:rFonts w:ascii="Helvetica" w:hAnsi="Helvetica" w:cs="Helvetica"/>
          <w:b/>
          <w:color w:val="000000"/>
          <w:kern w:val="0"/>
          <w:sz w:val="24"/>
          <w:szCs w:val="24"/>
        </w:rPr>
      </w:pPr>
      <w:r>
        <w:rPr>
          <w:rFonts w:hint="eastAsia" w:ascii="Helvetica" w:hAnsi="Helvetica" w:cs="Helvetica"/>
          <w:b/>
          <w:color w:val="000000"/>
          <w:kern w:val="0"/>
          <w:sz w:val="24"/>
          <w:szCs w:val="24"/>
        </w:rPr>
        <w:t>集中采购机构拒收逾期送达或者未按招标文件要求密封的投标文件。</w:t>
      </w:r>
    </w:p>
    <w:p>
      <w:pPr>
        <w:numPr>
          <w:ilvl w:val="0"/>
          <w:numId w:val="24"/>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集中</w:t>
      </w:r>
      <w:r>
        <w:rPr>
          <w:rFonts w:ascii="Helvetica" w:hAnsi="Helvetica" w:cs="Helvetica"/>
          <w:color w:val="000000"/>
          <w:kern w:val="0"/>
          <w:sz w:val="24"/>
          <w:szCs w:val="24"/>
        </w:rPr>
        <w:t>采购机构收到投标文件后，应当如实记载投标文件的送达时间和密封情况，签收保存，并向投标人出具签收回执。</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投标文件的修改和撤回</w:t>
      </w:r>
    </w:p>
    <w:p>
      <w:pPr>
        <w:numPr>
          <w:ilvl w:val="0"/>
          <w:numId w:val="25"/>
        </w:numPr>
        <w:spacing w:line="360" w:lineRule="auto"/>
        <w:ind w:left="616" w:hanging="616"/>
        <w:rPr>
          <w:rFonts w:ascii="宋体" w:hAnsi="宋体" w:cs="Times New Roman"/>
          <w:strike/>
          <w:color w:val="000000"/>
          <w:sz w:val="24"/>
          <w:szCs w:val="20"/>
        </w:rPr>
      </w:pPr>
      <w:r>
        <w:rPr>
          <w:rFonts w:ascii="宋体" w:hAnsi="宋体" w:cs="Times New Roman"/>
          <w:color w:val="000000"/>
          <w:sz w:val="24"/>
          <w:szCs w:val="20"/>
        </w:rPr>
        <w:t>投标人在投标截止时间前，可以对所递交的投标文件进行补充、修改或者撤回，并书面通知</w:t>
      </w:r>
      <w:r>
        <w:rPr>
          <w:rFonts w:hint="eastAsia" w:ascii="宋体" w:hAnsi="宋体" w:cs="Times New Roman"/>
          <w:color w:val="000000"/>
          <w:sz w:val="24"/>
          <w:szCs w:val="20"/>
        </w:rPr>
        <w:t>集中采购机构</w:t>
      </w:r>
      <w:r>
        <w:rPr>
          <w:rFonts w:ascii="宋体" w:hAnsi="宋体" w:cs="Times New Roman"/>
          <w:color w:val="000000"/>
          <w:sz w:val="24"/>
          <w:szCs w:val="20"/>
        </w:rPr>
        <w:t>。补充、修改的内容应当按照招标文件要求签署、盖章、密封后，作为投标文件的组成部分。</w:t>
      </w:r>
    </w:p>
    <w:p>
      <w:pPr>
        <w:numPr>
          <w:ilvl w:val="0"/>
          <w:numId w:val="25"/>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投标有效期内投标人不得撤销其投标文件。</w:t>
      </w:r>
    </w:p>
    <w:p>
      <w:pPr>
        <w:numPr>
          <w:ilvl w:val="0"/>
          <w:numId w:val="25"/>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投标人所递交的投标文件无论中标与否不予退还。</w:t>
      </w:r>
    </w:p>
    <w:p>
      <w:pPr>
        <w:pStyle w:val="6"/>
        <w:numPr>
          <w:ilvl w:val="0"/>
          <w:numId w:val="7"/>
        </w:numPr>
        <w:spacing w:before="40" w:after="40" w:line="360" w:lineRule="auto"/>
        <w:ind w:left="658" w:hanging="658"/>
        <w:jc w:val="left"/>
        <w:rPr>
          <w:rFonts w:ascii="宋体" w:hAnsi="宋体" w:cs="Times New Roman"/>
          <w:bCs w:val="0"/>
          <w:color w:val="000000"/>
        </w:rPr>
      </w:pPr>
      <w:bookmarkStart w:id="51" w:name="_Toc21471"/>
      <w:bookmarkStart w:id="52" w:name="_Toc511894498"/>
      <w:bookmarkStart w:id="53" w:name="_Toc511889420"/>
      <w:r>
        <w:rPr>
          <w:rFonts w:hint="eastAsia" w:ascii="宋体" w:hAnsi="宋体" w:cs="Times New Roman"/>
          <w:bCs w:val="0"/>
          <w:color w:val="000000"/>
        </w:rPr>
        <w:t>开标与评标</w:t>
      </w:r>
      <w:bookmarkEnd w:id="51"/>
      <w:bookmarkEnd w:id="52"/>
      <w:bookmarkEnd w:id="53"/>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开标</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投标人法定代表人或其授权代表应携带有效身份证明参加项目开标会，</w:t>
      </w:r>
      <w:r>
        <w:rPr>
          <w:rFonts w:ascii="宋体" w:hAnsi="宋体" w:cs="Times New Roman"/>
          <w:color w:val="000000"/>
          <w:sz w:val="24"/>
          <w:szCs w:val="20"/>
        </w:rPr>
        <w:t>投标人未参加开标的，视同认可开标结果。</w:t>
      </w:r>
      <w:r>
        <w:rPr>
          <w:rFonts w:hint="eastAsia" w:ascii="宋体" w:hAnsi="宋体" w:cs="Times New Roman"/>
          <w:color w:val="000000"/>
          <w:sz w:val="24"/>
          <w:szCs w:val="20"/>
        </w:rPr>
        <w:t>截止</w:t>
      </w:r>
      <w:r>
        <w:rPr>
          <w:rFonts w:hint="eastAsia" w:ascii="宋体" w:hAnsi="宋体" w:cs="宋体"/>
          <w:color w:val="000000"/>
          <w:kern w:val="0"/>
          <w:sz w:val="24"/>
          <w:szCs w:val="24"/>
        </w:rPr>
        <w:t>投标文件</w:t>
      </w:r>
      <w:r>
        <w:rPr>
          <w:rFonts w:hint="eastAsia" w:ascii="宋体" w:hAnsi="宋体" w:cs="Times New Roman"/>
          <w:color w:val="000000"/>
          <w:sz w:val="24"/>
          <w:szCs w:val="20"/>
        </w:rPr>
        <w:t>递交时间，投标人不足3家的，不进行开标</w:t>
      </w:r>
      <w:r>
        <w:rPr>
          <w:rFonts w:hint="eastAsia" w:ascii="Helvetica" w:hAnsi="Helvetica" w:cs="Helvetica"/>
          <w:color w:val="000000"/>
          <w:kern w:val="0"/>
          <w:sz w:val="24"/>
          <w:szCs w:val="24"/>
        </w:rPr>
        <w:t>。</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开标时，由投标人或其推选的代表检查投标文件的密封情况，经确认无误后由集中采购机构工作人员当众拆封，</w:t>
      </w:r>
      <w:r>
        <w:rPr>
          <w:rFonts w:ascii="宋体" w:hAnsi="宋体" w:cs="Times New Roman"/>
          <w:color w:val="000000"/>
          <w:sz w:val="24"/>
          <w:szCs w:val="20"/>
        </w:rPr>
        <w:t>宣布投标人名称、投标价格和招标文件规定的需要宣布的其他内容。</w:t>
      </w:r>
    </w:p>
    <w:p>
      <w:pPr>
        <w:spacing w:line="360" w:lineRule="auto"/>
        <w:rPr>
          <w:rFonts w:ascii="宋体" w:hAnsi="宋体" w:cs="Times New Roman"/>
          <w:color w:val="000000" w:themeColor="text1"/>
          <w:sz w:val="24"/>
          <w:szCs w:val="20"/>
          <w:lang w:val="zh-CN"/>
          <w14:textFill>
            <w14:solidFill>
              <w14:schemeClr w14:val="tx1"/>
            </w14:solidFill>
          </w14:textFill>
        </w:rPr>
      </w:pPr>
      <w:r>
        <w:rPr>
          <w:rFonts w:hint="eastAsia" w:ascii="宋体" w:hAnsi="宋体" w:cs="Times New Roman"/>
          <w:color w:val="000000"/>
          <w:sz w:val="24"/>
          <w:szCs w:val="20"/>
        </w:rPr>
        <w:t>23.4</w:t>
      </w:r>
      <w:r>
        <w:rPr>
          <w:rFonts w:hint="eastAsia" w:ascii="宋体" w:hAnsi="宋体"/>
          <w:color w:val="000000" w:themeColor="text1"/>
          <w:sz w:val="24"/>
          <w14:textFill>
            <w14:solidFill>
              <w14:schemeClr w14:val="tx1"/>
            </w14:solidFill>
          </w14:textFill>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34"/>
        <w:ind w:firstLine="0"/>
      </w:pPr>
    </w:p>
    <w:p>
      <w:pPr>
        <w:spacing w:line="360" w:lineRule="auto"/>
        <w:rPr>
          <w:rFonts w:ascii="宋体" w:hAnsi="宋体" w:cs="Times New Roman"/>
          <w:color w:val="000000"/>
          <w:sz w:val="24"/>
          <w:szCs w:val="20"/>
        </w:rPr>
      </w:pPr>
      <w:r>
        <w:rPr>
          <w:rFonts w:hint="eastAsia" w:ascii="宋体" w:hAnsi="宋体" w:cs="Times New Roman"/>
          <w:color w:val="000000"/>
          <w:sz w:val="24"/>
          <w:szCs w:val="20"/>
        </w:rPr>
        <w:t>23.5集中采购机构</w:t>
      </w:r>
      <w:r>
        <w:rPr>
          <w:rFonts w:ascii="宋体" w:hAnsi="宋体" w:cs="Times New Roman"/>
          <w:color w:val="000000"/>
          <w:sz w:val="24"/>
          <w:szCs w:val="20"/>
        </w:rPr>
        <w:t>负责</w:t>
      </w:r>
      <w:r>
        <w:rPr>
          <w:rFonts w:hint="eastAsia" w:ascii="宋体" w:hAnsi="宋体" w:cs="Times New Roman"/>
          <w:color w:val="000000"/>
          <w:sz w:val="24"/>
          <w:szCs w:val="20"/>
        </w:rPr>
        <w:t>对</w:t>
      </w:r>
      <w:r>
        <w:rPr>
          <w:rFonts w:ascii="宋体" w:hAnsi="宋体" w:cs="Times New Roman"/>
          <w:color w:val="000000"/>
          <w:sz w:val="24"/>
          <w:szCs w:val="20"/>
        </w:rPr>
        <w:t>开标过程</w:t>
      </w:r>
      <w:r>
        <w:rPr>
          <w:rFonts w:hint="eastAsia" w:ascii="宋体" w:hAnsi="宋体" w:cs="Times New Roman"/>
          <w:color w:val="000000"/>
          <w:sz w:val="24"/>
          <w:szCs w:val="20"/>
        </w:rPr>
        <w:t>进行</w:t>
      </w:r>
      <w:r>
        <w:rPr>
          <w:rFonts w:ascii="宋体" w:hAnsi="宋体" w:cs="Times New Roman"/>
          <w:color w:val="000000"/>
          <w:sz w:val="24"/>
          <w:szCs w:val="20"/>
        </w:rPr>
        <w:t>记录，由参加开标的各投标人代表和相关工作人员</w:t>
      </w:r>
      <w:r>
        <w:rPr>
          <w:rFonts w:hint="eastAsia" w:ascii="宋体" w:hAnsi="宋体" w:cs="Times New Roman"/>
          <w:color w:val="000000"/>
          <w:sz w:val="24"/>
          <w:szCs w:val="20"/>
        </w:rPr>
        <w:t>对开标记录进行</w:t>
      </w:r>
      <w:r>
        <w:rPr>
          <w:rFonts w:ascii="宋体" w:hAnsi="宋体" w:cs="Times New Roman"/>
          <w:color w:val="000000"/>
          <w:sz w:val="24"/>
          <w:szCs w:val="20"/>
        </w:rPr>
        <w:t>签字确认。</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23.6</w:t>
      </w:r>
      <w:r>
        <w:rPr>
          <w:rFonts w:ascii="宋体" w:hAnsi="宋体" w:cs="Times New Roman"/>
          <w:color w:val="000000"/>
          <w:sz w:val="24"/>
          <w:szCs w:val="20"/>
        </w:rPr>
        <w:t>投标人代表对开标过程和开标记录有疑义，以及认为采购人、</w:t>
      </w:r>
      <w:r>
        <w:rPr>
          <w:rFonts w:hint="eastAsia" w:ascii="宋体" w:hAnsi="宋体" w:cs="Times New Roman"/>
          <w:color w:val="000000"/>
          <w:sz w:val="24"/>
          <w:szCs w:val="20"/>
        </w:rPr>
        <w:t>集中采购机构</w:t>
      </w:r>
      <w:r>
        <w:rPr>
          <w:rFonts w:ascii="宋体" w:hAnsi="宋体" w:cs="Times New Roman"/>
          <w:color w:val="000000"/>
          <w:sz w:val="24"/>
          <w:szCs w:val="20"/>
        </w:rPr>
        <w:t>相关工作人员有需要回避的情形的，应当场提出询问或者回避申请。采购人、</w:t>
      </w:r>
      <w:r>
        <w:rPr>
          <w:rFonts w:hint="eastAsia" w:ascii="宋体" w:hAnsi="宋体" w:cs="Times New Roman"/>
          <w:color w:val="000000"/>
          <w:sz w:val="24"/>
          <w:szCs w:val="20"/>
        </w:rPr>
        <w:t>集中采购机构将</w:t>
      </w:r>
      <w:r>
        <w:rPr>
          <w:rFonts w:ascii="宋体" w:hAnsi="宋体" w:cs="Times New Roman"/>
          <w:color w:val="000000"/>
          <w:sz w:val="24"/>
          <w:szCs w:val="20"/>
        </w:rPr>
        <w:t>及时处理投标人代表提出的询问或者回避申请。</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资格审查</w:t>
      </w:r>
    </w:p>
    <w:p>
      <w:pPr>
        <w:numPr>
          <w:ilvl w:val="0"/>
          <w:numId w:val="27"/>
        </w:numPr>
        <w:spacing w:line="360" w:lineRule="auto"/>
        <w:ind w:left="616" w:hanging="616"/>
        <w:rPr>
          <w:rFonts w:ascii="Helvetica" w:hAnsi="Helvetica" w:cs="Helvetica"/>
          <w:color w:val="000000"/>
          <w:kern w:val="0"/>
          <w:sz w:val="24"/>
          <w:szCs w:val="24"/>
        </w:rPr>
      </w:pPr>
      <w:r>
        <w:rPr>
          <w:rFonts w:hint="eastAsia" w:ascii="宋体" w:hAnsi="宋体" w:cs="Times New Roman"/>
          <w:bCs/>
          <w:color w:val="000000"/>
          <w:sz w:val="24"/>
          <w:szCs w:val="20"/>
        </w:rPr>
        <w:t>公开招标采购项目开标结束后，采购人与集中采购机构依据法律、法规及招标文件的规定，对投标人的资格进行审查，以确定投标人资格是否合格。</w:t>
      </w:r>
      <w:r>
        <w:rPr>
          <w:rFonts w:ascii="Helvetica" w:hAnsi="Helvetica" w:cs="Helvetica"/>
          <w:color w:val="000000"/>
          <w:kern w:val="0"/>
          <w:sz w:val="24"/>
          <w:szCs w:val="24"/>
        </w:rPr>
        <w:t>合格投标人不足</w:t>
      </w:r>
      <w:r>
        <w:rPr>
          <w:rFonts w:ascii="宋体" w:hAnsi="宋体" w:cs="Helvetica"/>
          <w:color w:val="000000"/>
          <w:kern w:val="0"/>
          <w:sz w:val="24"/>
          <w:szCs w:val="24"/>
        </w:rPr>
        <w:t>3</w:t>
      </w:r>
      <w:r>
        <w:rPr>
          <w:rFonts w:ascii="Helvetica" w:hAnsi="Helvetica" w:cs="Helvetica"/>
          <w:color w:val="000000"/>
          <w:kern w:val="0"/>
          <w:sz w:val="24"/>
          <w:szCs w:val="24"/>
        </w:rPr>
        <w:t>家的，不</w:t>
      </w:r>
      <w:r>
        <w:rPr>
          <w:rFonts w:hint="eastAsia" w:ascii="Helvetica" w:hAnsi="Helvetica" w:cs="Helvetica"/>
          <w:color w:val="000000"/>
          <w:kern w:val="0"/>
          <w:sz w:val="24"/>
          <w:szCs w:val="24"/>
        </w:rPr>
        <w:t>进行</w:t>
      </w:r>
      <w:r>
        <w:rPr>
          <w:rFonts w:ascii="Helvetica" w:hAnsi="Helvetica" w:cs="Helvetica"/>
          <w:color w:val="000000"/>
          <w:kern w:val="0"/>
          <w:sz w:val="24"/>
          <w:szCs w:val="24"/>
        </w:rPr>
        <w:t>评标</w:t>
      </w:r>
      <w:r>
        <w:rPr>
          <w:rFonts w:hint="eastAsia" w:ascii="Helvetica" w:hAnsi="Helvetica" w:cs="Helvetica"/>
          <w:color w:val="000000"/>
          <w:kern w:val="0"/>
          <w:sz w:val="24"/>
          <w:szCs w:val="24"/>
        </w:rPr>
        <w:t>。</w:t>
      </w:r>
    </w:p>
    <w:p>
      <w:pPr>
        <w:numPr>
          <w:ilvl w:val="0"/>
          <w:numId w:val="27"/>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资格审查详见第四章“资格审查方法及标准”。</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评标方法</w:t>
      </w:r>
    </w:p>
    <w:p>
      <w:pPr>
        <w:numPr>
          <w:ilvl w:val="0"/>
          <w:numId w:val="28"/>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最低评标价法。最低评标价法是指投标文件满足招标文件全部实质性要求，且投标报价最低的投标人为中标候选人的评标方法。</w:t>
      </w:r>
    </w:p>
    <w:p>
      <w:pPr>
        <w:numPr>
          <w:ilvl w:val="0"/>
          <w:numId w:val="28"/>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综合评分法。</w:t>
      </w:r>
      <w:r>
        <w:rPr>
          <w:rFonts w:ascii="宋体" w:hAnsi="宋体" w:cs="Times New Roman"/>
          <w:bCs/>
          <w:color w:val="000000"/>
          <w:sz w:val="24"/>
          <w:szCs w:val="20"/>
        </w:rPr>
        <w:t>综合评分法是指投标文件满足招标文件全部实质性要求，且按照评审因素的量化指标评审得分最高的投标人为中标候选人的评标方法。</w:t>
      </w:r>
    </w:p>
    <w:p>
      <w:pPr>
        <w:numPr>
          <w:ilvl w:val="0"/>
          <w:numId w:val="28"/>
        </w:numPr>
        <w:spacing w:line="360" w:lineRule="auto"/>
        <w:ind w:left="616" w:hanging="616"/>
        <w:rPr>
          <w:rFonts w:ascii="宋体" w:hAnsi="宋体" w:cs="Times New Roman"/>
          <w:bCs/>
          <w:color w:val="000000"/>
          <w:sz w:val="24"/>
          <w:szCs w:val="20"/>
        </w:rPr>
      </w:pPr>
      <w:r>
        <w:rPr>
          <w:rFonts w:hint="eastAsia" w:ascii="Helvetica" w:hAnsi="Helvetica" w:cs="Helvetica"/>
          <w:color w:val="000000"/>
          <w:kern w:val="0"/>
          <w:sz w:val="24"/>
          <w:szCs w:val="24"/>
        </w:rPr>
        <w:t>评标方法详见第五章“评标方法、程序及标准”</w:t>
      </w:r>
      <w:r>
        <w:rPr>
          <w:rFonts w:hint="eastAsia" w:ascii="宋体" w:hAnsi="宋体" w:cs="Times New Roman"/>
          <w:bCs/>
          <w:color w:val="000000"/>
          <w:sz w:val="24"/>
          <w:szCs w:val="20"/>
        </w:rPr>
        <w:t>。</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评标委员会的组成</w:t>
      </w:r>
    </w:p>
    <w:p>
      <w:pPr>
        <w:numPr>
          <w:ilvl w:val="0"/>
          <w:numId w:val="29"/>
        </w:numPr>
        <w:spacing w:line="360" w:lineRule="auto"/>
        <w:ind w:left="616" w:hanging="616"/>
        <w:rPr>
          <w:rFonts w:ascii="宋体" w:hAnsi="宋体" w:cs="Times New Roman"/>
          <w:color w:val="000000"/>
          <w:sz w:val="24"/>
          <w:szCs w:val="20"/>
        </w:rPr>
      </w:pPr>
      <w:r>
        <w:rPr>
          <w:rFonts w:ascii="宋体" w:hAnsi="宋体" w:cs="Helvetica"/>
          <w:color w:val="000000"/>
          <w:kern w:val="0"/>
          <w:sz w:val="24"/>
          <w:szCs w:val="24"/>
        </w:rPr>
        <w:t>评标委员会由采购人代表和评审专家组成，成员人数应当为5人</w:t>
      </w:r>
      <w:r>
        <w:rPr>
          <w:rFonts w:hint="eastAsia" w:ascii="宋体" w:hAnsi="宋体" w:cs="Helvetica"/>
          <w:color w:val="000000"/>
          <w:kern w:val="0"/>
          <w:sz w:val="24"/>
          <w:szCs w:val="24"/>
        </w:rPr>
        <w:t>及</w:t>
      </w:r>
      <w:r>
        <w:rPr>
          <w:rFonts w:ascii="宋体" w:hAnsi="宋体" w:cs="Helvetica"/>
          <w:color w:val="000000"/>
          <w:kern w:val="0"/>
          <w:sz w:val="24"/>
          <w:szCs w:val="24"/>
        </w:rPr>
        <w:t>以上单数，其中评审专家不得少于成员总数的三分之二</w:t>
      </w:r>
      <w:r>
        <w:rPr>
          <w:rFonts w:hint="eastAsia" w:ascii="宋体" w:hAnsi="宋体" w:cs="Helvetica"/>
          <w:color w:val="000000"/>
          <w:kern w:val="0"/>
          <w:sz w:val="24"/>
          <w:szCs w:val="24"/>
        </w:rPr>
        <w:t>；</w:t>
      </w:r>
      <w:r>
        <w:rPr>
          <w:rFonts w:ascii="宋体" w:hAnsi="宋体" w:cs="Times New Roman"/>
          <w:color w:val="000000"/>
          <w:sz w:val="24"/>
          <w:szCs w:val="20"/>
        </w:rPr>
        <w:t>采购预算金额在1000万元</w:t>
      </w:r>
      <w:r>
        <w:rPr>
          <w:rFonts w:hint="eastAsia" w:ascii="宋体" w:hAnsi="宋体" w:cs="Times New Roman"/>
          <w:color w:val="000000"/>
          <w:sz w:val="24"/>
          <w:szCs w:val="20"/>
        </w:rPr>
        <w:t>及</w:t>
      </w:r>
      <w:r>
        <w:rPr>
          <w:rFonts w:ascii="宋体" w:hAnsi="宋体" w:cs="Times New Roman"/>
          <w:color w:val="000000"/>
          <w:sz w:val="24"/>
          <w:szCs w:val="20"/>
        </w:rPr>
        <w:t>以上</w:t>
      </w:r>
      <w:r>
        <w:rPr>
          <w:rFonts w:hint="eastAsia" w:ascii="宋体" w:hAnsi="宋体" w:cs="Times New Roman"/>
          <w:color w:val="000000"/>
          <w:sz w:val="24"/>
          <w:szCs w:val="20"/>
        </w:rPr>
        <w:t>、</w:t>
      </w:r>
      <w:r>
        <w:rPr>
          <w:rFonts w:ascii="宋体" w:hAnsi="宋体" w:cs="Times New Roman"/>
          <w:color w:val="000000"/>
          <w:sz w:val="24"/>
          <w:szCs w:val="20"/>
        </w:rPr>
        <w:t>技术复杂</w:t>
      </w:r>
      <w:r>
        <w:rPr>
          <w:rFonts w:hint="eastAsia" w:ascii="宋体" w:hAnsi="宋体" w:cs="Times New Roman"/>
          <w:color w:val="000000"/>
          <w:sz w:val="24"/>
          <w:szCs w:val="20"/>
        </w:rPr>
        <w:t>或</w:t>
      </w:r>
      <w:r>
        <w:rPr>
          <w:rFonts w:ascii="宋体" w:hAnsi="宋体" w:cs="Times New Roman"/>
          <w:color w:val="000000"/>
          <w:sz w:val="24"/>
          <w:szCs w:val="20"/>
        </w:rPr>
        <w:t>社会影响较大</w:t>
      </w:r>
      <w:r>
        <w:rPr>
          <w:rFonts w:hint="eastAsia" w:ascii="宋体" w:hAnsi="宋体" w:cs="Times New Roman"/>
          <w:color w:val="000000"/>
          <w:sz w:val="24"/>
          <w:szCs w:val="20"/>
        </w:rPr>
        <w:t>的项目，</w:t>
      </w:r>
      <w:r>
        <w:rPr>
          <w:rFonts w:ascii="宋体" w:hAnsi="宋体" w:cs="Times New Roman"/>
          <w:color w:val="000000"/>
          <w:sz w:val="24"/>
          <w:szCs w:val="20"/>
        </w:rPr>
        <w:t>评标委员会成员人数应当为7人</w:t>
      </w:r>
      <w:r>
        <w:rPr>
          <w:rFonts w:hint="eastAsia" w:ascii="宋体" w:hAnsi="宋体" w:cs="Times New Roman"/>
          <w:color w:val="000000"/>
          <w:sz w:val="24"/>
          <w:szCs w:val="20"/>
        </w:rPr>
        <w:t>及</w:t>
      </w:r>
      <w:r>
        <w:rPr>
          <w:rFonts w:ascii="宋体" w:hAnsi="宋体" w:cs="Times New Roman"/>
          <w:color w:val="000000"/>
          <w:sz w:val="24"/>
          <w:szCs w:val="20"/>
        </w:rPr>
        <w:t>以上单数</w:t>
      </w:r>
      <w:r>
        <w:rPr>
          <w:rFonts w:hint="eastAsia" w:ascii="宋体" w:hAnsi="宋体" w:cs="Times New Roman"/>
          <w:color w:val="000000"/>
          <w:sz w:val="24"/>
          <w:szCs w:val="20"/>
        </w:rPr>
        <w:t>。</w:t>
      </w:r>
    </w:p>
    <w:p>
      <w:pPr>
        <w:numPr>
          <w:ilvl w:val="0"/>
          <w:numId w:val="29"/>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评标委员会成员依法从政府采购专家库中随机抽取。</w:t>
      </w:r>
      <w:r>
        <w:rPr>
          <w:rFonts w:ascii="宋体" w:hAnsi="宋体" w:cs="Times New Roman"/>
          <w:color w:val="000000"/>
          <w:sz w:val="24"/>
          <w:szCs w:val="20"/>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评标程序</w:t>
      </w:r>
    </w:p>
    <w:p>
      <w:pPr>
        <w:numPr>
          <w:ilvl w:val="0"/>
          <w:numId w:val="30"/>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评标委员会负责具体评标事务，并独立履行下列职责：</w:t>
      </w:r>
    </w:p>
    <w:p>
      <w:pPr>
        <w:numPr>
          <w:ilvl w:val="0"/>
          <w:numId w:val="31"/>
        </w:numPr>
        <w:spacing w:line="360" w:lineRule="auto"/>
        <w:ind w:left="980" w:hanging="854"/>
        <w:rPr>
          <w:rFonts w:ascii="宋体" w:hAnsi="宋体" w:cs="Times New Roman"/>
          <w:color w:val="000000"/>
          <w:sz w:val="24"/>
          <w:szCs w:val="20"/>
        </w:rPr>
      </w:pPr>
      <w:r>
        <w:rPr>
          <w:rFonts w:ascii="宋体" w:hAnsi="宋体" w:cs="Times New Roman"/>
          <w:color w:val="000000"/>
          <w:sz w:val="24"/>
          <w:szCs w:val="20"/>
        </w:rPr>
        <w:t>审查、评价投标文件是否符合招标文件的商务、技术等实质性要求；</w:t>
      </w:r>
    </w:p>
    <w:p>
      <w:pPr>
        <w:numPr>
          <w:ilvl w:val="0"/>
          <w:numId w:val="31"/>
        </w:numPr>
        <w:spacing w:line="360" w:lineRule="auto"/>
        <w:ind w:left="980" w:hanging="854"/>
        <w:rPr>
          <w:rFonts w:ascii="宋体" w:hAnsi="宋体" w:cs="Times New Roman"/>
          <w:color w:val="000000"/>
          <w:sz w:val="24"/>
          <w:szCs w:val="20"/>
        </w:rPr>
      </w:pPr>
      <w:r>
        <w:rPr>
          <w:rFonts w:ascii="宋体" w:hAnsi="宋体" w:cs="Times New Roman"/>
          <w:color w:val="000000"/>
          <w:sz w:val="24"/>
          <w:szCs w:val="20"/>
        </w:rPr>
        <w:t>要求投标人对投标文件有关事项作出澄清或者说明；</w:t>
      </w:r>
    </w:p>
    <w:p>
      <w:pPr>
        <w:numPr>
          <w:ilvl w:val="0"/>
          <w:numId w:val="31"/>
        </w:numPr>
        <w:spacing w:line="360" w:lineRule="auto"/>
        <w:ind w:left="980" w:hanging="854"/>
        <w:rPr>
          <w:rFonts w:ascii="宋体" w:hAnsi="宋体" w:cs="Times New Roman"/>
          <w:color w:val="000000"/>
          <w:sz w:val="24"/>
          <w:szCs w:val="20"/>
        </w:rPr>
      </w:pPr>
      <w:r>
        <w:rPr>
          <w:rFonts w:ascii="宋体" w:hAnsi="宋体" w:cs="Times New Roman"/>
          <w:color w:val="000000"/>
          <w:sz w:val="24"/>
          <w:szCs w:val="20"/>
        </w:rPr>
        <w:t>对投标文件进行</w:t>
      </w:r>
      <w:r>
        <w:rPr>
          <w:rFonts w:hint="eastAsia" w:ascii="宋体" w:hAnsi="宋体" w:cs="Times New Roman"/>
          <w:color w:val="000000"/>
          <w:sz w:val="24"/>
          <w:szCs w:val="20"/>
        </w:rPr>
        <w:t>综合</w:t>
      </w:r>
      <w:r>
        <w:rPr>
          <w:rFonts w:ascii="宋体" w:hAnsi="宋体" w:cs="Times New Roman"/>
          <w:color w:val="000000"/>
          <w:sz w:val="24"/>
          <w:szCs w:val="20"/>
        </w:rPr>
        <w:t>比较和评价；</w:t>
      </w:r>
    </w:p>
    <w:p>
      <w:pPr>
        <w:numPr>
          <w:ilvl w:val="0"/>
          <w:numId w:val="31"/>
        </w:numPr>
        <w:spacing w:line="360" w:lineRule="auto"/>
        <w:ind w:left="980" w:hanging="854"/>
        <w:rPr>
          <w:rFonts w:ascii="宋体" w:hAnsi="宋体" w:cs="Times New Roman"/>
          <w:color w:val="000000"/>
          <w:sz w:val="24"/>
          <w:szCs w:val="20"/>
        </w:rPr>
      </w:pPr>
      <w:r>
        <w:rPr>
          <w:rFonts w:hint="eastAsia" w:ascii="宋体" w:hAnsi="宋体" w:cs="Times New Roman"/>
          <w:color w:val="000000"/>
          <w:sz w:val="24"/>
          <w:szCs w:val="20"/>
        </w:rPr>
        <w:t>确定中标候选人名单或中标人；</w:t>
      </w:r>
    </w:p>
    <w:p>
      <w:pPr>
        <w:numPr>
          <w:ilvl w:val="0"/>
          <w:numId w:val="31"/>
        </w:numPr>
        <w:spacing w:line="360" w:lineRule="auto"/>
        <w:ind w:left="980" w:hanging="854"/>
        <w:rPr>
          <w:rFonts w:ascii="Helvetica" w:hAnsi="Helvetica" w:cs="Helvetica"/>
          <w:color w:val="000000"/>
          <w:kern w:val="0"/>
          <w:sz w:val="24"/>
          <w:szCs w:val="24"/>
        </w:rPr>
      </w:pPr>
      <w:r>
        <w:rPr>
          <w:rFonts w:ascii="宋体" w:hAnsi="宋体" w:cs="Times New Roman"/>
          <w:color w:val="000000"/>
          <w:sz w:val="24"/>
          <w:szCs w:val="20"/>
        </w:rPr>
        <w:t>向采购人、</w:t>
      </w:r>
      <w:r>
        <w:rPr>
          <w:rFonts w:hint="eastAsia" w:ascii="宋体" w:hAnsi="宋体" w:cs="Times New Roman"/>
          <w:color w:val="000000"/>
          <w:sz w:val="24"/>
          <w:szCs w:val="20"/>
        </w:rPr>
        <w:t>集中采购</w:t>
      </w:r>
      <w:r>
        <w:rPr>
          <w:rFonts w:ascii="宋体" w:hAnsi="宋体" w:cs="Times New Roman"/>
          <w:color w:val="000000"/>
          <w:sz w:val="24"/>
          <w:szCs w:val="20"/>
        </w:rPr>
        <w:t>机构或者有关部门报告评标中发现的违法行为。</w:t>
      </w:r>
    </w:p>
    <w:p>
      <w:pPr>
        <w:spacing w:line="360" w:lineRule="auto"/>
        <w:ind w:left="126"/>
        <w:rPr>
          <w:rFonts w:ascii="Helvetica" w:hAnsi="Helvetica" w:cs="Helvetica"/>
          <w:color w:val="000000"/>
          <w:kern w:val="0"/>
          <w:sz w:val="24"/>
          <w:szCs w:val="24"/>
        </w:rPr>
      </w:pPr>
      <w:r>
        <w:rPr>
          <w:rFonts w:hint="eastAsia" w:ascii="Helvetica" w:hAnsi="Helvetica" w:cs="Helvetica"/>
          <w:color w:val="000000"/>
          <w:kern w:val="0"/>
          <w:sz w:val="24"/>
          <w:szCs w:val="24"/>
        </w:rPr>
        <w:t>27.2评标程序详见第五章“评标方法、程序及标准”。</w:t>
      </w:r>
    </w:p>
    <w:p>
      <w:pPr>
        <w:pStyle w:val="6"/>
        <w:numPr>
          <w:ilvl w:val="0"/>
          <w:numId w:val="7"/>
        </w:numPr>
        <w:spacing w:before="40" w:after="40" w:line="360" w:lineRule="auto"/>
        <w:ind w:left="658" w:hanging="658"/>
        <w:jc w:val="left"/>
        <w:rPr>
          <w:rFonts w:ascii="宋体" w:hAnsi="宋体" w:cs="Times New Roman"/>
          <w:bCs w:val="0"/>
          <w:color w:val="000000"/>
        </w:rPr>
      </w:pPr>
      <w:bookmarkStart w:id="54" w:name="_Toc511889421"/>
      <w:bookmarkStart w:id="55" w:name="_Toc511894499"/>
      <w:bookmarkStart w:id="56" w:name="_Toc5760"/>
      <w:r>
        <w:rPr>
          <w:rFonts w:hint="eastAsia" w:ascii="宋体" w:hAnsi="宋体" w:cs="Times New Roman"/>
          <w:bCs w:val="0"/>
          <w:color w:val="000000"/>
        </w:rPr>
        <w:t>投标人信用信息及查询</w:t>
      </w:r>
      <w:bookmarkEnd w:id="54"/>
      <w:bookmarkEnd w:id="55"/>
      <w:bookmarkEnd w:id="56"/>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信用信息查询渠道及使用规则</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按照《关于在政府采购活动中查询及使用信用记录有关问题的通知》的要求，参与政府采购的投标人，信用记录的查询渠道为“信用中国”网站(</w:t>
      </w:r>
      <w:r>
        <w:rPr>
          <w:rFonts w:ascii="宋体" w:hAnsi="宋体" w:cs="Times New Roman"/>
          <w:color w:val="000000"/>
          <w:sz w:val="24"/>
          <w:szCs w:val="24"/>
        </w:rPr>
        <w:t>http://</w:t>
      </w:r>
      <w:r>
        <w:rPr>
          <w:rFonts w:hint="eastAsia" w:ascii="宋体" w:hAnsi="宋体" w:cs="Helvetica"/>
          <w:color w:val="000000"/>
          <w:kern w:val="0"/>
          <w:sz w:val="24"/>
          <w:szCs w:val="24"/>
        </w:rPr>
        <w:t>www.creditchina.gov.cn)、中国政府采购网(</w:t>
      </w:r>
      <w:r>
        <w:rPr>
          <w:rFonts w:ascii="宋体" w:hAnsi="宋体" w:cs="Times New Roman"/>
          <w:color w:val="000000"/>
          <w:sz w:val="24"/>
          <w:szCs w:val="24"/>
        </w:rPr>
        <w:t>http://</w:t>
      </w:r>
      <w:r>
        <w:fldChar w:fldCharType="begin"/>
      </w:r>
      <w:r>
        <w:instrText xml:space="preserve"> HYPERLINK "http://www.ccgp.gov.cn/" </w:instrText>
      </w:r>
      <w:r>
        <w:fldChar w:fldCharType="separate"/>
      </w:r>
      <w:r>
        <w:rPr>
          <w:rFonts w:hint="eastAsia" w:ascii="宋体" w:hAnsi="宋体" w:cs="Helvetica"/>
          <w:color w:val="000000"/>
          <w:kern w:val="0"/>
          <w:sz w:val="24"/>
          <w:szCs w:val="24"/>
        </w:rPr>
        <w:t>www.ccgp.gov.cn</w:t>
      </w:r>
      <w:r>
        <w:rPr>
          <w:rFonts w:hint="eastAsia" w:ascii="宋体" w:hAnsi="宋体" w:cs="Helvetica"/>
          <w:color w:val="000000"/>
          <w:kern w:val="0"/>
          <w:sz w:val="24"/>
          <w:szCs w:val="24"/>
        </w:rPr>
        <w:fldChar w:fldCharType="end"/>
      </w:r>
      <w:r>
        <w:rPr>
          <w:rFonts w:hint="eastAsia" w:ascii="宋体" w:hAnsi="宋体" w:cs="Helvetica"/>
          <w:color w:val="000000"/>
          <w:kern w:val="0"/>
          <w:sz w:val="24"/>
          <w:szCs w:val="24"/>
        </w:rPr>
        <w:t>)。</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列入失信被执行人、重大税收违法案件当事人名单、政府采购严重违法失信行为记录名单的供应商，集中采购机构</w:t>
      </w:r>
      <w:r>
        <w:rPr>
          <w:rFonts w:hint="eastAsia" w:ascii="宋体" w:hAnsi="宋体" w:cs="Helvetica"/>
          <w:b/>
          <w:color w:val="000000"/>
          <w:kern w:val="0"/>
          <w:sz w:val="24"/>
          <w:szCs w:val="24"/>
        </w:rPr>
        <w:t>拒绝</w:t>
      </w:r>
      <w:r>
        <w:rPr>
          <w:rFonts w:hint="eastAsia" w:ascii="宋体" w:hAnsi="宋体" w:cs="Helvetica"/>
          <w:color w:val="000000"/>
          <w:kern w:val="0"/>
          <w:sz w:val="24"/>
          <w:szCs w:val="24"/>
        </w:rPr>
        <w:t>其参与政府采购活动。</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投标人的信用记录，最终以评标时的“信用中国”网站和“中国政府采购网”发布的信息为准。</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color w:val="000000"/>
          <w:kern w:val="0"/>
          <w:sz w:val="24"/>
          <w:szCs w:val="24"/>
        </w:rPr>
        <w:t>无效投标处理</w:t>
      </w:r>
      <w:r>
        <w:rPr>
          <w:rFonts w:hint="eastAsia" w:ascii="宋体" w:hAnsi="宋体" w:cs="Helvetica"/>
          <w:color w:val="000000"/>
          <w:kern w:val="0"/>
          <w:sz w:val="24"/>
          <w:szCs w:val="24"/>
        </w:rPr>
        <w:t>。</w:t>
      </w:r>
    </w:p>
    <w:p>
      <w:pPr>
        <w:pStyle w:val="6"/>
        <w:numPr>
          <w:ilvl w:val="0"/>
          <w:numId w:val="7"/>
        </w:numPr>
        <w:spacing w:before="40" w:after="40" w:line="360" w:lineRule="auto"/>
        <w:ind w:left="658" w:hanging="658"/>
        <w:jc w:val="left"/>
        <w:rPr>
          <w:rFonts w:ascii="宋体" w:hAnsi="宋体" w:cs="Times New Roman"/>
          <w:bCs w:val="0"/>
          <w:color w:val="000000"/>
        </w:rPr>
      </w:pPr>
      <w:bookmarkStart w:id="57" w:name="_Toc511894500"/>
      <w:bookmarkStart w:id="58" w:name="_Toc511889422"/>
      <w:bookmarkStart w:id="59" w:name="_Toc2002"/>
      <w:r>
        <w:rPr>
          <w:rFonts w:ascii="宋体" w:hAnsi="宋体" w:cs="Times New Roman"/>
          <w:bCs w:val="0"/>
          <w:color w:val="000000"/>
        </w:rPr>
        <w:t>中标</w:t>
      </w:r>
      <w:r>
        <w:rPr>
          <w:rFonts w:hint="eastAsia" w:ascii="宋体" w:hAnsi="宋体" w:cs="Times New Roman"/>
          <w:bCs w:val="0"/>
          <w:color w:val="000000"/>
        </w:rPr>
        <w:t>与</w:t>
      </w:r>
      <w:r>
        <w:rPr>
          <w:rFonts w:ascii="宋体" w:hAnsi="宋体" w:cs="Times New Roman"/>
          <w:bCs w:val="0"/>
          <w:color w:val="000000"/>
        </w:rPr>
        <w:t>合同</w:t>
      </w:r>
      <w:bookmarkEnd w:id="57"/>
      <w:bookmarkEnd w:id="58"/>
      <w:bookmarkEnd w:id="59"/>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确定中标人</w:t>
      </w:r>
    </w:p>
    <w:p>
      <w:pPr>
        <w:numPr>
          <w:ilvl w:val="0"/>
          <w:numId w:val="33"/>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采购人收到评标报告</w:t>
      </w:r>
      <w:r>
        <w:rPr>
          <w:rFonts w:ascii="宋体" w:hAnsi="宋体" w:cs="Helvetica"/>
          <w:color w:val="000000"/>
          <w:kern w:val="0"/>
          <w:sz w:val="24"/>
          <w:szCs w:val="24"/>
        </w:rPr>
        <w:t>5个工作日内，</w:t>
      </w:r>
      <w:r>
        <w:rPr>
          <w:rFonts w:hint="eastAsia" w:ascii="宋体" w:hAnsi="宋体" w:cs="Helvetica"/>
          <w:color w:val="000000"/>
          <w:kern w:val="0"/>
          <w:sz w:val="24"/>
          <w:szCs w:val="24"/>
        </w:rPr>
        <w:t>按</w:t>
      </w:r>
      <w:r>
        <w:rPr>
          <w:rFonts w:ascii="宋体" w:hAnsi="宋体" w:cs="Helvetica"/>
          <w:color w:val="000000"/>
          <w:kern w:val="0"/>
          <w:sz w:val="24"/>
          <w:szCs w:val="24"/>
        </w:rPr>
        <w:t>评标报告推荐的中标候选人顺序确定中标人。</w:t>
      </w:r>
    </w:p>
    <w:p>
      <w:pPr>
        <w:numPr>
          <w:ilvl w:val="0"/>
          <w:numId w:val="33"/>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中标候选人并列的</w:t>
      </w:r>
      <w:r>
        <w:rPr>
          <w:rFonts w:hint="eastAsia" w:ascii="Helvetica" w:hAnsi="Helvetica" w:cs="Helvetica"/>
          <w:color w:val="000000"/>
          <w:kern w:val="0"/>
          <w:sz w:val="24"/>
          <w:szCs w:val="24"/>
        </w:rPr>
        <w:t>：</w:t>
      </w:r>
    </w:p>
    <w:p>
      <w:pPr>
        <w:numPr>
          <w:ilvl w:val="0"/>
          <w:numId w:val="34"/>
        </w:numPr>
        <w:spacing w:line="360" w:lineRule="auto"/>
        <w:ind w:left="980" w:hanging="854"/>
        <w:rPr>
          <w:rFonts w:ascii="宋体" w:hAnsi="宋体" w:cs="Times New Roman"/>
          <w:color w:val="000000"/>
          <w:sz w:val="24"/>
          <w:szCs w:val="20"/>
        </w:rPr>
      </w:pPr>
      <w:r>
        <w:rPr>
          <w:rFonts w:hint="eastAsia" w:ascii="宋体" w:hAnsi="宋体" w:cs="Times New Roman"/>
          <w:color w:val="000000"/>
          <w:sz w:val="24"/>
          <w:szCs w:val="20"/>
        </w:rPr>
        <w:t>采用最低评标价法的，评标结果按投标报价由低到高顺序排列。投标报价相同 的并列，</w:t>
      </w:r>
      <w:r>
        <w:rPr>
          <w:rFonts w:ascii="宋体" w:hAnsi="宋体" w:cs="Times New Roman"/>
          <w:color w:val="000000"/>
          <w:sz w:val="24"/>
          <w:szCs w:val="20"/>
        </w:rPr>
        <w:t>由采购人</w:t>
      </w:r>
      <w:r>
        <w:rPr>
          <w:rFonts w:hint="eastAsia" w:ascii="宋体" w:hAnsi="宋体" w:cs="Times New Roman"/>
          <w:color w:val="000000"/>
          <w:sz w:val="24"/>
          <w:szCs w:val="20"/>
        </w:rPr>
        <w:t>确定</w:t>
      </w:r>
      <w:r>
        <w:rPr>
          <w:rFonts w:ascii="宋体" w:hAnsi="宋体" w:cs="Times New Roman"/>
          <w:color w:val="000000"/>
          <w:sz w:val="24"/>
          <w:szCs w:val="20"/>
        </w:rPr>
        <w:t>或者采购人委托评标委员会</w:t>
      </w:r>
      <w:r>
        <w:rPr>
          <w:rFonts w:hint="eastAsia" w:ascii="宋体" w:hAnsi="宋体" w:cs="Times New Roman"/>
          <w:color w:val="000000"/>
          <w:sz w:val="24"/>
          <w:szCs w:val="20"/>
        </w:rPr>
        <w:t>以投票方式</w:t>
      </w:r>
      <w:r>
        <w:rPr>
          <w:rFonts w:ascii="宋体" w:hAnsi="宋体" w:cs="Times New Roman"/>
          <w:color w:val="000000"/>
          <w:sz w:val="24"/>
          <w:szCs w:val="20"/>
        </w:rPr>
        <w:t>确定中标人。</w:t>
      </w:r>
    </w:p>
    <w:p>
      <w:pPr>
        <w:numPr>
          <w:ilvl w:val="0"/>
          <w:numId w:val="34"/>
        </w:numPr>
        <w:spacing w:line="360" w:lineRule="auto"/>
        <w:ind w:left="980" w:hanging="854"/>
        <w:rPr>
          <w:rFonts w:ascii="宋体" w:hAnsi="宋体" w:cs="Times New Roman"/>
          <w:color w:val="000000"/>
          <w:sz w:val="24"/>
          <w:szCs w:val="20"/>
        </w:rPr>
      </w:pPr>
      <w:r>
        <w:rPr>
          <w:rFonts w:hint="eastAsia" w:ascii="宋体" w:hAnsi="宋体" w:cs="Times New Roman"/>
          <w:color w:val="000000"/>
          <w:sz w:val="24"/>
          <w:szCs w:val="20"/>
        </w:rPr>
        <w:t>采用综合评分法的，评标结果按评审后得分由高到低顺序排列。得分相同的，按投标报价由低到高顺序排列。得分且投标报价相同的并列，</w:t>
      </w:r>
      <w:r>
        <w:rPr>
          <w:rFonts w:ascii="宋体" w:hAnsi="宋体" w:cs="Times New Roman"/>
          <w:color w:val="000000"/>
          <w:sz w:val="24"/>
          <w:szCs w:val="20"/>
        </w:rPr>
        <w:t>由采购人</w:t>
      </w:r>
      <w:r>
        <w:rPr>
          <w:rFonts w:hint="eastAsia" w:ascii="宋体" w:hAnsi="宋体" w:cs="Times New Roman"/>
          <w:color w:val="000000"/>
          <w:sz w:val="24"/>
          <w:szCs w:val="20"/>
        </w:rPr>
        <w:t>确定</w:t>
      </w:r>
      <w:r>
        <w:rPr>
          <w:rFonts w:ascii="宋体" w:hAnsi="宋体" w:cs="Times New Roman"/>
          <w:color w:val="000000"/>
          <w:sz w:val="24"/>
          <w:szCs w:val="20"/>
        </w:rPr>
        <w:t>或者采购人委托评标委员会</w:t>
      </w:r>
      <w:r>
        <w:rPr>
          <w:rFonts w:hint="eastAsia" w:ascii="宋体" w:hAnsi="宋体" w:cs="Times New Roman"/>
          <w:color w:val="000000"/>
          <w:sz w:val="24"/>
          <w:szCs w:val="20"/>
        </w:rPr>
        <w:t>以投票方式</w:t>
      </w:r>
      <w:r>
        <w:rPr>
          <w:rFonts w:ascii="宋体" w:hAnsi="宋体" w:cs="Times New Roman"/>
          <w:color w:val="000000"/>
          <w:sz w:val="24"/>
          <w:szCs w:val="20"/>
        </w:rPr>
        <w:t>确定中标人。</w:t>
      </w:r>
    </w:p>
    <w:p>
      <w:pPr>
        <w:numPr>
          <w:ilvl w:val="0"/>
          <w:numId w:val="33"/>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中标人的数量有其他规定的，按招标文件相关规定执行。</w:t>
      </w:r>
    </w:p>
    <w:p>
      <w:pPr>
        <w:numPr>
          <w:ilvl w:val="0"/>
          <w:numId w:val="33"/>
        </w:numPr>
        <w:spacing w:line="360" w:lineRule="auto"/>
        <w:ind w:left="616" w:hanging="616"/>
        <w:rPr>
          <w:rFonts w:ascii="宋体" w:hAnsi="宋体" w:cs="Times New Roman"/>
          <w:strike/>
          <w:color w:val="000000"/>
          <w:sz w:val="24"/>
          <w:szCs w:val="20"/>
        </w:rPr>
      </w:pPr>
      <w:r>
        <w:rPr>
          <w:rFonts w:hint="eastAsia" w:ascii="宋体" w:hAnsi="宋体" w:cs="Times New Roman"/>
          <w:color w:val="000000"/>
          <w:sz w:val="24"/>
          <w:szCs w:val="20"/>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3"/>
        </w:numPr>
        <w:spacing w:line="360" w:lineRule="auto"/>
        <w:ind w:left="616" w:hanging="616"/>
        <w:rPr>
          <w:rFonts w:ascii="宋体" w:hAnsi="宋体" w:cs="Times New Roman"/>
          <w:strike/>
          <w:color w:val="000000"/>
          <w:sz w:val="24"/>
          <w:szCs w:val="20"/>
        </w:rPr>
      </w:pPr>
      <w:r>
        <w:rPr>
          <w:rFonts w:ascii="Helvetica" w:hAnsi="Helvetica" w:cs="Helvetica"/>
          <w:color w:val="000000"/>
          <w:kern w:val="0"/>
          <w:sz w:val="24"/>
          <w:szCs w:val="24"/>
        </w:rPr>
        <w:t>中标通知书发出后，采购人不得违法改变中标结果，中标人无正当理由不得放弃中标。</w:t>
      </w:r>
    </w:p>
    <w:p>
      <w:pPr>
        <w:numPr>
          <w:ilvl w:val="0"/>
          <w:numId w:val="33"/>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合同授予</w:t>
      </w:r>
    </w:p>
    <w:p>
      <w:pPr>
        <w:spacing w:line="360" w:lineRule="auto"/>
        <w:ind w:firstLine="480" w:firstLineChars="200"/>
        <w:rPr>
          <w:rFonts w:ascii="宋体" w:hAnsi="宋体" w:cs="Times New Roman"/>
          <w:color w:val="000000"/>
          <w:sz w:val="24"/>
          <w:szCs w:val="20"/>
        </w:rPr>
      </w:pPr>
      <w:r>
        <w:rPr>
          <w:rFonts w:hint="eastAsia" w:ascii="宋体" w:hAnsi="宋体" w:cs="Times New Roman"/>
          <w:color w:val="000000"/>
          <w:sz w:val="24"/>
          <w:szCs w:val="20"/>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合同签订</w:t>
      </w:r>
    </w:p>
    <w:p>
      <w:pPr>
        <w:numPr>
          <w:ilvl w:val="0"/>
          <w:numId w:val="35"/>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采购人应当自中标通知书发出之日起30日内，按照招标文件</w:t>
      </w:r>
      <w:r>
        <w:rPr>
          <w:rFonts w:hint="eastAsia" w:ascii="宋体" w:hAnsi="宋体" w:cs="Times New Roman"/>
          <w:color w:val="000000"/>
          <w:sz w:val="24"/>
          <w:szCs w:val="20"/>
        </w:rPr>
        <w:t>规定</w:t>
      </w:r>
      <w:r>
        <w:rPr>
          <w:rFonts w:ascii="宋体" w:hAnsi="宋体" w:cs="Times New Roman"/>
          <w:color w:val="000000"/>
          <w:sz w:val="24"/>
          <w:szCs w:val="20"/>
        </w:rPr>
        <w:t>和中标人投标文件的</w:t>
      </w:r>
      <w:r>
        <w:rPr>
          <w:rFonts w:hint="eastAsia" w:ascii="宋体" w:hAnsi="宋体" w:cs="Times New Roman"/>
          <w:color w:val="000000"/>
          <w:sz w:val="24"/>
          <w:szCs w:val="20"/>
        </w:rPr>
        <w:t>承诺</w:t>
      </w:r>
      <w:r>
        <w:rPr>
          <w:rFonts w:ascii="宋体" w:hAnsi="宋体" w:cs="Times New Roman"/>
          <w:color w:val="000000"/>
          <w:sz w:val="24"/>
          <w:szCs w:val="20"/>
        </w:rPr>
        <w:t>，与中标人签订书面合同。所签订的合同不得对招标文件确定的事项和中标人投标文件作实质性修改。</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采购人不得向中标人提出任何不合理的要求作为签订合同的条件。</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宋体" w:hAnsi="宋体" w:cs="Times New Roman"/>
          <w:color w:val="000000"/>
          <w:sz w:val="24"/>
          <w:szCs w:val="20"/>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采购人应当加强对中标人的履约管理，并按照采购合同约定，及时向中标人支付采购资金。对于中标人违反采购合同约定的行为，采购人应当及时处理，依法追究其违约责任。</w:t>
      </w:r>
    </w:p>
    <w:p>
      <w:pPr>
        <w:pStyle w:val="6"/>
        <w:numPr>
          <w:ilvl w:val="0"/>
          <w:numId w:val="7"/>
        </w:numPr>
        <w:spacing w:before="40" w:after="40" w:line="360" w:lineRule="auto"/>
        <w:ind w:left="658" w:hanging="658"/>
        <w:jc w:val="left"/>
        <w:rPr>
          <w:rFonts w:ascii="宋体" w:hAnsi="宋体" w:cs="Times New Roman"/>
          <w:bCs w:val="0"/>
          <w:color w:val="000000"/>
        </w:rPr>
      </w:pPr>
      <w:bookmarkStart w:id="60" w:name="_Toc26606"/>
      <w:bookmarkStart w:id="61" w:name="_Toc511889423"/>
      <w:bookmarkStart w:id="62" w:name="_Toc511894501"/>
      <w:r>
        <w:rPr>
          <w:rFonts w:hint="eastAsia" w:ascii="宋体" w:hAnsi="宋体" w:cs="Times New Roman"/>
          <w:bCs w:val="0"/>
          <w:color w:val="000000"/>
        </w:rPr>
        <w:t>采购信息公告</w:t>
      </w:r>
      <w:bookmarkEnd w:id="60"/>
      <w:bookmarkEnd w:id="61"/>
      <w:bookmarkEnd w:id="62"/>
    </w:p>
    <w:p>
      <w:pPr>
        <w:numPr>
          <w:ilvl w:val="0"/>
          <w:numId w:val="8"/>
        </w:numPr>
        <w:spacing w:line="360" w:lineRule="auto"/>
        <w:ind w:left="560" w:hanging="560"/>
        <w:rPr>
          <w:rFonts w:ascii="宋体" w:hAnsi="宋体" w:cs="Helvetica"/>
          <w:b/>
          <w:color w:val="000000"/>
          <w:kern w:val="0"/>
          <w:sz w:val="24"/>
          <w:szCs w:val="24"/>
        </w:rPr>
      </w:pPr>
      <w:r>
        <w:rPr>
          <w:rFonts w:hint="eastAsia" w:ascii="宋体" w:hAnsi="宋体" w:cs="Helvetica"/>
          <w:b/>
          <w:color w:val="000000"/>
          <w:kern w:val="0"/>
          <w:sz w:val="24"/>
          <w:szCs w:val="24"/>
        </w:rPr>
        <w:t>公告的媒体及规定</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集中采购机构在招标活动中的公告、补充、更正、结果等采购信息均依法在政府采购监管部门指定媒体上（中国湖北政府采购网http://www.ccgp-hubei.gov.cn/）发布。</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集中采购机构在自</w:t>
      </w:r>
      <w:r>
        <w:rPr>
          <w:rFonts w:ascii="宋体" w:hAnsi="宋体" w:cs="Helvetica"/>
          <w:color w:val="000000"/>
          <w:kern w:val="0"/>
          <w:sz w:val="24"/>
          <w:szCs w:val="24"/>
        </w:rPr>
        <w:t>中标人确定之日起2个工作日内，</w:t>
      </w:r>
      <w:r>
        <w:rPr>
          <w:rFonts w:hint="eastAsia" w:ascii="宋体" w:hAnsi="宋体" w:cs="Helvetica"/>
          <w:color w:val="000000"/>
          <w:kern w:val="0"/>
          <w:sz w:val="24"/>
          <w:szCs w:val="24"/>
        </w:rPr>
        <w:t>在政府采购监管部门指定媒体上</w:t>
      </w:r>
      <w:r>
        <w:rPr>
          <w:rFonts w:ascii="宋体" w:hAnsi="宋体" w:cs="Helvetica"/>
          <w:color w:val="000000"/>
          <w:kern w:val="0"/>
          <w:sz w:val="24"/>
          <w:szCs w:val="24"/>
        </w:rPr>
        <w:t>公告中标结果</w:t>
      </w:r>
      <w:r>
        <w:rPr>
          <w:rFonts w:hint="eastAsia" w:ascii="宋体" w:hAnsi="宋体" w:cs="Helvetica"/>
          <w:color w:val="000000"/>
          <w:kern w:val="0"/>
          <w:sz w:val="24"/>
          <w:szCs w:val="24"/>
        </w:rPr>
        <w:t>，中标公告的公示期为1个工作日。</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资格审查未通过的投标人可在结果公告质疑有效期内按公告中的联系方式获知</w:t>
      </w:r>
      <w:r>
        <w:rPr>
          <w:rFonts w:ascii="宋体" w:hAnsi="宋体" w:cs="Helvetica"/>
          <w:color w:val="000000"/>
          <w:kern w:val="0"/>
          <w:sz w:val="24"/>
          <w:szCs w:val="24"/>
        </w:rPr>
        <w:t>本</w:t>
      </w:r>
      <w:r>
        <w:rPr>
          <w:rFonts w:hint="eastAsia" w:ascii="宋体" w:hAnsi="宋体" w:cs="Helvetica"/>
          <w:color w:val="000000"/>
          <w:kern w:val="0"/>
          <w:sz w:val="24"/>
          <w:szCs w:val="24"/>
        </w:rPr>
        <w:t>单位</w:t>
      </w:r>
      <w:r>
        <w:rPr>
          <w:rFonts w:ascii="宋体" w:hAnsi="宋体" w:cs="Helvetica"/>
          <w:color w:val="000000"/>
          <w:kern w:val="0"/>
          <w:sz w:val="24"/>
          <w:szCs w:val="24"/>
        </w:rPr>
        <w:t>的</w:t>
      </w:r>
      <w:r>
        <w:rPr>
          <w:rFonts w:hint="eastAsia" w:ascii="宋体" w:hAnsi="宋体" w:cs="Helvetica"/>
          <w:color w:val="000000"/>
          <w:kern w:val="0"/>
          <w:sz w:val="24"/>
          <w:szCs w:val="24"/>
        </w:rPr>
        <w:t>资格审查情况</w:t>
      </w:r>
      <w:r>
        <w:rPr>
          <w:rFonts w:ascii="宋体" w:hAnsi="宋体" w:cs="Helvetica"/>
          <w:color w:val="000000"/>
          <w:kern w:val="0"/>
          <w:sz w:val="24"/>
          <w:szCs w:val="24"/>
        </w:rPr>
        <w:t>。</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ascii="宋体" w:hAnsi="宋体" w:cs="Helvetica"/>
          <w:color w:val="000000"/>
          <w:kern w:val="0"/>
          <w:sz w:val="24"/>
          <w:szCs w:val="24"/>
        </w:rPr>
        <w:t>采用综合评分法评审的</w:t>
      </w:r>
      <w:r>
        <w:rPr>
          <w:rFonts w:hint="eastAsia" w:ascii="宋体" w:hAnsi="宋体" w:cs="Helvetica"/>
          <w:color w:val="000000"/>
          <w:kern w:val="0"/>
          <w:sz w:val="24"/>
          <w:szCs w:val="24"/>
        </w:rPr>
        <w:t>项目</w:t>
      </w:r>
      <w:r>
        <w:rPr>
          <w:rFonts w:ascii="宋体" w:hAnsi="宋体" w:cs="Helvetica"/>
          <w:color w:val="000000"/>
          <w:kern w:val="0"/>
          <w:sz w:val="24"/>
          <w:szCs w:val="24"/>
        </w:rPr>
        <w:t>，</w:t>
      </w:r>
      <w:r>
        <w:rPr>
          <w:rFonts w:hint="eastAsia" w:ascii="宋体" w:hAnsi="宋体" w:cs="Helvetica"/>
          <w:color w:val="000000"/>
          <w:kern w:val="0"/>
          <w:sz w:val="24"/>
          <w:szCs w:val="24"/>
        </w:rPr>
        <w:t>未中标人可在结果公告质疑有效期内按公告中的联系方式获知</w:t>
      </w:r>
      <w:r>
        <w:rPr>
          <w:rFonts w:ascii="宋体" w:hAnsi="宋体" w:cs="Helvetica"/>
          <w:color w:val="000000"/>
          <w:kern w:val="0"/>
          <w:sz w:val="24"/>
          <w:szCs w:val="24"/>
        </w:rPr>
        <w:t>本</w:t>
      </w:r>
      <w:r>
        <w:rPr>
          <w:rFonts w:hint="eastAsia" w:ascii="宋体" w:hAnsi="宋体" w:cs="Helvetica"/>
          <w:color w:val="000000"/>
          <w:kern w:val="0"/>
          <w:sz w:val="24"/>
          <w:szCs w:val="24"/>
        </w:rPr>
        <w:t>单位</w:t>
      </w:r>
      <w:r>
        <w:rPr>
          <w:rFonts w:ascii="宋体" w:hAnsi="宋体" w:cs="Helvetica"/>
          <w:color w:val="000000"/>
          <w:kern w:val="0"/>
          <w:sz w:val="24"/>
          <w:szCs w:val="24"/>
        </w:rPr>
        <w:t>的评审得分与排序。</w:t>
      </w:r>
    </w:p>
    <w:p>
      <w:pPr>
        <w:pStyle w:val="6"/>
        <w:numPr>
          <w:ilvl w:val="0"/>
          <w:numId w:val="7"/>
        </w:numPr>
        <w:spacing w:before="40" w:after="40" w:line="360" w:lineRule="auto"/>
        <w:ind w:left="658" w:hanging="658"/>
        <w:jc w:val="left"/>
        <w:rPr>
          <w:rFonts w:ascii="宋体" w:hAnsi="宋体" w:cs="Times New Roman"/>
          <w:bCs w:val="0"/>
          <w:color w:val="000000"/>
        </w:rPr>
      </w:pPr>
      <w:bookmarkStart w:id="63" w:name="_Toc511894502"/>
      <w:bookmarkStart w:id="64" w:name="_Toc511889424"/>
      <w:bookmarkStart w:id="65" w:name="_Toc19536"/>
      <w:r>
        <w:rPr>
          <w:rFonts w:hint="eastAsia" w:ascii="宋体" w:hAnsi="宋体" w:cs="Times New Roman"/>
          <w:bCs w:val="0"/>
          <w:color w:val="000000"/>
        </w:rPr>
        <w:t>质疑及提交</w:t>
      </w:r>
      <w:bookmarkEnd w:id="63"/>
      <w:bookmarkEnd w:id="64"/>
      <w:bookmarkEnd w:id="65"/>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质疑提交</w:t>
      </w:r>
    </w:p>
    <w:p>
      <w:pPr>
        <w:spacing w:line="360" w:lineRule="auto"/>
        <w:ind w:firstLine="480" w:firstLineChars="200"/>
        <w:rPr>
          <w:rFonts w:ascii="宋体" w:hAnsi="宋体" w:cs="Times New Roman"/>
          <w:color w:val="000000"/>
          <w:sz w:val="24"/>
          <w:szCs w:val="20"/>
        </w:rPr>
      </w:pPr>
      <w:r>
        <w:rPr>
          <w:rFonts w:hint="eastAsia" w:ascii="宋体" w:hAnsi="宋体" w:cs="宋体"/>
          <w:bCs/>
          <w:color w:val="000000"/>
          <w:kern w:val="0"/>
          <w:sz w:val="24"/>
          <w:szCs w:val="24"/>
          <w:lang w:val="zh-CN"/>
        </w:rPr>
        <w:t>投标人认为招标文件、招标过程和中标结果使自己的权益受到损害的，可以在知道或者应知其权益受到损害之日起7个工作日内，向武汉安平天志工程咨询有限公司提出质疑。</w:t>
      </w:r>
      <w:r>
        <w:rPr>
          <w:rFonts w:hint="eastAsia" w:ascii="宋体" w:hAnsi="宋体" w:cs="宋体"/>
          <w:bCs/>
          <w:color w:val="000000"/>
          <w:kern w:val="0"/>
          <w:sz w:val="24"/>
          <w:szCs w:val="24"/>
        </w:rPr>
        <w:t>质疑时请提交书面质疑函一份（法人代表签字、加盖单位公章），并附相关证据材料</w:t>
      </w:r>
      <w:r>
        <w:rPr>
          <w:rFonts w:hint="eastAsia" w:ascii="宋体" w:hAnsi="宋体" w:cs="Times New Roman"/>
          <w:color w:val="000000"/>
          <w:sz w:val="24"/>
          <w:szCs w:val="20"/>
        </w:rPr>
        <w:t>。</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投标人</w:t>
      </w:r>
      <w:r>
        <w:rPr>
          <w:rFonts w:ascii="宋体" w:hAnsi="宋体" w:cs="Times New Roman"/>
          <w:b/>
          <w:color w:val="000000"/>
          <w:sz w:val="24"/>
          <w:szCs w:val="20"/>
        </w:rPr>
        <w:t>应知其权益受到损害之日是指：</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对可以质疑的</w:t>
      </w:r>
      <w:r>
        <w:rPr>
          <w:rFonts w:hint="eastAsia" w:ascii="宋体" w:hAnsi="宋体" w:cs="Times New Roman"/>
          <w:color w:val="000000"/>
          <w:sz w:val="24"/>
          <w:szCs w:val="20"/>
        </w:rPr>
        <w:t>招标</w:t>
      </w:r>
      <w:r>
        <w:rPr>
          <w:rFonts w:ascii="宋体" w:hAnsi="宋体" w:cs="Times New Roman"/>
          <w:color w:val="000000"/>
          <w:sz w:val="24"/>
          <w:szCs w:val="20"/>
        </w:rPr>
        <w:t>文件提出质疑的，为收到</w:t>
      </w:r>
      <w:r>
        <w:rPr>
          <w:rFonts w:hint="eastAsia" w:ascii="宋体" w:hAnsi="宋体" w:cs="Times New Roman"/>
          <w:color w:val="000000"/>
          <w:sz w:val="24"/>
          <w:szCs w:val="20"/>
        </w:rPr>
        <w:t>招标</w:t>
      </w:r>
      <w:r>
        <w:rPr>
          <w:rFonts w:ascii="宋体" w:hAnsi="宋体" w:cs="Times New Roman"/>
          <w:color w:val="000000"/>
          <w:sz w:val="24"/>
          <w:szCs w:val="20"/>
        </w:rPr>
        <w:t>文件之日或者</w:t>
      </w:r>
      <w:r>
        <w:rPr>
          <w:rFonts w:hint="eastAsia" w:ascii="宋体" w:hAnsi="宋体" w:cs="Times New Roman"/>
          <w:color w:val="000000"/>
          <w:sz w:val="24"/>
          <w:szCs w:val="20"/>
        </w:rPr>
        <w:t>招标</w:t>
      </w:r>
      <w:r>
        <w:rPr>
          <w:rFonts w:ascii="宋体" w:hAnsi="宋体" w:cs="Times New Roman"/>
          <w:color w:val="000000"/>
          <w:sz w:val="24"/>
          <w:szCs w:val="20"/>
        </w:rPr>
        <w:t>文件公告期限届满之日</w:t>
      </w:r>
      <w:r>
        <w:rPr>
          <w:rFonts w:hint="eastAsia" w:ascii="宋体" w:hAnsi="宋体" w:cs="Times New Roman"/>
          <w:color w:val="000000"/>
          <w:sz w:val="24"/>
          <w:szCs w:val="20"/>
        </w:rPr>
        <w:t>；</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w:t>
      </w:r>
      <w:r>
        <w:rPr>
          <w:rFonts w:hint="eastAsia" w:ascii="宋体" w:hAnsi="宋体" w:cs="Times New Roman"/>
          <w:color w:val="000000"/>
          <w:sz w:val="24"/>
          <w:szCs w:val="20"/>
        </w:rPr>
        <w:t>招标</w:t>
      </w:r>
      <w:r>
        <w:rPr>
          <w:rFonts w:ascii="宋体" w:hAnsi="宋体" w:cs="Times New Roman"/>
          <w:color w:val="000000"/>
          <w:sz w:val="24"/>
          <w:szCs w:val="20"/>
        </w:rPr>
        <w:t>过程提出质疑的，为各</w:t>
      </w:r>
      <w:r>
        <w:rPr>
          <w:rFonts w:hint="eastAsia" w:ascii="宋体" w:hAnsi="宋体" w:cs="Times New Roman"/>
          <w:color w:val="000000"/>
          <w:sz w:val="24"/>
          <w:szCs w:val="20"/>
        </w:rPr>
        <w:t>招标</w:t>
      </w:r>
      <w:r>
        <w:rPr>
          <w:rFonts w:ascii="宋体" w:hAnsi="宋体" w:cs="Times New Roman"/>
          <w:color w:val="000000"/>
          <w:sz w:val="24"/>
          <w:szCs w:val="20"/>
        </w:rPr>
        <w:t>程序环节结束之日</w:t>
      </w:r>
      <w:r>
        <w:rPr>
          <w:rFonts w:hint="eastAsia" w:ascii="宋体" w:hAnsi="宋体" w:cs="Times New Roman"/>
          <w:color w:val="000000"/>
          <w:sz w:val="24"/>
          <w:szCs w:val="20"/>
        </w:rPr>
        <w:t>；</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对中标结果提出质疑的，为中标公告期限届满之日。</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质疑书应当包括下列主要内容：</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质疑人的名称、地址、联系人及联系电话等；</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被质疑人的名称、地址、联系人及联系电话等；</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质疑项目名称及编号、质疑事项和明确的请求；</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质疑事项的事实根据、法律依据及其他必要的证明材料；</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提出质疑的日期；</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质疑人的署名及签章（质疑人为自然人的，应当由本人签字；质疑人为法人或者其他组织的，应当由法定代表人或者主要负责人签字盖章并加盖公章）；</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法人授权委托书（质疑人或法人委托代理人办理质疑事务的，应当提供授权委托书，授权委托书应当载明委托代理的具体权限和事项）。</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不予受理的情形</w:t>
      </w:r>
    </w:p>
    <w:p>
      <w:pPr>
        <w:spacing w:line="360" w:lineRule="auto"/>
        <w:ind w:firstLine="480" w:firstLineChars="200"/>
        <w:rPr>
          <w:rFonts w:ascii="宋体" w:hAnsi="宋体" w:cs="Times New Roman"/>
          <w:color w:val="000000"/>
          <w:sz w:val="24"/>
          <w:szCs w:val="20"/>
        </w:rPr>
      </w:pPr>
      <w:r>
        <w:rPr>
          <w:rFonts w:hint="eastAsia" w:ascii="宋体" w:hAnsi="宋体" w:cs="Times New Roman"/>
          <w:color w:val="000000"/>
          <w:sz w:val="24"/>
          <w:szCs w:val="20"/>
        </w:rPr>
        <w:t>投标人未按本章“质疑及提交”规定的时限、内容及方式进行质疑的，集中采购机构不予受理。</w:t>
      </w:r>
    </w:p>
    <w:p>
      <w:pPr>
        <w:pStyle w:val="6"/>
        <w:numPr>
          <w:ilvl w:val="0"/>
          <w:numId w:val="7"/>
        </w:numPr>
        <w:spacing w:before="40" w:after="40" w:line="360" w:lineRule="auto"/>
        <w:ind w:left="658" w:hanging="658"/>
        <w:jc w:val="left"/>
        <w:rPr>
          <w:rFonts w:ascii="宋体" w:hAnsi="宋体" w:cs="Times New Roman"/>
          <w:bCs w:val="0"/>
          <w:color w:val="000000"/>
        </w:rPr>
      </w:pPr>
      <w:bookmarkStart w:id="66" w:name="_Toc511889425"/>
      <w:bookmarkStart w:id="67" w:name="_Toc511894503"/>
      <w:bookmarkStart w:id="68" w:name="_Toc28216"/>
      <w:r>
        <w:rPr>
          <w:rFonts w:hint="eastAsia" w:ascii="宋体" w:hAnsi="宋体" w:cs="Times New Roman"/>
          <w:bCs w:val="0"/>
          <w:color w:val="000000"/>
        </w:rPr>
        <w:t>相关条文解读</w:t>
      </w:r>
      <w:bookmarkEnd w:id="66"/>
      <w:bookmarkEnd w:id="67"/>
      <w:bookmarkEnd w:id="68"/>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根据财政部《政府采购法实施条例》释义中关于供应商资格条件的解释，对于银行、保险、石油石化、电力、电信等有行业特殊情况的，采购人和集中采购机构允许其分支机构参与投标。</w:t>
      </w:r>
    </w:p>
    <w:p>
      <w:pPr>
        <w:pStyle w:val="6"/>
        <w:numPr>
          <w:ilvl w:val="0"/>
          <w:numId w:val="7"/>
        </w:numPr>
        <w:spacing w:before="40" w:after="40" w:line="360" w:lineRule="auto"/>
        <w:ind w:left="658" w:hanging="658"/>
        <w:jc w:val="left"/>
        <w:rPr>
          <w:rFonts w:ascii="宋体" w:hAnsi="宋体" w:cs="Times New Roman"/>
          <w:bCs w:val="0"/>
          <w:color w:val="000000"/>
        </w:rPr>
      </w:pPr>
      <w:bookmarkStart w:id="69" w:name="_Toc511894504"/>
      <w:bookmarkStart w:id="70" w:name="_Toc511889426"/>
      <w:bookmarkStart w:id="71" w:name="_Toc17346"/>
      <w:r>
        <w:rPr>
          <w:rFonts w:hint="eastAsia" w:ascii="宋体" w:hAnsi="宋体" w:cs="Times New Roman"/>
          <w:bCs w:val="0"/>
          <w:color w:val="000000"/>
        </w:rPr>
        <w:t>其他注意事项</w:t>
      </w:r>
      <w:bookmarkEnd w:id="69"/>
      <w:bookmarkEnd w:id="70"/>
      <w:bookmarkEnd w:id="71"/>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除单一来源采购项目外，为采购项目提供整体设计、规范编制或者项目管理、监理、检测等服务的供应商，不得再参加该采购项目的其他采购活动。</w:t>
      </w:r>
    </w:p>
    <w:p>
      <w:pPr>
        <w:pStyle w:val="6"/>
        <w:numPr>
          <w:ilvl w:val="0"/>
          <w:numId w:val="7"/>
        </w:numPr>
        <w:spacing w:before="40" w:after="40" w:line="360" w:lineRule="auto"/>
        <w:ind w:left="966" w:hanging="966"/>
        <w:jc w:val="left"/>
        <w:rPr>
          <w:rFonts w:ascii="宋体" w:hAnsi="宋体" w:cs="Times New Roman"/>
          <w:bCs w:val="0"/>
          <w:color w:val="000000"/>
        </w:rPr>
      </w:pPr>
      <w:bookmarkStart w:id="72" w:name="_Toc22544"/>
      <w:bookmarkStart w:id="73" w:name="_Toc511889427"/>
      <w:bookmarkStart w:id="74" w:name="_Toc511894505"/>
      <w:r>
        <w:rPr>
          <w:rFonts w:hint="eastAsia" w:ascii="宋体" w:hAnsi="宋体" w:cs="Times New Roman"/>
          <w:bCs w:val="0"/>
          <w:color w:val="000000"/>
        </w:rPr>
        <w:t>适用法律</w:t>
      </w:r>
      <w:bookmarkEnd w:id="72"/>
      <w:bookmarkEnd w:id="73"/>
      <w:bookmarkEnd w:id="74"/>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采购人、集中采购机构及投标人的一切招标投标活动均适用《政府采购法》、《政府采购法实施条例》、</w:t>
      </w:r>
      <w:r>
        <w:rPr>
          <w:rFonts w:ascii="宋体" w:hAnsi="宋体" w:cs="Times New Roman"/>
          <w:color w:val="000000"/>
          <w:sz w:val="24"/>
          <w:szCs w:val="20"/>
        </w:rPr>
        <w:t>《政府采购货物和服务招标投标管理办法》</w:t>
      </w:r>
      <w:r>
        <w:rPr>
          <w:rFonts w:hint="eastAsia" w:ascii="宋体" w:hAnsi="宋体" w:cs="Times New Roman"/>
          <w:color w:val="000000"/>
          <w:sz w:val="24"/>
          <w:szCs w:val="20"/>
        </w:rPr>
        <w:t>及相关法律法规。</w:t>
      </w:r>
    </w:p>
    <w:p>
      <w:pPr>
        <w:numPr>
          <w:ilvl w:val="0"/>
          <w:numId w:val="8"/>
        </w:numPr>
        <w:spacing w:line="360" w:lineRule="auto"/>
        <w:ind w:left="560" w:hanging="560"/>
        <w:rPr>
          <w:rFonts w:ascii="宋体" w:hAnsi="宋体" w:cs="Times New Roman"/>
          <w:color w:val="000000"/>
          <w:sz w:val="24"/>
          <w:szCs w:val="20"/>
        </w:rPr>
      </w:pPr>
      <w:r>
        <w:rPr>
          <w:rFonts w:ascii="Helvetica" w:hAnsi="Helvetica" w:cs="Helvetica"/>
          <w:color w:val="000000"/>
          <w:kern w:val="0"/>
          <w:sz w:val="24"/>
          <w:szCs w:val="24"/>
        </w:rPr>
        <w:t>政府采购合同的履行、违约责任和解决争议的方法等适用《合同法》。</w:t>
      </w:r>
    </w:p>
    <w:p>
      <w:pPr>
        <w:pStyle w:val="6"/>
        <w:numPr>
          <w:ilvl w:val="0"/>
          <w:numId w:val="7"/>
        </w:numPr>
        <w:spacing w:before="40" w:after="40" w:line="360" w:lineRule="auto"/>
        <w:ind w:left="966" w:hanging="966"/>
        <w:jc w:val="left"/>
        <w:rPr>
          <w:rFonts w:ascii="宋体" w:hAnsi="宋体" w:cs="Times New Roman"/>
          <w:bCs w:val="0"/>
          <w:color w:val="000000"/>
        </w:rPr>
      </w:pPr>
      <w:bookmarkStart w:id="75" w:name="_Toc18519"/>
      <w:bookmarkStart w:id="76" w:name="_Toc511889428"/>
      <w:bookmarkStart w:id="77" w:name="_Toc511894506"/>
      <w:r>
        <w:rPr>
          <w:rFonts w:hint="eastAsia" w:ascii="宋体" w:hAnsi="宋体" w:cs="Times New Roman"/>
          <w:bCs w:val="0"/>
          <w:color w:val="000000"/>
        </w:rPr>
        <w:t>招标文件的解释权</w:t>
      </w:r>
      <w:bookmarkEnd w:id="75"/>
      <w:bookmarkEnd w:id="76"/>
      <w:bookmarkEnd w:id="77"/>
    </w:p>
    <w:p>
      <w:pPr>
        <w:numPr>
          <w:ilvl w:val="0"/>
          <w:numId w:val="8"/>
        </w:numPr>
        <w:spacing w:line="360" w:lineRule="auto"/>
        <w:ind w:left="560" w:hanging="560"/>
        <w:rPr>
          <w:color w:val="000000"/>
        </w:rPr>
      </w:pPr>
      <w:r>
        <w:rPr>
          <w:rFonts w:hint="eastAsia" w:ascii="宋体" w:hAnsi="宋体" w:cs="Times New Roman"/>
          <w:color w:val="000000"/>
          <w:sz w:val="24"/>
          <w:szCs w:val="20"/>
        </w:rPr>
        <w:t>招标文件的最终解释权为采购人、集中采购机构所有。</w:t>
      </w:r>
    </w:p>
    <w:p>
      <w:pPr>
        <w:spacing w:line="360" w:lineRule="auto"/>
        <w:rPr>
          <w:color w:val="000000"/>
        </w:rPr>
      </w:pPr>
      <w:r>
        <w:rPr>
          <w:rFonts w:hint="eastAsia" w:ascii="宋体" w:hAnsi="宋体" w:cs="Times New Roman"/>
          <w:color w:val="000000"/>
          <w:sz w:val="24"/>
          <w:szCs w:val="20"/>
        </w:rPr>
        <w:br w:type="page"/>
      </w:r>
    </w:p>
    <w:p>
      <w:pPr>
        <w:pStyle w:val="5"/>
        <w:numPr>
          <w:ilvl w:val="0"/>
          <w:numId w:val="5"/>
        </w:numPr>
        <w:spacing w:before="240" w:after="120"/>
        <w:ind w:left="883" w:hanging="883" w:hangingChars="200"/>
        <w:jc w:val="center"/>
        <w:rPr>
          <w:rFonts w:ascii="黑体" w:hAnsi="黑体" w:eastAsia="黑体"/>
          <w:color w:val="000000"/>
        </w:rPr>
      </w:pPr>
      <w:bookmarkStart w:id="78" w:name="_Toc511889429"/>
      <w:bookmarkStart w:id="79" w:name="_Toc27678"/>
      <w:bookmarkStart w:id="80" w:name="_Toc511894507"/>
      <w:r>
        <w:rPr>
          <w:rFonts w:hint="eastAsia" w:ascii="黑体" w:hAnsi="黑体" w:eastAsia="黑体"/>
          <w:color w:val="000000"/>
        </w:rPr>
        <w:t>项目技术、服务及商务要求</w:t>
      </w:r>
      <w:bookmarkEnd w:id="78"/>
      <w:bookmarkEnd w:id="79"/>
      <w:bookmarkEnd w:id="80"/>
    </w:p>
    <w:p>
      <w:pPr>
        <w:numPr>
          <w:ilvl w:val="0"/>
          <w:numId w:val="39"/>
        </w:numPr>
        <w:rPr>
          <w:b/>
          <w:bCs/>
          <w:sz w:val="30"/>
          <w:szCs w:val="30"/>
        </w:rPr>
      </w:pPr>
      <w:r>
        <w:rPr>
          <w:rFonts w:hint="eastAsia"/>
          <w:b/>
          <w:bCs/>
          <w:sz w:val="30"/>
          <w:szCs w:val="30"/>
        </w:rPr>
        <w:t>采购清单</w:t>
      </w:r>
    </w:p>
    <w:p>
      <w:pPr>
        <w:widowControl/>
        <w:tabs>
          <w:tab w:val="right" w:leader="dot" w:pos="9514"/>
        </w:tabs>
        <w:spacing w:line="440" w:lineRule="exact"/>
        <w:jc w:val="left"/>
        <w:rPr>
          <w:b/>
          <w:bCs/>
          <w:sz w:val="30"/>
          <w:szCs w:val="30"/>
          <w:lang w:val="zh-CN"/>
        </w:rPr>
      </w:pPr>
      <w:r>
        <w:rPr>
          <w:rFonts w:hint="eastAsia" w:ascii="宋体" w:hAnsi="宋体" w:cs="Times New Roman"/>
          <w:b/>
          <w:sz w:val="24"/>
          <w:szCs w:val="24"/>
          <w:lang w:val="zh-CN"/>
        </w:rPr>
        <w:t>说明：</w:t>
      </w:r>
      <w:r>
        <w:rPr>
          <w:rFonts w:hint="eastAsia"/>
          <w:b/>
          <w:bCs/>
          <w:sz w:val="30"/>
          <w:szCs w:val="30"/>
        </w:rPr>
        <w:t>本章标“★”号的条款为实质性条款要求，任意一项不响应的将作为无效投标处理</w:t>
      </w:r>
    </w:p>
    <w:p>
      <w:pPr>
        <w:spacing w:line="360" w:lineRule="auto"/>
        <w:rPr>
          <w:sz w:val="24"/>
          <w:szCs w:val="24"/>
        </w:rPr>
      </w:pPr>
      <w:bookmarkStart w:id="81" w:name="_Toc511894513"/>
      <w:r>
        <w:rPr>
          <w:rFonts w:hint="eastAsia"/>
          <w:sz w:val="24"/>
          <w:szCs w:val="24"/>
        </w:rPr>
        <w:t>★1、开穴方法：即时开穴、定时开穴、 任意时间开穴查询</w:t>
      </w:r>
    </w:p>
    <w:p>
      <w:pPr>
        <w:spacing w:line="360" w:lineRule="auto"/>
        <w:rPr>
          <w:sz w:val="24"/>
          <w:szCs w:val="24"/>
        </w:rPr>
      </w:pPr>
      <w:r>
        <w:rPr>
          <w:rFonts w:hint="eastAsia"/>
          <w:sz w:val="24"/>
          <w:szCs w:val="24"/>
        </w:rPr>
        <w:t>2、病症查询：查询病症、辩证分型、选择处方穴位，进入治疗</w:t>
      </w:r>
    </w:p>
    <w:p>
      <w:pPr>
        <w:spacing w:line="360" w:lineRule="auto"/>
        <w:rPr>
          <w:sz w:val="24"/>
          <w:szCs w:val="24"/>
        </w:rPr>
      </w:pPr>
      <w:r>
        <w:rPr>
          <w:rFonts w:hint="eastAsia"/>
          <w:sz w:val="24"/>
          <w:szCs w:val="24"/>
        </w:rPr>
        <w:t>3、穴位查询：部位、作用、主治、解剖、图形</w:t>
      </w:r>
    </w:p>
    <w:p>
      <w:pPr>
        <w:spacing w:line="360" w:lineRule="auto"/>
        <w:rPr>
          <w:sz w:val="24"/>
          <w:szCs w:val="24"/>
        </w:rPr>
      </w:pPr>
      <w:r>
        <w:rPr>
          <w:rFonts w:hint="eastAsia"/>
          <w:sz w:val="24"/>
          <w:szCs w:val="24"/>
        </w:rPr>
        <w:t>★4、治疗时间设定</w:t>
      </w:r>
      <w:r>
        <w:rPr>
          <w:rFonts w:hint="eastAsia"/>
          <w:sz w:val="24"/>
          <w:szCs w:val="24"/>
        </w:rPr>
        <w:tab/>
      </w:r>
      <w:r>
        <w:rPr>
          <w:rFonts w:hint="eastAsia"/>
          <w:sz w:val="24"/>
          <w:szCs w:val="24"/>
        </w:rPr>
        <w:t>：具备时区设定、真太阳时自动计算功能</w:t>
      </w:r>
    </w:p>
    <w:p>
      <w:pPr>
        <w:spacing w:line="360" w:lineRule="auto"/>
        <w:rPr>
          <w:sz w:val="24"/>
          <w:szCs w:val="24"/>
        </w:rPr>
      </w:pPr>
      <w:r>
        <w:rPr>
          <w:rFonts w:hint="eastAsia"/>
          <w:sz w:val="24"/>
          <w:szCs w:val="24"/>
        </w:rPr>
        <w:t>5、病症信息：</w:t>
      </w:r>
      <w:r>
        <w:rPr>
          <w:rFonts w:hint="eastAsia"/>
          <w:sz w:val="24"/>
          <w:szCs w:val="24"/>
        </w:rPr>
        <w:tab/>
      </w:r>
      <w:r>
        <w:rPr>
          <w:rFonts w:hint="eastAsia"/>
          <w:sz w:val="24"/>
          <w:szCs w:val="24"/>
        </w:rPr>
        <w:t>≥10种</w:t>
      </w:r>
    </w:p>
    <w:p>
      <w:pPr>
        <w:spacing w:line="360" w:lineRule="auto"/>
        <w:rPr>
          <w:sz w:val="24"/>
          <w:szCs w:val="24"/>
        </w:rPr>
      </w:pPr>
      <w:r>
        <w:rPr>
          <w:rFonts w:hint="eastAsia"/>
          <w:sz w:val="24"/>
          <w:szCs w:val="24"/>
        </w:rPr>
        <w:t>★6、操作模式：可通过触屏或物理按键调节</w:t>
      </w:r>
    </w:p>
    <w:p>
      <w:pPr>
        <w:spacing w:line="360" w:lineRule="auto"/>
        <w:rPr>
          <w:sz w:val="24"/>
          <w:szCs w:val="24"/>
        </w:rPr>
      </w:pPr>
      <w:r>
        <w:rPr>
          <w:rFonts w:hint="eastAsia"/>
          <w:sz w:val="24"/>
          <w:szCs w:val="24"/>
        </w:rPr>
        <w:t>7、显示屏：≥8寸</w:t>
      </w:r>
    </w:p>
    <w:p>
      <w:pPr>
        <w:spacing w:line="360" w:lineRule="auto"/>
        <w:rPr>
          <w:sz w:val="24"/>
          <w:szCs w:val="24"/>
        </w:rPr>
      </w:pPr>
      <w:r>
        <w:rPr>
          <w:rFonts w:hint="eastAsia"/>
          <w:sz w:val="24"/>
          <w:szCs w:val="24"/>
        </w:rPr>
        <w:t>8、多通道输出：≥12路治疗电极输出</w:t>
      </w:r>
    </w:p>
    <w:p>
      <w:pPr>
        <w:spacing w:line="360" w:lineRule="auto"/>
        <w:rPr>
          <w:sz w:val="24"/>
          <w:szCs w:val="24"/>
        </w:rPr>
      </w:pPr>
      <w:r>
        <w:rPr>
          <w:rFonts w:hint="eastAsia"/>
          <w:sz w:val="24"/>
          <w:szCs w:val="24"/>
        </w:rPr>
        <w:t>9主要组件：配备可拆卸分离式推车</w:t>
      </w:r>
    </w:p>
    <w:p>
      <w:pPr>
        <w:spacing w:line="360" w:lineRule="auto"/>
        <w:rPr>
          <w:sz w:val="24"/>
          <w:szCs w:val="24"/>
        </w:rPr>
      </w:pPr>
      <w:r>
        <w:rPr>
          <w:rFonts w:hint="eastAsia"/>
          <w:sz w:val="24"/>
          <w:szCs w:val="24"/>
        </w:rPr>
        <w:t>★10、电极主线：配备电极主线，同时匹配电极线</w:t>
      </w:r>
    </w:p>
    <w:p>
      <w:pPr>
        <w:spacing w:line="360" w:lineRule="auto"/>
        <w:rPr>
          <w:sz w:val="24"/>
          <w:szCs w:val="24"/>
        </w:rPr>
      </w:pPr>
      <w:r>
        <w:rPr>
          <w:rFonts w:hint="eastAsia"/>
          <w:sz w:val="24"/>
          <w:szCs w:val="24"/>
        </w:rPr>
        <w:t>11、脉冲频率：脉冲频率分为15档可调</w:t>
      </w:r>
    </w:p>
    <w:p>
      <w:pPr>
        <w:spacing w:line="360" w:lineRule="auto"/>
        <w:rPr>
          <w:sz w:val="24"/>
          <w:szCs w:val="24"/>
        </w:rPr>
      </w:pPr>
      <w:r>
        <w:rPr>
          <w:rFonts w:hint="eastAsia"/>
          <w:sz w:val="24"/>
          <w:szCs w:val="24"/>
        </w:rPr>
        <w:t>12、内置蓄电池：仪器在断电情况下，可待机</w:t>
      </w:r>
    </w:p>
    <w:p>
      <w:pPr>
        <w:spacing w:line="360" w:lineRule="auto"/>
        <w:rPr>
          <w:sz w:val="24"/>
          <w:szCs w:val="24"/>
        </w:rPr>
      </w:pPr>
      <w:r>
        <w:rPr>
          <w:rFonts w:hint="eastAsia"/>
          <w:sz w:val="24"/>
          <w:szCs w:val="24"/>
        </w:rPr>
        <w:t>13、远程升级系统：有远程升级功能</w:t>
      </w:r>
    </w:p>
    <w:p>
      <w:pPr>
        <w:spacing w:line="360" w:lineRule="auto"/>
        <w:rPr>
          <w:sz w:val="24"/>
          <w:szCs w:val="24"/>
        </w:rPr>
      </w:pPr>
      <w:r>
        <w:rPr>
          <w:rFonts w:hint="eastAsia"/>
          <w:sz w:val="24"/>
          <w:szCs w:val="24"/>
        </w:rPr>
        <w:t>14、配置电源电压：≤240V</w:t>
      </w:r>
    </w:p>
    <w:p>
      <w:pPr>
        <w:spacing w:line="360" w:lineRule="auto"/>
        <w:rPr>
          <w:sz w:val="24"/>
          <w:szCs w:val="24"/>
        </w:rPr>
      </w:pPr>
      <w:r>
        <w:rPr>
          <w:rFonts w:hint="eastAsia"/>
          <w:sz w:val="24"/>
          <w:szCs w:val="24"/>
        </w:rPr>
        <w:t>15、治疗输出：最大输出电压：≤24V(额定负载500Ω±10%)；最大输出电流：在500Ω土10%电阻条件下,输出电流不大于80mA；输出频率≥1hz"</w:t>
      </w:r>
    </w:p>
    <w:p>
      <w:pPr>
        <w:spacing w:line="360" w:lineRule="auto"/>
        <w:rPr>
          <w:sz w:val="24"/>
          <w:szCs w:val="24"/>
        </w:rPr>
      </w:pPr>
      <w:r>
        <w:rPr>
          <w:rFonts w:hint="eastAsia"/>
          <w:sz w:val="24"/>
          <w:szCs w:val="24"/>
        </w:rPr>
        <w:t>二、商务条款：</w:t>
      </w:r>
    </w:p>
    <w:p>
      <w:pPr>
        <w:spacing w:line="360" w:lineRule="auto"/>
        <w:rPr>
          <w:sz w:val="24"/>
          <w:szCs w:val="24"/>
        </w:rPr>
      </w:pPr>
      <w:r>
        <w:rPr>
          <w:rFonts w:hint="eastAsia"/>
          <w:sz w:val="24"/>
          <w:szCs w:val="24"/>
        </w:rPr>
        <w:t>1、质保期：一年</w:t>
      </w:r>
    </w:p>
    <w:p>
      <w:pPr>
        <w:spacing w:line="360" w:lineRule="auto"/>
        <w:rPr>
          <w:sz w:val="24"/>
          <w:szCs w:val="24"/>
        </w:rPr>
      </w:pPr>
      <w:r>
        <w:rPr>
          <w:rFonts w:hint="eastAsia"/>
          <w:sz w:val="24"/>
          <w:szCs w:val="24"/>
        </w:rPr>
        <w:t>2、到货时间：签订合同后7个工作日</w:t>
      </w:r>
    </w:p>
    <w:p>
      <w:pPr>
        <w:adjustRightInd w:val="0"/>
        <w:spacing w:line="360" w:lineRule="auto"/>
        <w:jc w:val="left"/>
        <w:textAlignment w:val="baseline"/>
        <w:rPr>
          <w:rFonts w:ascii="宋体" w:hAnsi="宋体" w:cs="宋体"/>
          <w:sz w:val="24"/>
          <w:szCs w:val="24"/>
        </w:rPr>
      </w:pPr>
      <w:r>
        <w:rPr>
          <w:rFonts w:hint="eastAsia"/>
          <w:sz w:val="24"/>
          <w:szCs w:val="24"/>
        </w:rPr>
        <w:t>3、付款方式：验收合格凭发票首付</w:t>
      </w:r>
      <w:r>
        <w:rPr>
          <w:rFonts w:hint="eastAsia"/>
          <w:sz w:val="24"/>
          <w:szCs w:val="24"/>
          <w:lang w:val="en-US" w:eastAsia="zh-CN"/>
        </w:rPr>
        <w:t>90</w:t>
      </w:r>
      <w:r>
        <w:rPr>
          <w:rFonts w:hint="eastAsia"/>
          <w:sz w:val="24"/>
          <w:szCs w:val="24"/>
        </w:rPr>
        <w:t>%，余款一年后付清</w:t>
      </w:r>
    </w:p>
    <w:p>
      <w:pPr>
        <w:rPr>
          <w:rFonts w:ascii="宋体" w:hAnsi="宋体" w:cs="宋体"/>
          <w:sz w:val="24"/>
          <w:szCs w:val="24"/>
        </w:rPr>
      </w:pPr>
      <w:r>
        <w:rPr>
          <w:rFonts w:hint="eastAsia" w:ascii="宋体" w:hAnsi="宋体" w:cs="宋体"/>
          <w:sz w:val="24"/>
          <w:szCs w:val="24"/>
        </w:rPr>
        <w:br w:type="page"/>
      </w:r>
    </w:p>
    <w:p>
      <w:pPr>
        <w:pStyle w:val="2"/>
        <w:ind w:firstLine="240"/>
      </w:pPr>
    </w:p>
    <w:p>
      <w:pPr>
        <w:pStyle w:val="5"/>
        <w:spacing w:before="240" w:after="120"/>
        <w:jc w:val="center"/>
        <w:rPr>
          <w:rFonts w:ascii="黑体" w:hAnsi="黑体" w:eastAsia="黑体"/>
          <w:color w:val="000000"/>
        </w:rPr>
      </w:pPr>
      <w:bookmarkStart w:id="82" w:name="_Toc28260"/>
      <w:r>
        <w:rPr>
          <w:rFonts w:hint="eastAsia" w:ascii="黑体" w:hAnsi="黑体" w:eastAsia="黑体"/>
          <w:color w:val="000000"/>
        </w:rPr>
        <w:t>第四章 资格审查方法及标准</w:t>
      </w:r>
      <w:bookmarkEnd w:id="81"/>
      <w:bookmarkEnd w:id="82"/>
    </w:p>
    <w:p>
      <w:pPr>
        <w:spacing w:line="360" w:lineRule="auto"/>
        <w:ind w:firstLine="420"/>
        <w:rPr>
          <w:rFonts w:ascii="宋体" w:hAnsi="宋体" w:cs="Times New Roman"/>
          <w:bCs/>
          <w:color w:val="000000"/>
          <w:sz w:val="24"/>
          <w:szCs w:val="20"/>
        </w:rPr>
      </w:pPr>
      <w:r>
        <w:rPr>
          <w:rFonts w:hint="eastAsia" w:ascii="宋体" w:hAnsi="宋体" w:cs="Times New Roman"/>
          <w:bCs/>
          <w:color w:val="000000"/>
          <w:sz w:val="24"/>
          <w:szCs w:val="20"/>
        </w:rPr>
        <w:t>根据《政府采购法》、《政府采购法实施条例》、《政府采购货物和服务招标投标管理办法》等相关法律法规确定以下资格审查方法及标准。</w:t>
      </w:r>
    </w:p>
    <w:p>
      <w:pPr>
        <w:pStyle w:val="6"/>
        <w:numPr>
          <w:ilvl w:val="0"/>
          <w:numId w:val="40"/>
        </w:numPr>
        <w:spacing w:before="0" w:after="0" w:line="360" w:lineRule="auto"/>
        <w:ind w:left="616" w:hanging="616"/>
        <w:jc w:val="left"/>
        <w:rPr>
          <w:rFonts w:ascii="宋体" w:hAnsi="宋体" w:cs="Times New Roman"/>
          <w:bCs w:val="0"/>
          <w:color w:val="000000"/>
          <w:sz w:val="30"/>
          <w:szCs w:val="30"/>
        </w:rPr>
      </w:pPr>
      <w:bookmarkStart w:id="83" w:name="_Toc31857"/>
      <w:bookmarkStart w:id="84" w:name="_Toc511894514"/>
      <w:bookmarkStart w:id="85" w:name="_Toc494561958"/>
      <w:r>
        <w:rPr>
          <w:rFonts w:hint="eastAsia" w:ascii="宋体" w:hAnsi="宋体" w:cs="Times New Roman"/>
          <w:bCs w:val="0"/>
          <w:color w:val="000000"/>
          <w:sz w:val="30"/>
          <w:szCs w:val="30"/>
        </w:rPr>
        <w:t>资格审查方法</w:t>
      </w:r>
      <w:bookmarkEnd w:id="83"/>
      <w:bookmarkEnd w:id="84"/>
      <w:bookmarkEnd w:id="85"/>
    </w:p>
    <w:p>
      <w:pPr>
        <w:spacing w:line="360" w:lineRule="auto"/>
        <w:ind w:firstLine="420"/>
        <w:rPr>
          <w:rFonts w:ascii="宋体" w:hAnsi="宋体" w:cs="Times New Roman"/>
          <w:bCs/>
          <w:color w:val="000000"/>
          <w:sz w:val="24"/>
          <w:szCs w:val="20"/>
        </w:rPr>
      </w:pPr>
      <w:r>
        <w:rPr>
          <w:rFonts w:hint="eastAsia" w:ascii="宋体" w:hAnsi="宋体" w:cs="Times New Roman"/>
          <w:bCs/>
          <w:color w:val="000000"/>
          <w:sz w:val="24"/>
          <w:szCs w:val="20"/>
        </w:rPr>
        <w:t>公开招标采购项目开标结束后，采购人成立资格审查小组，依据法律、法规及招标文件的规定，对投标人的资格进行审查，以确定投标人资格是否合格。</w:t>
      </w:r>
    </w:p>
    <w:p>
      <w:pPr>
        <w:pStyle w:val="6"/>
        <w:numPr>
          <w:ilvl w:val="0"/>
          <w:numId w:val="40"/>
        </w:numPr>
        <w:spacing w:before="0" w:after="0" w:line="360" w:lineRule="auto"/>
        <w:ind w:left="616" w:hanging="616"/>
        <w:jc w:val="left"/>
        <w:rPr>
          <w:rFonts w:ascii="宋体" w:hAnsi="宋体" w:cs="Times New Roman"/>
          <w:bCs w:val="0"/>
          <w:color w:val="000000"/>
          <w:sz w:val="30"/>
          <w:szCs w:val="30"/>
        </w:rPr>
      </w:pPr>
      <w:bookmarkStart w:id="86" w:name="_Toc15010"/>
      <w:bookmarkStart w:id="87" w:name="_Toc511894515"/>
      <w:bookmarkStart w:id="88" w:name="_Toc494561959"/>
      <w:r>
        <w:rPr>
          <w:rFonts w:hint="eastAsia" w:ascii="宋体" w:hAnsi="宋体" w:cs="Times New Roman"/>
          <w:bCs w:val="0"/>
          <w:color w:val="000000"/>
          <w:sz w:val="30"/>
          <w:szCs w:val="30"/>
        </w:rPr>
        <w:t>资格审查标准</w:t>
      </w:r>
      <w:bookmarkEnd w:id="86"/>
      <w:bookmarkEnd w:id="87"/>
      <w:bookmarkEnd w:id="88"/>
    </w:p>
    <w:p>
      <w:pPr>
        <w:numPr>
          <w:ilvl w:val="0"/>
          <w:numId w:val="41"/>
        </w:numPr>
        <w:tabs>
          <w:tab w:val="left" w:pos="1098"/>
        </w:tabs>
        <w:spacing w:line="360" w:lineRule="auto"/>
        <w:ind w:left="14" w:firstLine="238"/>
        <w:rPr>
          <w:rFonts w:ascii="宋体" w:hAnsi="宋体" w:cs="Times New Roman"/>
          <w:b/>
          <w:color w:val="000000"/>
          <w:sz w:val="24"/>
          <w:szCs w:val="24"/>
        </w:rPr>
      </w:pPr>
      <w:r>
        <w:rPr>
          <w:rFonts w:hint="eastAsia" w:ascii="宋体" w:hAnsi="宋体" w:cs="Times New Roman"/>
          <w:b/>
          <w:color w:val="000000"/>
          <w:sz w:val="24"/>
          <w:szCs w:val="24"/>
        </w:rPr>
        <w:t>资格证明文件审查</w:t>
      </w:r>
    </w:p>
    <w:p>
      <w:pPr>
        <w:tabs>
          <w:tab w:val="left" w:pos="616"/>
        </w:tabs>
        <w:spacing w:line="360" w:lineRule="auto"/>
        <w:ind w:firstLine="420"/>
        <w:rPr>
          <w:rFonts w:ascii="Helvetica" w:hAnsi="Helvetica" w:cs="Helvetica"/>
          <w:b/>
          <w:color w:val="000000"/>
          <w:kern w:val="0"/>
          <w:sz w:val="24"/>
          <w:szCs w:val="24"/>
        </w:rPr>
      </w:pPr>
      <w:r>
        <w:rPr>
          <w:rFonts w:hint="eastAsia" w:ascii="Helvetica" w:hAnsi="Helvetica" w:cs="Helvetica"/>
          <w:color w:val="000000"/>
          <w:kern w:val="0"/>
          <w:sz w:val="24"/>
          <w:szCs w:val="24"/>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rPr>
        <w:t>无效投标处理：</w:t>
      </w:r>
    </w:p>
    <w:p>
      <w:pPr>
        <w:pStyle w:val="44"/>
        <w:spacing w:line="360" w:lineRule="auto"/>
        <w:ind w:firstLine="241" w:firstLineChars="100"/>
        <w:rPr>
          <w:rFonts w:ascii="宋体" w:hAnsi="宋体" w:cs="Times New Roman"/>
          <w:b/>
          <w:color w:val="000000"/>
          <w:sz w:val="24"/>
          <w:szCs w:val="24"/>
        </w:rPr>
      </w:pPr>
      <w:r>
        <w:rPr>
          <w:rFonts w:hint="eastAsia" w:ascii="宋体" w:hAnsi="宋体" w:cs="Times New Roman"/>
          <w:b/>
          <w:color w:val="000000"/>
          <w:sz w:val="24"/>
          <w:szCs w:val="24"/>
        </w:rPr>
        <w:t>1.应具备《政府采购法》第二十二条第一款规定的条件，</w:t>
      </w:r>
      <w:r>
        <w:rPr>
          <w:rFonts w:hint="eastAsia" w:hAnsi="宋体"/>
          <w:b/>
          <w:color w:val="000000"/>
          <w:sz w:val="24"/>
          <w:szCs w:val="24"/>
        </w:rPr>
        <w:t>提供下列材料</w:t>
      </w:r>
      <w:r>
        <w:rPr>
          <w:rFonts w:hint="eastAsia" w:ascii="宋体" w:hAnsi="宋体" w:cs="Times New Roman"/>
          <w:b/>
          <w:color w:val="000000"/>
          <w:sz w:val="24"/>
          <w:szCs w:val="24"/>
        </w:rPr>
        <w:t>：</w:t>
      </w:r>
    </w:p>
    <w:p>
      <w:pPr>
        <w:pStyle w:val="44"/>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1.1法人或者其他组织的营业执照等证明文件，自然人的身份证明</w:t>
      </w:r>
      <w:r>
        <w:rPr>
          <w:rFonts w:hint="eastAsia" w:ascii="宋体" w:hAnsi="宋体"/>
          <w:color w:val="000000"/>
          <w:sz w:val="24"/>
          <w:szCs w:val="24"/>
        </w:rPr>
        <w:t>（投标人根据自身情况提供对应的证明材料）</w:t>
      </w:r>
      <w:r>
        <w:rPr>
          <w:rFonts w:hint="eastAsia" w:ascii="宋体" w:hAnsi="宋体" w:cs="Times New Roman"/>
          <w:color w:val="000000"/>
          <w:sz w:val="24"/>
          <w:szCs w:val="24"/>
        </w:rPr>
        <w:t>：</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1.1.1法人</w:t>
      </w:r>
    </w:p>
    <w:p>
      <w:pPr>
        <w:pStyle w:val="44"/>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（1）业法人（包括合伙企业）：</w:t>
      </w:r>
      <w:r>
        <w:rPr>
          <w:rFonts w:hint="eastAsia" w:ascii="宋体" w:hAnsi="宋体"/>
          <w:color w:val="000000"/>
          <w:sz w:val="24"/>
          <w:szCs w:val="24"/>
        </w:rPr>
        <w:t>提供工商部门注册的有效“企业法人营业执照”或“营业执照”；</w:t>
      </w:r>
    </w:p>
    <w:p>
      <w:pPr>
        <w:pStyle w:val="44"/>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（2）事业单位法人：</w:t>
      </w:r>
      <w:r>
        <w:rPr>
          <w:rFonts w:hint="eastAsia" w:ascii="宋体" w:hAnsi="宋体"/>
          <w:color w:val="000000"/>
          <w:sz w:val="24"/>
          <w:szCs w:val="24"/>
        </w:rPr>
        <w:t>提供有效的“事业单位法人证书”。</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1.1.2其他组织</w:t>
      </w:r>
    </w:p>
    <w:p>
      <w:pPr>
        <w:pStyle w:val="44"/>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（1）非企业专业服务机构：</w:t>
      </w:r>
      <w:r>
        <w:rPr>
          <w:rFonts w:hint="eastAsia" w:ascii="宋体" w:hAnsi="宋体"/>
          <w:color w:val="000000"/>
          <w:sz w:val="24"/>
          <w:szCs w:val="24"/>
        </w:rPr>
        <w:t>提供执业许可证等证明文件；</w:t>
      </w:r>
    </w:p>
    <w:p>
      <w:pPr>
        <w:pStyle w:val="44"/>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（2）个体工商户：</w:t>
      </w:r>
      <w:r>
        <w:rPr>
          <w:rFonts w:hint="eastAsia" w:ascii="宋体" w:hAnsi="宋体"/>
          <w:color w:val="000000"/>
          <w:sz w:val="24"/>
          <w:szCs w:val="24"/>
        </w:rPr>
        <w:t>提供有效的“个体工商户营业执照”。</w:t>
      </w:r>
    </w:p>
    <w:p>
      <w:pPr>
        <w:spacing w:line="360" w:lineRule="auto"/>
        <w:ind w:firstLine="241" w:firstLineChars="100"/>
        <w:rPr>
          <w:rFonts w:ascii="宋体" w:hAnsi="宋体" w:cs="Times New Roman"/>
          <w:color w:val="000000"/>
          <w:sz w:val="24"/>
          <w:szCs w:val="20"/>
        </w:rPr>
      </w:pPr>
      <w:r>
        <w:rPr>
          <w:rFonts w:hint="eastAsia" w:ascii="仿宋" w:hAnsi="仿宋" w:eastAsia="仿宋" w:cs="Times New Roman"/>
          <w:b/>
          <w:color w:val="000000"/>
          <w:sz w:val="24"/>
          <w:szCs w:val="20"/>
        </w:rPr>
        <w:t>1.1.3自然人：</w:t>
      </w:r>
      <w:r>
        <w:rPr>
          <w:rFonts w:hint="eastAsia" w:ascii="宋体" w:hAnsi="宋体" w:cs="Times New Roman"/>
          <w:color w:val="000000"/>
          <w:sz w:val="24"/>
          <w:szCs w:val="20"/>
        </w:rPr>
        <w:t>提供有效的自然人身份证明。（仅限中国公民）</w:t>
      </w:r>
    </w:p>
    <w:p>
      <w:pPr>
        <w:pStyle w:val="44"/>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1.2财务状况报告，依法缴纳税收和社会保障资金的相关材料（投标人根据自身情况提供对应的证明材料）：</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1.2.1财务状况报告</w:t>
      </w:r>
    </w:p>
    <w:p>
      <w:pPr>
        <w:pStyle w:val="44"/>
        <w:numPr>
          <w:ilvl w:val="0"/>
          <w:numId w:val="42"/>
        </w:numPr>
        <w:spacing w:line="360" w:lineRule="auto"/>
        <w:ind w:left="1435" w:hanging="482" w:firstLineChars="0"/>
        <w:rPr>
          <w:rFonts w:ascii="宋体" w:hAnsi="宋体"/>
          <w:color w:val="000000"/>
          <w:sz w:val="24"/>
          <w:szCs w:val="24"/>
        </w:rPr>
      </w:pPr>
      <w:r>
        <w:rPr>
          <w:rFonts w:hint="eastAsia" w:ascii="楷体" w:hAnsi="楷体" w:eastAsia="楷体"/>
          <w:b/>
          <w:color w:val="000000"/>
          <w:sz w:val="24"/>
          <w:szCs w:val="24"/>
        </w:rPr>
        <w:t>法人：</w:t>
      </w:r>
      <w:r>
        <w:rPr>
          <w:rFonts w:hint="eastAsia" w:ascii="宋体" w:hAnsi="宋体"/>
          <w:color w:val="000000"/>
          <w:sz w:val="24"/>
          <w:szCs w:val="24"/>
        </w:rPr>
        <w:t>提供经第三方审计的财务报告（完整的财务报告，包括“四表一注”，即资产负债表、利润表、现金流量表、所有者权益变动表及其附注），或其基本开户银行出具的资信证明；</w:t>
      </w:r>
    </w:p>
    <w:p>
      <w:pPr>
        <w:pStyle w:val="44"/>
        <w:numPr>
          <w:ilvl w:val="0"/>
          <w:numId w:val="42"/>
        </w:numPr>
        <w:spacing w:line="360" w:lineRule="auto"/>
        <w:ind w:left="1435" w:hanging="482" w:firstLineChars="0"/>
        <w:rPr>
          <w:rFonts w:ascii="宋体" w:hAnsi="宋体"/>
          <w:color w:val="000000"/>
          <w:sz w:val="24"/>
          <w:szCs w:val="24"/>
        </w:rPr>
      </w:pPr>
      <w:r>
        <w:rPr>
          <w:rFonts w:hint="eastAsia" w:ascii="楷体" w:hAnsi="楷体" w:eastAsia="楷体"/>
          <w:b/>
          <w:color w:val="000000"/>
          <w:sz w:val="24"/>
          <w:szCs w:val="24"/>
        </w:rPr>
        <w:t>部分其他组织和自然人：</w:t>
      </w:r>
      <w:r>
        <w:rPr>
          <w:rFonts w:hint="eastAsia" w:ascii="宋体" w:hAnsi="宋体"/>
          <w:color w:val="000000"/>
          <w:sz w:val="24"/>
          <w:szCs w:val="24"/>
        </w:rPr>
        <w:t>没有经第三方审计的财务报告的，可以提供银行出具的资信证明；</w:t>
      </w:r>
    </w:p>
    <w:p>
      <w:pPr>
        <w:pStyle w:val="44"/>
        <w:numPr>
          <w:ilvl w:val="0"/>
          <w:numId w:val="42"/>
        </w:numPr>
        <w:spacing w:line="360" w:lineRule="auto"/>
        <w:ind w:left="1435" w:hanging="482" w:firstLineChars="0"/>
        <w:rPr>
          <w:rFonts w:ascii="宋体" w:hAnsi="宋体"/>
          <w:color w:val="000000"/>
          <w:sz w:val="24"/>
          <w:szCs w:val="24"/>
        </w:rPr>
      </w:pPr>
      <w:r>
        <w:rPr>
          <w:rFonts w:hint="eastAsia" w:ascii="宋体" w:hAnsi="宋体"/>
          <w:color w:val="000000"/>
          <w:sz w:val="24"/>
          <w:szCs w:val="24"/>
        </w:rPr>
        <w:t>投标人没有经第三方审计的财务报告和资信证明时，也可以提供财政部门认可的政府采购专业担保机构出具的投标担保函。</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1.2.2依法缴纳税收和社会保障资金的证明材料</w:t>
      </w:r>
    </w:p>
    <w:p>
      <w:pPr>
        <w:pStyle w:val="44"/>
        <w:numPr>
          <w:ilvl w:val="0"/>
          <w:numId w:val="43"/>
        </w:numPr>
        <w:spacing w:line="360" w:lineRule="auto"/>
        <w:ind w:left="1441" w:hanging="488" w:firstLineChars="0"/>
        <w:rPr>
          <w:rFonts w:ascii="宋体" w:hAnsi="宋体"/>
          <w:color w:val="000000"/>
          <w:sz w:val="24"/>
          <w:szCs w:val="24"/>
        </w:rPr>
      </w:pPr>
      <w:r>
        <w:rPr>
          <w:rFonts w:hint="eastAsia" w:ascii="宋体" w:hAnsi="宋体"/>
          <w:color w:val="000000"/>
          <w:sz w:val="24"/>
          <w:szCs w:val="24"/>
        </w:rPr>
        <w:t>法人</w:t>
      </w:r>
    </w:p>
    <w:p>
      <w:pPr>
        <w:pStyle w:val="44"/>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税务登记证（国税、地税或多证合一）；</w:t>
      </w:r>
    </w:p>
    <w:p>
      <w:pPr>
        <w:pStyle w:val="44"/>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参加政府采购活动前一段时间内缴纳增值税、营业税和企业所得税的凭据；</w:t>
      </w:r>
    </w:p>
    <w:p>
      <w:pPr>
        <w:pStyle w:val="44"/>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社会保险登记证（或多证合一）；</w:t>
      </w:r>
    </w:p>
    <w:p>
      <w:pPr>
        <w:pStyle w:val="44"/>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4"/>
        <w:numPr>
          <w:ilvl w:val="0"/>
          <w:numId w:val="43"/>
        </w:numPr>
        <w:spacing w:line="360" w:lineRule="auto"/>
        <w:ind w:left="1441" w:hanging="488" w:firstLineChars="0"/>
        <w:rPr>
          <w:rFonts w:ascii="宋体" w:hAnsi="宋体"/>
          <w:color w:val="000000"/>
          <w:sz w:val="24"/>
          <w:szCs w:val="24"/>
        </w:rPr>
      </w:pPr>
      <w:r>
        <w:rPr>
          <w:rFonts w:hint="eastAsia" w:ascii="宋体" w:hAnsi="宋体"/>
          <w:color w:val="000000"/>
          <w:sz w:val="24"/>
          <w:szCs w:val="24"/>
        </w:rPr>
        <w:t>其他组织和自然人</w:t>
      </w:r>
    </w:p>
    <w:p>
      <w:pPr>
        <w:pStyle w:val="44"/>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参加政府采购活动前一段时间内缴纳税收的凭据；</w:t>
      </w:r>
    </w:p>
    <w:p>
      <w:pPr>
        <w:pStyle w:val="44"/>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4"/>
        <w:numPr>
          <w:ilvl w:val="0"/>
          <w:numId w:val="43"/>
        </w:numPr>
        <w:spacing w:line="360" w:lineRule="auto"/>
        <w:ind w:left="1441" w:hanging="488" w:firstLineChars="0"/>
        <w:rPr>
          <w:rFonts w:ascii="宋体" w:hAnsi="宋体"/>
          <w:color w:val="000000"/>
          <w:sz w:val="24"/>
          <w:szCs w:val="24"/>
        </w:rPr>
      </w:pPr>
      <w:r>
        <w:rPr>
          <w:rFonts w:hint="eastAsia" w:ascii="宋体" w:hAnsi="宋体"/>
          <w:color w:val="000000"/>
          <w:sz w:val="24"/>
          <w:szCs w:val="24"/>
        </w:rPr>
        <w:t>依法免税或不需要缴纳社会保险资金的投标人</w:t>
      </w:r>
    </w:p>
    <w:p>
      <w:pPr>
        <w:pStyle w:val="44"/>
        <w:spacing w:line="360" w:lineRule="auto"/>
        <w:ind w:left="1441" w:firstLine="0" w:firstLineChars="0"/>
        <w:rPr>
          <w:rFonts w:ascii="宋体" w:hAnsi="宋体"/>
          <w:color w:val="000000"/>
          <w:sz w:val="24"/>
          <w:szCs w:val="24"/>
        </w:rPr>
      </w:pPr>
      <w:r>
        <w:rPr>
          <w:rFonts w:hint="eastAsia" w:ascii="宋体" w:hAnsi="宋体"/>
          <w:color w:val="000000"/>
          <w:sz w:val="24"/>
          <w:szCs w:val="24"/>
        </w:rPr>
        <w:t>提供其依法免税或不需要缴纳社会保险资金的相关证明文件。</w:t>
      </w:r>
    </w:p>
    <w:p>
      <w:pPr>
        <w:pStyle w:val="44"/>
        <w:spacing w:line="360" w:lineRule="auto"/>
        <w:ind w:left="476" w:firstLine="0" w:firstLineChars="0"/>
        <w:rPr>
          <w:rFonts w:ascii="宋体" w:hAnsi="宋体" w:cs="Times New Roman"/>
          <w:color w:val="000000"/>
          <w:sz w:val="24"/>
          <w:szCs w:val="24"/>
        </w:rPr>
      </w:pPr>
      <w:r>
        <w:rPr>
          <w:rFonts w:hint="eastAsia" w:ascii="宋体" w:hAnsi="宋体" w:cs="Times New Roman"/>
          <w:color w:val="000000"/>
          <w:sz w:val="24"/>
          <w:szCs w:val="24"/>
        </w:rPr>
        <w:t>1.3具备履行合同所必需的设备和专业技术能力的证明材料：</w:t>
      </w:r>
    </w:p>
    <w:p>
      <w:pPr>
        <w:numPr>
          <w:ilvl w:val="0"/>
          <w:numId w:val="46"/>
        </w:numPr>
        <w:spacing w:line="360" w:lineRule="auto"/>
        <w:ind w:left="1321" w:hanging="720"/>
        <w:rPr>
          <w:rFonts w:ascii="宋体" w:hAnsi="宋体" w:cs="Arial"/>
          <w:b/>
          <w:color w:val="000000"/>
          <w:sz w:val="24"/>
          <w:szCs w:val="20"/>
        </w:rPr>
      </w:pPr>
      <w:r>
        <w:rPr>
          <w:rFonts w:ascii="宋体" w:hAnsi="宋体" w:cs="Arial"/>
          <w:color w:val="000000"/>
          <w:sz w:val="24"/>
          <w:szCs w:val="20"/>
        </w:rPr>
        <w:t>提供具备足够数量的设施设备的证明材料；</w:t>
      </w:r>
    </w:p>
    <w:p>
      <w:pPr>
        <w:numPr>
          <w:ilvl w:val="0"/>
          <w:numId w:val="46"/>
        </w:numPr>
        <w:spacing w:line="360" w:lineRule="auto"/>
        <w:ind w:left="1321" w:hanging="720"/>
        <w:rPr>
          <w:rFonts w:ascii="宋体" w:hAnsi="宋体" w:cs="Arial"/>
          <w:color w:val="000000"/>
          <w:sz w:val="24"/>
          <w:szCs w:val="20"/>
        </w:rPr>
      </w:pPr>
      <w:r>
        <w:rPr>
          <w:rFonts w:ascii="宋体" w:hAnsi="宋体" w:cs="Arial"/>
          <w:color w:val="000000"/>
          <w:sz w:val="24"/>
          <w:szCs w:val="20"/>
        </w:rPr>
        <w:t>提供具备足够数量的技术人员的证明材料。</w:t>
      </w:r>
    </w:p>
    <w:p>
      <w:pPr>
        <w:pStyle w:val="44"/>
        <w:spacing w:line="360" w:lineRule="auto"/>
        <w:ind w:left="476" w:firstLine="0" w:firstLineChars="0"/>
        <w:rPr>
          <w:rFonts w:ascii="宋体" w:hAnsi="宋体" w:cs="Times New Roman"/>
          <w:color w:val="000000"/>
          <w:sz w:val="24"/>
          <w:szCs w:val="24"/>
        </w:rPr>
      </w:pPr>
      <w:r>
        <w:rPr>
          <w:rFonts w:hint="eastAsia" w:ascii="宋体" w:hAnsi="宋体" w:cs="Times New Roman"/>
          <w:color w:val="000000"/>
          <w:sz w:val="24"/>
          <w:szCs w:val="24"/>
        </w:rPr>
        <w:t>1.4参加政府采购活动前3年内在经营活动中没有重大违法记录的书面声明：</w:t>
      </w:r>
    </w:p>
    <w:p>
      <w:pPr>
        <w:numPr>
          <w:ilvl w:val="0"/>
          <w:numId w:val="47"/>
        </w:numPr>
        <w:spacing w:line="360" w:lineRule="auto"/>
        <w:ind w:left="1321" w:hanging="720"/>
        <w:rPr>
          <w:rFonts w:ascii="宋体" w:hAnsi="宋体" w:cs="Times New Roman"/>
          <w:color w:val="000000"/>
          <w:sz w:val="24"/>
          <w:szCs w:val="20"/>
        </w:rPr>
      </w:pPr>
      <w:r>
        <w:rPr>
          <w:rFonts w:hint="eastAsia" w:ascii="宋体" w:hAnsi="宋体" w:cs="Times New Roman"/>
          <w:color w:val="000000"/>
          <w:sz w:val="24"/>
          <w:szCs w:val="20"/>
        </w:rPr>
        <w:t>应严格按照附件格式提交“参加政府采购活动前三年内在经营活动中没有重大违法记录的书面声明函”；</w:t>
      </w:r>
    </w:p>
    <w:p>
      <w:pPr>
        <w:numPr>
          <w:ilvl w:val="0"/>
          <w:numId w:val="47"/>
        </w:numPr>
        <w:spacing w:line="360" w:lineRule="auto"/>
        <w:ind w:left="1321" w:hanging="720"/>
        <w:rPr>
          <w:rFonts w:ascii="宋体" w:hAnsi="宋体"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47"/>
        </w:numPr>
        <w:spacing w:line="360" w:lineRule="auto"/>
        <w:ind w:left="1321" w:hanging="720"/>
        <w:rPr>
          <w:rFonts w:ascii="仿宋" w:hAnsi="仿宋" w:eastAsia="仿宋"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pStyle w:val="44"/>
        <w:spacing w:line="360" w:lineRule="auto"/>
        <w:ind w:left="476" w:firstLine="0" w:firstLineChars="0"/>
        <w:rPr>
          <w:rFonts w:ascii="宋体" w:hAnsi="宋体" w:cs="Times New Roman"/>
          <w:color w:val="000000"/>
          <w:sz w:val="24"/>
          <w:szCs w:val="24"/>
        </w:rPr>
      </w:pPr>
      <w:r>
        <w:rPr>
          <w:rFonts w:hint="eastAsia" w:ascii="宋体" w:hAnsi="宋体" w:cs="Times New Roman"/>
          <w:color w:val="000000"/>
          <w:sz w:val="24"/>
          <w:szCs w:val="24"/>
        </w:rPr>
        <w:t>1.5具备法律、行政法规规定的其他条件的证明材料：</w:t>
      </w:r>
    </w:p>
    <w:p>
      <w:pPr>
        <w:numPr>
          <w:ilvl w:val="0"/>
          <w:numId w:val="48"/>
        </w:numPr>
        <w:spacing w:line="360" w:lineRule="auto"/>
        <w:ind w:left="1321" w:hanging="720"/>
        <w:rPr>
          <w:rFonts w:ascii="宋体" w:hAnsi="宋体" w:cs="Times New Roman"/>
          <w:color w:val="000000"/>
          <w:sz w:val="24"/>
          <w:szCs w:val="20"/>
        </w:rPr>
      </w:pPr>
      <w:r>
        <w:rPr>
          <w:rFonts w:hint="eastAsia" w:ascii="宋体" w:hAnsi="宋体" w:cs="Times New Roman"/>
          <w:color w:val="000000"/>
          <w:sz w:val="24"/>
          <w:szCs w:val="20"/>
        </w:rPr>
        <w:t>国家对生产和销售相关产品或提供相关服务有专门法律、行政法规规定的，则必须提供取得国家有关主管部门行政许可的证明材料。</w:t>
      </w:r>
    </w:p>
    <w:p>
      <w:pPr>
        <w:pStyle w:val="44"/>
        <w:spacing w:line="360" w:lineRule="auto"/>
        <w:ind w:left="476" w:firstLine="0" w:firstLineChars="0"/>
        <w:rPr>
          <w:rFonts w:ascii="宋体" w:hAnsi="宋体" w:cs="Times New Roman"/>
          <w:color w:val="000000"/>
          <w:sz w:val="24"/>
          <w:szCs w:val="24"/>
        </w:rPr>
      </w:pPr>
      <w:r>
        <w:rPr>
          <w:rFonts w:hint="eastAsia" w:ascii="宋体" w:hAnsi="宋体" w:cs="Times New Roman"/>
          <w:b/>
          <w:color w:val="000000"/>
          <w:sz w:val="24"/>
          <w:szCs w:val="24"/>
        </w:rPr>
        <w:t>2.未被“信用中国”网站(www.creditchina.gov.cn)列入失信被执行人、重大税收违法案件当事人名单，未被“中国政府采购网”(www.ccgp.gov.cn)列入政府采购严重违法失信行为记录名单的书面申明及该网站查询结果页面截图；</w:t>
      </w:r>
    </w:p>
    <w:p>
      <w:pPr>
        <w:pStyle w:val="44"/>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3.招标文件第一章“投标人资格要求”中有特殊要求的，投标人应提供其符合特殊要求的证明材料或者情况说明；</w:t>
      </w:r>
    </w:p>
    <w:p>
      <w:pPr>
        <w:pStyle w:val="44"/>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4.不符合联合体投标相关规定和要求的；</w:t>
      </w:r>
    </w:p>
    <w:p>
      <w:pPr>
        <w:pStyle w:val="44"/>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5.投标人认为需提供的其它相关资格证明材料；</w:t>
      </w:r>
    </w:p>
    <w:p>
      <w:pPr>
        <w:pStyle w:val="44"/>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6.资格证明文件正本应为清晰彩色影印件且加盖单位公章。</w:t>
      </w:r>
    </w:p>
    <w:p>
      <w:pPr>
        <w:pStyle w:val="44"/>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7.提供中小企业声明函</w:t>
      </w:r>
    </w:p>
    <w:p>
      <w:pPr>
        <w:numPr>
          <w:ilvl w:val="0"/>
          <w:numId w:val="41"/>
        </w:numPr>
        <w:tabs>
          <w:tab w:val="left" w:pos="1098"/>
        </w:tabs>
        <w:spacing w:line="360" w:lineRule="auto"/>
        <w:ind w:left="14" w:firstLine="238"/>
        <w:rPr>
          <w:rFonts w:ascii="宋体" w:hAnsi="宋体" w:cs="Times New Roman"/>
          <w:b/>
          <w:color w:val="000000"/>
          <w:sz w:val="24"/>
          <w:szCs w:val="24"/>
        </w:rPr>
      </w:pPr>
      <w:r>
        <w:rPr>
          <w:rFonts w:hint="eastAsia" w:ascii="宋体" w:hAnsi="宋体" w:cs="Times New Roman"/>
          <w:b/>
          <w:color w:val="000000"/>
          <w:sz w:val="24"/>
          <w:szCs w:val="24"/>
        </w:rPr>
        <w:t>确定资格审查合格投标人</w:t>
      </w:r>
    </w:p>
    <w:p>
      <w:pPr>
        <w:pStyle w:val="44"/>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4"/>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资格审查合格投标人不足3家的，不进行评标。</w:t>
      </w:r>
    </w:p>
    <w:p>
      <w:pPr>
        <w:pStyle w:val="44"/>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资格审查未通过的投标人可在结果公告质疑有效期内按公告中的联系方式获知</w:t>
      </w:r>
      <w:r>
        <w:rPr>
          <w:rFonts w:ascii="宋体" w:hAnsi="宋体" w:cs="Times New Roman"/>
          <w:color w:val="000000"/>
          <w:sz w:val="24"/>
          <w:szCs w:val="24"/>
        </w:rPr>
        <w:t>本</w:t>
      </w:r>
      <w:r>
        <w:rPr>
          <w:rFonts w:hint="eastAsia" w:ascii="宋体" w:hAnsi="宋体" w:cs="Times New Roman"/>
          <w:color w:val="000000"/>
          <w:sz w:val="24"/>
          <w:szCs w:val="24"/>
        </w:rPr>
        <w:t>单位</w:t>
      </w:r>
      <w:r>
        <w:rPr>
          <w:rFonts w:ascii="宋体" w:hAnsi="宋体" w:cs="Times New Roman"/>
          <w:color w:val="000000"/>
          <w:sz w:val="24"/>
          <w:szCs w:val="24"/>
        </w:rPr>
        <w:t>的</w:t>
      </w:r>
      <w:r>
        <w:rPr>
          <w:rFonts w:hint="eastAsia" w:ascii="宋体" w:hAnsi="宋体" w:cs="Times New Roman"/>
          <w:color w:val="000000"/>
          <w:sz w:val="24"/>
          <w:szCs w:val="24"/>
        </w:rPr>
        <w:t>资格审查情况。</w:t>
      </w:r>
    </w:p>
    <w:p>
      <w:pPr>
        <w:pStyle w:val="44"/>
        <w:numPr>
          <w:ilvl w:val="0"/>
          <w:numId w:val="49"/>
        </w:numPr>
        <w:spacing w:line="360" w:lineRule="auto"/>
        <w:ind w:left="840" w:hanging="364" w:firstLineChars="0"/>
        <w:rPr>
          <w:rFonts w:ascii="宋体" w:hAnsi="宋体" w:cs="Times New Roman"/>
          <w:b/>
          <w:color w:val="000000"/>
          <w:sz w:val="24"/>
          <w:szCs w:val="24"/>
        </w:rPr>
      </w:pPr>
      <w:r>
        <w:rPr>
          <w:rFonts w:hint="eastAsia" w:ascii="宋体" w:hAnsi="宋体" w:cs="Times New Roman"/>
          <w:color w:val="000000"/>
          <w:sz w:val="24"/>
          <w:szCs w:val="24"/>
        </w:rPr>
        <w:t>采购人已进行资格预审的，不再进行资格审查。未通过资格预审的投标人集中采购机构</w:t>
      </w:r>
      <w:r>
        <w:rPr>
          <w:rFonts w:hint="eastAsia" w:ascii="宋体" w:hAnsi="宋体" w:cs="Times New Roman"/>
          <w:b/>
          <w:color w:val="000000"/>
          <w:sz w:val="24"/>
          <w:szCs w:val="24"/>
        </w:rPr>
        <w:t>拒绝</w:t>
      </w:r>
      <w:r>
        <w:rPr>
          <w:rFonts w:hint="eastAsia" w:ascii="宋体" w:hAnsi="宋体" w:cs="Times New Roman"/>
          <w:color w:val="000000"/>
          <w:sz w:val="24"/>
          <w:szCs w:val="24"/>
        </w:rPr>
        <w:t>其投标。</w:t>
      </w:r>
    </w:p>
    <w:p>
      <w:pPr>
        <w:pStyle w:val="44"/>
        <w:spacing w:line="360" w:lineRule="auto"/>
        <w:ind w:firstLine="0" w:firstLineChars="0"/>
        <w:rPr>
          <w:rFonts w:ascii="宋体" w:hAnsi="宋体" w:cs="Times New Roman"/>
          <w:b/>
          <w:color w:val="000000"/>
          <w:sz w:val="24"/>
          <w:szCs w:val="24"/>
        </w:rPr>
      </w:pPr>
      <w:r>
        <w:rPr>
          <w:rFonts w:hint="eastAsia" w:ascii="宋体" w:hAnsi="宋体" w:cs="Times New Roman"/>
          <w:color w:val="000000"/>
          <w:sz w:val="24"/>
          <w:szCs w:val="24"/>
        </w:rPr>
        <w:br w:type="page"/>
      </w:r>
    </w:p>
    <w:p>
      <w:pPr>
        <w:pStyle w:val="5"/>
        <w:spacing w:before="240" w:after="120"/>
        <w:ind w:left="-420" w:leftChars="-200"/>
        <w:jc w:val="center"/>
        <w:rPr>
          <w:rFonts w:ascii="黑体" w:hAnsi="黑体" w:eastAsia="黑体"/>
          <w:color w:val="000000"/>
        </w:rPr>
      </w:pPr>
      <w:bookmarkStart w:id="89" w:name="_Toc511894516"/>
      <w:bookmarkStart w:id="90" w:name="_Toc4659"/>
      <w:r>
        <w:rPr>
          <w:rFonts w:hint="eastAsia" w:ascii="黑体" w:hAnsi="黑体" w:eastAsia="黑体"/>
          <w:color w:val="000000"/>
        </w:rPr>
        <w:t>第五章评标方法、程序及标准</w:t>
      </w:r>
      <w:bookmarkEnd w:id="89"/>
      <w:bookmarkEnd w:id="90"/>
    </w:p>
    <w:p>
      <w:pPr>
        <w:spacing w:line="360" w:lineRule="auto"/>
        <w:ind w:firstLine="480" w:firstLineChars="200"/>
        <w:rPr>
          <w:rFonts w:ascii="宋体" w:hAnsi="宋体" w:cs="Times New Roman"/>
          <w:color w:val="000000"/>
          <w:sz w:val="24"/>
          <w:szCs w:val="24"/>
        </w:rPr>
      </w:pPr>
      <w:bookmarkStart w:id="91" w:name="_Toc511894520"/>
      <w:r>
        <w:rPr>
          <w:rFonts w:hint="eastAsia" w:ascii="宋体" w:hAnsi="宋体" w:cs="Times New Roman"/>
          <w:color w:val="000000"/>
          <w:sz w:val="24"/>
          <w:szCs w:val="24"/>
        </w:rPr>
        <w:t>根据《政府采购法》、《政府采购法实施条例》、《政府采购货物和服务招标投标管理办法》等相关法律法规确定以下评标办法、程序及标准。</w:t>
      </w:r>
    </w:p>
    <w:p>
      <w:pPr>
        <w:pStyle w:val="6"/>
        <w:numPr>
          <w:ilvl w:val="0"/>
          <w:numId w:val="50"/>
        </w:numPr>
        <w:spacing w:before="0" w:after="0" w:line="360" w:lineRule="auto"/>
        <w:ind w:left="616" w:hanging="616"/>
        <w:jc w:val="left"/>
        <w:rPr>
          <w:rFonts w:ascii="宋体" w:hAnsi="宋体" w:cs="Times New Roman"/>
          <w:color w:val="000000"/>
          <w:sz w:val="30"/>
          <w:szCs w:val="30"/>
        </w:rPr>
      </w:pPr>
      <w:bookmarkStart w:id="92" w:name="_Toc272247708"/>
      <w:bookmarkEnd w:id="92"/>
      <w:bookmarkStart w:id="93" w:name="_Toc511894517"/>
      <w:bookmarkEnd w:id="93"/>
      <w:bookmarkStart w:id="94" w:name="_Toc278891605"/>
      <w:bookmarkEnd w:id="94"/>
      <w:bookmarkStart w:id="95" w:name="_Toc494561961"/>
      <w:bookmarkEnd w:id="95"/>
      <w:bookmarkStart w:id="96" w:name="_Toc2299"/>
      <w:bookmarkStart w:id="97" w:name="_Toc13185"/>
      <w:r>
        <w:rPr>
          <w:rFonts w:hint="eastAsia" w:ascii="宋体" w:hAnsi="宋体" w:cs="Times New Roman"/>
          <w:color w:val="000000"/>
          <w:sz w:val="30"/>
          <w:szCs w:val="30"/>
        </w:rPr>
        <w:t>评标</w:t>
      </w:r>
      <w:bookmarkEnd w:id="96"/>
      <w:r>
        <w:rPr>
          <w:rFonts w:hint="eastAsia" w:ascii="宋体" w:hAnsi="宋体" w:cs="Times New Roman"/>
          <w:color w:val="000000"/>
          <w:sz w:val="30"/>
          <w:szCs w:val="30"/>
        </w:rPr>
        <w:t>方法</w:t>
      </w:r>
      <w:bookmarkEnd w:id="97"/>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本项目评标采用</w:t>
      </w:r>
      <w:r>
        <w:rPr>
          <w:rFonts w:hint="eastAsia" w:ascii="宋体" w:hAnsi="宋体" w:cs="Times New Roman"/>
          <w:b/>
          <w:bCs/>
          <w:color w:val="000000"/>
          <w:sz w:val="24"/>
          <w:szCs w:val="24"/>
        </w:rPr>
        <w:t>综合评分法</w:t>
      </w:r>
      <w:r>
        <w:rPr>
          <w:rFonts w:hint="eastAsia" w:ascii="宋体" w:hAnsi="宋体" w:cs="Times New Roman"/>
          <w:color w:val="000000"/>
          <w:sz w:val="24"/>
          <w:szCs w:val="24"/>
        </w:rPr>
        <w:t>，是指投标文件满足招标文件全部实质性要求，且按照评审因素的量化指标评审得分最高的投标人为中标候选人的评标方法。</w:t>
      </w:r>
    </w:p>
    <w:p>
      <w:pPr>
        <w:pStyle w:val="6"/>
        <w:numPr>
          <w:ilvl w:val="0"/>
          <w:numId w:val="50"/>
        </w:numPr>
        <w:spacing w:before="0" w:after="0" w:line="360" w:lineRule="auto"/>
        <w:ind w:left="616" w:hanging="616"/>
        <w:jc w:val="left"/>
        <w:rPr>
          <w:rFonts w:ascii="宋体" w:hAnsi="宋体" w:cs="Times New Roman"/>
          <w:color w:val="000000"/>
          <w:sz w:val="30"/>
          <w:szCs w:val="30"/>
        </w:rPr>
      </w:pPr>
      <w:bookmarkStart w:id="98" w:name="_Toc511894518"/>
      <w:bookmarkEnd w:id="98"/>
      <w:bookmarkStart w:id="99" w:name="_Toc272247709"/>
      <w:bookmarkEnd w:id="99"/>
      <w:bookmarkStart w:id="100" w:name="_Toc494561962"/>
      <w:bookmarkEnd w:id="100"/>
      <w:bookmarkStart w:id="101" w:name="_Toc278891606"/>
      <w:bookmarkEnd w:id="101"/>
      <w:bookmarkStart w:id="102" w:name="_Toc17449"/>
      <w:bookmarkStart w:id="103" w:name="_Toc31812"/>
      <w:r>
        <w:rPr>
          <w:rFonts w:hint="eastAsia" w:ascii="宋体" w:hAnsi="宋体" w:cs="Times New Roman"/>
          <w:color w:val="000000"/>
          <w:sz w:val="30"/>
          <w:szCs w:val="30"/>
        </w:rPr>
        <w:t>评标程序</w:t>
      </w:r>
      <w:bookmarkEnd w:id="102"/>
      <w:r>
        <w:rPr>
          <w:rFonts w:hint="eastAsia" w:ascii="宋体" w:hAnsi="宋体" w:cs="Times New Roman"/>
          <w:color w:val="000000"/>
          <w:sz w:val="30"/>
          <w:szCs w:val="30"/>
        </w:rPr>
        <w:t>及标准</w:t>
      </w:r>
      <w:bookmarkEnd w:id="103"/>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评标委员会按以下工作程序进行评标：符合性审查、澄清有关问题、综合比较和评价、确定中标候选人名单。</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符合性审查</w:t>
      </w:r>
    </w:p>
    <w:p>
      <w:pPr>
        <w:spacing w:line="360" w:lineRule="auto"/>
        <w:ind w:firstLine="470" w:firstLineChars="196"/>
        <w:rPr>
          <w:rFonts w:ascii="宋体" w:hAnsi="宋体" w:cs="Times New Roman"/>
          <w:color w:val="000000"/>
          <w:sz w:val="24"/>
          <w:szCs w:val="24"/>
        </w:rPr>
      </w:pPr>
      <w:r>
        <w:rPr>
          <w:rFonts w:ascii="宋体" w:hAnsi="宋体" w:cs="Helvetica"/>
          <w:color w:val="000000"/>
          <w:kern w:val="0"/>
          <w:sz w:val="24"/>
          <w:szCs w:val="24"/>
        </w:rPr>
        <w:t>评标委员会应当对符合资格的投标人的投标文件进行符合性审查，以确定其是否满足招标文件的实质性要求。</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投标总报价超过项目（分包）预算金额或最高限价的；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《投标书》、《法定代表人授权书》、《开标一览表》、《投标报价明细表》未提供或不符合招标文件要求的；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工期（服务期限）、质保期不符合招标文件要求的；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出现两个或两个以上不同报价的；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出现两个或两个以上投标方案的（招标文件中要求提供备选方案的除外）；</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投标报价存在缺项、漏项的；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投标有效期不足的；</w:t>
      </w:r>
    </w:p>
    <w:p>
      <w:pPr>
        <w:numPr>
          <w:ilvl w:val="0"/>
          <w:numId w:val="52"/>
        </w:numPr>
        <w:tabs>
          <w:tab w:val="left" w:pos="616"/>
        </w:tabs>
        <w:spacing w:line="360" w:lineRule="auto"/>
        <w:ind w:left="10" w:leftChars="5" w:firstLine="237" w:firstLineChars="99"/>
      </w:pPr>
      <w:r>
        <w:rPr>
          <w:rFonts w:hint="eastAsia" w:ascii="Times New Roman" w:hAnsi="宋体" w:cs="Times New Roman"/>
          <w:sz w:val="24"/>
          <w:szCs w:val="24"/>
        </w:rPr>
        <w:t xml:space="preserve">  无法定代表人签字（签章）或签字人无法定代表人有效授权的；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正本未按要求提供加盖公章及签字（签章）原件的；</w:t>
      </w:r>
    </w:p>
    <w:p>
      <w:pPr>
        <w:numPr>
          <w:ilvl w:val="0"/>
          <w:numId w:val="52"/>
        </w:numPr>
        <w:tabs>
          <w:tab w:val="left" w:pos="742"/>
        </w:tabs>
        <w:spacing w:line="360" w:lineRule="auto"/>
        <w:ind w:left="10" w:leftChars="5" w:firstLine="237" w:firstLineChars="99"/>
        <w:rPr>
          <w:rFonts w:ascii="宋体" w:hAnsi="宋体" w:cs="Times New Roman"/>
          <w:sz w:val="24"/>
          <w:szCs w:val="24"/>
        </w:rPr>
      </w:pPr>
      <w:r>
        <w:rPr>
          <w:rFonts w:hint="eastAsia" w:ascii="宋体" w:hAnsi="宋体" w:cs="Times New Roman"/>
          <w:sz w:val="24"/>
          <w:szCs w:val="24"/>
        </w:rPr>
        <w:t xml:space="preserve"> 符合招标文件第二章“投标人须知”中40条中规定情形，以分公司形式参与投标的，法定代表人授权书未由总公司法定代表人签字（签章）并加盖公章的；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未按要求提供招标文件第二章“十、其他注意事项”中规定的书面声明的；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宋体" w:hAnsi="宋体" w:cs="宋体"/>
          <w:kern w:val="0"/>
          <w:sz w:val="24"/>
          <w:szCs w:val="24"/>
        </w:rPr>
        <w:t xml:space="preserve"> 依据财库[2019]9号文的规定，</w:t>
      </w:r>
      <w:r>
        <w:rPr>
          <w:rFonts w:hint="eastAsia" w:ascii="Times New Roman" w:hAnsi="宋体" w:cs="Times New Roman"/>
          <w:sz w:val="24"/>
          <w:szCs w:val="24"/>
        </w:rPr>
        <w:t>招标文件采购清单中注明“节能产品”的货物，</w:t>
      </w:r>
      <w:r>
        <w:rPr>
          <w:rFonts w:hint="eastAsia" w:ascii="宋体" w:hAnsi="宋体" w:cs="宋体"/>
          <w:kern w:val="0"/>
          <w:sz w:val="24"/>
          <w:szCs w:val="24"/>
        </w:rPr>
        <w:t>未提供国家确定的认证机构出具的节能产品认证证书的；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所投货物是通过中国海关报关验放进入中国境内且产自关境外的（招标文件中注明已办理进口产品审核的除外）；</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未提供所投货物（工程或服务）的具体参数值或功能表述，或原文复制招标文件的技术规格相关部分内容作为其投标文件的一部分的；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不满足招标文件第三章“项目技术、服务和商务要求”中“★”号条款要求的；</w:t>
      </w:r>
    </w:p>
    <w:p>
      <w:pPr>
        <w:numPr>
          <w:ilvl w:val="0"/>
          <w:numId w:val="52"/>
        </w:numPr>
        <w:tabs>
          <w:tab w:val="left" w:pos="742"/>
        </w:tabs>
        <w:spacing w:line="360" w:lineRule="auto"/>
        <w:ind w:left="10" w:leftChars="5" w:firstLine="237" w:firstLineChars="99"/>
      </w:pPr>
      <w:r>
        <w:rPr>
          <w:rFonts w:hint="eastAsia" w:ascii="Times New Roman" w:hAnsi="宋体" w:cs="Times New Roman"/>
          <w:sz w:val="24"/>
          <w:szCs w:val="24"/>
        </w:rPr>
        <w:t xml:space="preserve"> </w:t>
      </w:r>
      <w:r>
        <w:rPr>
          <w:rFonts w:ascii="Times New Roman" w:hAnsi="宋体" w:cs="Times New Roman"/>
          <w:sz w:val="24"/>
          <w:szCs w:val="24"/>
        </w:rPr>
        <w:t>含有采购人不能接受的附加条件的</w:t>
      </w:r>
      <w:r>
        <w:rPr>
          <w:rFonts w:hint="eastAsia" w:ascii="Times New Roman" w:hAnsi="宋体" w:cs="Times New Roman"/>
          <w:sz w:val="24"/>
          <w:szCs w:val="24"/>
        </w:rPr>
        <w:t>；</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未按要求提供《符合性审查对照表》、《商务要求响应、偏离说明表》、《商务要求</w:t>
      </w:r>
      <w:r>
        <w:rPr>
          <w:rFonts w:hint="eastAsia" w:hAnsi="宋体" w:cs="Times New Roman"/>
          <w:color w:val="000000"/>
          <w:sz w:val="24"/>
          <w:szCs w:val="24"/>
        </w:rPr>
        <w:t>“★”号条款响应、偏离说明表》、《商务评议对照表》和《技术、服务要求响应、偏离说明表》、《技术、服务要求“★”号条款响应、偏离说明表》、《技术、服务评议对照表》的；</w:t>
      </w:r>
    </w:p>
    <w:p>
      <w:pPr>
        <w:numPr>
          <w:ilvl w:val="0"/>
          <w:numId w:val="52"/>
        </w:numPr>
        <w:tabs>
          <w:tab w:val="left" w:pos="742"/>
        </w:tabs>
        <w:spacing w:line="360" w:lineRule="auto"/>
        <w:ind w:left="10" w:leftChars="5" w:firstLine="237" w:firstLineChars="99"/>
      </w:pPr>
      <w:r>
        <w:rPr>
          <w:rFonts w:hint="eastAsia" w:ascii="Times New Roman" w:hAnsi="宋体" w:cs="Times New Roman"/>
          <w:sz w:val="24"/>
          <w:szCs w:val="24"/>
        </w:rPr>
        <w:t xml:space="preserve"> </w:t>
      </w:r>
      <w:r>
        <w:rPr>
          <w:rFonts w:ascii="Times New Roman" w:hAnsi="宋体" w:cs="Times New Roman"/>
          <w:sz w:val="24"/>
          <w:szCs w:val="24"/>
        </w:rPr>
        <w:t>法律、法规</w:t>
      </w:r>
      <w:r>
        <w:rPr>
          <w:rFonts w:hint="eastAsia" w:ascii="Times New Roman" w:hAnsi="宋体" w:cs="Times New Roman"/>
          <w:sz w:val="24"/>
          <w:szCs w:val="24"/>
        </w:rPr>
        <w:t>和招标文件</w:t>
      </w:r>
      <w:r>
        <w:rPr>
          <w:rFonts w:ascii="Times New Roman" w:hAnsi="宋体" w:cs="Times New Roman"/>
          <w:sz w:val="24"/>
          <w:szCs w:val="24"/>
        </w:rPr>
        <w:t>规定的其他</w:t>
      </w:r>
      <w:r>
        <w:rPr>
          <w:rFonts w:hint="eastAsia" w:ascii="Times New Roman" w:hAnsi="宋体" w:cs="Times New Roman"/>
          <w:sz w:val="24"/>
          <w:szCs w:val="24"/>
        </w:rPr>
        <w:t>无效投标</w:t>
      </w:r>
      <w:r>
        <w:rPr>
          <w:rFonts w:ascii="Times New Roman" w:hAnsi="宋体" w:cs="Times New Roman"/>
          <w:sz w:val="24"/>
          <w:szCs w:val="24"/>
        </w:rPr>
        <w:t>情形。</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澄清有关问题</w:t>
      </w:r>
    </w:p>
    <w:p>
      <w:pPr>
        <w:numPr>
          <w:ilvl w:val="0"/>
          <w:numId w:val="53"/>
        </w:numPr>
        <w:spacing w:line="360" w:lineRule="auto"/>
        <w:ind w:left="218" w:leftChars="104"/>
        <w:rPr>
          <w:rFonts w:ascii="Helvetica" w:hAnsi="Helvetica" w:cs="Helvetica"/>
          <w:color w:val="000000"/>
          <w:kern w:val="0"/>
          <w:sz w:val="24"/>
          <w:szCs w:val="24"/>
        </w:rPr>
      </w:pPr>
      <w:r>
        <w:rPr>
          <w:rFonts w:hint="eastAsia" w:ascii="宋体" w:hAnsi="宋体" w:cs="Helvetica"/>
          <w:color w:val="000000"/>
          <w:kern w:val="0"/>
          <w:sz w:val="24"/>
          <w:szCs w:val="24"/>
        </w:rPr>
        <w:t>评标期间，</w:t>
      </w:r>
      <w:r>
        <w:rPr>
          <w:rFonts w:ascii="宋体" w:hAnsi="宋体" w:cs="Helvetica"/>
          <w:color w:val="000000"/>
          <w:kern w:val="0"/>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left="218" w:leftChars="104"/>
        <w:rPr>
          <w:rFonts w:ascii="宋体" w:hAnsi="宋体" w:cs="Times New Roman"/>
          <w:strike/>
          <w:color w:val="000000"/>
          <w:sz w:val="24"/>
          <w:szCs w:val="24"/>
        </w:rPr>
      </w:pPr>
      <w:r>
        <w:rPr>
          <w:rFonts w:hint="eastAsia" w:ascii="宋体" w:hAnsi="宋体" w:cs="Helvetica"/>
          <w:color w:val="000000"/>
          <w:kern w:val="0"/>
          <w:sz w:val="24"/>
          <w:szCs w:val="24"/>
        </w:rPr>
        <w:t>2. 投标人应按照评标委员会要求的澄清内容在规定时间内做出澄清。投标</w:t>
      </w:r>
      <w:r>
        <w:rPr>
          <w:rFonts w:hint="eastAsia" w:ascii="宋体" w:hAnsi="宋体" w:cs="Times New Roman"/>
          <w:color w:val="000000"/>
          <w:sz w:val="24"/>
          <w:szCs w:val="24"/>
        </w:rPr>
        <w:t>文件报价出现前后不一致的，按照本节第3条规定进行修正，</w:t>
      </w:r>
      <w:r>
        <w:rPr>
          <w:rFonts w:ascii="宋体" w:hAnsi="宋体" w:cs="Helvetica"/>
          <w:color w:val="000000"/>
          <w:kern w:val="0"/>
          <w:sz w:val="24"/>
          <w:szCs w:val="24"/>
        </w:rPr>
        <w:t>投标人的澄清、说明或者补正不得超出投标文件的范围或者改变投标文件的实质性内容。</w:t>
      </w:r>
    </w:p>
    <w:p>
      <w:pPr>
        <w:spacing w:line="360" w:lineRule="auto"/>
        <w:ind w:left="218" w:leftChars="104"/>
        <w:rPr>
          <w:rFonts w:ascii="宋体" w:hAnsi="宋体" w:cs="Times New Roman"/>
          <w:color w:val="000000"/>
          <w:sz w:val="24"/>
          <w:szCs w:val="24"/>
        </w:rPr>
      </w:pPr>
      <w:r>
        <w:rPr>
          <w:rFonts w:hint="eastAsia" w:ascii="宋体" w:hAnsi="宋体" w:cs="Times New Roman"/>
          <w:color w:val="000000"/>
          <w:sz w:val="24"/>
          <w:szCs w:val="24"/>
        </w:rPr>
        <w:t>3. 投标文件报价出现前后不一致的，按照下列规定修正：</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投标文件中开标一览表内容与投标文件中相应内容不一致的，以开标一览表为准。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大写金额和小写金额不一致的，以大写金额为准。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单价金额小数点或者百分比有明显错位的，以开标一览表的总价为准，并修改单价。</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总价金额与按单价汇总金额不一致的，以单价金额计算结果为准。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同时出现两种以上不一致的，按照前款规定的顺序修正。</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修正后的报价按照本节第4条规定经投标人确认后产生约束力。</w:t>
      </w:r>
    </w:p>
    <w:p>
      <w:pPr>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4. 投标人的</w:t>
      </w:r>
      <w:r>
        <w:rPr>
          <w:rFonts w:ascii="宋体" w:hAnsi="宋体" w:cs="Helvetica"/>
          <w:color w:val="000000"/>
          <w:kern w:val="0"/>
          <w:sz w:val="24"/>
          <w:szCs w:val="24"/>
        </w:rPr>
        <w:t>澄清、说明或者补正</w:t>
      </w:r>
      <w:r>
        <w:rPr>
          <w:rFonts w:hint="eastAsia" w:ascii="宋体" w:hAnsi="宋体" w:cs="Times New Roman"/>
          <w:color w:val="000000"/>
          <w:sz w:val="24"/>
          <w:szCs w:val="24"/>
        </w:rPr>
        <w:t>是其投标文件的有效组成部分。</w:t>
      </w:r>
      <w:r>
        <w:rPr>
          <w:rFonts w:ascii="宋体" w:hAnsi="宋体" w:cs="Helvetica"/>
          <w:color w:val="000000"/>
          <w:kern w:val="0"/>
          <w:sz w:val="24"/>
          <w:szCs w:val="24"/>
        </w:rPr>
        <w:t>投标人的澄清、说明或者补正应当采用书面形式，并加盖公章，或者由法定代表人</w:t>
      </w:r>
      <w:r>
        <w:rPr>
          <w:rFonts w:hint="eastAsia" w:ascii="宋体" w:hAnsi="宋体" w:cs="Helvetica"/>
          <w:color w:val="000000"/>
          <w:kern w:val="0"/>
          <w:sz w:val="24"/>
          <w:szCs w:val="24"/>
        </w:rPr>
        <w:t>（负责人）</w:t>
      </w:r>
      <w:r>
        <w:rPr>
          <w:rFonts w:ascii="宋体" w:hAnsi="宋体" w:cs="Helvetica"/>
          <w:color w:val="000000"/>
          <w:kern w:val="0"/>
          <w:sz w:val="24"/>
          <w:szCs w:val="24"/>
        </w:rPr>
        <w:t>或其授权的代表签字。</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综合比较与评价</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评标委员会应当按照本章中规定的评标方法和标准，对符合性审查合格的投标文件进行商务和技术、服务评估，综合比较与评价。</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商务评议</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评标委员会对符合性审查合格的投标文件进行评议，并依据本章“评审因素及评分标准”中的商务评议进行综合比较和评分。</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技术、服务评议</w:t>
      </w:r>
    </w:p>
    <w:p>
      <w:pPr>
        <w:spacing w:line="360" w:lineRule="auto"/>
        <w:ind w:firstLine="480" w:firstLineChars="200"/>
        <w:rPr>
          <w:rFonts w:ascii="宋体" w:hAnsi="宋体" w:cs="Times New Roman"/>
          <w:color w:val="000000"/>
          <w:kern w:val="0"/>
          <w:sz w:val="24"/>
          <w:szCs w:val="24"/>
        </w:rPr>
      </w:pPr>
      <w:r>
        <w:rPr>
          <w:rFonts w:hint="eastAsia" w:ascii="宋体" w:hAnsi="宋体" w:cs="Times New Roman"/>
          <w:color w:val="000000"/>
          <w:sz w:val="24"/>
          <w:szCs w:val="24"/>
        </w:rPr>
        <w:t>评标委员会对符合性审查合格的投标文件进行评议，并依据本章“评审因素及评分标准”中的技术、服务评议进行综合比较和评分。</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价格评议</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6"/>
        </w:numPr>
        <w:adjustRightInd w:val="0"/>
        <w:spacing w:line="360" w:lineRule="auto"/>
        <w:ind w:left="742" w:hanging="493"/>
        <w:rPr>
          <w:rFonts w:ascii="宋体" w:hAnsi="宋体" w:cs="Times New Roman"/>
          <w:color w:val="000000"/>
          <w:sz w:val="24"/>
          <w:szCs w:val="24"/>
        </w:rPr>
      </w:pPr>
      <w:r>
        <w:rPr>
          <w:rFonts w:hint="eastAsia" w:ascii="宋体" w:hAnsi="宋体" w:cs="Times New Roman"/>
          <w:b/>
          <w:bCs/>
          <w:color w:val="000000"/>
          <w:sz w:val="24"/>
          <w:szCs w:val="24"/>
        </w:rPr>
        <w:t>报价合理性说明：</w:t>
      </w:r>
      <w:r>
        <w:rPr>
          <w:rFonts w:hint="eastAsia" w:ascii="宋体" w:hAnsi="宋体" w:cs="Helvetica"/>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p>
    <w:p>
      <w:pPr>
        <w:numPr>
          <w:ilvl w:val="0"/>
          <w:numId w:val="56"/>
        </w:numPr>
        <w:adjustRightInd w:val="0"/>
        <w:spacing w:line="360" w:lineRule="auto"/>
        <w:ind w:left="742" w:hanging="493"/>
        <w:rPr>
          <w:rFonts w:ascii="宋体" w:hAnsi="宋体" w:cs="Times New Roman"/>
          <w:b/>
          <w:bCs/>
          <w:color w:val="000000"/>
          <w:sz w:val="24"/>
          <w:szCs w:val="24"/>
        </w:rPr>
      </w:pPr>
      <w:r>
        <w:rPr>
          <w:rFonts w:hint="eastAsia" w:ascii="宋体" w:hAnsi="宋体" w:cs="Times New Roman"/>
          <w:b/>
          <w:bCs/>
          <w:color w:val="000000"/>
          <w:sz w:val="24"/>
          <w:szCs w:val="24"/>
        </w:rPr>
        <w:t>小型和微型企业、监狱企业、残疾人福利性单位价格扣除：</w:t>
      </w:r>
    </w:p>
    <w:p>
      <w:pPr>
        <w:numPr>
          <w:ilvl w:val="0"/>
          <w:numId w:val="57"/>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非专门面向中小企业的货物类采购项目，按招标文件中采购清单确定的货物，对小型和微型企业制造的货物价格给予</w:t>
      </w:r>
      <w:r>
        <w:rPr>
          <w:rFonts w:hint="eastAsia" w:ascii="宋体" w:hAnsi="宋体" w:cs="Times New Roman"/>
          <w:b/>
          <w:bCs/>
          <w:color w:val="000000"/>
          <w:sz w:val="24"/>
          <w:szCs w:val="24"/>
        </w:rPr>
        <w:t>6%</w:t>
      </w:r>
      <w:r>
        <w:rPr>
          <w:rFonts w:hint="eastAsia" w:ascii="宋体" w:hAnsi="宋体" w:cs="Times New Roman"/>
          <w:color w:val="000000"/>
          <w:sz w:val="24"/>
          <w:szCs w:val="24"/>
        </w:rPr>
        <w:t>的扣除，用扣除后的价格参与评审。</w:t>
      </w:r>
    </w:p>
    <w:p>
      <w:pPr>
        <w:numPr>
          <w:ilvl w:val="0"/>
          <w:numId w:val="57"/>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非专门面向中小企业的工程、服务类采购项目，投标人是小型和微型企业的价格给予</w:t>
      </w:r>
      <w:r>
        <w:rPr>
          <w:rFonts w:hint="eastAsia" w:ascii="宋体" w:hAnsi="宋体" w:cs="Times New Roman"/>
          <w:b/>
          <w:bCs/>
          <w:color w:val="000000"/>
          <w:sz w:val="24"/>
          <w:szCs w:val="24"/>
        </w:rPr>
        <w:t>6%</w:t>
      </w:r>
      <w:r>
        <w:rPr>
          <w:rFonts w:hint="eastAsia" w:ascii="宋体" w:hAnsi="宋体" w:cs="Times New Roman"/>
          <w:color w:val="000000"/>
          <w:sz w:val="24"/>
          <w:szCs w:val="24"/>
        </w:rPr>
        <w:t>的扣除，用扣除后的价格参与评审。</w:t>
      </w:r>
    </w:p>
    <w:p>
      <w:pPr>
        <w:numPr>
          <w:ilvl w:val="0"/>
          <w:numId w:val="57"/>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ascii="宋体" w:hAnsi="宋体" w:cs="Times New Roman"/>
          <w:b/>
          <w:bCs/>
          <w:color w:val="000000"/>
          <w:sz w:val="24"/>
          <w:szCs w:val="24"/>
        </w:rPr>
        <w:t>30%</w:t>
      </w:r>
      <w:r>
        <w:rPr>
          <w:rFonts w:hint="eastAsia" w:ascii="宋体" w:hAnsi="宋体" w:cs="Times New Roman"/>
          <w:color w:val="000000"/>
          <w:sz w:val="24"/>
          <w:szCs w:val="24"/>
        </w:rPr>
        <w:t>以上的，可给予联合体</w:t>
      </w:r>
      <w:r>
        <w:rPr>
          <w:rFonts w:hint="eastAsia" w:ascii="宋体" w:hAnsi="宋体" w:cs="Times New Roman"/>
          <w:b/>
          <w:bCs/>
          <w:color w:val="000000"/>
          <w:sz w:val="24"/>
          <w:szCs w:val="24"/>
        </w:rPr>
        <w:t>3%</w:t>
      </w:r>
      <w:r>
        <w:rPr>
          <w:rFonts w:hint="eastAsia" w:ascii="宋体" w:hAnsi="宋体" w:cs="Times New Roman"/>
          <w:color w:val="000000"/>
          <w:sz w:val="24"/>
          <w:szCs w:val="24"/>
        </w:rPr>
        <w:t>的价格扣除，不重复享受政策。</w:t>
      </w:r>
    </w:p>
    <w:p>
      <w:pPr>
        <w:numPr>
          <w:ilvl w:val="0"/>
          <w:numId w:val="57"/>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57"/>
        </w:numPr>
        <w:spacing w:line="360" w:lineRule="auto"/>
        <w:ind w:left="1134" w:hanging="756"/>
        <w:rPr>
          <w:rFonts w:ascii="宋体" w:hAnsi="宋体" w:cs="Times New Roman"/>
          <w:color w:val="000000"/>
          <w:sz w:val="24"/>
          <w:szCs w:val="24"/>
        </w:rPr>
      </w:pPr>
      <w:r>
        <w:rPr>
          <w:rFonts w:hint="eastAsia" w:ascii="宋体" w:hAnsi="宋体" w:cs="Times New Roman"/>
          <w:color w:val="000000"/>
          <w:sz w:val="24"/>
          <w:szCs w:val="24"/>
        </w:rPr>
        <w:t>小型和微型企业应出具《声明函》（附件二、三）；监狱企业应提供由省级监狱局、戒毒局（含新疆生产建设兵团）出具的监狱企业的证明文件；残疾人福利性单位提供《声明函》（附件四）。</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计分办法</w:t>
      </w:r>
    </w:p>
    <w:p>
      <w:pPr>
        <w:adjustRightInd w:val="0"/>
        <w:spacing w:line="360" w:lineRule="auto"/>
        <w:ind w:left="249"/>
        <w:rPr>
          <w:rFonts w:ascii="Helvetica" w:hAnsi="Helvetica" w:cs="Helvetica"/>
          <w:color w:val="000000"/>
          <w:kern w:val="0"/>
          <w:sz w:val="24"/>
          <w:szCs w:val="24"/>
        </w:rPr>
      </w:pPr>
      <w:r>
        <w:rPr>
          <w:rFonts w:hint="eastAsia" w:ascii="宋体" w:hAnsi="宋体" w:cs="Helvetica"/>
          <w:color w:val="000000"/>
          <w:kern w:val="0"/>
          <w:sz w:val="24"/>
          <w:szCs w:val="24"/>
        </w:rPr>
        <w:t>4.1集中采购机构对各评委的总分进行复核。各项统计结果均精确到小数点后两位。</w:t>
      </w:r>
    </w:p>
    <w:p>
      <w:pPr>
        <w:adjustRightInd w:val="0"/>
        <w:spacing w:line="360" w:lineRule="auto"/>
        <w:ind w:left="249"/>
        <w:rPr>
          <w:rFonts w:ascii="Helvetica" w:hAnsi="Helvetica" w:cs="Helvetica"/>
          <w:color w:val="000000"/>
          <w:kern w:val="0"/>
          <w:sz w:val="24"/>
          <w:szCs w:val="24"/>
        </w:rPr>
      </w:pPr>
      <w:r>
        <w:rPr>
          <w:rFonts w:hint="eastAsia" w:ascii="宋体" w:hAnsi="宋体" w:cs="Helvetica"/>
          <w:color w:val="000000"/>
          <w:kern w:val="0"/>
          <w:sz w:val="24"/>
          <w:szCs w:val="24"/>
        </w:rPr>
        <w:t>4.2各投标人的最终得分为评委所评定分数的算术平均值。</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推荐中标候选人名单或确定中标人</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评标委员会按照招标文件确定的评标方法、程序及标准，对投标文件进行评审。</w:t>
      </w:r>
      <w:r>
        <w:rPr>
          <w:rFonts w:ascii="宋体" w:hAnsi="宋体" w:cs="Helvetica"/>
          <w:color w:val="000000"/>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评标委员会依据评标结果，按各投标人的评审后得分由高到低的顺序向采购人推荐得分前三名的进入中标候选人名单，并形成书面的评标报告。</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中标候选人并列的，</w:t>
      </w:r>
      <w:r>
        <w:rPr>
          <w:rFonts w:ascii="宋体" w:hAnsi="宋体" w:cs="Helvetica"/>
          <w:color w:val="000000"/>
          <w:kern w:val="0"/>
          <w:sz w:val="24"/>
          <w:szCs w:val="24"/>
        </w:rPr>
        <w:t>由采购人</w:t>
      </w:r>
      <w:r>
        <w:rPr>
          <w:rFonts w:hint="eastAsia" w:ascii="宋体" w:hAnsi="宋体" w:cs="Helvetica"/>
          <w:color w:val="000000"/>
          <w:kern w:val="0"/>
          <w:sz w:val="24"/>
          <w:szCs w:val="24"/>
        </w:rPr>
        <w:t>确定</w:t>
      </w:r>
      <w:r>
        <w:rPr>
          <w:rFonts w:ascii="宋体" w:hAnsi="宋体" w:cs="Helvetica"/>
          <w:color w:val="000000"/>
          <w:kern w:val="0"/>
          <w:sz w:val="24"/>
          <w:szCs w:val="24"/>
        </w:rPr>
        <w:t>或者采购人委托评标委员会</w:t>
      </w:r>
      <w:r>
        <w:rPr>
          <w:rFonts w:hint="eastAsia" w:ascii="宋体" w:hAnsi="宋体" w:cs="Helvetica"/>
          <w:color w:val="000000"/>
          <w:kern w:val="0"/>
          <w:sz w:val="24"/>
          <w:szCs w:val="24"/>
        </w:rPr>
        <w:t>以投票方式</w:t>
      </w:r>
      <w:r>
        <w:rPr>
          <w:rFonts w:ascii="宋体" w:hAnsi="宋体" w:cs="Helvetica"/>
          <w:color w:val="000000"/>
          <w:kern w:val="0"/>
          <w:sz w:val="24"/>
          <w:szCs w:val="24"/>
        </w:rPr>
        <w:t>确定中标人。</w:t>
      </w:r>
    </w:p>
    <w:p>
      <w:pPr>
        <w:numPr>
          <w:ilvl w:val="0"/>
          <w:numId w:val="58"/>
        </w:numPr>
        <w:spacing w:line="360" w:lineRule="auto"/>
        <w:ind w:left="10" w:leftChars="5" w:firstLine="237" w:firstLineChars="99"/>
        <w:rPr>
          <w:rFonts w:ascii="宋体" w:hAnsi="宋体" w:cs="Times New Roman"/>
          <w:b/>
          <w:bCs/>
          <w:color w:val="000000"/>
          <w:sz w:val="30"/>
          <w:szCs w:val="30"/>
        </w:rPr>
      </w:pPr>
      <w:r>
        <w:rPr>
          <w:rFonts w:hint="eastAsia" w:ascii="宋体" w:hAnsi="宋体" w:cs="Helvetica"/>
          <w:color w:val="000000"/>
          <w:kern w:val="0"/>
          <w:sz w:val="24"/>
          <w:szCs w:val="24"/>
        </w:rPr>
        <w:t>评标委员会应当在评标报告上签字，对自己的评审意见承担法律责任。对评标报告有异议的，应当在评标报告上签署不同意见，并说明理由，否则视为同意评标报告。</w:t>
      </w:r>
      <w:bookmarkStart w:id="104" w:name="_Toc494561963"/>
      <w:bookmarkEnd w:id="104"/>
    </w:p>
    <w:p>
      <w:r>
        <w:br w:type="page"/>
      </w:r>
    </w:p>
    <w:p>
      <w:pPr>
        <w:pStyle w:val="12"/>
      </w:pPr>
    </w:p>
    <w:p>
      <w:pPr>
        <w:pStyle w:val="6"/>
        <w:numPr>
          <w:ilvl w:val="0"/>
          <w:numId w:val="39"/>
        </w:numPr>
        <w:spacing w:before="0" w:after="0" w:line="360" w:lineRule="auto"/>
        <w:jc w:val="center"/>
        <w:rPr>
          <w:rFonts w:cs="Times New Roman" w:asciiTheme="majorEastAsia" w:hAnsiTheme="majorEastAsia"/>
          <w:bCs w:val="0"/>
          <w:color w:val="000000" w:themeColor="text1"/>
          <w:sz w:val="30"/>
          <w:szCs w:val="30"/>
          <w:lang w:val="zh-CN"/>
          <w14:textFill>
            <w14:solidFill>
              <w14:schemeClr w14:val="tx1"/>
            </w14:solidFill>
          </w14:textFill>
        </w:rPr>
      </w:pPr>
      <w:bookmarkStart w:id="105" w:name="_Toc27441"/>
      <w:bookmarkEnd w:id="105"/>
      <w:bookmarkStart w:id="106" w:name="_Toc28134"/>
      <w:r>
        <w:rPr>
          <w:rFonts w:hint="eastAsia" w:cs="Times New Roman" w:asciiTheme="majorEastAsia" w:hAnsiTheme="majorEastAsia"/>
          <w:bCs w:val="0"/>
          <w:color w:val="000000" w:themeColor="text1"/>
          <w:sz w:val="30"/>
          <w:szCs w:val="30"/>
          <w:lang w:val="zh-CN"/>
          <w14:textFill>
            <w14:solidFill>
              <w14:schemeClr w14:val="tx1"/>
            </w14:solidFill>
          </w14:textFill>
        </w:rPr>
        <w:t>评分标准</w:t>
      </w:r>
      <w:bookmarkEnd w:id="106"/>
    </w:p>
    <w:tbl>
      <w:tblPr>
        <w:tblStyle w:val="25"/>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99"/>
        <w:gridCol w:w="775"/>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59" w:type="dxa"/>
            <w:gridSpan w:val="2"/>
            <w:vAlign w:val="center"/>
          </w:tcPr>
          <w:p>
            <w:pPr>
              <w:jc w:val="center"/>
              <w:rPr>
                <w:rFonts w:ascii="宋体" w:hAnsi="宋体" w:cs="宋体"/>
                <w:b/>
                <w:bCs/>
                <w:sz w:val="24"/>
                <w:szCs w:val="24"/>
              </w:rPr>
            </w:pPr>
            <w:r>
              <w:rPr>
                <w:rFonts w:hint="eastAsia" w:ascii="宋体" w:hAnsi="宋体" w:cs="宋体"/>
                <w:b/>
                <w:bCs/>
                <w:sz w:val="24"/>
                <w:szCs w:val="24"/>
              </w:rPr>
              <w:t>评分因素</w:t>
            </w:r>
          </w:p>
        </w:tc>
        <w:tc>
          <w:tcPr>
            <w:tcW w:w="775" w:type="dxa"/>
            <w:vAlign w:val="center"/>
          </w:tcPr>
          <w:p>
            <w:pPr>
              <w:jc w:val="center"/>
              <w:rPr>
                <w:rFonts w:ascii="宋体" w:hAnsi="宋体" w:cs="宋体"/>
                <w:b/>
                <w:bCs/>
                <w:sz w:val="24"/>
                <w:szCs w:val="24"/>
              </w:rPr>
            </w:pPr>
            <w:r>
              <w:rPr>
                <w:rFonts w:hint="eastAsia" w:ascii="宋体" w:hAnsi="宋体" w:cs="宋体"/>
                <w:b/>
                <w:bCs/>
                <w:sz w:val="24"/>
                <w:szCs w:val="24"/>
              </w:rPr>
              <w:t>分值</w:t>
            </w:r>
          </w:p>
        </w:tc>
        <w:tc>
          <w:tcPr>
            <w:tcW w:w="6521" w:type="dxa"/>
            <w:vAlign w:val="center"/>
          </w:tcPr>
          <w:p>
            <w:pPr>
              <w:jc w:val="center"/>
              <w:rPr>
                <w:rFonts w:ascii="宋体" w:hAnsi="宋体" w:cs="宋体"/>
                <w:b/>
                <w:bCs/>
                <w:sz w:val="24"/>
                <w:szCs w:val="24"/>
              </w:rPr>
            </w:pPr>
            <w:r>
              <w:rPr>
                <w:rFonts w:hint="eastAsia" w:ascii="宋体" w:hAnsi="宋体" w:cs="宋体"/>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659" w:type="dxa"/>
            <w:gridSpan w:val="2"/>
            <w:vAlign w:val="center"/>
          </w:tcPr>
          <w:p>
            <w:pPr>
              <w:pStyle w:val="151"/>
              <w:spacing w:before="4" w:line="242" w:lineRule="auto"/>
              <w:ind w:left="109" w:leftChars="0" w:right="270" w:rightChars="0"/>
              <w:rPr>
                <w:rFonts w:cs="Times New Roman"/>
                <w:szCs w:val="21"/>
                <w:lang w:val="en-US"/>
              </w:rPr>
            </w:pPr>
            <w:r>
              <w:rPr>
                <w:rFonts w:hint="eastAsia" w:cs="Times New Roman"/>
                <w:b/>
                <w:bCs/>
                <w:szCs w:val="21"/>
                <w:lang w:val="en-US"/>
              </w:rPr>
              <w:t>投标</w:t>
            </w:r>
            <w:r>
              <w:rPr>
                <w:rFonts w:hint="eastAsia" w:cs="Times New Roman"/>
                <w:b/>
                <w:bCs/>
                <w:szCs w:val="21"/>
              </w:rPr>
              <w:t>报价</w:t>
            </w:r>
          </w:p>
        </w:tc>
        <w:tc>
          <w:tcPr>
            <w:tcW w:w="775" w:type="dxa"/>
            <w:vAlign w:val="center"/>
          </w:tcPr>
          <w:p>
            <w:pPr>
              <w:pStyle w:val="151"/>
              <w:spacing w:before="4" w:line="242" w:lineRule="auto"/>
              <w:ind w:right="270" w:rightChars="0"/>
              <w:jc w:val="center"/>
              <w:rPr>
                <w:rFonts w:cs="Times New Roman"/>
                <w:szCs w:val="21"/>
                <w:lang w:val="en-US"/>
              </w:rPr>
            </w:pPr>
            <w:r>
              <w:rPr>
                <w:rFonts w:hint="eastAsia" w:cs="Times New Roman"/>
                <w:szCs w:val="21"/>
                <w:lang w:val="en-US"/>
              </w:rPr>
              <w:t>30</w:t>
            </w:r>
          </w:p>
        </w:tc>
        <w:tc>
          <w:tcPr>
            <w:tcW w:w="6521" w:type="dxa"/>
            <w:vAlign w:val="top"/>
          </w:tcPr>
          <w:p>
            <w:pPr>
              <w:pStyle w:val="151"/>
              <w:spacing w:before="4" w:line="242" w:lineRule="auto"/>
              <w:ind w:left="109" w:leftChars="0" w:right="270" w:rightChars="0"/>
              <w:rPr>
                <w:sz w:val="24"/>
                <w:szCs w:val="24"/>
              </w:rPr>
            </w:pPr>
            <w:r>
              <w:rPr>
                <w:rFonts w:hint="eastAsia" w:cs="Times New Roman"/>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计算时保留两位小数</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64" w:type="dxa"/>
            <w:vMerge w:val="restart"/>
            <w:vAlign w:val="center"/>
          </w:tcPr>
          <w:p>
            <w:pPr>
              <w:rPr>
                <w:rFonts w:ascii="宋体" w:hAnsi="宋体" w:cs="Times New Roman"/>
                <w:szCs w:val="21"/>
                <w:lang w:bidi="zh-CN"/>
              </w:rPr>
            </w:pPr>
            <w:r>
              <w:rPr>
                <w:rFonts w:hint="eastAsia" w:ascii="宋体" w:hAnsi="宋体" w:cs="Times New Roman"/>
                <w:szCs w:val="21"/>
                <w:lang w:bidi="zh-CN"/>
              </w:rPr>
              <w:t>技术部分50分</w:t>
            </w:r>
          </w:p>
        </w:tc>
        <w:tc>
          <w:tcPr>
            <w:tcW w:w="1095" w:type="dxa"/>
            <w:vAlign w:val="center"/>
          </w:tcPr>
          <w:p>
            <w:pPr>
              <w:autoSpaceDE w:val="0"/>
              <w:autoSpaceDN w:val="0"/>
              <w:snapToGrid w:val="0"/>
              <w:jc w:val="center"/>
              <w:rPr>
                <w:rFonts w:ascii="宋体" w:hAnsi="宋体" w:cs="Times New Roman"/>
                <w:szCs w:val="21"/>
                <w:lang w:val="zh-CN" w:bidi="zh-CN"/>
              </w:rPr>
            </w:pPr>
            <w:r>
              <w:rPr>
                <w:rFonts w:hint="eastAsia" w:ascii="宋体" w:hAnsi="宋体"/>
                <w:b/>
                <w:color w:val="auto"/>
                <w:szCs w:val="21"/>
              </w:rPr>
              <w:t>符合性</w:t>
            </w:r>
          </w:p>
        </w:tc>
        <w:tc>
          <w:tcPr>
            <w:tcW w:w="775" w:type="dxa"/>
            <w:vAlign w:val="center"/>
          </w:tcPr>
          <w:p>
            <w:pPr>
              <w:jc w:val="center"/>
              <w:rPr>
                <w:rFonts w:ascii="宋体" w:hAnsi="宋体" w:cs="Times New Roman"/>
                <w:szCs w:val="21"/>
                <w:lang w:bidi="zh-CN"/>
              </w:rPr>
            </w:pPr>
            <w:r>
              <w:rPr>
                <w:rFonts w:ascii="宋体" w:hAnsi="宋体" w:cs="Times New Roman"/>
                <w:color w:val="auto"/>
                <w:szCs w:val="21"/>
                <w:lang w:bidi="zh-CN"/>
              </w:rPr>
              <w:t>30</w:t>
            </w:r>
          </w:p>
        </w:tc>
        <w:tc>
          <w:tcPr>
            <w:tcW w:w="6521" w:type="dxa"/>
            <w:vAlign w:val="center"/>
          </w:tcPr>
          <w:p>
            <w:pPr>
              <w:ind w:left="-78" w:leftChars="-37" w:right="-73" w:rightChars="-35"/>
              <w:jc w:val="left"/>
              <w:rPr>
                <w:rFonts w:ascii="宋体" w:hAnsi="宋体" w:cs="Arial"/>
                <w:bCs/>
                <w:color w:val="auto"/>
                <w:szCs w:val="21"/>
              </w:rPr>
            </w:pPr>
            <w:r>
              <w:rPr>
                <w:rFonts w:hint="eastAsia" w:ascii="宋体" w:hAnsi="宋体" w:cs="宋体"/>
                <w:color w:val="auto"/>
                <w:szCs w:val="21"/>
              </w:rPr>
              <w:t>招标文件</w:t>
            </w:r>
            <w:r>
              <w:rPr>
                <w:rFonts w:hint="eastAsia" w:ascii="宋体" w:hAnsi="宋体" w:cs="宋体"/>
                <w:color w:val="auto"/>
                <w:kern w:val="0"/>
                <w:szCs w:val="21"/>
              </w:rPr>
              <w:t>中标注“★”的技术指标任何一条不满足的做废标处理；</w:t>
            </w:r>
            <w:r>
              <w:rPr>
                <w:rFonts w:hint="eastAsia" w:ascii="宋体" w:hAnsi="宋体" w:cs="Arial"/>
                <w:bCs/>
                <w:color w:val="auto"/>
                <w:szCs w:val="21"/>
              </w:rPr>
              <w:t>投标产品完全满足用户需求书的所有技术参数及具体配置要求的，得</w:t>
            </w:r>
            <w:r>
              <w:rPr>
                <w:rFonts w:hint="eastAsia" w:ascii="宋体" w:hAnsi="宋体" w:cs="Arial"/>
                <w:bCs/>
                <w:color w:val="auto"/>
                <w:szCs w:val="21"/>
                <w:lang w:val="en-US" w:eastAsia="zh-CN"/>
              </w:rPr>
              <w:t>3</w:t>
            </w:r>
            <w:r>
              <w:rPr>
                <w:rFonts w:ascii="宋体" w:hAnsi="宋体" w:cs="Arial"/>
                <w:bCs/>
                <w:color w:val="auto"/>
                <w:szCs w:val="21"/>
              </w:rPr>
              <w:t>0</w:t>
            </w:r>
            <w:r>
              <w:rPr>
                <w:rFonts w:hint="eastAsia" w:ascii="宋体" w:hAnsi="宋体" w:cs="Arial"/>
                <w:bCs/>
                <w:color w:val="auto"/>
                <w:szCs w:val="21"/>
              </w:rPr>
              <w:t>分</w:t>
            </w:r>
          </w:p>
          <w:p>
            <w:pPr>
              <w:ind w:left="-78" w:leftChars="-37" w:right="-73" w:rightChars="-35"/>
              <w:jc w:val="left"/>
              <w:rPr>
                <w:rFonts w:ascii="宋体" w:hAnsi="宋体" w:cs="Times New Roman"/>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4" w:type="dxa"/>
            <w:vMerge w:val="continue"/>
            <w:vAlign w:val="center"/>
          </w:tcPr>
          <w:p>
            <w:pPr>
              <w:jc w:val="center"/>
              <w:rPr>
                <w:rFonts w:ascii="宋体" w:hAnsi="宋体" w:cs="Times New Roman"/>
                <w:szCs w:val="21"/>
                <w:lang w:bidi="zh-CN"/>
              </w:rPr>
            </w:pPr>
          </w:p>
        </w:tc>
        <w:tc>
          <w:tcPr>
            <w:tcW w:w="1095" w:type="dxa"/>
            <w:vAlign w:val="center"/>
          </w:tcPr>
          <w:p>
            <w:pPr>
              <w:jc w:val="center"/>
              <w:rPr>
                <w:rFonts w:ascii="宋体" w:hAnsi="宋体" w:cs="Times New Roman"/>
                <w:b/>
                <w:bCs/>
                <w:szCs w:val="21"/>
                <w:lang w:bidi="zh-CN"/>
              </w:rPr>
            </w:pPr>
            <w:r>
              <w:rPr>
                <w:rFonts w:hint="eastAsia" w:ascii="宋体" w:hAnsi="宋体" w:cs="Times New Roman"/>
                <w:b/>
                <w:bCs/>
                <w:szCs w:val="21"/>
                <w:lang w:bidi="zh-CN"/>
              </w:rPr>
              <w:t>技术方案</w:t>
            </w:r>
          </w:p>
          <w:p>
            <w:pPr>
              <w:jc w:val="center"/>
              <w:rPr>
                <w:rFonts w:ascii="宋体" w:hAnsi="宋体" w:cs="Times New Roman"/>
                <w:b/>
                <w:bCs/>
                <w:szCs w:val="21"/>
                <w:lang w:bidi="zh-CN"/>
              </w:rPr>
            </w:pPr>
          </w:p>
        </w:tc>
        <w:tc>
          <w:tcPr>
            <w:tcW w:w="775" w:type="dxa"/>
            <w:vAlign w:val="center"/>
          </w:tcPr>
          <w:p>
            <w:pPr>
              <w:jc w:val="center"/>
              <w:rPr>
                <w:rFonts w:ascii="宋体" w:hAnsi="宋体" w:cs="Times New Roman"/>
                <w:szCs w:val="21"/>
                <w:lang w:bidi="zh-CN"/>
              </w:rPr>
            </w:pPr>
            <w:r>
              <w:rPr>
                <w:rFonts w:hint="eastAsia" w:ascii="宋体" w:hAnsi="宋体" w:cs="Times New Roman"/>
                <w:szCs w:val="21"/>
                <w:lang w:bidi="zh-CN"/>
              </w:rPr>
              <w:t>6</w:t>
            </w:r>
          </w:p>
        </w:tc>
        <w:tc>
          <w:tcPr>
            <w:tcW w:w="6521" w:type="dxa"/>
            <w:vAlign w:val="center"/>
          </w:tcPr>
          <w:p>
            <w:pPr>
              <w:rPr>
                <w:rFonts w:ascii="宋体" w:hAnsi="宋体" w:cs="Times New Roman"/>
                <w:szCs w:val="21"/>
                <w:lang w:val="zh-CN" w:bidi="zh-CN"/>
              </w:rPr>
            </w:pPr>
            <w:r>
              <w:rPr>
                <w:rFonts w:hint="eastAsia" w:ascii="宋体" w:hAnsi="宋体" w:cs="Times New Roman"/>
                <w:szCs w:val="21"/>
                <w:lang w:val="zh-CN" w:bidi="zh-CN"/>
              </w:rPr>
              <w:t xml:space="preserve">根据供应商提供的技术方案(包括但不限于效果图、深化设计图)进行评审: </w:t>
            </w:r>
          </w:p>
          <w:p>
            <w:pPr>
              <w:rPr>
                <w:rFonts w:ascii="宋体" w:hAnsi="宋体" w:cs="Times New Roman"/>
                <w:szCs w:val="21"/>
                <w:lang w:val="zh-CN" w:bidi="zh-CN"/>
              </w:rPr>
            </w:pPr>
            <w:r>
              <w:rPr>
                <w:rFonts w:hint="eastAsia" w:ascii="宋体" w:hAnsi="宋体" w:cs="Times New Roman"/>
                <w:szCs w:val="21"/>
                <w:lang w:val="zh-CN" w:bidi="zh-CN"/>
              </w:rPr>
              <w:t>技术方案响应详细具体，科学合理，针对性强，有效可行，得</w:t>
            </w:r>
            <w:r>
              <w:rPr>
                <w:rFonts w:hint="eastAsia" w:ascii="宋体" w:hAnsi="宋体" w:cs="Times New Roman"/>
                <w:szCs w:val="21"/>
                <w:lang w:bidi="zh-CN"/>
              </w:rPr>
              <w:t>6</w:t>
            </w:r>
            <w:r>
              <w:rPr>
                <w:rFonts w:hint="eastAsia" w:ascii="宋体" w:hAnsi="宋体" w:cs="Times New Roman"/>
                <w:szCs w:val="21"/>
                <w:lang w:val="zh-CN" w:bidi="zh-CN"/>
              </w:rPr>
              <w:t xml:space="preserve">分； </w:t>
            </w:r>
          </w:p>
          <w:p>
            <w:pPr>
              <w:rPr>
                <w:rFonts w:ascii="宋体" w:hAnsi="宋体" w:cs="Times New Roman"/>
                <w:szCs w:val="21"/>
                <w:lang w:val="zh-CN" w:bidi="zh-CN"/>
              </w:rPr>
            </w:pPr>
            <w:r>
              <w:rPr>
                <w:rFonts w:hint="eastAsia" w:ascii="宋体" w:hAnsi="宋体" w:cs="Times New Roman"/>
                <w:szCs w:val="21"/>
                <w:lang w:val="zh-CN" w:bidi="zh-CN"/>
              </w:rPr>
              <w:t>技术方案响应详细具体，针对性强，有效可行，得</w:t>
            </w:r>
            <w:r>
              <w:rPr>
                <w:rFonts w:hint="eastAsia" w:ascii="宋体" w:hAnsi="宋体" w:cs="Times New Roman"/>
                <w:szCs w:val="21"/>
                <w:lang w:bidi="zh-CN"/>
              </w:rPr>
              <w:t>3</w:t>
            </w:r>
            <w:r>
              <w:rPr>
                <w:rFonts w:hint="eastAsia" w:ascii="宋体" w:hAnsi="宋体" w:cs="Times New Roman"/>
                <w:szCs w:val="21"/>
                <w:lang w:val="zh-CN" w:bidi="zh-CN"/>
              </w:rPr>
              <w:t xml:space="preserve">分； </w:t>
            </w:r>
          </w:p>
          <w:p>
            <w:pPr>
              <w:rPr>
                <w:rFonts w:ascii="宋体" w:hAnsi="宋体" w:cs="Times New Roman"/>
                <w:szCs w:val="21"/>
                <w:lang w:val="zh-CN" w:bidi="zh-CN"/>
              </w:rPr>
            </w:pPr>
            <w:r>
              <w:rPr>
                <w:rFonts w:hint="eastAsia" w:ascii="宋体" w:hAnsi="宋体" w:cs="Times New Roman"/>
                <w:szCs w:val="21"/>
                <w:lang w:val="zh-CN" w:bidi="zh-CN"/>
              </w:rPr>
              <w:t>技术方案响应不够详细具体，得</w:t>
            </w:r>
            <w:r>
              <w:rPr>
                <w:rFonts w:hint="eastAsia" w:ascii="宋体" w:hAnsi="宋体" w:cs="Times New Roman"/>
                <w:szCs w:val="21"/>
                <w:lang w:bidi="zh-CN"/>
              </w:rPr>
              <w:t>1</w:t>
            </w:r>
            <w:r>
              <w:rPr>
                <w:rFonts w:hint="eastAsia" w:ascii="宋体" w:hAnsi="宋体" w:cs="Times New Roman"/>
                <w:szCs w:val="21"/>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564" w:type="dxa"/>
            <w:vMerge w:val="continue"/>
            <w:vAlign w:val="center"/>
          </w:tcPr>
          <w:p>
            <w:pPr>
              <w:jc w:val="center"/>
              <w:rPr>
                <w:rFonts w:ascii="宋体" w:hAnsi="宋体" w:cs="Times New Roman"/>
                <w:szCs w:val="21"/>
                <w:lang w:val="zh-CN" w:bidi="zh-CN"/>
              </w:rPr>
            </w:pPr>
          </w:p>
        </w:tc>
        <w:tc>
          <w:tcPr>
            <w:tcW w:w="1095" w:type="dxa"/>
            <w:vAlign w:val="center"/>
          </w:tcPr>
          <w:p>
            <w:pPr>
              <w:jc w:val="center"/>
              <w:rPr>
                <w:rFonts w:ascii="宋体" w:hAnsi="宋体" w:cs="Times New Roman"/>
                <w:b/>
                <w:bCs/>
                <w:szCs w:val="21"/>
                <w:lang w:val="zh-CN" w:bidi="zh-CN"/>
              </w:rPr>
            </w:pPr>
            <w:r>
              <w:rPr>
                <w:rFonts w:hint="eastAsia" w:ascii="宋体" w:hAnsi="宋体" w:cs="Times New Roman"/>
                <w:b/>
                <w:bCs/>
                <w:szCs w:val="21"/>
                <w:lang w:bidi="zh-CN"/>
              </w:rPr>
              <w:t>供货服务方案</w:t>
            </w:r>
          </w:p>
        </w:tc>
        <w:tc>
          <w:tcPr>
            <w:tcW w:w="775" w:type="dxa"/>
            <w:vAlign w:val="center"/>
          </w:tcPr>
          <w:p>
            <w:pPr>
              <w:jc w:val="center"/>
              <w:rPr>
                <w:rFonts w:ascii="宋体" w:hAnsi="宋体" w:cs="Times New Roman"/>
                <w:szCs w:val="21"/>
                <w:lang w:bidi="zh-CN"/>
              </w:rPr>
            </w:pPr>
            <w:r>
              <w:rPr>
                <w:rFonts w:hint="eastAsia" w:ascii="宋体" w:hAnsi="宋体" w:cs="Times New Roman"/>
                <w:szCs w:val="21"/>
                <w:lang w:bidi="zh-CN"/>
              </w:rPr>
              <w:t>5</w:t>
            </w:r>
          </w:p>
        </w:tc>
        <w:tc>
          <w:tcPr>
            <w:tcW w:w="6521" w:type="dxa"/>
            <w:vAlign w:val="center"/>
          </w:tcPr>
          <w:p>
            <w:pPr>
              <w:rPr>
                <w:rFonts w:ascii="宋体" w:hAnsi="宋体" w:cs="Times New Roman"/>
                <w:szCs w:val="21"/>
                <w:lang w:val="zh-CN" w:bidi="zh-CN"/>
              </w:rPr>
            </w:pPr>
            <w:r>
              <w:rPr>
                <w:rFonts w:hint="eastAsia" w:ascii="宋体" w:hAnsi="宋体" w:cs="Times New Roman"/>
                <w:szCs w:val="21"/>
                <w:lang w:val="zh-CN" w:bidi="zh-CN"/>
              </w:rPr>
              <w:t xml:space="preserve">根据供应商提供的供货服务方案（包括响应时间、交货期、到货的保证措施及应急保障方案等）进行评审： </w:t>
            </w:r>
          </w:p>
          <w:p>
            <w:pPr>
              <w:rPr>
                <w:rFonts w:ascii="宋体" w:hAnsi="宋体" w:cs="Times New Roman"/>
                <w:szCs w:val="21"/>
                <w:lang w:val="zh-CN" w:bidi="zh-CN"/>
              </w:rPr>
            </w:pPr>
            <w:r>
              <w:rPr>
                <w:rFonts w:hint="eastAsia" w:ascii="宋体" w:hAnsi="宋体" w:cs="Times New Roman"/>
                <w:szCs w:val="21"/>
                <w:lang w:val="zh-CN" w:bidi="zh-CN"/>
              </w:rPr>
              <w:t>供货服务方案完善、科学合理，可靠性强，得</w:t>
            </w:r>
            <w:r>
              <w:rPr>
                <w:rFonts w:hint="eastAsia" w:ascii="宋体" w:hAnsi="宋体" w:cs="Times New Roman"/>
                <w:szCs w:val="21"/>
                <w:lang w:bidi="zh-CN"/>
              </w:rPr>
              <w:t>5</w:t>
            </w:r>
            <w:r>
              <w:rPr>
                <w:rFonts w:hint="eastAsia" w:ascii="宋体" w:hAnsi="宋体" w:cs="Times New Roman"/>
                <w:szCs w:val="21"/>
                <w:lang w:val="zh-CN" w:bidi="zh-CN"/>
              </w:rPr>
              <w:t>分；</w:t>
            </w:r>
          </w:p>
          <w:p>
            <w:pPr>
              <w:rPr>
                <w:rFonts w:ascii="宋体" w:hAnsi="宋体" w:cs="Times New Roman"/>
                <w:szCs w:val="21"/>
                <w:lang w:val="zh-CN" w:bidi="zh-CN"/>
              </w:rPr>
            </w:pPr>
            <w:r>
              <w:rPr>
                <w:rFonts w:hint="eastAsia" w:ascii="宋体" w:hAnsi="宋体" w:cs="Times New Roman"/>
                <w:szCs w:val="21"/>
                <w:lang w:val="zh-CN" w:bidi="zh-CN"/>
              </w:rPr>
              <w:t xml:space="preserve">供货服务方案完善、可靠，得 </w:t>
            </w:r>
            <w:r>
              <w:rPr>
                <w:rFonts w:hint="eastAsia" w:ascii="宋体" w:hAnsi="宋体" w:cs="Times New Roman"/>
                <w:szCs w:val="21"/>
                <w:lang w:bidi="zh-CN"/>
              </w:rPr>
              <w:t>2</w:t>
            </w:r>
            <w:r>
              <w:rPr>
                <w:rFonts w:hint="eastAsia" w:ascii="宋体" w:hAnsi="宋体" w:cs="Times New Roman"/>
                <w:szCs w:val="21"/>
                <w:lang w:val="zh-CN" w:bidi="zh-CN"/>
              </w:rPr>
              <w:t>分；</w:t>
            </w:r>
          </w:p>
          <w:p>
            <w:pPr>
              <w:rPr>
                <w:rFonts w:ascii="宋体" w:hAnsi="宋体" w:cs="Times New Roman"/>
                <w:szCs w:val="21"/>
                <w:lang w:bidi="zh-CN"/>
              </w:rPr>
            </w:pPr>
            <w:r>
              <w:rPr>
                <w:rFonts w:hint="eastAsia" w:ascii="宋体" w:hAnsi="宋体" w:cs="Times New Roman"/>
                <w:szCs w:val="21"/>
                <w:lang w:val="zh-CN" w:bidi="zh-CN"/>
              </w:rPr>
              <w:t xml:space="preserve">供货服务方案不完善、有一定可靠性，得 </w:t>
            </w:r>
            <w:r>
              <w:rPr>
                <w:rFonts w:hint="eastAsia" w:ascii="宋体" w:hAnsi="宋体" w:cs="Times New Roman"/>
                <w:szCs w:val="21"/>
                <w:lang w:bidi="zh-CN"/>
              </w:rPr>
              <w:t>1</w:t>
            </w:r>
            <w:r>
              <w:rPr>
                <w:rFonts w:hint="eastAsia" w:ascii="宋体" w:hAnsi="宋体" w:cs="Times New Roman"/>
                <w:szCs w:val="21"/>
                <w:lang w:val="zh-CN" w:bidi="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4" w:type="dxa"/>
            <w:vMerge w:val="continue"/>
            <w:vAlign w:val="center"/>
          </w:tcPr>
          <w:p>
            <w:pPr>
              <w:jc w:val="center"/>
              <w:rPr>
                <w:rFonts w:ascii="宋体" w:hAnsi="宋体" w:cs="Times New Roman"/>
                <w:color w:val="auto"/>
                <w:szCs w:val="21"/>
                <w:lang w:val="zh-CN" w:bidi="zh-CN"/>
              </w:rPr>
            </w:pPr>
          </w:p>
        </w:tc>
        <w:tc>
          <w:tcPr>
            <w:tcW w:w="1095" w:type="dxa"/>
            <w:tcBorders>
              <w:bottom w:val="single" w:color="auto" w:sz="4" w:space="0"/>
            </w:tcBorders>
            <w:vAlign w:val="center"/>
          </w:tcPr>
          <w:p>
            <w:pPr>
              <w:jc w:val="center"/>
              <w:rPr>
                <w:rFonts w:ascii="宋体" w:hAnsi="宋体" w:cs="Times New Roman"/>
                <w:b/>
                <w:bCs/>
                <w:color w:val="auto"/>
                <w:szCs w:val="21"/>
                <w:lang w:val="zh-CN" w:bidi="zh-CN"/>
              </w:rPr>
            </w:pPr>
            <w:r>
              <w:rPr>
                <w:rFonts w:hint="eastAsia" w:ascii="宋体" w:hAnsi="宋体" w:cs="宋体"/>
                <w:b/>
                <w:bCs/>
                <w:color w:val="auto"/>
                <w:szCs w:val="21"/>
              </w:rPr>
              <w:t>所投货物的先进性及稳定性</w:t>
            </w:r>
          </w:p>
        </w:tc>
        <w:tc>
          <w:tcPr>
            <w:tcW w:w="775" w:type="dxa"/>
            <w:tcBorders>
              <w:bottom w:val="single" w:color="auto" w:sz="4" w:space="0"/>
            </w:tcBorders>
            <w:vAlign w:val="center"/>
          </w:tcPr>
          <w:p>
            <w:pPr>
              <w:autoSpaceDE w:val="0"/>
              <w:autoSpaceDN w:val="0"/>
              <w:adjustRightInd w:val="0"/>
              <w:jc w:val="center"/>
              <w:rPr>
                <w:rFonts w:ascii="宋体" w:hAnsi="宋体" w:cs="Times New Roman"/>
                <w:color w:val="auto"/>
                <w:szCs w:val="21"/>
                <w:lang w:bidi="zh-CN"/>
              </w:rPr>
            </w:pPr>
            <w:r>
              <w:rPr>
                <w:rFonts w:ascii="宋体" w:hAnsi="宋体" w:cs="Times New Roman"/>
                <w:color w:val="auto"/>
                <w:szCs w:val="21"/>
                <w:lang w:bidi="zh-CN"/>
              </w:rPr>
              <w:t>5</w:t>
            </w:r>
          </w:p>
        </w:tc>
        <w:tc>
          <w:tcPr>
            <w:tcW w:w="6521" w:type="dxa"/>
            <w:tcBorders>
              <w:bottom w:val="single" w:color="auto" w:sz="4" w:space="0"/>
            </w:tcBorders>
            <w:vAlign w:val="center"/>
          </w:tcPr>
          <w:p>
            <w:pPr>
              <w:ind w:left="-78" w:leftChars="-37" w:right="-73" w:rightChars="-35"/>
              <w:jc w:val="left"/>
              <w:rPr>
                <w:rFonts w:ascii="宋体" w:hAnsi="宋体" w:cs="Arial"/>
                <w:bCs/>
                <w:color w:val="auto"/>
                <w:szCs w:val="21"/>
              </w:rPr>
            </w:pPr>
            <w:r>
              <w:rPr>
                <w:rFonts w:hint="eastAsia" w:ascii="宋体" w:hAnsi="宋体" w:cs="Arial"/>
                <w:bCs/>
                <w:color w:val="auto"/>
                <w:szCs w:val="21"/>
              </w:rPr>
              <w:t>在投标人所投产品满足用户需求书技术参数要求的前提下：</w:t>
            </w:r>
          </w:p>
          <w:p>
            <w:pPr>
              <w:ind w:left="-78" w:leftChars="-37" w:right="-73" w:rightChars="-35"/>
              <w:jc w:val="left"/>
              <w:rPr>
                <w:rFonts w:ascii="宋体" w:hAnsi="宋体" w:cs="宋体"/>
                <w:bCs/>
                <w:color w:val="auto"/>
                <w:szCs w:val="21"/>
              </w:rPr>
            </w:pPr>
            <w:r>
              <w:rPr>
                <w:rFonts w:hint="eastAsia" w:ascii="宋体" w:hAnsi="宋体" w:cs="宋体"/>
                <w:bCs/>
                <w:color w:val="auto"/>
                <w:szCs w:val="21"/>
              </w:rPr>
              <w:t>所投货物的生产技术先进、性能稳定，能充分满足或优于用户使用需求的，得5分；</w:t>
            </w:r>
          </w:p>
          <w:p>
            <w:pPr>
              <w:ind w:left="-78" w:leftChars="-37" w:right="-73" w:rightChars="-35"/>
              <w:jc w:val="left"/>
              <w:rPr>
                <w:rFonts w:ascii="宋体" w:hAnsi="宋体" w:cs="宋体"/>
                <w:bCs/>
                <w:color w:val="auto"/>
                <w:szCs w:val="21"/>
              </w:rPr>
            </w:pPr>
            <w:r>
              <w:rPr>
                <w:rFonts w:hint="eastAsia" w:ascii="宋体" w:hAnsi="宋体" w:cs="宋体"/>
                <w:bCs/>
                <w:color w:val="auto"/>
                <w:szCs w:val="21"/>
              </w:rPr>
              <w:t>所投货物的生产技术较先进、性能较稳定，能满足用户使用需求的，得3分；</w:t>
            </w:r>
          </w:p>
          <w:p>
            <w:pPr>
              <w:ind w:left="-78" w:leftChars="-37" w:right="-73" w:rightChars="-35"/>
              <w:jc w:val="left"/>
              <w:rPr>
                <w:rFonts w:ascii="宋体" w:hAnsi="宋体" w:cs="宋体"/>
                <w:bCs/>
                <w:color w:val="auto"/>
                <w:szCs w:val="21"/>
              </w:rPr>
            </w:pPr>
            <w:r>
              <w:rPr>
                <w:rFonts w:hint="eastAsia" w:ascii="宋体" w:hAnsi="宋体" w:cs="宋体"/>
                <w:bCs/>
                <w:color w:val="auto"/>
                <w:szCs w:val="21"/>
              </w:rPr>
              <w:t>所投货物的生产技术具有一定的先进性和稳定性，基本能满足用户使用需求的，得1分；</w:t>
            </w:r>
          </w:p>
          <w:p>
            <w:pPr>
              <w:jc w:val="left"/>
              <w:rPr>
                <w:rFonts w:ascii="宋体" w:hAnsi="宋体" w:cs="Times New Roman"/>
                <w:color w:val="auto"/>
                <w:szCs w:val="21"/>
                <w:lang w:val="zh-CN" w:bidi="zh-CN"/>
              </w:rPr>
            </w:pPr>
            <w:r>
              <w:rPr>
                <w:rFonts w:hint="eastAsia" w:ascii="宋体" w:hAnsi="宋体" w:cs="Arial"/>
                <w:bCs/>
                <w:color w:val="auto"/>
                <w:szCs w:val="21"/>
              </w:rPr>
              <w:t>无或其它不得分。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64" w:type="dxa"/>
            <w:vMerge w:val="continue"/>
            <w:tcBorders>
              <w:bottom w:val="single" w:color="auto" w:sz="4" w:space="0"/>
            </w:tcBorders>
            <w:vAlign w:val="center"/>
          </w:tcPr>
          <w:p>
            <w:pPr>
              <w:jc w:val="center"/>
              <w:rPr>
                <w:rFonts w:ascii="宋体" w:hAnsi="宋体" w:cs="Times New Roman"/>
                <w:color w:val="auto"/>
                <w:szCs w:val="21"/>
                <w:lang w:val="zh-CN" w:bidi="zh-CN"/>
              </w:rPr>
            </w:pPr>
          </w:p>
        </w:tc>
        <w:tc>
          <w:tcPr>
            <w:tcW w:w="1095" w:type="dxa"/>
            <w:tcBorders>
              <w:top w:val="single" w:color="auto" w:sz="4" w:space="0"/>
              <w:bottom w:val="single" w:color="auto" w:sz="4" w:space="0"/>
            </w:tcBorders>
            <w:vAlign w:val="center"/>
          </w:tcPr>
          <w:p>
            <w:pPr>
              <w:jc w:val="center"/>
              <w:rPr>
                <w:rFonts w:ascii="宋体" w:hAnsi="宋体" w:cs="Times New Roman"/>
                <w:b/>
                <w:bCs/>
                <w:color w:val="auto"/>
                <w:szCs w:val="21"/>
                <w:lang w:val="zh-CN" w:bidi="zh-CN"/>
              </w:rPr>
            </w:pPr>
            <w:r>
              <w:rPr>
                <w:rFonts w:hint="eastAsia" w:ascii="宋体" w:hAnsi="宋体" w:cs="宋体"/>
                <w:b/>
                <w:bCs/>
                <w:color w:val="auto"/>
                <w:szCs w:val="21"/>
              </w:rPr>
              <w:t>所投货物配置、选型的合理性</w:t>
            </w:r>
          </w:p>
        </w:tc>
        <w:tc>
          <w:tcPr>
            <w:tcW w:w="775" w:type="dxa"/>
            <w:tcBorders>
              <w:top w:val="single" w:color="auto" w:sz="4" w:space="0"/>
              <w:bottom w:val="single" w:color="auto" w:sz="4" w:space="0"/>
            </w:tcBorders>
            <w:vAlign w:val="center"/>
          </w:tcPr>
          <w:p>
            <w:pPr>
              <w:jc w:val="center"/>
              <w:rPr>
                <w:rFonts w:ascii="宋体" w:hAnsi="宋体" w:cs="Times New Roman"/>
                <w:color w:val="auto"/>
                <w:szCs w:val="21"/>
                <w:lang w:bidi="zh-CN"/>
              </w:rPr>
            </w:pPr>
            <w:r>
              <w:rPr>
                <w:rFonts w:ascii="宋体" w:hAnsi="宋体" w:cs="Times New Roman"/>
                <w:color w:val="auto"/>
                <w:szCs w:val="21"/>
                <w:lang w:bidi="zh-CN"/>
              </w:rPr>
              <w:t>4</w:t>
            </w:r>
          </w:p>
        </w:tc>
        <w:tc>
          <w:tcPr>
            <w:tcW w:w="6521" w:type="dxa"/>
            <w:tcBorders>
              <w:top w:val="single" w:color="auto" w:sz="4" w:space="0"/>
              <w:bottom w:val="single" w:color="auto" w:sz="4" w:space="0"/>
            </w:tcBorders>
            <w:vAlign w:val="center"/>
          </w:tcPr>
          <w:p>
            <w:pPr>
              <w:ind w:left="-78" w:leftChars="-37" w:right="-73" w:rightChars="-35"/>
              <w:jc w:val="left"/>
              <w:rPr>
                <w:rFonts w:ascii="宋体" w:hAnsi="宋体" w:cs="宋体"/>
                <w:bCs/>
                <w:color w:val="auto"/>
                <w:szCs w:val="21"/>
              </w:rPr>
            </w:pPr>
            <w:r>
              <w:rPr>
                <w:rFonts w:hint="eastAsia" w:ascii="宋体" w:hAnsi="宋体" w:cs="宋体"/>
                <w:bCs/>
                <w:color w:val="auto"/>
                <w:szCs w:val="21"/>
              </w:rPr>
              <w:t>所投货物充分考虑到设备的适用范围，能够科学、合理的进行配置、选型的，得4分；</w:t>
            </w:r>
          </w:p>
          <w:p>
            <w:pPr>
              <w:ind w:left="-78" w:leftChars="-37" w:right="-73" w:rightChars="-35"/>
              <w:jc w:val="left"/>
              <w:rPr>
                <w:rFonts w:ascii="宋体" w:hAnsi="宋体" w:cs="宋体"/>
                <w:bCs/>
                <w:color w:val="auto"/>
                <w:szCs w:val="21"/>
              </w:rPr>
            </w:pPr>
            <w:r>
              <w:rPr>
                <w:rFonts w:hint="eastAsia" w:ascii="宋体" w:hAnsi="宋体" w:cs="宋体"/>
                <w:bCs/>
                <w:color w:val="auto"/>
                <w:szCs w:val="21"/>
              </w:rPr>
              <w:t>所投货物较充分考虑到设备的适用范围，较能够科学、合理的进行配置、选型的，得2分；</w:t>
            </w:r>
          </w:p>
          <w:p>
            <w:pPr>
              <w:ind w:left="-78" w:leftChars="-37" w:right="-73" w:rightChars="-35"/>
              <w:jc w:val="left"/>
              <w:rPr>
                <w:rFonts w:ascii="宋体" w:hAnsi="宋体" w:cs="宋体"/>
                <w:bCs/>
                <w:color w:val="auto"/>
                <w:szCs w:val="21"/>
              </w:rPr>
            </w:pPr>
            <w:r>
              <w:rPr>
                <w:rFonts w:hint="eastAsia" w:ascii="宋体" w:hAnsi="宋体" w:cs="宋体"/>
                <w:bCs/>
                <w:color w:val="auto"/>
                <w:szCs w:val="21"/>
              </w:rPr>
              <w:t>所投货物有考虑到设备的适用范围，基本能够科学、合理的进行配置、选型的，得1分；</w:t>
            </w:r>
          </w:p>
          <w:p>
            <w:pPr>
              <w:ind w:left="-78" w:leftChars="-37" w:right="-73" w:rightChars="-35"/>
              <w:jc w:val="left"/>
              <w:rPr>
                <w:rFonts w:ascii="宋体" w:hAnsi="宋体" w:cs="Times New Roman"/>
                <w:color w:val="auto"/>
                <w:szCs w:val="21"/>
                <w:lang w:val="zh-CN" w:bidi="zh-CN"/>
              </w:rPr>
            </w:pPr>
            <w:r>
              <w:rPr>
                <w:rFonts w:hint="eastAsia" w:ascii="宋体" w:hAnsi="宋体" w:cs="Arial"/>
                <w:bCs/>
                <w:color w:val="auto"/>
                <w:szCs w:val="21"/>
              </w:rPr>
              <w:t>无或其它不得分。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59" w:type="dxa"/>
            <w:vMerge w:val="restart"/>
            <w:tcBorders>
              <w:top w:val="single" w:color="auto" w:sz="4" w:space="0"/>
            </w:tcBorders>
            <w:vAlign w:val="center"/>
          </w:tcPr>
          <w:p>
            <w:pPr>
              <w:spacing w:line="400" w:lineRule="exact"/>
              <w:rPr>
                <w:rFonts w:hint="eastAsia"/>
              </w:rPr>
            </w:pPr>
            <w:r>
              <w:rPr>
                <w:rFonts w:hint="eastAsia"/>
              </w:rPr>
              <w:t>商务部分</w:t>
            </w:r>
          </w:p>
          <w:p>
            <w:pPr>
              <w:pStyle w:val="2"/>
              <w:rPr>
                <w:rFonts w:hint="eastAsia"/>
              </w:rPr>
            </w:pPr>
          </w:p>
          <w:p>
            <w:pPr>
              <w:rPr>
                <w:rFonts w:hint="eastAsia"/>
              </w:rPr>
            </w:pPr>
          </w:p>
          <w:p>
            <w:pPr>
              <w:pStyle w:val="2"/>
              <w:ind w:left="0" w:leftChars="0" w:firstLine="0" w:firstLineChars="0"/>
              <w:rPr>
                <w:rFonts w:hint="default"/>
                <w:lang w:val="en-US" w:eastAsia="zh-CN"/>
              </w:rPr>
            </w:pPr>
            <w:r>
              <w:rPr>
                <w:rFonts w:hint="eastAsia"/>
                <w:lang w:val="en-US" w:eastAsia="zh-CN"/>
              </w:rPr>
              <w:t>20分</w:t>
            </w:r>
          </w:p>
        </w:tc>
        <w:tc>
          <w:tcPr>
            <w:tcW w:w="1100" w:type="dxa"/>
            <w:tcBorders>
              <w:top w:val="single" w:color="auto" w:sz="4" w:space="0"/>
              <w:bottom w:val="single" w:color="auto" w:sz="4" w:space="0"/>
            </w:tcBorders>
            <w:vAlign w:val="center"/>
          </w:tcPr>
          <w:p>
            <w:pPr>
              <w:spacing w:line="400" w:lineRule="exact"/>
              <w:jc w:val="center"/>
              <w:rPr>
                <w:rFonts w:ascii="宋体" w:hAnsi="宋体" w:cs="Times New Roman"/>
                <w:b/>
                <w:bCs/>
                <w:szCs w:val="21"/>
                <w:lang w:val="zh-CN" w:bidi="zh-CN"/>
              </w:rPr>
            </w:pPr>
            <w:r>
              <w:rPr>
                <w:rFonts w:hint="eastAsia" w:ascii="宋体" w:hAnsi="宋体" w:cs="Times New Roman"/>
                <w:b/>
                <w:bCs/>
                <w:szCs w:val="21"/>
                <w:lang w:val="zh-CN" w:bidi="zh-CN"/>
              </w:rPr>
              <w:t>投标文件制</w:t>
            </w:r>
          </w:p>
        </w:tc>
        <w:tc>
          <w:tcPr>
            <w:tcW w:w="775" w:type="dxa"/>
            <w:tcBorders>
              <w:top w:val="single" w:color="auto" w:sz="4" w:space="0"/>
              <w:bottom w:val="single" w:color="auto" w:sz="4" w:space="0"/>
            </w:tcBorders>
            <w:vAlign w:val="center"/>
          </w:tcPr>
          <w:p>
            <w:pPr>
              <w:spacing w:line="400" w:lineRule="exact"/>
              <w:jc w:val="center"/>
              <w:rPr>
                <w:rFonts w:ascii="宋体" w:hAnsi="宋体" w:cs="Times New Roman"/>
                <w:szCs w:val="21"/>
                <w:lang w:bidi="zh-CN"/>
              </w:rPr>
            </w:pPr>
            <w:r>
              <w:rPr>
                <w:rFonts w:hint="eastAsia" w:ascii="宋体" w:hAnsi="宋体" w:cs="Times New Roman"/>
                <w:szCs w:val="21"/>
                <w:lang w:val="en-US" w:bidi="zh-CN"/>
              </w:rPr>
              <w:t>4</w:t>
            </w:r>
          </w:p>
        </w:tc>
        <w:tc>
          <w:tcPr>
            <w:tcW w:w="6521" w:type="dxa"/>
            <w:tcBorders>
              <w:top w:val="single" w:color="auto" w:sz="4" w:space="0"/>
              <w:bottom w:val="single" w:color="auto" w:sz="4" w:space="0"/>
            </w:tcBorders>
            <w:vAlign w:val="top"/>
          </w:tcPr>
          <w:p>
            <w:pPr>
              <w:jc w:val="left"/>
              <w:rPr>
                <w:rFonts w:ascii="宋体" w:hAnsi="宋体" w:cs="Times New Roman"/>
                <w:szCs w:val="21"/>
                <w:lang w:bidi="zh-CN"/>
              </w:rPr>
            </w:pPr>
            <w:r>
              <w:rPr>
                <w:rFonts w:hint="eastAsia" w:ascii="宋体" w:hAnsi="宋体" w:cs="Times New Roman"/>
                <w:szCs w:val="21"/>
                <w:lang w:bidi="zh-CN"/>
              </w:rPr>
              <w:t>投标文件全面响应招标文件要求，编制完整、美观、非活页装订，且有详细目录、连续页码、目录与有关材料装订顺序对应清晰、查阅方便的得</w:t>
            </w:r>
            <w:r>
              <w:rPr>
                <w:rFonts w:hint="eastAsia" w:ascii="宋体" w:hAnsi="宋体" w:cs="Times New Roman"/>
                <w:szCs w:val="21"/>
                <w:lang w:val="en-US" w:bidi="zh-CN"/>
              </w:rPr>
              <w:t>4</w:t>
            </w:r>
            <w:r>
              <w:rPr>
                <w:rFonts w:hint="eastAsia" w:ascii="宋体" w:hAnsi="宋体" w:cs="Times New Roman"/>
                <w:szCs w:val="21"/>
                <w:lang w:bidi="zh-CN"/>
              </w:rPr>
              <w:t>分。不符合要求的每处扣0.5分，扣完为止。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59" w:type="dxa"/>
            <w:vMerge w:val="continue"/>
            <w:vAlign w:val="center"/>
          </w:tcPr>
          <w:p>
            <w:pPr>
              <w:spacing w:line="400" w:lineRule="exact"/>
              <w:jc w:val="center"/>
              <w:rPr>
                <w:rFonts w:ascii="宋体" w:hAnsi="宋体" w:cs="Times New Roman"/>
                <w:szCs w:val="21"/>
                <w:lang w:bidi="zh-CN"/>
              </w:rPr>
            </w:pPr>
          </w:p>
        </w:tc>
        <w:tc>
          <w:tcPr>
            <w:tcW w:w="1100" w:type="dxa"/>
            <w:tcBorders>
              <w:top w:val="single" w:color="auto" w:sz="4" w:space="0"/>
              <w:bottom w:val="single" w:color="auto" w:sz="4" w:space="0"/>
            </w:tcBorders>
            <w:vAlign w:val="center"/>
          </w:tcPr>
          <w:p>
            <w:pPr>
              <w:spacing w:line="400" w:lineRule="exact"/>
              <w:jc w:val="center"/>
              <w:rPr>
                <w:rFonts w:ascii="宋体" w:hAnsi="宋体" w:cs="Times New Roman"/>
                <w:b/>
                <w:bCs/>
                <w:szCs w:val="21"/>
                <w:lang w:bidi="zh-CN"/>
              </w:rPr>
            </w:pPr>
            <w:r>
              <w:rPr>
                <w:rFonts w:hint="eastAsia" w:ascii="宋体" w:hAnsi="宋体" w:cs="Times New Roman"/>
                <w:b/>
                <w:bCs/>
                <w:szCs w:val="21"/>
                <w:lang w:bidi="zh-CN"/>
              </w:rPr>
              <w:t>同类业绩</w:t>
            </w:r>
          </w:p>
        </w:tc>
        <w:tc>
          <w:tcPr>
            <w:tcW w:w="775" w:type="dxa"/>
            <w:tcBorders>
              <w:top w:val="single" w:color="auto" w:sz="4" w:space="0"/>
              <w:bottom w:val="single" w:color="auto" w:sz="4" w:space="0"/>
            </w:tcBorders>
            <w:vAlign w:val="center"/>
          </w:tcPr>
          <w:p>
            <w:pPr>
              <w:spacing w:line="400" w:lineRule="exact"/>
              <w:jc w:val="center"/>
              <w:rPr>
                <w:rFonts w:ascii="宋体" w:hAnsi="宋体" w:cs="Times New Roman"/>
                <w:szCs w:val="21"/>
                <w:lang w:bidi="zh-CN"/>
              </w:rPr>
            </w:pPr>
            <w:r>
              <w:rPr>
                <w:rFonts w:hint="eastAsia" w:ascii="宋体" w:hAnsi="宋体" w:cs="Times New Roman"/>
                <w:szCs w:val="21"/>
                <w:lang w:bidi="zh-CN"/>
              </w:rPr>
              <w:t>5</w:t>
            </w:r>
          </w:p>
        </w:tc>
        <w:tc>
          <w:tcPr>
            <w:tcW w:w="6521" w:type="dxa"/>
            <w:tcBorders>
              <w:top w:val="single" w:color="auto" w:sz="4" w:space="0"/>
              <w:bottom w:val="single" w:color="auto" w:sz="4" w:space="0"/>
            </w:tcBorders>
            <w:vAlign w:val="center"/>
          </w:tcPr>
          <w:p>
            <w:pPr>
              <w:jc w:val="left"/>
              <w:rPr>
                <w:rFonts w:ascii="宋体" w:hAnsi="宋体" w:cs="Times New Roman"/>
                <w:szCs w:val="21"/>
                <w:lang w:val="zh-CN" w:bidi="zh-CN"/>
              </w:rPr>
            </w:pPr>
            <w:r>
              <w:rPr>
                <w:rFonts w:hint="eastAsia" w:ascii="宋体" w:hAnsi="宋体" w:cs="Times New Roman"/>
                <w:szCs w:val="21"/>
                <w:lang w:bidi="zh-CN"/>
              </w:rPr>
              <w:t>2</w:t>
            </w:r>
            <w:r>
              <w:rPr>
                <w:rFonts w:hint="eastAsia" w:ascii="宋体" w:hAnsi="宋体" w:cs="Times New Roman"/>
                <w:szCs w:val="21"/>
                <w:lang w:val="zh-CN" w:bidi="zh-CN"/>
              </w:rPr>
              <w:t>01</w:t>
            </w:r>
            <w:r>
              <w:rPr>
                <w:rFonts w:hint="eastAsia" w:ascii="宋体" w:hAnsi="宋体" w:cs="Times New Roman"/>
                <w:szCs w:val="21"/>
                <w:lang w:bidi="zh-CN"/>
              </w:rPr>
              <w:t>9</w:t>
            </w:r>
            <w:r>
              <w:rPr>
                <w:rFonts w:hint="eastAsia" w:ascii="宋体" w:hAnsi="宋体" w:cs="Times New Roman"/>
                <w:szCs w:val="21"/>
                <w:lang w:val="zh-CN" w:bidi="zh-CN"/>
              </w:rPr>
              <w:t>年</w:t>
            </w:r>
            <w:r>
              <w:rPr>
                <w:rFonts w:hint="eastAsia" w:ascii="宋体" w:hAnsi="宋体" w:cs="Times New Roman"/>
                <w:szCs w:val="21"/>
                <w:lang w:bidi="zh-CN"/>
              </w:rPr>
              <w:t>12月</w:t>
            </w:r>
            <w:r>
              <w:rPr>
                <w:rFonts w:hint="eastAsia" w:ascii="宋体" w:hAnsi="宋体" w:cs="Times New Roman"/>
                <w:szCs w:val="21"/>
                <w:lang w:val="zh-CN" w:bidi="zh-CN"/>
              </w:rPr>
              <w:t>至今</w:t>
            </w:r>
            <w:r>
              <w:rPr>
                <w:rFonts w:hint="eastAsia" w:ascii="宋体" w:hAnsi="宋体" w:cs="Times New Roman"/>
                <w:szCs w:val="21"/>
                <w:lang w:bidi="zh-CN"/>
              </w:rPr>
              <w:t>类似业绩</w:t>
            </w:r>
            <w:r>
              <w:rPr>
                <w:rFonts w:hint="eastAsia" w:ascii="宋体" w:hAnsi="宋体" w:cs="Times New Roman"/>
                <w:szCs w:val="21"/>
                <w:lang w:val="zh-CN" w:bidi="zh-CN"/>
              </w:rPr>
              <w:t>，每提供1个业绩得1分，最高得</w:t>
            </w:r>
            <w:r>
              <w:rPr>
                <w:rFonts w:hint="eastAsia" w:ascii="宋体" w:hAnsi="宋体" w:cs="Times New Roman"/>
                <w:szCs w:val="21"/>
                <w:lang w:bidi="zh-CN"/>
              </w:rPr>
              <w:t>5</w:t>
            </w:r>
            <w:r>
              <w:rPr>
                <w:rFonts w:hint="eastAsia" w:ascii="宋体" w:hAnsi="宋体" w:cs="Times New Roman"/>
                <w:szCs w:val="21"/>
                <w:lang w:val="zh-CN" w:bidi="zh-CN"/>
              </w:rPr>
              <w:t>分。</w:t>
            </w:r>
          </w:p>
          <w:p>
            <w:pPr>
              <w:jc w:val="left"/>
              <w:rPr>
                <w:rFonts w:ascii="宋体" w:hAnsi="宋体" w:cs="Times New Roman"/>
                <w:szCs w:val="21"/>
                <w:lang w:bidi="zh-CN"/>
              </w:rPr>
            </w:pPr>
            <w:r>
              <w:rPr>
                <w:rFonts w:hint="eastAsia" w:ascii="宋体" w:hAnsi="宋体" w:cs="Times New Roman"/>
                <w:szCs w:val="21"/>
                <w:lang w:val="zh-CN" w:bidi="zh-CN"/>
              </w:rPr>
              <w:t>（需提供合同复印件和中标（成交）通知书复印件，不符合或不提供不得分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59" w:type="dxa"/>
            <w:vMerge w:val="continue"/>
            <w:vAlign w:val="center"/>
          </w:tcPr>
          <w:p>
            <w:pPr>
              <w:widowControl/>
              <w:jc w:val="center"/>
              <w:rPr>
                <w:rFonts w:ascii="宋体" w:hAnsi="宋体" w:cs="Times New Roman"/>
                <w:szCs w:val="21"/>
                <w:lang w:bidi="zh-CN"/>
              </w:rPr>
            </w:pPr>
          </w:p>
        </w:tc>
        <w:tc>
          <w:tcPr>
            <w:tcW w:w="1100" w:type="dxa"/>
            <w:tcBorders>
              <w:top w:val="single" w:color="auto" w:sz="4" w:space="0"/>
              <w:bottom w:val="single" w:color="auto" w:sz="4" w:space="0"/>
            </w:tcBorders>
            <w:vAlign w:val="center"/>
          </w:tcPr>
          <w:p>
            <w:pPr>
              <w:widowControl/>
              <w:jc w:val="center"/>
              <w:rPr>
                <w:rFonts w:ascii="宋体" w:hAnsi="宋体" w:cs="Times New Roman"/>
                <w:b/>
                <w:bCs/>
                <w:szCs w:val="21"/>
                <w:lang w:bidi="zh-CN"/>
              </w:rPr>
            </w:pPr>
            <w:r>
              <w:rPr>
                <w:rFonts w:hint="eastAsia" w:ascii="宋体" w:hAnsi="宋体" w:cs="Times New Roman"/>
                <w:b/>
                <w:bCs/>
                <w:szCs w:val="21"/>
                <w:lang w:bidi="zh-CN"/>
              </w:rPr>
              <w:t>综合</w:t>
            </w:r>
          </w:p>
          <w:p>
            <w:pPr>
              <w:widowControl/>
              <w:jc w:val="center"/>
              <w:rPr>
                <w:rFonts w:ascii="宋体" w:hAnsi="宋体" w:cs="Times New Roman"/>
                <w:b/>
                <w:bCs/>
                <w:szCs w:val="21"/>
                <w:lang w:bidi="zh-CN"/>
              </w:rPr>
            </w:pPr>
            <w:r>
              <w:rPr>
                <w:rFonts w:hint="eastAsia" w:ascii="宋体" w:hAnsi="宋体" w:cs="Times New Roman"/>
                <w:b/>
                <w:bCs/>
                <w:szCs w:val="21"/>
                <w:lang w:bidi="zh-CN"/>
              </w:rPr>
              <w:t>实力</w:t>
            </w:r>
          </w:p>
        </w:tc>
        <w:tc>
          <w:tcPr>
            <w:tcW w:w="775" w:type="dxa"/>
            <w:tcBorders>
              <w:top w:val="single" w:color="auto" w:sz="4" w:space="0"/>
              <w:bottom w:val="single" w:color="auto" w:sz="4" w:space="0"/>
            </w:tcBorders>
            <w:vAlign w:val="center"/>
          </w:tcPr>
          <w:p>
            <w:pPr>
              <w:widowControl/>
              <w:jc w:val="center"/>
              <w:rPr>
                <w:rFonts w:ascii="宋体" w:hAnsi="宋体" w:cs="Times New Roman"/>
                <w:szCs w:val="21"/>
                <w:lang w:bidi="zh-CN"/>
              </w:rPr>
            </w:pPr>
            <w:r>
              <w:rPr>
                <w:rFonts w:hint="eastAsia" w:ascii="宋体" w:hAnsi="宋体" w:cs="Times New Roman"/>
                <w:szCs w:val="21"/>
                <w:lang w:bidi="zh-CN"/>
              </w:rPr>
              <w:t>5</w:t>
            </w:r>
          </w:p>
        </w:tc>
        <w:tc>
          <w:tcPr>
            <w:tcW w:w="6521" w:type="dxa"/>
            <w:tcBorders>
              <w:top w:val="single" w:color="auto" w:sz="4" w:space="0"/>
              <w:bottom w:val="single" w:color="auto" w:sz="4" w:space="0"/>
            </w:tcBorders>
            <w:vAlign w:val="center"/>
          </w:tcPr>
          <w:p>
            <w:pPr>
              <w:pStyle w:val="23"/>
              <w:spacing w:before="0" w:beforeAutospacing="0" w:after="0" w:afterAutospacing="0"/>
              <w:rPr>
                <w:kern w:val="2"/>
                <w:sz w:val="21"/>
                <w:szCs w:val="21"/>
                <w:lang w:bidi="zh-CN"/>
              </w:rPr>
            </w:pPr>
            <w:r>
              <w:rPr>
                <w:rFonts w:hint="eastAsia"/>
                <w:kern w:val="2"/>
                <w:sz w:val="21"/>
                <w:szCs w:val="21"/>
                <w:lang w:bidi="zh-CN"/>
              </w:rPr>
              <w:t>提供ISO14001环境管理体系认证证书、ISO9001质量管理体系认证证书、ISO45001职业健康安全管理体系认证证书、售后服务评价体系认证证书、中国环境标志产品认证证书（十环证书）并在开标现场提供原件验证</w:t>
            </w:r>
            <w:r>
              <w:rPr>
                <w:rFonts w:hint="eastAsia"/>
                <w:kern w:val="2"/>
                <w:sz w:val="21"/>
                <w:szCs w:val="21"/>
                <w:lang w:val="zh-CN" w:bidi="zh-CN"/>
              </w:rPr>
              <w:t>，每项</w:t>
            </w:r>
            <w:r>
              <w:rPr>
                <w:rFonts w:hint="eastAsia"/>
                <w:kern w:val="2"/>
                <w:sz w:val="21"/>
                <w:szCs w:val="21"/>
                <w:lang w:bidi="zh-CN"/>
              </w:rPr>
              <w:t>1分，如未提供则为0分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59" w:type="dxa"/>
            <w:vMerge w:val="continue"/>
            <w:tcBorders>
              <w:bottom w:val="single" w:color="auto" w:sz="4" w:space="0"/>
            </w:tcBorders>
            <w:vAlign w:val="center"/>
          </w:tcPr>
          <w:p>
            <w:pPr>
              <w:jc w:val="center"/>
              <w:rPr>
                <w:rFonts w:ascii="宋体" w:hAnsi="宋体" w:cs="Times New Roman"/>
                <w:szCs w:val="21"/>
                <w:lang w:bidi="zh-CN"/>
              </w:rPr>
            </w:pPr>
          </w:p>
        </w:tc>
        <w:tc>
          <w:tcPr>
            <w:tcW w:w="1100" w:type="dxa"/>
            <w:tcBorders>
              <w:top w:val="single" w:color="auto" w:sz="4" w:space="0"/>
              <w:bottom w:val="single" w:color="auto" w:sz="4" w:space="0"/>
            </w:tcBorders>
            <w:vAlign w:val="center"/>
          </w:tcPr>
          <w:p>
            <w:pPr>
              <w:jc w:val="center"/>
              <w:rPr>
                <w:rFonts w:ascii="宋体" w:hAnsi="宋体" w:cs="Times New Roman"/>
                <w:b/>
                <w:bCs/>
                <w:szCs w:val="21"/>
                <w:lang w:val="zh-CN" w:bidi="zh-CN"/>
              </w:rPr>
            </w:pPr>
            <w:r>
              <w:rPr>
                <w:rFonts w:hint="eastAsia" w:ascii="宋体" w:hAnsi="宋体" w:cs="Times New Roman"/>
                <w:b/>
                <w:bCs/>
                <w:szCs w:val="21"/>
                <w:lang w:val="zh-CN" w:bidi="zh-CN"/>
              </w:rPr>
              <w:t>售后服务</w:t>
            </w:r>
          </w:p>
        </w:tc>
        <w:tc>
          <w:tcPr>
            <w:tcW w:w="775" w:type="dxa"/>
            <w:tcBorders>
              <w:top w:val="single" w:color="auto" w:sz="4" w:space="0"/>
              <w:bottom w:val="single" w:color="auto" w:sz="4" w:space="0"/>
            </w:tcBorders>
            <w:vAlign w:val="center"/>
          </w:tcPr>
          <w:p>
            <w:pPr>
              <w:autoSpaceDE w:val="0"/>
              <w:autoSpaceDN w:val="0"/>
              <w:adjustRightInd w:val="0"/>
              <w:jc w:val="center"/>
              <w:rPr>
                <w:rFonts w:ascii="宋体" w:hAnsi="宋体" w:cs="Times New Roman"/>
                <w:szCs w:val="21"/>
                <w:lang w:bidi="zh-CN"/>
              </w:rPr>
            </w:pPr>
            <w:r>
              <w:rPr>
                <w:rFonts w:hint="eastAsia" w:ascii="宋体" w:hAnsi="宋体" w:cs="Times New Roman"/>
                <w:szCs w:val="21"/>
                <w:lang w:bidi="zh-CN"/>
              </w:rPr>
              <w:t>6</w:t>
            </w:r>
          </w:p>
        </w:tc>
        <w:tc>
          <w:tcPr>
            <w:tcW w:w="6521" w:type="dxa"/>
            <w:tcBorders>
              <w:top w:val="single" w:color="auto" w:sz="4" w:space="0"/>
              <w:bottom w:val="single" w:color="auto" w:sz="4" w:space="0"/>
            </w:tcBorders>
            <w:vAlign w:val="center"/>
          </w:tcPr>
          <w:p>
            <w:pPr>
              <w:jc w:val="left"/>
              <w:rPr>
                <w:rFonts w:ascii="宋体" w:hAnsi="宋体" w:cs="Times New Roman"/>
                <w:szCs w:val="21"/>
                <w:lang w:val="zh-CN" w:bidi="zh-CN"/>
              </w:rPr>
            </w:pPr>
            <w:r>
              <w:rPr>
                <w:rFonts w:hint="eastAsia" w:ascii="宋体" w:hAnsi="宋体" w:cs="Times New Roman"/>
                <w:szCs w:val="21"/>
                <w:lang w:val="zh-CN" w:bidi="zh-CN"/>
              </w:rPr>
              <w:t>售后服务方案内容完善、科学合理、具体，售后保障证明文件完善，得</w:t>
            </w:r>
            <w:r>
              <w:rPr>
                <w:rFonts w:hint="eastAsia" w:ascii="宋体" w:hAnsi="宋体" w:cs="Times New Roman"/>
                <w:szCs w:val="21"/>
                <w:lang w:bidi="zh-CN"/>
              </w:rPr>
              <w:t>6</w:t>
            </w:r>
            <w:r>
              <w:rPr>
                <w:rFonts w:hint="eastAsia" w:ascii="宋体" w:hAnsi="宋体" w:cs="Times New Roman"/>
                <w:szCs w:val="21"/>
                <w:lang w:val="zh-CN" w:bidi="zh-CN"/>
              </w:rPr>
              <w:t>分； 售后服务方案内容完善、具体，售后保障证明文件完善，得</w:t>
            </w:r>
            <w:r>
              <w:rPr>
                <w:rFonts w:hint="eastAsia" w:ascii="宋体" w:hAnsi="宋体" w:cs="Times New Roman"/>
                <w:szCs w:val="21"/>
                <w:lang w:bidi="zh-CN"/>
              </w:rPr>
              <w:t>3</w:t>
            </w:r>
            <w:r>
              <w:rPr>
                <w:rFonts w:hint="eastAsia" w:ascii="宋体" w:hAnsi="宋体" w:cs="Times New Roman"/>
                <w:szCs w:val="21"/>
                <w:lang w:val="zh-CN" w:bidi="zh-CN"/>
              </w:rPr>
              <w:t xml:space="preserve">分； </w:t>
            </w:r>
          </w:p>
          <w:p>
            <w:pPr>
              <w:jc w:val="left"/>
              <w:rPr>
                <w:rFonts w:ascii="宋体" w:hAnsi="宋体" w:cs="Times New Roman"/>
                <w:szCs w:val="21"/>
                <w:lang w:bidi="zh-CN"/>
              </w:rPr>
            </w:pPr>
            <w:r>
              <w:rPr>
                <w:rFonts w:hint="eastAsia" w:ascii="宋体" w:hAnsi="宋体" w:cs="Times New Roman"/>
                <w:szCs w:val="21"/>
                <w:lang w:val="zh-CN" w:bidi="zh-CN"/>
              </w:rPr>
              <w:t xml:space="preserve">售后服务方案内容不完善，售后保障证明文件不完善，得1分； </w:t>
            </w:r>
          </w:p>
        </w:tc>
      </w:tr>
    </w:tbl>
    <w:p>
      <w:pPr>
        <w:rPr>
          <w:lang w:val="zh-CN"/>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r>
        <w:rPr>
          <w:color w:val="000000"/>
        </w:rPr>
        <w:br w:type="page"/>
      </w:r>
    </w:p>
    <w:p>
      <w:pPr>
        <w:pStyle w:val="5"/>
        <w:numPr>
          <w:ilvl w:val="0"/>
          <w:numId w:val="5"/>
        </w:numPr>
        <w:spacing w:before="240" w:after="120"/>
        <w:ind w:left="883" w:hanging="883" w:hangingChars="200"/>
        <w:jc w:val="center"/>
        <w:rPr>
          <w:rFonts w:ascii="黑体" w:hAnsi="黑体" w:eastAsia="黑体"/>
          <w:color w:val="000000"/>
        </w:rPr>
      </w:pPr>
      <w:bookmarkStart w:id="107" w:name="_Toc32618"/>
      <w:r>
        <w:rPr>
          <w:rFonts w:hint="eastAsia" w:ascii="黑体" w:hAnsi="黑体" w:eastAsia="黑体"/>
          <w:color w:val="000000"/>
        </w:rPr>
        <w:t>合同书格式（参考）</w:t>
      </w:r>
      <w:bookmarkEnd w:id="91"/>
      <w:bookmarkEnd w:id="107"/>
    </w:p>
    <w:p>
      <w:pPr>
        <w:spacing w:line="360" w:lineRule="auto"/>
        <w:ind w:firstLine="480" w:firstLineChars="200"/>
        <w:rPr>
          <w:color w:val="000000"/>
          <w:sz w:val="24"/>
          <w:szCs w:val="24"/>
        </w:rPr>
      </w:pPr>
      <w:r>
        <w:rPr>
          <w:rFonts w:hint="eastAsia"/>
          <w:color w:val="000000"/>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cs="Times New Roman"/>
          <w:b/>
          <w:color w:val="000000"/>
          <w:kern w:val="0"/>
          <w:sz w:val="36"/>
          <w:szCs w:val="36"/>
        </w:rPr>
      </w:pPr>
      <w:r>
        <w:rPr>
          <w:rFonts w:hint="eastAsia" w:ascii="宋体" w:hAnsi="宋体" w:cs="Times New Roman"/>
          <w:b/>
          <w:color w:val="000000"/>
          <w:kern w:val="0"/>
          <w:sz w:val="36"/>
          <w:szCs w:val="36"/>
        </w:rPr>
        <w:t>合   同   书</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项目名称：</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合同编号：</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签订日期：</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签订合同地点：</w:t>
      </w:r>
    </w:p>
    <w:p>
      <w:pPr>
        <w:spacing w:before="78" w:beforeLines="25" w:line="360" w:lineRule="auto"/>
        <w:ind w:firstLine="480" w:firstLineChars="200"/>
        <w:rPr>
          <w:rFonts w:ascii="Helvetica" w:hAnsi="Helvetica" w:cs="Helvetica"/>
          <w:color w:val="000000"/>
          <w:kern w:val="0"/>
          <w:sz w:val="24"/>
          <w:szCs w:val="24"/>
        </w:rPr>
      </w:pPr>
      <w:r>
        <w:rPr>
          <w:rFonts w:hint="eastAsia" w:ascii="Helvetica" w:hAnsi="Helvetica" w:cs="Helvetica"/>
          <w:color w:val="000000"/>
          <w:kern w:val="0"/>
          <w:sz w:val="24"/>
          <w:szCs w:val="24"/>
        </w:rPr>
        <w:t>本合同由</w:t>
      </w:r>
      <w:r>
        <w:rPr>
          <w:rFonts w:hint="eastAsia" w:ascii="Helvetica" w:hAnsi="Helvetica" w:cs="Helvetica"/>
          <w:color w:val="000000"/>
          <w:kern w:val="0"/>
          <w:sz w:val="24"/>
          <w:szCs w:val="24"/>
          <w:u w:val="single"/>
        </w:rPr>
        <w:t xml:space="preserve">  （采购人） </w:t>
      </w:r>
      <w:r>
        <w:rPr>
          <w:rFonts w:hint="eastAsia" w:ascii="Helvetica" w:hAnsi="Helvetica" w:cs="Helvetica"/>
          <w:color w:val="000000"/>
          <w:kern w:val="0"/>
          <w:sz w:val="24"/>
          <w:szCs w:val="24"/>
        </w:rPr>
        <w:t>（以下简称“甲方”）与</w:t>
      </w:r>
      <w:r>
        <w:rPr>
          <w:rFonts w:hint="eastAsia" w:ascii="Helvetica" w:hAnsi="Helvetica" w:cs="Helvetica"/>
          <w:color w:val="000000"/>
          <w:kern w:val="0"/>
          <w:sz w:val="24"/>
          <w:szCs w:val="24"/>
          <w:u w:val="single"/>
        </w:rPr>
        <w:t xml:space="preserve">  （中标人）   </w:t>
      </w:r>
      <w:r>
        <w:rPr>
          <w:rFonts w:hint="eastAsia" w:ascii="Helvetica" w:hAnsi="Helvetica" w:cs="Helvetica"/>
          <w:color w:val="000000"/>
          <w:kern w:val="0"/>
          <w:sz w:val="24"/>
          <w:szCs w:val="24"/>
        </w:rPr>
        <w:t>（以下简称“乙方”）签订。乙方以总金额</w:t>
      </w:r>
      <w:r>
        <w:rPr>
          <w:rFonts w:hint="eastAsia" w:ascii="Helvetica" w:hAnsi="Helvetica" w:cs="Helvetica"/>
          <w:color w:val="000000"/>
          <w:kern w:val="0"/>
          <w:sz w:val="24"/>
          <w:szCs w:val="24"/>
          <w:u w:val="single"/>
        </w:rPr>
        <w:t xml:space="preserve">         </w:t>
      </w:r>
      <w:r>
        <w:rPr>
          <w:rFonts w:hint="eastAsia" w:ascii="Helvetica" w:hAnsi="Helvetica" w:cs="Helvetica"/>
          <w:color w:val="000000"/>
          <w:kern w:val="0"/>
          <w:sz w:val="24"/>
          <w:szCs w:val="24"/>
        </w:rPr>
        <w:t>万元人民币（用大写数字书写）向甲方提供如下货物（工程或服务）：</w:t>
      </w:r>
    </w:p>
    <w:p>
      <w:pPr>
        <w:spacing w:before="78" w:beforeLines="25" w:line="360" w:lineRule="auto"/>
        <w:ind w:firstLine="492" w:firstLineChars="204"/>
        <w:contextualSpacing/>
        <w:rPr>
          <w:rFonts w:ascii="宋体" w:hAnsi="宋体" w:cs="Times New Roman"/>
          <w:b/>
          <w:color w:val="000000"/>
          <w:kern w:val="0"/>
          <w:sz w:val="24"/>
          <w:szCs w:val="20"/>
        </w:rPr>
      </w:pPr>
      <w:r>
        <w:rPr>
          <w:rFonts w:hint="eastAsia" w:ascii="Helvetica" w:hAnsi="Helvetica" w:cs="Helvetica"/>
          <w:b/>
          <w:color w:val="000000"/>
          <w:kern w:val="0"/>
          <w:sz w:val="24"/>
          <w:szCs w:val="24"/>
        </w:rPr>
        <w:t>经双方协商，同意按下列条文执行：</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本合同甲、乙双方应遵守国家颁布的《中华人民共和国合同法》、《中华人民共和国政府采购法》，并各自履行应负的全部责任和义务。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甲方保证按合同条款规定的时间和方式付给乙方到期应付的合同款，并承担应负的责任和义务。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乙方保证按合同条款规定的内容和工期（服务期限）向甲方提供合格的货物（工程或服务），并承担应负的责任和义务。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合同文件。下列文件为本合同不可分割的部分：</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招标文件（项目编号：</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中标的投标文件；</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合同书；</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合同条款；</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集中采购机构发出的中标通知书；</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附件；</w:t>
      </w:r>
    </w:p>
    <w:p>
      <w:pPr>
        <w:numPr>
          <w:ilvl w:val="0"/>
          <w:numId w:val="61"/>
        </w:numPr>
        <w:spacing w:before="78" w:beforeLines="25" w:line="360" w:lineRule="auto"/>
        <w:ind w:left="1358" w:hanging="724"/>
        <w:rPr>
          <w:rFonts w:ascii="宋体" w:hAnsi="宋体" w:cs="Times New Roman"/>
          <w:color w:val="000000"/>
          <w:sz w:val="24"/>
          <w:szCs w:val="20"/>
        </w:rPr>
      </w:pPr>
      <w:r>
        <w:rPr>
          <w:rFonts w:hint="eastAsia" w:ascii="宋体" w:hAnsi="宋体" w:cs="Times New Roman"/>
          <w:color w:val="000000"/>
          <w:kern w:val="0"/>
          <w:sz w:val="24"/>
          <w:szCs w:val="20"/>
        </w:rPr>
        <w:t>甲方</w:t>
      </w:r>
      <w:r>
        <w:rPr>
          <w:rFonts w:hint="eastAsia" w:ascii="宋体" w:hAnsi="宋体" w:cs="Times New Roman"/>
          <w:color w:val="000000"/>
          <w:sz w:val="24"/>
          <w:szCs w:val="20"/>
        </w:rPr>
        <w:t>在招标期间发布的所有补充通知；</w:t>
      </w:r>
    </w:p>
    <w:p>
      <w:pPr>
        <w:numPr>
          <w:ilvl w:val="0"/>
          <w:numId w:val="61"/>
        </w:numPr>
        <w:spacing w:before="78" w:beforeLines="25" w:line="360" w:lineRule="auto"/>
        <w:ind w:left="1358" w:hanging="724"/>
        <w:rPr>
          <w:rFonts w:ascii="宋体" w:hAnsi="宋体" w:cs="Times New Roman"/>
          <w:color w:val="000000"/>
          <w:kern w:val="0"/>
          <w:sz w:val="24"/>
          <w:szCs w:val="20"/>
        </w:rPr>
      </w:pPr>
      <w:r>
        <w:rPr>
          <w:rFonts w:hint="eastAsia" w:ascii="宋体" w:hAnsi="宋体" w:cs="Times New Roman"/>
          <w:color w:val="000000"/>
          <w:kern w:val="0"/>
          <w:sz w:val="24"/>
          <w:szCs w:val="20"/>
        </w:rPr>
        <w:t>乙方在投标期内补充的所有书面文件；</w:t>
      </w:r>
    </w:p>
    <w:p>
      <w:pPr>
        <w:numPr>
          <w:ilvl w:val="0"/>
          <w:numId w:val="61"/>
        </w:numPr>
        <w:spacing w:before="78" w:beforeLines="25" w:line="360" w:lineRule="auto"/>
        <w:ind w:left="1358" w:hanging="724"/>
        <w:rPr>
          <w:rFonts w:ascii="宋体" w:hAnsi="宋体" w:cs="Times New Roman"/>
          <w:color w:val="000000"/>
          <w:kern w:val="0"/>
          <w:sz w:val="24"/>
          <w:szCs w:val="20"/>
        </w:rPr>
      </w:pPr>
      <w:r>
        <w:rPr>
          <w:rFonts w:hint="eastAsia" w:ascii="宋体" w:hAnsi="宋体" w:cs="Times New Roman"/>
          <w:color w:val="000000"/>
          <w:kern w:val="0"/>
          <w:sz w:val="24"/>
          <w:szCs w:val="20"/>
        </w:rPr>
        <w:t>乙方在投标时随同投标文件一起递送的资料及附图；</w:t>
      </w:r>
    </w:p>
    <w:p>
      <w:pPr>
        <w:numPr>
          <w:ilvl w:val="0"/>
          <w:numId w:val="61"/>
        </w:numPr>
        <w:spacing w:before="78" w:beforeLines="25" w:line="360" w:lineRule="auto"/>
        <w:ind w:left="1358" w:hanging="724"/>
        <w:rPr>
          <w:rFonts w:ascii="宋体" w:hAnsi="宋体" w:cs="Times New Roman"/>
          <w:color w:val="000000"/>
          <w:kern w:val="0"/>
          <w:sz w:val="24"/>
          <w:szCs w:val="20"/>
        </w:rPr>
      </w:pPr>
      <w:r>
        <w:rPr>
          <w:rFonts w:hint="eastAsia" w:ascii="宋体" w:hAnsi="宋体" w:cs="Times New Roman"/>
          <w:color w:val="000000"/>
          <w:kern w:val="0"/>
          <w:sz w:val="24"/>
          <w:szCs w:val="20"/>
        </w:rPr>
        <w:t>在商洽本合同时，双方澄清、确认并共同签字的补充文件、技术协议。</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合同范围和条件。本合同的范围和条件应与上述规定的合同文件内容相一致。</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货物（工程或服务）及数量。本合同所提供的货物（工程或服务）及数量详见招标文件的要求及乙方投标文件中的承诺。</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付款条件。本合同的付款条件按招标文件规定执行。</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合同金额。合同总金额见合同书，分项价格在乙方的投标报价表中有明确规定。</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工期和交货（服务）地点。本合同中货物（工程或服务）的工期、交货（服务）地点在招标文件中有明确规定。</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合同生效。本合同经甲、乙双方授权代表签字和加盖公章（或合同专用章）后生效。如招标申请公证的，合同需经公证机构公证后生效。</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合同的份数。本合同正本一式</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份，甲方执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份，乙方执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份；副本一式</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份，甲方执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份，乙方执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甲　　方：</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乙　　方：</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单位名称（盖章）：</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单位名称（盖章）：</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单位地址：</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单位地址：</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法人代表授权人(签字)：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法人代表授权人(签字)：</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联 系 人：</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联 系 人：</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电　　话：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电　　话：</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传　　真：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传　　真：</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邮政编码：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邮政编码：</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开户银行：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开户银行：</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帐　　号：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帐　　号：</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税　　号：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税　　号：</w:t>
      </w:r>
    </w:p>
    <w:p>
      <w:pPr>
        <w:rPr>
          <w:color w:val="000000"/>
        </w:rPr>
      </w:pPr>
      <w:r>
        <w:rPr>
          <w:color w:val="000000"/>
        </w:rPr>
        <w:br w:type="page"/>
      </w:r>
    </w:p>
    <w:p>
      <w:pPr>
        <w:pStyle w:val="5"/>
        <w:numPr>
          <w:ilvl w:val="0"/>
          <w:numId w:val="5"/>
        </w:numPr>
        <w:spacing w:before="240" w:after="120"/>
        <w:ind w:left="883" w:hanging="883" w:hangingChars="200"/>
        <w:jc w:val="center"/>
        <w:rPr>
          <w:rFonts w:ascii="黑体" w:hAnsi="黑体" w:eastAsia="黑体"/>
          <w:color w:val="000000"/>
        </w:rPr>
      </w:pPr>
      <w:bookmarkStart w:id="108" w:name="_Toc511894521"/>
      <w:bookmarkStart w:id="109" w:name="_Toc30994"/>
      <w:bookmarkStart w:id="110" w:name="_Toc494665944"/>
      <w:bookmarkStart w:id="111" w:name="_Toc494665547"/>
      <w:bookmarkStart w:id="112" w:name="_Toc494745311"/>
      <w:bookmarkStart w:id="113" w:name="_Toc494702264"/>
      <w:bookmarkStart w:id="114" w:name="_Toc494664994"/>
      <w:bookmarkStart w:id="115" w:name="_Toc494721094"/>
      <w:r>
        <w:rPr>
          <w:rFonts w:hint="eastAsia" w:ascii="黑体" w:hAnsi="黑体" w:eastAsia="黑体"/>
          <w:color w:val="000000"/>
        </w:rPr>
        <w:t>投标文件格式（参考）</w:t>
      </w:r>
      <w:bookmarkEnd w:id="108"/>
      <w:bookmarkEnd w:id="109"/>
      <w:bookmarkEnd w:id="110"/>
      <w:bookmarkEnd w:id="111"/>
      <w:bookmarkEnd w:id="112"/>
      <w:bookmarkEnd w:id="113"/>
      <w:bookmarkEnd w:id="114"/>
      <w:bookmarkEnd w:id="115"/>
    </w:p>
    <w:p>
      <w:pPr>
        <w:spacing w:after="780" w:afterLines="250"/>
        <w:jc w:val="center"/>
        <w:rPr>
          <w:rFonts w:ascii="黑体" w:hAnsi="黑体" w:eastAsia="黑体"/>
          <w:b/>
          <w:color w:val="000000"/>
          <w:sz w:val="96"/>
          <w:szCs w:val="96"/>
        </w:rPr>
      </w:pP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16" w:name="_Toc511894522"/>
      <w:bookmarkStart w:id="117" w:name="_Toc494665548"/>
      <w:bookmarkStart w:id="118" w:name="_Toc494664995"/>
      <w:bookmarkStart w:id="119" w:name="_Toc494665945"/>
      <w:bookmarkStart w:id="120" w:name="_Toc494702265"/>
      <w:bookmarkStart w:id="121" w:name="_Toc7473"/>
      <w:bookmarkStart w:id="122" w:name="_Toc494721095"/>
      <w:bookmarkStart w:id="123" w:name="_Toc494745312"/>
      <w:r>
        <w:rPr>
          <w:rFonts w:hint="eastAsia" w:ascii="宋体" w:hAnsi="宋体" w:cs="Times New Roman"/>
          <w:b/>
          <w:color w:val="000000"/>
          <w:sz w:val="44"/>
          <w:szCs w:val="44"/>
        </w:rPr>
        <w:t>第一部分 资格证明文件</w:t>
      </w:r>
      <w:bookmarkEnd w:id="116"/>
      <w:bookmarkEnd w:id="117"/>
      <w:bookmarkEnd w:id="118"/>
      <w:bookmarkEnd w:id="119"/>
      <w:bookmarkEnd w:id="120"/>
      <w:bookmarkEnd w:id="121"/>
      <w:bookmarkEnd w:id="122"/>
      <w:bookmarkEnd w:id="123"/>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color w:val="000000"/>
        </w:rPr>
      </w:pPr>
      <w:r>
        <w:rPr>
          <w:color w:val="000000"/>
        </w:rPr>
        <w:br w:type="page"/>
      </w:r>
    </w:p>
    <w:p>
      <w:pPr>
        <w:spacing w:before="312" w:beforeLines="100" w:line="360" w:lineRule="auto"/>
        <w:jc w:val="left"/>
        <w:rPr>
          <w:rFonts w:ascii="宋体" w:hAnsi="宋体" w:cs="Times New Roman"/>
          <w:b/>
          <w:bCs/>
          <w:color w:val="000000"/>
          <w:sz w:val="30"/>
          <w:szCs w:val="30"/>
        </w:rPr>
      </w:pPr>
      <w:r>
        <w:rPr>
          <w:rFonts w:hint="eastAsia" w:ascii="宋体" w:hAnsi="宋体" w:cs="Times New Roman"/>
          <w:b/>
          <w:bCs/>
          <w:color w:val="000000"/>
          <w:sz w:val="30"/>
          <w:szCs w:val="30"/>
        </w:rPr>
        <w:t>格式（参考）说明：</w:t>
      </w:r>
    </w:p>
    <w:p>
      <w:pPr>
        <w:pStyle w:val="6"/>
        <w:spacing w:before="340" w:after="200" w:line="360" w:lineRule="auto"/>
        <w:jc w:val="center"/>
        <w:rPr>
          <w:rFonts w:ascii="黑体" w:hAnsi="黑体" w:eastAsia="黑体" w:cs="Times New Roman"/>
          <w:bCs w:val="0"/>
          <w:color w:val="000000"/>
          <w:sz w:val="36"/>
          <w:szCs w:val="36"/>
        </w:rPr>
      </w:pPr>
      <w:bookmarkStart w:id="124" w:name="_Toc494665946"/>
      <w:bookmarkStart w:id="125" w:name="_Toc494702266"/>
      <w:bookmarkStart w:id="126" w:name="_Toc494721096"/>
      <w:bookmarkStart w:id="127" w:name="_Toc511894523"/>
      <w:bookmarkStart w:id="128" w:name="_Toc494745313"/>
      <w:bookmarkStart w:id="129" w:name="_Toc27266"/>
      <w:bookmarkStart w:id="130" w:name="_Toc494664996"/>
      <w:bookmarkStart w:id="131" w:name="_Toc494665549"/>
      <w:r>
        <w:rPr>
          <w:rFonts w:hint="eastAsia" w:ascii="黑体" w:hAnsi="黑体" w:eastAsia="黑体" w:cs="Times New Roman"/>
          <w:bCs w:val="0"/>
          <w:color w:val="000000"/>
          <w:sz w:val="36"/>
          <w:szCs w:val="36"/>
        </w:rPr>
        <w:t>资格证明文件组成</w:t>
      </w:r>
      <w:bookmarkEnd w:id="124"/>
      <w:bookmarkEnd w:id="125"/>
      <w:bookmarkEnd w:id="126"/>
      <w:bookmarkEnd w:id="127"/>
      <w:bookmarkEnd w:id="128"/>
      <w:bookmarkEnd w:id="129"/>
      <w:bookmarkEnd w:id="130"/>
      <w:bookmarkEnd w:id="131"/>
    </w:p>
    <w:p>
      <w:pPr>
        <w:autoSpaceDE w:val="0"/>
        <w:autoSpaceDN w:val="0"/>
        <w:adjustRightInd w:val="0"/>
        <w:spacing w:before="156" w:beforeLines="50" w:after="156" w:afterLines="50"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由各投标人根据参考格式要求自行编写。目录清晰、内容详尽、易于理解和审查。具体内容应包括但不限于以下内容：</w:t>
      </w:r>
    </w:p>
    <w:p>
      <w:pPr>
        <w:numPr>
          <w:ilvl w:val="0"/>
          <w:numId w:val="62"/>
        </w:numPr>
        <w:autoSpaceDE w:val="0"/>
        <w:autoSpaceDN w:val="0"/>
        <w:adjustRightInd w:val="0"/>
        <w:spacing w:line="360" w:lineRule="auto"/>
        <w:ind w:left="490" w:hanging="370"/>
        <w:rPr>
          <w:rFonts w:ascii="宋体" w:hAnsi="宋体" w:cs="Times New Roman"/>
          <w:color w:val="000000"/>
          <w:kern w:val="0"/>
          <w:sz w:val="24"/>
          <w:szCs w:val="32"/>
        </w:rPr>
      </w:pPr>
      <w:r>
        <w:rPr>
          <w:rFonts w:hint="eastAsia" w:ascii="宋体" w:hAnsi="宋体" w:cs="Times New Roman"/>
          <w:color w:val="000000"/>
          <w:kern w:val="0"/>
          <w:sz w:val="24"/>
          <w:szCs w:val="32"/>
        </w:rPr>
        <w:t>资格证明文件目录</w:t>
      </w:r>
      <w:r>
        <w:rPr>
          <w:rFonts w:hint="eastAsia" w:ascii="宋体" w:hAnsi="宋体" w:cs="Times New Roman"/>
          <w:b/>
          <w:color w:val="000000"/>
          <w:kern w:val="0"/>
          <w:sz w:val="24"/>
          <w:szCs w:val="32"/>
        </w:rPr>
        <w:t>（目录应涵盖下述所有资料，页码清晰以便查阅）</w:t>
      </w:r>
      <w:r>
        <w:rPr>
          <w:rFonts w:hint="eastAsia" w:ascii="宋体" w:hAnsi="宋体" w:cs="Times New Roman"/>
          <w:color w:val="000000"/>
          <w:kern w:val="0"/>
          <w:sz w:val="24"/>
          <w:szCs w:val="32"/>
        </w:rPr>
        <w:t>；</w:t>
      </w:r>
    </w:p>
    <w:p>
      <w:pPr>
        <w:numPr>
          <w:ilvl w:val="0"/>
          <w:numId w:val="62"/>
        </w:numPr>
        <w:autoSpaceDE w:val="0"/>
        <w:autoSpaceDN w:val="0"/>
        <w:adjustRightInd w:val="0"/>
        <w:spacing w:line="360" w:lineRule="auto"/>
        <w:ind w:left="490" w:hanging="370"/>
        <w:rPr>
          <w:rFonts w:ascii="宋体" w:hAnsi="宋体" w:cs="Times New Roman"/>
          <w:b/>
          <w:color w:val="000000"/>
          <w:kern w:val="0"/>
          <w:sz w:val="24"/>
          <w:szCs w:val="32"/>
        </w:rPr>
      </w:pPr>
      <w:r>
        <w:rPr>
          <w:rFonts w:hint="eastAsia" w:ascii="宋体" w:hAnsi="宋体"/>
          <w:color w:val="000000"/>
          <w:kern w:val="0"/>
          <w:sz w:val="24"/>
          <w:szCs w:val="32"/>
        </w:rPr>
        <w:t>应具备《政府采购法》第二十二条第一款规定的条件，提供下列材料；</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法人或者其他组织的营业执照等证明文件，自然人的身份证明</w:t>
      </w:r>
      <w:r>
        <w:rPr>
          <w:rFonts w:hint="eastAsia" w:ascii="宋体" w:hAnsi="宋体"/>
          <w:color w:val="000000"/>
          <w:sz w:val="24"/>
          <w:szCs w:val="24"/>
        </w:rPr>
        <w:t>（投标人根据自身情况提供对应的证明材料）</w:t>
      </w:r>
      <w:r>
        <w:rPr>
          <w:rFonts w:hint="eastAsia" w:ascii="宋体" w:hAnsi="宋体" w:cs="Times New Roman"/>
          <w:color w:val="000000"/>
          <w:kern w:val="0"/>
          <w:sz w:val="24"/>
          <w:szCs w:val="32"/>
        </w:rPr>
        <w:t>：</w:t>
      </w:r>
    </w:p>
    <w:p>
      <w:pPr>
        <w:numPr>
          <w:ilvl w:val="0"/>
          <w:numId w:val="64"/>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法人</w:t>
      </w:r>
    </w:p>
    <w:p>
      <w:pPr>
        <w:pStyle w:val="44"/>
        <w:numPr>
          <w:ilvl w:val="0"/>
          <w:numId w:val="65"/>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企业法人（包括合伙企业）：</w:t>
      </w:r>
      <w:r>
        <w:rPr>
          <w:rFonts w:hint="eastAsia" w:ascii="宋体" w:hAnsi="宋体"/>
          <w:color w:val="000000"/>
          <w:sz w:val="24"/>
          <w:szCs w:val="24"/>
        </w:rPr>
        <w:t>提供工商部门注册的有效“企业法人营业执照”或“营业执照”；</w:t>
      </w:r>
    </w:p>
    <w:p>
      <w:pPr>
        <w:pStyle w:val="44"/>
        <w:numPr>
          <w:ilvl w:val="0"/>
          <w:numId w:val="65"/>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事业单位法人：</w:t>
      </w:r>
      <w:r>
        <w:rPr>
          <w:rFonts w:hint="eastAsia" w:ascii="宋体" w:hAnsi="宋体"/>
          <w:color w:val="000000"/>
          <w:sz w:val="24"/>
          <w:szCs w:val="24"/>
        </w:rPr>
        <w:t>提供有效的“事业单位法人证书”。</w:t>
      </w:r>
    </w:p>
    <w:p>
      <w:pPr>
        <w:numPr>
          <w:ilvl w:val="0"/>
          <w:numId w:val="64"/>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其他组织</w:t>
      </w:r>
    </w:p>
    <w:p>
      <w:pPr>
        <w:pStyle w:val="44"/>
        <w:numPr>
          <w:ilvl w:val="0"/>
          <w:numId w:val="66"/>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非企业专业服务机构：</w:t>
      </w:r>
      <w:r>
        <w:rPr>
          <w:rFonts w:hint="eastAsia" w:ascii="宋体" w:hAnsi="宋体"/>
          <w:color w:val="000000"/>
          <w:sz w:val="24"/>
          <w:szCs w:val="24"/>
        </w:rPr>
        <w:t>提供执业许可证等证明文件；</w:t>
      </w:r>
    </w:p>
    <w:p>
      <w:pPr>
        <w:pStyle w:val="44"/>
        <w:numPr>
          <w:ilvl w:val="0"/>
          <w:numId w:val="66"/>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个体工商户：</w:t>
      </w:r>
      <w:r>
        <w:rPr>
          <w:rFonts w:hint="eastAsia" w:ascii="宋体" w:hAnsi="宋体"/>
          <w:color w:val="000000"/>
          <w:sz w:val="24"/>
          <w:szCs w:val="24"/>
        </w:rPr>
        <w:t>提供有效的“个体工商户营业执照”。</w:t>
      </w:r>
    </w:p>
    <w:p>
      <w:pPr>
        <w:numPr>
          <w:ilvl w:val="0"/>
          <w:numId w:val="64"/>
        </w:numPr>
        <w:spacing w:line="360" w:lineRule="auto"/>
        <w:ind w:left="986" w:hanging="720"/>
        <w:rPr>
          <w:rFonts w:ascii="宋体" w:hAnsi="宋体" w:cs="Times New Roman"/>
          <w:color w:val="000000"/>
          <w:sz w:val="24"/>
          <w:szCs w:val="20"/>
        </w:rPr>
      </w:pPr>
      <w:r>
        <w:rPr>
          <w:rFonts w:hint="eastAsia" w:ascii="仿宋" w:hAnsi="仿宋" w:eastAsia="仿宋" w:cs="Times New Roman"/>
          <w:b/>
          <w:color w:val="000000"/>
          <w:sz w:val="24"/>
          <w:szCs w:val="20"/>
        </w:rPr>
        <w:t>自然人：</w:t>
      </w:r>
      <w:r>
        <w:rPr>
          <w:rFonts w:hint="eastAsia" w:ascii="宋体" w:hAnsi="宋体" w:cs="Times New Roman"/>
          <w:color w:val="000000"/>
          <w:sz w:val="24"/>
          <w:szCs w:val="20"/>
        </w:rPr>
        <w:t>提供有效的自然人身份证明。（仅限中国公民）</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财务状况报告，依法缴纳税收和社会保障资金的相关材料</w:t>
      </w:r>
      <w:r>
        <w:rPr>
          <w:rFonts w:hint="eastAsia" w:ascii="宋体" w:hAnsi="宋体"/>
          <w:color w:val="000000"/>
          <w:sz w:val="24"/>
          <w:szCs w:val="24"/>
        </w:rPr>
        <w:t>（投标人根据自身情况提供对应的证明材料）</w:t>
      </w:r>
      <w:r>
        <w:rPr>
          <w:rFonts w:hint="eastAsia" w:ascii="宋体" w:hAnsi="宋体" w:cs="Times New Roman"/>
          <w:color w:val="000000"/>
          <w:kern w:val="0"/>
          <w:sz w:val="24"/>
          <w:szCs w:val="32"/>
        </w:rPr>
        <w:t>；</w:t>
      </w:r>
      <w:r>
        <w:rPr>
          <w:rFonts w:ascii="宋体" w:hAnsi="宋体" w:cs="Times New Roman"/>
          <w:color w:val="000000"/>
          <w:kern w:val="0"/>
          <w:sz w:val="24"/>
          <w:szCs w:val="32"/>
        </w:rPr>
        <w:t xml:space="preserve"> </w:t>
      </w:r>
    </w:p>
    <w:p>
      <w:pPr>
        <w:numPr>
          <w:ilvl w:val="0"/>
          <w:numId w:val="67"/>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财务状况报告</w:t>
      </w:r>
    </w:p>
    <w:p>
      <w:pPr>
        <w:pStyle w:val="44"/>
        <w:numPr>
          <w:ilvl w:val="0"/>
          <w:numId w:val="68"/>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法人：</w:t>
      </w:r>
      <w:r>
        <w:rPr>
          <w:rFonts w:hint="eastAsia" w:ascii="宋体" w:hAnsi="宋体"/>
          <w:color w:val="000000"/>
          <w:sz w:val="24"/>
          <w:szCs w:val="24"/>
        </w:rPr>
        <w:t>提供经第三方审计的财务报告（完整的财务报告，包括“四表一注”，即资产负债表、利润表、现金流量表、所有者权益变动表及其附注），或其基本开户银行出具的资信证明；</w:t>
      </w:r>
    </w:p>
    <w:p>
      <w:pPr>
        <w:pStyle w:val="44"/>
        <w:numPr>
          <w:ilvl w:val="0"/>
          <w:numId w:val="68"/>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部分其他组织和自然人：</w:t>
      </w:r>
      <w:r>
        <w:rPr>
          <w:rFonts w:hint="eastAsia" w:ascii="宋体" w:hAnsi="宋体"/>
          <w:color w:val="000000"/>
          <w:sz w:val="24"/>
          <w:szCs w:val="24"/>
        </w:rPr>
        <w:t>没有经第三方审计的财务报告的，可以提供银行出具的资信证明；</w:t>
      </w:r>
    </w:p>
    <w:p>
      <w:pPr>
        <w:pStyle w:val="44"/>
        <w:numPr>
          <w:ilvl w:val="0"/>
          <w:numId w:val="68"/>
        </w:numPr>
        <w:spacing w:line="360" w:lineRule="auto"/>
        <w:ind w:left="902" w:hanging="482" w:firstLineChars="0"/>
        <w:rPr>
          <w:rFonts w:ascii="宋体" w:hAnsi="宋体"/>
          <w:color w:val="000000"/>
          <w:sz w:val="24"/>
          <w:szCs w:val="24"/>
        </w:rPr>
      </w:pPr>
      <w:r>
        <w:rPr>
          <w:rFonts w:hint="eastAsia" w:ascii="宋体" w:hAnsi="宋体"/>
          <w:color w:val="000000"/>
          <w:sz w:val="24"/>
          <w:szCs w:val="24"/>
        </w:rPr>
        <w:t>投标人没有经第三方审计的财务报告和资信证明时，也可以提供财政部门认可的政府采购专业担保机构出具的投标担保函。</w:t>
      </w:r>
    </w:p>
    <w:p>
      <w:pPr>
        <w:numPr>
          <w:ilvl w:val="0"/>
          <w:numId w:val="67"/>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依法缴纳税收和社会保障资金的证明材料</w:t>
      </w:r>
    </w:p>
    <w:p>
      <w:pPr>
        <w:pStyle w:val="44"/>
        <w:numPr>
          <w:ilvl w:val="0"/>
          <w:numId w:val="69"/>
        </w:numPr>
        <w:spacing w:line="360" w:lineRule="auto"/>
        <w:ind w:left="902" w:hanging="482" w:firstLineChars="0"/>
        <w:rPr>
          <w:rFonts w:ascii="宋体" w:hAnsi="宋体"/>
          <w:color w:val="000000"/>
          <w:sz w:val="24"/>
          <w:szCs w:val="24"/>
        </w:rPr>
      </w:pPr>
      <w:r>
        <w:rPr>
          <w:rFonts w:hint="eastAsia" w:ascii="宋体" w:hAnsi="宋体"/>
          <w:color w:val="000000"/>
          <w:sz w:val="24"/>
          <w:szCs w:val="24"/>
        </w:rPr>
        <w:t>法人</w:t>
      </w:r>
    </w:p>
    <w:p>
      <w:pPr>
        <w:pStyle w:val="44"/>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税务登记证（国税、地税或多证合一）；</w:t>
      </w:r>
    </w:p>
    <w:p>
      <w:pPr>
        <w:pStyle w:val="44"/>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参加政府采购活动前一段时间内缴纳增值税、营业税和企业所得税的凭据；</w:t>
      </w:r>
    </w:p>
    <w:p>
      <w:pPr>
        <w:pStyle w:val="44"/>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社会保险登记证（或多证合一）；</w:t>
      </w:r>
    </w:p>
    <w:p>
      <w:pPr>
        <w:pStyle w:val="44"/>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4"/>
        <w:numPr>
          <w:ilvl w:val="0"/>
          <w:numId w:val="69"/>
        </w:numPr>
        <w:spacing w:line="360" w:lineRule="auto"/>
        <w:ind w:left="902" w:hanging="482" w:firstLineChars="0"/>
        <w:rPr>
          <w:rFonts w:ascii="宋体" w:hAnsi="宋体"/>
          <w:color w:val="000000"/>
          <w:sz w:val="24"/>
          <w:szCs w:val="24"/>
        </w:rPr>
      </w:pPr>
      <w:r>
        <w:rPr>
          <w:rFonts w:hint="eastAsia" w:ascii="宋体" w:hAnsi="宋体"/>
          <w:color w:val="000000"/>
          <w:sz w:val="24"/>
          <w:szCs w:val="24"/>
        </w:rPr>
        <w:t>其他组织和自然人</w:t>
      </w:r>
    </w:p>
    <w:p>
      <w:pPr>
        <w:pStyle w:val="44"/>
        <w:numPr>
          <w:ilvl w:val="0"/>
          <w:numId w:val="70"/>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参加政府采购活动前一段时间内缴纳税收的凭据；</w:t>
      </w:r>
    </w:p>
    <w:p>
      <w:pPr>
        <w:pStyle w:val="44"/>
        <w:numPr>
          <w:ilvl w:val="0"/>
          <w:numId w:val="70"/>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4"/>
        <w:numPr>
          <w:ilvl w:val="0"/>
          <w:numId w:val="69"/>
        </w:numPr>
        <w:spacing w:line="360" w:lineRule="auto"/>
        <w:ind w:left="902" w:hanging="482" w:firstLineChars="0"/>
        <w:rPr>
          <w:rFonts w:ascii="宋体" w:hAnsi="宋体"/>
          <w:color w:val="000000"/>
          <w:sz w:val="24"/>
          <w:szCs w:val="24"/>
        </w:rPr>
      </w:pPr>
      <w:r>
        <w:rPr>
          <w:rFonts w:hint="eastAsia" w:ascii="宋体" w:hAnsi="宋体"/>
          <w:color w:val="000000"/>
          <w:sz w:val="24"/>
          <w:szCs w:val="24"/>
        </w:rPr>
        <w:t>依法免税或不需要缴纳社会保险资金的投标人</w:t>
      </w:r>
    </w:p>
    <w:p>
      <w:pPr>
        <w:pStyle w:val="44"/>
        <w:spacing w:line="360" w:lineRule="auto"/>
        <w:ind w:left="902" w:firstLine="0" w:firstLineChars="0"/>
        <w:rPr>
          <w:rFonts w:ascii="宋体" w:hAnsi="宋体"/>
          <w:color w:val="000000"/>
          <w:sz w:val="24"/>
          <w:szCs w:val="24"/>
        </w:rPr>
      </w:pPr>
      <w:r>
        <w:rPr>
          <w:rFonts w:hint="eastAsia" w:ascii="宋体" w:hAnsi="宋体"/>
          <w:color w:val="000000"/>
          <w:sz w:val="24"/>
          <w:szCs w:val="24"/>
        </w:rPr>
        <w:t>提供其依法免税或不需要缴纳社会保险资金的相关证明文件。</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具备履行合同所必需的设备和专业技术能力的证明材料：</w:t>
      </w:r>
    </w:p>
    <w:p>
      <w:pPr>
        <w:numPr>
          <w:ilvl w:val="0"/>
          <w:numId w:val="71"/>
        </w:numPr>
        <w:spacing w:line="360" w:lineRule="auto"/>
        <w:ind w:left="986" w:hanging="720"/>
        <w:rPr>
          <w:rFonts w:ascii="宋体" w:hAnsi="宋体" w:cs="Times New Roman"/>
          <w:color w:val="000000"/>
          <w:sz w:val="24"/>
          <w:szCs w:val="20"/>
        </w:rPr>
      </w:pPr>
      <w:r>
        <w:rPr>
          <w:rFonts w:hint="eastAsia" w:ascii="宋体" w:hAnsi="宋体" w:cs="Times New Roman"/>
          <w:color w:val="000000"/>
          <w:sz w:val="24"/>
          <w:szCs w:val="20"/>
        </w:rPr>
        <w:t>提供具备足够数量的设施设备的证明材料；</w:t>
      </w:r>
    </w:p>
    <w:p>
      <w:pPr>
        <w:numPr>
          <w:ilvl w:val="0"/>
          <w:numId w:val="71"/>
        </w:numPr>
        <w:spacing w:line="360" w:lineRule="auto"/>
        <w:ind w:left="986" w:hanging="720"/>
        <w:rPr>
          <w:rFonts w:ascii="宋体" w:hAnsi="宋体" w:cs="Times New Roman"/>
          <w:color w:val="000000"/>
          <w:sz w:val="24"/>
          <w:szCs w:val="20"/>
        </w:rPr>
      </w:pPr>
      <w:r>
        <w:rPr>
          <w:rFonts w:hint="eastAsia" w:ascii="宋体" w:hAnsi="宋体" w:cs="Times New Roman"/>
          <w:color w:val="000000"/>
          <w:sz w:val="24"/>
          <w:szCs w:val="20"/>
        </w:rPr>
        <w:t>提供具备足够数量的技术人员的证明材料。</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参加政府采购活动前3年内在经营活动中没有重大违法记录的书面声明：</w:t>
      </w:r>
    </w:p>
    <w:p>
      <w:pPr>
        <w:numPr>
          <w:ilvl w:val="0"/>
          <w:numId w:val="72"/>
        </w:numPr>
        <w:spacing w:line="360" w:lineRule="auto"/>
        <w:ind w:left="986" w:hanging="720"/>
        <w:rPr>
          <w:rFonts w:ascii="仿宋" w:hAnsi="仿宋" w:eastAsia="仿宋" w:cs="Times New Roman"/>
          <w:color w:val="000000"/>
          <w:sz w:val="24"/>
          <w:szCs w:val="20"/>
        </w:rPr>
      </w:pPr>
      <w:r>
        <w:rPr>
          <w:rFonts w:hint="eastAsia" w:ascii="宋体" w:hAnsi="宋体" w:cs="Times New Roman"/>
          <w:color w:val="000000"/>
          <w:sz w:val="24"/>
          <w:szCs w:val="20"/>
        </w:rPr>
        <w:t>应严格按照附件格式提交“参加政府采购活动前三年内在经营活动中没有重大违法记录的书面声明函”；</w:t>
      </w:r>
    </w:p>
    <w:p>
      <w:pPr>
        <w:numPr>
          <w:ilvl w:val="0"/>
          <w:numId w:val="72"/>
        </w:numPr>
        <w:spacing w:line="360" w:lineRule="auto"/>
        <w:ind w:left="986" w:hanging="720"/>
        <w:rPr>
          <w:rFonts w:ascii="仿宋" w:hAnsi="仿宋" w:eastAsia="仿宋"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72"/>
        </w:numPr>
        <w:spacing w:line="360" w:lineRule="auto"/>
        <w:ind w:left="986" w:hanging="720"/>
        <w:rPr>
          <w:rFonts w:ascii="仿宋" w:hAnsi="仿宋" w:eastAsia="仿宋"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具备法律、行政法规规定的其他条件的证明材料：</w:t>
      </w:r>
    </w:p>
    <w:p>
      <w:pPr>
        <w:numPr>
          <w:ilvl w:val="0"/>
          <w:numId w:val="73"/>
        </w:numPr>
        <w:spacing w:line="360" w:lineRule="auto"/>
        <w:ind w:left="986" w:hanging="720"/>
        <w:rPr>
          <w:rFonts w:ascii="宋体" w:hAnsi="宋体" w:cs="Times New Roman"/>
          <w:color w:val="000000"/>
          <w:sz w:val="24"/>
          <w:szCs w:val="20"/>
        </w:rPr>
      </w:pPr>
      <w:r>
        <w:rPr>
          <w:rFonts w:hint="eastAsia" w:ascii="宋体" w:hAnsi="宋体" w:cs="Times New Roman"/>
          <w:color w:val="000000"/>
          <w:sz w:val="24"/>
          <w:szCs w:val="20"/>
        </w:rPr>
        <w:t>国家对生产和销售相关产品或提供相关服务有专门法律、行政法规规定的，则必须提供取得国家有关主管部门行政许可的证明材料。</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未被“信用中国”网站(www.creditchina.gov.cn)</w:t>
      </w:r>
      <w:r>
        <w:rPr>
          <w:rFonts w:hint="eastAsia" w:ascii="宋体" w:hAnsi="宋体" w:cs="Times New Roman"/>
          <w:b/>
          <w:color w:val="000000"/>
          <w:sz w:val="24"/>
          <w:szCs w:val="24"/>
        </w:rPr>
        <w:t xml:space="preserve"> </w:t>
      </w:r>
      <w:r>
        <w:rPr>
          <w:rFonts w:hint="eastAsia" w:ascii="宋体" w:hAnsi="宋体" w:cs="Courier New"/>
          <w:color w:val="000000"/>
          <w:sz w:val="24"/>
          <w:szCs w:val="24"/>
        </w:rPr>
        <w:t>、“中国政府采购网”(www.ccgp.gov.cn)列入失信被执行人、重大税收违法案件当事人名单、政府采购严重违法失信行为记录名单的书面申明及该网站查询结果页面截图；</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招标文件第一章“投标人资格要求”中有特殊要求的，投标人应提供其符合特殊要求的证明材料或者情况说明；</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不符合联合体投标相关规定和要求的（适用于接受联合体投标的项目）；</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投标人认为需提供的其它相关资格证明材料。</w:t>
      </w:r>
    </w:p>
    <w:p>
      <w:pPr>
        <w:autoSpaceDE w:val="0"/>
        <w:autoSpaceDN w:val="0"/>
        <w:adjustRightInd w:val="0"/>
        <w:spacing w:line="400" w:lineRule="exact"/>
        <w:ind w:left="490"/>
        <w:rPr>
          <w:rFonts w:hAnsi="宋体" w:cs="Times New Roman"/>
          <w:color w:val="000000"/>
          <w:sz w:val="24"/>
          <w:szCs w:val="24"/>
        </w:rPr>
      </w:pPr>
    </w:p>
    <w:p>
      <w:pPr>
        <w:spacing w:line="360" w:lineRule="auto"/>
        <w:rPr>
          <w:rFonts w:ascii="宋体" w:hAnsi="宋体" w:cs="Times New Roman"/>
          <w:b/>
          <w:color w:val="000000"/>
          <w:sz w:val="24"/>
          <w:szCs w:val="24"/>
        </w:rPr>
      </w:pPr>
      <w:r>
        <w:rPr>
          <w:rFonts w:hint="eastAsia" w:ascii="宋体" w:hAnsi="宋体" w:cs="Times New Roman"/>
          <w:b/>
          <w:color w:val="000000"/>
          <w:kern w:val="0"/>
          <w:sz w:val="24"/>
          <w:szCs w:val="32"/>
        </w:rPr>
        <w:t>说明</w:t>
      </w:r>
      <w:r>
        <w:rPr>
          <w:rFonts w:hint="eastAsia" w:ascii="宋体" w:hAnsi="宋体" w:cs="Times New Roman"/>
          <w:b/>
          <w:color w:val="000000"/>
          <w:sz w:val="24"/>
          <w:szCs w:val="24"/>
        </w:rPr>
        <w:t>：</w:t>
      </w:r>
      <w:r>
        <w:rPr>
          <w:rFonts w:hint="eastAsia" w:ascii="宋体" w:hAnsi="宋体" w:cs="Times New Roman"/>
          <w:color w:val="000000"/>
          <w:sz w:val="24"/>
          <w:szCs w:val="24"/>
        </w:rPr>
        <w:t>1、以上材料提供不实的，按照《政府采购法》有关提供虚假材料的规定给予处罚；</w:t>
      </w:r>
    </w:p>
    <w:p>
      <w:pPr>
        <w:autoSpaceDE w:val="0"/>
        <w:autoSpaceDN w:val="0"/>
        <w:adjustRightInd w:val="0"/>
        <w:spacing w:line="360" w:lineRule="auto"/>
        <w:ind w:left="734" w:leftChars="346" w:hanging="7" w:hangingChars="3"/>
        <w:rPr>
          <w:rFonts w:ascii="宋体" w:hAnsi="宋体" w:cs="Times New Roman"/>
          <w:b/>
          <w:color w:val="000000"/>
          <w:sz w:val="24"/>
          <w:szCs w:val="24"/>
        </w:rPr>
      </w:pPr>
      <w:r>
        <w:rPr>
          <w:rFonts w:hint="eastAsia" w:ascii="宋体" w:hAnsi="宋体" w:cs="Times New Roman"/>
          <w:color w:val="000000"/>
          <w:sz w:val="24"/>
          <w:szCs w:val="24"/>
        </w:rPr>
        <w:t>2、资格证明文件正本应为清晰</w:t>
      </w:r>
      <w:r>
        <w:rPr>
          <w:rFonts w:hint="eastAsia" w:ascii="宋体" w:hAnsi="宋体" w:cs="Times New Roman"/>
          <w:b/>
          <w:color w:val="000000"/>
          <w:sz w:val="24"/>
          <w:szCs w:val="24"/>
        </w:rPr>
        <w:t>彩色</w:t>
      </w:r>
      <w:r>
        <w:rPr>
          <w:rFonts w:hint="eastAsia" w:ascii="宋体" w:hAnsi="宋体" w:cs="Times New Roman"/>
          <w:color w:val="000000"/>
          <w:sz w:val="24"/>
          <w:szCs w:val="24"/>
        </w:rPr>
        <w:t>影印件且加盖单位公章，否则</w:t>
      </w:r>
      <w:r>
        <w:rPr>
          <w:rFonts w:hint="eastAsia" w:ascii="Helvetica" w:hAnsi="Helvetica" w:cs="Helvetica"/>
          <w:color w:val="000000"/>
          <w:kern w:val="0"/>
          <w:sz w:val="24"/>
          <w:szCs w:val="24"/>
        </w:rPr>
        <w:t>按照</w:t>
      </w:r>
      <w:r>
        <w:rPr>
          <w:rFonts w:hint="eastAsia" w:ascii="Helvetica" w:hAnsi="Helvetica" w:cs="Helvetica"/>
          <w:b/>
          <w:color w:val="000000"/>
          <w:kern w:val="0"/>
          <w:sz w:val="24"/>
          <w:szCs w:val="24"/>
        </w:rPr>
        <w:t>无效投标处理</w:t>
      </w:r>
      <w:r>
        <w:rPr>
          <w:rFonts w:hint="eastAsia" w:ascii="宋体" w:hAnsi="宋体" w:cs="Times New Roman"/>
          <w:b/>
          <w:color w:val="000000"/>
          <w:sz w:val="24"/>
          <w:szCs w:val="24"/>
        </w:rPr>
        <w:t>。</w:t>
      </w:r>
    </w:p>
    <w:p>
      <w:pPr>
        <w:autoSpaceDE w:val="0"/>
        <w:autoSpaceDN w:val="0"/>
        <w:adjustRightInd w:val="0"/>
        <w:spacing w:line="360" w:lineRule="auto"/>
        <w:ind w:left="740" w:hanging="740" w:hangingChars="307"/>
        <w:rPr>
          <w:rFonts w:ascii="宋体" w:hAnsi="宋体" w:cs="Times New Roman"/>
          <w:b/>
          <w:color w:val="000000"/>
          <w:sz w:val="24"/>
          <w:szCs w:val="24"/>
        </w:rPr>
      </w:pPr>
      <w:r>
        <w:rPr>
          <w:rFonts w:ascii="宋体" w:hAnsi="宋体" w:cs="Times New Roman"/>
          <w:b/>
          <w:color w:val="000000"/>
          <w:sz w:val="24"/>
          <w:szCs w:val="24"/>
        </w:rPr>
        <w:br w:type="page"/>
      </w:r>
    </w:p>
    <w:p>
      <w:pPr>
        <w:pStyle w:val="6"/>
        <w:spacing w:before="340" w:after="360" w:line="360" w:lineRule="auto"/>
        <w:jc w:val="left"/>
        <w:rPr>
          <w:rFonts w:ascii="黑体" w:hAnsi="黑体" w:eastAsia="黑体" w:cs="Times New Roman"/>
          <w:bCs w:val="0"/>
          <w:color w:val="000000"/>
          <w:sz w:val="36"/>
          <w:szCs w:val="36"/>
        </w:rPr>
      </w:pPr>
      <w:bookmarkStart w:id="132" w:name="_Toc20153"/>
      <w:r>
        <w:rPr>
          <w:rFonts w:hint="eastAsia" w:ascii="黑体" w:hAnsi="黑体" w:eastAsia="黑体" w:cs="Times New Roman"/>
          <w:bCs w:val="0"/>
          <w:color w:val="000000"/>
          <w:sz w:val="36"/>
          <w:szCs w:val="36"/>
        </w:rPr>
        <w:t>附：无重大违法记录声明函格式</w:t>
      </w:r>
      <w:bookmarkEnd w:id="132"/>
    </w:p>
    <w:p>
      <w:pPr>
        <w:jc w:val="center"/>
        <w:rPr>
          <w:rFonts w:ascii="宋体" w:hAnsi="宋体"/>
          <w:b/>
          <w:color w:val="000000"/>
          <w:sz w:val="30"/>
          <w:szCs w:val="30"/>
        </w:rPr>
      </w:pPr>
      <w:r>
        <w:rPr>
          <w:rFonts w:hint="eastAsia" w:ascii="宋体" w:hAnsi="宋体"/>
          <w:b/>
          <w:color w:val="000000"/>
          <w:sz w:val="28"/>
          <w:szCs w:val="30"/>
        </w:rPr>
        <w:t>参加政府采购活动前三年内在经营活动中没有重大违法记录的书面声明函</w:t>
      </w:r>
    </w:p>
    <w:p>
      <w:pPr>
        <w:spacing w:line="360" w:lineRule="auto"/>
        <w:rPr>
          <w:rFonts w:ascii="宋体" w:hAnsi="宋体" w:cs="Times New Roman"/>
          <w:b/>
          <w:color w:val="000000"/>
          <w:sz w:val="28"/>
          <w:szCs w:val="28"/>
        </w:rPr>
      </w:pP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XXXXXX：</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u w:val="single"/>
        </w:rPr>
        <w:t xml:space="preserve">   (投标人全称)  </w:t>
      </w:r>
      <w:r>
        <w:rPr>
          <w:rFonts w:hint="eastAsia" w:ascii="宋体" w:hAnsi="宋体"/>
          <w:bCs/>
          <w:color w:val="000000"/>
          <w:sz w:val="24"/>
          <w:szCs w:val="24"/>
        </w:rPr>
        <w:t>参加贵中心组织的</w:t>
      </w:r>
      <w:r>
        <w:rPr>
          <w:rFonts w:hint="eastAsia" w:ascii="宋体" w:hAnsi="宋体"/>
          <w:bCs/>
          <w:color w:val="000000"/>
          <w:sz w:val="24"/>
          <w:szCs w:val="24"/>
          <w:u w:val="single"/>
        </w:rPr>
        <w:t xml:space="preserve"> </w:t>
      </w:r>
      <w:r>
        <w:rPr>
          <w:rFonts w:hint="eastAsia" w:ascii="宋体" w:hAnsi="宋体" w:cs="Times New Roman"/>
          <w:color w:val="000000"/>
          <w:sz w:val="24"/>
          <w:szCs w:val="24"/>
          <w:u w:val="single"/>
        </w:rPr>
        <w:t>（项目名称）</w:t>
      </w:r>
      <w:r>
        <w:rPr>
          <w:rFonts w:hint="eastAsia" w:ascii="宋体" w:hAnsi="宋体"/>
          <w:bCs/>
          <w:color w:val="000000"/>
          <w:sz w:val="24"/>
          <w:szCs w:val="24"/>
          <w:u w:val="single"/>
        </w:rPr>
        <w:t xml:space="preserve"> </w:t>
      </w:r>
      <w:r>
        <w:rPr>
          <w:rFonts w:hint="eastAsia" w:ascii="宋体" w:hAnsi="宋体"/>
          <w:bCs/>
          <w:color w:val="000000"/>
          <w:sz w:val="24"/>
          <w:szCs w:val="24"/>
        </w:rPr>
        <w:t>项目(项目编号：</w:t>
      </w:r>
      <w:r>
        <w:rPr>
          <w:rFonts w:hint="eastAsia" w:ascii="宋体" w:hAnsi="宋体"/>
          <w:bCs/>
          <w:color w:val="000000"/>
          <w:sz w:val="24"/>
          <w:szCs w:val="24"/>
          <w:u w:val="single"/>
        </w:rPr>
        <w:t xml:space="preserve">          </w:t>
      </w:r>
      <w:r>
        <w:rPr>
          <w:rFonts w:hint="eastAsia" w:ascii="宋体" w:hAnsi="宋体"/>
          <w:bCs/>
          <w:color w:val="000000"/>
          <w:sz w:val="24"/>
          <w:szCs w:val="24"/>
        </w:rPr>
        <w:t>)的政府采购活动，根据招标文件的规定提交相关资格证明文件。本单位郑重声明如下：</w:t>
      </w:r>
    </w:p>
    <w:p>
      <w:pPr>
        <w:pStyle w:val="44"/>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44"/>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参加本项目政府采购活动前三年内，本单位未受到过全国</w:t>
      </w:r>
      <w:r>
        <w:rPr>
          <w:rFonts w:ascii="宋体" w:hAnsi="宋体"/>
          <w:bCs/>
          <w:color w:val="000000"/>
          <w:sz w:val="24"/>
          <w:szCs w:val="24"/>
        </w:rPr>
        <w:t>各级人民政府财政部门依法</w:t>
      </w:r>
      <w:r>
        <w:rPr>
          <w:rFonts w:hint="eastAsia" w:ascii="宋体" w:hAnsi="宋体"/>
          <w:bCs/>
          <w:color w:val="000000"/>
          <w:sz w:val="24"/>
          <w:szCs w:val="24"/>
        </w:rPr>
        <w:t>作</w:t>
      </w:r>
      <w:r>
        <w:rPr>
          <w:rFonts w:ascii="宋体" w:hAnsi="宋体"/>
          <w:bCs/>
          <w:color w:val="000000"/>
          <w:sz w:val="24"/>
          <w:szCs w:val="24"/>
        </w:rPr>
        <w:t>出的禁止参加政府采购活动等行政处罚决定</w:t>
      </w:r>
      <w:r>
        <w:rPr>
          <w:rFonts w:hint="eastAsia" w:ascii="宋体" w:hAnsi="宋体"/>
          <w:bCs/>
          <w:color w:val="000000"/>
          <w:sz w:val="24"/>
          <w:szCs w:val="24"/>
        </w:rPr>
        <w:t>；</w:t>
      </w:r>
    </w:p>
    <w:p>
      <w:pPr>
        <w:pStyle w:val="44"/>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000000"/>
          <w:sz w:val="24"/>
          <w:szCs w:val="24"/>
        </w:rPr>
      </w:pPr>
    </w:p>
    <w:p>
      <w:pPr>
        <w:tabs>
          <w:tab w:val="left" w:pos="854"/>
        </w:tabs>
        <w:spacing w:line="360" w:lineRule="auto"/>
        <w:rPr>
          <w:rFonts w:ascii="宋体" w:hAnsi="宋体"/>
          <w:bCs/>
          <w:color w:val="000000"/>
          <w:sz w:val="24"/>
          <w:szCs w:val="24"/>
        </w:rPr>
      </w:pP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 (公章)：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宋体" w:hAnsi="宋体" w:cs="Times New Roman"/>
          <w:bCs/>
          <w:color w:val="000000"/>
          <w:sz w:val="24"/>
          <w:szCs w:val="21"/>
          <w:u w:val="single"/>
        </w:rPr>
        <w:t xml:space="preserve">                                </w:t>
      </w:r>
    </w:p>
    <w:p>
      <w:pPr>
        <w:widowControl/>
        <w:tabs>
          <w:tab w:val="right" w:leader="dot" w:pos="9514"/>
        </w:tabs>
        <w:spacing w:line="440" w:lineRule="exact"/>
        <w:jc w:val="left"/>
        <w:rPr>
          <w:rFonts w:eastAsia="黑体"/>
          <w:b/>
          <w:iCs/>
          <w:color w:val="000000"/>
          <w:kern w:val="0"/>
          <w:sz w:val="28"/>
        </w:rPr>
      </w:pPr>
      <w:r>
        <w:rPr>
          <w:rFonts w:eastAsia="黑体"/>
          <w:b/>
          <w:iCs/>
          <w:color w:val="000000"/>
          <w:kern w:val="0"/>
          <w:sz w:val="28"/>
        </w:rPr>
        <w:br w:type="page"/>
      </w:r>
    </w:p>
    <w:p>
      <w:pPr>
        <w:spacing w:before="312" w:beforeLines="100" w:after="780" w:afterLines="250"/>
        <w:jc w:val="center"/>
        <w:rPr>
          <w:rFonts w:ascii="黑体" w:hAnsi="黑体" w:eastAsia="黑体"/>
          <w:b/>
          <w:color w:val="000000"/>
          <w:sz w:val="96"/>
          <w:szCs w:val="96"/>
        </w:rPr>
      </w:pP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33" w:name="_Toc494664997"/>
      <w:bookmarkStart w:id="134" w:name="_Toc4611"/>
      <w:bookmarkStart w:id="135" w:name="_Toc494665550"/>
      <w:bookmarkStart w:id="136" w:name="_Toc494702267"/>
      <w:bookmarkStart w:id="137" w:name="_Toc494745314"/>
      <w:bookmarkStart w:id="138" w:name="_Toc494665947"/>
      <w:bookmarkStart w:id="139" w:name="_Toc511894524"/>
      <w:bookmarkStart w:id="140" w:name="_Toc494721097"/>
      <w:r>
        <w:rPr>
          <w:rFonts w:hint="eastAsia" w:ascii="宋体" w:hAnsi="宋体" w:cs="Times New Roman"/>
          <w:b/>
          <w:color w:val="000000"/>
          <w:sz w:val="44"/>
          <w:szCs w:val="44"/>
        </w:rPr>
        <w:t>第二部分 商务文件</w:t>
      </w:r>
      <w:bookmarkEnd w:id="133"/>
      <w:bookmarkEnd w:id="134"/>
      <w:bookmarkEnd w:id="135"/>
      <w:bookmarkEnd w:id="136"/>
      <w:bookmarkEnd w:id="137"/>
      <w:bookmarkEnd w:id="138"/>
      <w:bookmarkEnd w:id="139"/>
      <w:bookmarkEnd w:id="140"/>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rFonts w:ascii="宋体" w:hAnsi="宋体" w:cs="Times New Roman"/>
          <w:b/>
          <w:bCs/>
          <w:color w:val="000000"/>
          <w:sz w:val="30"/>
          <w:szCs w:val="30"/>
        </w:rPr>
      </w:pPr>
      <w:r>
        <w:rPr>
          <w:color w:val="000000"/>
        </w:rPr>
        <w:br w:type="page"/>
      </w:r>
      <w:r>
        <w:rPr>
          <w:rFonts w:hint="eastAsia" w:ascii="宋体" w:hAnsi="宋体" w:cs="Times New Roman"/>
          <w:b/>
          <w:bCs/>
          <w:color w:val="000000"/>
          <w:sz w:val="30"/>
          <w:szCs w:val="30"/>
        </w:rPr>
        <w:t>格式（参考）说明：</w:t>
      </w:r>
    </w:p>
    <w:p>
      <w:pPr>
        <w:pStyle w:val="6"/>
        <w:spacing w:before="340" w:after="200" w:line="360" w:lineRule="auto"/>
        <w:jc w:val="center"/>
        <w:rPr>
          <w:rFonts w:ascii="黑体" w:hAnsi="黑体" w:eastAsia="黑体" w:cs="Times New Roman"/>
          <w:bCs w:val="0"/>
          <w:color w:val="000000"/>
          <w:sz w:val="36"/>
          <w:szCs w:val="36"/>
        </w:rPr>
      </w:pPr>
      <w:bookmarkStart w:id="141" w:name="_Toc511894525"/>
      <w:bookmarkStart w:id="142" w:name="_Toc494664998"/>
      <w:bookmarkStart w:id="143" w:name="_Toc494665551"/>
      <w:bookmarkStart w:id="144" w:name="_Toc494702268"/>
      <w:bookmarkStart w:id="145" w:name="_Toc494745315"/>
      <w:bookmarkStart w:id="146" w:name="_Toc494665948"/>
      <w:bookmarkStart w:id="147" w:name="_Toc494721098"/>
      <w:bookmarkStart w:id="148" w:name="_Toc15106"/>
      <w:r>
        <w:rPr>
          <w:rFonts w:hint="eastAsia" w:ascii="黑体" w:hAnsi="黑体" w:eastAsia="黑体" w:cs="Times New Roman"/>
          <w:bCs w:val="0"/>
          <w:color w:val="000000"/>
          <w:sz w:val="36"/>
          <w:szCs w:val="36"/>
        </w:rPr>
        <w:t>商务文件组成</w:t>
      </w:r>
      <w:bookmarkEnd w:id="141"/>
      <w:bookmarkEnd w:id="142"/>
      <w:bookmarkEnd w:id="143"/>
      <w:bookmarkEnd w:id="144"/>
      <w:bookmarkEnd w:id="145"/>
      <w:bookmarkEnd w:id="146"/>
      <w:bookmarkEnd w:id="147"/>
      <w:bookmarkEnd w:id="148"/>
    </w:p>
    <w:p>
      <w:pPr>
        <w:autoSpaceDE w:val="0"/>
        <w:autoSpaceDN w:val="0"/>
        <w:adjustRightInd w:val="0"/>
        <w:spacing w:line="420" w:lineRule="exact"/>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商务文件目录</w:t>
      </w:r>
      <w:r>
        <w:rPr>
          <w:rFonts w:hint="eastAsia" w:ascii="宋体" w:hAnsi="宋体" w:cs="Times New Roman"/>
          <w:b/>
          <w:color w:val="000000"/>
          <w:kern w:val="0"/>
          <w:sz w:val="24"/>
          <w:szCs w:val="32"/>
        </w:rPr>
        <w:t>（目录应涵盖下述所有资料，页码清晰以便查阅）</w:t>
      </w:r>
      <w:r>
        <w:rPr>
          <w:rFonts w:hint="eastAsia" w:ascii="宋体" w:hAnsi="宋体" w:cs="Times New Roman"/>
          <w:color w:val="000000"/>
          <w:kern w:val="0"/>
          <w:sz w:val="24"/>
          <w:szCs w:val="32"/>
        </w:rPr>
        <w:t>；</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投标书（附件一）；</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制造商中小企业声明函（适用于货物类项目）（附件二）；</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中小企业声明函（适用于工程类、服务类项目）（附件三）；</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中小企业划型标准（附件四）；</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残疾人福利性单位声明函（适用于货物类项目）（附件五）；</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残疾人福利性单位声明函（适用于工程类、服务类项目）（附件六）；</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享受政府采购支持政策的残疾人福利单位的标准（附件七）；</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开标一览表（附件八）；</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投标报价明细表（附件九）；</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小型和微型企业、监狱企业、残疾人福利性单位货物汇总表（附件十）；</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投标货物（工程或服务）清单（附件十一）；</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交纳投标保证金的银行凭证（附件十二，</w:t>
      </w:r>
      <w:r>
        <w:rPr>
          <w:rFonts w:hint="eastAsia" w:ascii="宋体" w:hAnsi="宋体" w:cs="Times New Roman"/>
          <w:b/>
          <w:color w:val="000000"/>
          <w:kern w:val="0"/>
          <w:sz w:val="24"/>
          <w:szCs w:val="32"/>
        </w:rPr>
        <w:t>本项目不适用</w:t>
      </w:r>
      <w:r>
        <w:rPr>
          <w:rFonts w:hint="eastAsia" w:ascii="宋体" w:hAnsi="宋体" w:cs="Times New Roman"/>
          <w:color w:val="000000"/>
          <w:kern w:val="0"/>
          <w:sz w:val="24"/>
          <w:szCs w:val="32"/>
        </w:rPr>
        <w:t>）；</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法定代表人授权书（附件十三）；</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关于不存在招标文件第二章“十、 其他注意事项”中规定禁止情形的书面声明；</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投标人的资格声明（附件十四）；</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项目负责人、技术负责人简历表（附件十五）；</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项目班子成员情况表（附件十六）；</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投标人类似项目业绩表（附件十七）；</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招标文件要求提供或投标人认为需提供的其它资料；</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符合性审查对照表（附件十八）；</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商务要求响应、偏离说明表（附件十九）；</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商务要求“★”号条款响应、偏离说明表（附件二十）；</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商务评议对照表（附件二十一）；</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技术、服务要求响应、偏离说明表</w:t>
      </w:r>
      <w:r>
        <w:rPr>
          <w:rFonts w:hint="eastAsia" w:ascii="宋体" w:hAnsi="宋体" w:cs="Times New Roman"/>
          <w:color w:val="000000"/>
          <w:kern w:val="0"/>
          <w:sz w:val="24"/>
          <w:szCs w:val="32"/>
        </w:rPr>
        <w:t>（附件二十二）；</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技术、服务要求“★”号条款响应、偏离说明表</w:t>
      </w:r>
      <w:r>
        <w:rPr>
          <w:rFonts w:hint="eastAsia" w:ascii="宋体" w:hAnsi="宋体" w:cs="Times New Roman"/>
          <w:color w:val="000000"/>
          <w:kern w:val="0"/>
          <w:sz w:val="24"/>
          <w:szCs w:val="32"/>
        </w:rPr>
        <w:t>（附件二十三）；</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技术、服务评议对照表</w:t>
      </w:r>
      <w:r>
        <w:rPr>
          <w:rFonts w:hint="eastAsia" w:ascii="宋体" w:hAnsi="宋体" w:cs="Times New Roman"/>
          <w:color w:val="000000"/>
          <w:kern w:val="0"/>
          <w:sz w:val="24"/>
          <w:szCs w:val="32"/>
        </w:rPr>
        <w:t>（附件二十四）。</w:t>
      </w:r>
    </w:p>
    <w:p>
      <w:pPr>
        <w:spacing w:before="312" w:beforeLines="100" w:after="780" w:afterLines="250"/>
        <w:jc w:val="center"/>
        <w:rPr>
          <w:rFonts w:ascii="黑体" w:hAnsi="黑体" w:eastAsia="黑体"/>
          <w:b/>
          <w:color w:val="000000"/>
          <w:sz w:val="96"/>
          <w:szCs w:val="96"/>
        </w:rPr>
      </w:pPr>
      <w:r>
        <w:rPr>
          <w:rFonts w:hint="eastAsia" w:ascii="宋体" w:hAnsi="宋体" w:cs="Times New Roman"/>
          <w:color w:val="000000"/>
          <w:kern w:val="0"/>
          <w:sz w:val="24"/>
          <w:szCs w:val="32"/>
        </w:rPr>
        <w:br w:type="page"/>
      </w: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49" w:name="_Toc494745316"/>
      <w:bookmarkStart w:id="150" w:name="_Toc494665552"/>
      <w:bookmarkStart w:id="151" w:name="_Toc511894526"/>
      <w:bookmarkStart w:id="152" w:name="_Toc494702269"/>
      <w:bookmarkStart w:id="153" w:name="_Toc494665949"/>
      <w:bookmarkStart w:id="154" w:name="_Toc24415"/>
      <w:bookmarkStart w:id="155" w:name="_Toc494721099"/>
      <w:bookmarkStart w:id="156" w:name="_Toc494664999"/>
      <w:r>
        <w:rPr>
          <w:rFonts w:hint="eastAsia" w:ascii="宋体" w:hAnsi="宋体" w:cs="Times New Roman"/>
          <w:b/>
          <w:color w:val="000000"/>
          <w:sz w:val="44"/>
          <w:szCs w:val="44"/>
        </w:rPr>
        <w:t>第三部分 技术、服务文件</w:t>
      </w:r>
      <w:bookmarkEnd w:id="149"/>
      <w:bookmarkEnd w:id="150"/>
      <w:bookmarkEnd w:id="151"/>
      <w:bookmarkEnd w:id="152"/>
      <w:bookmarkEnd w:id="153"/>
      <w:bookmarkEnd w:id="154"/>
      <w:bookmarkEnd w:id="155"/>
      <w:bookmarkEnd w:id="156"/>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rFonts w:ascii="宋体" w:hAnsi="宋体" w:cs="Times New Roman"/>
          <w:b/>
          <w:bCs/>
          <w:color w:val="000000"/>
          <w:sz w:val="30"/>
          <w:szCs w:val="30"/>
        </w:rPr>
      </w:pPr>
      <w:r>
        <w:rPr>
          <w:color w:val="000000"/>
        </w:rPr>
        <w:br w:type="page"/>
      </w:r>
      <w:r>
        <w:rPr>
          <w:rFonts w:hint="eastAsia" w:ascii="宋体" w:hAnsi="宋体" w:cs="Times New Roman"/>
          <w:b/>
          <w:bCs/>
          <w:color w:val="000000"/>
          <w:sz w:val="30"/>
          <w:szCs w:val="30"/>
        </w:rPr>
        <w:t>格式（参考）说明：</w:t>
      </w:r>
    </w:p>
    <w:p>
      <w:pPr>
        <w:pStyle w:val="6"/>
        <w:spacing w:before="340" w:after="200" w:line="360" w:lineRule="auto"/>
        <w:jc w:val="center"/>
        <w:rPr>
          <w:rFonts w:ascii="黑体" w:hAnsi="黑体" w:eastAsia="黑体" w:cs="Times New Roman"/>
          <w:bCs w:val="0"/>
          <w:color w:val="000000"/>
          <w:sz w:val="36"/>
          <w:szCs w:val="36"/>
        </w:rPr>
      </w:pPr>
      <w:bookmarkStart w:id="157" w:name="_Toc494721100"/>
      <w:bookmarkStart w:id="158" w:name="_Toc494702270"/>
      <w:bookmarkStart w:id="159" w:name="_Toc511894527"/>
      <w:bookmarkStart w:id="160" w:name="_Toc494665000"/>
      <w:bookmarkStart w:id="161" w:name="_Toc27759"/>
      <w:bookmarkStart w:id="162" w:name="_Toc494665950"/>
      <w:bookmarkStart w:id="163" w:name="_Toc494665553"/>
      <w:bookmarkStart w:id="164" w:name="_Toc494745317"/>
      <w:r>
        <w:rPr>
          <w:rFonts w:hint="eastAsia" w:ascii="黑体" w:hAnsi="黑体" w:eastAsia="黑体" w:cs="Times New Roman"/>
          <w:bCs w:val="0"/>
          <w:color w:val="000000"/>
          <w:sz w:val="36"/>
          <w:szCs w:val="36"/>
        </w:rPr>
        <w:t>技术、服务文件组成</w:t>
      </w:r>
      <w:bookmarkEnd w:id="157"/>
      <w:bookmarkEnd w:id="158"/>
      <w:bookmarkEnd w:id="159"/>
      <w:bookmarkEnd w:id="160"/>
      <w:bookmarkEnd w:id="161"/>
      <w:bookmarkEnd w:id="162"/>
      <w:bookmarkEnd w:id="163"/>
      <w:bookmarkEnd w:id="164"/>
    </w:p>
    <w:p>
      <w:pPr>
        <w:autoSpaceDE w:val="0"/>
        <w:autoSpaceDN w:val="0"/>
        <w:adjustRightInd w:val="0"/>
        <w:spacing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技术、服务文件目录（目录应涵盖下述所有资料，页码清晰以便查阅）；</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投标货物（工程或服务）介绍，项目建设（服务）方案；</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技术、服务要求响应、偏离说明表（附件二十二）；</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技术、服务要求“★”号条款响应、偏离说明表（附件二十三）；</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技术、服务评议对照表（附件二十四）；</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招标文件要求提供或投标人认为需提供的其它资料。</w:t>
      </w:r>
    </w:p>
    <w:p>
      <w:pPr>
        <w:autoSpaceDE w:val="0"/>
        <w:autoSpaceDN w:val="0"/>
        <w:adjustRightInd w:val="0"/>
        <w:spacing w:line="360" w:lineRule="auto"/>
        <w:rPr>
          <w:rFonts w:ascii="宋体" w:hAnsi="宋体" w:cs="Times New Roman"/>
          <w:color w:val="000000"/>
          <w:kern w:val="0"/>
          <w:sz w:val="24"/>
          <w:szCs w:val="32"/>
        </w:rPr>
      </w:pPr>
    </w:p>
    <w:p>
      <w:pPr>
        <w:autoSpaceDE w:val="0"/>
        <w:autoSpaceDN w:val="0"/>
        <w:adjustRightInd w:val="0"/>
        <w:spacing w:line="360" w:lineRule="auto"/>
        <w:ind w:left="740" w:hanging="740" w:hangingChars="307"/>
        <w:rPr>
          <w:rFonts w:ascii="宋体" w:hAnsi="宋体" w:cs="Times New Roman"/>
          <w:color w:val="000000"/>
          <w:kern w:val="0"/>
          <w:sz w:val="24"/>
          <w:szCs w:val="32"/>
        </w:rPr>
      </w:pPr>
      <w:r>
        <w:rPr>
          <w:rFonts w:hint="eastAsia" w:ascii="宋体" w:hAnsi="宋体" w:cs="Times New Roman"/>
          <w:b/>
          <w:color w:val="000000"/>
          <w:kern w:val="0"/>
          <w:sz w:val="24"/>
          <w:szCs w:val="32"/>
        </w:rPr>
        <w:t>说明：</w:t>
      </w:r>
      <w:r>
        <w:rPr>
          <w:rFonts w:hint="eastAsia" w:ascii="宋体" w:hAnsi="宋体" w:cs="Times New Roman"/>
          <w:color w:val="000000"/>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rPr>
      </w:pPr>
    </w:p>
    <w:p>
      <w:pPr>
        <w:rPr>
          <w:color w:val="000000"/>
        </w:rPr>
      </w:pPr>
    </w:p>
    <w:p>
      <w:pPr>
        <w:rPr>
          <w:color w:val="000000"/>
        </w:rPr>
      </w:pPr>
    </w:p>
    <w:p>
      <w:pPr>
        <w:rPr>
          <w:color w:val="000000"/>
        </w:rPr>
      </w:pPr>
      <w:r>
        <w:rPr>
          <w:color w:val="000000"/>
        </w:rPr>
        <w:br w:type="page"/>
      </w: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165" w:name="_Toc511894528"/>
      <w:bookmarkStart w:id="166" w:name="_Toc3640"/>
      <w:r>
        <w:rPr>
          <w:rFonts w:hint="eastAsia" w:ascii="宋体" w:hAnsi="宋体" w:cs="Times New Roman"/>
          <w:bCs w:val="0"/>
          <w:color w:val="000000"/>
        </w:rPr>
        <w:t>投标书</w:t>
      </w:r>
      <w:bookmarkEnd w:id="165"/>
      <w:bookmarkEnd w:id="166"/>
    </w:p>
    <w:p>
      <w:pPr>
        <w:jc w:val="center"/>
        <w:rPr>
          <w:rFonts w:ascii="宋体" w:hAnsi="宋体"/>
          <w:b/>
          <w:color w:val="000000"/>
          <w:sz w:val="30"/>
          <w:szCs w:val="30"/>
        </w:rPr>
      </w:pPr>
      <w:r>
        <w:rPr>
          <w:rFonts w:hint="eastAsia" w:ascii="宋体" w:hAnsi="宋体"/>
          <w:b/>
          <w:color w:val="000000"/>
          <w:sz w:val="30"/>
          <w:szCs w:val="30"/>
        </w:rPr>
        <w:t>投 标 书</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武汉安平天志工程咨询有限公司：</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依据贵方</w:t>
      </w:r>
      <w:r>
        <w:rPr>
          <w:rFonts w:hint="eastAsia" w:ascii="宋体" w:hAnsi="宋体" w:cs="Times New Roman"/>
          <w:color w:val="000000"/>
          <w:sz w:val="24"/>
          <w:szCs w:val="24"/>
          <w:u w:val="single"/>
        </w:rPr>
        <w:t xml:space="preserve"> （项目名称） </w:t>
      </w:r>
      <w:r>
        <w:rPr>
          <w:rFonts w:hint="eastAsia" w:ascii="宋体" w:hAnsi="宋体" w:cs="Times New Roman"/>
          <w:color w:val="000000"/>
          <w:sz w:val="24"/>
          <w:szCs w:val="24"/>
        </w:rPr>
        <w:t>项目（项目编号：</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）招标的投标邀请，我方代表</w:t>
      </w:r>
      <w:r>
        <w:rPr>
          <w:rFonts w:hint="eastAsia" w:ascii="宋体" w:hAnsi="宋体" w:cs="Times New Roman"/>
          <w:color w:val="000000"/>
          <w:sz w:val="24"/>
          <w:szCs w:val="24"/>
          <w:u w:val="single"/>
        </w:rPr>
        <w:t xml:space="preserve"> （姓名、职务） </w:t>
      </w:r>
      <w:r>
        <w:rPr>
          <w:rFonts w:hint="eastAsia" w:ascii="宋体" w:hAnsi="宋体" w:cs="Times New Roman"/>
          <w:color w:val="000000"/>
          <w:sz w:val="24"/>
          <w:szCs w:val="24"/>
        </w:rPr>
        <w:t>经正式授权并代表投标人</w:t>
      </w:r>
      <w:r>
        <w:rPr>
          <w:rFonts w:hint="eastAsia" w:ascii="宋体" w:hAnsi="宋体" w:cs="Times New Roman"/>
          <w:color w:val="000000"/>
          <w:sz w:val="24"/>
          <w:szCs w:val="24"/>
          <w:u w:val="single"/>
        </w:rPr>
        <w:t xml:space="preserve"> （投标人全称 ） </w:t>
      </w:r>
      <w:r>
        <w:rPr>
          <w:rFonts w:hint="eastAsia" w:ascii="宋体" w:hAnsi="宋体" w:cs="Times New Roman"/>
          <w:color w:val="000000"/>
          <w:sz w:val="24"/>
          <w:szCs w:val="24"/>
        </w:rPr>
        <w:t>提交“开标一览表”信封和下述文件正本</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份，副本</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份。</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资格证明文件；</w:t>
      </w:r>
      <w:r>
        <w:rPr>
          <w:rFonts w:hint="eastAsia" w:ascii="宋体" w:hAnsi="宋体" w:cs="Times New Roman"/>
          <w:color w:val="000000"/>
          <w:kern w:val="0"/>
          <w:sz w:val="24"/>
          <w:szCs w:val="32"/>
        </w:rPr>
        <w:t>（</w:t>
      </w:r>
      <w:r>
        <w:rPr>
          <w:rFonts w:hint="eastAsia" w:ascii="宋体" w:hAnsi="宋体" w:cs="Times New Roman"/>
          <w:color w:val="000000"/>
          <w:sz w:val="24"/>
          <w:szCs w:val="24"/>
        </w:rPr>
        <w:t>如</w:t>
      </w:r>
      <w:r>
        <w:rPr>
          <w:rFonts w:hint="eastAsia" w:ascii="宋体" w:hAnsi="宋体" w:cs="Helvetica"/>
          <w:color w:val="000000"/>
          <w:kern w:val="0"/>
          <w:sz w:val="24"/>
          <w:szCs w:val="24"/>
        </w:rPr>
        <w:t>采购人已组织过项目资格预审的，投标人无需再提交资格证明文件</w:t>
      </w:r>
      <w:r>
        <w:rPr>
          <w:rFonts w:hint="eastAsia" w:ascii="宋体" w:hAnsi="宋体" w:cs="Times New Roman"/>
          <w:color w:val="000000"/>
          <w:kern w:val="0"/>
          <w:sz w:val="24"/>
          <w:szCs w:val="32"/>
        </w:rPr>
        <w:t>）</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商务文件；</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技术、服务文件。</w:t>
      </w:r>
    </w:p>
    <w:p>
      <w:pPr>
        <w:spacing w:line="360" w:lineRule="auto"/>
        <w:rPr>
          <w:rFonts w:ascii="宋体" w:hAnsi="宋体" w:cs="Times New Roman"/>
          <w:b/>
          <w:color w:val="000000"/>
          <w:kern w:val="0"/>
          <w:sz w:val="24"/>
          <w:szCs w:val="24"/>
        </w:rPr>
      </w:pPr>
      <w:r>
        <w:rPr>
          <w:rFonts w:hint="eastAsia" w:ascii="宋体" w:hAnsi="宋体" w:cs="Times New Roman"/>
          <w:b/>
          <w:color w:val="000000"/>
          <w:kern w:val="0"/>
          <w:sz w:val="24"/>
          <w:szCs w:val="24"/>
        </w:rPr>
        <w:t>在此，我方宣布同意如下：</w:t>
      </w:r>
    </w:p>
    <w:p>
      <w:pPr>
        <w:pStyle w:val="44"/>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《开标一览表》中规定的应提交和交付的</w:t>
      </w:r>
      <w:r>
        <w:rPr>
          <w:rFonts w:hint="eastAsia" w:ascii="宋体" w:hAnsi="宋体"/>
          <w:color w:val="000000"/>
          <w:sz w:val="24"/>
          <w:szCs w:val="24"/>
          <w:u w:val="single"/>
        </w:rPr>
        <w:t xml:space="preserve">  （包号）  </w:t>
      </w:r>
      <w:r>
        <w:rPr>
          <w:rFonts w:hint="eastAsia" w:ascii="宋体" w:hAnsi="宋体"/>
          <w:color w:val="000000"/>
          <w:sz w:val="24"/>
          <w:szCs w:val="24"/>
        </w:rPr>
        <w:t>货物（工程或服务）投标总价为</w:t>
      </w:r>
      <w:r>
        <w:rPr>
          <w:rFonts w:hint="eastAsia" w:ascii="宋体" w:hAnsi="宋体"/>
          <w:color w:val="000000"/>
          <w:sz w:val="24"/>
          <w:szCs w:val="24"/>
          <w:u w:val="single"/>
        </w:rPr>
        <w:t xml:space="preserve"> （注明币种，并用大写和小写表述投标总价） </w:t>
      </w:r>
      <w:r>
        <w:rPr>
          <w:rFonts w:hint="eastAsia" w:ascii="宋体" w:hAnsi="宋体"/>
          <w:color w:val="000000"/>
          <w:sz w:val="24"/>
          <w:szCs w:val="24"/>
        </w:rPr>
        <w:t>；</w:t>
      </w:r>
    </w:p>
    <w:p>
      <w:pPr>
        <w:pStyle w:val="44"/>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按招标文件的约定履行合同责任和义务；</w:t>
      </w:r>
    </w:p>
    <w:p>
      <w:pPr>
        <w:pStyle w:val="44"/>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已详细审查全部招标文件，包括 （修正或补充文件）（如果有的话） ，对此无异议；</w:t>
      </w:r>
    </w:p>
    <w:p>
      <w:pPr>
        <w:pStyle w:val="44"/>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投标有效期为自递交投标文件截止之日起，共</w:t>
      </w:r>
      <w:r>
        <w:rPr>
          <w:rFonts w:hint="eastAsia" w:ascii="宋体" w:hAnsi="宋体"/>
          <w:color w:val="000000"/>
          <w:sz w:val="24"/>
          <w:szCs w:val="24"/>
          <w:u w:val="single"/>
        </w:rPr>
        <w:t xml:space="preserve">    </w:t>
      </w:r>
      <w:r>
        <w:rPr>
          <w:rFonts w:hint="eastAsia" w:ascii="宋体" w:hAnsi="宋体"/>
          <w:color w:val="000000"/>
          <w:sz w:val="24"/>
          <w:szCs w:val="24"/>
        </w:rPr>
        <w:t>个日历天；</w:t>
      </w:r>
    </w:p>
    <w:p>
      <w:pPr>
        <w:pStyle w:val="44"/>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提供按照贵方可能要求的与投标有关的一切数据或资料；</w:t>
      </w:r>
    </w:p>
    <w:p>
      <w:pPr>
        <w:pStyle w:val="44"/>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与投标有关的一切正式往来信函请寄：</w:t>
      </w:r>
      <w:r>
        <w:rPr>
          <w:rFonts w:hint="eastAsia" w:ascii="宋体" w:hAnsi="宋体"/>
          <w:color w:val="000000"/>
          <w:sz w:val="24"/>
          <w:szCs w:val="24"/>
          <w:u w:val="single"/>
        </w:rPr>
        <w:t xml:space="preserve">                              </w:t>
      </w:r>
      <w:r>
        <w:rPr>
          <w:rFonts w:hint="eastAsia" w:ascii="宋体" w:hAnsi="宋体"/>
          <w:color w:val="000000"/>
          <w:sz w:val="24"/>
          <w:szCs w:val="24"/>
        </w:rPr>
        <w:t>。</w:t>
      </w:r>
    </w:p>
    <w:p>
      <w:pPr>
        <w:autoSpaceDE w:val="0"/>
        <w:autoSpaceDN w:val="0"/>
        <w:adjustRightInd w:val="0"/>
        <w:spacing w:line="360" w:lineRule="auto"/>
        <w:ind w:right="246" w:firstLine="480" w:firstLineChars="200"/>
        <w:rPr>
          <w:rFonts w:ascii="宋体" w:hAnsi="宋体" w:cs="Times New Roman"/>
          <w:color w:val="000000"/>
          <w:kern w:val="0"/>
          <w:sz w:val="24"/>
          <w:szCs w:val="24"/>
        </w:rPr>
      </w:pP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电话/传真：</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电子邮件：</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投标人(公章)：</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投标人授权代表（签字）：</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开户银行：</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帐号/行号：</w:t>
      </w:r>
      <w:r>
        <w:rPr>
          <w:rFonts w:hint="eastAsia" w:ascii="宋体" w:hAnsi="宋体"/>
          <w:color w:val="000000"/>
          <w:sz w:val="24"/>
          <w:szCs w:val="24"/>
          <w:u w:val="single"/>
        </w:rPr>
        <w:t xml:space="preserve">                              </w:t>
      </w:r>
    </w:p>
    <w:p>
      <w:pPr>
        <w:spacing w:line="360" w:lineRule="auto"/>
        <w:rPr>
          <w:rFonts w:ascii="宋体" w:hAnsi="宋体"/>
          <w:color w:val="000000"/>
          <w:sz w:val="24"/>
          <w:szCs w:val="24"/>
          <w:u w:val="single"/>
        </w:rPr>
      </w:pPr>
      <w:r>
        <w:rPr>
          <w:rFonts w:hint="eastAsia" w:ascii="宋体" w:hAnsi="宋体"/>
          <w:color w:val="000000"/>
          <w:sz w:val="24"/>
          <w:szCs w:val="24"/>
          <w:u w:val="single"/>
        </w:rPr>
        <w:br w:type="page"/>
      </w: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167" w:name="_Toc511894529"/>
      <w:bookmarkStart w:id="168" w:name="_Toc26527"/>
      <w:r>
        <w:rPr>
          <w:rFonts w:hint="eastAsia" w:ascii="宋体" w:hAnsi="宋体" w:cs="Times New Roman"/>
          <w:bCs w:val="0"/>
          <w:color w:val="000000"/>
        </w:rPr>
        <w:t>制造商中小企业声明函</w:t>
      </w:r>
      <w:bookmarkEnd w:id="167"/>
      <w:r>
        <w:rPr>
          <w:rFonts w:hint="eastAsia" w:ascii="宋体" w:hAnsi="宋体" w:cs="Times New Roman"/>
          <w:bCs w:val="0"/>
          <w:color w:val="000000"/>
        </w:rPr>
        <w:t>（适用于货物类项目）</w:t>
      </w:r>
      <w:bookmarkEnd w:id="168"/>
    </w:p>
    <w:p>
      <w:pPr>
        <w:jc w:val="center"/>
        <w:rPr>
          <w:rFonts w:ascii="宋体" w:hAnsi="宋体"/>
          <w:b/>
          <w:color w:val="000000"/>
          <w:sz w:val="30"/>
          <w:szCs w:val="30"/>
        </w:rPr>
      </w:pPr>
      <w:r>
        <w:rPr>
          <w:rFonts w:hint="eastAsia" w:ascii="宋体" w:hAnsi="宋体"/>
          <w:b/>
          <w:color w:val="000000"/>
          <w:sz w:val="30"/>
          <w:szCs w:val="30"/>
        </w:rPr>
        <w:t>制造商中小企业声明函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武汉安平天志工程咨询有限公司：</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themeColor="text1" w:themeTint="F2"/>
          <w:sz w:val="22"/>
          <w14:textFill>
            <w14:solidFill>
              <w14:schemeClr w14:val="tx1">
                <w14:lumMod w14:val="95000"/>
                <w14:lumOff w14:val="5000"/>
              </w14:schemeClr>
            </w14:solidFill>
          </w14:textFill>
        </w:rPr>
      </w:pPr>
      <w:r>
        <w:rPr>
          <w:rFonts w:hint="eastAsia"/>
          <w:color w:val="0D0D0D" w:themeColor="text1" w:themeTint="F2"/>
          <w:sz w:val="22"/>
          <w14:textFill>
            <w14:solidFill>
              <w14:schemeClr w14:val="tx1">
                <w14:lumMod w14:val="95000"/>
                <w14:lumOff w14:val="5000"/>
              </w14:schemeClr>
            </w14:solidFill>
          </w14:textFill>
        </w:rPr>
        <w:t>1.</w:t>
      </w:r>
      <w:r>
        <w:rPr>
          <w:rFonts w:hint="eastAsia"/>
          <w:color w:val="0D0D0D" w:themeColor="text1" w:themeTint="F2"/>
          <w:sz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14:textFill>
            <w14:solidFill>
              <w14:schemeClr w14:val="tx1">
                <w14:lumMod w14:val="95000"/>
                <w14:lumOff w14:val="5000"/>
              </w14:schemeClr>
            </w14:solidFill>
          </w14:textFill>
        </w:rPr>
        <w:t>，属于</w:t>
      </w:r>
      <w:r>
        <w:rPr>
          <w:rFonts w:hint="eastAsia"/>
          <w:color w:val="0D0D0D" w:themeColor="text1" w:themeTint="F2"/>
          <w:sz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14:textFill>
            <w14:solidFill>
              <w14:schemeClr w14:val="tx1">
                <w14:lumMod w14:val="95000"/>
                <w14:lumOff w14:val="5000"/>
              </w14:schemeClr>
            </w14:solidFill>
          </w14:textFill>
        </w:rPr>
        <w:t>行业 ；承建（承接）企业为</w:t>
      </w:r>
      <w:r>
        <w:rPr>
          <w:rFonts w:hint="eastAsia"/>
          <w:color w:val="0D0D0D" w:themeColor="text1" w:themeTint="F2"/>
          <w:sz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14:textFill>
            <w14:solidFill>
              <w14:schemeClr w14:val="tx1">
                <w14:lumMod w14:val="95000"/>
                <w14:lumOff w14:val="5000"/>
              </w14:schemeClr>
            </w14:solidFill>
          </w14:textFill>
        </w:rPr>
        <w:t>，从业人员</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人，营业收入为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万元，资产总额为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2"/>
          <w14:textFill>
            <w14:solidFill>
              <w14:schemeClr w14:val="tx1">
                <w14:lumMod w14:val="95000"/>
                <w14:lumOff w14:val="5000"/>
              </w14:schemeClr>
            </w14:solidFill>
          </w14:textFill>
        </w:rPr>
        <w:t>；</w:t>
      </w:r>
    </w:p>
    <w:p>
      <w:pPr>
        <w:spacing w:line="360" w:lineRule="auto"/>
        <w:ind w:firstLine="440" w:firstLineChars="200"/>
        <w:rPr>
          <w:color w:val="0D0D0D" w:themeColor="text1" w:themeTint="F2"/>
          <w:sz w:val="22"/>
          <w14:textFill>
            <w14:solidFill>
              <w14:schemeClr w14:val="tx1">
                <w14:lumMod w14:val="95000"/>
                <w14:lumOff w14:val="5000"/>
              </w14:schemeClr>
            </w14:solidFill>
          </w14:textFill>
        </w:rPr>
      </w:pPr>
      <w:r>
        <w:rPr>
          <w:rFonts w:hint="eastAsia"/>
          <w:color w:val="0D0D0D" w:themeColor="text1" w:themeTint="F2"/>
          <w:sz w:val="22"/>
          <w14:textFill>
            <w14:solidFill>
              <w14:schemeClr w14:val="tx1">
                <w14:lumMod w14:val="95000"/>
                <w14:lumOff w14:val="5000"/>
              </w14:schemeClr>
            </w14:solidFill>
          </w14:textFill>
        </w:rPr>
        <w:t>2.</w:t>
      </w:r>
      <w:r>
        <w:rPr>
          <w:rFonts w:hint="eastAsia"/>
          <w:color w:val="0D0D0D" w:themeColor="text1" w:themeTint="F2"/>
          <w:sz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14:textFill>
            <w14:solidFill>
              <w14:schemeClr w14:val="tx1">
                <w14:lumMod w14:val="95000"/>
                <w14:lumOff w14:val="5000"/>
              </w14:schemeClr>
            </w14:solidFill>
          </w14:textFill>
        </w:rPr>
        <w:t>，属于</w:t>
      </w:r>
      <w:r>
        <w:rPr>
          <w:rFonts w:hint="eastAsia"/>
          <w:color w:val="0D0D0D" w:themeColor="text1" w:themeTint="F2"/>
          <w:sz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14:textFill>
            <w14:solidFill>
              <w14:schemeClr w14:val="tx1">
                <w14:lumMod w14:val="95000"/>
                <w14:lumOff w14:val="5000"/>
              </w14:schemeClr>
            </w14:solidFill>
          </w14:textFill>
        </w:rPr>
        <w:t>行业 ；承建（承接）企业为</w:t>
      </w:r>
      <w:r>
        <w:rPr>
          <w:rFonts w:hint="eastAsia"/>
          <w:color w:val="0D0D0D" w:themeColor="text1" w:themeTint="F2"/>
          <w:sz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14:textFill>
            <w14:solidFill>
              <w14:schemeClr w14:val="tx1">
                <w14:lumMod w14:val="95000"/>
                <w14:lumOff w14:val="5000"/>
              </w14:schemeClr>
            </w14:solidFill>
          </w14:textFill>
        </w:rPr>
        <w:t>，从业人员</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人，营业收入为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万元，资产总额为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2"/>
          <w14:textFill>
            <w14:solidFill>
              <w14:schemeClr w14:val="tx1">
                <w14:lumMod w14:val="95000"/>
                <w14:lumOff w14:val="5000"/>
              </w14:schemeClr>
            </w14:solidFill>
          </w14:textFill>
        </w:rPr>
        <w:t>；</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以上企业，不属于大企业的分支机构，不存在控股股东为大企业的情形，也不存在与大企业的负责人为同一人的情形。</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本企业对上述声明内容的真实性负责。如有虚假，将依法承担相应责任。</w:t>
      </w:r>
    </w:p>
    <w:p>
      <w:pPr>
        <w:spacing w:line="360" w:lineRule="auto"/>
        <w:ind w:firstLine="440" w:firstLineChars="200"/>
        <w:rPr>
          <w:rFonts w:ascii="宋体" w:hAnsi="宋体" w:cs="Times New Roman"/>
          <w:color w:val="000000"/>
          <w:kern w:val="0"/>
          <w:sz w:val="22"/>
          <w:szCs w:val="28"/>
        </w:rPr>
      </w:pP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说明：以联合体方式参与项目投标的供应商，应由联合体各方盖章。</w:t>
      </w:r>
    </w:p>
    <w:p>
      <w:pPr>
        <w:spacing w:line="360" w:lineRule="auto"/>
        <w:ind w:firstLine="440" w:firstLineChars="200"/>
        <w:rPr>
          <w:rFonts w:ascii="宋体" w:hAnsi="宋体" w:cs="Times New Roman"/>
          <w:color w:val="000000"/>
          <w:kern w:val="0"/>
          <w:sz w:val="22"/>
          <w:szCs w:val="28"/>
        </w:rPr>
      </w:pPr>
    </w:p>
    <w:p>
      <w:pPr>
        <w:spacing w:line="360" w:lineRule="auto"/>
        <w:ind w:firstLine="4419" w:firstLineChars="2009"/>
        <w:jc w:val="left"/>
        <w:rPr>
          <w:rFonts w:ascii="宋体" w:hAnsi="宋体" w:cs="Times New Roman"/>
          <w:color w:val="000000"/>
          <w:kern w:val="0"/>
          <w:sz w:val="22"/>
          <w:szCs w:val="28"/>
        </w:rPr>
      </w:pPr>
      <w:r>
        <w:rPr>
          <w:rFonts w:hint="eastAsia" w:ascii="宋体" w:hAnsi="宋体" w:cs="Times New Roman"/>
          <w:color w:val="000000"/>
          <w:kern w:val="0"/>
          <w:sz w:val="22"/>
          <w:szCs w:val="28"/>
        </w:rPr>
        <w:t>投标人（公章）：</w:t>
      </w:r>
      <w:r>
        <w:rPr>
          <w:rFonts w:hint="eastAsia" w:ascii="宋体" w:hAnsi="宋体" w:cs="Times New Roman"/>
          <w:color w:val="000000"/>
          <w:kern w:val="0"/>
          <w:sz w:val="22"/>
          <w:szCs w:val="28"/>
          <w:u w:val="single"/>
        </w:rPr>
        <w:t xml:space="preserve">                          </w:t>
      </w:r>
    </w:p>
    <w:p>
      <w:pPr>
        <w:spacing w:line="360" w:lineRule="auto"/>
        <w:ind w:firstLine="4419" w:firstLineChars="2009"/>
        <w:jc w:val="left"/>
        <w:rPr>
          <w:rFonts w:ascii="宋体" w:hAnsi="宋体" w:cs="Times New Roman"/>
          <w:color w:val="000000"/>
          <w:kern w:val="0"/>
          <w:sz w:val="22"/>
          <w:szCs w:val="28"/>
          <w:u w:val="single"/>
        </w:rPr>
      </w:pPr>
      <w:r>
        <w:rPr>
          <w:rFonts w:hint="eastAsia" w:ascii="宋体" w:hAnsi="宋体" w:cs="Times New Roman"/>
          <w:color w:val="000000"/>
          <w:kern w:val="0"/>
          <w:sz w:val="22"/>
          <w:szCs w:val="28"/>
        </w:rPr>
        <w:t>日   期：</w:t>
      </w:r>
      <w:r>
        <w:rPr>
          <w:rFonts w:hint="eastAsia" w:ascii="宋体" w:hAnsi="宋体" w:cs="Times New Roman"/>
          <w:color w:val="000000"/>
          <w:kern w:val="0"/>
          <w:sz w:val="22"/>
          <w:szCs w:val="28"/>
          <w:u w:val="single"/>
        </w:rPr>
        <w:t xml:space="preserve">                                </w:t>
      </w:r>
    </w:p>
    <w:p/>
    <w:p>
      <w:pPr>
        <w:spacing w:line="360" w:lineRule="auto"/>
        <w:ind w:left="843" w:hanging="843" w:hangingChars="350"/>
        <w:jc w:val="left"/>
        <w:rPr>
          <w:rFonts w:ascii="宋体" w:hAnsi="宋体" w:cs="Times New Roman"/>
          <w:b/>
          <w:color w:val="000000"/>
          <w:sz w:val="24"/>
          <w:szCs w:val="21"/>
        </w:rPr>
      </w:pPr>
      <w:r>
        <w:rPr>
          <w:rFonts w:hint="eastAsia" w:ascii="宋体" w:hAnsi="宋体" w:cs="Times New Roman"/>
          <w:b/>
          <w:color w:val="000000"/>
          <w:sz w:val="24"/>
          <w:szCs w:val="21"/>
        </w:rPr>
        <w:t>注：1、从业人员、营业收入、资产总额填报上一年度数据，无上一年度数据的新成立企业可不填报。</w:t>
      </w:r>
    </w:p>
    <w:p>
      <w:pPr>
        <w:spacing w:line="360" w:lineRule="auto"/>
        <w:ind w:left="1315" w:leftChars="250" w:hanging="790" w:hangingChars="328"/>
        <w:jc w:val="left"/>
        <w:rPr>
          <w:rFonts w:ascii="宋体" w:hAnsi="宋体" w:cs="Times New Roman"/>
          <w:b/>
          <w:color w:val="000000"/>
          <w:sz w:val="24"/>
          <w:szCs w:val="21"/>
        </w:rPr>
      </w:pPr>
      <w:r>
        <w:rPr>
          <w:rFonts w:hint="eastAsia" w:ascii="宋体" w:hAnsi="宋体" w:cs="Times New Roman"/>
          <w:b/>
          <w:color w:val="000000"/>
          <w:sz w:val="24"/>
          <w:szCs w:val="21"/>
        </w:rPr>
        <w:t>2、本项目不接受联合体投标。</w:t>
      </w:r>
    </w:p>
    <w:p>
      <w:pPr>
        <w:ind w:left="480"/>
        <w:rPr>
          <w:color w:val="000000"/>
        </w:rPr>
      </w:pPr>
      <w:r>
        <w:rPr>
          <w:rFonts w:hint="eastAsia" w:ascii="宋体" w:hAnsi="宋体" w:cs="Times New Roman"/>
          <w:color w:val="000000"/>
          <w:kern w:val="0"/>
          <w:sz w:val="24"/>
          <w:szCs w:val="32"/>
        </w:rPr>
        <w:br w:type="page"/>
      </w: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169" w:name="_Toc511894530"/>
      <w:bookmarkStart w:id="170" w:name="_Toc4634"/>
      <w:r>
        <w:rPr>
          <w:rFonts w:hint="eastAsia" w:ascii="宋体" w:hAnsi="宋体" w:cs="Times New Roman"/>
          <w:bCs w:val="0"/>
          <w:color w:val="000000"/>
        </w:rPr>
        <w:t>中小企业声明函</w:t>
      </w:r>
      <w:bookmarkEnd w:id="169"/>
      <w:r>
        <w:rPr>
          <w:rFonts w:hint="eastAsia" w:ascii="宋体" w:hAnsi="宋体" w:cs="Times New Roman"/>
          <w:bCs w:val="0"/>
          <w:color w:val="000000"/>
        </w:rPr>
        <w:t>（适用于工程类、服务类项目）</w:t>
      </w:r>
      <w:bookmarkEnd w:id="170"/>
    </w:p>
    <w:p>
      <w:pPr>
        <w:jc w:val="center"/>
        <w:rPr>
          <w:rFonts w:ascii="宋体" w:hAnsi="宋体"/>
          <w:b/>
          <w:color w:val="000000"/>
          <w:sz w:val="30"/>
          <w:szCs w:val="30"/>
        </w:rPr>
      </w:pPr>
      <w:r>
        <w:rPr>
          <w:rFonts w:hint="eastAsia" w:ascii="宋体" w:hAnsi="宋体"/>
          <w:b/>
          <w:color w:val="000000"/>
          <w:sz w:val="30"/>
          <w:szCs w:val="30"/>
        </w:rPr>
        <w:t>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pPr>
        <w:spacing w:line="360" w:lineRule="auto"/>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武汉安平天志工程咨询有限公司：</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本公司（联合体）郑重声明，根据《政府采购促进中小企业发展管理办法》（财库﹝2020﹞46 号）的规定，本公司（联合体）参加</w:t>
      </w:r>
      <w:r>
        <w:rPr>
          <w:rFonts w:hint="eastAsia"/>
          <w:color w:val="0D0D0D" w:themeColor="text1" w:themeTint="F2"/>
          <w:sz w:val="24"/>
          <w:szCs w:val="24"/>
          <w:u w:val="single"/>
          <w14:textFill>
            <w14:solidFill>
              <w14:schemeClr w14:val="tx1">
                <w14:lumMod w14:val="95000"/>
                <w14:lumOff w14:val="5000"/>
              </w14:schemeClr>
            </w14:solidFill>
          </w14:textFill>
        </w:rPr>
        <w:t xml:space="preserve"> （单位名称） </w:t>
      </w:r>
      <w:r>
        <w:rPr>
          <w:rFonts w:hint="eastAsia"/>
          <w:color w:val="0D0D0D" w:themeColor="text1" w:themeTint="F2"/>
          <w:sz w:val="24"/>
          <w:szCs w:val="24"/>
          <w14:textFill>
            <w14:solidFill>
              <w14:schemeClr w14:val="tx1">
                <w14:lumMod w14:val="95000"/>
                <w14:lumOff w14:val="5000"/>
              </w14:schemeClr>
            </w14:solidFill>
          </w14:textFill>
        </w:rPr>
        <w:t>的</w:t>
      </w:r>
      <w:r>
        <w:rPr>
          <w:rFonts w:hint="eastAsia"/>
          <w:color w:val="0D0D0D" w:themeColor="text1" w:themeTint="F2"/>
          <w:sz w:val="24"/>
          <w:szCs w:val="24"/>
          <w:u w:val="single"/>
          <w14:textFill>
            <w14:solidFill>
              <w14:schemeClr w14:val="tx1">
                <w14:lumMod w14:val="95000"/>
                <w14:lumOff w14:val="5000"/>
              </w14:schemeClr>
            </w14:solidFill>
          </w14:textFill>
        </w:rPr>
        <w:t xml:space="preserve"> （项目名称） </w:t>
      </w:r>
      <w:r>
        <w:rPr>
          <w:rFonts w:hint="eastAsia"/>
          <w:color w:val="0D0D0D" w:themeColor="text1" w:themeTint="F2"/>
          <w:sz w:val="24"/>
          <w:szCs w:val="24"/>
          <w14:textFill>
            <w14:solidFill>
              <w14:schemeClr w14:val="tx1">
                <w14:lumMod w14:val="95000"/>
                <w14:lumOff w14:val="5000"/>
              </w14:schemeClr>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w:t>
      </w:r>
      <w:r>
        <w:rPr>
          <w:rFonts w:hint="eastAsia"/>
          <w:color w:val="0D0D0D" w:themeColor="text1" w:themeTint="F2"/>
          <w:sz w:val="24"/>
          <w:szCs w:val="24"/>
          <w:u w:val="single"/>
          <w14:textFill>
            <w14:solidFill>
              <w14:schemeClr w14:val="tx1">
                <w14:lumMod w14:val="95000"/>
                <w14:lumOff w14:val="5000"/>
              </w14:schemeClr>
            </w14:solidFill>
          </w14:textFill>
        </w:rPr>
        <w:t xml:space="preserve"> （标的名称） </w:t>
      </w:r>
      <w:r>
        <w:rPr>
          <w:rFonts w:hint="eastAsia"/>
          <w:color w:val="0D0D0D" w:themeColor="text1" w:themeTint="F2"/>
          <w:sz w:val="24"/>
          <w:szCs w:val="24"/>
          <w14:textFill>
            <w14:solidFill>
              <w14:schemeClr w14:val="tx1">
                <w14:lumMod w14:val="95000"/>
                <w14:lumOff w14:val="5000"/>
              </w14:schemeClr>
            </w14:solidFill>
          </w14:textFill>
        </w:rPr>
        <w:t>，属于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4"/>
          <w:szCs w:val="24"/>
          <w14:textFill>
            <w14:solidFill>
              <w14:schemeClr w14:val="tx1">
                <w14:lumMod w14:val="95000"/>
                <w14:lumOff w14:val="5000"/>
              </w14:schemeClr>
            </w14:solidFill>
          </w14:textFill>
        </w:rPr>
        <w:t>行业 ；承建（承接）企业为</w:t>
      </w:r>
      <w:r>
        <w:rPr>
          <w:rFonts w:hint="eastAsia"/>
          <w:color w:val="0D0D0D" w:themeColor="text1" w:themeTint="F2"/>
          <w:sz w:val="24"/>
          <w:szCs w:val="24"/>
          <w:u w:val="single"/>
          <w14:textFill>
            <w14:solidFill>
              <w14:schemeClr w14:val="tx1">
                <w14:lumMod w14:val="95000"/>
                <w14:lumOff w14:val="5000"/>
              </w14:schemeClr>
            </w14:solidFill>
          </w14:textFill>
        </w:rPr>
        <w:t xml:space="preserve"> （企业名称） </w:t>
      </w:r>
      <w:r>
        <w:rPr>
          <w:rFonts w:hint="eastAsia"/>
          <w:color w:val="0D0D0D" w:themeColor="text1" w:themeTint="F2"/>
          <w:sz w:val="24"/>
          <w:szCs w:val="24"/>
          <w14:textFill>
            <w14:solidFill>
              <w14:schemeClr w14:val="tx1">
                <w14:lumMod w14:val="95000"/>
                <w14:lumOff w14:val="5000"/>
              </w14:schemeClr>
            </w14:solidFill>
          </w14:textFill>
        </w:rPr>
        <w:t>，从业人员</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人，营业收入为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万元，资产总额为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u w:val="single"/>
          <w14:textFill>
            <w14:solidFill>
              <w14:schemeClr w14:val="tx1">
                <w14:lumMod w14:val="95000"/>
                <w14:lumOff w14:val="5000"/>
              </w14:schemeClr>
            </w14:solidFill>
          </w14:textFill>
        </w:rPr>
        <w:t xml:space="preserve"> （标的名称） </w:t>
      </w:r>
      <w:r>
        <w:rPr>
          <w:rFonts w:hint="eastAsia"/>
          <w:color w:val="0D0D0D" w:themeColor="text1" w:themeTint="F2"/>
          <w:sz w:val="24"/>
          <w:szCs w:val="24"/>
          <w14:textFill>
            <w14:solidFill>
              <w14:schemeClr w14:val="tx1">
                <w14:lumMod w14:val="95000"/>
                <w14:lumOff w14:val="5000"/>
              </w14:schemeClr>
            </w14:solidFill>
          </w14:textFill>
        </w:rPr>
        <w:t>，属于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4"/>
          <w:szCs w:val="24"/>
          <w14:textFill>
            <w14:solidFill>
              <w14:schemeClr w14:val="tx1">
                <w14:lumMod w14:val="95000"/>
                <w14:lumOff w14:val="5000"/>
              </w14:schemeClr>
            </w14:solidFill>
          </w14:textFill>
        </w:rPr>
        <w:t>行业 ；承建（承接）企业为</w:t>
      </w:r>
      <w:r>
        <w:rPr>
          <w:rFonts w:hint="eastAsia"/>
          <w:color w:val="0D0D0D" w:themeColor="text1" w:themeTint="F2"/>
          <w:sz w:val="24"/>
          <w:szCs w:val="24"/>
          <w:u w:val="single"/>
          <w14:textFill>
            <w14:solidFill>
              <w14:schemeClr w14:val="tx1">
                <w14:lumMod w14:val="95000"/>
                <w14:lumOff w14:val="5000"/>
              </w14:schemeClr>
            </w14:solidFill>
          </w14:textFill>
        </w:rPr>
        <w:t xml:space="preserve"> （企业名称） </w:t>
      </w:r>
      <w:r>
        <w:rPr>
          <w:rFonts w:hint="eastAsia"/>
          <w:color w:val="0D0D0D" w:themeColor="text1" w:themeTint="F2"/>
          <w:sz w:val="24"/>
          <w:szCs w:val="24"/>
          <w14:textFill>
            <w14:solidFill>
              <w14:schemeClr w14:val="tx1">
                <w14:lumMod w14:val="95000"/>
                <w14:lumOff w14:val="5000"/>
              </w14:schemeClr>
            </w14:solidFill>
          </w14:textFill>
        </w:rPr>
        <w:t>，从业人员</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人，营业收入为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万元，资产总额为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以上企业，不属于大企业的分支机构，不存在控股股东为大企业的情形，也不存在与大企业的负责人为同一人的情形。</w:t>
      </w:r>
    </w:p>
    <w:p>
      <w:pPr>
        <w:spacing w:line="360" w:lineRule="auto"/>
        <w:ind w:left="1027" w:leftChars="200" w:hanging="607" w:hangingChars="253"/>
        <w:jc w:val="left"/>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本企业对上述声明内容的真实性负责。如有虚假，将依法承担相应责任。</w:t>
      </w:r>
    </w:p>
    <w:p>
      <w:pPr>
        <w:spacing w:line="360" w:lineRule="auto"/>
        <w:ind w:left="1091" w:hanging="1091" w:hangingChars="453"/>
        <w:jc w:val="left"/>
        <w:rPr>
          <w:rFonts w:ascii="宋体" w:hAnsi="宋体" w:cs="Times New Roman"/>
          <w:b/>
          <w:color w:val="0D0D0D" w:themeColor="text1" w:themeTint="F2"/>
          <w:sz w:val="24"/>
          <w:szCs w:val="21"/>
          <w:lang w:val="zh-CN"/>
          <w14:textFill>
            <w14:solidFill>
              <w14:schemeClr w14:val="tx1">
                <w14:lumMod w14:val="95000"/>
                <w14:lumOff w14:val="5000"/>
              </w14:schemeClr>
            </w14:solidFill>
          </w14:textFill>
        </w:rPr>
      </w:pPr>
    </w:p>
    <w:p>
      <w:pPr>
        <w:spacing w:line="360" w:lineRule="auto"/>
        <w:ind w:left="1091" w:hanging="1091" w:hangingChars="453"/>
        <w:jc w:val="left"/>
        <w:rPr>
          <w:rFonts w:ascii="宋体" w:hAnsi="宋体" w:cs="Times New Roman"/>
          <w:color w:val="0D0D0D" w:themeColor="text1" w:themeTint="F2"/>
          <w:sz w:val="24"/>
          <w:szCs w:val="21"/>
          <w:lang w:val="zh-CN"/>
          <w14:textFill>
            <w14:solidFill>
              <w14:schemeClr w14:val="tx1">
                <w14:lumMod w14:val="95000"/>
                <w14:lumOff w14:val="5000"/>
              </w14:schemeClr>
            </w14:solidFill>
          </w14:textFill>
        </w:rPr>
      </w:pPr>
      <w:r>
        <w:rPr>
          <w:rFonts w:hint="eastAsia" w:ascii="宋体" w:hAnsi="宋体" w:cs="Times New Roman"/>
          <w:b/>
          <w:color w:val="0D0D0D" w:themeColor="text1" w:themeTint="F2"/>
          <w:sz w:val="24"/>
          <w:szCs w:val="21"/>
          <w:lang w:val="zh-CN"/>
          <w14:textFill>
            <w14:solidFill>
              <w14:schemeClr w14:val="tx1">
                <w14:lumMod w14:val="95000"/>
                <w14:lumOff w14:val="5000"/>
              </w14:schemeClr>
            </w14:solidFill>
          </w14:textFill>
        </w:rPr>
        <w:t>说明：</w:t>
      </w:r>
      <w:r>
        <w:rPr>
          <w:rFonts w:hint="eastAsia" w:ascii="宋体" w:hAnsi="宋体" w:cs="Times New Roman"/>
          <w:color w:val="0D0D0D" w:themeColor="text1" w:themeTint="F2"/>
          <w:sz w:val="24"/>
          <w:szCs w:val="21"/>
          <w:lang w:val="zh-CN"/>
          <w14:textFill>
            <w14:solidFill>
              <w14:schemeClr w14:val="tx1">
                <w14:lumMod w14:val="95000"/>
                <w14:lumOff w14:val="5000"/>
              </w14:schemeClr>
            </w14:solidFill>
          </w14:textFill>
        </w:rPr>
        <w:t>以联合体方式参与项目投标的供应商，应由联合体各方盖章。</w:t>
      </w:r>
    </w:p>
    <w:p>
      <w:pPr>
        <w:spacing w:before="100" w:beforeAutospacing="1" w:after="100" w:afterAutospacing="1" w:line="276" w:lineRule="auto"/>
        <w:ind w:firstLine="3436" w:firstLineChars="1432"/>
        <w:rPr>
          <w:rFonts w:ascii="宋体" w:hAnsi="宋体" w:cs="Times New Roman"/>
          <w:bCs/>
          <w:color w:val="0D0D0D" w:themeColor="text1" w:themeTint="F2"/>
          <w:sz w:val="24"/>
          <w:szCs w:val="21"/>
          <w:lang w:val="zh-CN"/>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1"/>
          <w:lang w:val="zh-CN"/>
          <w14:textFill>
            <w14:solidFill>
              <w14:schemeClr w14:val="tx1">
                <w14:lumMod w14:val="95000"/>
                <w14:lumOff w14:val="5000"/>
              </w14:schemeClr>
            </w14:solidFill>
          </w14:textFill>
        </w:rPr>
        <w:t>投标人（公章）：</w:t>
      </w:r>
      <w:r>
        <w:rPr>
          <w:rFonts w:hint="eastAsia" w:ascii="宋体" w:hAnsi="宋体" w:cs="Times New Roman"/>
          <w:bCs/>
          <w:color w:val="0D0D0D" w:themeColor="text1" w:themeTint="F2"/>
          <w:sz w:val="24"/>
          <w:szCs w:val="21"/>
          <w:u w:val="single"/>
          <w:lang w:val="zh-CN"/>
          <w14:textFill>
            <w14:solidFill>
              <w14:schemeClr w14:val="tx1">
                <w14:lumMod w14:val="95000"/>
                <w14:lumOff w14:val="5000"/>
              </w14:schemeClr>
            </w14:solidFill>
          </w14:textFill>
        </w:rPr>
        <w:t xml:space="preserve">                          </w:t>
      </w:r>
    </w:p>
    <w:p>
      <w:pPr>
        <w:spacing w:before="100" w:beforeAutospacing="1" w:after="100" w:afterAutospacing="1" w:line="360" w:lineRule="auto"/>
        <w:ind w:firstLine="3436" w:firstLineChars="1432"/>
        <w:rPr>
          <w:rFonts w:ascii="Times New Roman" w:hAnsi="宋体" w:cs="Times New Roman"/>
          <w:bCs/>
          <w:color w:val="0D0D0D" w:themeColor="text1" w:themeTint="F2"/>
          <w:sz w:val="24"/>
          <w:szCs w:val="24"/>
          <w:u w:val="single"/>
          <w14:textFill>
            <w14:solidFill>
              <w14:schemeClr w14:val="tx1">
                <w14:lumMod w14:val="95000"/>
                <w14:lumOff w14:val="5000"/>
              </w14:schemeClr>
            </w14:solidFill>
          </w14:textFill>
        </w:rPr>
      </w:pPr>
      <w:r>
        <w:rPr>
          <w:rFonts w:hint="eastAsia" w:ascii="Times New Roman" w:hAnsi="宋体" w:cs="Times New Roman"/>
          <w:color w:val="0D0D0D" w:themeColor="text1" w:themeTint="F2"/>
          <w:sz w:val="24"/>
          <w:szCs w:val="24"/>
          <w14:textFill>
            <w14:solidFill>
              <w14:schemeClr w14:val="tx1">
                <w14:lumMod w14:val="95000"/>
                <w14:lumOff w14:val="5000"/>
              </w14:schemeClr>
            </w14:solidFill>
          </w14:textFill>
        </w:rPr>
        <w:t>日 </w:t>
      </w:r>
      <w:r>
        <w:rPr>
          <w:rFonts w:ascii="Times New Roman" w:hAnsi="宋体" w:cs="Times New Roman"/>
          <w:color w:val="0D0D0D" w:themeColor="text1" w:themeTint="F2"/>
          <w:sz w:val="24"/>
          <w:szCs w:val="24"/>
          <w14:textFill>
            <w14:solidFill>
              <w14:schemeClr w14:val="tx1">
                <w14:lumMod w14:val="95000"/>
                <w14:lumOff w14:val="5000"/>
              </w14:schemeClr>
            </w14:solidFill>
          </w14:textFill>
        </w:rPr>
        <w:t xml:space="preserve"> </w:t>
      </w:r>
      <w:r>
        <w:rPr>
          <w:rFonts w:hint="eastAsia" w:ascii="Times New Roman" w:hAnsi="宋体" w:cs="Times New Roman"/>
          <w:color w:val="0D0D0D" w:themeColor="text1" w:themeTint="F2"/>
          <w:sz w:val="24"/>
          <w:szCs w:val="24"/>
          <w14:textFill>
            <w14:solidFill>
              <w14:schemeClr w14:val="tx1">
                <w14:lumMod w14:val="95000"/>
                <w14:lumOff w14:val="5000"/>
              </w14:schemeClr>
            </w14:solidFill>
          </w14:textFill>
        </w:rPr>
        <w:t> 期：</w:t>
      </w:r>
      <w:r>
        <w:rPr>
          <w:rFonts w:ascii="Times New Roman" w:hAnsi="宋体" w:cs="Times New Roman"/>
          <w:bCs/>
          <w:color w:val="0D0D0D" w:themeColor="text1" w:themeTint="F2"/>
          <w:sz w:val="24"/>
          <w:szCs w:val="24"/>
          <w:u w:val="single"/>
          <w14:textFill>
            <w14:solidFill>
              <w14:schemeClr w14:val="tx1">
                <w14:lumMod w14:val="95000"/>
                <w14:lumOff w14:val="5000"/>
              </w14:schemeClr>
            </w14:solidFill>
          </w14:textFill>
        </w:rPr>
        <w:t xml:space="preserve">                                </w:t>
      </w:r>
    </w:p>
    <w:p>
      <w:pPr>
        <w:pStyle w:val="12"/>
      </w:pPr>
    </w:p>
    <w:p>
      <w:pPr>
        <w:rPr>
          <w:rFonts w:cs="Times New Roman" w:asciiTheme="majorEastAsia" w:hAnsiTheme="majorEastAsia"/>
          <w:color w:val="0D0D0D" w:themeColor="text1" w:themeTint="F2"/>
          <w14:textFill>
            <w14:solidFill>
              <w14:schemeClr w14:val="tx1">
                <w14:lumMod w14:val="95000"/>
                <w14:lumOff w14:val="5000"/>
              </w14:schemeClr>
            </w14:solidFill>
          </w14:textFill>
        </w:rPr>
      </w:pPr>
      <w:r>
        <w:rPr>
          <w:rFonts w:hint="eastAsia" w:cs="Times New Roman" w:asciiTheme="majorEastAsia" w:hAnsiTheme="majorEastAsia"/>
          <w:color w:val="0D0D0D" w:themeColor="text1" w:themeTint="F2"/>
          <w14:textFill>
            <w14:solidFill>
              <w14:schemeClr w14:val="tx1">
                <w14:lumMod w14:val="95000"/>
                <w14:lumOff w14:val="5000"/>
              </w14:schemeClr>
            </w14:solidFill>
          </w14:textFill>
        </w:rPr>
        <w:t>注：1、从业人员、营业收入、资产总额填报上一年度数据，无上一年度数据的新成立企业可不填报。</w:t>
      </w:r>
    </w:p>
    <w:p>
      <w:pPr>
        <w:rPr>
          <w:rFonts w:cs="Times New Roman" w:asciiTheme="majorEastAsia" w:hAnsiTheme="majorEastAsia"/>
          <w:color w:val="0D0D0D" w:themeColor="text1" w:themeTint="F2"/>
          <w14:textFill>
            <w14:solidFill>
              <w14:schemeClr w14:val="tx1">
                <w14:lumMod w14:val="95000"/>
                <w14:lumOff w14:val="5000"/>
              </w14:schemeClr>
            </w14:solidFill>
          </w14:textFill>
        </w:rPr>
      </w:pPr>
    </w:p>
    <w:p>
      <w:pPr>
        <w:ind w:firstLine="420" w:firstLineChars="200"/>
        <w:rPr>
          <w:rFonts w:cs="Times New Roman" w:asciiTheme="majorEastAsia" w:hAnsiTheme="majorEastAsia"/>
          <w:color w:val="0D0D0D" w:themeColor="text1" w:themeTint="F2"/>
          <w14:textFill>
            <w14:solidFill>
              <w14:schemeClr w14:val="tx1">
                <w14:lumMod w14:val="95000"/>
                <w14:lumOff w14:val="5000"/>
              </w14:schemeClr>
            </w14:solidFill>
          </w14:textFill>
        </w:rPr>
        <w:sectPr>
          <w:footerReference r:id="rId5" w:type="default"/>
          <w:pgSz w:w="11906" w:h="16838"/>
          <w:pgMar w:top="1134" w:right="1191" w:bottom="1134" w:left="1191" w:header="851" w:footer="992" w:gutter="0"/>
          <w:pgNumType w:start="1"/>
          <w:cols w:space="425" w:num="1"/>
          <w:docGrid w:type="lines" w:linePitch="312" w:charSpace="0"/>
        </w:sectPr>
      </w:pPr>
      <w:r>
        <w:rPr>
          <w:rFonts w:hint="eastAsia" w:cs="Times New Roman" w:asciiTheme="majorEastAsia" w:hAnsiTheme="majorEastAsia"/>
          <w:color w:val="0D0D0D" w:themeColor="text1" w:themeTint="F2"/>
          <w14:textFill>
            <w14:solidFill>
              <w14:schemeClr w14:val="tx1">
                <w14:lumMod w14:val="95000"/>
                <w14:lumOff w14:val="5000"/>
              </w14:schemeClr>
            </w14:solidFill>
          </w14:textFill>
        </w:rPr>
        <w:t>2、本项目不接受联合体投</w:t>
      </w:r>
    </w:p>
    <w:p>
      <w:pPr>
        <w:pStyle w:val="6"/>
        <w:numPr>
          <w:ilvl w:val="0"/>
          <w:numId w:val="77"/>
        </w:numPr>
        <w:spacing w:before="40" w:after="40" w:line="360" w:lineRule="auto"/>
        <w:ind w:left="1285" w:hanging="1280" w:hangingChars="400"/>
        <w:jc w:val="left"/>
        <w:rPr>
          <w:rFonts w:ascii="宋体" w:hAnsi="宋体" w:cs="Times New Roman"/>
          <w:bCs w:val="0"/>
          <w:color w:val="000000"/>
        </w:rPr>
      </w:pPr>
      <w:bookmarkStart w:id="171" w:name="_Toc21960"/>
      <w:bookmarkStart w:id="172" w:name="_Toc511894531"/>
      <w:bookmarkStart w:id="173" w:name="_Toc476153619"/>
      <w:r>
        <w:rPr>
          <w:rFonts w:hint="eastAsia" w:ascii="宋体" w:hAnsi="宋体" w:cs="Times New Roman"/>
          <w:bCs w:val="0"/>
          <w:color w:val="000000"/>
        </w:rPr>
        <w:t>中小企业划型标准</w:t>
      </w:r>
      <w:bookmarkEnd w:id="171"/>
      <w:bookmarkEnd w:id="172"/>
      <w:bookmarkEnd w:id="173"/>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2"/>
        <w:gridCol w:w="1997"/>
        <w:gridCol w:w="1181"/>
        <w:gridCol w:w="908"/>
        <w:gridCol w:w="928"/>
        <w:gridCol w:w="1092"/>
        <w:gridCol w:w="928"/>
        <w:gridCol w:w="983"/>
        <w:gridCol w:w="1092"/>
        <w:gridCol w:w="946"/>
        <w:gridCol w:w="991"/>
        <w:gridCol w:w="1092"/>
        <w:gridCol w:w="868"/>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restart"/>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1997" w:type="dxa"/>
            <w:vMerge w:val="restart"/>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行业</w:t>
            </w:r>
          </w:p>
        </w:tc>
        <w:tc>
          <w:tcPr>
            <w:tcW w:w="3017"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大型企业</w:t>
            </w:r>
          </w:p>
        </w:tc>
        <w:tc>
          <w:tcPr>
            <w:tcW w:w="3003"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中型企业</w:t>
            </w:r>
          </w:p>
        </w:tc>
        <w:tc>
          <w:tcPr>
            <w:tcW w:w="3029"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小型企业</w:t>
            </w:r>
          </w:p>
        </w:tc>
        <w:tc>
          <w:tcPr>
            <w:tcW w:w="2800"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微型企业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continue"/>
            <w:vAlign w:val="center"/>
          </w:tcPr>
          <w:p>
            <w:pPr>
              <w:spacing w:line="240" w:lineRule="atLeast"/>
              <w:ind w:left="-48" w:leftChars="-23" w:right="-65" w:rightChars="-31"/>
              <w:jc w:val="center"/>
              <w:rPr>
                <w:rFonts w:ascii="宋体" w:hAnsi="宋体" w:cs="宋体"/>
                <w:b/>
                <w:color w:val="000000"/>
                <w:kern w:val="0"/>
                <w:szCs w:val="21"/>
              </w:rPr>
            </w:pPr>
          </w:p>
        </w:tc>
        <w:tc>
          <w:tcPr>
            <w:tcW w:w="1997" w:type="dxa"/>
            <w:vMerge w:val="continue"/>
            <w:vAlign w:val="center"/>
          </w:tcPr>
          <w:p>
            <w:pPr>
              <w:spacing w:line="240" w:lineRule="atLeast"/>
              <w:ind w:left="-48" w:leftChars="-23" w:right="-65" w:rightChars="-31"/>
              <w:jc w:val="left"/>
              <w:rPr>
                <w:rFonts w:ascii="宋体" w:hAnsi="宋体" w:cs="宋体"/>
                <w:b/>
                <w:color w:val="000000"/>
                <w:kern w:val="0"/>
                <w:szCs w:val="21"/>
              </w:rPr>
            </w:pPr>
          </w:p>
        </w:tc>
        <w:tc>
          <w:tcPr>
            <w:tcW w:w="1181"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0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2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2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83"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46"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91"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86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840"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农、林、牧、渔业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vAlign w:val="center"/>
          </w:tcPr>
          <w:p>
            <w:pPr>
              <w:widowControl/>
              <w:spacing w:line="240" w:lineRule="atLeast"/>
              <w:jc w:val="center"/>
              <w:rPr>
                <w:rFonts w:ascii="宋体" w:hAnsi="宋体" w:cs="宋体"/>
                <w:color w:val="000000"/>
                <w:kern w:val="0"/>
                <w:szCs w:val="21"/>
              </w:rPr>
            </w:pP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8" w:type="dxa"/>
            <w:vAlign w:val="center"/>
          </w:tcPr>
          <w:p>
            <w:pPr>
              <w:widowControl/>
              <w:spacing w:line="240" w:lineRule="atLeast"/>
              <w:jc w:val="center"/>
              <w:rPr>
                <w:rFonts w:ascii="宋体" w:hAnsi="宋体" w:cs="宋体"/>
                <w:color w:val="000000"/>
                <w:kern w:val="0"/>
                <w:szCs w:val="21"/>
              </w:rPr>
            </w:pP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2</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工业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3</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建筑业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4</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批发业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5</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零售业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6</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交通运输业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7</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仓储业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8</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邮政业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9</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住宿业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10</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餐饮业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11</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信息传输业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12</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软件和信息技术服务业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13</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房地产开发经验</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且,≥5000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且,≥2000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14</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物业管理</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15</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租赁和商务服务业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或,≥120000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且,≥8000</w:t>
            </w:r>
          </w:p>
        </w:tc>
        <w:tc>
          <w:tcPr>
            <w:tcW w:w="1092" w:type="dxa"/>
            <w:vAlign w:val="center"/>
          </w:tcPr>
          <w:p>
            <w:pPr>
              <w:widowControl/>
              <w:spacing w:line="240" w:lineRule="atLeast"/>
              <w:jc w:val="center"/>
              <w:rPr>
                <w:rFonts w:ascii="宋体" w:hAnsi="宋体" w:cs="宋体"/>
                <w:color w:val="000000"/>
                <w:kern w:val="0"/>
                <w:szCs w:val="21"/>
              </w:rPr>
            </w:pP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且,≥100</w:t>
            </w:r>
          </w:p>
        </w:tc>
        <w:tc>
          <w:tcPr>
            <w:tcW w:w="1092" w:type="dxa"/>
            <w:vAlign w:val="center"/>
          </w:tcPr>
          <w:p>
            <w:pPr>
              <w:widowControl/>
              <w:spacing w:line="240" w:lineRule="atLeast"/>
              <w:jc w:val="center"/>
              <w:rPr>
                <w:rFonts w:ascii="宋体" w:hAnsi="宋体" w:cs="宋体"/>
                <w:color w:val="000000"/>
                <w:kern w:val="0"/>
                <w:szCs w:val="21"/>
              </w:rPr>
            </w:pP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16</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其他未列明行业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bl>
    <w:p>
      <w:pPr>
        <w:rPr>
          <w:color w:val="000000"/>
        </w:rPr>
        <w:sectPr>
          <w:headerReference r:id="rId6" w:type="default"/>
          <w:footerReference r:id="rId7" w:type="default"/>
          <w:pgSz w:w="16838" w:h="11906" w:orient="landscape"/>
          <w:pgMar w:top="1191" w:right="1134" w:bottom="1191" w:left="1134" w:header="851" w:footer="992" w:gutter="0"/>
          <w:cols w:space="720" w:num="1"/>
          <w:docGrid w:type="linesAndChars" w:linePitch="312" w:charSpace="0"/>
        </w:sectPr>
      </w:pP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174" w:name="_Toc494665954"/>
      <w:bookmarkStart w:id="175" w:name="_Toc494721104"/>
      <w:bookmarkStart w:id="176" w:name="_Toc494745321"/>
      <w:bookmarkStart w:id="177" w:name="_Toc494702274"/>
      <w:bookmarkStart w:id="178" w:name="_Toc494665557"/>
      <w:bookmarkStart w:id="179" w:name="_Toc494665004"/>
      <w:bookmarkStart w:id="180" w:name="_Toc511894532"/>
      <w:bookmarkStart w:id="181" w:name="_Toc19406"/>
      <w:r>
        <w:rPr>
          <w:rFonts w:hint="eastAsia" w:ascii="宋体" w:hAnsi="宋体" w:cs="Times New Roman"/>
          <w:bCs w:val="0"/>
          <w:color w:val="000000"/>
        </w:rPr>
        <w:t>残疾人福利性单位声明函</w:t>
      </w:r>
      <w:bookmarkEnd w:id="174"/>
      <w:bookmarkEnd w:id="175"/>
      <w:bookmarkEnd w:id="176"/>
      <w:bookmarkEnd w:id="177"/>
      <w:bookmarkEnd w:id="178"/>
      <w:bookmarkEnd w:id="179"/>
      <w:bookmarkEnd w:id="180"/>
      <w:r>
        <w:rPr>
          <w:rFonts w:hint="eastAsia" w:ascii="宋体" w:hAnsi="宋体" w:cs="Times New Roman"/>
          <w:bCs w:val="0"/>
          <w:color w:val="000000"/>
        </w:rPr>
        <w:t>（适用于货物类项目）</w:t>
      </w:r>
      <w:bookmarkEnd w:id="181"/>
    </w:p>
    <w:p>
      <w:pPr>
        <w:jc w:val="center"/>
        <w:rPr>
          <w:rFonts w:ascii="宋体" w:hAnsi="宋体"/>
          <w:b/>
          <w:color w:val="000000"/>
          <w:sz w:val="30"/>
          <w:szCs w:val="30"/>
        </w:rPr>
      </w:pPr>
      <w:r>
        <w:rPr>
          <w:rFonts w:hint="eastAsia" w:ascii="宋体" w:hAnsi="宋体"/>
          <w:b/>
          <w:color w:val="000000"/>
          <w:sz w:val="30"/>
          <w:szCs w:val="30"/>
        </w:rPr>
        <w:t>残疾人福利性单位声明函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spacing w:line="360" w:lineRule="auto"/>
        <w:rPr>
          <w:rFonts w:ascii="宋体" w:hAnsi="宋体" w:cs="Courier New"/>
          <w:b/>
          <w:color w:val="000000"/>
          <w:sz w:val="28"/>
          <w:szCs w:val="28"/>
        </w:rPr>
      </w:pPr>
      <w:r>
        <w:rPr>
          <w:rFonts w:hint="eastAsia" w:ascii="宋体" w:hAnsi="宋体" w:cs="Times New Roman"/>
          <w:b/>
          <w:color w:val="000000"/>
          <w:sz w:val="28"/>
          <w:szCs w:val="28"/>
        </w:rPr>
        <w:t>武汉安平天志工程咨询有限公司</w:t>
      </w:r>
      <w:r>
        <w:rPr>
          <w:rFonts w:hint="eastAsia" w:ascii="宋体" w:hAnsi="宋体" w:cs="Courier New"/>
          <w:b/>
          <w:color w:val="000000"/>
          <w:sz w:val="28"/>
          <w:szCs w:val="28"/>
        </w:rPr>
        <w:t>：</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numPr>
          <w:ilvl w:val="0"/>
          <w:numId w:val="80"/>
        </w:numPr>
        <w:tabs>
          <w:tab w:val="left" w:pos="854"/>
        </w:tabs>
        <w:autoSpaceDE w:val="0"/>
        <w:autoSpaceDN w:val="0"/>
        <w:adjustRightInd w:val="0"/>
        <w:spacing w:line="360" w:lineRule="auto"/>
        <w:ind w:left="0" w:firstLine="480" w:firstLineChars="200"/>
        <w:rPr>
          <w:rFonts w:ascii="宋体" w:hAnsi="宋体" w:cs="Courier New"/>
          <w:color w:val="000000"/>
          <w:sz w:val="24"/>
          <w:szCs w:val="21"/>
        </w:rPr>
      </w:pPr>
      <w:r>
        <w:rPr>
          <w:rFonts w:hint="eastAsia" w:ascii="宋体" w:hAnsi="宋体" w:cs="Courier New"/>
          <w:color w:val="000000"/>
          <w:sz w:val="24"/>
          <w:szCs w:val="21"/>
        </w:rPr>
        <w:t>本单位授权</w:t>
      </w:r>
      <w:r>
        <w:rPr>
          <w:rFonts w:hint="eastAsia" w:ascii="宋体" w:hAnsi="宋体" w:cs="Courier New"/>
          <w:color w:val="000000"/>
          <w:sz w:val="24"/>
          <w:szCs w:val="21"/>
          <w:u w:val="single"/>
        </w:rPr>
        <w:t xml:space="preserve"> （投标人） </w:t>
      </w:r>
      <w:r>
        <w:rPr>
          <w:rFonts w:hint="eastAsia" w:ascii="宋体" w:hAnsi="宋体" w:cs="Courier New"/>
          <w:color w:val="000000"/>
          <w:sz w:val="24"/>
          <w:szCs w:val="21"/>
        </w:rPr>
        <w:t>参加</w:t>
      </w:r>
      <w:r>
        <w:rPr>
          <w:rFonts w:hint="eastAsia" w:ascii="宋体" w:hAnsi="宋体" w:cs="Courier New"/>
          <w:color w:val="000000"/>
          <w:sz w:val="24"/>
          <w:szCs w:val="21"/>
          <w:u w:val="single"/>
        </w:rPr>
        <w:t xml:space="preserve"> （采购人） </w:t>
      </w:r>
      <w:r>
        <w:rPr>
          <w:rFonts w:hint="eastAsia" w:ascii="宋体" w:hAnsi="宋体" w:cs="Courier New"/>
          <w:color w:val="000000"/>
          <w:sz w:val="24"/>
          <w:szCs w:val="21"/>
        </w:rPr>
        <w:t>的</w:t>
      </w:r>
      <w:r>
        <w:rPr>
          <w:rFonts w:hint="eastAsia" w:ascii="宋体" w:hAnsi="宋体" w:cs="Times New Roman"/>
          <w:color w:val="000000"/>
          <w:sz w:val="24"/>
          <w:szCs w:val="21"/>
          <w:u w:val="single"/>
        </w:rPr>
        <w:t xml:space="preserve">     </w:t>
      </w:r>
      <w:r>
        <w:rPr>
          <w:rFonts w:hint="eastAsia" w:ascii="宋体" w:hAnsi="宋体" w:cs="Courier New"/>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Courier New"/>
          <w:color w:val="000000"/>
          <w:sz w:val="24"/>
          <w:szCs w:val="21"/>
        </w:rPr>
        <w:t>）采购活动提供本单位制造的货物。本条所称货物不包括使用非残疾人福利性单位注册商标的货物。</w:t>
      </w:r>
    </w:p>
    <w:p>
      <w:pPr>
        <w:numPr>
          <w:ilvl w:val="0"/>
          <w:numId w:val="80"/>
        </w:numPr>
        <w:tabs>
          <w:tab w:val="left" w:pos="854"/>
        </w:tabs>
        <w:autoSpaceDE w:val="0"/>
        <w:autoSpaceDN w:val="0"/>
        <w:adjustRightInd w:val="0"/>
        <w:spacing w:line="360" w:lineRule="auto"/>
        <w:ind w:left="0" w:firstLine="480" w:firstLineChars="200"/>
        <w:rPr>
          <w:rFonts w:ascii="宋体" w:hAnsi="宋体"/>
          <w:bCs/>
          <w:color w:val="000000"/>
          <w:sz w:val="24"/>
        </w:rPr>
      </w:pPr>
      <w:r>
        <w:rPr>
          <w:rFonts w:hint="eastAsia" w:ascii="宋体" w:hAnsi="宋体"/>
          <w:bCs/>
          <w:color w:val="000000"/>
          <w:sz w:val="24"/>
        </w:rPr>
        <w:t>由本单位制造的货物清单见下表：</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414"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224"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品牌规格型号</w:t>
            </w:r>
          </w:p>
        </w:tc>
        <w:tc>
          <w:tcPr>
            <w:tcW w:w="907"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278"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843"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c>
          <w:tcPr>
            <w:tcW w:w="1228"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81"/>
              </w:numPr>
              <w:tabs>
                <w:tab w:val="left" w:pos="61"/>
              </w:tabs>
              <w:adjustRightInd w:val="0"/>
              <w:snapToGrid w:val="0"/>
              <w:ind w:left="-63" w:leftChars="-30" w:firstLine="0"/>
              <w:jc w:val="center"/>
              <w:rPr>
                <w:rFonts w:ascii="宋体" w:hAnsi="宋体"/>
                <w:color w:val="000000"/>
                <w:sz w:val="24"/>
              </w:rPr>
            </w:pP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376" w:rightChars="-179"/>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81"/>
              </w:numPr>
              <w:tabs>
                <w:tab w:val="left" w:pos="61"/>
              </w:tabs>
              <w:adjustRightInd w:val="0"/>
              <w:snapToGrid w:val="0"/>
              <w:ind w:left="-63" w:leftChars="-30" w:firstLine="0"/>
              <w:jc w:val="center"/>
              <w:rPr>
                <w:rFonts w:ascii="宋体" w:hAnsi="宋体"/>
                <w:color w:val="000000"/>
                <w:sz w:val="24"/>
              </w:rPr>
            </w:pP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6475" w:type="dxa"/>
            <w:gridSpan w:val="5"/>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3071" w:type="dxa"/>
            <w:gridSpan w:val="2"/>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firstLine="475" w:firstLineChars="198"/>
        <w:jc w:val="left"/>
        <w:rPr>
          <w:rFonts w:ascii="宋体" w:hAnsi="宋体" w:cs="Times New Roman"/>
          <w:color w:val="000000"/>
          <w:sz w:val="24"/>
          <w:szCs w:val="21"/>
        </w:rPr>
      </w:pPr>
      <w:r>
        <w:rPr>
          <w:rFonts w:hint="eastAsia" w:ascii="宋体" w:hAnsi="宋体" w:cs="Times New Roman"/>
          <w:color w:val="000000"/>
          <w:sz w:val="24"/>
          <w:szCs w:val="21"/>
        </w:rPr>
        <w:t>本单位对上述声明的真实性负责。如有虚假，将依法承担相应责任。</w:t>
      </w:r>
    </w:p>
    <w:p>
      <w:pPr>
        <w:spacing w:line="360" w:lineRule="auto"/>
        <w:rPr>
          <w:rFonts w:ascii="宋体" w:hAnsi="宋体" w:cs="Times New Roman"/>
          <w:bCs/>
          <w:color w:val="000000"/>
          <w:sz w:val="24"/>
          <w:szCs w:val="24"/>
        </w:rPr>
      </w:pPr>
    </w:p>
    <w:p>
      <w:pPr>
        <w:spacing w:line="360" w:lineRule="auto"/>
        <w:ind w:left="1091" w:hanging="1091" w:hangingChars="453"/>
        <w:jc w:val="left"/>
        <w:rPr>
          <w:rFonts w:ascii="宋体" w:hAnsi="宋体" w:cs="Corbel"/>
          <w:color w:val="000000"/>
          <w:sz w:val="24"/>
          <w:szCs w:val="21"/>
        </w:rPr>
      </w:pPr>
      <w:r>
        <w:rPr>
          <w:rFonts w:hint="eastAsia" w:ascii="宋体" w:hAnsi="宋体" w:cs="Times New Roman"/>
          <w:b/>
          <w:color w:val="000000"/>
          <w:sz w:val="24"/>
          <w:szCs w:val="21"/>
        </w:rPr>
        <w:t>说明</w:t>
      </w:r>
      <w:r>
        <w:rPr>
          <w:rFonts w:hint="eastAsia" w:ascii="宋体" w:hAnsi="宋体" w:cs="Times New Roman"/>
          <w:b/>
          <w:bCs/>
          <w:color w:val="000000"/>
          <w:sz w:val="24"/>
          <w:szCs w:val="24"/>
        </w:rPr>
        <w:t>：</w:t>
      </w:r>
      <w:r>
        <w:rPr>
          <w:rFonts w:hint="eastAsia" w:ascii="宋体" w:hAnsi="宋体" w:cs="Corbel"/>
          <w:color w:val="000000"/>
          <w:sz w:val="24"/>
          <w:szCs w:val="21"/>
        </w:rPr>
        <w:t>1、投标人所投货物为自己制造的，也应按本声明函格式填写。</w:t>
      </w:r>
    </w:p>
    <w:p>
      <w:pPr>
        <w:spacing w:line="360" w:lineRule="auto"/>
        <w:ind w:left="1105" w:leftChars="366" w:hanging="336" w:hangingChars="140"/>
        <w:jc w:val="left"/>
        <w:rPr>
          <w:rFonts w:ascii="宋体" w:hAnsi="宋体" w:cs="Courier New"/>
          <w:color w:val="000000"/>
          <w:sz w:val="24"/>
          <w:szCs w:val="21"/>
        </w:rPr>
      </w:pPr>
      <w:r>
        <w:rPr>
          <w:rFonts w:hint="eastAsia" w:ascii="宋体" w:hAnsi="宋体" w:cs="Courier New"/>
          <w:color w:val="000000"/>
          <w:sz w:val="24"/>
          <w:szCs w:val="21"/>
        </w:rPr>
        <w:t>2、组成联合体的大中型企业和其他自然人、法人或者其他组织，与残疾人福利性单位之间不得存在投资关系。</w:t>
      </w:r>
    </w:p>
    <w:p>
      <w:pPr>
        <w:spacing w:line="360" w:lineRule="auto"/>
        <w:ind w:left="1105" w:leftChars="366" w:hanging="336" w:hangingChars="140"/>
        <w:jc w:val="left"/>
        <w:rPr>
          <w:rFonts w:ascii="宋体" w:hAnsi="宋体" w:cs="Courier New"/>
          <w:color w:val="000000"/>
          <w:sz w:val="24"/>
          <w:szCs w:val="21"/>
        </w:rPr>
      </w:pPr>
      <w:r>
        <w:rPr>
          <w:rFonts w:hint="eastAsia" w:ascii="宋体" w:hAnsi="宋体" w:cs="Courier New"/>
          <w:color w:val="000000"/>
          <w:sz w:val="24"/>
          <w:szCs w:val="21"/>
        </w:rPr>
        <w:t>3、以联合体方式参与项目投标的供应商，应由联合体双方签字盖章。</w:t>
      </w:r>
    </w:p>
    <w:p>
      <w:pPr>
        <w:spacing w:before="100" w:beforeAutospacing="1" w:after="100" w:afterAutospacing="1" w:line="360" w:lineRule="auto"/>
        <w:ind w:firstLine="3330" w:firstLineChars="1382"/>
        <w:rPr>
          <w:rFonts w:ascii="宋体" w:hAnsi="宋体" w:cs="Times New Roman"/>
          <w:b/>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
          <w:bCs/>
          <w:color w:val="000000"/>
          <w:sz w:val="24"/>
          <w:szCs w:val="21"/>
          <w:u w:val="single"/>
        </w:rPr>
        <w:t xml:space="preserve">                           </w:t>
      </w:r>
    </w:p>
    <w:p>
      <w:pPr>
        <w:spacing w:before="100" w:beforeAutospacing="1" w:after="100" w:afterAutospacing="1" w:line="360" w:lineRule="auto"/>
        <w:ind w:firstLine="3330" w:firstLineChars="1382"/>
        <w:rPr>
          <w:rFonts w:ascii="宋体" w:hAnsi="宋体" w:cs="Times New Roman"/>
          <w:bCs/>
          <w:color w:val="000000"/>
          <w:sz w:val="24"/>
          <w:szCs w:val="21"/>
        </w:rPr>
      </w:pPr>
      <w:r>
        <w:rPr>
          <w:rFonts w:hint="eastAsia" w:ascii="宋体" w:hAnsi="宋体" w:cs="Times New Roman"/>
          <w:b/>
          <w:bCs/>
          <w:color w:val="000000"/>
          <w:sz w:val="24"/>
          <w:szCs w:val="21"/>
        </w:rPr>
        <w:t>制造商法定代表人（</w:t>
      </w:r>
      <w:r>
        <w:rPr>
          <w:rFonts w:hint="eastAsia" w:ascii="宋体" w:hAnsi="宋体" w:cs="Times New Roman"/>
          <w:b/>
          <w:color w:val="000000"/>
          <w:sz w:val="24"/>
          <w:szCs w:val="21"/>
        </w:rPr>
        <w:t>签字或盖章</w:t>
      </w:r>
      <w:r>
        <w:rPr>
          <w:rFonts w:hint="eastAsia" w:ascii="宋体" w:hAnsi="宋体" w:cs="Times New Roman"/>
          <w:b/>
          <w:bCs/>
          <w:color w:val="000000"/>
          <w:sz w:val="24"/>
          <w:szCs w:val="21"/>
        </w:rPr>
        <w:t>）</w:t>
      </w:r>
      <w:r>
        <w:rPr>
          <w:rFonts w:hint="eastAsia" w:ascii="宋体" w:hAnsi="宋体" w:cs="Times New Roman"/>
          <w:bCs/>
          <w:color w:val="000000"/>
          <w:sz w:val="24"/>
          <w:szCs w:val="21"/>
        </w:rPr>
        <w:t>：</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Times New Roman" w:hAnsi="宋体" w:cs="Times New Roman"/>
          <w:bCs/>
          <w:color w:val="000000"/>
          <w:sz w:val="24"/>
          <w:szCs w:val="24"/>
          <w:u w:val="single"/>
        </w:rPr>
        <w:t xml:space="preserve">                                </w:t>
      </w:r>
    </w:p>
    <w:p>
      <w:pPr>
        <w:pStyle w:val="6"/>
        <w:numPr>
          <w:ilvl w:val="0"/>
          <w:numId w:val="77"/>
        </w:numPr>
        <w:spacing w:before="40" w:after="40" w:line="360" w:lineRule="auto"/>
        <w:ind w:left="1285" w:hanging="1285" w:hangingChars="400"/>
        <w:jc w:val="left"/>
        <w:rPr>
          <w:rFonts w:ascii="宋体" w:hAnsi="宋体" w:cs="Times New Roman"/>
          <w:bCs w:val="0"/>
          <w:color w:val="000000"/>
        </w:rPr>
        <w:sectPr>
          <w:footerReference r:id="rId8" w:type="default"/>
          <w:pgSz w:w="11906" w:h="16838"/>
          <w:pgMar w:top="1134" w:right="1191" w:bottom="1134" w:left="1191" w:header="851" w:footer="907" w:gutter="0"/>
          <w:cols w:space="720" w:num="1"/>
          <w:docGrid w:type="lines" w:linePitch="312" w:charSpace="0"/>
        </w:sectPr>
      </w:pPr>
    </w:p>
    <w:p>
      <w:pPr>
        <w:pStyle w:val="6"/>
        <w:numPr>
          <w:ilvl w:val="0"/>
          <w:numId w:val="77"/>
        </w:numPr>
        <w:spacing w:before="40" w:after="40" w:line="360" w:lineRule="auto"/>
        <w:ind w:left="1285" w:hanging="1280" w:hangingChars="400"/>
        <w:jc w:val="left"/>
        <w:rPr>
          <w:rFonts w:ascii="宋体" w:hAnsi="宋体" w:cs="Times New Roman"/>
          <w:bCs w:val="0"/>
          <w:color w:val="000000"/>
        </w:rPr>
      </w:pPr>
      <w:bookmarkStart w:id="182" w:name="_Toc6757"/>
      <w:r>
        <w:rPr>
          <w:rFonts w:hint="eastAsia" w:ascii="宋体" w:hAnsi="宋体" w:cs="Times New Roman"/>
          <w:bCs w:val="0"/>
          <w:color w:val="000000"/>
        </w:rPr>
        <w:t>残疾人福利性单位声明函（适用于工程类、服务类项目）</w:t>
      </w:r>
      <w:bookmarkEnd w:id="182"/>
    </w:p>
    <w:p>
      <w:pPr>
        <w:jc w:val="center"/>
        <w:rPr>
          <w:rFonts w:ascii="宋体" w:hAnsi="宋体"/>
          <w:b/>
          <w:color w:val="000000"/>
          <w:sz w:val="30"/>
          <w:szCs w:val="30"/>
        </w:rPr>
      </w:pPr>
      <w:r>
        <w:rPr>
          <w:rFonts w:hint="eastAsia" w:ascii="宋体" w:hAnsi="宋体"/>
          <w:b/>
          <w:color w:val="000000"/>
          <w:sz w:val="30"/>
          <w:szCs w:val="30"/>
        </w:rPr>
        <w:t>残疾人福利性单位声明函</w:t>
      </w:r>
    </w:p>
    <w:p>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武汉安平天志工程咨询有限公司：</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本单位郑重声明，根据《财政部 民政部 中国残疾人联合会关于促进残疾人就业政府采购政策的通知》（财库〔2017〕141号）的规定，本单位为符合条件的残疾人福利性单位（详见“残疾人福利性单位应当满足的条件”），且本单位参加</w:t>
      </w:r>
      <w:r>
        <w:rPr>
          <w:rFonts w:hint="eastAsia" w:ascii="宋体" w:hAnsi="宋体" w:cs="Times New Roman"/>
          <w:color w:val="000000"/>
          <w:sz w:val="24"/>
          <w:szCs w:val="24"/>
          <w:u w:val="single"/>
        </w:rPr>
        <w:t xml:space="preserve">  （采购人） </w:t>
      </w:r>
      <w:r>
        <w:rPr>
          <w:rFonts w:hint="eastAsia" w:ascii="宋体" w:hAnsi="宋体" w:cs="Times New Roman"/>
          <w:color w:val="000000"/>
          <w:sz w:val="24"/>
          <w:szCs w:val="24"/>
        </w:rPr>
        <w:t>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项目（项目编号：______）采购活动由本单位承担工程（或提供服务）。</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本单位对上述声明的真实性负责。如有虚假，将依法承担相应责任。</w:t>
      </w:r>
    </w:p>
    <w:p>
      <w:pPr>
        <w:spacing w:line="360" w:lineRule="auto"/>
        <w:rPr>
          <w:rFonts w:ascii="宋体" w:hAnsi="宋体" w:cs="Times New Roman"/>
          <w:color w:val="000000"/>
          <w:sz w:val="24"/>
          <w:szCs w:val="24"/>
        </w:rPr>
      </w:pPr>
    </w:p>
    <w:p>
      <w:pPr>
        <w:spacing w:line="360" w:lineRule="auto"/>
        <w:ind w:left="1091" w:hanging="1087" w:hangingChars="453"/>
        <w:jc w:val="left"/>
        <w:rPr>
          <w:rFonts w:ascii="宋体" w:hAnsi="宋体" w:cs="Courier New"/>
          <w:color w:val="000000"/>
          <w:sz w:val="24"/>
          <w:szCs w:val="21"/>
        </w:rPr>
      </w:pPr>
      <w:r>
        <w:rPr>
          <w:rFonts w:hint="eastAsia" w:ascii="宋体" w:hAnsi="宋体" w:cs="Courier New"/>
          <w:b/>
          <w:color w:val="000000"/>
          <w:sz w:val="24"/>
          <w:szCs w:val="21"/>
        </w:rPr>
        <w:t>说明：</w:t>
      </w:r>
      <w:r>
        <w:rPr>
          <w:rFonts w:hint="eastAsia" w:ascii="宋体" w:hAnsi="宋体" w:cs="Courier New"/>
          <w:color w:val="000000"/>
          <w:sz w:val="24"/>
          <w:szCs w:val="21"/>
        </w:rPr>
        <w:t>1、组成联合体的大中型企业和其他自然人、法人或者其他组织，与残疾人福利性单位之间不得存在投资关系。</w:t>
      </w:r>
    </w:p>
    <w:p>
      <w:pPr>
        <w:spacing w:line="360" w:lineRule="auto"/>
        <w:ind w:left="1104" w:leftChars="347" w:hanging="376" w:hangingChars="157"/>
        <w:jc w:val="left"/>
        <w:rPr>
          <w:rFonts w:ascii="宋体" w:hAnsi="宋体" w:cs="Courier New"/>
          <w:color w:val="000000"/>
          <w:sz w:val="24"/>
          <w:szCs w:val="21"/>
        </w:rPr>
      </w:pPr>
      <w:r>
        <w:rPr>
          <w:rFonts w:hint="eastAsia" w:ascii="宋体" w:hAnsi="宋体" w:cs="Courier New"/>
          <w:color w:val="000000"/>
          <w:sz w:val="24"/>
          <w:szCs w:val="21"/>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rPr>
        <w:sectPr>
          <w:pgSz w:w="11906" w:h="16838"/>
          <w:pgMar w:top="1134" w:right="1191" w:bottom="1134" w:left="1191" w:header="851" w:footer="992" w:gutter="0"/>
          <w:cols w:space="720" w:num="1"/>
          <w:docGrid w:type="linesAndChars" w:linePitch="312" w:charSpace="0"/>
        </w:sectPr>
      </w:pPr>
      <w:r>
        <w:rPr>
          <w:rFonts w:hint="eastAsia" w:ascii="Times New Roman" w:hAnsi="宋体" w:cs="Times New Roman"/>
          <w:color w:val="000000"/>
          <w:sz w:val="24"/>
          <w:szCs w:val="24"/>
        </w:rPr>
        <w:t>日   期：</w:t>
      </w:r>
      <w:r>
        <w:rPr>
          <w:rFonts w:hint="eastAsia" w:ascii="Times New Roman" w:hAnsi="宋体" w:cs="Times New Roman"/>
          <w:bCs/>
          <w:color w:val="000000"/>
          <w:sz w:val="24"/>
          <w:szCs w:val="24"/>
          <w:u w:val="single"/>
        </w:rPr>
        <w:t xml:space="preserve">                                </w:t>
      </w: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183" w:name="_Toc30399"/>
      <w:r>
        <w:rPr>
          <w:rFonts w:hint="eastAsia" w:ascii="宋体" w:hAnsi="宋体" w:cs="Times New Roman"/>
          <w:bCs w:val="0"/>
          <w:color w:val="000000"/>
        </w:rPr>
        <w:t>享受政府采购支持政策的残疾人福利性单位的标准</w:t>
      </w:r>
      <w:bookmarkEnd w:id="183"/>
    </w:p>
    <w:p>
      <w:pPr>
        <w:spacing w:before="312" w:beforeLines="100" w:after="312" w:afterLines="100"/>
        <w:jc w:val="left"/>
        <w:rPr>
          <w:rFonts w:ascii="宋体" w:hAnsi="宋体"/>
          <w:b/>
          <w:color w:val="000000"/>
          <w:sz w:val="24"/>
          <w:szCs w:val="24"/>
        </w:rPr>
      </w:pPr>
      <w:r>
        <w:rPr>
          <w:rFonts w:hint="eastAsia" w:ascii="宋体" w:hAnsi="宋体"/>
          <w:b/>
          <w:color w:val="000000"/>
          <w:sz w:val="24"/>
          <w:szCs w:val="24"/>
        </w:rPr>
        <w:t>享受政府采购支持政策的残疾人福利性单位应当同时满足以下条件：</w:t>
      </w:r>
    </w:p>
    <w:p>
      <w:pPr>
        <w:pStyle w:val="44"/>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安置的残疾人占本单位在职职工人数的比例不低于25%（含25%），并且安置的残疾人人数不少于10人（含10人）；</w:t>
      </w:r>
    </w:p>
    <w:p>
      <w:pPr>
        <w:pStyle w:val="44"/>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依法与安置的每位残疾人签订了一年以上（含一年）的劳动合同或服务协议；</w:t>
      </w:r>
    </w:p>
    <w:p>
      <w:pPr>
        <w:pStyle w:val="44"/>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为安置的每位残疾人按月足额缴纳了基本养老保险、基本医疗保险、失业保险、工伤保险和生育保险等社会保险费；</w:t>
      </w:r>
    </w:p>
    <w:p>
      <w:pPr>
        <w:pStyle w:val="44"/>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通过银行等金融机构向安置的每位残疾人，按月支付了不低于单位所在区县适用的经省级人民政府批准的月最低工资标准的工资；</w:t>
      </w:r>
    </w:p>
    <w:p>
      <w:pPr>
        <w:pStyle w:val="44"/>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color w:val="000000"/>
        </w:rPr>
      </w:pPr>
      <w:r>
        <w:rPr>
          <w:rFonts w:hint="eastAsia" w:ascii="宋体" w:hAnsi="宋体" w:cs="Times New Roman"/>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rPr>
      </w:pPr>
    </w:p>
    <w:p>
      <w:pPr>
        <w:pStyle w:val="6"/>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680" w:footer="850" w:gutter="0"/>
          <w:cols w:space="720" w:num="1"/>
          <w:docGrid w:type="lines" w:linePitch="312" w:charSpace="0"/>
        </w:sectPr>
      </w:pPr>
    </w:p>
    <w:p>
      <w:pPr>
        <w:pStyle w:val="6"/>
        <w:numPr>
          <w:ilvl w:val="0"/>
          <w:numId w:val="77"/>
        </w:numPr>
        <w:spacing w:before="40" w:after="40" w:line="360" w:lineRule="auto"/>
        <w:ind w:left="1285" w:hanging="1280" w:hangingChars="400"/>
        <w:jc w:val="left"/>
        <w:rPr>
          <w:rFonts w:ascii="宋体" w:hAnsi="宋体" w:cs="Times New Roman"/>
          <w:bCs w:val="0"/>
          <w:color w:val="000000"/>
        </w:rPr>
      </w:pPr>
      <w:bookmarkStart w:id="184" w:name="_Toc511894533"/>
      <w:bookmarkStart w:id="185" w:name="_Toc511895474"/>
      <w:bookmarkStart w:id="186" w:name="_Toc31953"/>
      <w:r>
        <w:rPr>
          <w:rFonts w:hint="eastAsia" w:ascii="宋体" w:hAnsi="宋体" w:cs="Times New Roman"/>
          <w:bCs w:val="0"/>
          <w:color w:val="000000"/>
        </w:rPr>
        <w:t>开标一览表</w:t>
      </w:r>
      <w:bookmarkEnd w:id="184"/>
      <w:bookmarkEnd w:id="185"/>
      <w:bookmarkEnd w:id="186"/>
    </w:p>
    <w:p>
      <w:pPr>
        <w:spacing w:line="360" w:lineRule="auto"/>
        <w:jc w:val="left"/>
        <w:rPr>
          <w:rFonts w:ascii="宋体" w:hAnsi="宋体" w:cs="Times New Roman"/>
          <w:b/>
          <w:color w:val="000000"/>
          <w:sz w:val="24"/>
          <w:szCs w:val="21"/>
          <w:u w:val="single"/>
        </w:rPr>
      </w:pPr>
      <w:r>
        <w:rPr>
          <w:rFonts w:hint="eastAsia" w:ascii="宋体" w:hAnsi="宋体" w:cs="Times New Roman"/>
          <w:b/>
          <w:color w:val="000000"/>
          <w:sz w:val="24"/>
          <w:szCs w:val="21"/>
        </w:rPr>
        <w:t>投 标 人：</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rPr>
      </w:pPr>
      <w:r>
        <w:rPr>
          <w:rFonts w:hint="eastAsia" w:ascii="宋体" w:hAnsi="宋体" w:cs="Times New Roman"/>
          <w:b/>
          <w:color w:val="000000"/>
          <w:sz w:val="24"/>
          <w:szCs w:val="21"/>
        </w:rPr>
        <w:t>项目名称：</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bCs/>
          <w:color w:val="000000"/>
          <w:sz w:val="24"/>
          <w:szCs w:val="21"/>
          <w:u w:val="single"/>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1913"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3022"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品牌、型号</w:t>
            </w:r>
          </w:p>
        </w:tc>
        <w:tc>
          <w:tcPr>
            <w:tcW w:w="1119"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134"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708"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tcBorders>
              <w:top w:val="single" w:color="auto" w:sz="2" w:space="0"/>
            </w:tcBorders>
            <w:vAlign w:val="center"/>
          </w:tcPr>
          <w:p>
            <w:pPr>
              <w:numPr>
                <w:ilvl w:val="0"/>
                <w:numId w:val="84"/>
              </w:numPr>
              <w:tabs>
                <w:tab w:val="left" w:pos="61"/>
              </w:tabs>
              <w:adjustRightInd w:val="0"/>
              <w:snapToGrid w:val="0"/>
              <w:ind w:left="-63" w:leftChars="-30" w:firstLine="0"/>
              <w:jc w:val="center"/>
              <w:rPr>
                <w:rFonts w:ascii="宋体" w:hAnsi="宋体"/>
                <w:color w:val="000000"/>
                <w:sz w:val="24"/>
              </w:rPr>
            </w:pPr>
          </w:p>
        </w:tc>
        <w:tc>
          <w:tcPr>
            <w:tcW w:w="1913"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3022"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1913" w:type="dxa"/>
            <w:vAlign w:val="center"/>
          </w:tcPr>
          <w:p>
            <w:pPr>
              <w:spacing w:line="240" w:lineRule="atLeast"/>
              <w:ind w:left="-48" w:leftChars="-23" w:right="-65" w:rightChars="-31"/>
              <w:jc w:val="center"/>
              <w:rPr>
                <w:rFonts w:ascii="宋体" w:hAnsi="宋体" w:cs="宋体"/>
                <w:color w:val="000000"/>
                <w:kern w:val="0"/>
                <w:sz w:val="24"/>
                <w:szCs w:val="24"/>
              </w:rPr>
            </w:pPr>
          </w:p>
        </w:tc>
        <w:tc>
          <w:tcPr>
            <w:tcW w:w="3022"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投标总报价</w:t>
            </w:r>
          </w:p>
        </w:tc>
        <w:tc>
          <w:tcPr>
            <w:tcW w:w="6983" w:type="dxa"/>
            <w:gridSpan w:val="4"/>
            <w:vAlign w:val="center"/>
          </w:tcPr>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万元</w:t>
            </w:r>
          </w:p>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项目工期/交货期</w:t>
            </w:r>
          </w:p>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（服务期）</w:t>
            </w:r>
          </w:p>
        </w:tc>
        <w:tc>
          <w:tcPr>
            <w:tcW w:w="6983" w:type="dxa"/>
            <w:gridSpan w:val="4"/>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质保期</w:t>
            </w:r>
          </w:p>
        </w:tc>
        <w:tc>
          <w:tcPr>
            <w:tcW w:w="6983" w:type="dxa"/>
            <w:gridSpan w:val="4"/>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c>
          <w:tcPr>
            <w:tcW w:w="6983" w:type="dxa"/>
            <w:gridSpan w:val="4"/>
            <w:vAlign w:val="center"/>
          </w:tcPr>
          <w:p>
            <w:pPr>
              <w:ind w:left="312" w:leftChars="-23" w:right="-48" w:rightChars="-23" w:hanging="360" w:hangingChars="150"/>
              <w:jc w:val="left"/>
              <w:rPr>
                <w:rFonts w:ascii="宋体" w:hAnsi="宋体" w:cs="Times New Roman"/>
                <w:color w:val="000000"/>
                <w:sz w:val="24"/>
                <w:szCs w:val="24"/>
              </w:rPr>
            </w:pPr>
            <w:r>
              <w:rPr>
                <w:rFonts w:hint="eastAsia" w:ascii="宋体" w:hAnsi="宋体" w:cs="Times New Roman"/>
                <w:color w:val="000000"/>
                <w:sz w:val="24"/>
                <w:szCs w:val="24"/>
              </w:rPr>
              <w:t>1）符合小型和微型企业、监狱企业、残疾人福利性单位进行价格扣除情形的，</w:t>
            </w:r>
            <w:r>
              <w:rPr>
                <w:rFonts w:hint="eastAsia" w:ascii="宋体" w:hAnsi="宋体" w:cs="Times New Roman"/>
                <w:b/>
                <w:color w:val="000000"/>
                <w:sz w:val="24"/>
                <w:szCs w:val="24"/>
              </w:rPr>
              <w:t>需扣除的价格</w:t>
            </w:r>
            <w:r>
              <w:rPr>
                <w:rFonts w:hint="eastAsia" w:ascii="宋体" w:hAnsi="宋体" w:cs="Times New Roman"/>
                <w:color w:val="000000"/>
                <w:sz w:val="24"/>
                <w:szCs w:val="24"/>
              </w:rPr>
              <w:t>合计（大写）：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w:t>
            </w:r>
            <w:r>
              <w:rPr>
                <w:rFonts w:hint="eastAsia" w:ascii="宋体" w:hAnsi="宋体" w:cs="Times New Roman"/>
                <w:color w:val="000000"/>
                <w:sz w:val="24"/>
                <w:szCs w:val="24"/>
              </w:rPr>
              <w:t>元整；</w:t>
            </w:r>
          </w:p>
          <w:p>
            <w:pPr>
              <w:ind w:left="312" w:leftChars="-23" w:right="-48" w:rightChars="-23" w:hanging="360" w:hangingChars="150"/>
              <w:jc w:val="left"/>
              <w:rPr>
                <w:rFonts w:ascii="宋体" w:hAnsi="宋体" w:cs="Times New Roman"/>
                <w:color w:val="000000"/>
                <w:sz w:val="24"/>
                <w:szCs w:val="24"/>
              </w:rPr>
            </w:pPr>
            <w:r>
              <w:rPr>
                <w:rFonts w:hint="eastAsia" w:ascii="宋体" w:hAnsi="宋体" w:cs="Times New Roman"/>
                <w:color w:val="000000"/>
                <w:sz w:val="24"/>
                <w:szCs w:val="24"/>
              </w:rPr>
              <w:t>2）价格扣除后，</w:t>
            </w:r>
            <w:r>
              <w:rPr>
                <w:rFonts w:hint="eastAsia" w:ascii="宋体" w:hAnsi="宋体" w:cs="Times New Roman"/>
                <w:b/>
                <w:color w:val="000000"/>
                <w:sz w:val="24"/>
                <w:szCs w:val="24"/>
              </w:rPr>
              <w:t>参与评审的价格</w:t>
            </w:r>
            <w:r>
              <w:rPr>
                <w:rFonts w:hint="eastAsia" w:ascii="宋体" w:hAnsi="宋体" w:cs="Times New Roman"/>
                <w:color w:val="000000"/>
                <w:sz w:val="24"/>
                <w:szCs w:val="24"/>
              </w:rPr>
              <w:t>合计（大写）：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w:t>
            </w:r>
            <w:r>
              <w:rPr>
                <w:rFonts w:hint="eastAsia" w:ascii="宋体" w:hAnsi="宋体" w:cs="Times New Roman"/>
                <w:color w:val="000000"/>
                <w:sz w:val="24"/>
                <w:szCs w:val="24"/>
              </w:rPr>
              <w:t>元整；</w:t>
            </w:r>
          </w:p>
          <w:p>
            <w:pPr>
              <w:ind w:left="312" w:leftChars="-23" w:right="-48" w:rightChars="-23" w:hanging="360" w:hangingChars="150"/>
              <w:jc w:val="left"/>
              <w:rPr>
                <w:rFonts w:ascii="宋体" w:hAnsi="宋体" w:cs="Times New Roman"/>
                <w:color w:val="000000"/>
                <w:sz w:val="24"/>
                <w:szCs w:val="24"/>
                <w:highlight w:val="yellow"/>
              </w:rPr>
            </w:pPr>
            <w:r>
              <w:rPr>
                <w:rFonts w:hint="eastAsia" w:ascii="宋体" w:hAnsi="宋体" w:cs="Times New Roman"/>
                <w:color w:val="000000"/>
                <w:sz w:val="24"/>
                <w:szCs w:val="24"/>
              </w:rPr>
              <w:t>3）以联合体投标的，</w:t>
            </w:r>
            <w:r>
              <w:rPr>
                <w:rFonts w:ascii="宋体" w:hAnsi="宋体" w:cs="Times New Roman"/>
                <w:color w:val="000000"/>
                <w:sz w:val="24"/>
                <w:szCs w:val="24"/>
              </w:rPr>
              <w:t>联合协议中约定小型、微型企业的协议合同金额占到联合体协议合同总金额的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w:t>
            </w:r>
          </w:p>
        </w:tc>
      </w:tr>
    </w:tbl>
    <w:p>
      <w:pPr>
        <w:spacing w:line="360" w:lineRule="auto"/>
        <w:ind w:left="1091" w:hanging="1087" w:hangingChars="453"/>
        <w:jc w:val="left"/>
        <w:rPr>
          <w:rFonts w:ascii="宋体" w:hAnsi="宋体"/>
          <w:color w:val="000000"/>
          <w:sz w:val="24"/>
        </w:rPr>
      </w:pPr>
      <w:r>
        <w:rPr>
          <w:rFonts w:hint="eastAsia" w:ascii="宋体" w:hAnsi="宋体" w:cs="Courier New"/>
          <w:b/>
          <w:color w:val="000000"/>
          <w:sz w:val="24"/>
          <w:szCs w:val="21"/>
        </w:rPr>
        <w:t>说明：</w:t>
      </w:r>
      <w:r>
        <w:rPr>
          <w:rFonts w:hint="eastAsia" w:ascii="宋体" w:hAnsi="宋体"/>
          <w:color w:val="000000"/>
          <w:sz w:val="24"/>
        </w:rPr>
        <w:t>1、所有</w:t>
      </w:r>
      <w:r>
        <w:rPr>
          <w:rFonts w:hint="eastAsia" w:ascii="宋体" w:hAnsi="宋体" w:cs="Courier New"/>
          <w:color w:val="000000"/>
          <w:sz w:val="24"/>
          <w:szCs w:val="21"/>
        </w:rPr>
        <w:t>价格</w:t>
      </w:r>
      <w:r>
        <w:rPr>
          <w:rFonts w:hint="eastAsia" w:ascii="宋体" w:hAnsi="宋体"/>
          <w:color w:val="000000"/>
          <w:sz w:val="24"/>
        </w:rPr>
        <w:t>均用人民币表示。</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2、价格应按照招标文件第二章“投标人须知”中第12条的要求进行报价。</w:t>
      </w:r>
    </w:p>
    <w:p>
      <w:pPr>
        <w:spacing w:line="360" w:lineRule="auto"/>
        <w:ind w:left="1089" w:leftChars="359" w:hanging="336" w:hangingChars="140"/>
        <w:jc w:val="left"/>
        <w:rPr>
          <w:rFonts w:ascii="宋体" w:hAnsi="宋体" w:cs="Times New Roman"/>
          <w:b/>
          <w:color w:val="000000"/>
          <w:sz w:val="24"/>
          <w:szCs w:val="24"/>
        </w:rPr>
      </w:pPr>
      <w:r>
        <w:rPr>
          <w:rFonts w:hint="eastAsia" w:ascii="宋体" w:hAnsi="宋体" w:cs="Times New Roman"/>
          <w:color w:val="000000"/>
          <w:sz w:val="24"/>
          <w:szCs w:val="24"/>
        </w:rPr>
        <w:t>3、为</w:t>
      </w:r>
      <w:r>
        <w:rPr>
          <w:rFonts w:hint="eastAsia" w:ascii="宋体" w:hAnsi="宋体" w:cs="Courier New"/>
          <w:color w:val="000000"/>
          <w:sz w:val="24"/>
          <w:szCs w:val="21"/>
        </w:rPr>
        <w:t>方便</w:t>
      </w:r>
      <w:r>
        <w:rPr>
          <w:rFonts w:hint="eastAsia" w:ascii="宋体" w:hAnsi="宋体" w:cs="Times New Roman"/>
          <w:color w:val="000000"/>
          <w:sz w:val="24"/>
          <w:szCs w:val="24"/>
        </w:rPr>
        <w:t>开标时唱标，投标人应另附《开标一览表》原件一份</w:t>
      </w:r>
      <w:r>
        <w:rPr>
          <w:rFonts w:hint="eastAsia" w:ascii="宋体" w:hAnsi="宋体" w:cs="Times New Roman"/>
          <w:color w:val="000000"/>
          <w:spacing w:val="-6"/>
          <w:kern w:val="0"/>
          <w:sz w:val="24"/>
          <w:szCs w:val="24"/>
        </w:rPr>
        <w:t>装入一个信封，单独密封提交</w:t>
      </w:r>
      <w:r>
        <w:rPr>
          <w:rFonts w:hint="eastAsia" w:ascii="宋体" w:hAnsi="宋体" w:cs="Times New Roman"/>
          <w:color w:val="000000"/>
          <w:sz w:val="24"/>
          <w:szCs w:val="24"/>
        </w:rPr>
        <w:t>，并在信封上标明“开标一览表”字样。未按要求单独提交上述资料或未按照招标文件规定格式填写完整并签字、盖章</w:t>
      </w:r>
      <w:r>
        <w:rPr>
          <w:rFonts w:hint="eastAsia" w:ascii="宋体" w:hAnsi="宋体" w:cs="Times New Roman"/>
          <w:color w:val="000000"/>
          <w:sz w:val="24"/>
          <w:szCs w:val="20"/>
        </w:rPr>
        <w:t>的，</w:t>
      </w:r>
      <w:r>
        <w:rPr>
          <w:rFonts w:hint="eastAsia" w:ascii="宋体" w:hAnsi="宋体" w:cs="Times New Roman"/>
          <w:color w:val="000000"/>
          <w:sz w:val="24"/>
          <w:szCs w:val="24"/>
        </w:rPr>
        <w:t>将按照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4、“备注”栏适用于存在价格扣除的情形，投标人可视自身实际情况如实进行填报。</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5、本表应按要求由投标人法人授权代表签字，并加盖投标人公章，否则将按照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宋体" w:hAnsi="宋体" w:cs="Times New Roman"/>
          <w:bCs/>
          <w:color w:val="000000"/>
          <w:sz w:val="24"/>
          <w:szCs w:val="21"/>
          <w:u w:val="single"/>
        </w:rPr>
        <w:t xml:space="preserve">                                </w:t>
      </w:r>
    </w:p>
    <w:p>
      <w:pPr>
        <w:pStyle w:val="6"/>
        <w:spacing w:before="40" w:after="40" w:line="360" w:lineRule="auto"/>
        <w:ind w:left="1285"/>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187" w:name="_Toc511894534"/>
      <w:bookmarkStart w:id="188" w:name="_Toc27818"/>
      <w:bookmarkStart w:id="189" w:name="_Toc511895475"/>
      <w:r>
        <w:rPr>
          <w:rFonts w:hint="eastAsia" w:ascii="宋体" w:hAnsi="宋体" w:cs="Times New Roman"/>
          <w:bCs w:val="0"/>
          <w:color w:val="000000"/>
        </w:rPr>
        <w:t>投标报价明细表</w:t>
      </w:r>
      <w:bookmarkEnd w:id="187"/>
      <w:bookmarkEnd w:id="188"/>
      <w:bookmarkEnd w:id="189"/>
    </w:p>
    <w:p>
      <w:pPr>
        <w:spacing w:line="360" w:lineRule="auto"/>
        <w:jc w:val="left"/>
        <w:rPr>
          <w:rFonts w:ascii="宋体" w:hAnsi="宋体" w:cs="Times New Roman"/>
          <w:b/>
          <w:color w:val="000000"/>
          <w:sz w:val="24"/>
          <w:szCs w:val="21"/>
          <w:u w:val="single"/>
        </w:rPr>
      </w:pPr>
      <w:bookmarkStart w:id="190" w:name="OLE_LINK1"/>
      <w:r>
        <w:rPr>
          <w:rFonts w:hint="eastAsia" w:ascii="宋体" w:hAnsi="宋体" w:cs="Times New Roman"/>
          <w:b/>
          <w:color w:val="000000"/>
          <w:sz w:val="24"/>
          <w:szCs w:val="21"/>
        </w:rPr>
        <w:t>投 标 人：</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rPr>
      </w:pPr>
      <w:r>
        <w:rPr>
          <w:rFonts w:hint="eastAsia" w:ascii="宋体" w:hAnsi="宋体" w:cs="Times New Roman"/>
          <w:b/>
          <w:color w:val="000000"/>
          <w:sz w:val="24"/>
          <w:szCs w:val="21"/>
        </w:rPr>
        <w:t>项目名称：</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u w:val="single"/>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bookmarkEnd w:id="190"/>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673"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134" w:type="dxa"/>
            <w:shd w:val="pct10" w:color="C4BC96" w:fill="DDD9C3"/>
            <w:vAlign w:val="center"/>
          </w:tcPr>
          <w:p>
            <w:pPr>
              <w:ind w:left="-48" w:leftChars="-23" w:right="-65" w:rightChars="-31"/>
              <w:jc w:val="center"/>
              <w:rPr>
                <w:rFonts w:ascii="宋体" w:hAnsi="宋体" w:cs="宋体"/>
                <w:b/>
                <w:color w:val="000000"/>
                <w:kern w:val="0"/>
                <w:sz w:val="24"/>
              </w:rPr>
            </w:pPr>
            <w:r>
              <w:rPr>
                <w:rFonts w:hint="eastAsia" w:ascii="宋体" w:hAnsi="宋体"/>
                <w:b/>
                <w:color w:val="000000"/>
                <w:sz w:val="24"/>
              </w:rPr>
              <w:t>品牌型号规格</w:t>
            </w:r>
          </w:p>
        </w:tc>
        <w:tc>
          <w:tcPr>
            <w:tcW w:w="800"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676"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制造商名称</w:t>
            </w:r>
          </w:p>
        </w:tc>
        <w:tc>
          <w:tcPr>
            <w:tcW w:w="1316" w:type="dxa"/>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单价</w:t>
            </w:r>
          </w:p>
        </w:tc>
        <w:tc>
          <w:tcPr>
            <w:tcW w:w="1357" w:type="dxa"/>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ind w:left="547" w:hanging="547" w:hangingChars="228"/>
              <w:jc w:val="center"/>
              <w:rPr>
                <w:rFonts w:ascii="宋体" w:hAnsi="宋体"/>
                <w:color w:val="000000"/>
                <w:sz w:val="24"/>
              </w:rPr>
            </w:pPr>
            <w:r>
              <w:rPr>
                <w:rFonts w:hint="eastAsia" w:ascii="宋体" w:hAnsi="宋体"/>
                <w:color w:val="000000"/>
                <w:sz w:val="24"/>
              </w:rPr>
              <w:t>货物1（工程或服务）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376" w:rightChars="-179"/>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货物2（工程或服务）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货物3（工程或服务）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货物4（工程或服务）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货物5（工程或服务）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货物6（工程或服务）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673" w:type="dxa"/>
            <w:vAlign w:val="center"/>
          </w:tcPr>
          <w:p>
            <w:pPr>
              <w:spacing w:line="240" w:lineRule="atLeast"/>
              <w:ind w:left="-48" w:leftChars="-23" w:right="-65" w:rightChars="-31"/>
              <w:jc w:val="left"/>
              <w:rPr>
                <w:rFonts w:ascii="宋体" w:hAnsi="宋体" w:cs="宋体"/>
                <w:color w:val="000000"/>
                <w:kern w:val="0"/>
                <w:sz w:val="24"/>
                <w:szCs w:val="24"/>
              </w:rPr>
            </w:pP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合计</w:t>
            </w:r>
          </w:p>
        </w:tc>
        <w:tc>
          <w:tcPr>
            <w:tcW w:w="2673" w:type="dxa"/>
            <w:gridSpan w:val="2"/>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left="1091" w:hanging="1091" w:hangingChars="453"/>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w:t>
      </w:r>
      <w:r>
        <w:rPr>
          <w:rFonts w:hint="eastAsia" w:ascii="宋体" w:hAnsi="宋体" w:cs="Courier New"/>
          <w:color w:val="000000"/>
          <w:sz w:val="24"/>
          <w:szCs w:val="21"/>
        </w:rPr>
        <w:t>所有</w:t>
      </w:r>
      <w:r>
        <w:rPr>
          <w:rFonts w:hint="eastAsia" w:ascii="宋体" w:hAnsi="宋体"/>
          <w:color w:val="000000"/>
          <w:sz w:val="24"/>
        </w:rPr>
        <w:t>价</w:t>
      </w:r>
      <w:r>
        <w:rPr>
          <w:rFonts w:hint="eastAsia" w:ascii="宋体" w:hAnsi="宋体" w:cs="Courier New"/>
          <w:color w:val="000000"/>
          <w:sz w:val="24"/>
          <w:szCs w:val="21"/>
        </w:rPr>
        <w:t>格</w:t>
      </w:r>
      <w:r>
        <w:rPr>
          <w:rFonts w:hint="eastAsia" w:ascii="宋体" w:hAnsi="宋体"/>
          <w:color w:val="000000"/>
          <w:sz w:val="24"/>
        </w:rPr>
        <w:t>均用人民币表示，单位为元。</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2、报价</w:t>
      </w:r>
      <w:r>
        <w:rPr>
          <w:rFonts w:hint="eastAsia" w:ascii="宋体" w:hAnsi="宋体" w:cs="Courier New"/>
          <w:color w:val="000000"/>
          <w:sz w:val="24"/>
          <w:szCs w:val="21"/>
        </w:rPr>
        <w:t>明细表</w:t>
      </w:r>
      <w:r>
        <w:rPr>
          <w:rFonts w:hint="eastAsia" w:ascii="宋体" w:hAnsi="宋体"/>
          <w:color w:val="000000"/>
          <w:sz w:val="24"/>
        </w:rPr>
        <w:t>合计应与《开标一览表》中的投标总报价一致。</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3、未提供详细的货物（工程或服务）报价明细</w:t>
      </w:r>
      <w:r>
        <w:rPr>
          <w:rFonts w:hint="eastAsia" w:ascii="宋体" w:hAnsi="宋体" w:cs="Corbel"/>
          <w:color w:val="000000"/>
          <w:sz w:val="24"/>
        </w:rPr>
        <w:t>，</w:t>
      </w:r>
      <w:r>
        <w:rPr>
          <w:rFonts w:hint="eastAsia" w:ascii="宋体" w:hAnsi="宋体"/>
          <w:color w:val="000000"/>
          <w:sz w:val="24"/>
        </w:rPr>
        <w:t>导致的后果由投标人自行承担。</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6"/>
        <w:numPr>
          <w:ilvl w:val="0"/>
          <w:numId w:val="77"/>
        </w:numPr>
        <w:tabs>
          <w:tab w:val="left" w:pos="1302"/>
        </w:tabs>
        <w:spacing w:before="40" w:after="40" w:line="360" w:lineRule="auto"/>
        <w:ind w:left="229" w:hanging="9"/>
        <w:jc w:val="left"/>
        <w:rPr>
          <w:rFonts w:ascii="宋体" w:hAnsi="宋体"/>
          <w:color w:val="000000"/>
          <w:sz w:val="31"/>
          <w:szCs w:val="31"/>
        </w:rPr>
      </w:pPr>
      <w:bookmarkStart w:id="191" w:name="_Toc6936"/>
      <w:r>
        <w:rPr>
          <w:rFonts w:hint="eastAsia" w:ascii="宋体" w:hAnsi="宋体"/>
          <w:color w:val="000000"/>
          <w:sz w:val="31"/>
          <w:szCs w:val="31"/>
        </w:rPr>
        <w:t>小型和微型企业、监狱企业、残疾人福利性单位货物汇总表</w:t>
      </w:r>
      <w:bookmarkEnd w:id="191"/>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674"/>
        <w:gridCol w:w="1560"/>
        <w:gridCol w:w="1133"/>
        <w:gridCol w:w="848"/>
        <w:gridCol w:w="1100"/>
        <w:gridCol w:w="1134"/>
        <w:gridCol w:w="14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7" w:type="dxa"/>
            <w:shd w:val="pct10" w:color="C4BC96" w:fill="DDD9C3"/>
            <w:vAlign w:val="center"/>
          </w:tcPr>
          <w:p>
            <w:pPr>
              <w:ind w:left="-105" w:leftChars="-50" w:right="-105" w:rightChars="-50"/>
              <w:jc w:val="center"/>
              <w:rPr>
                <w:rFonts w:ascii="宋体" w:hAnsi="宋体"/>
                <w:b/>
                <w:color w:val="000000"/>
                <w:sz w:val="24"/>
                <w:szCs w:val="24"/>
              </w:rPr>
            </w:pPr>
            <w:r>
              <w:rPr>
                <w:rFonts w:hint="eastAsia" w:ascii="宋体" w:hAnsi="宋体" w:cs="仿宋_GB2312"/>
                <w:b/>
                <w:color w:val="000000"/>
                <w:sz w:val="24"/>
                <w:szCs w:val="24"/>
              </w:rPr>
              <w:t>序号</w:t>
            </w:r>
          </w:p>
        </w:tc>
        <w:tc>
          <w:tcPr>
            <w:tcW w:w="1674"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制造商名称</w:t>
            </w:r>
          </w:p>
        </w:tc>
        <w:tc>
          <w:tcPr>
            <w:tcW w:w="1560"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货物名称</w:t>
            </w:r>
          </w:p>
        </w:tc>
        <w:tc>
          <w:tcPr>
            <w:tcW w:w="1133"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规格型号</w:t>
            </w:r>
          </w:p>
        </w:tc>
        <w:tc>
          <w:tcPr>
            <w:tcW w:w="848"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数量</w:t>
            </w:r>
          </w:p>
        </w:tc>
        <w:tc>
          <w:tcPr>
            <w:tcW w:w="1100"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单价</w:t>
            </w:r>
          </w:p>
        </w:tc>
        <w:tc>
          <w:tcPr>
            <w:tcW w:w="1134"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分项合计</w:t>
            </w:r>
          </w:p>
        </w:tc>
        <w:tc>
          <w:tcPr>
            <w:tcW w:w="1468"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w:t>
            </w: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
                <w:bCs/>
                <w:color w:val="000000"/>
                <w:sz w:val="24"/>
              </w:rPr>
            </w:pPr>
            <w:r>
              <w:rPr>
                <w:rFonts w:hint="eastAsia" w:ascii="宋体" w:hAnsi="宋体"/>
                <w:b/>
                <w:bCs/>
                <w:color w:val="000000"/>
                <w:sz w:val="24"/>
              </w:rPr>
              <w:t>合计</w:t>
            </w:r>
          </w:p>
        </w:tc>
        <w:tc>
          <w:tcPr>
            <w:tcW w:w="2602" w:type="dxa"/>
            <w:gridSpan w:val="2"/>
            <w:vAlign w:val="center"/>
          </w:tcPr>
          <w:p>
            <w:pPr>
              <w:spacing w:line="360" w:lineRule="auto"/>
              <w:jc w:val="left"/>
              <w:rPr>
                <w:rFonts w:ascii="宋体" w:hAnsi="宋体"/>
                <w:bCs/>
                <w:color w:val="000000"/>
                <w:sz w:val="24"/>
              </w:rPr>
            </w:pPr>
          </w:p>
        </w:tc>
      </w:tr>
    </w:tbl>
    <w:p>
      <w:pPr>
        <w:spacing w:line="360" w:lineRule="auto"/>
        <w:ind w:left="1118" w:hanging="1113" w:hangingChars="464"/>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w:t>
      </w:r>
      <w:r>
        <w:rPr>
          <w:rFonts w:hint="eastAsia" w:ascii="宋体" w:hAnsi="宋体" w:cs="Times New Roman"/>
          <w:color w:val="000000"/>
          <w:sz w:val="24"/>
          <w:szCs w:val="24"/>
        </w:rPr>
        <w:t>、</w:t>
      </w:r>
      <w:r>
        <w:rPr>
          <w:rFonts w:hint="eastAsia" w:ascii="宋体" w:hAnsi="宋体"/>
          <w:color w:val="000000"/>
          <w:sz w:val="24"/>
        </w:rPr>
        <w:t>所有价格均用</w:t>
      </w:r>
      <w:r>
        <w:rPr>
          <w:rFonts w:hint="eastAsia" w:ascii="宋体" w:hAnsi="宋体" w:cs="Courier New"/>
          <w:color w:val="000000"/>
          <w:sz w:val="24"/>
          <w:szCs w:val="21"/>
        </w:rPr>
        <w:t>人民币</w:t>
      </w:r>
      <w:r>
        <w:rPr>
          <w:rFonts w:hint="eastAsia" w:ascii="宋体" w:hAnsi="宋体"/>
          <w:color w:val="000000"/>
          <w:sz w:val="24"/>
        </w:rPr>
        <w:t>表示，单位为元。</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w:t>
      </w:r>
      <w:r>
        <w:rPr>
          <w:rFonts w:hint="eastAsia" w:ascii="宋体" w:hAnsi="宋体" w:cs="Times New Roman"/>
          <w:color w:val="000000"/>
          <w:sz w:val="24"/>
          <w:szCs w:val="24"/>
        </w:rPr>
        <w:t>、</w:t>
      </w:r>
      <w:r>
        <w:rPr>
          <w:rFonts w:hint="eastAsia" w:ascii="宋体" w:hAnsi="宋体"/>
          <w:color w:val="000000"/>
          <w:sz w:val="24"/>
        </w:rPr>
        <w:t>投标人提供的相关证明文件对应页码填写到上表“投标文件对应的页码”中。</w:t>
      </w:r>
      <w:r>
        <w:rPr>
          <w:rFonts w:hint="eastAsia" w:ascii="宋体" w:hAnsi="宋体" w:cs="Corbel"/>
          <w:color w:val="000000"/>
          <w:sz w:val="24"/>
        </w:rPr>
        <w:t>未提供页码或内容页码完全不一致的，</w:t>
      </w:r>
      <w:r>
        <w:rPr>
          <w:rFonts w:hint="eastAsia" w:ascii="宋体" w:hAnsi="宋体"/>
          <w:color w:val="000000"/>
          <w:sz w:val="24"/>
        </w:rPr>
        <w:t>导致的后果由投标人自行承担。</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6"/>
        <w:numPr>
          <w:ilvl w:val="0"/>
          <w:numId w:val="77"/>
        </w:numPr>
        <w:tabs>
          <w:tab w:val="left" w:pos="1302"/>
        </w:tabs>
        <w:spacing w:before="40" w:after="40" w:line="360" w:lineRule="auto"/>
        <w:ind w:left="220"/>
        <w:jc w:val="left"/>
        <w:rPr>
          <w:rFonts w:ascii="宋体" w:hAnsi="宋体"/>
          <w:color w:val="000000"/>
          <w:sz w:val="31"/>
          <w:szCs w:val="31"/>
        </w:rPr>
      </w:pPr>
      <w:bookmarkStart w:id="192" w:name="_Toc511894536"/>
      <w:bookmarkStart w:id="193" w:name="_Toc511895477"/>
      <w:bookmarkStart w:id="194" w:name="_Toc30706"/>
      <w:r>
        <w:rPr>
          <w:rFonts w:hint="eastAsia" w:ascii="宋体" w:hAnsi="宋体"/>
          <w:color w:val="000000"/>
          <w:sz w:val="31"/>
          <w:szCs w:val="31"/>
        </w:rPr>
        <w:t>投标货物（工程或服务）清单</w:t>
      </w:r>
      <w:bookmarkEnd w:id="192"/>
      <w:bookmarkEnd w:id="193"/>
      <w:bookmarkEnd w:id="194"/>
    </w:p>
    <w:p>
      <w:pPr>
        <w:adjustRightInd w:val="0"/>
        <w:snapToGrid w:val="0"/>
        <w:spacing w:line="360" w:lineRule="auto"/>
        <w:rPr>
          <w:rFonts w:ascii="宋体" w:hAnsi="宋体"/>
          <w:b/>
          <w:color w:val="000000"/>
          <w:sz w:val="24"/>
        </w:rPr>
      </w:pPr>
      <w:r>
        <w:rPr>
          <w:rFonts w:hint="eastAsia" w:ascii="宋体" w:hAnsi="宋体"/>
          <w:b/>
          <w:color w:val="000000"/>
          <w:sz w:val="24"/>
        </w:rPr>
        <w:t>投 标 人：</w:t>
      </w:r>
      <w:r>
        <w:rPr>
          <w:rFonts w:hint="eastAsia" w:ascii="宋体" w:hAnsi="宋体"/>
          <w:b/>
          <w:color w:val="000000"/>
          <w:sz w:val="24"/>
          <w:u w:val="single"/>
        </w:rPr>
        <w:t xml:space="preserve">                     </w:t>
      </w:r>
    </w:p>
    <w:p>
      <w:pPr>
        <w:adjustRightInd w:val="0"/>
        <w:snapToGrid w:val="0"/>
        <w:spacing w:line="360" w:lineRule="auto"/>
        <w:rPr>
          <w:rFonts w:ascii="宋体"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872"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货物（工程或服务）名称</w:t>
            </w:r>
          </w:p>
        </w:tc>
        <w:tc>
          <w:tcPr>
            <w:tcW w:w="2459"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主要规格、技术参数</w:t>
            </w:r>
          </w:p>
        </w:tc>
        <w:tc>
          <w:tcPr>
            <w:tcW w:w="851"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2693"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tcBorders>
              <w:top w:val="single" w:color="auto" w:sz="2" w:space="0"/>
            </w:tcBorders>
            <w:vAlign w:val="center"/>
          </w:tcPr>
          <w:p>
            <w:pPr>
              <w:adjustRightInd w:val="0"/>
              <w:snapToGrid w:val="0"/>
              <w:ind w:left="-88" w:leftChars="-42"/>
              <w:jc w:val="center"/>
              <w:rPr>
                <w:rFonts w:ascii="宋体" w:hAnsi="宋体"/>
                <w:color w:val="000000"/>
                <w:sz w:val="24"/>
              </w:rPr>
            </w:pPr>
          </w:p>
        </w:tc>
        <w:tc>
          <w:tcPr>
            <w:tcW w:w="2459" w:type="dxa"/>
            <w:tcBorders>
              <w:top w:val="single" w:color="auto" w:sz="2" w:space="0"/>
            </w:tcBorders>
            <w:vAlign w:val="center"/>
          </w:tcPr>
          <w:p>
            <w:pPr>
              <w:adjustRightInd w:val="0"/>
              <w:snapToGrid w:val="0"/>
              <w:jc w:val="center"/>
              <w:rPr>
                <w:rFonts w:ascii="宋体" w:hAnsi="宋体"/>
                <w:color w:val="000000"/>
                <w:sz w:val="24"/>
              </w:rPr>
            </w:pPr>
          </w:p>
        </w:tc>
        <w:tc>
          <w:tcPr>
            <w:tcW w:w="851" w:type="dxa"/>
            <w:tcBorders>
              <w:top w:val="single" w:color="auto" w:sz="2" w:space="0"/>
            </w:tcBorders>
            <w:vAlign w:val="center"/>
          </w:tcPr>
          <w:p>
            <w:pPr>
              <w:adjustRightInd w:val="0"/>
              <w:snapToGrid w:val="0"/>
              <w:jc w:val="center"/>
              <w:rPr>
                <w:rFonts w:ascii="宋体" w:hAnsi="宋体"/>
                <w:color w:val="000000"/>
                <w:sz w:val="24"/>
              </w:rPr>
            </w:pPr>
          </w:p>
        </w:tc>
        <w:tc>
          <w:tcPr>
            <w:tcW w:w="2693" w:type="dxa"/>
            <w:tcBorders>
              <w:top w:val="single" w:color="auto" w:sz="2" w:space="0"/>
            </w:tcBorders>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ind w:left="-88" w:leftChars="-42"/>
              <w:jc w:val="center"/>
              <w:rPr>
                <w:rFonts w:ascii="宋体" w:hAnsi="宋体"/>
                <w:color w:val="000000"/>
                <w:sz w:val="24"/>
              </w:rPr>
            </w:pPr>
          </w:p>
        </w:tc>
        <w:tc>
          <w:tcPr>
            <w:tcW w:w="851" w:type="dxa"/>
            <w:vAlign w:val="center"/>
          </w:tcPr>
          <w:p>
            <w:pPr>
              <w:adjustRightInd w:val="0"/>
              <w:snapToGrid w:val="0"/>
              <w:ind w:left="-88" w:leftChars="-42"/>
              <w:jc w:val="center"/>
              <w:rPr>
                <w:rFonts w:ascii="宋体" w:hAnsi="宋体"/>
                <w:color w:val="000000"/>
                <w:sz w:val="24"/>
              </w:rPr>
            </w:pPr>
          </w:p>
        </w:tc>
        <w:tc>
          <w:tcPr>
            <w:tcW w:w="2693" w:type="dxa"/>
            <w:vAlign w:val="center"/>
          </w:tcPr>
          <w:p>
            <w:pPr>
              <w:adjustRightInd w:val="0"/>
              <w:snapToGrid w:val="0"/>
              <w:ind w:left="-88" w:leftChars="-42"/>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w:t>
            </w: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bl>
    <w:p>
      <w:pPr>
        <w:spacing w:line="360" w:lineRule="auto"/>
        <w:ind w:left="1118" w:hanging="1118" w:hangingChars="464"/>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2、各项货物（工程或服务）详细技术规格、参数及要求性能，应另页描述。</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6"/>
        <w:numPr>
          <w:ilvl w:val="0"/>
          <w:numId w:val="77"/>
        </w:numPr>
        <w:spacing w:before="40" w:after="40" w:line="360" w:lineRule="auto"/>
        <w:ind w:left="1285" w:hanging="1280" w:hangingChars="400"/>
        <w:jc w:val="left"/>
        <w:rPr>
          <w:rFonts w:ascii="宋体" w:hAnsi="宋体"/>
          <w:color w:val="000000"/>
        </w:rPr>
      </w:pPr>
      <w:bookmarkStart w:id="195" w:name="_Toc511894537"/>
      <w:bookmarkStart w:id="196" w:name="_Toc511895478"/>
      <w:bookmarkStart w:id="197" w:name="_Toc11541"/>
      <w:r>
        <w:rPr>
          <w:rFonts w:hint="eastAsia" w:ascii="宋体" w:hAnsi="宋体"/>
          <w:color w:val="000000"/>
        </w:rPr>
        <w:t>交纳投标保证金的银行凭证</w:t>
      </w:r>
      <w:bookmarkEnd w:id="195"/>
      <w:bookmarkEnd w:id="196"/>
      <w:bookmarkEnd w:id="197"/>
    </w:p>
    <w:p>
      <w:pPr>
        <w:rPr>
          <w:color w:val="000000"/>
        </w:rPr>
      </w:pPr>
    </w:p>
    <w:p>
      <w:pPr>
        <w:jc w:val="center"/>
        <w:rPr>
          <w:rFonts w:ascii="宋体" w:hAnsi="宋体" w:cs="Times New Roman"/>
          <w:b/>
          <w:color w:val="000000"/>
          <w:kern w:val="0"/>
          <w:sz w:val="28"/>
          <w:szCs w:val="32"/>
        </w:rPr>
      </w:pPr>
      <w:r>
        <w:rPr>
          <w:rFonts w:hint="eastAsia" w:ascii="宋体" w:hAnsi="宋体" w:cs="Times New Roman"/>
          <w:b/>
          <w:color w:val="000000"/>
          <w:kern w:val="0"/>
          <w:sz w:val="28"/>
          <w:szCs w:val="32"/>
        </w:rPr>
        <w:t>（本项目不适用）</w:t>
      </w:r>
    </w:p>
    <w:p>
      <w:pPr>
        <w:spacing w:line="480" w:lineRule="auto"/>
        <w:rPr>
          <w:rFonts w:ascii="宋体" w:hAnsi="宋体" w:cs="Courier New"/>
          <w:b/>
          <w:color w:val="000000"/>
          <w:sz w:val="28"/>
          <w:szCs w:val="28"/>
        </w:rPr>
      </w:pPr>
      <w:r>
        <w:rPr>
          <w:rFonts w:hint="eastAsia" w:ascii="宋体" w:hAnsi="宋体" w:cs="Times New Roman"/>
          <w:b/>
          <w:color w:val="000000"/>
          <w:sz w:val="28"/>
          <w:szCs w:val="28"/>
        </w:rPr>
        <w:t>武汉安平天志工程咨询有限公司</w:t>
      </w:r>
      <w:r>
        <w:rPr>
          <w:rFonts w:hint="eastAsia" w:ascii="宋体" w:hAnsi="宋体" w:cs="Courier New"/>
          <w:b/>
          <w:color w:val="000000"/>
          <w:sz w:val="28"/>
          <w:szCs w:val="28"/>
        </w:rPr>
        <w:t>：</w:t>
      </w:r>
    </w:p>
    <w:p>
      <w:pPr>
        <w:spacing w:line="360" w:lineRule="auto"/>
        <w:ind w:firstLine="489" w:firstLineChars="204"/>
        <w:jc w:val="left"/>
        <w:rPr>
          <w:rFonts w:ascii="宋体" w:hAnsi="宋体" w:cs="Times New Roman"/>
          <w:color w:val="000000"/>
          <w:sz w:val="24"/>
          <w:szCs w:val="21"/>
        </w:rPr>
      </w:pPr>
      <w:r>
        <w:rPr>
          <w:rFonts w:hint="eastAsia" w:ascii="宋体" w:hAnsi="宋体" w:cs="Times New Roman"/>
          <w:color w:val="000000"/>
          <w:sz w:val="24"/>
          <w:szCs w:val="21"/>
          <w:u w:val="single"/>
        </w:rPr>
        <w:t xml:space="preserve">  （投标人全称）  </w:t>
      </w:r>
      <w:r>
        <w:rPr>
          <w:rFonts w:hint="eastAsia" w:ascii="宋体" w:hAnsi="宋体" w:cs="Times New Roman"/>
          <w:color w:val="000000"/>
          <w:sz w:val="24"/>
          <w:szCs w:val="21"/>
        </w:rPr>
        <w:t>参加贵方组织的</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）的政府采购活动。按招标文件的规定，已递交人民币（大写）</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万元的投标保证金。</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投标人</w:t>
            </w: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全  称</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地  址</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邮  编</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联 系 人</w:t>
            </w:r>
          </w:p>
        </w:tc>
        <w:tc>
          <w:tcPr>
            <w:tcW w:w="2160" w:type="dxa"/>
            <w:vAlign w:val="center"/>
          </w:tcPr>
          <w:p>
            <w:pPr>
              <w:widowControl/>
              <w:spacing w:line="360" w:lineRule="auto"/>
              <w:jc w:val="left"/>
              <w:rPr>
                <w:rFonts w:ascii="宋体" w:hAnsi="宋体" w:cs="宋体"/>
                <w:color w:val="000000"/>
                <w:kern w:val="0"/>
                <w:sz w:val="24"/>
                <w:szCs w:val="21"/>
              </w:rPr>
            </w:pPr>
          </w:p>
        </w:tc>
        <w:tc>
          <w:tcPr>
            <w:tcW w:w="1440"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联系电话</w:t>
            </w:r>
          </w:p>
        </w:tc>
        <w:tc>
          <w:tcPr>
            <w:tcW w:w="3523" w:type="dxa"/>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开 户 银 行</w:t>
            </w:r>
          </w:p>
        </w:tc>
        <w:tc>
          <w:tcPr>
            <w:tcW w:w="7123" w:type="dxa"/>
            <w:gridSpan w:val="3"/>
            <w:vAlign w:val="center"/>
          </w:tcPr>
          <w:p>
            <w:pPr>
              <w:widowControl/>
              <w:spacing w:line="360" w:lineRule="auto"/>
              <w:jc w:val="left"/>
              <w:rPr>
                <w:rFonts w:ascii="宋体" w:hAnsi="宋体" w:cs="Arial"/>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帐  号</w:t>
            </w:r>
          </w:p>
        </w:tc>
        <w:tc>
          <w:tcPr>
            <w:tcW w:w="7123" w:type="dxa"/>
            <w:gridSpan w:val="3"/>
            <w:vAlign w:val="center"/>
          </w:tcPr>
          <w:p>
            <w:pPr>
              <w:widowControl/>
              <w:spacing w:line="360" w:lineRule="auto"/>
              <w:jc w:val="left"/>
              <w:rPr>
                <w:rFonts w:ascii="宋体" w:hAnsi="宋体" w:cs="Arial"/>
                <w:color w:val="000000"/>
                <w:kern w:val="0"/>
                <w:sz w:val="24"/>
                <w:szCs w:val="21"/>
              </w:rPr>
            </w:pPr>
          </w:p>
        </w:tc>
      </w:tr>
    </w:tbl>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9385" w:type="dxa"/>
          </w:tcPr>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粘贴转帐、电汇或网上银行凭证（清晰影印件）</w:t>
            </w: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ind w:left="110" w:leftChars="38" w:hanging="31" w:hangingChars="13"/>
              <w:rPr>
                <w:rFonts w:ascii="宋体" w:hAnsi="宋体" w:cs="Times New Roman"/>
                <w:b/>
                <w:color w:val="000000"/>
                <w:sz w:val="24"/>
                <w:szCs w:val="20"/>
              </w:rPr>
            </w:pPr>
            <w:r>
              <w:rPr>
                <w:rFonts w:hint="eastAsia" w:ascii="宋体" w:hAnsi="宋体" w:cs="Times New Roman"/>
                <w:b/>
                <w:color w:val="000000"/>
                <w:sz w:val="24"/>
                <w:szCs w:val="20"/>
              </w:rPr>
              <w:t>注：在交款凭证备注中说明项目编号及开标时间</w:t>
            </w:r>
          </w:p>
        </w:tc>
      </w:tr>
    </w:tbl>
    <w:p>
      <w:pPr>
        <w:spacing w:line="360" w:lineRule="auto"/>
        <w:ind w:left="769" w:hanging="765" w:hangingChars="319"/>
        <w:jc w:val="left"/>
        <w:rPr>
          <w:rFonts w:ascii="宋体" w:hAnsi="宋体" w:cs="Times New Roman"/>
          <w:bCs/>
          <w:color w:val="000000"/>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b/>
          <w:color w:val="000000"/>
          <w:sz w:val="24"/>
          <w:szCs w:val="24"/>
        </w:rPr>
        <w:t>说明：</w:t>
      </w:r>
      <w:r>
        <w:rPr>
          <w:rFonts w:hint="eastAsia" w:ascii="宋体" w:hAnsi="宋体"/>
          <w:color w:val="000000"/>
          <w:sz w:val="24"/>
        </w:rPr>
        <w:t>投标人应认真填写银行信息，与转帐或电汇银行凭证的相关信息一致，集中采购机构将依据此凭证信息查退投标保证金。</w:t>
      </w:r>
    </w:p>
    <w:p>
      <w:pPr>
        <w:pStyle w:val="6"/>
        <w:numPr>
          <w:ilvl w:val="0"/>
          <w:numId w:val="77"/>
        </w:numPr>
        <w:spacing w:before="40" w:after="40" w:line="360" w:lineRule="auto"/>
        <w:ind w:left="1285" w:hanging="1285" w:hangingChars="400"/>
        <w:jc w:val="left"/>
        <w:rPr>
          <w:rFonts w:ascii="宋体" w:hAnsi="宋体"/>
          <w:color w:val="000000"/>
        </w:rPr>
      </w:pPr>
      <w:bookmarkStart w:id="198" w:name="_Toc511894538"/>
      <w:bookmarkStart w:id="199" w:name="_Toc511895479"/>
      <w:bookmarkStart w:id="200" w:name="_Toc19456"/>
      <w:r>
        <w:rPr>
          <w:rFonts w:hint="eastAsia" w:ascii="宋体" w:hAnsi="宋体"/>
          <w:color w:val="000000"/>
        </w:rPr>
        <w:t>法定代表人授权书</w:t>
      </w:r>
      <w:bookmarkEnd w:id="198"/>
      <w:bookmarkEnd w:id="199"/>
      <w:bookmarkEnd w:id="200"/>
    </w:p>
    <w:p>
      <w:pPr>
        <w:rPr>
          <w:color w:val="000000"/>
        </w:rPr>
      </w:pP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武汉安平天志工程咨询有限公司：</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兹授权</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同志为我单位参加贵方组织的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w:t>
      </w:r>
      <w:r>
        <w:rPr>
          <w:rFonts w:hint="eastAsia" w:ascii="宋体" w:hAnsi="宋体" w:cs="Times New Roman"/>
          <w:color w:val="000000"/>
          <w:sz w:val="24"/>
          <w:szCs w:val="24"/>
          <w:u w:val="single"/>
        </w:rPr>
        <w:t>（项目编号：______）</w:t>
      </w:r>
      <w:r>
        <w:rPr>
          <w:rFonts w:hint="eastAsia" w:ascii="宋体" w:hAnsi="宋体" w:cs="Times New Roman"/>
          <w:color w:val="000000"/>
          <w:sz w:val="24"/>
          <w:szCs w:val="24"/>
        </w:rPr>
        <w:t>采购活动的投标人授权代表，全权代表我公司处理在项目采购活动中的一切事宜。代理期限从</w:t>
      </w:r>
      <w:r>
        <w:rPr>
          <w:rFonts w:hint="eastAsia" w:ascii="宋体" w:hAnsi="宋体" w:cs="Times New Roman"/>
          <w:color w:val="000000"/>
          <w:sz w:val="24"/>
          <w:szCs w:val="24"/>
          <w:u w:val="single"/>
        </w:rPr>
        <w:t>2018</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日起至</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日止。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被授权代表无转委托权。</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授权单位（公章）：</w:t>
      </w:r>
      <w:r>
        <w:rPr>
          <w:rFonts w:hint="eastAsia" w:hAnsi="宋体"/>
          <w:bCs/>
          <w:color w:val="000000"/>
          <w:sz w:val="24"/>
          <w:u w:val="single"/>
        </w:rPr>
        <w:t xml:space="preserve">                          </w:t>
      </w:r>
    </w:p>
    <w:p>
      <w:pPr>
        <w:spacing w:before="100" w:beforeAutospacing="1" w:after="100" w:afterAutospacing="1" w:line="360" w:lineRule="auto"/>
        <w:ind w:firstLine="3330" w:firstLineChars="1382"/>
        <w:rPr>
          <w:rFonts w:hAnsi="宋体"/>
          <w:b/>
          <w:bCs/>
          <w:color w:val="000000"/>
          <w:sz w:val="24"/>
          <w:u w:val="single"/>
        </w:rPr>
      </w:pPr>
      <w:r>
        <w:rPr>
          <w:rFonts w:hint="eastAsia" w:ascii="宋体" w:hAnsi="宋体" w:cs="Times New Roman"/>
          <w:b/>
          <w:bCs/>
          <w:color w:val="000000"/>
          <w:sz w:val="24"/>
          <w:szCs w:val="21"/>
        </w:rPr>
        <w:t>法定代表人（签字或盖章）</w:t>
      </w:r>
      <w:r>
        <w:rPr>
          <w:rFonts w:hint="eastAsia" w:hAnsi="宋体"/>
          <w:b/>
          <w:bCs/>
          <w:color w:val="000000"/>
          <w:sz w:val="24"/>
        </w:rPr>
        <w:t>：</w:t>
      </w:r>
      <w:r>
        <w:rPr>
          <w:rFonts w:hint="eastAsia" w:hAnsi="宋体"/>
          <w:b/>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Times New Roman" w:hAnsi="宋体" w:cs="Times New Roman"/>
          <w:color w:val="000000"/>
          <w:sz w:val="24"/>
          <w:szCs w:val="24"/>
        </w:rPr>
        <w:t>日   期：</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年</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月</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日</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附：</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投标人授权代表单位名称：</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职务：</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性别：</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u w:val="single"/>
        </w:rPr>
      </w:pPr>
      <w:r>
        <w:rPr>
          <w:rFonts w:hint="eastAsia" w:ascii="宋体" w:hAnsi="宋体" w:cs="Times New Roman"/>
          <w:color w:val="000000"/>
          <w:sz w:val="24"/>
          <w:szCs w:val="24"/>
        </w:rPr>
        <w:t>身份证号码：</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电话：</w:t>
      </w:r>
      <w:r>
        <w:rPr>
          <w:rFonts w:hint="eastAsia" w:ascii="宋体" w:hAnsi="宋体" w:cs="Times New Roman"/>
          <w:color w:val="000000"/>
          <w:sz w:val="24"/>
          <w:szCs w:val="24"/>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cs="Times New Roman"/>
                <w:b/>
                <w:color w:val="000000"/>
                <w:sz w:val="24"/>
                <w:szCs w:val="24"/>
              </w:rPr>
            </w:pPr>
            <w:r>
              <w:rPr>
                <w:rFonts w:hint="eastAsia" w:ascii="宋体" w:hAnsi="宋体" w:cs="Times New Roman"/>
                <w:b/>
                <w:color w:val="000000"/>
                <w:sz w:val="24"/>
                <w:szCs w:val="24"/>
              </w:rPr>
              <w:t>粘贴被授权人身份证（清晰影印件）</w:t>
            </w:r>
          </w:p>
        </w:tc>
      </w:tr>
    </w:tbl>
    <w:p>
      <w:pPr>
        <w:pStyle w:val="6"/>
        <w:spacing w:before="40" w:after="40" w:line="360" w:lineRule="auto"/>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6"/>
        <w:numPr>
          <w:ilvl w:val="0"/>
          <w:numId w:val="77"/>
        </w:numPr>
        <w:spacing w:before="40" w:after="40" w:line="360" w:lineRule="auto"/>
        <w:ind w:left="1285" w:hanging="1280" w:hangingChars="400"/>
        <w:jc w:val="left"/>
        <w:rPr>
          <w:rFonts w:ascii="宋体" w:hAnsi="宋体"/>
          <w:color w:val="000000"/>
        </w:rPr>
      </w:pPr>
      <w:bookmarkStart w:id="201" w:name="_Toc23302"/>
      <w:bookmarkStart w:id="202" w:name="_Toc511895480"/>
      <w:bookmarkStart w:id="203" w:name="_Toc511894539"/>
      <w:r>
        <w:rPr>
          <w:rFonts w:hint="eastAsia" w:ascii="宋体" w:hAnsi="宋体"/>
          <w:color w:val="000000"/>
        </w:rPr>
        <w:t>投标人的资格声明</w:t>
      </w:r>
      <w:bookmarkEnd w:id="201"/>
      <w:bookmarkEnd w:id="202"/>
      <w:bookmarkEnd w:id="203"/>
    </w:p>
    <w:p>
      <w:pPr>
        <w:spacing w:line="360" w:lineRule="auto"/>
        <w:ind w:left="1082" w:hanging="1077" w:hangingChars="449"/>
        <w:jc w:val="left"/>
        <w:rPr>
          <w:rFonts w:ascii="宋体" w:hAnsi="宋体" w:cs="Times New Roman"/>
          <w:b/>
          <w:color w:val="000000"/>
          <w:sz w:val="24"/>
          <w:szCs w:val="24"/>
        </w:rPr>
      </w:pPr>
      <w:r>
        <w:rPr>
          <w:rFonts w:hint="eastAsia" w:ascii="宋体" w:hAnsi="宋体" w:cs="Times New Roman"/>
          <w:b/>
          <w:color w:val="000000"/>
          <w:sz w:val="24"/>
          <w:szCs w:val="24"/>
        </w:rPr>
        <w:t>1．名称及基本情况：</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（1）投标人：</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（2）地址：</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邮编：</w:t>
      </w:r>
      <w:r>
        <w:rPr>
          <w:rFonts w:hint="eastAsia" w:ascii="宋体" w:hAnsi="宋体" w:cs="Times New Roman"/>
          <w:color w:val="000000"/>
          <w:sz w:val="24"/>
          <w:szCs w:val="24"/>
          <w:u w:val="single"/>
        </w:rPr>
        <w:t xml:space="preserve">                   </w:t>
      </w:r>
    </w:p>
    <w:p>
      <w:pPr>
        <w:spacing w:line="360" w:lineRule="exact"/>
        <w:ind w:firstLine="840" w:firstLineChars="350"/>
        <w:rPr>
          <w:rFonts w:ascii="宋体" w:hAnsi="宋体" w:cs="Times New Roman"/>
          <w:color w:val="000000"/>
          <w:sz w:val="24"/>
          <w:szCs w:val="24"/>
          <w:u w:val="single"/>
        </w:rPr>
      </w:pPr>
      <w:r>
        <w:rPr>
          <w:rFonts w:hint="eastAsia" w:ascii="宋体" w:hAnsi="宋体" w:cs="Times New Roman"/>
          <w:color w:val="000000"/>
          <w:sz w:val="24"/>
          <w:szCs w:val="24"/>
        </w:rPr>
        <w:t>电话：</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传真：</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（3）成立或注册日期：</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（4）单位性质：</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（5）法定代表人或主要负责人：</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（6）员工人数：</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（7）注册资本：</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（8）实收资本：</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（9）上年末资产负债表：</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1）固定资产</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原   值：</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净   值： </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2）流动资金：</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3）长期负债：</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4）短期负债：</w:t>
      </w:r>
      <w:r>
        <w:rPr>
          <w:rFonts w:hint="eastAsia" w:ascii="宋体" w:hAnsi="宋体" w:cs="Times New Roman"/>
          <w:color w:val="000000"/>
          <w:sz w:val="24"/>
          <w:szCs w:val="24"/>
          <w:u w:val="single"/>
        </w:rPr>
        <w:t xml:space="preserve">                      </w:t>
      </w:r>
    </w:p>
    <w:p>
      <w:pPr>
        <w:spacing w:line="360" w:lineRule="auto"/>
        <w:ind w:left="1082" w:hanging="1077" w:hangingChars="449"/>
        <w:jc w:val="left"/>
        <w:rPr>
          <w:rFonts w:ascii="宋体" w:hAnsi="宋体" w:cs="Times New Roman"/>
          <w:b/>
          <w:color w:val="000000"/>
          <w:sz w:val="24"/>
          <w:szCs w:val="24"/>
        </w:rPr>
      </w:pPr>
      <w:r>
        <w:rPr>
          <w:rFonts w:hint="eastAsia" w:ascii="宋体" w:hAnsi="宋体" w:cs="Times New Roman"/>
          <w:b/>
          <w:color w:val="000000"/>
          <w:sz w:val="24"/>
          <w:szCs w:val="24"/>
        </w:rPr>
        <w:t xml:space="preserve">2．与投标货物的生产、销售和服务有关的情况：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（1）关于制造投标货物的设施及其它情况：</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bl>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（2）投标人生产此投标货物的经验（包括年限、项目业主、额定能力、商业运营的起始日期等）：</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（3）销售、服务网点分布（可另行附表）：</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bl>
    <w:p>
      <w:pPr>
        <w:spacing w:line="360" w:lineRule="exact"/>
        <w:rPr>
          <w:rFonts w:ascii="宋体" w:hAnsi="宋体" w:cs="Times New Roman"/>
          <w:color w:val="000000"/>
          <w:sz w:val="24"/>
          <w:szCs w:val="24"/>
        </w:rPr>
      </w:pPr>
      <w:r>
        <w:rPr>
          <w:rFonts w:hint="eastAsia" w:ascii="宋体" w:hAnsi="宋体" w:cs="Times New Roman"/>
          <w:color w:val="000000"/>
          <w:sz w:val="24"/>
          <w:szCs w:val="24"/>
        </w:rPr>
        <w:t xml:space="preserve">3．投标人认为需要声明的其它情况：                         </w:t>
      </w:r>
    </w:p>
    <w:p>
      <w:pPr>
        <w:spacing w:line="360" w:lineRule="exact"/>
        <w:ind w:firstLine="475" w:firstLineChars="198"/>
        <w:rPr>
          <w:rFonts w:ascii="宋体" w:hAnsi="宋体" w:cs="Times New Roman"/>
          <w:color w:val="000000"/>
          <w:sz w:val="24"/>
          <w:szCs w:val="24"/>
        </w:rPr>
      </w:pPr>
      <w:r>
        <w:rPr>
          <w:rFonts w:hint="eastAsia" w:ascii="宋体" w:hAnsi="宋体" w:cs="Times New Roman"/>
          <w:color w:val="000000"/>
          <w:sz w:val="24"/>
          <w:szCs w:val="24"/>
        </w:rPr>
        <w:t xml:space="preserve">兹证明上述声明是真实的、正确，并提供了全部能提供的资料和数据，同意按照集中采购机构要求出示有关证明文件。                      </w:t>
      </w:r>
    </w:p>
    <w:p>
      <w:pPr>
        <w:spacing w:line="360" w:lineRule="auto"/>
        <w:ind w:firstLine="3316" w:firstLineChars="1382"/>
        <w:rPr>
          <w:rFonts w:ascii="宋体" w:hAnsi="宋体" w:cs="Times New Roman"/>
          <w:color w:val="000000"/>
          <w:sz w:val="24"/>
          <w:szCs w:val="24"/>
        </w:rPr>
      </w:pPr>
      <w:r>
        <w:rPr>
          <w:rFonts w:hint="eastAsia" w:ascii="宋体" w:hAnsi="宋体" w:cs="Times New Roman"/>
          <w:color w:val="000000"/>
          <w:sz w:val="24"/>
          <w:szCs w:val="24"/>
        </w:rPr>
        <w:t>投标人</w:t>
      </w:r>
      <w:r>
        <w:rPr>
          <w:rFonts w:hint="eastAsia" w:ascii="Times New Roman" w:hAnsi="宋体" w:cs="Times New Roman"/>
          <w:color w:val="000000"/>
          <w:sz w:val="24"/>
          <w:szCs w:val="24"/>
        </w:rPr>
        <w:t>（公章）</w:t>
      </w:r>
      <w:r>
        <w:rPr>
          <w:rFonts w:hint="eastAsia" w:ascii="宋体" w:hAnsi="宋体" w:cs="Times New Roman"/>
          <w:color w:val="000000"/>
          <w:sz w:val="24"/>
          <w:szCs w:val="24"/>
        </w:rPr>
        <w:t>：</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b/>
          <w:color w:val="000000"/>
          <w:sz w:val="24"/>
          <w:szCs w:val="24"/>
        </w:rPr>
      </w:pPr>
      <w:r>
        <w:rPr>
          <w:rFonts w:hint="eastAsia" w:ascii="Times New Roman" w:hAnsi="宋体" w:cs="Times New Roman"/>
          <w:b/>
          <w:color w:val="000000"/>
          <w:sz w:val="24"/>
          <w:szCs w:val="24"/>
        </w:rPr>
        <w:t>法定代表人（签字或盖章）</w:t>
      </w:r>
      <w:r>
        <w:rPr>
          <w:rFonts w:hint="eastAsia" w:ascii="宋体" w:hAnsi="宋体" w:cs="Times New Roman"/>
          <w:b/>
          <w:color w:val="000000"/>
          <w:sz w:val="24"/>
          <w:szCs w:val="24"/>
        </w:rPr>
        <w:t>：</w:t>
      </w:r>
      <w:r>
        <w:rPr>
          <w:rFonts w:hint="eastAsia" w:ascii="宋体" w:hAnsi="宋体" w:cs="Times New Roman"/>
          <w:b/>
          <w:color w:val="000000"/>
          <w:sz w:val="24"/>
          <w:szCs w:val="24"/>
          <w:u w:val="single"/>
        </w:rPr>
        <w:t xml:space="preserve">            </w:t>
      </w:r>
    </w:p>
    <w:p>
      <w:pPr>
        <w:spacing w:line="360" w:lineRule="auto"/>
        <w:ind w:firstLine="3316" w:firstLineChars="1382"/>
        <w:rPr>
          <w:rFonts w:ascii="宋体" w:hAnsi="宋体" w:cs="Times New Roman"/>
          <w:color w:val="000000"/>
          <w:sz w:val="24"/>
          <w:szCs w:val="24"/>
        </w:rPr>
      </w:pPr>
      <w:r>
        <w:rPr>
          <w:rFonts w:hint="eastAsia" w:ascii="宋体" w:hAnsi="宋体" w:cs="Times New Roman"/>
          <w:color w:val="000000"/>
          <w:sz w:val="24"/>
          <w:szCs w:val="24"/>
        </w:rPr>
        <w:t>电    话：</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color w:val="000000"/>
          <w:sz w:val="24"/>
          <w:szCs w:val="24"/>
          <w:u w:val="single"/>
        </w:rPr>
      </w:pPr>
      <w:r>
        <w:rPr>
          <w:rFonts w:hint="eastAsia" w:ascii="宋体" w:hAnsi="宋体" w:cs="Times New Roman"/>
          <w:color w:val="000000"/>
          <w:sz w:val="24"/>
          <w:szCs w:val="24"/>
        </w:rPr>
        <w:t>传    真：</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color w:val="000000"/>
          <w:sz w:val="24"/>
          <w:szCs w:val="24"/>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color w:val="000000"/>
          <w:sz w:val="24"/>
          <w:szCs w:val="24"/>
        </w:rPr>
        <w:t>日    期：</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日</w:t>
      </w:r>
    </w:p>
    <w:p>
      <w:pPr>
        <w:pStyle w:val="6"/>
        <w:numPr>
          <w:ilvl w:val="0"/>
          <w:numId w:val="77"/>
        </w:numPr>
        <w:spacing w:before="40" w:after="40" w:line="360" w:lineRule="auto"/>
        <w:ind w:left="1285" w:hanging="1285" w:hangingChars="400"/>
        <w:jc w:val="left"/>
        <w:rPr>
          <w:rFonts w:ascii="宋体" w:hAnsi="宋体"/>
          <w:color w:val="000000"/>
        </w:rPr>
      </w:pPr>
      <w:bookmarkStart w:id="204" w:name="_Toc511895481"/>
      <w:bookmarkStart w:id="205" w:name="_Toc511894540"/>
      <w:bookmarkStart w:id="206" w:name="_Toc28113"/>
      <w:r>
        <w:rPr>
          <w:rFonts w:hint="eastAsia" w:ascii="宋体" w:hAnsi="宋体"/>
          <w:color w:val="000000"/>
        </w:rPr>
        <w:t>项目负责人、技术负责人简历表</w:t>
      </w:r>
      <w:bookmarkEnd w:id="204"/>
      <w:bookmarkEnd w:id="205"/>
      <w:bookmarkEnd w:id="206"/>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cs="Times New Roman"/>
                <w:color w:val="000000"/>
                <w:kern w:val="0"/>
                <w:sz w:val="24"/>
                <w:szCs w:val="28"/>
              </w:rPr>
            </w:pPr>
            <w:r>
              <w:rPr>
                <w:rFonts w:hint="eastAsia" w:ascii="宋体" w:hAnsi="宋体" w:cs="Times New Roman"/>
                <w:color w:val="000000"/>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r>
              <w:rPr>
                <w:rFonts w:hint="eastAsia" w:ascii="宋体" w:hAnsi="宋体" w:cs="Times New Roman"/>
                <w:color w:val="000000"/>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cs="Times New Roman"/>
                <w:color w:val="000000"/>
                <w:kern w:val="0"/>
                <w:sz w:val="24"/>
                <w:szCs w:val="28"/>
              </w:rPr>
            </w:pPr>
            <w:r>
              <w:rPr>
                <w:rFonts w:hint="eastAsia" w:ascii="宋体" w:hAnsi="宋体" w:cs="Times New Roman"/>
                <w:color w:val="000000"/>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r>
              <w:rPr>
                <w:rFonts w:hint="eastAsia" w:ascii="宋体" w:hAnsi="宋体" w:cs="Times New Roman"/>
                <w:color w:val="000000"/>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参加工作</w:t>
            </w:r>
          </w:p>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r>
              <w:rPr>
                <w:rFonts w:hint="eastAsia" w:ascii="宋体" w:hAnsi="宋体" w:cs="Times New Roman"/>
                <w:color w:val="000000"/>
                <w:kern w:val="0"/>
                <w:sz w:val="24"/>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r>
              <w:rPr>
                <w:rFonts w:hint="eastAsia" w:ascii="宋体" w:hAnsi="宋体" w:cs="Times New Roman"/>
                <w:color w:val="000000"/>
                <w:kern w:val="0"/>
                <w:sz w:val="24"/>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bl>
    <w:p>
      <w:pPr>
        <w:spacing w:line="360" w:lineRule="auto"/>
        <w:ind w:left="723" w:hanging="723" w:hangingChars="30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Times New Roman"/>
          <w:color w:val="000000"/>
          <w:sz w:val="24"/>
          <w:szCs w:val="24"/>
        </w:rPr>
        <w:t>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6"/>
        <w:numPr>
          <w:ilvl w:val="0"/>
          <w:numId w:val="77"/>
        </w:numPr>
        <w:spacing w:before="40" w:after="40" w:line="360" w:lineRule="auto"/>
        <w:ind w:left="1285" w:hanging="1280" w:hangingChars="400"/>
        <w:jc w:val="left"/>
        <w:rPr>
          <w:rFonts w:ascii="宋体" w:hAnsi="宋体" w:cs="Times New Roman"/>
          <w:bCs w:val="0"/>
          <w:color w:val="000000"/>
        </w:rPr>
      </w:pPr>
      <w:bookmarkStart w:id="207" w:name="_Toc511895482"/>
      <w:bookmarkStart w:id="208" w:name="_Toc511894541"/>
      <w:bookmarkStart w:id="209" w:name="_Toc10473"/>
      <w:r>
        <w:rPr>
          <w:rFonts w:hint="eastAsia" w:ascii="宋体" w:hAnsi="宋体" w:cs="Times New Roman"/>
          <w:bCs w:val="0"/>
          <w:color w:val="000000"/>
        </w:rPr>
        <w:t>项目班子成员情况表</w:t>
      </w:r>
      <w:bookmarkEnd w:id="207"/>
      <w:bookmarkEnd w:id="208"/>
      <w:bookmarkEnd w:id="209"/>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4BC96" w:fill="DDD9C3"/>
            <w:vAlign w:val="center"/>
          </w:tcPr>
          <w:p>
            <w:pPr>
              <w:spacing w:before="100" w:beforeAutospacing="1" w:after="100" w:afterAutospacing="1"/>
              <w:ind w:left="-105" w:leftChars="-50" w:right="-105" w:rightChars="-50"/>
              <w:jc w:val="center"/>
              <w:rPr>
                <w:rFonts w:ascii="宋体" w:hAnsi="宋体" w:cs="Times New Roman"/>
                <w:b/>
                <w:color w:val="000000"/>
                <w:sz w:val="24"/>
                <w:szCs w:val="24"/>
              </w:rPr>
            </w:pPr>
            <w:r>
              <w:rPr>
                <w:rFonts w:hint="eastAsia" w:ascii="宋体" w:hAnsi="宋体" w:cs="仿宋_GB2312"/>
                <w:b/>
                <w:color w:val="000000"/>
                <w:sz w:val="24"/>
                <w:szCs w:val="24"/>
              </w:rPr>
              <w:t>序号</w:t>
            </w:r>
          </w:p>
        </w:tc>
        <w:tc>
          <w:tcPr>
            <w:tcW w:w="111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姓 名</w:t>
            </w:r>
          </w:p>
        </w:tc>
        <w:tc>
          <w:tcPr>
            <w:tcW w:w="153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专 业</w:t>
            </w:r>
          </w:p>
        </w:tc>
        <w:tc>
          <w:tcPr>
            <w:tcW w:w="1134"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年 龄</w:t>
            </w:r>
          </w:p>
        </w:tc>
        <w:tc>
          <w:tcPr>
            <w:tcW w:w="1491"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kern w:val="0"/>
                <w:sz w:val="24"/>
                <w:szCs w:val="28"/>
              </w:rPr>
              <w:t>从事本行业工作年限</w:t>
            </w:r>
          </w:p>
        </w:tc>
        <w:tc>
          <w:tcPr>
            <w:tcW w:w="184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在本项目中承担的工作</w:t>
            </w:r>
          </w:p>
        </w:tc>
        <w:tc>
          <w:tcPr>
            <w:tcW w:w="1842"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kern w:val="0"/>
                <w:sz w:val="24"/>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cs="Times New Roman"/>
                <w:b/>
                <w:color w:val="000000"/>
                <w:sz w:val="24"/>
                <w:szCs w:val="24"/>
              </w:rPr>
            </w:pPr>
            <w:r>
              <w:rPr>
                <w:rFonts w:ascii="宋体" w:hAnsi="宋体" w:cs="Times New Roman"/>
                <w:b/>
                <w:color w:val="000000"/>
                <w:sz w:val="24"/>
                <w:szCs w:val="24"/>
              </w:rPr>
              <w:t>…</w:t>
            </w: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bl>
    <w:p>
      <w:pPr>
        <w:spacing w:line="360" w:lineRule="auto"/>
        <w:ind w:left="754" w:hanging="751" w:hangingChars="313"/>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olor w:val="000000"/>
          <w:sz w:val="24"/>
        </w:rPr>
        <w:t>投标文件正本应附完整的相关证明材料清晰影印件</w:t>
      </w:r>
      <w:r>
        <w:rPr>
          <w:rFonts w:hint="eastAsia" w:ascii="宋体" w:hAnsi="宋体" w:cs="Times New Roman"/>
          <w:color w:val="000000"/>
          <w:sz w:val="24"/>
          <w:szCs w:val="24"/>
        </w:rPr>
        <w:t>，</w:t>
      </w:r>
      <w:r>
        <w:rPr>
          <w:rFonts w:hint="eastAsia" w:ascii="宋体" w:hAnsi="宋体" w:cs="Corbel"/>
          <w:color w:val="000000"/>
          <w:sz w:val="24"/>
          <w:szCs w:val="21"/>
        </w:rPr>
        <w:t>未按照要求详细完整填写此表，</w:t>
      </w:r>
      <w:r>
        <w:rPr>
          <w:rFonts w:hint="eastAsia" w:ascii="宋体" w:hAnsi="宋体" w:cs="Times New Roman"/>
          <w:color w:val="000000"/>
          <w:sz w:val="24"/>
          <w:szCs w:val="21"/>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210" w:name="_Toc511894542"/>
      <w:bookmarkStart w:id="211" w:name="_Toc19987"/>
      <w:bookmarkStart w:id="212" w:name="_Toc511895483"/>
      <w:r>
        <w:rPr>
          <w:rFonts w:hint="eastAsia" w:ascii="宋体" w:hAnsi="宋体" w:cs="Times New Roman"/>
          <w:bCs w:val="0"/>
          <w:color w:val="000000"/>
        </w:rPr>
        <w:t>投标人类似项目业绩表</w:t>
      </w:r>
      <w:bookmarkEnd w:id="210"/>
      <w:bookmarkEnd w:id="211"/>
      <w:bookmarkEnd w:id="212"/>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项目单位名称</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项目名称</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项目单位联系人姓名及联系方式</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项目金额</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项目负责人姓名</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项目时间</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项目内容</w:t>
            </w:r>
          </w:p>
        </w:tc>
        <w:tc>
          <w:tcPr>
            <w:tcW w:w="7200" w:type="dxa"/>
          </w:tcPr>
          <w:p>
            <w:pPr>
              <w:rPr>
                <w:rFonts w:ascii="宋体" w:hAnsi="宋体" w:cs="Courier New"/>
                <w:color w:val="000000"/>
                <w:sz w:val="24"/>
                <w:szCs w:val="24"/>
              </w:rPr>
            </w:pPr>
          </w:p>
        </w:tc>
      </w:tr>
    </w:tbl>
    <w:p>
      <w:pPr>
        <w:spacing w:line="360" w:lineRule="auto"/>
        <w:ind w:left="1132" w:hanging="1132" w:hangingChars="47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Times New Roman"/>
          <w:color w:val="000000"/>
          <w:sz w:val="24"/>
          <w:szCs w:val="24"/>
        </w:rPr>
        <w:t>1、每个合同应单独附表，并附上相关证明材料，</w:t>
      </w:r>
      <w:r>
        <w:rPr>
          <w:rFonts w:hint="eastAsia" w:ascii="宋体" w:hAnsi="宋体" w:cs="Corbel"/>
          <w:color w:val="000000"/>
          <w:sz w:val="24"/>
          <w:szCs w:val="24"/>
        </w:rPr>
        <w:t>未按照要求详细完整填写此表，</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Times New Roman"/>
          <w:color w:val="000000"/>
          <w:sz w:val="24"/>
          <w:szCs w:val="24"/>
        </w:rPr>
        <w:t>2、项目内容请详细说明所承担的具体工作内容等。</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6"/>
        <w:numPr>
          <w:ilvl w:val="0"/>
          <w:numId w:val="77"/>
        </w:numPr>
        <w:spacing w:before="40" w:after="40" w:line="360" w:lineRule="auto"/>
        <w:ind w:left="1285" w:hanging="1280" w:hangingChars="400"/>
        <w:jc w:val="left"/>
        <w:rPr>
          <w:rFonts w:ascii="宋体" w:hAnsi="宋体" w:cs="Times New Roman"/>
          <w:bCs w:val="0"/>
          <w:color w:val="000000"/>
        </w:rPr>
      </w:pPr>
      <w:bookmarkStart w:id="213" w:name="_Toc511895484"/>
      <w:bookmarkStart w:id="214" w:name="_Toc27915"/>
      <w:bookmarkStart w:id="215" w:name="_Toc511894543"/>
      <w:r>
        <w:rPr>
          <w:rFonts w:hint="eastAsia" w:ascii="宋体" w:hAnsi="宋体" w:cs="Times New Roman"/>
          <w:bCs w:val="0"/>
          <w:color w:val="000000"/>
        </w:rPr>
        <w:t>符合性审查对照表</w:t>
      </w:r>
      <w:bookmarkEnd w:id="213"/>
      <w:bookmarkEnd w:id="214"/>
      <w:bookmarkEnd w:id="215"/>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3036"/>
        <w:gridCol w:w="3050"/>
        <w:gridCol w:w="1175"/>
        <w:gridCol w:w="14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9"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36"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招标文件符合性审查条款的序号及内容</w:t>
            </w:r>
          </w:p>
        </w:tc>
        <w:tc>
          <w:tcPr>
            <w:tcW w:w="3050"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75"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93"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Times New Roman"/>
          <w:b/>
          <w:color w:val="000000"/>
          <w:sz w:val="24"/>
          <w:szCs w:val="24"/>
        </w:rPr>
      </w:pPr>
      <w:r>
        <w:rPr>
          <w:rFonts w:hint="eastAsia" w:ascii="宋体" w:hAnsi="宋体" w:cs="Times New Roman"/>
          <w:b/>
          <w:color w:val="000000"/>
          <w:sz w:val="24"/>
          <w:szCs w:val="24"/>
        </w:rPr>
        <w:t>说明</w:t>
      </w:r>
      <w:r>
        <w:rPr>
          <w:rFonts w:hint="eastAsia" w:ascii="宋体" w:hAnsi="宋体" w:cs="Corbel"/>
          <w:b/>
          <w:color w:val="000000"/>
          <w:sz w:val="24"/>
          <w:szCs w:val="24"/>
        </w:rPr>
        <w:t>：</w:t>
      </w:r>
      <w:r>
        <w:rPr>
          <w:rFonts w:hint="eastAsia" w:ascii="宋体" w:hAnsi="宋体" w:cs="Corbel"/>
          <w:color w:val="000000"/>
          <w:sz w:val="24"/>
          <w:szCs w:val="24"/>
        </w:rPr>
        <w:t>1</w:t>
      </w:r>
      <w:r>
        <w:rPr>
          <w:rFonts w:hint="eastAsia" w:ascii="宋体" w:hAnsi="宋体" w:cs="Times New Roman"/>
          <w:color w:val="000000"/>
          <w:sz w:val="24"/>
          <w:szCs w:val="24"/>
        </w:rPr>
        <w:t>、</w:t>
      </w:r>
      <w:r>
        <w:rPr>
          <w:rFonts w:hint="eastAsia" w:ascii="宋体" w:hAnsi="宋体" w:cs="Corbel"/>
          <w:color w:val="000000"/>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s="Times New Roman"/>
          <w:color w:val="000000"/>
          <w:sz w:val="24"/>
          <w:szCs w:val="24"/>
        </w:rPr>
        <w:t>导致的后果由投标人自行承担。</w:t>
      </w:r>
    </w:p>
    <w:p>
      <w:pPr>
        <w:spacing w:line="360" w:lineRule="auto"/>
        <w:ind w:left="1118" w:leftChars="366" w:hanging="350" w:hangingChars="146"/>
        <w:jc w:val="left"/>
        <w:rPr>
          <w:rFonts w:ascii="宋体" w:hAnsi="宋体" w:cs="Times New Roman"/>
          <w:b/>
          <w:color w:val="000000"/>
          <w:sz w:val="24"/>
          <w:szCs w:val="24"/>
        </w:rPr>
      </w:pPr>
      <w:r>
        <w:rPr>
          <w:rFonts w:hint="eastAsia" w:ascii="宋体" w:hAnsi="宋体" w:cs="Corbel"/>
          <w:color w:val="000000"/>
          <w:sz w:val="24"/>
          <w:szCs w:val="24"/>
        </w:rPr>
        <w:t>2、</w:t>
      </w:r>
      <w:r>
        <w:rPr>
          <w:rFonts w:hint="eastAsia" w:ascii="宋体" w:hAnsi="宋体" w:cs="Times New Roman"/>
          <w:color w:val="000000"/>
          <w:sz w:val="24"/>
          <w:szCs w:val="24"/>
        </w:rPr>
        <w:t>投标人</w:t>
      </w:r>
      <w:r>
        <w:rPr>
          <w:rFonts w:hint="eastAsia" w:ascii="宋体" w:hAnsi="宋体" w:cs="Corbel"/>
          <w:color w:val="000000"/>
          <w:sz w:val="24"/>
          <w:szCs w:val="24"/>
        </w:rPr>
        <w:t>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216" w:name="_Toc511895485"/>
      <w:bookmarkStart w:id="217" w:name="_Toc511894544"/>
      <w:bookmarkStart w:id="218" w:name="_Toc12444"/>
      <w:r>
        <w:rPr>
          <w:rFonts w:hint="eastAsia" w:ascii="宋体" w:hAnsi="宋体" w:cs="Times New Roman"/>
          <w:bCs w:val="0"/>
          <w:color w:val="000000"/>
        </w:rPr>
        <w:t>商务要求响应、偏离说明表</w:t>
      </w:r>
      <w:bookmarkEnd w:id="216"/>
      <w:bookmarkEnd w:id="217"/>
      <w:bookmarkEnd w:id="218"/>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7"/>
        <w:gridCol w:w="3038"/>
        <w:gridCol w:w="3050"/>
        <w:gridCol w:w="1177"/>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7"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3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招标文件商务要求条款的序号及内容</w:t>
            </w:r>
          </w:p>
        </w:tc>
        <w:tc>
          <w:tcPr>
            <w:tcW w:w="3050"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77"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91" w:type="dxa"/>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Corbel"/>
          <w:b/>
          <w:color w:val="000000"/>
          <w:sz w:val="24"/>
          <w:szCs w:val="24"/>
        </w:rPr>
        <w:t>：</w:t>
      </w:r>
      <w:r>
        <w:rPr>
          <w:rFonts w:hint="eastAsia" w:ascii="宋体" w:hAnsi="宋体" w:cs="Corbel"/>
          <w:color w:val="000000"/>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Corbel"/>
          <w:color w:val="000000"/>
          <w:sz w:val="24"/>
          <w:szCs w:val="24"/>
        </w:rPr>
        <w:t>2、投标人</w:t>
      </w:r>
      <w:r>
        <w:rPr>
          <w:rFonts w:hint="eastAsia" w:ascii="宋体" w:hAnsi="宋体" w:cs="Times New Roman"/>
          <w:color w:val="000000"/>
          <w:sz w:val="24"/>
          <w:szCs w:val="24"/>
        </w:rPr>
        <w:t>提供</w:t>
      </w:r>
      <w:r>
        <w:rPr>
          <w:rFonts w:hint="eastAsia" w:ascii="宋体" w:hAnsi="宋体" w:cs="Corbel"/>
          <w:color w:val="000000"/>
          <w:sz w:val="24"/>
          <w:szCs w:val="24"/>
        </w:rPr>
        <w:t>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6"/>
        <w:numPr>
          <w:ilvl w:val="0"/>
          <w:numId w:val="77"/>
        </w:numPr>
        <w:spacing w:before="40" w:after="40" w:line="360" w:lineRule="auto"/>
        <w:ind w:left="1285" w:hanging="1280" w:hangingChars="400"/>
        <w:jc w:val="left"/>
        <w:rPr>
          <w:rFonts w:ascii="宋体" w:hAnsi="宋体" w:cs="Times New Roman"/>
          <w:bCs w:val="0"/>
          <w:color w:val="000000"/>
        </w:rPr>
      </w:pPr>
      <w:bookmarkStart w:id="219" w:name="_Toc511894545"/>
      <w:bookmarkStart w:id="220" w:name="_Toc16567"/>
      <w:bookmarkStart w:id="221" w:name="_Toc511895486"/>
      <w:r>
        <w:rPr>
          <w:rFonts w:hint="eastAsia" w:ascii="宋体" w:hAnsi="宋体" w:cs="Times New Roman"/>
          <w:bCs w:val="0"/>
          <w:color w:val="000000"/>
        </w:rPr>
        <w:t>商务要求“★”号条款响应、偏离说明表</w:t>
      </w:r>
      <w:bookmarkEnd w:id="219"/>
      <w:bookmarkEnd w:id="220"/>
      <w:bookmarkEnd w:id="221"/>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3048"/>
        <w:gridCol w:w="3048"/>
        <w:gridCol w:w="1183"/>
        <w:gridCol w:w="1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7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招标文件商务要求“★”号条款的序号及内容</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83"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89"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118"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spacing w:before="40" w:after="40" w:line="360" w:lineRule="auto"/>
        <w:ind w:left="1285"/>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222" w:name="_Toc511894546"/>
      <w:bookmarkStart w:id="223" w:name="_Toc18986"/>
      <w:bookmarkStart w:id="224" w:name="_Toc511895487"/>
      <w:r>
        <w:rPr>
          <w:rFonts w:hint="eastAsia" w:ascii="宋体" w:hAnsi="宋体" w:cs="Times New Roman"/>
          <w:bCs w:val="0"/>
          <w:color w:val="000000"/>
        </w:rPr>
        <w:t>商务评议对照表</w:t>
      </w:r>
      <w:bookmarkEnd w:id="222"/>
      <w:bookmarkEnd w:id="223"/>
      <w:bookmarkEnd w:id="224"/>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6"/>
        <w:gridCol w:w="3106"/>
        <w:gridCol w:w="3106"/>
        <w:gridCol w:w="1205"/>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6"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招标文件商务评分标准的序号及内容</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05"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40"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tcBorders>
              <w:top w:val="single" w:color="auto" w:sz="4" w:space="0"/>
            </w:tcBorders>
            <w:vAlign w:val="center"/>
          </w:tcPr>
          <w:p>
            <w:pPr>
              <w:numPr>
                <w:ilvl w:val="0"/>
                <w:numId w:val="92"/>
              </w:numPr>
              <w:jc w:val="center"/>
              <w:rPr>
                <w:rFonts w:ascii="宋体" w:hAnsi="宋体" w:cs="仿宋_GB2312"/>
                <w:color w:val="000000"/>
                <w:sz w:val="24"/>
                <w:szCs w:val="24"/>
              </w:rPr>
            </w:pPr>
          </w:p>
        </w:tc>
        <w:tc>
          <w:tcPr>
            <w:tcW w:w="3106" w:type="dxa"/>
            <w:tcBorders>
              <w:top w:val="single" w:color="auto" w:sz="4" w:space="0"/>
            </w:tcBorders>
            <w:vAlign w:val="center"/>
          </w:tcPr>
          <w:p>
            <w:pPr>
              <w:jc w:val="center"/>
              <w:rPr>
                <w:rFonts w:ascii="宋体" w:hAnsi="宋体" w:cs="仿宋_GB2312"/>
                <w:color w:val="000000"/>
                <w:sz w:val="24"/>
                <w:szCs w:val="24"/>
              </w:rPr>
            </w:pPr>
          </w:p>
        </w:tc>
        <w:tc>
          <w:tcPr>
            <w:tcW w:w="3106" w:type="dxa"/>
            <w:tcBorders>
              <w:top w:val="single" w:color="auto" w:sz="4" w:space="0"/>
            </w:tcBorders>
            <w:vAlign w:val="center"/>
          </w:tcPr>
          <w:p>
            <w:pPr>
              <w:jc w:val="center"/>
              <w:rPr>
                <w:rFonts w:ascii="宋体" w:hAnsi="宋体" w:cs="仿宋_GB2312"/>
                <w:color w:val="000000"/>
                <w:sz w:val="24"/>
                <w:szCs w:val="24"/>
              </w:rPr>
            </w:pPr>
          </w:p>
        </w:tc>
        <w:tc>
          <w:tcPr>
            <w:tcW w:w="1205" w:type="dxa"/>
            <w:tcBorders>
              <w:top w:val="single" w:color="auto" w:sz="4" w:space="0"/>
            </w:tcBorders>
            <w:vAlign w:val="center"/>
          </w:tcPr>
          <w:p>
            <w:pPr>
              <w:jc w:val="center"/>
              <w:rPr>
                <w:rFonts w:ascii="宋体" w:hAnsi="宋体" w:cs="仿宋_GB2312"/>
                <w:color w:val="000000"/>
                <w:sz w:val="24"/>
                <w:szCs w:val="24"/>
              </w:rPr>
            </w:pPr>
          </w:p>
        </w:tc>
        <w:tc>
          <w:tcPr>
            <w:tcW w:w="1340" w:type="dxa"/>
            <w:tcBorders>
              <w:top w:val="single" w:color="auto" w:sz="4" w:space="0"/>
            </w:tcBorders>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jc w:val="center"/>
              <w:rPr>
                <w:rFonts w:ascii="宋体" w:hAnsi="宋体" w:cs="仿宋_GB2312"/>
                <w:b/>
                <w:color w:val="000000"/>
                <w:sz w:val="24"/>
                <w:szCs w:val="24"/>
              </w:rPr>
            </w:pPr>
            <w:r>
              <w:rPr>
                <w:rFonts w:hint="eastAsia" w:ascii="宋体" w:hAnsi="宋体" w:cs="仿宋_GB2312"/>
                <w:b/>
                <w:color w:val="000000"/>
                <w:sz w:val="24"/>
                <w:szCs w:val="24"/>
              </w:rPr>
              <w:t>…</w:t>
            </w: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Times New Roman"/>
          <w:color w:val="000000"/>
          <w:sz w:val="24"/>
          <w:szCs w:val="24"/>
        </w:rPr>
        <w:t>2、投标人提供的相关证明文件对应的页码填写到上表“投标文件对应的页码”中。未提供页码或内容页码不一致的，导致的后果由投标人自行承担。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6"/>
        <w:numPr>
          <w:ilvl w:val="0"/>
          <w:numId w:val="77"/>
        </w:numPr>
        <w:spacing w:before="40" w:after="40" w:line="360" w:lineRule="auto"/>
        <w:ind w:left="1285" w:hanging="1280" w:hangingChars="400"/>
        <w:jc w:val="left"/>
        <w:rPr>
          <w:rFonts w:ascii="宋体" w:hAnsi="宋体" w:cs="Times New Roman"/>
          <w:bCs w:val="0"/>
          <w:color w:val="000000"/>
        </w:rPr>
      </w:pPr>
      <w:bookmarkStart w:id="225" w:name="_Toc27613"/>
      <w:bookmarkStart w:id="226" w:name="_Toc511894547"/>
      <w:bookmarkStart w:id="227" w:name="_Toc511895488"/>
      <w:r>
        <w:rPr>
          <w:rFonts w:hint="eastAsia" w:ascii="宋体" w:hAnsi="宋体" w:cs="Times New Roman"/>
          <w:bCs w:val="0"/>
          <w:color w:val="000000"/>
        </w:rPr>
        <w:t>技术、服务要求响应、偏离说明表</w:t>
      </w:r>
      <w:bookmarkEnd w:id="225"/>
      <w:bookmarkEnd w:id="226"/>
      <w:bookmarkEnd w:id="227"/>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3104"/>
        <w:gridCol w:w="3104"/>
        <w:gridCol w:w="1207"/>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0" w:hRule="atLeast"/>
          <w:jc w:val="center"/>
        </w:trPr>
        <w:tc>
          <w:tcPr>
            <w:tcW w:w="590"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招标文件技术、服务要求条款的序号及内容</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07"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38"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Times New Roman"/>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8"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6"/>
        <w:numPr>
          <w:ilvl w:val="0"/>
          <w:numId w:val="77"/>
        </w:numPr>
        <w:spacing w:before="40" w:after="40" w:line="360" w:lineRule="auto"/>
        <w:ind w:left="1285" w:hanging="1285" w:hangingChars="400"/>
        <w:jc w:val="left"/>
        <w:rPr>
          <w:rFonts w:ascii="宋体" w:hAnsi="宋体" w:cs="Times New Roman"/>
          <w:color w:val="000000"/>
        </w:rPr>
      </w:pPr>
      <w:bookmarkStart w:id="228" w:name="_Toc511895489"/>
      <w:bookmarkStart w:id="229" w:name="_Toc511894548"/>
      <w:bookmarkStart w:id="230" w:name="_Toc9550"/>
      <w:r>
        <w:rPr>
          <w:rFonts w:hint="eastAsia" w:ascii="宋体" w:hAnsi="宋体" w:cs="Times New Roman"/>
          <w:color w:val="000000"/>
        </w:rPr>
        <w:t>技术、服务要求“★”号条款响应、偏离说明表</w:t>
      </w:r>
      <w:bookmarkEnd w:id="228"/>
      <w:bookmarkEnd w:id="229"/>
      <w:bookmarkEnd w:id="230"/>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3122"/>
        <w:gridCol w:w="3091"/>
        <w:gridCol w:w="1218"/>
        <w:gridCol w:w="1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58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22"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招标文件技术要求 “★”号条款的序号及内容</w:t>
            </w:r>
          </w:p>
        </w:tc>
        <w:tc>
          <w:tcPr>
            <w:tcW w:w="3091"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1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27" w:type="dxa"/>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bl>
    <w:p>
      <w:pPr>
        <w:spacing w:line="360" w:lineRule="auto"/>
        <w:ind w:left="978" w:hanging="978" w:hangingChars="406"/>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1、投标人应按招标文件第三章“项目技术、服务及商务要求”中技术、服务要求</w:t>
      </w:r>
      <w:r>
        <w:rPr>
          <w:rFonts w:hint="eastAsia" w:ascii="Times New Roman" w:hAnsi="宋体" w:cs="Times New Roman"/>
          <w:color w:val="000000"/>
          <w:sz w:val="24"/>
          <w:szCs w:val="24"/>
        </w:rPr>
        <w:t>“★”号</w:t>
      </w:r>
      <w:r>
        <w:rPr>
          <w:rFonts w:hint="eastAsia" w:ascii="宋体" w:hAnsi="宋体" w:cs="Corbel"/>
          <w:color w:val="000000"/>
          <w:sz w:val="24"/>
          <w:szCs w:val="24"/>
        </w:rPr>
        <w:t>条款进行逐项说明是否满足要求，如有偏离,投标人应详细说明。未按照要求填写此表或仅注明“符合”、“满足”的，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976" w:leftChars="305" w:hanging="336" w:hangingChars="140"/>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6"/>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6"/>
        <w:numPr>
          <w:ilvl w:val="0"/>
          <w:numId w:val="77"/>
        </w:numPr>
        <w:spacing w:before="40" w:after="40" w:line="360" w:lineRule="auto"/>
        <w:ind w:left="1285" w:hanging="1285" w:hangingChars="400"/>
        <w:jc w:val="left"/>
        <w:rPr>
          <w:rFonts w:ascii="宋体" w:hAnsi="宋体" w:cs="Times New Roman"/>
          <w:bCs w:val="0"/>
          <w:color w:val="000000"/>
        </w:rPr>
      </w:pPr>
      <w:bookmarkStart w:id="231" w:name="_Toc511895490"/>
      <w:bookmarkStart w:id="232" w:name="_Toc3123"/>
      <w:bookmarkStart w:id="233" w:name="_Toc511894549"/>
      <w:r>
        <w:rPr>
          <w:rFonts w:hint="eastAsia" w:ascii="宋体" w:hAnsi="宋体" w:cs="Times New Roman"/>
          <w:bCs w:val="0"/>
          <w:color w:val="000000"/>
        </w:rPr>
        <w:t>技术、服务评议对照表</w:t>
      </w:r>
      <w:bookmarkEnd w:id="231"/>
      <w:bookmarkEnd w:id="232"/>
      <w:bookmarkEnd w:id="233"/>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8"/>
        <w:gridCol w:w="3083"/>
        <w:gridCol w:w="3110"/>
        <w:gridCol w:w="1221"/>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8"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83"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招标文件技术评分标准的序号及内容</w:t>
            </w:r>
          </w:p>
        </w:tc>
        <w:tc>
          <w:tcPr>
            <w:tcW w:w="3110"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21"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04"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tcBorders>
              <w:top w:val="single" w:color="auto" w:sz="4" w:space="0"/>
            </w:tcBorders>
            <w:vAlign w:val="center"/>
          </w:tcPr>
          <w:p>
            <w:pPr>
              <w:numPr>
                <w:ilvl w:val="0"/>
                <w:numId w:val="95"/>
              </w:numPr>
              <w:jc w:val="center"/>
              <w:rPr>
                <w:rFonts w:ascii="宋体" w:hAnsi="宋体" w:cs="仿宋_GB2312"/>
                <w:color w:val="000000"/>
                <w:sz w:val="24"/>
                <w:szCs w:val="24"/>
              </w:rPr>
            </w:pPr>
          </w:p>
        </w:tc>
        <w:tc>
          <w:tcPr>
            <w:tcW w:w="3083" w:type="dxa"/>
            <w:tcBorders>
              <w:top w:val="single" w:color="auto" w:sz="4" w:space="0"/>
            </w:tcBorders>
            <w:vAlign w:val="center"/>
          </w:tcPr>
          <w:p>
            <w:pPr>
              <w:jc w:val="center"/>
              <w:rPr>
                <w:rFonts w:ascii="宋体" w:hAnsi="宋体" w:cs="仿宋_GB2312"/>
                <w:color w:val="000000"/>
                <w:sz w:val="24"/>
                <w:szCs w:val="24"/>
              </w:rPr>
            </w:pPr>
          </w:p>
        </w:tc>
        <w:tc>
          <w:tcPr>
            <w:tcW w:w="3110" w:type="dxa"/>
            <w:tcBorders>
              <w:top w:val="single" w:color="auto" w:sz="4" w:space="0"/>
            </w:tcBorders>
            <w:vAlign w:val="center"/>
          </w:tcPr>
          <w:p>
            <w:pPr>
              <w:jc w:val="center"/>
              <w:rPr>
                <w:rFonts w:ascii="宋体" w:hAnsi="宋体" w:cs="仿宋_GB2312"/>
                <w:color w:val="000000"/>
                <w:sz w:val="24"/>
                <w:szCs w:val="24"/>
              </w:rPr>
            </w:pPr>
          </w:p>
        </w:tc>
        <w:tc>
          <w:tcPr>
            <w:tcW w:w="1221" w:type="dxa"/>
            <w:tcBorders>
              <w:top w:val="single" w:color="auto" w:sz="4" w:space="0"/>
            </w:tcBorders>
            <w:vAlign w:val="center"/>
          </w:tcPr>
          <w:p>
            <w:pPr>
              <w:jc w:val="center"/>
              <w:rPr>
                <w:rFonts w:ascii="宋体" w:hAnsi="宋体" w:cs="仿宋_GB2312"/>
                <w:color w:val="000000"/>
                <w:sz w:val="24"/>
                <w:szCs w:val="24"/>
              </w:rPr>
            </w:pPr>
          </w:p>
        </w:tc>
        <w:tc>
          <w:tcPr>
            <w:tcW w:w="1304" w:type="dxa"/>
            <w:tcBorders>
              <w:top w:val="single" w:color="auto" w:sz="4" w:space="0"/>
            </w:tcBorders>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center"/>
              <w:rPr>
                <w:rFonts w:ascii="宋体" w:hAnsi="宋体" w:cs="仿宋_GB2312"/>
                <w:color w:val="000000"/>
                <w:sz w:val="24"/>
                <w:szCs w:val="24"/>
              </w:rPr>
            </w:pPr>
          </w:p>
        </w:tc>
        <w:tc>
          <w:tcPr>
            <w:tcW w:w="3110" w:type="dxa"/>
            <w:vAlign w:val="center"/>
          </w:tcPr>
          <w:p>
            <w:pPr>
              <w:jc w:val="center"/>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ind w:left="0" w:firstLine="0"/>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jc w:val="right"/>
              <w:rPr>
                <w:rFonts w:ascii="宋体" w:hAnsi="宋体" w:cs="仿宋_GB2312"/>
                <w:b/>
                <w:color w:val="000000"/>
                <w:sz w:val="24"/>
                <w:szCs w:val="24"/>
              </w:rPr>
            </w:pPr>
            <w:r>
              <w:rPr>
                <w:rFonts w:hint="eastAsia" w:ascii="宋体" w:hAnsi="宋体" w:cs="仿宋_GB2312"/>
                <w:b/>
                <w:color w:val="000000"/>
                <w:sz w:val="24"/>
                <w:szCs w:val="24"/>
              </w:rPr>
              <w:t>…</w:t>
            </w: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sz="4" w:space="1"/>
      </w:pBdr>
      <w:tabs>
        <w:tab w:val="clear" w:pos="4153"/>
        <w:tab w:val="clear" w:pos="8306"/>
      </w:tabs>
      <w:ind w:right="-9"/>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6058535" cy="215900"/>
              <wp:effectExtent l="0" t="0" r="0" b="0"/>
              <wp:docPr id="1" name="文本框 6"/>
              <wp:cNvGraphicFramePr/>
              <a:graphic xmlns:a="http://schemas.openxmlformats.org/drawingml/2006/main">
                <a:graphicData uri="http://schemas.microsoft.com/office/word/2010/wordprocessingShape">
                  <wps:wsp>
                    <wps:cNvSpPr txBox="1"/>
                    <wps:spPr bwMode="auto">
                      <a:xfrm>
                        <a:off x="0" y="0"/>
                        <a:ext cx="6058535" cy="215900"/>
                      </a:xfrm>
                      <a:prstGeom prst="rect">
                        <a:avLst/>
                      </a:prstGeom>
                      <a:noFill/>
                      <a:ln>
                        <a:noFill/>
                      </a:ln>
                      <a:effectLst/>
                    </wps:spPr>
                    <wps:txbx>
                      <w:txbxContent>
                        <w:p>
                          <w:pPr>
                            <w:pStyle w:val="16"/>
                            <w:rPr>
                              <w:rFonts w:hint="eastAsia"/>
                              <w:b/>
                              <w:bCs/>
                              <w:lang w:val="en-US" w:eastAsia="zh-CN"/>
                            </w:rPr>
                          </w:pPr>
                          <w:r>
                            <w:rPr>
                              <w:rFonts w:hint="eastAsia"/>
                              <w:b/>
                              <w:bCs/>
                            </w:rPr>
                            <w:t xml:space="preserve">武汉安平天志工程咨询有限公司编制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3</w:t>
                          </w:r>
                          <w:r>
                            <w:rPr>
                              <w:rFonts w:hint="eastAsia"/>
                              <w:b/>
                              <w:bCs/>
                            </w:rPr>
                            <w:fldChar w:fldCharType="end"/>
                          </w:r>
                          <w:r>
                            <w:rPr>
                              <w:rFonts w:hint="eastAsia"/>
                              <w:b/>
                              <w:bCs/>
                            </w:rPr>
                            <w:t xml:space="preserve"> /6</w:t>
                          </w:r>
                          <w:r>
                            <w:rPr>
                              <w:rFonts w:hint="eastAsia"/>
                              <w:b/>
                              <w:bCs/>
                              <w:lang w:val="en-US" w:eastAsia="zh-CN"/>
                            </w:rPr>
                            <w:t>0</w:t>
                          </w:r>
                        </w:p>
                        <w:p>
                          <w:pPr>
                            <w:pStyle w:val="16"/>
                            <w:rPr>
                              <w:rFonts w:hint="eastAsia"/>
                              <w:b/>
                              <w:bCs/>
                              <w:lang w:val="en-US" w:eastAsia="zh-CN"/>
                            </w:rPr>
                          </w:pPr>
                        </w:p>
                        <w:p>
                          <w:pPr>
                            <w:pStyle w:val="16"/>
                            <w:rPr>
                              <w:b/>
                              <w:bCs/>
                            </w:rPr>
                          </w:pPr>
                        </w:p>
                      </w:txbxContent>
                    </wps:txbx>
                    <wps:bodyPr rot="0" vert="horz" wrap="square" lIns="0" tIns="0" rIns="0" bIns="0" anchor="t" anchorCtr="0" upright="1">
                      <a:noAutofit/>
                    </wps:bodyPr>
                  </wps:wsp>
                </a:graphicData>
              </a:graphic>
            </wp:inline>
          </w:drawing>
        </mc:Choice>
        <mc:Fallback>
          <w:pict>
            <v:shape id="文本框 6" o:spid="_x0000_s1026" o:spt="202" type="#_x0000_t202" style="height:17pt;width:477.05pt;" filled="f" stroked="f" coordsize="21600,21600" o:gfxdata="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K8EH1QAAAAQBAAAPAAAAAAAAAAEAIAAAACIAAABkcnMvZG93bnJldi54bWxQSwEC&#10;FAAUAAAACACHTuJApRTZMvcBAADjAwAADgAAAAAAAAABACAAAAAkAQAAZHJzL2Uyb0RvYy54bWxQ&#10;SwUGAAAAAAYABgBZAQAAjQUAAAAA&#10;">
              <v:fill on="f" focussize="0,0"/>
              <v:stroke on="f"/>
              <v:imagedata o:title=""/>
              <o:lock v:ext="edit" aspectratio="f"/>
              <v:textbox inset="0mm,0mm,0mm,0mm">
                <w:txbxContent>
                  <w:p>
                    <w:pPr>
                      <w:pStyle w:val="16"/>
                      <w:rPr>
                        <w:rFonts w:hint="eastAsia"/>
                        <w:b/>
                        <w:bCs/>
                        <w:lang w:val="en-US" w:eastAsia="zh-CN"/>
                      </w:rPr>
                    </w:pPr>
                    <w:r>
                      <w:rPr>
                        <w:rFonts w:hint="eastAsia"/>
                        <w:b/>
                        <w:bCs/>
                      </w:rPr>
                      <w:t xml:space="preserve">武汉安平天志工程咨询有限公司编制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3</w:t>
                    </w:r>
                    <w:r>
                      <w:rPr>
                        <w:rFonts w:hint="eastAsia"/>
                        <w:b/>
                        <w:bCs/>
                      </w:rPr>
                      <w:fldChar w:fldCharType="end"/>
                    </w:r>
                    <w:r>
                      <w:rPr>
                        <w:rFonts w:hint="eastAsia"/>
                        <w:b/>
                        <w:bCs/>
                      </w:rPr>
                      <w:t xml:space="preserve"> /6</w:t>
                    </w:r>
                    <w:r>
                      <w:rPr>
                        <w:rFonts w:hint="eastAsia"/>
                        <w:b/>
                        <w:bCs/>
                        <w:lang w:val="en-US" w:eastAsia="zh-CN"/>
                      </w:rPr>
                      <w:t>0</w:t>
                    </w:r>
                  </w:p>
                  <w:p>
                    <w:pPr>
                      <w:pStyle w:val="16"/>
                      <w:rPr>
                        <w:rFonts w:hint="eastAsia"/>
                        <w:b/>
                        <w:bCs/>
                        <w:lang w:val="en-US" w:eastAsia="zh-CN"/>
                      </w:rPr>
                    </w:pPr>
                  </w:p>
                  <w:p>
                    <w:pPr>
                      <w:pStyle w:val="16"/>
                      <w:rPr>
                        <w:b/>
                        <w:bCs/>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9255125" cy="175895"/>
              <wp:effectExtent l="0" t="0" r="0" b="0"/>
              <wp:docPr id="20" name="文本框 11"/>
              <wp:cNvGraphicFramePr/>
              <a:graphic xmlns:a="http://schemas.openxmlformats.org/drawingml/2006/main">
                <a:graphicData uri="http://schemas.microsoft.com/office/word/2010/wordprocessingShape">
                  <wps:wsp>
                    <wps:cNvSpPr txBox="1"/>
                    <wps:spPr bwMode="auto">
                      <a:xfrm>
                        <a:off x="0" y="0"/>
                        <a:ext cx="9255125" cy="175895"/>
                      </a:xfrm>
                      <a:prstGeom prst="rect">
                        <a:avLst/>
                      </a:prstGeom>
                      <a:noFill/>
                      <a:ln>
                        <a:noFill/>
                      </a:ln>
                      <a:effectLst/>
                    </wps:spPr>
                    <wps:txbx>
                      <w:txbxContent>
                        <w:p>
                          <w:pPr>
                            <w:pStyle w:val="16"/>
                            <w:rPr>
                              <w:rFonts w:hint="eastAsia"/>
                              <w:b/>
                              <w:bCs/>
                              <w:lang w:val="en-US" w:eastAsia="zh-CN"/>
                            </w:rPr>
                          </w:pPr>
                          <w:r>
                            <w:rPr>
                              <w:rFonts w:hint="eastAsia"/>
                              <w:b/>
                              <w:bCs/>
                            </w:rPr>
                            <w:t xml:space="preserve">武汉安平天志工程咨询有限公司编制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41</w:t>
                          </w:r>
                          <w:r>
                            <w:rPr>
                              <w:rFonts w:hint="eastAsia"/>
                              <w:b/>
                              <w:bCs/>
                            </w:rPr>
                            <w:fldChar w:fldCharType="end"/>
                          </w:r>
                          <w:r>
                            <w:rPr>
                              <w:rFonts w:hint="eastAsia"/>
                              <w:b/>
                              <w:bCs/>
                            </w:rPr>
                            <w:t xml:space="preserve"> /</w:t>
                          </w:r>
                          <w:r>
                            <w:rPr>
                              <w:rFonts w:hint="eastAsia"/>
                              <w:b/>
                              <w:bCs/>
                              <w:lang w:val="en-US" w:eastAsia="zh-CN"/>
                            </w:rPr>
                            <w:t>60</w:t>
                          </w:r>
                        </w:p>
                        <w:p>
                          <w:pPr>
                            <w:pStyle w:val="16"/>
                            <w:rPr>
                              <w:rFonts w:hint="default"/>
                              <w:b/>
                              <w:bCs/>
                              <w:lang w:val="en-US" w:eastAsia="zh-CN"/>
                            </w:rPr>
                          </w:pPr>
                        </w:p>
                      </w:txbxContent>
                    </wps:txbx>
                    <wps:bodyPr rot="0" vert="horz" wrap="square" lIns="0" tIns="0" rIns="0" bIns="0" anchor="t" anchorCtr="0" upright="1">
                      <a:noAutofit/>
                    </wps:bodyPr>
                  </wps:wsp>
                </a:graphicData>
              </a:graphic>
            </wp:inline>
          </w:drawing>
        </mc:Choice>
        <mc:Fallback>
          <w:pict>
            <v:shape id="文本框 11" o:spid="_x0000_s1026" o:spt="202" type="#_x0000_t202" style="height:13.85pt;width:728.75pt;" filled="f" stroked="f" coordsize="21600,21600" o:gfxdata="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zhyXVAAAABQEAAA8AAAAAAAAAAQAgAAAAIgAAAGRycy9kb3ducmV2LnhtbFBL&#10;AQIUABQAAAAIAIdO4kAKnHjC+QEAAOUDAAAOAAAAAAAAAAEAIAAAACQBAABkcnMvZTJvRG9jLnht&#10;bFBLBQYAAAAABgAGAFkBAACPBQAAAAA=&#10;">
              <v:fill on="f" focussize="0,0"/>
              <v:stroke on="f"/>
              <v:imagedata o:title=""/>
              <o:lock v:ext="edit" aspectratio="f"/>
              <v:textbox inset="0mm,0mm,0mm,0mm">
                <w:txbxContent>
                  <w:p>
                    <w:pPr>
                      <w:pStyle w:val="16"/>
                      <w:rPr>
                        <w:rFonts w:hint="eastAsia"/>
                        <w:b/>
                        <w:bCs/>
                        <w:lang w:val="en-US" w:eastAsia="zh-CN"/>
                      </w:rPr>
                    </w:pPr>
                    <w:r>
                      <w:rPr>
                        <w:rFonts w:hint="eastAsia"/>
                        <w:b/>
                        <w:bCs/>
                      </w:rPr>
                      <w:t xml:space="preserve">武汉安平天志工程咨询有限公司编制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41</w:t>
                    </w:r>
                    <w:r>
                      <w:rPr>
                        <w:rFonts w:hint="eastAsia"/>
                        <w:b/>
                        <w:bCs/>
                      </w:rPr>
                      <w:fldChar w:fldCharType="end"/>
                    </w:r>
                    <w:r>
                      <w:rPr>
                        <w:rFonts w:hint="eastAsia"/>
                        <w:b/>
                        <w:bCs/>
                      </w:rPr>
                      <w:t xml:space="preserve"> /</w:t>
                    </w:r>
                    <w:r>
                      <w:rPr>
                        <w:rFonts w:hint="eastAsia"/>
                        <w:b/>
                        <w:bCs/>
                        <w:lang w:val="en-US" w:eastAsia="zh-CN"/>
                      </w:rPr>
                      <w:t>60</w:t>
                    </w:r>
                  </w:p>
                  <w:p>
                    <w:pPr>
                      <w:pStyle w:val="16"/>
                      <w:rPr>
                        <w:rFonts w:hint="default"/>
                        <w:b/>
                        <w:bCs/>
                        <w:lang w:val="en-US" w:eastAsia="zh-CN"/>
                      </w:rPr>
                    </w:pPr>
                  </w:p>
                </w:txbxContent>
              </v:textbox>
              <w10:wrap type="non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sz="4" w:space="1"/>
      </w:pBdr>
      <w:tabs>
        <w:tab w:val="clear" w:pos="4153"/>
        <w:tab w:val="clear" w:pos="8306"/>
      </w:tabs>
      <w:ind w:right="-9"/>
      <w:rPr>
        <w:rFonts w:ascii="宋体" w:hAnsi="宋体"/>
        <w:b/>
      </w:rP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079490" cy="166370"/>
              <wp:effectExtent l="0" t="0" r="0" b="0"/>
              <wp:wrapNone/>
              <wp:docPr id="19" name="文本框 9"/>
              <wp:cNvGraphicFramePr/>
              <a:graphic xmlns:a="http://schemas.openxmlformats.org/drawingml/2006/main">
                <a:graphicData uri="http://schemas.microsoft.com/office/word/2010/wordprocessingShape">
                  <wps:wsp>
                    <wps:cNvSpPr txBox="1"/>
                    <wps:spPr bwMode="auto">
                      <a:xfrm>
                        <a:off x="0" y="0"/>
                        <a:ext cx="6079490" cy="166370"/>
                      </a:xfrm>
                      <a:prstGeom prst="rect">
                        <a:avLst/>
                      </a:prstGeom>
                      <a:noFill/>
                      <a:ln>
                        <a:noFill/>
                      </a:ln>
                      <a:effectLst/>
                    </wps:spPr>
                    <wps:txbx>
                      <w:txbxContent>
                        <w:p>
                          <w:pPr>
                            <w:pStyle w:val="16"/>
                            <w:rPr>
                              <w:rFonts w:hint="eastAsia" w:eastAsia="宋体"/>
                              <w:b/>
                              <w:bCs/>
                              <w:lang w:val="en-US" w:eastAsia="zh-CN"/>
                            </w:rPr>
                          </w:pPr>
                          <w:r>
                            <w:rPr>
                              <w:rFonts w:hint="eastAsia"/>
                              <w:b/>
                              <w:bCs/>
                            </w:rPr>
                            <w:t xml:space="preserve">武汉安平天志工程咨询有限公司编制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61</w:t>
                          </w:r>
                          <w:r>
                            <w:rPr>
                              <w:rFonts w:hint="eastAsia"/>
                              <w:b/>
                              <w:bCs/>
                            </w:rPr>
                            <w:fldChar w:fldCharType="end"/>
                          </w:r>
                          <w:r>
                            <w:rPr>
                              <w:rFonts w:hint="eastAsia"/>
                              <w:b/>
                              <w:bCs/>
                            </w:rPr>
                            <w:t xml:space="preserve"> /6</w:t>
                          </w:r>
                          <w:r>
                            <w:rPr>
                              <w:rFonts w:hint="eastAsia"/>
                              <w:b/>
                              <w:bCs/>
                              <w:lang w:val="en-US" w:eastAsia="zh-CN"/>
                            </w:rPr>
                            <w:t>0</w:t>
                          </w:r>
                        </w:p>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0pt;margin-top:0pt;height:13.1pt;width:478.7pt;mso-position-horizontal-relative:margin;z-index:251660288;mso-width-relative:page;mso-height-relative:page;" filled="f" stroked="f" coordsize="21600,21600" o:gfxdata="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q9yK9UAAAAEAQAADwAAAAAAAAABACAAAAAiAAAAZHJzL2Rvd25yZXYueG1sUEsB&#10;AhQAFAAAAAgAh07iQIcUhl/4AQAA5AMAAA4AAAAAAAAAAQAgAAAAJAEAAGRycy9lMm9Eb2MueG1s&#10;UEsFBgAAAAAGAAYAWQEAAI4FAAAAAA==&#10;">
              <v:fill on="f" focussize="0,0"/>
              <v:stroke on="f"/>
              <v:imagedata o:title=""/>
              <o:lock v:ext="edit" aspectratio="f"/>
              <v:textbox inset="0mm,0mm,0mm,0mm">
                <w:txbxContent>
                  <w:p>
                    <w:pPr>
                      <w:pStyle w:val="16"/>
                      <w:rPr>
                        <w:rFonts w:hint="eastAsia" w:eastAsia="宋体"/>
                        <w:b/>
                        <w:bCs/>
                        <w:lang w:val="en-US" w:eastAsia="zh-CN"/>
                      </w:rPr>
                    </w:pPr>
                    <w:r>
                      <w:rPr>
                        <w:rFonts w:hint="eastAsia"/>
                        <w:b/>
                        <w:bCs/>
                      </w:rPr>
                      <w:t xml:space="preserve">武汉安平天志工程咨询有限公司编制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61</w:t>
                    </w:r>
                    <w:r>
                      <w:rPr>
                        <w:rFonts w:hint="eastAsia"/>
                        <w:b/>
                        <w:bCs/>
                      </w:rPr>
                      <w:fldChar w:fldCharType="end"/>
                    </w:r>
                    <w:r>
                      <w:rPr>
                        <w:rFonts w:hint="eastAsia"/>
                        <w:b/>
                        <w:bCs/>
                      </w:rPr>
                      <w:t xml:space="preserve"> /6</w:t>
                    </w:r>
                    <w:r>
                      <w:rPr>
                        <w:rFonts w:hint="eastAsia"/>
                        <w:b/>
                        <w:bCs/>
                        <w:lang w:val="en-US" w:eastAsia="zh-CN"/>
                      </w:rPr>
                      <w:t>0</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left"/>
      <w:rPr>
        <w:b/>
      </w:rPr>
    </w:pPr>
    <w:r>
      <w:rPr>
        <w:rFonts w:hint="eastAsia"/>
        <w:b/>
      </w:rPr>
      <w:t>项目名称：阳新县中医医院中医康复设备一批采购项目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clear" w:pos="4153"/>
        <w:tab w:val="clear" w:pos="8306"/>
      </w:tabs>
      <w:jc w:val="left"/>
    </w:pPr>
    <w:r>
      <w:rPr>
        <w:rFonts w:hint="eastAsia"/>
        <w:b/>
      </w:rPr>
      <w:t>项目名称：阳新县中医医院中医康复设备一批采购项目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A44D7"/>
    <w:multiLevelType w:val="singleLevel"/>
    <w:tmpl w:val="A6DA44D7"/>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00000005"/>
    <w:multiLevelType w:val="multilevel"/>
    <w:tmpl w:val="00000005"/>
    <w:lvl w:ilvl="0" w:tentative="0">
      <w:start w:val="1"/>
      <w:numFmt w:val="bullet"/>
      <w:pStyle w:val="74"/>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0"/>
    <w:multiLevelType w:val="multilevel"/>
    <w:tmpl w:val="00000010"/>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1"/>
    <w:multiLevelType w:val="multilevel"/>
    <w:tmpl w:val="00000011"/>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
    <w:nsid w:val="00000013"/>
    <w:multiLevelType w:val="multilevel"/>
    <w:tmpl w:val="00000013"/>
    <w:lvl w:ilvl="0" w:tentative="0">
      <w:start w:val="1"/>
      <w:numFmt w:val="decimal"/>
      <w:lvlText w:val="2.%1 "/>
      <w:lvlJc w:val="left"/>
      <w:pPr>
        <w:ind w:left="372"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
    <w:nsid w:val="00000016"/>
    <w:multiLevelType w:val="multilevel"/>
    <w:tmpl w:val="00000016"/>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
    <w:nsid w:val="00000017"/>
    <w:multiLevelType w:val="multilevel"/>
    <w:tmpl w:val="0000001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0">
    <w:nsid w:val="0000001A"/>
    <w:multiLevelType w:val="multilevel"/>
    <w:tmpl w:val="0000001A"/>
    <w:lvl w:ilvl="0" w:tentative="0">
      <w:start w:val="1"/>
      <w:numFmt w:val="chineseCountingThousand"/>
      <w:pStyle w:val="73"/>
      <w:lvlText w:val="第%1章"/>
      <w:lvlJc w:val="left"/>
      <w:pPr>
        <w:ind w:left="425" w:hanging="425"/>
      </w:pPr>
      <w:rPr>
        <w:rFonts w:hint="default" w:ascii="宋体" w:eastAsia="宋体"/>
        <w:b/>
        <w:i w:val="0"/>
        <w:sz w:val="36"/>
      </w:rPr>
    </w:lvl>
    <w:lvl w:ilvl="1" w:tentative="0">
      <w:start w:val="1"/>
      <w:numFmt w:val="decimal"/>
      <w:pStyle w:val="77"/>
      <w:isLgl/>
      <w:lvlText w:val="%1.%2"/>
      <w:lvlJc w:val="left"/>
      <w:pPr>
        <w:ind w:left="1134" w:hanging="964"/>
      </w:pPr>
      <w:rPr>
        <w:rFonts w:hint="eastAsia"/>
      </w:rPr>
    </w:lvl>
    <w:lvl w:ilvl="2" w:tentative="0">
      <w:start w:val="1"/>
      <w:numFmt w:val="decimal"/>
      <w:pStyle w:val="69"/>
      <w:isLgl/>
      <w:lvlText w:val="%1.%2.%3"/>
      <w:lvlJc w:val="left"/>
      <w:pPr>
        <w:ind w:left="1418" w:hanging="1078"/>
      </w:pPr>
      <w:rPr>
        <w:rFonts w:hint="eastAsia" w:ascii="宋体" w:hAnsi="宋体" w:eastAsia="宋体"/>
      </w:rPr>
    </w:lvl>
    <w:lvl w:ilvl="3" w:tentative="0">
      <w:start w:val="1"/>
      <w:numFmt w:val="decimal"/>
      <w:isLgl/>
      <w:lvlText w:val="%1.%2.%3.%4"/>
      <w:lvlJc w:val="left"/>
      <w:pPr>
        <w:ind w:left="1985" w:hanging="147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en-US" w:eastAsia="zh-C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000001C"/>
    <w:multiLevelType w:val="multilevel"/>
    <w:tmpl w:val="0000001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D"/>
    <w:multiLevelType w:val="multilevel"/>
    <w:tmpl w:val="0000001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E"/>
    <w:multiLevelType w:val="multilevel"/>
    <w:tmpl w:val="0000001E"/>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00000020"/>
    <w:multiLevelType w:val="multilevel"/>
    <w:tmpl w:val="00000020"/>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24"/>
    <w:multiLevelType w:val="multilevel"/>
    <w:tmpl w:val="00000024"/>
    <w:lvl w:ilvl="0" w:tentative="0">
      <w:start w:val="1"/>
      <w:numFmt w:val="decimal"/>
      <w:pStyle w:val="70"/>
      <w:lvlText w:val="%1."/>
      <w:lvlJc w:val="left"/>
      <w:pPr>
        <w:ind w:left="930" w:hanging="42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6">
    <w:nsid w:val="00000025"/>
    <w:multiLevelType w:val="multilevel"/>
    <w:tmpl w:val="00000025"/>
    <w:lvl w:ilvl="0" w:tentative="0">
      <w:start w:val="1"/>
      <w:numFmt w:val="decimal"/>
      <w:lvlText w:val="2.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7">
    <w:nsid w:val="00000026"/>
    <w:multiLevelType w:val="multilevel"/>
    <w:tmpl w:val="00000026"/>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18">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28"/>
    <w:multiLevelType w:val="multilevel"/>
    <w:tmpl w:val="0000002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0">
    <w:nsid w:val="0000002A"/>
    <w:multiLevelType w:val="multilevel"/>
    <w:tmpl w:val="0000002A"/>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1">
    <w:nsid w:val="0000002B"/>
    <w:multiLevelType w:val="multilevel"/>
    <w:tmpl w:val="0000002B"/>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2D"/>
    <w:multiLevelType w:val="multilevel"/>
    <w:tmpl w:val="0000002D"/>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2E"/>
    <w:multiLevelType w:val="multilevel"/>
    <w:tmpl w:val="0000002E"/>
    <w:lvl w:ilvl="0" w:tentative="0">
      <w:start w:val="1"/>
      <w:numFmt w:val="chineseCountingThousand"/>
      <w:lvlText w:val="（%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2F"/>
    <w:multiLevelType w:val="multilevel"/>
    <w:tmpl w:val="0000002F"/>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30"/>
    <w:multiLevelType w:val="multilevel"/>
    <w:tmpl w:val="00000030"/>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34"/>
    <w:multiLevelType w:val="multilevel"/>
    <w:tmpl w:val="00000034"/>
    <w:lvl w:ilvl="0" w:tentative="0">
      <w:start w:val="1"/>
      <w:numFmt w:val="decimal"/>
      <w:lvlText w:val="1.3.%1 "/>
      <w:lvlJc w:val="left"/>
      <w:pPr>
        <w:ind w:left="988" w:hanging="420"/>
      </w:pPr>
      <w:rPr>
        <w:rFonts w:hint="default" w:ascii="楷体" w:hAnsi="楷体" w:eastAsia="楷体"/>
        <w:b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7">
    <w:nsid w:val="00000035"/>
    <w:multiLevelType w:val="multilevel"/>
    <w:tmpl w:val="00000035"/>
    <w:lvl w:ilvl="0" w:tentative="0">
      <w:start w:val="1"/>
      <w:numFmt w:val="decimal"/>
      <w:lvlText w:val="%1. "/>
      <w:lvlJc w:val="left"/>
      <w:pPr>
        <w:ind w:left="6375"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00000037"/>
    <w:multiLevelType w:val="multilevel"/>
    <w:tmpl w:val="00000037"/>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3A"/>
    <w:multiLevelType w:val="multilevel"/>
    <w:tmpl w:val="0000003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3B"/>
    <w:multiLevelType w:val="multilevel"/>
    <w:tmpl w:val="0000003B"/>
    <w:lvl w:ilvl="0" w:tentative="0">
      <w:start w:val="1"/>
      <w:numFmt w:val="chineseCountingThousand"/>
      <w:lvlText w:val="第%1章 "/>
      <w:lvlJc w:val="left"/>
      <w:pPr>
        <w:ind w:left="3256" w:hanging="420"/>
      </w:pPr>
      <w:rPr>
        <w:rFonts w:hint="eastAsia"/>
      </w:rPr>
    </w:lvl>
    <w:lvl w:ilvl="1" w:tentative="0">
      <w:start w:val="1"/>
      <w:numFmt w:val="lowerLetter"/>
      <w:lvlText w:val="%2)"/>
      <w:lvlJc w:val="left"/>
      <w:pPr>
        <w:ind w:left="-577" w:hanging="420"/>
      </w:pPr>
    </w:lvl>
    <w:lvl w:ilvl="2" w:tentative="0">
      <w:start w:val="1"/>
      <w:numFmt w:val="lowerRoman"/>
      <w:lvlText w:val="%3."/>
      <w:lvlJc w:val="right"/>
      <w:pPr>
        <w:ind w:left="-157" w:hanging="420"/>
      </w:pPr>
    </w:lvl>
    <w:lvl w:ilvl="3" w:tentative="0">
      <w:start w:val="1"/>
      <w:numFmt w:val="decimal"/>
      <w:lvlText w:val="%4."/>
      <w:lvlJc w:val="left"/>
      <w:pPr>
        <w:ind w:left="263" w:hanging="420"/>
      </w:pPr>
    </w:lvl>
    <w:lvl w:ilvl="4" w:tentative="0">
      <w:start w:val="1"/>
      <w:numFmt w:val="lowerLetter"/>
      <w:lvlText w:val="%5)"/>
      <w:lvlJc w:val="left"/>
      <w:pPr>
        <w:ind w:left="683" w:hanging="420"/>
      </w:pPr>
    </w:lvl>
    <w:lvl w:ilvl="5" w:tentative="0">
      <w:start w:val="1"/>
      <w:numFmt w:val="lowerRoman"/>
      <w:lvlText w:val="%6."/>
      <w:lvlJc w:val="right"/>
      <w:pPr>
        <w:ind w:left="1103" w:hanging="420"/>
      </w:pPr>
    </w:lvl>
    <w:lvl w:ilvl="6" w:tentative="0">
      <w:start w:val="1"/>
      <w:numFmt w:val="decimal"/>
      <w:lvlText w:val="%7."/>
      <w:lvlJc w:val="left"/>
      <w:pPr>
        <w:ind w:left="1523" w:hanging="420"/>
      </w:pPr>
    </w:lvl>
    <w:lvl w:ilvl="7" w:tentative="0">
      <w:start w:val="1"/>
      <w:numFmt w:val="lowerLetter"/>
      <w:lvlText w:val="%8)"/>
      <w:lvlJc w:val="left"/>
      <w:pPr>
        <w:ind w:left="1943" w:hanging="420"/>
      </w:pPr>
    </w:lvl>
    <w:lvl w:ilvl="8" w:tentative="0">
      <w:start w:val="1"/>
      <w:numFmt w:val="lowerRoman"/>
      <w:lvlText w:val="%9."/>
      <w:lvlJc w:val="right"/>
      <w:pPr>
        <w:ind w:left="2363" w:hanging="420"/>
      </w:pPr>
    </w:lvl>
  </w:abstractNum>
  <w:abstractNum w:abstractNumId="31">
    <w:nsid w:val="0000003C"/>
    <w:multiLevelType w:val="multilevel"/>
    <w:tmpl w:val="0000003C"/>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2">
    <w:nsid w:val="0000003D"/>
    <w:multiLevelType w:val="multilevel"/>
    <w:tmpl w:val="0000003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0000003E"/>
    <w:multiLevelType w:val="multilevel"/>
    <w:tmpl w:val="0000003E"/>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40"/>
    <w:multiLevelType w:val="multilevel"/>
    <w:tmpl w:val="00000040"/>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41"/>
    <w:multiLevelType w:val="multilevel"/>
    <w:tmpl w:val="00000041"/>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43"/>
    <w:multiLevelType w:val="multilevel"/>
    <w:tmpl w:val="00000043"/>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46"/>
    <w:multiLevelType w:val="multilevel"/>
    <w:tmpl w:val="00000046"/>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47"/>
    <w:multiLevelType w:val="multilevel"/>
    <w:tmpl w:val="00000047"/>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9">
    <w:nsid w:val="00000048"/>
    <w:multiLevelType w:val="multilevel"/>
    <w:tmpl w:val="0000004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0">
    <w:nsid w:val="0000004A"/>
    <w:multiLevelType w:val="multilevel"/>
    <w:tmpl w:val="0000004A"/>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4C"/>
    <w:multiLevelType w:val="multilevel"/>
    <w:tmpl w:val="0000004C"/>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2">
    <w:nsid w:val="0000004D"/>
    <w:multiLevelType w:val="multilevel"/>
    <w:tmpl w:val="0000004D"/>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0000004F"/>
    <w:multiLevelType w:val="multilevel"/>
    <w:tmpl w:val="0000004F"/>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50"/>
    <w:multiLevelType w:val="multilevel"/>
    <w:tmpl w:val="00000050"/>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0000051"/>
    <w:multiLevelType w:val="multilevel"/>
    <w:tmpl w:val="00000051"/>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53"/>
    <w:multiLevelType w:val="multilevel"/>
    <w:tmpl w:val="0000005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0000054"/>
    <w:multiLevelType w:val="multilevel"/>
    <w:tmpl w:val="00000054"/>
    <w:lvl w:ilvl="0" w:tentative="0">
      <w:start w:val="1"/>
      <w:numFmt w:val="upperLetter"/>
      <w:pStyle w:val="79"/>
      <w:lvlText w:val="%1."/>
      <w:lvlJc w:val="left"/>
      <w:pPr>
        <w:ind w:left="980" w:hanging="420"/>
      </w:pPr>
    </w:lvl>
    <w:lvl w:ilvl="1" w:tentative="0">
      <w:start w:val="1"/>
      <w:numFmt w:val="lowerLetter"/>
      <w:pStyle w:val="88"/>
      <w:lvlText w:val="%2)"/>
      <w:lvlJc w:val="left"/>
      <w:pPr>
        <w:ind w:left="1400" w:hanging="420"/>
      </w:pPr>
    </w:lvl>
    <w:lvl w:ilvl="2" w:tentative="0">
      <w:start w:val="1"/>
      <w:numFmt w:val="lowerRoman"/>
      <w:pStyle w:val="84"/>
      <w:lvlText w:val="%3."/>
      <w:lvlJc w:val="right"/>
      <w:pPr>
        <w:ind w:left="1820" w:hanging="420"/>
      </w:pPr>
    </w:lvl>
    <w:lvl w:ilvl="3" w:tentative="0">
      <w:start w:val="1"/>
      <w:numFmt w:val="decimal"/>
      <w:pStyle w:val="75"/>
      <w:lvlText w:val="%4."/>
      <w:lvlJc w:val="left"/>
      <w:pPr>
        <w:ind w:left="2240" w:hanging="420"/>
      </w:pPr>
    </w:lvl>
    <w:lvl w:ilvl="4" w:tentative="0">
      <w:start w:val="1"/>
      <w:numFmt w:val="lowerLetter"/>
      <w:pStyle w:val="68"/>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8">
    <w:nsid w:val="00000057"/>
    <w:multiLevelType w:val="multilevel"/>
    <w:tmpl w:val="0000005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00000059"/>
    <w:multiLevelType w:val="multilevel"/>
    <w:tmpl w:val="0000005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0000005B"/>
    <w:multiLevelType w:val="multilevel"/>
    <w:tmpl w:val="0000005B"/>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0000005D"/>
    <w:multiLevelType w:val="multilevel"/>
    <w:tmpl w:val="0000005D"/>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000005E"/>
    <w:multiLevelType w:val="multilevel"/>
    <w:tmpl w:val="0000005E"/>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0000005F"/>
    <w:multiLevelType w:val="multilevel"/>
    <w:tmpl w:val="0000005F"/>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55">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6">
    <w:nsid w:val="00000063"/>
    <w:multiLevelType w:val="multilevel"/>
    <w:tmpl w:val="00000063"/>
    <w:lvl w:ilvl="0" w:tentative="0">
      <w:start w:val="1"/>
      <w:numFmt w:val="decimal"/>
      <w:lvlText w:val="1.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7">
    <w:nsid w:val="00000065"/>
    <w:multiLevelType w:val="multilevel"/>
    <w:tmpl w:val="0000006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66"/>
    <w:multiLevelType w:val="multilevel"/>
    <w:tmpl w:val="00000066"/>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9">
    <w:nsid w:val="00000067"/>
    <w:multiLevelType w:val="multilevel"/>
    <w:tmpl w:val="00000067"/>
    <w:lvl w:ilvl="0" w:tentative="0">
      <w:start w:val="1"/>
      <w:numFmt w:val="chineseCountingThousand"/>
      <w:lvlText w:val="附件%1："/>
      <w:lvlJc w:val="left"/>
      <w:pPr>
        <w:ind w:left="2689"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68"/>
    <w:multiLevelType w:val="multilevel"/>
    <w:tmpl w:val="00000068"/>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61">
    <w:nsid w:val="0000006B"/>
    <w:multiLevelType w:val="multilevel"/>
    <w:tmpl w:val="0000006B"/>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2">
    <w:nsid w:val="0000006C"/>
    <w:multiLevelType w:val="multilevel"/>
    <w:tmpl w:val="0000006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0000006D"/>
    <w:multiLevelType w:val="multilevel"/>
    <w:tmpl w:val="0000006D"/>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00000071"/>
    <w:multiLevelType w:val="multilevel"/>
    <w:tmpl w:val="00000071"/>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5">
    <w:nsid w:val="00000072"/>
    <w:multiLevelType w:val="multilevel"/>
    <w:tmpl w:val="00000072"/>
    <w:lvl w:ilvl="0" w:tentative="0">
      <w:start w:val="1"/>
      <w:numFmt w:val="decimal"/>
      <w:lvlText w:val="2.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6">
    <w:nsid w:val="00000074"/>
    <w:multiLevelType w:val="multilevel"/>
    <w:tmpl w:val="00000074"/>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00000077"/>
    <w:multiLevelType w:val="multilevel"/>
    <w:tmpl w:val="00000077"/>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00000078"/>
    <w:multiLevelType w:val="multilevel"/>
    <w:tmpl w:val="00000078"/>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00000079"/>
    <w:multiLevelType w:val="multilevel"/>
    <w:tmpl w:val="00000079"/>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0000007F"/>
    <w:multiLevelType w:val="multilevel"/>
    <w:tmpl w:val="0000007F"/>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2">
    <w:nsid w:val="00000081"/>
    <w:multiLevelType w:val="multilevel"/>
    <w:tmpl w:val="0000008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00000084"/>
    <w:multiLevelType w:val="multilevel"/>
    <w:tmpl w:val="00000084"/>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00000085"/>
    <w:multiLevelType w:val="multilevel"/>
    <w:tmpl w:val="00000085"/>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00000087"/>
    <w:multiLevelType w:val="multilevel"/>
    <w:tmpl w:val="00000087"/>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77">
    <w:nsid w:val="00000089"/>
    <w:multiLevelType w:val="multilevel"/>
    <w:tmpl w:val="00000089"/>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0000008A"/>
    <w:multiLevelType w:val="multilevel"/>
    <w:tmpl w:val="0000008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0000008C"/>
    <w:multiLevelType w:val="multilevel"/>
    <w:tmpl w:val="0000008C"/>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0000008D"/>
    <w:multiLevelType w:val="multilevel"/>
    <w:tmpl w:val="0000008D"/>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0000008E"/>
    <w:multiLevelType w:val="multilevel"/>
    <w:tmpl w:val="0000008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0000008F"/>
    <w:multiLevelType w:val="multilevel"/>
    <w:tmpl w:val="0000008F"/>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3">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005B58E7"/>
    <w:multiLevelType w:val="multilevel"/>
    <w:tmpl w:val="005B58E7"/>
    <w:lvl w:ilvl="0" w:tentative="0">
      <w:start w:val="1"/>
      <w:numFmt w:val="chineseCountingThousand"/>
      <w:lvlText w:val="%1、"/>
      <w:lvlJc w:val="left"/>
      <w:pPr>
        <w:ind w:left="420" w:hanging="420"/>
      </w:pPr>
      <w:rPr>
        <w:rFonts w:hint="eastAsia" w:ascii="宋体" w:hAnsi="宋体" w:eastAsia="宋体"/>
        <w:sz w:val="30"/>
        <w:szCs w:val="3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5">
    <w:nsid w:val="052B7657"/>
    <w:multiLevelType w:val="multilevel"/>
    <w:tmpl w:val="052B7657"/>
    <w:lvl w:ilvl="0" w:tentative="0">
      <w:start w:val="1"/>
      <w:numFmt w:val="decimal"/>
      <w:lvlText w:val="%1. "/>
      <w:lvlJc w:val="left"/>
      <w:pPr>
        <w:ind w:left="988"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8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7">
    <w:nsid w:val="09EE2045"/>
    <w:multiLevelType w:val="multilevel"/>
    <w:tmpl w:val="09EE2045"/>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88">
    <w:nsid w:val="118A00BA"/>
    <w:multiLevelType w:val="multilevel"/>
    <w:tmpl w:val="118A00BA"/>
    <w:lvl w:ilvl="0" w:tentative="0">
      <w:start w:val="1"/>
      <w:numFmt w:val="decimal"/>
      <w:lvlText w:val="3.2.%1"/>
      <w:lvlJc w:val="left"/>
      <w:pPr>
        <w:ind w:left="987" w:hanging="420"/>
      </w:pPr>
      <w:rPr>
        <w:rFonts w:hint="eastAsia" w:ascii="楷体" w:hAnsi="楷体" w:eastAsia="楷体"/>
      </w:rPr>
    </w:lvl>
    <w:lvl w:ilvl="1" w:tentative="0">
      <w:start w:val="1"/>
      <w:numFmt w:val="lowerLetter"/>
      <w:lvlText w:val="%2)"/>
      <w:lvlJc w:val="left"/>
      <w:pPr>
        <w:ind w:left="1407" w:hanging="420"/>
      </w:pPr>
      <w:rPr>
        <w:rFonts w:hint="default" w:ascii="Times New Roman" w:hAnsi="Times New Roman" w:cs="Times New Roman"/>
      </w:rPr>
    </w:lvl>
    <w:lvl w:ilvl="2" w:tentative="0">
      <w:start w:val="1"/>
      <w:numFmt w:val="lowerRoman"/>
      <w:lvlText w:val="%3."/>
      <w:lvlJc w:val="right"/>
      <w:pPr>
        <w:ind w:left="1827" w:hanging="420"/>
      </w:pPr>
      <w:rPr>
        <w:rFonts w:hint="default" w:ascii="Times New Roman" w:hAnsi="Times New Roman" w:cs="Times New Roman"/>
      </w:rPr>
    </w:lvl>
    <w:lvl w:ilvl="3" w:tentative="0">
      <w:start w:val="1"/>
      <w:numFmt w:val="decimal"/>
      <w:lvlText w:val="%4."/>
      <w:lvlJc w:val="left"/>
      <w:pPr>
        <w:ind w:left="2247" w:hanging="420"/>
      </w:pPr>
      <w:rPr>
        <w:rFonts w:hint="default" w:ascii="Times New Roman" w:hAnsi="Times New Roman" w:cs="Times New Roman"/>
      </w:rPr>
    </w:lvl>
    <w:lvl w:ilvl="4" w:tentative="0">
      <w:start w:val="1"/>
      <w:numFmt w:val="lowerLetter"/>
      <w:lvlText w:val="%5)"/>
      <w:lvlJc w:val="left"/>
      <w:pPr>
        <w:ind w:left="2667" w:hanging="420"/>
      </w:pPr>
      <w:rPr>
        <w:rFonts w:hint="default" w:ascii="Times New Roman" w:hAnsi="Times New Roman" w:cs="Times New Roman"/>
      </w:rPr>
    </w:lvl>
    <w:lvl w:ilvl="5" w:tentative="0">
      <w:start w:val="1"/>
      <w:numFmt w:val="lowerRoman"/>
      <w:lvlText w:val="%6."/>
      <w:lvlJc w:val="right"/>
      <w:pPr>
        <w:ind w:left="3087" w:hanging="420"/>
      </w:pPr>
      <w:rPr>
        <w:rFonts w:hint="default" w:ascii="Times New Roman" w:hAnsi="Times New Roman" w:cs="Times New Roman"/>
      </w:rPr>
    </w:lvl>
    <w:lvl w:ilvl="6" w:tentative="0">
      <w:start w:val="1"/>
      <w:numFmt w:val="decimal"/>
      <w:lvlText w:val="%7."/>
      <w:lvlJc w:val="left"/>
      <w:pPr>
        <w:ind w:left="3507" w:hanging="420"/>
      </w:pPr>
      <w:rPr>
        <w:rFonts w:hint="default" w:ascii="Times New Roman" w:hAnsi="Times New Roman" w:cs="Times New Roman"/>
      </w:rPr>
    </w:lvl>
    <w:lvl w:ilvl="7" w:tentative="0">
      <w:start w:val="1"/>
      <w:numFmt w:val="lowerLetter"/>
      <w:lvlText w:val="%8)"/>
      <w:lvlJc w:val="left"/>
      <w:pPr>
        <w:ind w:left="3927" w:hanging="420"/>
      </w:pPr>
      <w:rPr>
        <w:rFonts w:hint="default" w:ascii="Times New Roman" w:hAnsi="Times New Roman" w:cs="Times New Roman"/>
      </w:rPr>
    </w:lvl>
    <w:lvl w:ilvl="8" w:tentative="0">
      <w:start w:val="1"/>
      <w:numFmt w:val="lowerRoman"/>
      <w:lvlText w:val="%9."/>
      <w:lvlJc w:val="right"/>
      <w:pPr>
        <w:ind w:left="4347" w:hanging="420"/>
      </w:pPr>
      <w:rPr>
        <w:rFonts w:hint="default" w:ascii="Times New Roman" w:hAnsi="Times New Roman" w:cs="Times New Roman"/>
      </w:rPr>
    </w:lvl>
  </w:abstractNum>
  <w:abstractNum w:abstractNumId="8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A115A84"/>
    <w:multiLevelType w:val="multilevel"/>
    <w:tmpl w:val="3A115A84"/>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91">
    <w:nsid w:val="436B2622"/>
    <w:multiLevelType w:val="multilevel"/>
    <w:tmpl w:val="436B2622"/>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92">
    <w:nsid w:val="5C06921B"/>
    <w:multiLevelType w:val="singleLevel"/>
    <w:tmpl w:val="5C06921B"/>
    <w:lvl w:ilvl="0" w:tentative="0">
      <w:start w:val="1"/>
      <w:numFmt w:val="decimal"/>
      <w:suff w:val="space"/>
      <w:lvlText w:val="%1."/>
      <w:lvlJc w:val="left"/>
    </w:lvl>
  </w:abstractNum>
  <w:abstractNum w:abstractNumId="93">
    <w:nsid w:val="66906181"/>
    <w:multiLevelType w:val="multilevel"/>
    <w:tmpl w:val="66906181"/>
    <w:lvl w:ilvl="0" w:tentative="0">
      <w:start w:val="1"/>
      <w:numFmt w:val="chineseCountingThousand"/>
      <w:lvlText w:val="（%1） "/>
      <w:lvlJc w:val="left"/>
      <w:pPr>
        <w:ind w:left="902" w:hanging="420"/>
      </w:pPr>
      <w:rPr>
        <w:rFonts w:hint="eastAsia" w:ascii="宋体" w:hAnsi="宋体" w:eastAsia="宋体"/>
        <w:b/>
        <w:bCs/>
      </w:rPr>
    </w:lvl>
    <w:lvl w:ilvl="1" w:tentative="0">
      <w:start w:val="1"/>
      <w:numFmt w:val="lowerLetter"/>
      <w:lvlText w:val="%2)"/>
      <w:lvlJc w:val="left"/>
      <w:pPr>
        <w:ind w:left="1322" w:hanging="420"/>
      </w:pPr>
      <w:rPr>
        <w:rFonts w:hint="default" w:ascii="Times New Roman" w:hAnsi="Times New Roman" w:cs="Times New Roman"/>
      </w:rPr>
    </w:lvl>
    <w:lvl w:ilvl="2" w:tentative="0">
      <w:start w:val="1"/>
      <w:numFmt w:val="lowerRoman"/>
      <w:lvlText w:val="%3."/>
      <w:lvlJc w:val="right"/>
      <w:pPr>
        <w:ind w:left="1742" w:hanging="420"/>
      </w:pPr>
      <w:rPr>
        <w:rFonts w:hint="default" w:ascii="Times New Roman" w:hAnsi="Times New Roman" w:cs="Times New Roman"/>
      </w:rPr>
    </w:lvl>
    <w:lvl w:ilvl="3" w:tentative="0">
      <w:start w:val="1"/>
      <w:numFmt w:val="decimal"/>
      <w:lvlText w:val="%4."/>
      <w:lvlJc w:val="left"/>
      <w:pPr>
        <w:ind w:left="2162" w:hanging="420"/>
      </w:pPr>
      <w:rPr>
        <w:rFonts w:hint="default" w:ascii="Times New Roman" w:hAnsi="Times New Roman" w:cs="Times New Roman"/>
      </w:rPr>
    </w:lvl>
    <w:lvl w:ilvl="4" w:tentative="0">
      <w:start w:val="1"/>
      <w:numFmt w:val="lowerLetter"/>
      <w:lvlText w:val="%5)"/>
      <w:lvlJc w:val="left"/>
      <w:pPr>
        <w:ind w:left="2582" w:hanging="420"/>
      </w:pPr>
      <w:rPr>
        <w:rFonts w:hint="default" w:ascii="Times New Roman" w:hAnsi="Times New Roman" w:cs="Times New Roman"/>
      </w:rPr>
    </w:lvl>
    <w:lvl w:ilvl="5" w:tentative="0">
      <w:start w:val="1"/>
      <w:numFmt w:val="lowerRoman"/>
      <w:lvlText w:val="%6."/>
      <w:lvlJc w:val="right"/>
      <w:pPr>
        <w:ind w:left="3002" w:hanging="420"/>
      </w:pPr>
      <w:rPr>
        <w:rFonts w:hint="default" w:ascii="Times New Roman" w:hAnsi="Times New Roman" w:cs="Times New Roman"/>
      </w:rPr>
    </w:lvl>
    <w:lvl w:ilvl="6" w:tentative="0">
      <w:start w:val="1"/>
      <w:numFmt w:val="decimal"/>
      <w:lvlText w:val="%7."/>
      <w:lvlJc w:val="left"/>
      <w:pPr>
        <w:ind w:left="3422" w:hanging="420"/>
      </w:pPr>
      <w:rPr>
        <w:rFonts w:hint="default" w:ascii="Times New Roman" w:hAnsi="Times New Roman" w:cs="Times New Roman"/>
      </w:rPr>
    </w:lvl>
    <w:lvl w:ilvl="7" w:tentative="0">
      <w:start w:val="1"/>
      <w:numFmt w:val="lowerLetter"/>
      <w:lvlText w:val="%8)"/>
      <w:lvlJc w:val="left"/>
      <w:pPr>
        <w:ind w:left="3842" w:hanging="420"/>
      </w:pPr>
      <w:rPr>
        <w:rFonts w:hint="default" w:ascii="Times New Roman" w:hAnsi="Times New Roman" w:cs="Times New Roman"/>
      </w:rPr>
    </w:lvl>
    <w:lvl w:ilvl="8" w:tentative="0">
      <w:start w:val="1"/>
      <w:numFmt w:val="lowerRoman"/>
      <w:lvlText w:val="%9."/>
      <w:lvlJc w:val="right"/>
      <w:pPr>
        <w:ind w:left="4262" w:hanging="420"/>
      </w:pPr>
      <w:rPr>
        <w:rFonts w:hint="default" w:ascii="Times New Roman" w:hAnsi="Times New Roman" w:cs="Times New Roman"/>
      </w:rPr>
    </w:lvl>
  </w:abstractNum>
  <w:abstractNum w:abstractNumId="94">
    <w:nsid w:val="7E155236"/>
    <w:multiLevelType w:val="multilevel"/>
    <w:tmpl w:val="7E155236"/>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num w:numId="1">
    <w:abstractNumId w:val="47"/>
  </w:num>
  <w:num w:numId="2">
    <w:abstractNumId w:val="10"/>
  </w:num>
  <w:num w:numId="3">
    <w:abstractNumId w:val="15"/>
  </w:num>
  <w:num w:numId="4">
    <w:abstractNumId w:val="3"/>
  </w:num>
  <w:num w:numId="5">
    <w:abstractNumId w:val="30"/>
  </w:num>
  <w:num w:numId="6">
    <w:abstractNumId w:val="89"/>
  </w:num>
  <w:num w:numId="7">
    <w:abstractNumId w:val="33"/>
  </w:num>
  <w:num w:numId="8">
    <w:abstractNumId w:val="36"/>
  </w:num>
  <w:num w:numId="9">
    <w:abstractNumId w:val="73"/>
  </w:num>
  <w:num w:numId="10">
    <w:abstractNumId w:val="25"/>
  </w:num>
  <w:num w:numId="11">
    <w:abstractNumId w:val="42"/>
  </w:num>
  <w:num w:numId="12">
    <w:abstractNumId w:val="13"/>
  </w:num>
  <w:num w:numId="13">
    <w:abstractNumId w:val="82"/>
  </w:num>
  <w:num w:numId="14">
    <w:abstractNumId w:val="86"/>
  </w:num>
  <w:num w:numId="15">
    <w:abstractNumId w:val="4"/>
  </w:num>
  <w:num w:numId="16">
    <w:abstractNumId w:val="34"/>
  </w:num>
  <w:num w:numId="17">
    <w:abstractNumId w:val="38"/>
  </w:num>
  <w:num w:numId="18">
    <w:abstractNumId w:val="57"/>
  </w:num>
  <w:num w:numId="19">
    <w:abstractNumId w:val="72"/>
  </w:num>
  <w:num w:numId="20">
    <w:abstractNumId w:val="43"/>
  </w:num>
  <w:num w:numId="21">
    <w:abstractNumId w:val="75"/>
  </w:num>
  <w:num w:numId="22">
    <w:abstractNumId w:val="81"/>
  </w:num>
  <w:num w:numId="23">
    <w:abstractNumId w:val="79"/>
  </w:num>
  <w:num w:numId="24">
    <w:abstractNumId w:val="61"/>
  </w:num>
  <w:num w:numId="25">
    <w:abstractNumId w:val="45"/>
  </w:num>
  <w:num w:numId="26">
    <w:abstractNumId w:val="67"/>
  </w:num>
  <w:num w:numId="27">
    <w:abstractNumId w:val="50"/>
  </w:num>
  <w:num w:numId="28">
    <w:abstractNumId w:val="44"/>
  </w:num>
  <w:num w:numId="29">
    <w:abstractNumId w:val="53"/>
  </w:num>
  <w:num w:numId="30">
    <w:abstractNumId w:val="63"/>
  </w:num>
  <w:num w:numId="31">
    <w:abstractNumId w:val="31"/>
  </w:num>
  <w:num w:numId="32">
    <w:abstractNumId w:val="52"/>
  </w:num>
  <w:num w:numId="33">
    <w:abstractNumId w:val="22"/>
  </w:num>
  <w:num w:numId="34">
    <w:abstractNumId w:val="7"/>
  </w:num>
  <w:num w:numId="35">
    <w:abstractNumId w:val="40"/>
  </w:num>
  <w:num w:numId="36">
    <w:abstractNumId w:val="28"/>
  </w:num>
  <w:num w:numId="37">
    <w:abstractNumId w:val="46"/>
  </w:num>
  <w:num w:numId="38">
    <w:abstractNumId w:val="69"/>
  </w:num>
  <w:num w:numId="39">
    <w:abstractNumId w:val="0"/>
  </w:num>
  <w:num w:numId="40">
    <w:abstractNumId w:val="70"/>
  </w:num>
  <w:num w:numId="41">
    <w:abstractNumId w:val="51"/>
  </w:num>
  <w:num w:numId="42">
    <w:abstractNumId w:val="14"/>
  </w:num>
  <w:num w:numId="43">
    <w:abstractNumId w:val="48"/>
  </w:num>
  <w:num w:numId="44">
    <w:abstractNumId w:val="9"/>
  </w:num>
  <w:num w:numId="45">
    <w:abstractNumId w:val="76"/>
  </w:num>
  <w:num w:numId="46">
    <w:abstractNumId w:val="26"/>
  </w:num>
  <w:num w:numId="47">
    <w:abstractNumId w:val="56"/>
  </w:num>
  <w:num w:numId="48">
    <w:abstractNumId w:val="55"/>
  </w:num>
  <w:num w:numId="49">
    <w:abstractNumId w:val="83"/>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5"/>
  </w:num>
  <w:num w:numId="61">
    <w:abstractNumId w:val="54"/>
  </w:num>
  <w:num w:numId="62">
    <w:abstractNumId w:val="71"/>
  </w:num>
  <w:num w:numId="63">
    <w:abstractNumId w:val="6"/>
  </w:num>
  <w:num w:numId="64">
    <w:abstractNumId w:val="64"/>
  </w:num>
  <w:num w:numId="65">
    <w:abstractNumId w:val="11"/>
  </w:num>
  <w:num w:numId="66">
    <w:abstractNumId w:val="8"/>
  </w:num>
  <w:num w:numId="67">
    <w:abstractNumId w:val="16"/>
  </w:num>
  <w:num w:numId="68">
    <w:abstractNumId w:val="80"/>
  </w:num>
  <w:num w:numId="69">
    <w:abstractNumId w:val="62"/>
  </w:num>
  <w:num w:numId="70">
    <w:abstractNumId w:val="20"/>
  </w:num>
  <w:num w:numId="71">
    <w:abstractNumId w:val="2"/>
  </w:num>
  <w:num w:numId="72">
    <w:abstractNumId w:val="65"/>
  </w:num>
  <w:num w:numId="73">
    <w:abstractNumId w:val="58"/>
  </w:num>
  <w:num w:numId="74">
    <w:abstractNumId w:val="18"/>
  </w:num>
  <w:num w:numId="75">
    <w:abstractNumId w:val="41"/>
  </w:num>
  <w:num w:numId="76">
    <w:abstractNumId w:val="27"/>
  </w:num>
  <w:num w:numId="77">
    <w:abstractNumId w:val="59"/>
  </w:num>
  <w:num w:numId="78">
    <w:abstractNumId w:val="19"/>
  </w:num>
  <w:num w:numId="79">
    <w:abstractNumId w:val="60"/>
  </w:num>
  <w:num w:numId="80">
    <w:abstractNumId w:val="39"/>
  </w:num>
  <w:num w:numId="81">
    <w:abstractNumId w:val="49"/>
  </w:num>
  <w:num w:numId="82">
    <w:abstractNumId w:val="23"/>
  </w:num>
  <w:num w:numId="83">
    <w:abstractNumId w:val="35"/>
  </w:num>
  <w:num w:numId="84">
    <w:abstractNumId w:val="29"/>
  </w:num>
  <w:num w:numId="85">
    <w:abstractNumId w:val="24"/>
  </w:num>
  <w:num w:numId="86">
    <w:abstractNumId w:val="78"/>
  </w:num>
  <w:num w:numId="87">
    <w:abstractNumId w:val="68"/>
  </w:num>
  <w:num w:numId="88">
    <w:abstractNumId w:val="21"/>
  </w:num>
  <w:num w:numId="89">
    <w:abstractNumId w:val="1"/>
  </w:num>
  <w:num w:numId="90">
    <w:abstractNumId w:val="12"/>
  </w:num>
  <w:num w:numId="91">
    <w:abstractNumId w:val="32"/>
  </w:num>
  <w:num w:numId="92">
    <w:abstractNumId w:val="77"/>
  </w:num>
  <w:num w:numId="93">
    <w:abstractNumId w:val="74"/>
  </w:num>
  <w:num w:numId="94">
    <w:abstractNumId w:val="37"/>
  </w:num>
  <w:num w:numId="9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mFlNTJjY2MzMWE3YzhjNGZkMTYyZTcwZTJjMDYifQ=="/>
  </w:docVars>
  <w:rsids>
    <w:rsidRoot w:val="00172A27"/>
    <w:rsid w:val="000233F8"/>
    <w:rsid w:val="00027DBF"/>
    <w:rsid w:val="00040253"/>
    <w:rsid w:val="0004179A"/>
    <w:rsid w:val="000430D3"/>
    <w:rsid w:val="00065F38"/>
    <w:rsid w:val="00067976"/>
    <w:rsid w:val="00067E09"/>
    <w:rsid w:val="00087FD5"/>
    <w:rsid w:val="000923FC"/>
    <w:rsid w:val="00097B42"/>
    <w:rsid w:val="00097D9B"/>
    <w:rsid w:val="000A1E71"/>
    <w:rsid w:val="000A2831"/>
    <w:rsid w:val="000B0A5B"/>
    <w:rsid w:val="000B5266"/>
    <w:rsid w:val="000B708A"/>
    <w:rsid w:val="000E72B4"/>
    <w:rsid w:val="000F451D"/>
    <w:rsid w:val="00100930"/>
    <w:rsid w:val="001017A3"/>
    <w:rsid w:val="00104327"/>
    <w:rsid w:val="00105FA8"/>
    <w:rsid w:val="0011066C"/>
    <w:rsid w:val="0013123F"/>
    <w:rsid w:val="00132A0B"/>
    <w:rsid w:val="00133195"/>
    <w:rsid w:val="001351C6"/>
    <w:rsid w:val="00152743"/>
    <w:rsid w:val="00153A02"/>
    <w:rsid w:val="00155192"/>
    <w:rsid w:val="00156175"/>
    <w:rsid w:val="00172A27"/>
    <w:rsid w:val="00174460"/>
    <w:rsid w:val="00177CD9"/>
    <w:rsid w:val="00177FBE"/>
    <w:rsid w:val="00187055"/>
    <w:rsid w:val="001B4E78"/>
    <w:rsid w:val="001C0D19"/>
    <w:rsid w:val="001C2322"/>
    <w:rsid w:val="001C347B"/>
    <w:rsid w:val="001C35DA"/>
    <w:rsid w:val="001C4185"/>
    <w:rsid w:val="001C592C"/>
    <w:rsid w:val="001D12C5"/>
    <w:rsid w:val="001D2D8D"/>
    <w:rsid w:val="001D3B0C"/>
    <w:rsid w:val="001D4926"/>
    <w:rsid w:val="002001CA"/>
    <w:rsid w:val="00206216"/>
    <w:rsid w:val="00206D3E"/>
    <w:rsid w:val="002079CD"/>
    <w:rsid w:val="00212607"/>
    <w:rsid w:val="00235D10"/>
    <w:rsid w:val="00263EFC"/>
    <w:rsid w:val="0027025A"/>
    <w:rsid w:val="00273213"/>
    <w:rsid w:val="0027728D"/>
    <w:rsid w:val="0028207B"/>
    <w:rsid w:val="0028253E"/>
    <w:rsid w:val="00284C71"/>
    <w:rsid w:val="00292129"/>
    <w:rsid w:val="00293F8D"/>
    <w:rsid w:val="002A2107"/>
    <w:rsid w:val="002A3AE4"/>
    <w:rsid w:val="002B1F3E"/>
    <w:rsid w:val="002C0C26"/>
    <w:rsid w:val="002C5CCE"/>
    <w:rsid w:val="002D45B9"/>
    <w:rsid w:val="002E125A"/>
    <w:rsid w:val="002E1C27"/>
    <w:rsid w:val="002F2453"/>
    <w:rsid w:val="00312A06"/>
    <w:rsid w:val="003311CC"/>
    <w:rsid w:val="00332CBC"/>
    <w:rsid w:val="00341FCC"/>
    <w:rsid w:val="00354F22"/>
    <w:rsid w:val="00356B17"/>
    <w:rsid w:val="00364AB0"/>
    <w:rsid w:val="00366D29"/>
    <w:rsid w:val="00370FBD"/>
    <w:rsid w:val="00371ED2"/>
    <w:rsid w:val="0038037F"/>
    <w:rsid w:val="00387B7D"/>
    <w:rsid w:val="003C22F1"/>
    <w:rsid w:val="003C32D7"/>
    <w:rsid w:val="003C33C0"/>
    <w:rsid w:val="003C608A"/>
    <w:rsid w:val="003C73AE"/>
    <w:rsid w:val="003D5F07"/>
    <w:rsid w:val="003D7884"/>
    <w:rsid w:val="003D7963"/>
    <w:rsid w:val="003E4818"/>
    <w:rsid w:val="003F16EF"/>
    <w:rsid w:val="003F507E"/>
    <w:rsid w:val="00400FA6"/>
    <w:rsid w:val="004318D6"/>
    <w:rsid w:val="00466DEA"/>
    <w:rsid w:val="00477152"/>
    <w:rsid w:val="00485054"/>
    <w:rsid w:val="00494233"/>
    <w:rsid w:val="004B3C06"/>
    <w:rsid w:val="004B7286"/>
    <w:rsid w:val="004C0D5F"/>
    <w:rsid w:val="004D141A"/>
    <w:rsid w:val="004D760F"/>
    <w:rsid w:val="004E2053"/>
    <w:rsid w:val="004F6584"/>
    <w:rsid w:val="0053361A"/>
    <w:rsid w:val="00533C9D"/>
    <w:rsid w:val="00540E6E"/>
    <w:rsid w:val="00562012"/>
    <w:rsid w:val="00563956"/>
    <w:rsid w:val="0056461E"/>
    <w:rsid w:val="005669CB"/>
    <w:rsid w:val="00572CDE"/>
    <w:rsid w:val="005731BA"/>
    <w:rsid w:val="0058265B"/>
    <w:rsid w:val="00584102"/>
    <w:rsid w:val="00587EFF"/>
    <w:rsid w:val="00591999"/>
    <w:rsid w:val="00595C3D"/>
    <w:rsid w:val="005A58AD"/>
    <w:rsid w:val="005B0CD6"/>
    <w:rsid w:val="005D349D"/>
    <w:rsid w:val="005D3A4C"/>
    <w:rsid w:val="005E0FE1"/>
    <w:rsid w:val="005F2191"/>
    <w:rsid w:val="005F3707"/>
    <w:rsid w:val="005F6B06"/>
    <w:rsid w:val="005F7663"/>
    <w:rsid w:val="00600D5B"/>
    <w:rsid w:val="00606497"/>
    <w:rsid w:val="00625224"/>
    <w:rsid w:val="00627D6D"/>
    <w:rsid w:val="00627DE5"/>
    <w:rsid w:val="006360AB"/>
    <w:rsid w:val="006373B4"/>
    <w:rsid w:val="006409D0"/>
    <w:rsid w:val="00650490"/>
    <w:rsid w:val="0065586B"/>
    <w:rsid w:val="00663E73"/>
    <w:rsid w:val="00665430"/>
    <w:rsid w:val="006A0421"/>
    <w:rsid w:val="006B70A4"/>
    <w:rsid w:val="006C56CF"/>
    <w:rsid w:val="006D2C15"/>
    <w:rsid w:val="006E6A07"/>
    <w:rsid w:val="006F524B"/>
    <w:rsid w:val="007057F1"/>
    <w:rsid w:val="0071277B"/>
    <w:rsid w:val="00717477"/>
    <w:rsid w:val="007263BA"/>
    <w:rsid w:val="00754C32"/>
    <w:rsid w:val="0075519F"/>
    <w:rsid w:val="007950BC"/>
    <w:rsid w:val="007A6892"/>
    <w:rsid w:val="007A7727"/>
    <w:rsid w:val="007D04C6"/>
    <w:rsid w:val="007E7638"/>
    <w:rsid w:val="007F0FF8"/>
    <w:rsid w:val="008051FA"/>
    <w:rsid w:val="00827D49"/>
    <w:rsid w:val="0084563B"/>
    <w:rsid w:val="0085195E"/>
    <w:rsid w:val="008522D8"/>
    <w:rsid w:val="00872626"/>
    <w:rsid w:val="00880887"/>
    <w:rsid w:val="008830E6"/>
    <w:rsid w:val="00887D6F"/>
    <w:rsid w:val="008A18E6"/>
    <w:rsid w:val="008B143C"/>
    <w:rsid w:val="008B2471"/>
    <w:rsid w:val="008B374C"/>
    <w:rsid w:val="008F3310"/>
    <w:rsid w:val="008F7B4A"/>
    <w:rsid w:val="00907FAD"/>
    <w:rsid w:val="009140C6"/>
    <w:rsid w:val="009140E1"/>
    <w:rsid w:val="009344C7"/>
    <w:rsid w:val="00936E5B"/>
    <w:rsid w:val="00940911"/>
    <w:rsid w:val="009425A3"/>
    <w:rsid w:val="00942A5C"/>
    <w:rsid w:val="009615B2"/>
    <w:rsid w:val="00966459"/>
    <w:rsid w:val="00966E49"/>
    <w:rsid w:val="00967621"/>
    <w:rsid w:val="00967E11"/>
    <w:rsid w:val="00982993"/>
    <w:rsid w:val="009906F2"/>
    <w:rsid w:val="009B7453"/>
    <w:rsid w:val="009D32B2"/>
    <w:rsid w:val="009E31E7"/>
    <w:rsid w:val="009F7A3A"/>
    <w:rsid w:val="009F7CAD"/>
    <w:rsid w:val="00A01900"/>
    <w:rsid w:val="00A03B25"/>
    <w:rsid w:val="00A045C7"/>
    <w:rsid w:val="00A13AE1"/>
    <w:rsid w:val="00A14F63"/>
    <w:rsid w:val="00A17219"/>
    <w:rsid w:val="00A30CA4"/>
    <w:rsid w:val="00A4164B"/>
    <w:rsid w:val="00A43453"/>
    <w:rsid w:val="00A52106"/>
    <w:rsid w:val="00A610F8"/>
    <w:rsid w:val="00A65669"/>
    <w:rsid w:val="00A8203E"/>
    <w:rsid w:val="00A942FD"/>
    <w:rsid w:val="00AA1D1E"/>
    <w:rsid w:val="00AB6B8A"/>
    <w:rsid w:val="00AB771B"/>
    <w:rsid w:val="00AD5DC8"/>
    <w:rsid w:val="00AF5305"/>
    <w:rsid w:val="00B03A95"/>
    <w:rsid w:val="00B0578D"/>
    <w:rsid w:val="00B1164B"/>
    <w:rsid w:val="00B14350"/>
    <w:rsid w:val="00B14B27"/>
    <w:rsid w:val="00B3228A"/>
    <w:rsid w:val="00B4163D"/>
    <w:rsid w:val="00B4526D"/>
    <w:rsid w:val="00B45D99"/>
    <w:rsid w:val="00B4715C"/>
    <w:rsid w:val="00B6079E"/>
    <w:rsid w:val="00B710F0"/>
    <w:rsid w:val="00B722BF"/>
    <w:rsid w:val="00B77561"/>
    <w:rsid w:val="00B80CAA"/>
    <w:rsid w:val="00B94C3A"/>
    <w:rsid w:val="00BD05D1"/>
    <w:rsid w:val="00BD4220"/>
    <w:rsid w:val="00BE025D"/>
    <w:rsid w:val="00C02340"/>
    <w:rsid w:val="00C040A1"/>
    <w:rsid w:val="00C11087"/>
    <w:rsid w:val="00C156EA"/>
    <w:rsid w:val="00C3732B"/>
    <w:rsid w:val="00C50001"/>
    <w:rsid w:val="00C65999"/>
    <w:rsid w:val="00C70EAE"/>
    <w:rsid w:val="00C94A34"/>
    <w:rsid w:val="00CA16E8"/>
    <w:rsid w:val="00CA7CC9"/>
    <w:rsid w:val="00CB1DE4"/>
    <w:rsid w:val="00CB2F95"/>
    <w:rsid w:val="00CC033D"/>
    <w:rsid w:val="00CC34DE"/>
    <w:rsid w:val="00CE0087"/>
    <w:rsid w:val="00CF20AE"/>
    <w:rsid w:val="00D02BEE"/>
    <w:rsid w:val="00D035F0"/>
    <w:rsid w:val="00D04418"/>
    <w:rsid w:val="00D16759"/>
    <w:rsid w:val="00D206E7"/>
    <w:rsid w:val="00D3185D"/>
    <w:rsid w:val="00D42204"/>
    <w:rsid w:val="00D42A7B"/>
    <w:rsid w:val="00D4353F"/>
    <w:rsid w:val="00D538CE"/>
    <w:rsid w:val="00D64F93"/>
    <w:rsid w:val="00D72495"/>
    <w:rsid w:val="00D730EA"/>
    <w:rsid w:val="00D849A2"/>
    <w:rsid w:val="00D950E3"/>
    <w:rsid w:val="00D96754"/>
    <w:rsid w:val="00D97F7D"/>
    <w:rsid w:val="00DA007E"/>
    <w:rsid w:val="00DA5817"/>
    <w:rsid w:val="00DB65DB"/>
    <w:rsid w:val="00DC291E"/>
    <w:rsid w:val="00DC554F"/>
    <w:rsid w:val="00DD4371"/>
    <w:rsid w:val="00DE1074"/>
    <w:rsid w:val="00DF2531"/>
    <w:rsid w:val="00E07C33"/>
    <w:rsid w:val="00E1205B"/>
    <w:rsid w:val="00E15148"/>
    <w:rsid w:val="00E151F0"/>
    <w:rsid w:val="00E16142"/>
    <w:rsid w:val="00E5248F"/>
    <w:rsid w:val="00E6402C"/>
    <w:rsid w:val="00E67F0E"/>
    <w:rsid w:val="00E70C21"/>
    <w:rsid w:val="00E72824"/>
    <w:rsid w:val="00E7522D"/>
    <w:rsid w:val="00E87403"/>
    <w:rsid w:val="00EA6307"/>
    <w:rsid w:val="00EB1D2C"/>
    <w:rsid w:val="00EB5990"/>
    <w:rsid w:val="00ED2949"/>
    <w:rsid w:val="00ED2BCF"/>
    <w:rsid w:val="00EE3444"/>
    <w:rsid w:val="00EF02F9"/>
    <w:rsid w:val="00EF3351"/>
    <w:rsid w:val="00F148F2"/>
    <w:rsid w:val="00F23487"/>
    <w:rsid w:val="00F24969"/>
    <w:rsid w:val="00F257AE"/>
    <w:rsid w:val="00F27317"/>
    <w:rsid w:val="00F377A5"/>
    <w:rsid w:val="00F40027"/>
    <w:rsid w:val="00F43FD8"/>
    <w:rsid w:val="00F47DA1"/>
    <w:rsid w:val="00F47DCC"/>
    <w:rsid w:val="00F547A5"/>
    <w:rsid w:val="00F572A8"/>
    <w:rsid w:val="00F65F43"/>
    <w:rsid w:val="00F7077E"/>
    <w:rsid w:val="00F95744"/>
    <w:rsid w:val="00F97783"/>
    <w:rsid w:val="00FA0D3D"/>
    <w:rsid w:val="00FA4083"/>
    <w:rsid w:val="00FC0A62"/>
    <w:rsid w:val="00FE1FDE"/>
    <w:rsid w:val="00FE5B55"/>
    <w:rsid w:val="00FF1F24"/>
    <w:rsid w:val="00FF2A33"/>
    <w:rsid w:val="00FF58E5"/>
    <w:rsid w:val="01977639"/>
    <w:rsid w:val="01AB2613"/>
    <w:rsid w:val="01C363FF"/>
    <w:rsid w:val="01D626A1"/>
    <w:rsid w:val="01E15FB1"/>
    <w:rsid w:val="01FD1DAB"/>
    <w:rsid w:val="02152512"/>
    <w:rsid w:val="028669FC"/>
    <w:rsid w:val="03E447F1"/>
    <w:rsid w:val="04250FF2"/>
    <w:rsid w:val="04B8427C"/>
    <w:rsid w:val="054C51CC"/>
    <w:rsid w:val="0551724E"/>
    <w:rsid w:val="05DC1880"/>
    <w:rsid w:val="062B70CF"/>
    <w:rsid w:val="065B3691"/>
    <w:rsid w:val="0792367F"/>
    <w:rsid w:val="07D61C46"/>
    <w:rsid w:val="08152D6D"/>
    <w:rsid w:val="088F6389"/>
    <w:rsid w:val="08E931E8"/>
    <w:rsid w:val="091F5733"/>
    <w:rsid w:val="0A1F0A9E"/>
    <w:rsid w:val="0A2A3A40"/>
    <w:rsid w:val="0AA104B5"/>
    <w:rsid w:val="0AD15DB1"/>
    <w:rsid w:val="0B5E6AB8"/>
    <w:rsid w:val="0B617E87"/>
    <w:rsid w:val="0BD87D22"/>
    <w:rsid w:val="0C0A1609"/>
    <w:rsid w:val="0C985EF1"/>
    <w:rsid w:val="0CA14B78"/>
    <w:rsid w:val="0CFF583A"/>
    <w:rsid w:val="0D7F2BEE"/>
    <w:rsid w:val="0D9543E8"/>
    <w:rsid w:val="0DE25B4B"/>
    <w:rsid w:val="0E307A02"/>
    <w:rsid w:val="0E747D9D"/>
    <w:rsid w:val="0F1B1B3A"/>
    <w:rsid w:val="0F4F4F9A"/>
    <w:rsid w:val="0F873571"/>
    <w:rsid w:val="10A53353"/>
    <w:rsid w:val="10C051C7"/>
    <w:rsid w:val="111F55E8"/>
    <w:rsid w:val="11216528"/>
    <w:rsid w:val="11877EAB"/>
    <w:rsid w:val="11E47FDC"/>
    <w:rsid w:val="12083F7F"/>
    <w:rsid w:val="125D280E"/>
    <w:rsid w:val="12B43606"/>
    <w:rsid w:val="12C34355"/>
    <w:rsid w:val="130F762B"/>
    <w:rsid w:val="13311DA9"/>
    <w:rsid w:val="136C1922"/>
    <w:rsid w:val="13D13F17"/>
    <w:rsid w:val="13FC3088"/>
    <w:rsid w:val="13FD406A"/>
    <w:rsid w:val="14D2658B"/>
    <w:rsid w:val="15744EBD"/>
    <w:rsid w:val="15D43B39"/>
    <w:rsid w:val="15EC7CDA"/>
    <w:rsid w:val="15EF6A32"/>
    <w:rsid w:val="16384496"/>
    <w:rsid w:val="166B7BC4"/>
    <w:rsid w:val="1758035A"/>
    <w:rsid w:val="17D61DB9"/>
    <w:rsid w:val="182B5B6F"/>
    <w:rsid w:val="18FB5E5F"/>
    <w:rsid w:val="19613429"/>
    <w:rsid w:val="19F901E6"/>
    <w:rsid w:val="1A6511E1"/>
    <w:rsid w:val="1A87614A"/>
    <w:rsid w:val="1A8E6B90"/>
    <w:rsid w:val="1AA0104A"/>
    <w:rsid w:val="1B123DD6"/>
    <w:rsid w:val="1B5924B7"/>
    <w:rsid w:val="1C2C13A8"/>
    <w:rsid w:val="1C531AF4"/>
    <w:rsid w:val="1C8F743D"/>
    <w:rsid w:val="1CA452DA"/>
    <w:rsid w:val="1CB53C66"/>
    <w:rsid w:val="1D5E3A3C"/>
    <w:rsid w:val="1D7A015C"/>
    <w:rsid w:val="1D7D0CAA"/>
    <w:rsid w:val="1DE221FD"/>
    <w:rsid w:val="1DEC3126"/>
    <w:rsid w:val="1E1D2E19"/>
    <w:rsid w:val="1E9D0AF0"/>
    <w:rsid w:val="1EAF52AF"/>
    <w:rsid w:val="1F256B5A"/>
    <w:rsid w:val="202B6B0A"/>
    <w:rsid w:val="204702E3"/>
    <w:rsid w:val="20B65EC9"/>
    <w:rsid w:val="211741F8"/>
    <w:rsid w:val="211F595C"/>
    <w:rsid w:val="228A418F"/>
    <w:rsid w:val="22E66908"/>
    <w:rsid w:val="22EE7FB8"/>
    <w:rsid w:val="23233741"/>
    <w:rsid w:val="235B443D"/>
    <w:rsid w:val="2364500F"/>
    <w:rsid w:val="2372167F"/>
    <w:rsid w:val="23D94F32"/>
    <w:rsid w:val="240E7683"/>
    <w:rsid w:val="248C306A"/>
    <w:rsid w:val="24B212AE"/>
    <w:rsid w:val="24BE28C3"/>
    <w:rsid w:val="24CC47F6"/>
    <w:rsid w:val="25013A3A"/>
    <w:rsid w:val="25323008"/>
    <w:rsid w:val="25891A9D"/>
    <w:rsid w:val="25AB54E5"/>
    <w:rsid w:val="25B97608"/>
    <w:rsid w:val="264F1576"/>
    <w:rsid w:val="27234104"/>
    <w:rsid w:val="27FF03AD"/>
    <w:rsid w:val="28910701"/>
    <w:rsid w:val="2923381F"/>
    <w:rsid w:val="293401DF"/>
    <w:rsid w:val="2A203E97"/>
    <w:rsid w:val="2A2D1C09"/>
    <w:rsid w:val="2A47759A"/>
    <w:rsid w:val="2AA015C0"/>
    <w:rsid w:val="2AC224B2"/>
    <w:rsid w:val="2B036984"/>
    <w:rsid w:val="2B336D6F"/>
    <w:rsid w:val="2B337A6E"/>
    <w:rsid w:val="2B662AED"/>
    <w:rsid w:val="2B7A217E"/>
    <w:rsid w:val="2BBE283A"/>
    <w:rsid w:val="2C016AD5"/>
    <w:rsid w:val="2C277A07"/>
    <w:rsid w:val="2E1C492C"/>
    <w:rsid w:val="2E3F062F"/>
    <w:rsid w:val="2E7B0C23"/>
    <w:rsid w:val="2FE20E47"/>
    <w:rsid w:val="30C56C9D"/>
    <w:rsid w:val="30D46B02"/>
    <w:rsid w:val="31C23191"/>
    <w:rsid w:val="31D77918"/>
    <w:rsid w:val="32704B37"/>
    <w:rsid w:val="32D349A5"/>
    <w:rsid w:val="3401375E"/>
    <w:rsid w:val="3466190B"/>
    <w:rsid w:val="349F645B"/>
    <w:rsid w:val="34D96758"/>
    <w:rsid w:val="35F6286D"/>
    <w:rsid w:val="366A2DA3"/>
    <w:rsid w:val="37422DD8"/>
    <w:rsid w:val="375F2FC7"/>
    <w:rsid w:val="37AF64F2"/>
    <w:rsid w:val="37DC210F"/>
    <w:rsid w:val="385D3996"/>
    <w:rsid w:val="38B46049"/>
    <w:rsid w:val="39936454"/>
    <w:rsid w:val="399C75F4"/>
    <w:rsid w:val="39B158BC"/>
    <w:rsid w:val="39B819DA"/>
    <w:rsid w:val="39EB3784"/>
    <w:rsid w:val="3A4A0E23"/>
    <w:rsid w:val="3A6077AE"/>
    <w:rsid w:val="3AA43088"/>
    <w:rsid w:val="3ADD6C47"/>
    <w:rsid w:val="3B0353EE"/>
    <w:rsid w:val="3B0C03FE"/>
    <w:rsid w:val="3B464641"/>
    <w:rsid w:val="3B595743"/>
    <w:rsid w:val="3B5C6F07"/>
    <w:rsid w:val="3BC351C7"/>
    <w:rsid w:val="3C455569"/>
    <w:rsid w:val="3C496A5B"/>
    <w:rsid w:val="3CA07EC4"/>
    <w:rsid w:val="3D3F7B8A"/>
    <w:rsid w:val="3D610102"/>
    <w:rsid w:val="3D663FC9"/>
    <w:rsid w:val="3DC8404A"/>
    <w:rsid w:val="3EB26287"/>
    <w:rsid w:val="3EC000A8"/>
    <w:rsid w:val="3F6E4E48"/>
    <w:rsid w:val="3FF7308A"/>
    <w:rsid w:val="403A5CF3"/>
    <w:rsid w:val="40F27E17"/>
    <w:rsid w:val="410A0312"/>
    <w:rsid w:val="417A2D94"/>
    <w:rsid w:val="43067F97"/>
    <w:rsid w:val="432F4FC1"/>
    <w:rsid w:val="43900488"/>
    <w:rsid w:val="44305693"/>
    <w:rsid w:val="44B00D43"/>
    <w:rsid w:val="451015AD"/>
    <w:rsid w:val="46020926"/>
    <w:rsid w:val="463C5DC5"/>
    <w:rsid w:val="470F1798"/>
    <w:rsid w:val="476C7560"/>
    <w:rsid w:val="48765E87"/>
    <w:rsid w:val="487D1C31"/>
    <w:rsid w:val="489E2109"/>
    <w:rsid w:val="49207304"/>
    <w:rsid w:val="49B84443"/>
    <w:rsid w:val="4AAD795E"/>
    <w:rsid w:val="4B0113BB"/>
    <w:rsid w:val="4B1243F2"/>
    <w:rsid w:val="4C1B40E2"/>
    <w:rsid w:val="4C374493"/>
    <w:rsid w:val="4C404C4F"/>
    <w:rsid w:val="4EE30331"/>
    <w:rsid w:val="4F5315AD"/>
    <w:rsid w:val="4F5B2305"/>
    <w:rsid w:val="4FD22029"/>
    <w:rsid w:val="4FF1180D"/>
    <w:rsid w:val="50471818"/>
    <w:rsid w:val="5070308E"/>
    <w:rsid w:val="511873E9"/>
    <w:rsid w:val="5134060E"/>
    <w:rsid w:val="514A188F"/>
    <w:rsid w:val="51572CF5"/>
    <w:rsid w:val="52AB18CE"/>
    <w:rsid w:val="52D136BB"/>
    <w:rsid w:val="52EE6EF9"/>
    <w:rsid w:val="534A3AE5"/>
    <w:rsid w:val="534C792A"/>
    <w:rsid w:val="537F2924"/>
    <w:rsid w:val="53A15308"/>
    <w:rsid w:val="53BE7959"/>
    <w:rsid w:val="53F87096"/>
    <w:rsid w:val="543744C9"/>
    <w:rsid w:val="54747754"/>
    <w:rsid w:val="549C5CC4"/>
    <w:rsid w:val="54A20DA4"/>
    <w:rsid w:val="54B6468A"/>
    <w:rsid w:val="55D711E3"/>
    <w:rsid w:val="567335BF"/>
    <w:rsid w:val="568E0989"/>
    <w:rsid w:val="56CA3863"/>
    <w:rsid w:val="57403AA8"/>
    <w:rsid w:val="581843FE"/>
    <w:rsid w:val="582A1C12"/>
    <w:rsid w:val="58385C14"/>
    <w:rsid w:val="58AC4051"/>
    <w:rsid w:val="58FA0591"/>
    <w:rsid w:val="592B258D"/>
    <w:rsid w:val="592F0BBE"/>
    <w:rsid w:val="593919FA"/>
    <w:rsid w:val="59D52286"/>
    <w:rsid w:val="5AB2511B"/>
    <w:rsid w:val="5CBD3613"/>
    <w:rsid w:val="5CCB002B"/>
    <w:rsid w:val="5D466177"/>
    <w:rsid w:val="5D967083"/>
    <w:rsid w:val="5DA57F38"/>
    <w:rsid w:val="5DAF1959"/>
    <w:rsid w:val="5E08052C"/>
    <w:rsid w:val="5E126A33"/>
    <w:rsid w:val="5E231FB4"/>
    <w:rsid w:val="5E3A2A6B"/>
    <w:rsid w:val="5F266301"/>
    <w:rsid w:val="624D5D1D"/>
    <w:rsid w:val="62AF4D07"/>
    <w:rsid w:val="64252087"/>
    <w:rsid w:val="64834E10"/>
    <w:rsid w:val="64F22626"/>
    <w:rsid w:val="650B734C"/>
    <w:rsid w:val="65872CE1"/>
    <w:rsid w:val="65BC143D"/>
    <w:rsid w:val="65CB4DB1"/>
    <w:rsid w:val="66393BF0"/>
    <w:rsid w:val="66630295"/>
    <w:rsid w:val="66632FBC"/>
    <w:rsid w:val="66B756D8"/>
    <w:rsid w:val="66D06D8E"/>
    <w:rsid w:val="674A3085"/>
    <w:rsid w:val="677771F2"/>
    <w:rsid w:val="677874FF"/>
    <w:rsid w:val="677E2C1C"/>
    <w:rsid w:val="679E192D"/>
    <w:rsid w:val="68CD592A"/>
    <w:rsid w:val="68F21D4B"/>
    <w:rsid w:val="694463B2"/>
    <w:rsid w:val="69602C70"/>
    <w:rsid w:val="6A17771B"/>
    <w:rsid w:val="6A300944"/>
    <w:rsid w:val="6A357235"/>
    <w:rsid w:val="6A4B791D"/>
    <w:rsid w:val="6B112FE7"/>
    <w:rsid w:val="6B6D33BE"/>
    <w:rsid w:val="6B9D1415"/>
    <w:rsid w:val="6BC87003"/>
    <w:rsid w:val="6C6A1361"/>
    <w:rsid w:val="6C6C085D"/>
    <w:rsid w:val="6D353104"/>
    <w:rsid w:val="6D7E1025"/>
    <w:rsid w:val="6DC128B1"/>
    <w:rsid w:val="6DE62095"/>
    <w:rsid w:val="6DE9314D"/>
    <w:rsid w:val="6E8F50F4"/>
    <w:rsid w:val="6EFC601E"/>
    <w:rsid w:val="6F6739D8"/>
    <w:rsid w:val="6F9F1846"/>
    <w:rsid w:val="6FB928C3"/>
    <w:rsid w:val="706B35DB"/>
    <w:rsid w:val="70BB2CF2"/>
    <w:rsid w:val="71473370"/>
    <w:rsid w:val="719E4B98"/>
    <w:rsid w:val="71C97F4D"/>
    <w:rsid w:val="72647447"/>
    <w:rsid w:val="72D7175E"/>
    <w:rsid w:val="732D4FAF"/>
    <w:rsid w:val="738376C1"/>
    <w:rsid w:val="739D46DE"/>
    <w:rsid w:val="77492442"/>
    <w:rsid w:val="779A1C19"/>
    <w:rsid w:val="77B33B76"/>
    <w:rsid w:val="780747CE"/>
    <w:rsid w:val="78736C24"/>
    <w:rsid w:val="78864F8A"/>
    <w:rsid w:val="78ED3C1E"/>
    <w:rsid w:val="799E7E16"/>
    <w:rsid w:val="7AB440BA"/>
    <w:rsid w:val="7AB7787E"/>
    <w:rsid w:val="7B4D4FCC"/>
    <w:rsid w:val="7B6B62F9"/>
    <w:rsid w:val="7BD334D3"/>
    <w:rsid w:val="7C650D41"/>
    <w:rsid w:val="7C8B3A88"/>
    <w:rsid w:val="7C964810"/>
    <w:rsid w:val="7D5070C0"/>
    <w:rsid w:val="7DA914FB"/>
    <w:rsid w:val="7EC55D85"/>
    <w:rsid w:val="7EF46E0A"/>
    <w:rsid w:val="7F4F31A9"/>
    <w:rsid w:val="7F734147"/>
    <w:rsid w:val="7FFF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qFormat="1" w:unhideWhenUsed="0" w:uiPriority="39" w:semiHidden="0" w:name="toc 5"/>
    <w:lsdException w:uiPriority="0" w:name="toc 6"/>
    <w:lsdException w:uiPriority="0" w:name="toc 7"/>
    <w:lsdException w:uiPriority="0" w:name="toc 8"/>
    <w:lsdException w:uiPriority="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61"/>
    <w:qFormat/>
    <w:uiPriority w:val="0"/>
    <w:pPr>
      <w:keepNext/>
      <w:keepLines/>
      <w:spacing w:before="260" w:after="260" w:line="416" w:lineRule="auto"/>
      <w:outlineLvl w:val="2"/>
    </w:pPr>
    <w:rPr>
      <w:b/>
      <w:bCs/>
      <w:sz w:val="32"/>
      <w:szCs w:val="32"/>
    </w:rPr>
  </w:style>
  <w:style w:type="paragraph" w:styleId="8">
    <w:name w:val="heading 4"/>
    <w:basedOn w:val="1"/>
    <w:next w:val="1"/>
    <w:link w:val="40"/>
    <w:qFormat/>
    <w:uiPriority w:val="9"/>
    <w:pPr>
      <w:keepNext/>
      <w:keepLines/>
      <w:spacing w:before="280" w:after="290" w:line="376" w:lineRule="auto"/>
      <w:outlineLvl w:val="3"/>
    </w:pPr>
    <w:rPr>
      <w:rFonts w:ascii="Cambria" w:hAnsi="Cambria" w:cs="Times New Roman"/>
      <w:b/>
      <w:bCs/>
      <w:sz w:val="28"/>
      <w:szCs w:val="28"/>
    </w:rPr>
  </w:style>
  <w:style w:type="paragraph" w:styleId="9">
    <w:name w:val="heading 5"/>
    <w:basedOn w:val="1"/>
    <w:next w:val="1"/>
    <w:link w:val="52"/>
    <w:qFormat/>
    <w:uiPriority w:val="0"/>
    <w:pPr>
      <w:keepNext/>
      <w:keepLines/>
      <w:spacing w:before="280" w:after="290" w:line="376" w:lineRule="auto"/>
      <w:outlineLvl w:val="4"/>
    </w:pPr>
    <w:rPr>
      <w:b/>
      <w:bCs/>
      <w:sz w:val="28"/>
      <w:szCs w:val="28"/>
    </w:rPr>
  </w:style>
  <w:style w:type="paragraph" w:styleId="10">
    <w:name w:val="heading 6"/>
    <w:basedOn w:val="1"/>
    <w:next w:val="1"/>
    <w:link w:val="90"/>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1">
    <w:name w:val="heading 7"/>
    <w:basedOn w:val="1"/>
    <w:next w:val="1"/>
    <w:link w:val="91"/>
    <w:semiHidden/>
    <w:unhideWhenUsed/>
    <w:qFormat/>
    <w:uiPriority w:val="0"/>
    <w:pPr>
      <w:keepNext/>
      <w:keepLines/>
      <w:spacing w:before="240" w:after="64" w:line="320" w:lineRule="auto"/>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szCs w:val="24"/>
    </w:rPr>
  </w:style>
  <w:style w:type="paragraph" w:styleId="3">
    <w:name w:val="Body Text"/>
    <w:basedOn w:val="1"/>
    <w:next w:val="4"/>
    <w:unhideWhenUsed/>
    <w:qFormat/>
    <w:uiPriority w:val="1"/>
    <w:rPr>
      <w:rFonts w:ascii="宋体"/>
      <w:sz w:val="24"/>
    </w:rPr>
  </w:style>
  <w:style w:type="paragraph" w:styleId="4">
    <w:name w:val="toc 5"/>
    <w:basedOn w:val="1"/>
    <w:next w:val="1"/>
    <w:qFormat/>
    <w:uiPriority w:val="39"/>
    <w:pPr>
      <w:ind w:left="840"/>
      <w:jc w:val="left"/>
    </w:pPr>
    <w:rPr>
      <w:sz w:val="18"/>
      <w:szCs w:val="18"/>
    </w:rPr>
  </w:style>
  <w:style w:type="paragraph" w:styleId="12">
    <w:name w:val="Normal Indent"/>
    <w:basedOn w:val="1"/>
    <w:qFormat/>
    <w:uiPriority w:val="99"/>
    <w:pPr>
      <w:ind w:firstLine="420"/>
    </w:pPr>
  </w:style>
  <w:style w:type="paragraph" w:styleId="13">
    <w:name w:val="annotation text"/>
    <w:basedOn w:val="1"/>
    <w:link w:val="53"/>
    <w:qFormat/>
    <w:uiPriority w:val="0"/>
    <w:pPr>
      <w:jc w:val="left"/>
    </w:pPr>
  </w:style>
  <w:style w:type="paragraph" w:styleId="14">
    <w:name w:val="Block Text"/>
    <w:basedOn w:val="1"/>
    <w:next w:val="1"/>
    <w:link w:val="51"/>
    <w:qFormat/>
    <w:uiPriority w:val="0"/>
    <w:rPr>
      <w:i/>
      <w:iCs/>
      <w:color w:val="000000"/>
    </w:rPr>
  </w:style>
  <w:style w:type="paragraph" w:styleId="15">
    <w:name w:val="Balloon Text"/>
    <w:basedOn w:val="1"/>
    <w:link w:val="39"/>
    <w:qFormat/>
    <w:uiPriority w:val="0"/>
    <w:rPr>
      <w:sz w:val="18"/>
      <w:szCs w:val="18"/>
    </w:rPr>
  </w:style>
  <w:style w:type="paragraph" w:styleId="16">
    <w:name w:val="footer"/>
    <w:basedOn w:val="1"/>
    <w:link w:val="48"/>
    <w:qFormat/>
    <w:uiPriority w:val="0"/>
    <w:pPr>
      <w:tabs>
        <w:tab w:val="center" w:pos="4153"/>
        <w:tab w:val="right" w:pos="8306"/>
      </w:tabs>
      <w:snapToGrid w:val="0"/>
      <w:jc w:val="left"/>
    </w:pPr>
    <w:rPr>
      <w:sz w:val="18"/>
      <w:szCs w:val="18"/>
    </w:rPr>
  </w:style>
  <w:style w:type="paragraph" w:styleId="17">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4"/>
    <w:next w:val="5"/>
    <w:qFormat/>
    <w:uiPriority w:val="0"/>
    <w:pPr>
      <w:widowControl/>
      <w:tabs>
        <w:tab w:val="left" w:pos="1176"/>
        <w:tab w:val="right" w:leader="dot" w:pos="9514"/>
      </w:tabs>
      <w:spacing w:line="440" w:lineRule="exact"/>
      <w:jc w:val="left"/>
    </w:pPr>
    <w:rPr>
      <w:rFonts w:eastAsia="黑体"/>
      <w:b/>
      <w:i w:val="0"/>
      <w:kern w:val="0"/>
      <w:sz w:val="30"/>
    </w:rPr>
  </w:style>
  <w:style w:type="paragraph" w:styleId="19">
    <w:name w:val="List"/>
    <w:basedOn w:val="1"/>
    <w:unhideWhenUsed/>
    <w:qFormat/>
    <w:uiPriority w:val="99"/>
    <w:pPr>
      <w:ind w:left="200" w:hanging="200" w:hangingChars="200"/>
      <w:contextualSpacing/>
    </w:pPr>
  </w:style>
  <w:style w:type="paragraph" w:styleId="20">
    <w:name w:val="footnote text"/>
    <w:basedOn w:val="1"/>
    <w:unhideWhenUsed/>
    <w:qFormat/>
    <w:uiPriority w:val="99"/>
    <w:pPr>
      <w:snapToGrid w:val="0"/>
      <w:jc w:val="left"/>
    </w:pPr>
    <w:rPr>
      <w:sz w:val="18"/>
      <w:szCs w:val="18"/>
    </w:rPr>
  </w:style>
  <w:style w:type="paragraph" w:styleId="21">
    <w:name w:val="toc 2"/>
    <w:basedOn w:val="14"/>
    <w:next w:val="6"/>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rPr>
  </w:style>
  <w:style w:type="paragraph" w:styleId="2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24">
    <w:name w:val="annotation subject"/>
    <w:basedOn w:val="13"/>
    <w:next w:val="13"/>
    <w:link w:val="89"/>
    <w:qFormat/>
    <w:uiPriority w:val="0"/>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Emphasis"/>
    <w:basedOn w:val="27"/>
    <w:qFormat/>
    <w:uiPriority w:val="0"/>
    <w:rPr>
      <w:i/>
    </w:rPr>
  </w:style>
  <w:style w:type="character" w:styleId="32">
    <w:name w:val="Hyperlink"/>
    <w:qFormat/>
    <w:uiPriority w:val="0"/>
    <w:rPr>
      <w:rFonts w:eastAsia="宋体"/>
      <w:color w:val="0000FF"/>
      <w:u w:val="none"/>
    </w:rPr>
  </w:style>
  <w:style w:type="character" w:styleId="33">
    <w:name w:val="annotation reference"/>
    <w:basedOn w:val="27"/>
    <w:qFormat/>
    <w:uiPriority w:val="0"/>
    <w:rPr>
      <w:sz w:val="21"/>
      <w:szCs w:val="21"/>
    </w:rPr>
  </w:style>
  <w:style w:type="paragraph" w:customStyle="1" w:styleId="34">
    <w:name w:val="文档正文"/>
    <w:basedOn w:val="12"/>
    <w:qFormat/>
    <w:uiPriority w:val="0"/>
    <w:pPr>
      <w:adjustRightInd w:val="0"/>
      <w:spacing w:line="312" w:lineRule="atLeast"/>
      <w:ind w:firstLine="567"/>
      <w:textAlignment w:val="baseline"/>
    </w:pPr>
    <w:rPr>
      <w:rFonts w:ascii="长城仿宋" w:eastAsia="长城仿宋"/>
      <w:kern w:val="0"/>
      <w:sz w:val="28"/>
    </w:rPr>
  </w:style>
  <w:style w:type="paragraph" w:styleId="35">
    <w:name w:val="List Paragraph"/>
    <w:basedOn w:val="1"/>
    <w:link w:val="94"/>
    <w:qFormat/>
    <w:uiPriority w:val="34"/>
    <w:pPr>
      <w:ind w:firstLine="420" w:firstLineChars="200"/>
    </w:pPr>
    <w:rPr>
      <w:rFonts w:asciiTheme="minorHAnsi" w:hAnsiTheme="minorHAnsi" w:eastAsiaTheme="minorEastAsia" w:cstheme="minorBidi"/>
    </w:rPr>
  </w:style>
  <w:style w:type="character" w:customStyle="1" w:styleId="36">
    <w:name w:val="span4"/>
    <w:basedOn w:val="27"/>
    <w:qFormat/>
    <w:uiPriority w:val="0"/>
    <w:rPr>
      <w:color w:val="DD3232"/>
      <w:shd w:val="clear" w:color="auto" w:fill="FEB5B5"/>
    </w:rPr>
  </w:style>
  <w:style w:type="character" w:customStyle="1" w:styleId="37">
    <w:name w:val="text-overflow"/>
    <w:basedOn w:val="27"/>
    <w:qFormat/>
    <w:uiPriority w:val="0"/>
    <w:rPr>
      <w:color w:val="333333"/>
      <w:sz w:val="21"/>
      <w:szCs w:val="21"/>
    </w:rPr>
  </w:style>
  <w:style w:type="character" w:customStyle="1" w:styleId="38">
    <w:name w:val="text-overflow1"/>
    <w:basedOn w:val="27"/>
    <w:qFormat/>
    <w:uiPriority w:val="0"/>
    <w:rPr>
      <w:color w:val="1157B0"/>
    </w:rPr>
  </w:style>
  <w:style w:type="character" w:customStyle="1" w:styleId="39">
    <w:name w:val="批注框文本 Char"/>
    <w:link w:val="15"/>
    <w:qFormat/>
    <w:uiPriority w:val="0"/>
    <w:rPr>
      <w:sz w:val="18"/>
      <w:szCs w:val="18"/>
    </w:rPr>
  </w:style>
  <w:style w:type="character" w:customStyle="1" w:styleId="40">
    <w:name w:val="标题 4 Char"/>
    <w:link w:val="8"/>
    <w:qFormat/>
    <w:uiPriority w:val="9"/>
    <w:rPr>
      <w:rFonts w:ascii="Cambria" w:hAnsi="Cambria" w:eastAsia="宋体" w:cs="Times New Roman"/>
      <w:b/>
      <w:bCs/>
      <w:sz w:val="28"/>
      <w:szCs w:val="28"/>
    </w:rPr>
  </w:style>
  <w:style w:type="character" w:customStyle="1" w:styleId="41">
    <w:name w:val="标题 2 Char"/>
    <w:link w:val="6"/>
    <w:qFormat/>
    <w:uiPriority w:val="0"/>
    <w:rPr>
      <w:rFonts w:ascii="Cambria" w:hAnsi="Cambria" w:eastAsia="宋体" w:cs="黑体"/>
      <w:b/>
      <w:bCs/>
      <w:sz w:val="32"/>
      <w:szCs w:val="32"/>
    </w:rPr>
  </w:style>
  <w:style w:type="character" w:customStyle="1" w:styleId="42">
    <w:name w:val="first-child"/>
    <w:basedOn w:val="27"/>
    <w:qFormat/>
    <w:uiPriority w:val="0"/>
  </w:style>
  <w:style w:type="character" w:customStyle="1" w:styleId="43">
    <w:name w:val="列出段落 Char"/>
    <w:link w:val="44"/>
    <w:qFormat/>
    <w:uiPriority w:val="0"/>
  </w:style>
  <w:style w:type="paragraph" w:customStyle="1" w:styleId="44">
    <w:name w:val="列表段落1"/>
    <w:basedOn w:val="1"/>
    <w:link w:val="43"/>
    <w:qFormat/>
    <w:uiPriority w:val="0"/>
    <w:pPr>
      <w:ind w:firstLine="420" w:firstLineChars="200"/>
    </w:pPr>
  </w:style>
  <w:style w:type="character" w:customStyle="1" w:styleId="45">
    <w:name w:val="页眉 Char"/>
    <w:link w:val="17"/>
    <w:qFormat/>
    <w:uiPriority w:val="0"/>
    <w:rPr>
      <w:sz w:val="18"/>
      <w:szCs w:val="18"/>
    </w:rPr>
  </w:style>
  <w:style w:type="character" w:customStyle="1" w:styleId="46">
    <w:name w:val="hover"/>
    <w:basedOn w:val="27"/>
    <w:qFormat/>
    <w:uiPriority w:val="0"/>
    <w:rPr>
      <w:color w:val="333333"/>
    </w:rPr>
  </w:style>
  <w:style w:type="character" w:customStyle="1" w:styleId="47">
    <w:name w:val="font31"/>
    <w:qFormat/>
    <w:uiPriority w:val="0"/>
    <w:rPr>
      <w:rFonts w:hint="eastAsia" w:ascii="宋体" w:hAnsi="宋体" w:eastAsia="宋体" w:cs="宋体"/>
      <w:color w:val="000000"/>
      <w:sz w:val="24"/>
      <w:szCs w:val="24"/>
      <w:u w:val="none"/>
    </w:rPr>
  </w:style>
  <w:style w:type="character" w:customStyle="1" w:styleId="48">
    <w:name w:val="页脚 Char"/>
    <w:link w:val="16"/>
    <w:qFormat/>
    <w:uiPriority w:val="0"/>
    <w:rPr>
      <w:sz w:val="18"/>
      <w:szCs w:val="18"/>
    </w:rPr>
  </w:style>
  <w:style w:type="character" w:customStyle="1" w:styleId="49">
    <w:name w:val="GP正文(首行缩进) Char Char"/>
    <w:link w:val="50"/>
    <w:qFormat/>
    <w:uiPriority w:val="0"/>
    <w:rPr>
      <w:rFonts w:ascii="Times New Roman" w:hAnsi="宋体" w:eastAsia="宋体" w:cs="Times New Roman"/>
      <w:kern w:val="0"/>
      <w:sz w:val="24"/>
      <w:szCs w:val="24"/>
    </w:rPr>
  </w:style>
  <w:style w:type="paragraph" w:customStyle="1" w:styleId="50">
    <w:name w:val="GP正文(首行缩进)"/>
    <w:basedOn w:val="1"/>
    <w:link w:val="49"/>
    <w:qFormat/>
    <w:uiPriority w:val="0"/>
    <w:pPr>
      <w:spacing w:line="360" w:lineRule="auto"/>
      <w:ind w:firstLine="480" w:firstLineChars="200"/>
      <w:jc w:val="left"/>
    </w:pPr>
    <w:rPr>
      <w:rFonts w:ascii="Times New Roman" w:hAnsi="宋体" w:cs="Times New Roman"/>
      <w:kern w:val="0"/>
      <w:sz w:val="24"/>
      <w:szCs w:val="24"/>
    </w:rPr>
  </w:style>
  <w:style w:type="character" w:customStyle="1" w:styleId="51">
    <w:name w:val="文本块 Char"/>
    <w:link w:val="14"/>
    <w:qFormat/>
    <w:uiPriority w:val="0"/>
    <w:rPr>
      <w:i/>
      <w:iCs/>
      <w:color w:val="000000"/>
    </w:rPr>
  </w:style>
  <w:style w:type="character" w:customStyle="1" w:styleId="52">
    <w:name w:val="标题 5 Char"/>
    <w:link w:val="9"/>
    <w:qFormat/>
    <w:uiPriority w:val="0"/>
    <w:rPr>
      <w:b/>
      <w:bCs/>
      <w:sz w:val="28"/>
      <w:szCs w:val="28"/>
    </w:rPr>
  </w:style>
  <w:style w:type="character" w:customStyle="1" w:styleId="53">
    <w:name w:val="批注文字 Char"/>
    <w:basedOn w:val="27"/>
    <w:link w:val="13"/>
    <w:qFormat/>
    <w:uiPriority w:val="0"/>
  </w:style>
  <w:style w:type="character" w:customStyle="1" w:styleId="54">
    <w:name w:val="first-child1"/>
    <w:basedOn w:val="27"/>
    <w:qFormat/>
    <w:uiPriority w:val="0"/>
  </w:style>
  <w:style w:type="character" w:customStyle="1" w:styleId="55">
    <w:name w:val="span3"/>
    <w:basedOn w:val="27"/>
    <w:qFormat/>
    <w:uiPriority w:val="0"/>
    <w:rPr>
      <w:color w:val="263596"/>
    </w:rPr>
  </w:style>
  <w:style w:type="character" w:customStyle="1" w:styleId="56">
    <w:name w:val="hover4"/>
    <w:basedOn w:val="27"/>
    <w:qFormat/>
    <w:uiPriority w:val="0"/>
    <w:rPr>
      <w:color w:val="333333"/>
    </w:rPr>
  </w:style>
  <w:style w:type="character" w:customStyle="1" w:styleId="57">
    <w:name w:val="批注主题 Char"/>
    <w:link w:val="58"/>
    <w:qFormat/>
    <w:uiPriority w:val="0"/>
    <w:rPr>
      <w:b/>
      <w:bCs/>
    </w:rPr>
  </w:style>
  <w:style w:type="paragraph" w:customStyle="1" w:styleId="58">
    <w:name w:val="批注主题1"/>
    <w:basedOn w:val="13"/>
    <w:next w:val="13"/>
    <w:link w:val="57"/>
    <w:qFormat/>
    <w:uiPriority w:val="0"/>
    <w:rPr>
      <w:b/>
      <w:bCs/>
    </w:rPr>
  </w:style>
  <w:style w:type="character" w:customStyle="1" w:styleId="59">
    <w:name w:val="批注引用1"/>
    <w:qFormat/>
    <w:uiPriority w:val="0"/>
    <w:rPr>
      <w:sz w:val="21"/>
    </w:rPr>
  </w:style>
  <w:style w:type="character" w:customStyle="1" w:styleId="60">
    <w:name w:val="last-child"/>
    <w:basedOn w:val="27"/>
    <w:qFormat/>
    <w:uiPriority w:val="0"/>
  </w:style>
  <w:style w:type="character" w:customStyle="1" w:styleId="61">
    <w:name w:val="标题 3 Char"/>
    <w:link w:val="7"/>
    <w:qFormat/>
    <w:uiPriority w:val="0"/>
    <w:rPr>
      <w:b/>
      <w:bCs/>
      <w:sz w:val="32"/>
      <w:szCs w:val="32"/>
    </w:rPr>
  </w:style>
  <w:style w:type="character" w:customStyle="1" w:styleId="62">
    <w:name w:val="span2"/>
    <w:basedOn w:val="27"/>
    <w:qFormat/>
    <w:uiPriority w:val="0"/>
    <w:rPr>
      <w:color w:val="FFFFFF"/>
      <w:shd w:val="clear" w:color="auto" w:fill="263596"/>
    </w:rPr>
  </w:style>
  <w:style w:type="character" w:customStyle="1" w:styleId="63">
    <w:name w:val="fr2"/>
    <w:basedOn w:val="27"/>
    <w:qFormat/>
    <w:uiPriority w:val="0"/>
  </w:style>
  <w:style w:type="character" w:customStyle="1" w:styleId="64">
    <w:name w:val="publishtime"/>
    <w:basedOn w:val="27"/>
    <w:qFormat/>
    <w:uiPriority w:val="0"/>
    <w:rPr>
      <w:color w:val="999999"/>
      <w:sz w:val="21"/>
      <w:szCs w:val="21"/>
    </w:rPr>
  </w:style>
  <w:style w:type="character" w:customStyle="1" w:styleId="65">
    <w:name w:val="span1"/>
    <w:basedOn w:val="27"/>
    <w:qFormat/>
    <w:uiPriority w:val="0"/>
    <w:rPr>
      <w:color w:val="666666"/>
      <w:shd w:val="clear" w:color="auto" w:fill="EDEDED"/>
    </w:rPr>
  </w:style>
  <w:style w:type="character" w:customStyle="1" w:styleId="66">
    <w:name w:val="fr"/>
    <w:basedOn w:val="27"/>
    <w:qFormat/>
    <w:uiPriority w:val="0"/>
  </w:style>
  <w:style w:type="character" w:customStyle="1" w:styleId="67">
    <w:name w:val="标题 1 Char"/>
    <w:link w:val="5"/>
    <w:qFormat/>
    <w:uiPriority w:val="0"/>
    <w:rPr>
      <w:b/>
      <w:bCs/>
      <w:kern w:val="44"/>
      <w:sz w:val="44"/>
      <w:szCs w:val="44"/>
    </w:rPr>
  </w:style>
  <w:style w:type="paragraph" w:customStyle="1" w:styleId="68">
    <w:name w:val="电K"/>
    <w:basedOn w:val="9"/>
    <w:qFormat/>
    <w:uiPriority w:val="0"/>
    <w:pPr>
      <w:numPr>
        <w:ilvl w:val="4"/>
        <w:numId w:val="1"/>
      </w:numPr>
      <w:adjustRightInd w:val="0"/>
      <w:snapToGrid w:val="0"/>
      <w:spacing w:line="374" w:lineRule="auto"/>
      <w:textAlignment w:val="baseline"/>
    </w:pPr>
    <w:rPr>
      <w:rFonts w:ascii="宋体" w:hAnsi="宋体" w:eastAsia="仿宋" w:cs="Times New Roman"/>
      <w:kern w:val="0"/>
      <w:szCs w:val="30"/>
      <w:shd w:val="clear" w:color="auto" w:fill="FFFFFF"/>
      <w:lang w:val="zh-CN"/>
    </w:rPr>
  </w:style>
  <w:style w:type="paragraph" w:customStyle="1" w:styleId="69">
    <w:name w:val="A3"/>
    <w:basedOn w:val="7"/>
    <w:next w:val="1"/>
    <w:qFormat/>
    <w:uiPriority w:val="0"/>
    <w:pPr>
      <w:numPr>
        <w:ilvl w:val="2"/>
        <w:numId w:val="2"/>
      </w:numPr>
      <w:spacing w:before="80" w:after="80" w:line="415" w:lineRule="auto"/>
    </w:pPr>
    <w:rPr>
      <w:rFonts w:ascii="宋体" w:hAnsi="宋体"/>
      <w:sz w:val="30"/>
    </w:rPr>
  </w:style>
  <w:style w:type="paragraph" w:customStyle="1" w:styleId="70">
    <w:name w:val="A4"/>
    <w:basedOn w:val="8"/>
    <w:next w:val="1"/>
    <w:qFormat/>
    <w:uiPriority w:val="0"/>
    <w:pPr>
      <w:numPr>
        <w:ilvl w:val="0"/>
        <w:numId w:val="3"/>
      </w:numPr>
      <w:spacing w:before="40" w:after="40" w:line="360" w:lineRule="auto"/>
    </w:pPr>
    <w:rPr>
      <w:rFonts w:ascii="宋体" w:hAnsi="宋体" w:cs="黑体"/>
    </w:rPr>
  </w:style>
  <w:style w:type="paragraph" w:customStyle="1" w:styleId="71">
    <w:name w:val="二层"/>
    <w:basedOn w:val="6"/>
    <w:qFormat/>
    <w:uiPriority w:val="0"/>
    <w:pPr>
      <w:keepLines w:val="0"/>
      <w:autoSpaceDE w:val="0"/>
      <w:autoSpaceDN w:val="0"/>
      <w:adjustRightInd w:val="0"/>
      <w:spacing w:before="120" w:after="120" w:line="360" w:lineRule="auto"/>
      <w:jc w:val="left"/>
    </w:pPr>
    <w:rPr>
      <w:rFonts w:ascii="黑体" w:hAnsi="Times New Roman" w:eastAsia="黑体"/>
    </w:rPr>
  </w:style>
  <w:style w:type="paragraph" w:customStyle="1" w:styleId="72">
    <w:name w:val="编号"/>
    <w:basedOn w:val="1"/>
    <w:next w:val="1"/>
    <w:qFormat/>
    <w:uiPriority w:val="0"/>
    <w:pPr>
      <w:ind w:firstLine="420" w:firstLineChars="200"/>
    </w:pPr>
    <w:rPr>
      <w:rFonts w:ascii="Times New Roman" w:hAnsi="Times New Roman" w:cs="Times New Roman"/>
    </w:rPr>
  </w:style>
  <w:style w:type="paragraph" w:customStyle="1" w:styleId="73">
    <w:name w:val="A1"/>
    <w:basedOn w:val="5"/>
    <w:next w:val="1"/>
    <w:qFormat/>
    <w:uiPriority w:val="0"/>
    <w:pPr>
      <w:numPr>
        <w:ilvl w:val="0"/>
        <w:numId w:val="2"/>
      </w:numPr>
      <w:spacing w:before="120" w:after="120" w:line="480" w:lineRule="auto"/>
      <w:jc w:val="center"/>
    </w:pPr>
    <w:rPr>
      <w:rFonts w:ascii="宋体" w:hAnsi="宋体"/>
      <w:sz w:val="36"/>
    </w:rPr>
  </w:style>
  <w:style w:type="paragraph" w:customStyle="1" w:styleId="74">
    <w:name w:val="Item List"/>
    <w:qFormat/>
    <w:uiPriority w:val="0"/>
    <w:pPr>
      <w:numPr>
        <w:ilvl w:val="0"/>
        <w:numId w:val="4"/>
      </w:numPr>
      <w:adjustRightInd w:val="0"/>
      <w:snapToGrid w:val="0"/>
      <w:spacing w:before="80" w:after="80" w:line="240" w:lineRule="atLeast"/>
    </w:pPr>
    <w:rPr>
      <w:rFonts w:ascii="Times New Roman" w:hAnsi="Times New Roman" w:eastAsia="宋体" w:cs="Arial"/>
      <w:szCs w:val="21"/>
      <w:lang w:val="en-US" w:eastAsia="zh-CN" w:bidi="ar-SA"/>
    </w:rPr>
  </w:style>
  <w:style w:type="paragraph" w:customStyle="1" w:styleId="75">
    <w:name w:val="电J"/>
    <w:basedOn w:val="8"/>
    <w:qFormat/>
    <w:uiPriority w:val="0"/>
    <w:pPr>
      <w:numPr>
        <w:ilvl w:val="3"/>
        <w:numId w:val="1"/>
      </w:numPr>
      <w:adjustRightInd w:val="0"/>
      <w:snapToGrid w:val="0"/>
      <w:spacing w:line="374" w:lineRule="auto"/>
      <w:textAlignment w:val="baseline"/>
    </w:pPr>
    <w:rPr>
      <w:rFonts w:ascii="Verdana" w:hAnsi="Verdana" w:eastAsia="仿宋"/>
      <w:b w:val="0"/>
      <w:bCs w:val="0"/>
      <w:kern w:val="0"/>
      <w:sz w:val="30"/>
      <w:szCs w:val="30"/>
      <w:shd w:val="clear" w:color="auto" w:fill="FFFFFF"/>
    </w:rPr>
  </w:style>
  <w:style w:type="paragraph" w:customStyle="1" w:styleId="76">
    <w:name w:val="正文格式1"/>
    <w:basedOn w:val="1"/>
    <w:qFormat/>
    <w:uiPriority w:val="0"/>
    <w:pPr>
      <w:widowControl/>
      <w:ind w:firstLine="340"/>
    </w:pPr>
    <w:rPr>
      <w:rFonts w:ascii="宋体" w:hAnsi="宋体" w:cs="Times New Roman"/>
      <w:kern w:val="0"/>
      <w:sz w:val="28"/>
      <w:szCs w:val="28"/>
    </w:rPr>
  </w:style>
  <w:style w:type="paragraph" w:customStyle="1" w:styleId="77">
    <w:name w:val="A2"/>
    <w:basedOn w:val="6"/>
    <w:next w:val="1"/>
    <w:qFormat/>
    <w:uiPriority w:val="0"/>
    <w:pPr>
      <w:numPr>
        <w:ilvl w:val="1"/>
        <w:numId w:val="2"/>
      </w:numPr>
      <w:spacing w:before="80" w:after="80" w:line="415" w:lineRule="auto"/>
    </w:pPr>
    <w:rPr>
      <w:rFonts w:ascii="宋体" w:hAnsi="宋体"/>
    </w:rPr>
  </w:style>
  <w:style w:type="paragraph" w:customStyle="1" w:styleId="78">
    <w:name w:val="列出段落3"/>
    <w:basedOn w:val="1"/>
    <w:qFormat/>
    <w:uiPriority w:val="0"/>
    <w:pPr>
      <w:ind w:firstLine="420" w:firstLineChars="200"/>
    </w:pPr>
    <w:rPr>
      <w:rFonts w:cs="Times New Roman"/>
    </w:rPr>
  </w:style>
  <w:style w:type="paragraph" w:customStyle="1" w:styleId="79">
    <w:name w:val="电A"/>
    <w:basedOn w:val="5"/>
    <w:qFormat/>
    <w:uiPriority w:val="0"/>
    <w:pPr>
      <w:numPr>
        <w:ilvl w:val="0"/>
        <w:numId w:val="1"/>
      </w:numPr>
      <w:adjustRightInd w:val="0"/>
      <w:snapToGrid w:val="0"/>
      <w:jc w:val="center"/>
      <w:textAlignment w:val="baseline"/>
    </w:pPr>
    <w:rPr>
      <w:rFonts w:ascii="Times New Roman" w:hAnsi="Times New Roman" w:eastAsia="黑体" w:cs="Times New Roman"/>
      <w:sz w:val="52"/>
      <w:szCs w:val="52"/>
    </w:rPr>
  </w:style>
  <w:style w:type="paragraph" w:customStyle="1" w:styleId="80">
    <w:name w:val="GP（正文）"/>
    <w:basedOn w:val="1"/>
    <w:qFormat/>
    <w:uiPriority w:val="0"/>
    <w:pPr>
      <w:snapToGrid w:val="0"/>
      <w:spacing w:before="93" w:beforeLines="30" w:line="360" w:lineRule="auto"/>
      <w:ind w:firstLine="480" w:firstLineChars="200"/>
    </w:pPr>
    <w:rPr>
      <w:rFonts w:ascii="Arial" w:hAnsi="Arial" w:cs="Times New Roman"/>
      <w:sz w:val="24"/>
      <w:szCs w:val="24"/>
    </w:rPr>
  </w:style>
  <w:style w:type="paragraph" w:customStyle="1" w:styleId="81">
    <w:name w:val="列出段落1"/>
    <w:basedOn w:val="1"/>
    <w:qFormat/>
    <w:uiPriority w:val="0"/>
    <w:pPr>
      <w:ind w:firstLine="420" w:firstLineChars="200"/>
    </w:pPr>
  </w:style>
  <w:style w:type="paragraph" w:customStyle="1" w:styleId="82">
    <w:name w:val="A5"/>
    <w:basedOn w:val="9"/>
    <w:next w:val="1"/>
    <w:qFormat/>
    <w:uiPriority w:val="0"/>
    <w:rPr>
      <w:rFonts w:ascii="宋体" w:hAnsi="宋体"/>
      <w:sz w:val="24"/>
    </w:rPr>
  </w:style>
  <w:style w:type="paragraph" w:customStyle="1" w:styleId="83">
    <w:name w:val="4级标题"/>
    <w:basedOn w:val="8"/>
    <w:qFormat/>
    <w:uiPriority w:val="0"/>
    <w:pPr>
      <w:adjustRightInd w:val="0"/>
      <w:snapToGrid w:val="0"/>
      <w:spacing w:line="360" w:lineRule="auto"/>
      <w:ind w:left="1986" w:firstLine="200" w:firstLineChars="200"/>
    </w:pPr>
    <w:rPr>
      <w:rFonts w:ascii="宋体" w:hAnsi="宋体"/>
    </w:rPr>
  </w:style>
  <w:style w:type="paragraph" w:customStyle="1" w:styleId="84">
    <w:name w:val="电C"/>
    <w:basedOn w:val="7"/>
    <w:qFormat/>
    <w:uiPriority w:val="0"/>
    <w:pPr>
      <w:keepLines w:val="0"/>
      <w:numPr>
        <w:ilvl w:val="2"/>
        <w:numId w:val="1"/>
      </w:numPr>
      <w:adjustRightInd w:val="0"/>
      <w:snapToGrid w:val="0"/>
      <w:spacing w:before="100" w:beforeAutospacing="1" w:after="100" w:afterAutospacing="1" w:line="415" w:lineRule="auto"/>
      <w:textAlignment w:val="baseline"/>
    </w:pPr>
    <w:rPr>
      <w:rFonts w:ascii="宋体" w:hAnsi="宋体" w:eastAsia="黑体" w:cs="Times New Roman"/>
      <w:bCs w:val="0"/>
      <w:kern w:val="0"/>
      <w:sz w:val="28"/>
      <w:szCs w:val="24"/>
      <w:shd w:val="clear" w:color="auto" w:fill="FFFFFF"/>
    </w:rPr>
  </w:style>
  <w:style w:type="paragraph" w:customStyle="1" w:styleId="85">
    <w:name w:val="表格文字"/>
    <w:basedOn w:val="19"/>
    <w:qFormat/>
    <w:uiPriority w:val="0"/>
    <w:pPr>
      <w:spacing w:line="288" w:lineRule="auto"/>
      <w:ind w:left="0" w:firstLine="0" w:firstLineChars="0"/>
      <w:jc w:val="center"/>
    </w:pPr>
    <w:rPr>
      <w:szCs w:val="21"/>
    </w:rPr>
  </w:style>
  <w:style w:type="paragraph" w:customStyle="1" w:styleId="86">
    <w:name w:val="p15"/>
    <w:basedOn w:val="1"/>
    <w:qFormat/>
    <w:uiPriority w:val="0"/>
    <w:pPr>
      <w:widowControl/>
      <w:spacing w:line="360" w:lineRule="auto"/>
      <w:ind w:firstLine="420"/>
      <w:jc w:val="left"/>
    </w:pPr>
    <w:rPr>
      <w:rFonts w:cs="Times New Roman"/>
      <w:color w:val="000000"/>
      <w:kern w:val="0"/>
      <w:sz w:val="24"/>
      <w:szCs w:val="24"/>
    </w:rPr>
  </w:style>
  <w:style w:type="paragraph" w:customStyle="1" w:styleId="87">
    <w:name w:val="无间隔1"/>
    <w:basedOn w:val="1"/>
    <w:qFormat/>
    <w:uiPriority w:val="1"/>
    <w:rPr>
      <w:rFonts w:cs="Times New Roman"/>
    </w:rPr>
  </w:style>
  <w:style w:type="paragraph" w:customStyle="1" w:styleId="88">
    <w:name w:val="电B"/>
    <w:basedOn w:val="6"/>
    <w:qFormat/>
    <w:uiPriority w:val="0"/>
    <w:pPr>
      <w:widowControl/>
      <w:numPr>
        <w:ilvl w:val="1"/>
        <w:numId w:val="1"/>
      </w:numPr>
      <w:tabs>
        <w:tab w:val="left" w:pos="240"/>
      </w:tabs>
      <w:snapToGrid w:val="0"/>
      <w:spacing w:before="480" w:line="480" w:lineRule="auto"/>
    </w:pPr>
    <w:rPr>
      <w:rFonts w:ascii="Times New Roman" w:hAnsi="Times New Roman" w:eastAsia="黑体" w:cs="Times New Roman"/>
      <w:bCs w:val="0"/>
      <w:sz w:val="30"/>
      <w:szCs w:val="44"/>
    </w:rPr>
  </w:style>
  <w:style w:type="character" w:customStyle="1" w:styleId="89">
    <w:name w:val="批注主题 Char1"/>
    <w:basedOn w:val="53"/>
    <w:link w:val="24"/>
    <w:qFormat/>
    <w:uiPriority w:val="0"/>
    <w:rPr>
      <w:rFonts w:cs="黑体"/>
      <w:b/>
      <w:bCs/>
      <w:kern w:val="2"/>
      <w:sz w:val="21"/>
      <w:szCs w:val="22"/>
    </w:rPr>
  </w:style>
  <w:style w:type="character" w:customStyle="1" w:styleId="90">
    <w:name w:val="标题 6 Char"/>
    <w:basedOn w:val="27"/>
    <w:link w:val="10"/>
    <w:qFormat/>
    <w:uiPriority w:val="0"/>
    <w:rPr>
      <w:rFonts w:asciiTheme="majorHAnsi" w:hAnsiTheme="majorHAnsi" w:eastAsiaTheme="majorEastAsia" w:cstheme="majorBidi"/>
      <w:b/>
      <w:bCs/>
      <w:kern w:val="2"/>
      <w:sz w:val="24"/>
      <w:szCs w:val="24"/>
    </w:rPr>
  </w:style>
  <w:style w:type="character" w:customStyle="1" w:styleId="91">
    <w:name w:val="标题 7 Char"/>
    <w:basedOn w:val="27"/>
    <w:link w:val="11"/>
    <w:semiHidden/>
    <w:qFormat/>
    <w:uiPriority w:val="0"/>
    <w:rPr>
      <w:rFonts w:cs="黑体"/>
      <w:b/>
      <w:bCs/>
      <w:kern w:val="2"/>
      <w:sz w:val="24"/>
      <w:szCs w:val="24"/>
    </w:rPr>
  </w:style>
  <w:style w:type="paragraph" w:customStyle="1" w:styleId="92">
    <w:name w:val="正文缩进2"/>
    <w:basedOn w:val="1"/>
    <w:link w:val="93"/>
    <w:qFormat/>
    <w:uiPriority w:val="0"/>
    <w:pPr>
      <w:spacing w:line="360" w:lineRule="auto"/>
      <w:ind w:firstLine="200" w:firstLineChars="200"/>
    </w:pPr>
    <w:rPr>
      <w:rFonts w:ascii="Times New Roman" w:hAnsi="Times New Roman" w:cs="Times New Roman"/>
      <w:kern w:val="0"/>
      <w:sz w:val="24"/>
      <w:szCs w:val="24"/>
    </w:rPr>
  </w:style>
  <w:style w:type="character" w:customStyle="1" w:styleId="93">
    <w:name w:val="正文缩进2 Char"/>
    <w:link w:val="92"/>
    <w:qFormat/>
    <w:uiPriority w:val="0"/>
    <w:rPr>
      <w:rFonts w:ascii="Times New Roman" w:hAnsi="Times New Roman"/>
      <w:sz w:val="24"/>
      <w:szCs w:val="24"/>
    </w:rPr>
  </w:style>
  <w:style w:type="character" w:customStyle="1" w:styleId="94">
    <w:name w:val="列出段落 Char1"/>
    <w:link w:val="35"/>
    <w:qFormat/>
    <w:uiPriority w:val="34"/>
    <w:rPr>
      <w:rFonts w:asciiTheme="minorHAnsi" w:hAnsiTheme="minorHAnsi" w:eastAsiaTheme="minorEastAsia" w:cstheme="minorBidi"/>
      <w:kern w:val="2"/>
      <w:sz w:val="21"/>
      <w:szCs w:val="22"/>
    </w:rPr>
  </w:style>
  <w:style w:type="paragraph" w:customStyle="1" w:styleId="95">
    <w:name w:val="表格正文"/>
    <w:basedOn w:val="1"/>
    <w:link w:val="96"/>
    <w:qFormat/>
    <w:uiPriority w:val="0"/>
    <w:pPr>
      <w:spacing w:line="360" w:lineRule="auto"/>
    </w:pPr>
    <w:rPr>
      <w:rFonts w:ascii="Times New Roman" w:hAnsi="Times New Roman" w:cs="Times New Roman"/>
      <w:kern w:val="0"/>
      <w:szCs w:val="24"/>
    </w:rPr>
  </w:style>
  <w:style w:type="character" w:customStyle="1" w:styleId="96">
    <w:name w:val="表格正文 Char"/>
    <w:link w:val="95"/>
    <w:qFormat/>
    <w:uiPriority w:val="0"/>
    <w:rPr>
      <w:rFonts w:ascii="Times New Roman" w:hAnsi="Times New Roman"/>
      <w:sz w:val="21"/>
      <w:szCs w:val="24"/>
    </w:rPr>
  </w:style>
  <w:style w:type="paragraph" w:customStyle="1" w:styleId="97">
    <w:name w:val="列出段落2"/>
    <w:basedOn w:val="1"/>
    <w:qFormat/>
    <w:uiPriority w:val="0"/>
    <w:pPr>
      <w:ind w:firstLine="420" w:firstLineChars="200"/>
    </w:pPr>
  </w:style>
  <w:style w:type="paragraph" w:customStyle="1" w:styleId="98">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9">
    <w:name w:val="font1"/>
    <w:basedOn w:val="1"/>
    <w:qFormat/>
    <w:uiPriority w:val="0"/>
    <w:pPr>
      <w:widowControl/>
      <w:spacing w:before="100" w:beforeAutospacing="1" w:after="100" w:afterAutospacing="1"/>
      <w:jc w:val="left"/>
    </w:pPr>
    <w:rPr>
      <w:rFonts w:cs="Calibri"/>
      <w:color w:val="000000"/>
      <w:kern w:val="0"/>
      <w:sz w:val="22"/>
    </w:rPr>
  </w:style>
  <w:style w:type="paragraph" w:customStyle="1" w:styleId="100">
    <w:name w:val="font2"/>
    <w:basedOn w:val="1"/>
    <w:qFormat/>
    <w:uiPriority w:val="0"/>
    <w:pPr>
      <w:widowControl/>
      <w:spacing w:before="100" w:beforeAutospacing="1" w:after="100" w:afterAutospacing="1"/>
      <w:jc w:val="left"/>
    </w:pPr>
    <w:rPr>
      <w:rFonts w:ascii="等线 Light" w:hAnsi="等线 Light" w:eastAsia="等线 Light" w:cs="宋体"/>
      <w:b/>
      <w:bCs/>
      <w:color w:val="000000"/>
      <w:kern w:val="0"/>
      <w:sz w:val="24"/>
      <w:szCs w:val="24"/>
    </w:rPr>
  </w:style>
  <w:style w:type="paragraph" w:customStyle="1" w:styleId="101">
    <w:name w:val="font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2">
    <w:name w:val="font4"/>
    <w:basedOn w:val="1"/>
    <w:qFormat/>
    <w:uiPriority w:val="0"/>
    <w:pPr>
      <w:widowControl/>
      <w:spacing w:before="100" w:beforeAutospacing="1" w:after="100" w:afterAutospacing="1"/>
      <w:jc w:val="left"/>
    </w:pPr>
    <w:rPr>
      <w:rFonts w:cs="Calibri"/>
      <w:color w:val="000000"/>
      <w:kern w:val="0"/>
      <w:szCs w:val="21"/>
    </w:rPr>
  </w:style>
  <w:style w:type="paragraph" w:customStyle="1" w:styleId="103">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04">
    <w:name w:val="font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05">
    <w:name w:val="font7"/>
    <w:basedOn w:val="1"/>
    <w:qFormat/>
    <w:uiPriority w:val="0"/>
    <w:pPr>
      <w:widowControl/>
      <w:spacing w:before="100" w:beforeAutospacing="1" w:after="100" w:afterAutospacing="1"/>
      <w:jc w:val="left"/>
    </w:pPr>
    <w:rPr>
      <w:rFonts w:ascii="Times New Roman" w:hAnsi="Times New Roman" w:cs="Times New Roman"/>
      <w:b/>
      <w:bCs/>
      <w:color w:val="000000"/>
      <w:kern w:val="0"/>
      <w:sz w:val="14"/>
      <w:szCs w:val="14"/>
    </w:rPr>
  </w:style>
  <w:style w:type="paragraph" w:customStyle="1" w:styleId="106">
    <w:name w:val="font8"/>
    <w:basedOn w:val="1"/>
    <w:qFormat/>
    <w:uiPriority w:val="0"/>
    <w:pPr>
      <w:widowControl/>
      <w:spacing w:before="100" w:beforeAutospacing="1" w:after="100" w:afterAutospacing="1"/>
      <w:jc w:val="left"/>
    </w:pPr>
    <w:rPr>
      <w:rFonts w:ascii="等线 Light" w:hAnsi="等线 Light" w:eastAsia="等线 Light" w:cs="宋体"/>
      <w:color w:val="000000"/>
      <w:kern w:val="0"/>
      <w:sz w:val="24"/>
      <w:szCs w:val="24"/>
    </w:rPr>
  </w:style>
  <w:style w:type="paragraph" w:customStyle="1" w:styleId="107">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8">
    <w:name w:val="font10"/>
    <w:basedOn w:val="1"/>
    <w:qFormat/>
    <w:uiPriority w:val="0"/>
    <w:pPr>
      <w:widowControl/>
      <w:spacing w:before="100" w:beforeAutospacing="1" w:after="100" w:afterAutospacing="1"/>
      <w:jc w:val="left"/>
    </w:pPr>
    <w:rPr>
      <w:rFonts w:ascii="Times New Roman" w:hAnsi="Times New Roman" w:cs="Times New Roman"/>
      <w:color w:val="000000"/>
      <w:kern w:val="0"/>
      <w:sz w:val="22"/>
    </w:rPr>
  </w:style>
  <w:style w:type="paragraph" w:customStyle="1" w:styleId="109">
    <w:name w:val="e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b/>
      <w:bCs/>
      <w:kern w:val="0"/>
      <w:sz w:val="24"/>
      <w:szCs w:val="24"/>
    </w:rPr>
  </w:style>
  <w:style w:type="paragraph" w:customStyle="1" w:styleId="11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b/>
      <w:bCs/>
      <w:kern w:val="0"/>
      <w:sz w:val="14"/>
      <w:szCs w:val="14"/>
    </w:rPr>
  </w:style>
  <w:style w:type="paragraph" w:customStyle="1" w:styleId="112">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b/>
      <w:bCs/>
      <w:kern w:val="0"/>
      <w:sz w:val="24"/>
      <w:szCs w:val="24"/>
    </w:rPr>
  </w:style>
  <w:style w:type="paragraph" w:customStyle="1" w:styleId="113">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b/>
      <w:bCs/>
      <w:kern w:val="0"/>
      <w:sz w:val="24"/>
      <w:szCs w:val="24"/>
    </w:rPr>
  </w:style>
  <w:style w:type="paragraph" w:customStyle="1" w:styleId="114">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kern w:val="0"/>
      <w:sz w:val="24"/>
      <w:szCs w:val="24"/>
    </w:rPr>
  </w:style>
  <w:style w:type="paragraph" w:customStyle="1" w:styleId="115">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kern w:val="0"/>
      <w:sz w:val="24"/>
      <w:szCs w:val="24"/>
    </w:rPr>
  </w:style>
  <w:style w:type="paragraph" w:customStyle="1" w:styleId="116">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17">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18">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9">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20">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21">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22">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100" w:firstLineChars="100"/>
      <w:jc w:val="left"/>
      <w:textAlignment w:val="top"/>
    </w:pPr>
    <w:rPr>
      <w:rFonts w:ascii="宋体" w:hAnsi="宋体" w:cs="宋体"/>
      <w:color w:val="000000"/>
      <w:kern w:val="0"/>
      <w:sz w:val="24"/>
      <w:szCs w:val="24"/>
    </w:rPr>
  </w:style>
  <w:style w:type="paragraph" w:customStyle="1" w:styleId="124">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Cs w:val="21"/>
    </w:rPr>
  </w:style>
  <w:style w:type="paragraph" w:customStyle="1" w:styleId="125">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126">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7">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8">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29">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3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31">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kern w:val="0"/>
      <w:sz w:val="24"/>
      <w:szCs w:val="24"/>
    </w:rPr>
  </w:style>
  <w:style w:type="character" w:customStyle="1" w:styleId="132">
    <w:name w:val="font21"/>
    <w:basedOn w:val="27"/>
    <w:qFormat/>
    <w:uiPriority w:val="0"/>
    <w:rPr>
      <w:rFonts w:hint="eastAsia" w:ascii="等线 Light" w:hAnsi="等线 Light" w:eastAsia="等线 Light"/>
      <w:b/>
      <w:bCs/>
      <w:color w:val="000000"/>
      <w:sz w:val="24"/>
      <w:szCs w:val="24"/>
      <w:u w:val="none"/>
    </w:rPr>
  </w:style>
  <w:style w:type="character" w:customStyle="1" w:styleId="133">
    <w:name w:val="font71"/>
    <w:basedOn w:val="27"/>
    <w:qFormat/>
    <w:uiPriority w:val="0"/>
    <w:rPr>
      <w:rFonts w:hint="default" w:ascii="Times New Roman" w:hAnsi="Times New Roman" w:cs="Times New Roman"/>
      <w:b/>
      <w:bCs/>
      <w:color w:val="000000"/>
      <w:sz w:val="14"/>
      <w:szCs w:val="14"/>
      <w:u w:val="none"/>
    </w:rPr>
  </w:style>
  <w:style w:type="character" w:customStyle="1" w:styleId="134">
    <w:name w:val="font81"/>
    <w:basedOn w:val="27"/>
    <w:qFormat/>
    <w:uiPriority w:val="0"/>
    <w:rPr>
      <w:rFonts w:hint="eastAsia" w:ascii="等线 Light" w:hAnsi="等线 Light" w:eastAsia="等线 Light"/>
      <w:color w:val="000000"/>
      <w:sz w:val="24"/>
      <w:szCs w:val="24"/>
      <w:u w:val="none"/>
    </w:rPr>
  </w:style>
  <w:style w:type="character" w:customStyle="1" w:styleId="135">
    <w:name w:val="font01"/>
    <w:basedOn w:val="27"/>
    <w:qFormat/>
    <w:uiPriority w:val="0"/>
    <w:rPr>
      <w:rFonts w:hint="eastAsia" w:ascii="宋体" w:hAnsi="宋体" w:eastAsia="宋体"/>
      <w:color w:val="000000"/>
      <w:sz w:val="22"/>
      <w:szCs w:val="22"/>
      <w:u w:val="none"/>
    </w:rPr>
  </w:style>
  <w:style w:type="character" w:customStyle="1" w:styleId="136">
    <w:name w:val="font51"/>
    <w:basedOn w:val="27"/>
    <w:qFormat/>
    <w:uiPriority w:val="0"/>
    <w:rPr>
      <w:rFonts w:hint="eastAsia" w:ascii="宋体" w:hAnsi="宋体" w:eastAsia="宋体"/>
      <w:color w:val="000000"/>
      <w:sz w:val="21"/>
      <w:szCs w:val="21"/>
      <w:u w:val="none"/>
    </w:rPr>
  </w:style>
  <w:style w:type="character" w:customStyle="1" w:styleId="137">
    <w:name w:val="font41"/>
    <w:basedOn w:val="27"/>
    <w:qFormat/>
    <w:uiPriority w:val="0"/>
    <w:rPr>
      <w:rFonts w:hint="default" w:ascii="Calibri" w:hAnsi="Calibri" w:cs="Calibri"/>
      <w:color w:val="000000"/>
      <w:sz w:val="21"/>
      <w:szCs w:val="21"/>
      <w:u w:val="none"/>
    </w:rPr>
  </w:style>
  <w:style w:type="character" w:customStyle="1" w:styleId="138">
    <w:name w:val="font11"/>
    <w:basedOn w:val="27"/>
    <w:qFormat/>
    <w:uiPriority w:val="0"/>
    <w:rPr>
      <w:rFonts w:hint="default" w:ascii="Calibri" w:hAnsi="Calibri" w:cs="Calibri"/>
      <w:color w:val="000000"/>
      <w:sz w:val="22"/>
      <w:szCs w:val="22"/>
      <w:u w:val="none"/>
    </w:rPr>
  </w:style>
  <w:style w:type="character" w:customStyle="1" w:styleId="139">
    <w:name w:val="font101"/>
    <w:basedOn w:val="27"/>
    <w:qFormat/>
    <w:uiPriority w:val="0"/>
    <w:rPr>
      <w:rFonts w:hint="default" w:ascii="Times New Roman" w:hAnsi="Times New Roman" w:cs="Times New Roman"/>
      <w:color w:val="000000"/>
      <w:sz w:val="22"/>
      <w:szCs w:val="22"/>
      <w:u w:val="none"/>
    </w:rPr>
  </w:style>
  <w:style w:type="character" w:customStyle="1" w:styleId="140">
    <w:name w:val="font61"/>
    <w:basedOn w:val="27"/>
    <w:qFormat/>
    <w:uiPriority w:val="0"/>
    <w:rPr>
      <w:rFonts w:hint="eastAsia" w:ascii="宋体" w:hAnsi="宋体" w:eastAsia="宋体" w:cs="宋体"/>
      <w:color w:val="000000"/>
      <w:sz w:val="21"/>
      <w:szCs w:val="21"/>
      <w:u w:val="none"/>
    </w:rPr>
  </w:style>
  <w:style w:type="paragraph" w:customStyle="1" w:styleId="141">
    <w:name w:val="三号标题"/>
    <w:basedOn w:val="1"/>
    <w:next w:val="1"/>
    <w:qFormat/>
    <w:uiPriority w:val="0"/>
    <w:pPr>
      <w:adjustRightInd w:val="0"/>
      <w:ind w:left="240" w:leftChars="100" w:right="240" w:rightChars="100" w:firstLine="640" w:firstLineChars="200"/>
      <w:jc w:val="left"/>
      <w:outlineLvl w:val="2"/>
    </w:pPr>
    <w:rPr>
      <w:rFonts w:ascii="宋体" w:hAnsi="宋体" w:eastAsia="黑体" w:cs="Times New Roman"/>
      <w:sz w:val="32"/>
      <w:szCs w:val="32"/>
      <w:lang w:val="zh-CN"/>
    </w:rPr>
  </w:style>
  <w:style w:type="paragraph" w:customStyle="1" w:styleId="142">
    <w:name w:val="列表段落2"/>
    <w:basedOn w:val="1"/>
    <w:qFormat/>
    <w:uiPriority w:val="0"/>
    <w:pPr>
      <w:ind w:firstLine="420" w:firstLineChars="200"/>
    </w:pPr>
    <w:rPr>
      <w:rFonts w:hint="eastAsia" w:ascii="Times New Roman" w:hAnsi="Times New Roman" w:cs="Times New Roman"/>
      <w:sz w:val="24"/>
      <w:szCs w:val="24"/>
    </w:rPr>
  </w:style>
  <w:style w:type="paragraph" w:customStyle="1" w:styleId="143">
    <w:name w:val="修订1"/>
    <w:hidden/>
    <w:unhideWhenUsed/>
    <w:qFormat/>
    <w:uiPriority w:val="99"/>
    <w:rPr>
      <w:rFonts w:ascii="Calibri" w:hAnsi="Calibri" w:eastAsia="宋体" w:cs="黑体"/>
      <w:kern w:val="2"/>
      <w:sz w:val="21"/>
      <w:szCs w:val="22"/>
      <w:lang w:val="en-US" w:eastAsia="zh-CN" w:bidi="ar-SA"/>
    </w:rPr>
  </w:style>
  <w:style w:type="paragraph" w:customStyle="1" w:styleId="144">
    <w:name w:val="_Style 12"/>
    <w:basedOn w:val="1"/>
    <w:next w:val="35"/>
    <w:qFormat/>
    <w:uiPriority w:val="34"/>
    <w:pPr>
      <w:ind w:firstLine="420" w:firstLineChars="200"/>
    </w:pPr>
    <w:rPr>
      <w:rFonts w:cs="Times New Roman"/>
      <w:szCs w:val="24"/>
    </w:rPr>
  </w:style>
  <w:style w:type="paragraph" w:customStyle="1" w:styleId="145">
    <w:name w:val="p0"/>
    <w:basedOn w:val="1"/>
    <w:qFormat/>
    <w:uiPriority w:val="0"/>
    <w:pPr>
      <w:widowControl/>
    </w:pPr>
    <w:rPr>
      <w:rFonts w:cs="Times New Roman"/>
      <w:kern w:val="0"/>
      <w:szCs w:val="21"/>
    </w:rPr>
  </w:style>
  <w:style w:type="paragraph" w:customStyle="1" w:styleId="146">
    <w:name w:val="_Style 23"/>
    <w:basedOn w:val="1"/>
    <w:next w:val="35"/>
    <w:qFormat/>
    <w:uiPriority w:val="34"/>
    <w:pPr>
      <w:ind w:firstLine="420" w:firstLineChars="200"/>
    </w:pPr>
    <w:rPr>
      <w:rFonts w:cs="Times New Roman"/>
      <w:lang w:val="zh-CN"/>
    </w:rPr>
  </w:style>
  <w:style w:type="paragraph" w:customStyle="1" w:styleId="1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48">
    <w:name w:val="_Style 58"/>
    <w:basedOn w:val="1"/>
    <w:next w:val="35"/>
    <w:qFormat/>
    <w:uiPriority w:val="34"/>
    <w:pPr>
      <w:ind w:firstLine="420" w:firstLineChars="200"/>
    </w:pPr>
    <w:rPr>
      <w:rFonts w:cs="Times New Roman"/>
      <w:lang w:val="zh-CN"/>
    </w:rPr>
  </w:style>
  <w:style w:type="paragraph" w:customStyle="1" w:styleId="149">
    <w:name w:val="正文_0"/>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50">
    <w:name w:val="_Style 15"/>
    <w:basedOn w:val="1"/>
    <w:next w:val="35"/>
    <w:qFormat/>
    <w:uiPriority w:val="99"/>
    <w:pPr>
      <w:ind w:firstLine="420" w:firstLineChars="200"/>
    </w:pPr>
    <w:rPr>
      <w:rFonts w:ascii="Times New Roman" w:hAnsi="Times New Roman" w:cs="Times New Roman"/>
      <w:szCs w:val="24"/>
    </w:rPr>
  </w:style>
  <w:style w:type="paragraph" w:customStyle="1" w:styleId="15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66E89-DE59-4142-B7EE-4325CB5AE3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28397</Words>
  <Characters>29203</Characters>
  <Lines>280</Lines>
  <Paragraphs>79</Paragraphs>
  <TotalTime>9</TotalTime>
  <ScaleCrop>false</ScaleCrop>
  <LinksUpToDate>false</LinksUpToDate>
  <CharactersWithSpaces>34195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2022-05-16T03:20:00Z</dcterms:created>
  <dc:creator>502-2钱进</dc:creator>
  <cp:lastModifiedBy>lenovo</cp:lastModifiedBy>
  <cp:lastPrinted>2022-05-19T07:49:00Z</cp:lastPrinted>
  <dcterms:modified xsi:type="dcterms:W3CDTF">2022-05-20T02:22:22Z</dcterms:modified>
  <dc:title>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96BE5C4505EC4E2788EEB775B47B5B41</vt:lpwstr>
  </property>
</Properties>
</file>