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100" w:afterLines="300"/>
        <w:jc w:val="center"/>
        <w:rPr>
          <w:rFonts w:ascii="黑体" w:hAnsi="黑体" w:eastAsia="黑体"/>
          <w:b/>
          <w:sz w:val="52"/>
          <w:szCs w:val="52"/>
        </w:rPr>
      </w:pPr>
      <w:r>
        <w:rPr>
          <w:rFonts w:hint="eastAsia" w:ascii="黑体" w:hAnsi="黑体" w:eastAsia="黑体"/>
          <w:b/>
          <w:sz w:val="52"/>
          <w:szCs w:val="52"/>
        </w:rPr>
        <w:t>阳新县县级政府采购</w:t>
      </w:r>
    </w:p>
    <w:p>
      <w:pPr>
        <w:pStyle w:val="2"/>
      </w:pPr>
    </w:p>
    <w:p>
      <w:pPr>
        <w:spacing w:afterLines="300"/>
        <w:jc w:val="center"/>
        <w:rPr>
          <w:rFonts w:ascii="黑体" w:hAnsi="黑体" w:eastAsia="黑体"/>
          <w:b/>
          <w:sz w:val="144"/>
          <w:szCs w:val="144"/>
        </w:rPr>
      </w:pPr>
      <w:r>
        <w:rPr>
          <w:rFonts w:hint="eastAsia" w:ascii="黑体" w:hAnsi="黑体" w:eastAsia="黑体"/>
          <w:b/>
          <w:sz w:val="144"/>
          <w:szCs w:val="144"/>
        </w:rPr>
        <w:t>招 标 文 件</w:t>
      </w:r>
    </w:p>
    <w:p>
      <w:pPr>
        <w:spacing w:line="360" w:lineRule="auto"/>
        <w:ind w:right="1306" w:rightChars="622"/>
        <w:rPr>
          <w:rFonts w:ascii="黑体" w:hAnsi="黑体" w:eastAsia="黑体" w:cs="Times New Roman"/>
          <w:b/>
          <w:bCs/>
          <w:sz w:val="36"/>
          <w:szCs w:val="24"/>
        </w:rPr>
      </w:pPr>
    </w:p>
    <w:p>
      <w:pPr>
        <w:pStyle w:val="2"/>
      </w:pPr>
    </w:p>
    <w:p>
      <w:pPr>
        <w:spacing w:line="360" w:lineRule="auto"/>
        <w:ind w:left="2055" w:leftChars="619" w:right="1306" w:rightChars="622" w:hanging="755" w:hangingChars="209"/>
        <w:rPr>
          <w:rFonts w:ascii="黑体" w:hAnsi="黑体" w:eastAsia="黑体" w:cs="Times New Roman"/>
          <w:b/>
          <w:bCs/>
          <w:sz w:val="36"/>
          <w:szCs w:val="24"/>
        </w:rPr>
      </w:pPr>
    </w:p>
    <w:p>
      <w:pPr>
        <w:spacing w:line="360" w:lineRule="auto"/>
        <w:ind w:right="63" w:rightChars="30"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项目编号：131-2022CG</w:t>
      </w:r>
      <w:r>
        <w:rPr>
          <w:rFonts w:hint="eastAsia" w:ascii="宋体" w:hAnsi="宋体" w:eastAsia="宋体" w:cs="Times New Roman"/>
          <w:kern w:val="0"/>
          <w:sz w:val="30"/>
          <w:szCs w:val="30"/>
          <w:lang w:bidi="zh-CN"/>
        </w:rPr>
        <w:t>-</w:t>
      </w:r>
      <w:r>
        <w:rPr>
          <w:rFonts w:hint="eastAsia" w:ascii="宋体" w:hAnsi="宋体" w:eastAsia="宋体" w:cs="Times New Roman"/>
          <w:kern w:val="0"/>
          <w:sz w:val="30"/>
          <w:szCs w:val="30"/>
          <w:lang w:val="zh-CN" w:bidi="zh-CN"/>
        </w:rPr>
        <w:t xml:space="preserve"> </w:t>
      </w:r>
      <w:r>
        <w:rPr>
          <w:rFonts w:hint="eastAsia" w:ascii="宋体" w:hAnsi="宋体" w:eastAsia="宋体" w:cs="Times New Roman"/>
          <w:kern w:val="0"/>
          <w:sz w:val="30"/>
          <w:szCs w:val="30"/>
          <w:lang w:val="en-US" w:bidi="zh-CN"/>
        </w:rPr>
        <w:t>117</w:t>
      </w:r>
      <w:r>
        <w:rPr>
          <w:rFonts w:hint="eastAsia" w:ascii="宋体" w:hAnsi="宋体" w:eastAsia="宋体" w:cs="Times New Roman"/>
          <w:kern w:val="0"/>
          <w:sz w:val="30"/>
          <w:szCs w:val="30"/>
          <w:lang w:val="zh-CN" w:bidi="zh-CN"/>
        </w:rPr>
        <w:t xml:space="preserve">                             </w:t>
      </w:r>
    </w:p>
    <w:p>
      <w:pPr>
        <w:spacing w:line="360" w:lineRule="auto"/>
        <w:ind w:left="2130" w:leftChars="300" w:right="63" w:rightChars="30" w:hanging="1500" w:hangingChars="500"/>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项目名称：</w:t>
      </w:r>
      <w:r>
        <w:rPr>
          <w:rFonts w:hint="eastAsia" w:ascii="宋体" w:hAnsi="宋体" w:eastAsia="宋体" w:cs="Times New Roman"/>
          <w:kern w:val="0"/>
          <w:sz w:val="30"/>
          <w:szCs w:val="30"/>
          <w:u w:val="single"/>
          <w:lang w:val="zh-CN" w:bidi="zh-CN"/>
        </w:rPr>
        <w:t>阳新县住房和城乡建设局2022年-2023年建设项目造价咨询服务</w:t>
      </w:r>
    </w:p>
    <w:p>
      <w:pPr>
        <w:spacing w:line="360" w:lineRule="auto"/>
        <w:ind w:left="2130" w:leftChars="300" w:right="63" w:rightChars="30" w:hanging="1500" w:hangingChars="500"/>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采 购 人：</w:t>
      </w:r>
      <w:r>
        <w:rPr>
          <w:rFonts w:hint="eastAsia" w:ascii="宋体" w:hAnsi="宋体" w:eastAsia="宋体" w:cs="Times New Roman"/>
          <w:kern w:val="0"/>
          <w:sz w:val="30"/>
          <w:szCs w:val="30"/>
          <w:u w:val="single"/>
          <w:lang w:val="zh-CN" w:bidi="zh-CN"/>
        </w:rPr>
        <w:t xml:space="preserve">阳新县住房和城乡建设局 </w:t>
      </w:r>
      <w:r>
        <w:rPr>
          <w:rFonts w:hint="eastAsia" w:ascii="宋体" w:hAnsi="宋体" w:eastAsia="宋体" w:cs="Times New Roman"/>
          <w:kern w:val="0"/>
          <w:sz w:val="30"/>
          <w:szCs w:val="30"/>
          <w:lang w:val="zh-CN" w:bidi="zh-CN"/>
        </w:rPr>
        <w:t xml:space="preserve"> </w:t>
      </w:r>
    </w:p>
    <w:p>
      <w:pPr>
        <w:spacing w:line="360" w:lineRule="auto"/>
        <w:ind w:right="-134" w:rightChars="-64" w:firstLine="600" w:firstLineChars="200"/>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 xml:space="preserve">                   </w:t>
      </w:r>
    </w:p>
    <w:p>
      <w:pPr>
        <w:autoSpaceDE w:val="0"/>
        <w:autoSpaceDN w:val="0"/>
        <w:adjustRightInd w:val="0"/>
        <w:snapToGrid w:val="0"/>
        <w:spacing w:line="360" w:lineRule="auto"/>
        <w:jc w:val="center"/>
        <w:rPr>
          <w:rFonts w:ascii="Times New Roman" w:hAnsi="Times New Roman" w:eastAsia="宋体" w:cs="Times New Roman"/>
          <w:bCs/>
          <w:color w:val="000000"/>
          <w:kern w:val="0"/>
          <w:sz w:val="56"/>
          <w:szCs w:val="56"/>
          <w:lang w:val="zh-CN" w:bidi="zh-CN"/>
        </w:rPr>
      </w:pPr>
    </w:p>
    <w:p>
      <w:pPr>
        <w:jc w:val="center"/>
        <w:rPr>
          <w:rFonts w:ascii="Times New Roman" w:hAnsi="Times New Roman" w:eastAsia="宋体" w:cs="Times New Roman"/>
          <w:b/>
          <w:color w:val="000000"/>
          <w:kern w:val="0"/>
          <w:sz w:val="56"/>
          <w:szCs w:val="56"/>
          <w:lang w:bidi="zh-CN"/>
        </w:rPr>
      </w:pPr>
      <w:r>
        <w:rPr>
          <w:rFonts w:hint="eastAsia" w:ascii="Times New Roman" w:hAnsi="Times New Roman" w:eastAsia="宋体" w:cs="Times New Roman"/>
          <w:b/>
          <w:color w:val="000000"/>
          <w:kern w:val="0"/>
          <w:sz w:val="56"/>
          <w:szCs w:val="56"/>
          <w:lang w:bidi="zh-CN"/>
        </w:rPr>
        <w:t>阳新县政府采购中心</w:t>
      </w:r>
    </w:p>
    <w:p>
      <w:pPr>
        <w:jc w:val="center"/>
        <w:rPr>
          <w:rFonts w:ascii="黑体" w:hAnsi="黑体" w:eastAsia="黑体" w:cs="Times New Roman"/>
          <w:b/>
          <w:bCs/>
          <w:sz w:val="32"/>
        </w:rPr>
        <w:sectPr>
          <w:headerReference r:id="rId3" w:type="default"/>
          <w:footerReference r:id="rId4" w:type="default"/>
          <w:pgSz w:w="11906" w:h="16838"/>
          <w:pgMar w:top="1440" w:right="1800" w:bottom="1440" w:left="1800" w:header="1077" w:footer="964" w:gutter="0"/>
          <w:cols w:space="720" w:num="1"/>
          <w:docGrid w:linePitch="286" w:charSpace="0"/>
        </w:sectPr>
      </w:pPr>
      <w:r>
        <w:rPr>
          <w:rFonts w:hint="eastAsia" w:ascii="黑体" w:hAnsi="黑体" w:eastAsia="黑体" w:cs="Times New Roman"/>
          <w:b/>
          <w:bCs/>
          <w:sz w:val="44"/>
          <w:szCs w:val="44"/>
          <w:u w:val="single"/>
        </w:rPr>
        <w:t>2022</w:t>
      </w:r>
      <w:r>
        <w:rPr>
          <w:rFonts w:hint="eastAsia" w:ascii="黑体" w:hAnsi="黑体" w:eastAsia="黑体"/>
          <w:b/>
          <w:sz w:val="44"/>
          <w:szCs w:val="44"/>
        </w:rPr>
        <w:t>年</w:t>
      </w:r>
      <w:r>
        <w:rPr>
          <w:rFonts w:hint="eastAsia" w:ascii="黑体" w:hAnsi="黑体" w:eastAsia="黑体" w:cs="Times New Roman"/>
          <w:b/>
          <w:bCs/>
          <w:sz w:val="44"/>
          <w:szCs w:val="44"/>
          <w:u w:val="single"/>
        </w:rPr>
        <w:t>6</w:t>
      </w:r>
      <w:r>
        <w:rPr>
          <w:rFonts w:hint="eastAsia" w:ascii="黑体" w:hAnsi="黑体" w:eastAsia="黑体"/>
          <w:b/>
          <w:sz w:val="44"/>
          <w:szCs w:val="44"/>
        </w:rPr>
        <w:t>月</w:t>
      </w:r>
    </w:p>
    <w:p>
      <w:pPr>
        <w:jc w:val="center"/>
        <w:rPr>
          <w:rFonts w:ascii="宋体" w:hAnsi="宋体"/>
          <w:b/>
          <w:sz w:val="44"/>
          <w:szCs w:val="44"/>
        </w:rPr>
      </w:pPr>
      <w:r>
        <w:rPr>
          <w:rFonts w:hint="eastAsia" w:ascii="宋体" w:hAnsi="宋体"/>
          <w:b/>
          <w:sz w:val="44"/>
          <w:szCs w:val="44"/>
        </w:rPr>
        <w:t>招标文件审核意见表</w:t>
      </w:r>
    </w:p>
    <w:p>
      <w:pPr>
        <w:rPr>
          <w:rFonts w:hint="default" w:ascii="宋体" w:hAnsi="宋体" w:eastAsiaTheme="minorEastAsia"/>
          <w:sz w:val="28"/>
          <w:szCs w:val="28"/>
          <w:lang w:val="en-US" w:eastAsia="zh-CN"/>
        </w:rPr>
      </w:pPr>
      <w:r>
        <w:rPr>
          <w:rFonts w:hint="eastAsia" w:ascii="宋体" w:hAnsi="宋体"/>
          <w:sz w:val="28"/>
          <w:szCs w:val="28"/>
        </w:rPr>
        <w:t>项目编号：</w:t>
      </w:r>
      <w:r>
        <w:rPr>
          <w:rFonts w:ascii="宋体" w:hAnsi="宋体"/>
          <w:sz w:val="28"/>
          <w:szCs w:val="28"/>
        </w:rPr>
        <w:t>131-</w:t>
      </w:r>
      <w:r>
        <w:rPr>
          <w:rFonts w:hint="eastAsia" w:ascii="宋体" w:hAnsi="宋体"/>
          <w:sz w:val="28"/>
          <w:szCs w:val="28"/>
        </w:rPr>
        <w:t>2022</w:t>
      </w:r>
      <w:r>
        <w:rPr>
          <w:rFonts w:ascii="宋体" w:hAnsi="宋体"/>
          <w:sz w:val="28"/>
          <w:szCs w:val="28"/>
        </w:rPr>
        <w:t>CG-</w:t>
      </w:r>
      <w:r>
        <w:rPr>
          <w:rFonts w:hint="eastAsia" w:ascii="宋体" w:hAnsi="宋体"/>
          <w:sz w:val="28"/>
          <w:szCs w:val="28"/>
          <w:lang w:val="en-US" w:eastAsia="zh-CN"/>
        </w:rPr>
        <w:t>117</w:t>
      </w:r>
    </w:p>
    <w:tbl>
      <w:tblPr>
        <w:tblStyle w:val="26"/>
        <w:tblW w:w="8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4"/>
        <w:gridCol w:w="6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104" w:type="dxa"/>
            <w:vAlign w:val="center"/>
          </w:tcPr>
          <w:p>
            <w:pPr>
              <w:jc w:val="center"/>
              <w:rPr>
                <w:rFonts w:ascii="宋体" w:hAnsi="宋体"/>
                <w:sz w:val="28"/>
                <w:szCs w:val="28"/>
              </w:rPr>
            </w:pPr>
            <w:r>
              <w:rPr>
                <w:rFonts w:hint="eastAsia" w:ascii="宋体" w:hAnsi="宋体"/>
                <w:sz w:val="28"/>
                <w:szCs w:val="28"/>
              </w:rPr>
              <w:t>项目名称</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阳新县住房和城乡建设局2022年-2023年建设项目造价咨询服务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104" w:type="dxa"/>
            <w:vAlign w:val="center"/>
          </w:tcPr>
          <w:p>
            <w:pPr>
              <w:jc w:val="center"/>
              <w:rPr>
                <w:rFonts w:ascii="宋体" w:hAnsi="宋体" w:eastAsia="宋体"/>
                <w:sz w:val="28"/>
                <w:szCs w:val="28"/>
              </w:rPr>
            </w:pPr>
            <w:r>
              <w:rPr>
                <w:rFonts w:hint="eastAsia" w:ascii="宋体" w:hAnsi="宋体"/>
                <w:sz w:val="28"/>
                <w:szCs w:val="28"/>
              </w:rPr>
              <w:t>采购人</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 xml:space="preserve">阳新县住房和城乡建设局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2104" w:type="dxa"/>
            <w:vAlign w:val="center"/>
          </w:tcPr>
          <w:p>
            <w:pPr>
              <w:rPr>
                <w:rFonts w:ascii="宋体" w:hAnsi="宋体" w:eastAsia="宋体"/>
                <w:sz w:val="28"/>
                <w:szCs w:val="28"/>
              </w:rPr>
            </w:pPr>
            <w:r>
              <w:rPr>
                <w:rFonts w:hint="eastAsia" w:ascii="宋体" w:hAnsi="宋体" w:eastAsia="宋体"/>
                <w:sz w:val="28"/>
                <w:szCs w:val="28"/>
              </w:rPr>
              <w:t>集中采购机构</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阳新县政府采购中心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2104" w:type="dxa"/>
            <w:vAlign w:val="center"/>
          </w:tcPr>
          <w:p>
            <w:pPr>
              <w:jc w:val="center"/>
              <w:rPr>
                <w:rFonts w:ascii="宋体" w:hAnsi="宋体"/>
                <w:sz w:val="28"/>
                <w:szCs w:val="28"/>
              </w:rPr>
            </w:pPr>
            <w:r>
              <w:rPr>
                <w:rFonts w:hint="eastAsia" w:ascii="宋体" w:hAnsi="宋体"/>
                <w:sz w:val="28"/>
                <w:szCs w:val="28"/>
              </w:rPr>
              <w:t>送审内容</w:t>
            </w:r>
          </w:p>
        </w:tc>
        <w:tc>
          <w:tcPr>
            <w:tcW w:w="6675" w:type="dxa"/>
            <w:vAlign w:val="center"/>
          </w:tcPr>
          <w:p>
            <w:pPr>
              <w:jc w:val="left"/>
              <w:rPr>
                <w:rFonts w:ascii="宋体" w:hAnsi="宋体" w:eastAsia="宋体" w:cs="Times New Roman"/>
                <w:kern w:val="0"/>
                <w:sz w:val="30"/>
                <w:szCs w:val="30"/>
                <w:lang w:val="zh-CN" w:bidi="zh-CN"/>
              </w:rPr>
            </w:pPr>
            <w:r>
              <w:rPr>
                <w:rFonts w:hint="eastAsia" w:ascii="宋体" w:hAnsi="宋体" w:eastAsia="宋体" w:cs="Times New Roman"/>
                <w:kern w:val="0"/>
                <w:sz w:val="30"/>
                <w:szCs w:val="30"/>
                <w:lang w:val="zh-CN" w:bidi="zh-CN"/>
              </w:rPr>
              <w:t>阳新县住房和城乡建设局2022年-2023年建设项目造价咨询服务招标公告及招标文件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3" w:hRule="atLeast"/>
        </w:trPr>
        <w:tc>
          <w:tcPr>
            <w:tcW w:w="2104" w:type="dxa"/>
            <w:vAlign w:val="center"/>
          </w:tcPr>
          <w:p>
            <w:pPr>
              <w:jc w:val="center"/>
              <w:rPr>
                <w:rFonts w:ascii="宋体" w:hAnsi="宋体"/>
                <w:sz w:val="28"/>
                <w:szCs w:val="28"/>
              </w:rPr>
            </w:pPr>
            <w:r>
              <w:rPr>
                <w:rFonts w:hint="eastAsia" w:ascii="宋体" w:hAnsi="宋体"/>
                <w:sz w:val="28"/>
                <w:szCs w:val="28"/>
              </w:rPr>
              <w:t>招标人对招标公告及招标文件审核意见</w:t>
            </w:r>
          </w:p>
        </w:tc>
        <w:tc>
          <w:tcPr>
            <w:tcW w:w="6675" w:type="dxa"/>
            <w:vAlign w:val="center"/>
          </w:tcPr>
          <w:p>
            <w:pPr>
              <w:rPr>
                <w:rFonts w:ascii="宋体" w:hAnsi="宋体"/>
                <w:sz w:val="28"/>
                <w:szCs w:val="28"/>
              </w:rPr>
            </w:pPr>
            <w:r>
              <w:rPr>
                <w:rFonts w:hint="eastAsia" w:ascii="宋体" w:hAnsi="宋体"/>
                <w:sz w:val="28"/>
                <w:szCs w:val="28"/>
              </w:rPr>
              <w:t>招标人签字（盖章）：</w:t>
            </w:r>
          </w:p>
          <w:p>
            <w:pPr>
              <w:jc w:val="center"/>
              <w:rPr>
                <w:rFonts w:ascii="宋体" w:hAnsi="宋体"/>
                <w:sz w:val="28"/>
                <w:szCs w:val="28"/>
              </w:rPr>
            </w:pPr>
          </w:p>
          <w:p>
            <w:pPr>
              <w:jc w:val="center"/>
              <w:rPr>
                <w:rFonts w:ascii="宋体" w:hAnsi="宋体"/>
                <w:sz w:val="28"/>
                <w:szCs w:val="28"/>
              </w:rPr>
            </w:pPr>
          </w:p>
          <w:p>
            <w:pPr>
              <w:rPr>
                <w:rFonts w:ascii="宋体" w:hAnsi="宋体"/>
                <w:sz w:val="28"/>
                <w:szCs w:val="28"/>
              </w:rPr>
            </w:pPr>
          </w:p>
          <w:p>
            <w:pPr>
              <w:pStyle w:val="35"/>
            </w:pPr>
          </w:p>
          <w:p>
            <w:pPr>
              <w:rPr>
                <w:rFonts w:ascii="宋体" w:hAnsi="宋体"/>
                <w:sz w:val="28"/>
                <w:szCs w:val="28"/>
              </w:rPr>
            </w:pPr>
          </w:p>
          <w:p>
            <w:pPr>
              <w:rPr>
                <w:rFonts w:ascii="宋体" w:hAnsi="宋体"/>
                <w:sz w:val="28"/>
                <w:szCs w:val="28"/>
              </w:rPr>
            </w:pPr>
            <w:r>
              <w:rPr>
                <w:rFonts w:hint="eastAsia" w:ascii="宋体" w:hAnsi="宋体"/>
                <w:sz w:val="28"/>
                <w:szCs w:val="28"/>
              </w:rPr>
              <w:t xml:space="preserve">                             2022年6月22日</w:t>
            </w:r>
          </w:p>
        </w:tc>
      </w:tr>
    </w:tbl>
    <w:p>
      <w:pPr>
        <w:spacing w:beforeLines="100"/>
        <w:jc w:val="center"/>
        <w:rPr>
          <w:rFonts w:ascii="黑体" w:hAnsi="黑体" w:eastAsia="黑体"/>
          <w:sz w:val="44"/>
          <w:szCs w:val="44"/>
        </w:rPr>
      </w:pPr>
    </w:p>
    <w:p>
      <w:pPr>
        <w:pStyle w:val="2"/>
        <w:jc w:val="center"/>
        <w:rPr>
          <w:rFonts w:hint="eastAsia" w:ascii="黑体" w:hAnsi="黑体" w:eastAsia="黑体"/>
          <w:sz w:val="44"/>
          <w:szCs w:val="44"/>
        </w:rPr>
        <w:sectPr>
          <w:footerReference r:id="rId5" w:type="default"/>
          <w:pgSz w:w="11906" w:h="16838"/>
          <w:pgMar w:top="1020" w:right="1417" w:bottom="1020" w:left="1587" w:header="624" w:footer="510" w:gutter="0"/>
          <w:cols w:space="425" w:num="1"/>
          <w:docGrid w:type="linesAndChars" w:linePitch="312" w:charSpace="0"/>
        </w:sectPr>
      </w:pPr>
    </w:p>
    <w:p>
      <w:pPr>
        <w:pStyle w:val="2"/>
        <w:jc w:val="cente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0"/>
            <w:tabs>
              <w:tab w:val="left" w:pos="1260"/>
              <w:tab w:val="right" w:leader="dot" w:pos="8300"/>
            </w:tabs>
            <w:rPr>
              <w:rFonts w:eastAsia="黑体" w:asciiTheme="minorHAnsi" w:hAnsiTheme="minorHAnsi" w:cstheme="minorBidi"/>
              <w:b/>
              <w:kern w:val="0"/>
              <w:sz w:val="28"/>
              <w:szCs w:val="22"/>
              <w:lang w:val="en-US" w:eastAsia="zh-CN" w:bidi="ar-SA"/>
            </w:rPr>
          </w:pPr>
          <w:r>
            <w:fldChar w:fldCharType="begin"/>
          </w:r>
          <w:r>
            <w:instrText xml:space="preserve"> TOC \o "1-2" \h \z \u </w:instrText>
          </w:r>
          <w:r>
            <w:fldChar w:fldCharType="separate"/>
          </w:r>
        </w:p>
        <w:p>
          <w:pPr>
            <w:pStyle w:val="20"/>
            <w:tabs>
              <w:tab w:val="right" w:leader="dot" w:pos="8902"/>
            </w:tabs>
          </w:pPr>
          <w:r>
            <w:fldChar w:fldCharType="begin"/>
          </w:r>
          <w:r>
            <w:instrText xml:space="preserve"> HYPERLINK \l _Toc14418 </w:instrText>
          </w:r>
          <w:r>
            <w:fldChar w:fldCharType="separate"/>
          </w:r>
          <w:r>
            <w:rPr>
              <w:rFonts w:hint="eastAsia" w:ascii="黑体" w:hAnsi="黑体" w:eastAsia="黑体"/>
            </w:rPr>
            <w:t>第一章 投标邀请书</w:t>
          </w:r>
          <w:r>
            <w:tab/>
          </w:r>
          <w:r>
            <w:fldChar w:fldCharType="begin"/>
          </w:r>
          <w:r>
            <w:instrText xml:space="preserve"> PAGEREF _Toc14418 \h </w:instrText>
          </w:r>
          <w:r>
            <w:fldChar w:fldCharType="separate"/>
          </w:r>
          <w:r>
            <w:t>1</w:t>
          </w:r>
          <w:r>
            <w:fldChar w:fldCharType="end"/>
          </w:r>
          <w:r>
            <w:fldChar w:fldCharType="end"/>
          </w:r>
        </w:p>
        <w:p>
          <w:pPr>
            <w:pStyle w:val="20"/>
            <w:tabs>
              <w:tab w:val="right" w:leader="dot" w:pos="8902"/>
            </w:tabs>
          </w:pPr>
          <w:r>
            <w:fldChar w:fldCharType="begin"/>
          </w:r>
          <w:r>
            <w:instrText xml:space="preserve"> HYPERLINK \l _Toc29674 </w:instrText>
          </w:r>
          <w:r>
            <w:fldChar w:fldCharType="separate"/>
          </w:r>
          <w:r>
            <w:rPr>
              <w:rFonts w:hint="eastAsia" w:ascii="黑体" w:hAnsi="黑体" w:eastAsia="黑体"/>
            </w:rPr>
            <w:t>第二章 投标人须知</w:t>
          </w:r>
          <w:r>
            <w:tab/>
          </w:r>
          <w:r>
            <w:fldChar w:fldCharType="begin"/>
          </w:r>
          <w:r>
            <w:instrText xml:space="preserve"> PAGEREF _Toc29674 \h </w:instrText>
          </w:r>
          <w:r>
            <w:fldChar w:fldCharType="separate"/>
          </w:r>
          <w:r>
            <w:t>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_Toc24378 </w:instrText>
          </w:r>
          <w: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_Toc24378 \h </w:instrText>
          </w:r>
          <w:r>
            <w:fldChar w:fldCharType="separate"/>
          </w:r>
          <w:r>
            <w:t>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_Toc8948 </w:instrText>
          </w:r>
          <w:r>
            <w:fldChar w:fldCharType="separate"/>
          </w:r>
          <w:r>
            <w:rPr>
              <w:rFonts w:hint="eastAsia" w:cs="Times New Roman" w:asciiTheme="majorEastAsia" w:hAnsiTheme="majorEastAsia"/>
              <w:bCs/>
              <w:szCs w:val="40"/>
              <w:lang w:val="zh-CN"/>
            </w:rPr>
            <w:t>说  明</w:t>
          </w:r>
          <w:r>
            <w:tab/>
          </w:r>
          <w:r>
            <w:fldChar w:fldCharType="begin"/>
          </w:r>
          <w:r>
            <w:instrText xml:space="preserve"> PAGEREF _Toc8948 \h </w:instrText>
          </w:r>
          <w:r>
            <w:fldChar w:fldCharType="separate"/>
          </w:r>
          <w:r>
            <w:t>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_Toc26358 </w:instrText>
          </w:r>
          <w: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招标文件</w:t>
          </w:r>
          <w:r>
            <w:tab/>
          </w:r>
          <w:r>
            <w:fldChar w:fldCharType="begin"/>
          </w:r>
          <w:r>
            <w:instrText xml:space="preserve"> PAGEREF _Toc26358 \h </w:instrText>
          </w:r>
          <w:r>
            <w:fldChar w:fldCharType="separate"/>
          </w:r>
          <w:r>
            <w:t>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_Toc19662 </w:instrText>
          </w:r>
          <w: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投标文件</w:t>
          </w:r>
          <w:r>
            <w:tab/>
          </w:r>
          <w:r>
            <w:fldChar w:fldCharType="begin"/>
          </w:r>
          <w:r>
            <w:instrText xml:space="preserve"> PAGEREF _Toc19662 \h </w:instrText>
          </w:r>
          <w:r>
            <w:fldChar w:fldCharType="separate"/>
          </w:r>
          <w:r>
            <w:t>8</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_Toc10080 </w:instrText>
          </w:r>
          <w: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开标与评标</w:t>
          </w:r>
          <w:r>
            <w:tab/>
          </w:r>
          <w:r>
            <w:fldChar w:fldCharType="begin"/>
          </w:r>
          <w:r>
            <w:instrText xml:space="preserve"> PAGEREF _Toc10080 \h </w:instrText>
          </w:r>
          <w:r>
            <w:fldChar w:fldCharType="separate"/>
          </w:r>
          <w:r>
            <w:t>12</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_Toc20043 </w:instrText>
          </w:r>
          <w: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投标人信用信息及查询</w:t>
          </w:r>
          <w:r>
            <w:tab/>
          </w:r>
          <w:r>
            <w:fldChar w:fldCharType="begin"/>
          </w:r>
          <w:r>
            <w:instrText xml:space="preserve"> PAGEREF _Toc20043 \h </w:instrText>
          </w:r>
          <w:r>
            <w:fldChar w:fldCharType="separate"/>
          </w:r>
          <w:r>
            <w:t>14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_Toc25812 </w:instrText>
          </w:r>
          <w:r>
            <w:fldChar w:fldCharType="separate"/>
          </w:r>
          <w:r>
            <w:rPr>
              <w:rFonts w:hint="eastAsia" w:cs="Times New Roman" w:asciiTheme="majorEastAsia" w:hAnsiTheme="majorEastAsia"/>
              <w:bCs w:val="0"/>
              <w:szCs w:val="30"/>
              <w:lang w:val="zh-CN"/>
            </w:rPr>
            <w:t xml:space="preserve">五、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_Toc25812 \h </w:instrText>
          </w:r>
          <w:r>
            <w:fldChar w:fldCharType="separate"/>
          </w:r>
          <w:r>
            <w:t>14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_Toc12749 </w:instrText>
          </w:r>
          <w:r>
            <w:fldChar w:fldCharType="separate"/>
          </w:r>
          <w:r>
            <w:rPr>
              <w:rFonts w:hint="eastAsia" w:cs="Times New Roman" w:asciiTheme="majorEastAsia" w:hAnsiTheme="majorEastAsia"/>
              <w:bCs w:val="0"/>
              <w:szCs w:val="30"/>
              <w:lang w:val="zh-CN"/>
            </w:rPr>
            <w:t xml:space="preserve">六、 </w:t>
          </w:r>
          <w:r>
            <w:rPr>
              <w:rFonts w:hint="eastAsia" w:cs="Times New Roman" w:asciiTheme="majorEastAsia" w:hAnsiTheme="majorEastAsia"/>
              <w:bCs w:val="0"/>
              <w:lang w:val="zh-CN"/>
            </w:rPr>
            <w:t>采购信息公告</w:t>
          </w:r>
          <w:r>
            <w:tab/>
          </w:r>
          <w:r>
            <w:fldChar w:fldCharType="begin"/>
          </w:r>
          <w:r>
            <w:instrText xml:space="preserve"> PAGEREF _Toc12749 \h </w:instrText>
          </w:r>
          <w:r>
            <w:fldChar w:fldCharType="separate"/>
          </w:r>
          <w:r>
            <w:t>15</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_Toc16857 </w:instrText>
          </w:r>
          <w: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质疑及提交</w:t>
          </w:r>
          <w:r>
            <w:tab/>
          </w:r>
          <w:r>
            <w:fldChar w:fldCharType="begin"/>
          </w:r>
          <w:r>
            <w:instrText xml:space="preserve"> PAGEREF _Toc16857 \h </w:instrText>
          </w:r>
          <w:r>
            <w:fldChar w:fldCharType="separate"/>
          </w:r>
          <w:r>
            <w:t>16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_Toc29371 </w:instrText>
          </w:r>
          <w: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相关条文解读</w:t>
          </w:r>
          <w:r>
            <w:tab/>
          </w:r>
          <w:r>
            <w:fldChar w:fldCharType="begin"/>
          </w:r>
          <w:r>
            <w:instrText xml:space="preserve"> PAGEREF _Toc29371 \h </w:instrText>
          </w:r>
          <w:r>
            <w:fldChar w:fldCharType="separate"/>
          </w:r>
          <w:r>
            <w:t>16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_Toc11061 </w:instrText>
          </w:r>
          <w: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其他注意事项</w:t>
          </w:r>
          <w:r>
            <w:tab/>
          </w:r>
          <w:r>
            <w:fldChar w:fldCharType="begin"/>
          </w:r>
          <w:r>
            <w:instrText xml:space="preserve"> PAGEREF _Toc11061 \h </w:instrText>
          </w:r>
          <w:r>
            <w:fldChar w:fldCharType="separate"/>
          </w:r>
          <w:r>
            <w:t>17</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_Toc5595 </w:instrText>
          </w:r>
          <w: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适用法律</w:t>
          </w:r>
          <w:r>
            <w:tab/>
          </w:r>
          <w:r>
            <w:fldChar w:fldCharType="begin"/>
          </w:r>
          <w:r>
            <w:instrText xml:space="preserve"> PAGEREF _Toc5595 \h </w:instrText>
          </w:r>
          <w:r>
            <w:fldChar w:fldCharType="separate"/>
          </w:r>
          <w:r>
            <w:t>17</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_Toc31066 </w:instrText>
          </w:r>
          <w: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招标文件的解释权</w:t>
          </w:r>
          <w:r>
            <w:tab/>
          </w:r>
          <w:r>
            <w:fldChar w:fldCharType="begin"/>
          </w:r>
          <w:r>
            <w:instrText xml:space="preserve"> PAGEREF _Toc31066 \h </w:instrText>
          </w:r>
          <w:r>
            <w:fldChar w:fldCharType="separate"/>
          </w:r>
          <w:r>
            <w:t>17</w:t>
          </w:r>
          <w:r>
            <w:fldChar w:fldCharType="end"/>
          </w:r>
          <w:r>
            <w:fldChar w:fldCharType="end"/>
          </w:r>
        </w:p>
        <w:p>
          <w:pPr>
            <w:pStyle w:val="20"/>
            <w:tabs>
              <w:tab w:val="right" w:leader="dot" w:pos="8902"/>
            </w:tabs>
          </w:pPr>
          <w:r>
            <w:fldChar w:fldCharType="begin"/>
          </w:r>
          <w:r>
            <w:instrText xml:space="preserve"> HYPERLINK \l _Toc1396 </w:instrText>
          </w:r>
          <w:r>
            <w:fldChar w:fldCharType="separate"/>
          </w:r>
          <w:r>
            <w:rPr>
              <w:rFonts w:ascii="Wingdings" w:hAnsi="Wingdings" w:eastAsia="黑体"/>
            </w:rPr>
            <w:t>第三章</w:t>
          </w:r>
          <w:r>
            <w:rPr>
              <w:rFonts w:hint="eastAsia" w:ascii="黑体" w:hAnsi="黑体" w:eastAsia="黑体"/>
            </w:rPr>
            <w:t>项目技术、服务及商务要求</w:t>
          </w:r>
          <w:r>
            <w:tab/>
          </w:r>
          <w:r>
            <w:fldChar w:fldCharType="begin"/>
          </w:r>
          <w:r>
            <w:instrText xml:space="preserve"> PAGEREF _Toc1396 \h </w:instrText>
          </w:r>
          <w:r>
            <w:fldChar w:fldCharType="separate"/>
          </w:r>
          <w:r>
            <w:t>18</w:t>
          </w:r>
          <w:r>
            <w:fldChar w:fldCharType="end"/>
          </w:r>
          <w:r>
            <w:fldChar w:fldCharType="end"/>
          </w:r>
        </w:p>
        <w:p>
          <w:pPr>
            <w:pStyle w:val="20"/>
            <w:tabs>
              <w:tab w:val="right" w:leader="dot" w:pos="8902"/>
            </w:tabs>
          </w:pPr>
          <w:r>
            <w:fldChar w:fldCharType="begin"/>
          </w:r>
          <w:r>
            <w:instrText xml:space="preserve"> HYPERLINK \l _Toc6807 </w:instrText>
          </w:r>
          <w:r>
            <w:fldChar w:fldCharType="separate"/>
          </w:r>
          <w:r>
            <w:rPr>
              <w:rFonts w:hint="eastAsia" w:ascii="黑体" w:hAnsi="黑体" w:eastAsia="黑体"/>
            </w:rPr>
            <w:t>第四章 资格审查方法及标准</w:t>
          </w:r>
          <w:r>
            <w:tab/>
          </w:r>
          <w:r>
            <w:fldChar w:fldCharType="begin"/>
          </w:r>
          <w:r>
            <w:instrText xml:space="preserve"> PAGEREF _Toc6807 \h </w:instrText>
          </w:r>
          <w:r>
            <w:fldChar w:fldCharType="separate"/>
          </w:r>
          <w:r>
            <w:t>24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_Toc22352 </w:instrText>
          </w:r>
          <w:r>
            <w:fldChar w:fldCharType="separate"/>
          </w:r>
          <w:r>
            <w:rPr>
              <w:rFonts w:hint="eastAsia" w:ascii="宋体" w:hAnsi="宋体" w:cs="Times New Roman"/>
              <w:bCs w:val="0"/>
              <w:szCs w:val="30"/>
            </w:rPr>
            <w:t>一、 资格审查方法</w:t>
          </w:r>
          <w:r>
            <w:tab/>
          </w:r>
          <w:r>
            <w:fldChar w:fldCharType="begin"/>
          </w:r>
          <w:r>
            <w:instrText xml:space="preserve"> PAGEREF _Toc22352 \h </w:instrText>
          </w:r>
          <w:r>
            <w:fldChar w:fldCharType="separate"/>
          </w:r>
          <w:r>
            <w:t>24</w:t>
          </w:r>
          <w:r>
            <w:fldChar w:fldCharType="end"/>
          </w:r>
          <w:r>
            <w:fldChar w:fldCharType="end"/>
          </w:r>
        </w:p>
        <w:p>
          <w:pPr>
            <w:pStyle w:val="20"/>
            <w:tabs>
              <w:tab w:val="right" w:leader="dot" w:pos="8902"/>
            </w:tabs>
          </w:pPr>
          <w:r>
            <w:fldChar w:fldCharType="begin"/>
          </w:r>
          <w:r>
            <w:instrText xml:space="preserve"> HYPERLINK \l _Toc29550 </w:instrText>
          </w:r>
          <w:r>
            <w:fldChar w:fldCharType="separate"/>
          </w:r>
          <w:r>
            <w:rPr>
              <w:rFonts w:hint="eastAsia" w:ascii="黑体" w:hAnsi="黑体" w:eastAsia="黑体"/>
            </w:rPr>
            <w:t>第五章 评标方法、程序及标准</w:t>
          </w:r>
          <w:r>
            <w:tab/>
          </w:r>
          <w:r>
            <w:fldChar w:fldCharType="begin"/>
          </w:r>
          <w:r>
            <w:instrText xml:space="preserve"> PAGEREF _Toc29550 \h </w:instrText>
          </w:r>
          <w:r>
            <w:fldChar w:fldCharType="separate"/>
          </w:r>
          <w:r>
            <w:t>26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_Toc5156 </w:instrText>
          </w:r>
          <w:r>
            <w:fldChar w:fldCharType="separate"/>
          </w:r>
          <w:r>
            <w:rPr>
              <w:rFonts w:hint="eastAsia" w:cs="Times New Roman" w:asciiTheme="majorEastAsia" w:hAnsiTheme="majorEastAsia"/>
              <w:bCs w:val="0"/>
              <w:szCs w:val="30"/>
              <w:lang w:val="zh-CN"/>
            </w:rPr>
            <w:t>一、 评标方法</w:t>
          </w:r>
          <w:r>
            <w:tab/>
          </w:r>
          <w:r>
            <w:fldChar w:fldCharType="begin"/>
          </w:r>
          <w:r>
            <w:instrText xml:space="preserve"> PAGEREF _Toc5156 \h </w:instrText>
          </w:r>
          <w:r>
            <w:fldChar w:fldCharType="separate"/>
          </w:r>
          <w:r>
            <w:t>26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_Toc20223 </w:instrText>
          </w:r>
          <w:r>
            <w:fldChar w:fldCharType="separate"/>
          </w:r>
          <w:r>
            <w:rPr>
              <w:rFonts w:hint="eastAsia" w:cs="Times New Roman" w:asciiTheme="majorEastAsia" w:hAnsiTheme="majorEastAsia"/>
              <w:bCs w:val="0"/>
              <w:szCs w:val="30"/>
              <w:lang w:val="zh-CN"/>
            </w:rPr>
            <w:t>二、 评标程序及标准</w:t>
          </w:r>
          <w:r>
            <w:tab/>
          </w:r>
          <w:r>
            <w:fldChar w:fldCharType="begin"/>
          </w:r>
          <w:r>
            <w:instrText xml:space="preserve"> PAGEREF _Toc20223 \h </w:instrText>
          </w:r>
          <w:r>
            <w:fldChar w:fldCharType="separate"/>
          </w:r>
          <w:r>
            <w:t>26</w:t>
          </w:r>
          <w:r>
            <w:fldChar w:fldCharType="end"/>
          </w:r>
          <w:r>
            <w:fldChar w:fldCharType="end"/>
          </w:r>
        </w:p>
        <w:p>
          <w:pPr>
            <w:pStyle w:val="20"/>
            <w:tabs>
              <w:tab w:val="right" w:leader="dot" w:pos="8902"/>
            </w:tabs>
          </w:pPr>
          <w:r>
            <w:fldChar w:fldCharType="begin"/>
          </w:r>
          <w:r>
            <w:instrText xml:space="preserve"> HYPERLINK \l _Toc4840 </w:instrText>
          </w:r>
          <w:r>
            <w:fldChar w:fldCharType="separate"/>
          </w:r>
          <w:r>
            <w:rPr>
              <w:rFonts w:hint="eastAsia" w:ascii="黑体" w:hAnsi="黑体" w:eastAsia="黑体"/>
            </w:rPr>
            <w:t xml:space="preserve">第六章 </w:t>
          </w:r>
          <w:r>
            <w:rPr>
              <w:rFonts w:ascii="黑体" w:hAnsi="黑体" w:eastAsia="黑体"/>
            </w:rPr>
            <w:t xml:space="preserve"> </w:t>
          </w:r>
          <w:r>
            <w:rPr>
              <w:rFonts w:hint="eastAsia" w:ascii="黑体" w:hAnsi="黑体" w:eastAsia="黑体"/>
            </w:rPr>
            <w:t>合同书格式（参考）</w:t>
          </w:r>
          <w:r>
            <w:tab/>
          </w:r>
          <w:r>
            <w:fldChar w:fldCharType="begin"/>
          </w:r>
          <w:r>
            <w:instrText xml:space="preserve"> PAGEREF _Toc4840 \h </w:instrText>
          </w:r>
          <w:r>
            <w:fldChar w:fldCharType="separate"/>
          </w:r>
          <w:r>
            <w:t>33</w:t>
          </w:r>
          <w:r>
            <w:fldChar w:fldCharType="end"/>
          </w:r>
          <w:r>
            <w:fldChar w:fldCharType="end"/>
          </w:r>
        </w:p>
        <w:p>
          <w:pPr>
            <w:pStyle w:val="20"/>
            <w:tabs>
              <w:tab w:val="right" w:leader="dot" w:pos="8902"/>
            </w:tabs>
          </w:pPr>
          <w:r>
            <w:fldChar w:fldCharType="begin"/>
          </w:r>
          <w:r>
            <w:instrText xml:space="preserve"> HYPERLINK \l _Toc18283 </w:instrText>
          </w:r>
          <w:r>
            <w:fldChar w:fldCharType="separate"/>
          </w:r>
          <w:r>
            <w:rPr>
              <w:rFonts w:hint="eastAsia" w:ascii="黑体" w:hAnsi="黑体" w:eastAsia="黑体"/>
            </w:rPr>
            <w:t xml:space="preserve">第七章 </w:t>
          </w:r>
          <w:r>
            <w:rPr>
              <w:rFonts w:ascii="黑体" w:hAnsi="黑体" w:eastAsia="黑体"/>
            </w:rPr>
            <w:t xml:space="preserve"> </w:t>
          </w:r>
          <w:r>
            <w:rPr>
              <w:rFonts w:hint="eastAsia" w:ascii="黑体" w:hAnsi="黑体" w:eastAsia="黑体"/>
            </w:rPr>
            <w:t>投标文件格式（参考）</w:t>
          </w:r>
          <w:r>
            <w:tab/>
          </w:r>
          <w:r>
            <w:fldChar w:fldCharType="begin"/>
          </w:r>
          <w:r>
            <w:instrText xml:space="preserve"> PAGEREF _Toc18283 \h </w:instrText>
          </w:r>
          <w:r>
            <w:fldChar w:fldCharType="separate"/>
          </w:r>
          <w:r>
            <w:t>34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_Toc20507 </w:instrText>
          </w:r>
          <w:r>
            <w:fldChar w:fldCharType="separate"/>
          </w:r>
          <w:r>
            <w:rPr>
              <w:rFonts w:hint="eastAsia"/>
            </w:rPr>
            <w:t>投标文件目录</w:t>
          </w:r>
          <w:r>
            <w:tab/>
          </w:r>
          <w:r>
            <w:fldChar w:fldCharType="begin"/>
          </w:r>
          <w:r>
            <w:instrText xml:space="preserve"> PAGEREF _Toc20507 \h </w:instrText>
          </w:r>
          <w:r>
            <w:fldChar w:fldCharType="separate"/>
          </w:r>
          <w:r>
            <w:t>36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_Toc3730 </w:instrText>
          </w:r>
          <w:r>
            <w:fldChar w:fldCharType="separate"/>
          </w:r>
          <w:r>
            <w:rPr>
              <w:rFonts w:hint="eastAsia"/>
            </w:rPr>
            <w:t>第一部分 资格证明文件组成</w:t>
          </w:r>
          <w:r>
            <w:tab/>
          </w:r>
          <w:r>
            <w:fldChar w:fldCharType="begin"/>
          </w:r>
          <w:r>
            <w:instrText xml:space="preserve"> PAGEREF _Toc3730 \h </w:instrText>
          </w:r>
          <w:r>
            <w:fldChar w:fldCharType="separate"/>
          </w:r>
          <w:r>
            <w:t>36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_Toc10254 </w:instrText>
          </w:r>
          <w:r>
            <w:fldChar w:fldCharType="separate"/>
          </w:r>
          <w:r>
            <w:rPr>
              <w:rFonts w:hint="eastAsia"/>
            </w:rPr>
            <w:t>第二部分 商务文件组成</w:t>
          </w:r>
          <w:r>
            <w:tab/>
          </w:r>
          <w:r>
            <w:fldChar w:fldCharType="begin"/>
          </w:r>
          <w:r>
            <w:instrText xml:space="preserve"> PAGEREF _Toc10254 \h </w:instrText>
          </w:r>
          <w:r>
            <w:fldChar w:fldCharType="separate"/>
          </w:r>
          <w:r>
            <w:t>38</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_Toc421 </w:instrText>
          </w:r>
          <w:r>
            <w:fldChar w:fldCharType="separate"/>
          </w:r>
          <w:r>
            <w:rPr>
              <w:rFonts w:hint="eastAsia"/>
              <w:lang w:val="zh-CN"/>
            </w:rPr>
            <w:t>第三部分 技术</w:t>
          </w:r>
          <w:r>
            <w:rPr>
              <w:rFonts w:hint="eastAsia"/>
            </w:rPr>
            <w:t>、服务文件组成</w:t>
          </w:r>
          <w:r>
            <w:tab/>
          </w:r>
          <w:r>
            <w:fldChar w:fldCharType="begin"/>
          </w:r>
          <w:r>
            <w:instrText xml:space="preserve"> PAGEREF _Toc421 \h </w:instrText>
          </w:r>
          <w:r>
            <w:fldChar w:fldCharType="separate"/>
          </w:r>
          <w:r>
            <w:t>39</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_Toc21677 </w:instrText>
          </w:r>
          <w: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_Toc21677 \h </w:instrText>
          </w:r>
          <w:r>
            <w:fldChar w:fldCharType="separate"/>
          </w:r>
          <w:r>
            <w:t>40</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_Toc1631 </w:instrText>
          </w:r>
          <w:r>
            <w:fldChar w:fldCharType="separate"/>
          </w:r>
          <w:r>
            <w:rPr>
              <w:rFonts w:hint="eastAsia" w:ascii="宋体" w:hAnsi="宋体" w:eastAsia="宋体"/>
              <w:i w:val="0"/>
            </w:rPr>
            <w:t xml:space="preserve">附件二、 </w:t>
          </w:r>
          <w:r>
            <w:rPr>
              <w:rFonts w:hint="eastAsia" w:ascii="宋体" w:hAnsi="宋体" w:eastAsia="宋体"/>
            </w:rPr>
            <w:t>中小企业声明函</w:t>
          </w:r>
          <w:r>
            <w:tab/>
          </w:r>
          <w:r>
            <w:fldChar w:fldCharType="begin"/>
          </w:r>
          <w:r>
            <w:instrText xml:space="preserve"> PAGEREF _Toc1631 \h </w:instrText>
          </w:r>
          <w:r>
            <w:fldChar w:fldCharType="separate"/>
          </w:r>
          <w:r>
            <w:t>41</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_Toc21082 </w:instrText>
          </w:r>
          <w:r>
            <w:fldChar w:fldCharType="separate"/>
          </w:r>
          <w:r>
            <w:rPr>
              <w:rFonts w:hint="eastAsia" w:ascii="宋体" w:hAnsi="宋体" w:eastAsia="宋体"/>
              <w:i w:val="0"/>
              <w:lang w:val="zh-CN"/>
            </w:rPr>
            <w:t xml:space="preserve">附件三、 </w:t>
          </w:r>
          <w:r>
            <w:rPr>
              <w:rFonts w:hint="eastAsia" w:ascii="宋体" w:hAnsi="宋体" w:eastAsia="宋体"/>
            </w:rPr>
            <w:t>残疾人福利性单位声明函（不符合不提供）</w:t>
          </w:r>
          <w:r>
            <w:tab/>
          </w:r>
          <w:r>
            <w:fldChar w:fldCharType="begin"/>
          </w:r>
          <w:r>
            <w:instrText xml:space="preserve"> PAGEREF _Toc21082 \h </w:instrText>
          </w:r>
          <w:r>
            <w:fldChar w:fldCharType="separate"/>
          </w:r>
          <w:r>
            <w:t>43</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_Toc26337 </w:instrText>
          </w:r>
          <w:r>
            <w:fldChar w:fldCharType="separate"/>
          </w:r>
          <w:r>
            <w:rPr>
              <w:rFonts w:hint="eastAsia" w:ascii="宋体" w:hAnsi="宋体" w:eastAsia="宋体"/>
              <w:i w:val="0"/>
            </w:rPr>
            <w:t xml:space="preserve">附件四、 </w:t>
          </w:r>
          <w:r>
            <w:rPr>
              <w:rFonts w:hint="eastAsia" w:ascii="宋体" w:hAnsi="宋体" w:eastAsia="宋体"/>
            </w:rPr>
            <w:t>开标一览表</w:t>
          </w:r>
          <w:r>
            <w:tab/>
          </w:r>
          <w:r>
            <w:fldChar w:fldCharType="begin"/>
          </w:r>
          <w:r>
            <w:instrText xml:space="preserve"> PAGEREF _Toc26337 \h </w:instrText>
          </w:r>
          <w:r>
            <w:fldChar w:fldCharType="separate"/>
          </w:r>
          <w:r>
            <w:t>45</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_Toc11479 </w:instrText>
          </w:r>
          <w:r>
            <w:fldChar w:fldCharType="separate"/>
          </w:r>
          <w:r>
            <w:rPr>
              <w:rFonts w:hint="eastAsia" w:ascii="宋体" w:hAnsi="宋体" w:eastAsia="宋体" w:cs="宋体"/>
              <w:i w:val="0"/>
            </w:rPr>
            <w:t xml:space="preserve">附件五、 </w:t>
          </w:r>
          <w:r>
            <w:rPr>
              <w:rFonts w:hint="eastAsia" w:ascii="宋体" w:hAnsi="宋体" w:eastAsia="宋体" w:cs="宋体"/>
            </w:rPr>
            <w:t>投标报价明细表</w:t>
          </w:r>
          <w:r>
            <w:tab/>
          </w:r>
          <w:r>
            <w:fldChar w:fldCharType="begin"/>
          </w:r>
          <w:r>
            <w:instrText xml:space="preserve"> PAGEREF _Toc11479 \h </w:instrText>
          </w:r>
          <w:r>
            <w:fldChar w:fldCharType="separate"/>
          </w:r>
          <w:r>
            <w:t>46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_Toc18816 </w:instrText>
          </w:r>
          <w:r>
            <w:fldChar w:fldCharType="separate"/>
          </w:r>
          <w:r>
            <w:rPr>
              <w:rFonts w:hint="eastAsia" w:ascii="宋体" w:hAnsi="宋体" w:eastAsia="宋体"/>
              <w:i w:val="0"/>
            </w:rPr>
            <w:t xml:space="preserve">附件六、 </w:t>
          </w:r>
          <w:r>
            <w:rPr>
              <w:rFonts w:hint="eastAsia" w:ascii="宋体" w:hAnsi="宋体" w:eastAsia="宋体"/>
            </w:rPr>
            <w:t>法定代表人授权书</w:t>
          </w:r>
          <w:r>
            <w:tab/>
          </w:r>
          <w:r>
            <w:fldChar w:fldCharType="begin"/>
          </w:r>
          <w:r>
            <w:instrText xml:space="preserve"> PAGEREF _Toc18816 \h </w:instrText>
          </w:r>
          <w:r>
            <w:fldChar w:fldCharType="separate"/>
          </w:r>
          <w:r>
            <w:t>47</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_Toc31832 </w:instrText>
          </w:r>
          <w:r>
            <w:fldChar w:fldCharType="separate"/>
          </w:r>
          <w:r>
            <w:rPr>
              <w:rFonts w:hint="eastAsia" w:ascii="宋体" w:hAnsi="宋体" w:eastAsia="宋体"/>
              <w:i w:val="0"/>
            </w:rPr>
            <w:t xml:space="preserve">附件七、 </w:t>
          </w:r>
          <w:r>
            <w:rPr>
              <w:rFonts w:hint="eastAsia" w:ascii="宋体" w:hAnsi="宋体" w:eastAsia="宋体"/>
            </w:rPr>
            <w:t>投标人的资格声明</w:t>
          </w:r>
          <w:r>
            <w:tab/>
          </w:r>
          <w:r>
            <w:fldChar w:fldCharType="begin"/>
          </w:r>
          <w:r>
            <w:instrText xml:space="preserve"> PAGEREF _Toc31832 \h </w:instrText>
          </w:r>
          <w:r>
            <w:fldChar w:fldCharType="separate"/>
          </w:r>
          <w:r>
            <w:t>48</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_Toc3085 </w:instrText>
          </w:r>
          <w:r>
            <w:fldChar w:fldCharType="separate"/>
          </w:r>
          <w:r>
            <w:rPr>
              <w:rFonts w:hint="eastAsia" w:ascii="宋体" w:hAnsi="宋体" w:eastAsia="宋体"/>
              <w:i w:val="0"/>
            </w:rPr>
            <w:t xml:space="preserve">附件八、 </w:t>
          </w:r>
          <w:r>
            <w:rPr>
              <w:rFonts w:hint="eastAsia" w:ascii="宋体" w:hAnsi="宋体" w:eastAsia="宋体"/>
            </w:rPr>
            <w:t>项目负责人、技术负责人简历表</w:t>
          </w:r>
          <w:r>
            <w:tab/>
          </w:r>
          <w:r>
            <w:fldChar w:fldCharType="begin"/>
          </w:r>
          <w:r>
            <w:instrText xml:space="preserve"> PAGEREF _Toc3085 \h </w:instrText>
          </w:r>
          <w:r>
            <w:fldChar w:fldCharType="separate"/>
          </w:r>
          <w:r>
            <w:t>49</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_Toc23590 </w:instrText>
          </w:r>
          <w:r>
            <w:fldChar w:fldCharType="separate"/>
          </w:r>
          <w:r>
            <w:rPr>
              <w:rFonts w:hint="eastAsia" w:ascii="宋体" w:hAnsi="宋体" w:eastAsia="宋体"/>
              <w:i w:val="0"/>
            </w:rPr>
            <w:t xml:space="preserve">附件九、 </w:t>
          </w:r>
          <w:r>
            <w:rPr>
              <w:rFonts w:hint="eastAsia" w:ascii="宋体" w:hAnsi="宋体" w:eastAsia="宋体"/>
            </w:rPr>
            <w:t>项目班子成员情况表</w:t>
          </w:r>
          <w:r>
            <w:tab/>
          </w:r>
          <w:r>
            <w:fldChar w:fldCharType="begin"/>
          </w:r>
          <w:r>
            <w:instrText xml:space="preserve"> PAGEREF _Toc23590 \h </w:instrText>
          </w:r>
          <w:r>
            <w:fldChar w:fldCharType="separate"/>
          </w:r>
          <w:r>
            <w:t>50</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_Toc18017 </w:instrText>
          </w:r>
          <w:r>
            <w:fldChar w:fldCharType="separate"/>
          </w:r>
          <w:r>
            <w:rPr>
              <w:rFonts w:hint="eastAsia" w:ascii="宋体" w:hAnsi="宋体" w:eastAsia="宋体"/>
              <w:i w:val="0"/>
            </w:rPr>
            <w:t xml:space="preserve">附件十、 </w:t>
          </w:r>
          <w:r>
            <w:rPr>
              <w:rFonts w:hint="eastAsia" w:ascii="宋体" w:hAnsi="宋体" w:eastAsia="宋体"/>
            </w:rPr>
            <w:t>投标人类似项目业绩表</w:t>
          </w:r>
          <w:r>
            <w:tab/>
          </w:r>
          <w:r>
            <w:fldChar w:fldCharType="begin"/>
          </w:r>
          <w:r>
            <w:instrText xml:space="preserve"> PAGEREF _Toc18017 \h </w:instrText>
          </w:r>
          <w:r>
            <w:fldChar w:fldCharType="separate"/>
          </w:r>
          <w:r>
            <w:t>51</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_Toc12171 </w:instrText>
          </w:r>
          <w:r>
            <w:fldChar w:fldCharType="separate"/>
          </w:r>
          <w:r>
            <w:rPr>
              <w:rFonts w:hint="eastAsia" w:ascii="宋体" w:hAnsi="宋体" w:eastAsia="宋体"/>
              <w:i w:val="0"/>
            </w:rPr>
            <w:t xml:space="preserve">附件十一、 </w:t>
          </w:r>
          <w:r>
            <w:rPr>
              <w:rFonts w:hint="eastAsia" w:ascii="宋体" w:hAnsi="宋体" w:eastAsia="宋体"/>
            </w:rPr>
            <w:t>符合性审查对照表</w:t>
          </w:r>
          <w:r>
            <w:tab/>
          </w:r>
          <w:r>
            <w:fldChar w:fldCharType="begin"/>
          </w:r>
          <w:r>
            <w:instrText xml:space="preserve"> PAGEREF _Toc12171 \h </w:instrText>
          </w:r>
          <w:r>
            <w:fldChar w:fldCharType="separate"/>
          </w:r>
          <w:r>
            <w:t>52</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_Toc5678 </w:instrText>
          </w:r>
          <w:r>
            <w:fldChar w:fldCharType="separate"/>
          </w:r>
          <w:r>
            <w:rPr>
              <w:rFonts w:hint="eastAsia" w:ascii="宋体" w:hAnsi="宋体" w:eastAsia="宋体"/>
              <w:i w:val="0"/>
            </w:rPr>
            <w:t xml:space="preserve">附件十二、 </w:t>
          </w:r>
          <w:r>
            <w:rPr>
              <w:rFonts w:hint="eastAsia" w:ascii="宋体" w:hAnsi="宋体" w:eastAsia="宋体"/>
            </w:rPr>
            <w:t>商务要求响应、偏离说明表</w:t>
          </w:r>
          <w:r>
            <w:tab/>
          </w:r>
          <w:r>
            <w:fldChar w:fldCharType="begin"/>
          </w:r>
          <w:r>
            <w:instrText xml:space="preserve"> PAGEREF _Toc5678 \h </w:instrText>
          </w:r>
          <w:r>
            <w:fldChar w:fldCharType="separate"/>
          </w:r>
          <w:r>
            <w:t>53</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_Toc28373 </w:instrText>
          </w:r>
          <w:r>
            <w:fldChar w:fldCharType="separate"/>
          </w:r>
          <w:r>
            <w:rPr>
              <w:rFonts w:hint="eastAsia" w:ascii="宋体" w:hAnsi="宋体" w:eastAsia="宋体"/>
              <w:i w:val="0"/>
            </w:rPr>
            <w:t xml:space="preserve">附件十三、 </w:t>
          </w:r>
          <w:r>
            <w:rPr>
              <w:rFonts w:hint="eastAsia" w:ascii="宋体" w:hAnsi="宋体" w:eastAsia="宋体"/>
            </w:rPr>
            <w:t>商务要求“★”号条款响应、偏离说明表</w:t>
          </w:r>
          <w:r>
            <w:tab/>
          </w:r>
          <w:r>
            <w:fldChar w:fldCharType="begin"/>
          </w:r>
          <w:r>
            <w:instrText xml:space="preserve"> PAGEREF _Toc28373 \h </w:instrText>
          </w:r>
          <w:r>
            <w:fldChar w:fldCharType="separate"/>
          </w:r>
          <w:r>
            <w:t>54</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_Toc9823 </w:instrText>
          </w:r>
          <w:r>
            <w:fldChar w:fldCharType="separate"/>
          </w:r>
          <w:r>
            <w:rPr>
              <w:rFonts w:hint="eastAsia" w:ascii="宋体" w:hAnsi="宋体" w:eastAsia="宋体"/>
              <w:i w:val="0"/>
            </w:rPr>
            <w:t xml:space="preserve">附件十四、 </w:t>
          </w:r>
          <w:r>
            <w:rPr>
              <w:rFonts w:hint="eastAsia" w:ascii="宋体" w:hAnsi="宋体" w:eastAsia="宋体"/>
            </w:rPr>
            <w:t>商务评议对照表</w:t>
          </w:r>
          <w:r>
            <w:tab/>
          </w:r>
          <w:r>
            <w:fldChar w:fldCharType="begin"/>
          </w:r>
          <w:r>
            <w:instrText xml:space="preserve"> PAGEREF _Toc9823 \h </w:instrText>
          </w:r>
          <w:r>
            <w:fldChar w:fldCharType="separate"/>
          </w:r>
          <w:r>
            <w:t>55</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_Toc17841 </w:instrText>
          </w:r>
          <w:r>
            <w:fldChar w:fldCharType="separate"/>
          </w:r>
          <w:r>
            <w:rPr>
              <w:rFonts w:hint="eastAsia" w:ascii="宋体" w:hAnsi="宋体" w:eastAsia="宋体"/>
              <w:i w:val="0"/>
            </w:rPr>
            <w:t xml:space="preserve">附件十五、 </w:t>
          </w:r>
          <w:r>
            <w:rPr>
              <w:rFonts w:hint="eastAsia" w:ascii="宋体" w:hAnsi="宋体" w:eastAsia="宋体"/>
            </w:rPr>
            <w:t>技术、服务要求响应、偏离说明表</w:t>
          </w:r>
          <w:r>
            <w:tab/>
          </w:r>
          <w:r>
            <w:fldChar w:fldCharType="begin"/>
          </w:r>
          <w:r>
            <w:instrText xml:space="preserve"> PAGEREF _Toc17841 \h </w:instrText>
          </w:r>
          <w:r>
            <w:fldChar w:fldCharType="separate"/>
          </w:r>
          <w:r>
            <w:t>56</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_Toc13977 </w:instrText>
          </w:r>
          <w:r>
            <w:fldChar w:fldCharType="separate"/>
          </w:r>
          <w:r>
            <w:rPr>
              <w:rFonts w:hint="eastAsia" w:ascii="宋体" w:hAnsi="宋体" w:eastAsia="宋体"/>
              <w:i w:val="0"/>
            </w:rPr>
            <w:t xml:space="preserve">附件十六、 </w:t>
          </w:r>
          <w:r>
            <w:rPr>
              <w:rFonts w:hint="eastAsia" w:ascii="宋体" w:hAnsi="宋体" w:eastAsia="宋体"/>
            </w:rPr>
            <w:t>技术、服务要求“★”号条款响应、偏离说明表</w:t>
          </w:r>
          <w:r>
            <w:tab/>
          </w:r>
          <w:r>
            <w:fldChar w:fldCharType="begin"/>
          </w:r>
          <w:r>
            <w:instrText xml:space="preserve"> PAGEREF _Toc13977 \h </w:instrText>
          </w:r>
          <w:r>
            <w:fldChar w:fldCharType="separate"/>
          </w:r>
          <w:r>
            <w:t>57</w:t>
          </w:r>
          <w:r>
            <w:fldChar w:fldCharType="end"/>
          </w:r>
          <w:r>
            <w:fldChar w:fldCharType="end"/>
          </w:r>
        </w:p>
        <w:p>
          <w:pPr>
            <w:pStyle w:val="21"/>
            <w:tabs>
              <w:tab w:val="right" w:leader="dot" w:pos="8902"/>
              <w:tab w:val="clear" w:pos="756"/>
              <w:tab w:val="clear" w:pos="966"/>
              <w:tab w:val="clear" w:pos="1204"/>
              <w:tab w:val="clear" w:pos="1442"/>
              <w:tab w:val="clear" w:pos="9514"/>
            </w:tabs>
          </w:pPr>
          <w:r>
            <w:fldChar w:fldCharType="begin"/>
          </w:r>
          <w:r>
            <w:instrText xml:space="preserve"> HYPERLINK \l _Toc21813 </w:instrText>
          </w:r>
          <w:r>
            <w:fldChar w:fldCharType="separate"/>
          </w:r>
          <w:r>
            <w:rPr>
              <w:rFonts w:hint="eastAsia" w:ascii="宋体" w:hAnsi="宋体" w:eastAsia="宋体"/>
              <w:i w:val="0"/>
            </w:rPr>
            <w:t xml:space="preserve">附件十七、 </w:t>
          </w:r>
          <w:r>
            <w:rPr>
              <w:rFonts w:hint="eastAsia" w:ascii="宋体" w:hAnsi="宋体" w:eastAsia="宋体"/>
            </w:rPr>
            <w:t>技术、服务评议对照表</w:t>
          </w:r>
          <w:r>
            <w:tab/>
          </w:r>
          <w:r>
            <w:fldChar w:fldCharType="begin"/>
          </w:r>
          <w:r>
            <w:instrText xml:space="preserve"> PAGEREF _Toc21813 \h </w:instrText>
          </w:r>
          <w:r>
            <w:fldChar w:fldCharType="separate"/>
          </w:r>
          <w:r>
            <w:t>58</w:t>
          </w:r>
          <w:r>
            <w:fldChar w:fldCharType="end"/>
          </w:r>
          <w:r>
            <w:fldChar w:fldCharType="end"/>
          </w:r>
        </w:p>
        <w:p>
          <w:pPr>
            <w:pStyle w:val="20"/>
            <w:tabs>
              <w:tab w:val="left" w:pos="1260"/>
              <w:tab w:val="right" w:leader="dot" w:pos="8222"/>
            </w:tabs>
          </w:pPr>
          <w:r>
            <w:fldChar w:fldCharType="end"/>
          </w:r>
          <w:r>
            <w:rPr>
              <w:b w:val="0"/>
              <w:bCs/>
              <w:lang w:val="zh-CN"/>
            </w:rPr>
            <w:tab/>
          </w:r>
        </w:p>
      </w:sdtContent>
    </w:sdt>
    <w:p>
      <w:pPr>
        <w:pStyle w:val="3"/>
        <w:numPr>
          <w:ilvl w:val="0"/>
          <w:numId w:val="1"/>
        </w:numPr>
        <w:spacing w:before="240" w:after="0" w:line="240" w:lineRule="auto"/>
        <w:ind w:left="883" w:hanging="880" w:hangingChars="200"/>
        <w:jc w:val="center"/>
        <w:rPr>
          <w:rFonts w:ascii="黑体" w:hAnsi="黑体" w:eastAsia="黑体"/>
        </w:rPr>
        <w:sectPr>
          <w:footerReference r:id="rId6" w:type="default"/>
          <w:pgSz w:w="11906" w:h="16838"/>
          <w:pgMar w:top="1020" w:right="1417" w:bottom="1020" w:left="1587" w:header="624" w:footer="510" w:gutter="0"/>
          <w:pgNumType w:fmt="decimal" w:start="1"/>
          <w:cols w:space="425" w:num="1"/>
          <w:docGrid w:type="linesAndChars" w:linePitch="312" w:charSpace="0"/>
        </w:sectPr>
      </w:pPr>
    </w:p>
    <w:p>
      <w:pPr>
        <w:pStyle w:val="3"/>
        <w:numPr>
          <w:ilvl w:val="0"/>
          <w:numId w:val="1"/>
        </w:numPr>
        <w:spacing w:before="240" w:after="0" w:line="240" w:lineRule="auto"/>
        <w:ind w:left="883" w:hanging="880" w:hangingChars="200"/>
        <w:jc w:val="center"/>
        <w:rPr>
          <w:rFonts w:ascii="黑体" w:hAnsi="黑体" w:eastAsia="黑体"/>
        </w:rPr>
      </w:pPr>
      <w:bookmarkStart w:id="0" w:name="_Toc14418"/>
      <w:r>
        <w:rPr>
          <w:rFonts w:hint="eastAsia" w:ascii="黑体" w:hAnsi="黑体" w:eastAsia="黑体"/>
        </w:rPr>
        <w:t>投标邀请书</w:t>
      </w:r>
      <w:bookmarkEnd w:id="0"/>
    </w:p>
    <w:tbl>
      <w:tblPr>
        <w:tblStyle w:val="27"/>
        <w:tblW w:w="8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8923" w:type="dxa"/>
          </w:tcPr>
          <w:p>
            <w:pPr>
              <w:pStyle w:val="23"/>
              <w:widowControl/>
              <w:snapToGrid w:val="0"/>
              <w:spacing w:beforeAutospacing="0" w:afterAutospacing="0" w:line="288" w:lineRule="auto"/>
              <w:ind w:right="330" w:firstLine="480" w:firstLineChars="200"/>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阳新县住房和城乡建设局2022年-2023年建设项目造价咨询服务的潜在投标人应在：“</w:t>
            </w:r>
            <w:r>
              <w:rPr>
                <w:rFonts w:hint="eastAsia" w:ascii="Times New Roman" w:hAnsi="Times New Roman" w:eastAsia="宋体"/>
                <w:color w:val="000000" w:themeColor="text1"/>
                <w:kern w:val="2"/>
                <w:szCs w:val="24"/>
                <w14:textFill>
                  <w14:solidFill>
                    <w14:schemeClr w14:val="tx1"/>
                  </w14:solidFill>
                </w14:textFill>
              </w:rPr>
              <w:t>湖北政府采购网</w:t>
            </w:r>
            <w:r>
              <w:rPr>
                <w:rFonts w:hint="eastAsia" w:ascii="Times New Roman" w:hAnsi="Times New Roman" w:eastAsia="宋体"/>
                <w:color w:val="000000" w:themeColor="text1"/>
                <w:kern w:val="2"/>
                <w:szCs w:val="24"/>
                <w:lang w:val="hr-HR"/>
                <w14:textFill>
                  <w14:solidFill>
                    <w14:schemeClr w14:val="tx1"/>
                  </w14:solidFill>
                </w14:textFill>
              </w:rPr>
              <w:t>”“黄石公共资源交易信息网”及“阳新县人民政府网”点击本公告中的链接下载获取招标文件，并于</w:t>
            </w:r>
            <w:r>
              <w:rPr>
                <w:rFonts w:hint="eastAsia" w:ascii="Times New Roman" w:hAnsi="Times New Roman" w:eastAsia="宋体"/>
                <w:color w:val="000000" w:themeColor="text1"/>
                <w:kern w:val="2"/>
                <w:szCs w:val="24"/>
                <w14:textFill>
                  <w14:solidFill>
                    <w14:schemeClr w14:val="tx1"/>
                  </w14:solidFill>
                </w14:textFill>
              </w:rPr>
              <w:t>2022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14:textFill>
                  <w14:solidFill>
                    <w14:schemeClr w14:val="tx1"/>
                  </w14:solidFill>
                </w14:textFill>
              </w:rPr>
              <w:t>00</w:t>
            </w:r>
            <w:r>
              <w:rPr>
                <w:rFonts w:hint="eastAsia" w:ascii="Times New Roman" w:hAnsi="Times New Roman" w:eastAsia="宋体"/>
                <w:color w:val="000000" w:themeColor="text1"/>
                <w:kern w:val="2"/>
                <w:szCs w:val="24"/>
                <w:lang w:val="hr-HR"/>
                <w14:textFill>
                  <w14:solidFill>
                    <w14:schemeClr w14:val="tx1"/>
                  </w14:solidFill>
                </w14:textFill>
              </w:rPr>
              <w:t>分（北京时间）前递交投标文件。</w:t>
            </w:r>
          </w:p>
        </w:tc>
      </w:tr>
    </w:tbl>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一、项目基本情况</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en-US" w:eastAsia="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1、项目编号：131-2022CG-</w:t>
      </w:r>
      <w:r>
        <w:rPr>
          <w:rFonts w:hint="eastAsia" w:ascii="Times New Roman" w:hAnsi="Times New Roman" w:eastAsia="宋体"/>
          <w:color w:val="000000" w:themeColor="text1"/>
          <w:kern w:val="2"/>
          <w:szCs w:val="24"/>
          <w:lang w:val="en-US" w:eastAsia="zh-CN"/>
          <w14:textFill>
            <w14:solidFill>
              <w14:schemeClr w14:val="tx1"/>
            </w14:solidFill>
          </w14:textFill>
        </w:rPr>
        <w:t>117</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2、政府采购计划备案编号：阳财采计备【2022】C0603号</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3、项目名称：阳新县住房和城乡建设局2022年-2023年建设项目造价咨询服务</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4、采购方式：公开招标</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5、</w:t>
      </w:r>
      <w:r>
        <w:rPr>
          <w:rFonts w:hint="eastAsia" w:ascii="Times New Roman" w:hAnsi="Times New Roman" w:eastAsia="宋体"/>
          <w:color w:val="000000" w:themeColor="text1"/>
          <w:kern w:val="2"/>
          <w:szCs w:val="24"/>
          <w:lang w:val="en-US" w:eastAsia="zh-CN"/>
          <w14:textFill>
            <w14:solidFill>
              <w14:schemeClr w14:val="tx1"/>
            </w14:solidFill>
          </w14:textFill>
        </w:rPr>
        <w:t>最高限</w:t>
      </w:r>
      <w:r>
        <w:rPr>
          <w:rFonts w:hint="eastAsia" w:ascii="Times New Roman" w:hAnsi="Times New Roman" w:eastAsia="宋体"/>
          <w:color w:val="000000" w:themeColor="text1"/>
          <w:kern w:val="2"/>
          <w:szCs w:val="24"/>
          <w:lang w:val="zh-CN"/>
          <w14:textFill>
            <w14:solidFill>
              <w14:schemeClr w14:val="tx1"/>
            </w14:solidFill>
          </w14:textFill>
        </w:rPr>
        <w:t>价：以</w:t>
      </w:r>
      <w:r>
        <w:rPr>
          <w:rFonts w:hint="eastAsia" w:ascii="Times New Roman" w:hAnsi="Times New Roman" w:eastAsia="宋体"/>
          <w:color w:val="000000" w:themeColor="text1"/>
          <w:kern w:val="2"/>
          <w:szCs w:val="24"/>
          <w:lang w:val="en-US" w:eastAsia="zh-CN"/>
          <w14:textFill>
            <w14:solidFill>
              <w14:schemeClr w14:val="tx1"/>
            </w14:solidFill>
          </w14:textFill>
        </w:rPr>
        <w:t>具体项目的</w:t>
      </w:r>
      <w:r>
        <w:rPr>
          <w:rFonts w:hint="eastAsia" w:ascii="Times New Roman" w:hAnsi="Times New Roman" w:eastAsia="宋体"/>
          <w:color w:val="000000" w:themeColor="text1"/>
          <w:kern w:val="2"/>
          <w:szCs w:val="24"/>
          <w:lang w:val="zh-CN"/>
          <w14:textFill>
            <w14:solidFill>
              <w14:schemeClr w14:val="tx1"/>
            </w14:solidFill>
          </w14:textFill>
        </w:rPr>
        <w:t>最终财政评审</w:t>
      </w:r>
      <w:r>
        <w:rPr>
          <w:rFonts w:hint="eastAsia" w:ascii="Times New Roman" w:hAnsi="Times New Roman" w:eastAsia="宋体"/>
          <w:color w:val="000000" w:themeColor="text1"/>
          <w:kern w:val="2"/>
          <w:szCs w:val="24"/>
          <w:lang w:val="en-US" w:eastAsia="zh-CN"/>
          <w14:textFill>
            <w14:solidFill>
              <w14:schemeClr w14:val="tx1"/>
            </w14:solidFill>
          </w14:textFill>
        </w:rPr>
        <w:t>价按国家规定的收费标准金额作为最高限价</w:t>
      </w:r>
      <w:r>
        <w:rPr>
          <w:rFonts w:hint="eastAsia" w:ascii="Times New Roman" w:hAnsi="Times New Roman" w:eastAsia="宋体"/>
          <w:color w:val="000000" w:themeColor="text1"/>
          <w:kern w:val="2"/>
          <w:szCs w:val="24"/>
          <w:lang w:val="zh-CN"/>
          <w14:textFill>
            <w14:solidFill>
              <w14:schemeClr w14:val="tx1"/>
            </w14:solidFill>
          </w14:textFill>
        </w:rPr>
        <w:t>。</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en-US" w:eastAsia="zh-CN"/>
          <w14:textFill>
            <w14:solidFill>
              <w14:schemeClr w14:val="tx1"/>
            </w14:solidFill>
          </w14:textFill>
        </w:rPr>
        <w:t>6、投标报价：</w:t>
      </w:r>
      <w:r>
        <w:rPr>
          <w:rFonts w:hint="eastAsia" w:ascii="Times New Roman" w:hAnsi="Times New Roman" w:eastAsia="宋体"/>
          <w:color w:val="000000" w:themeColor="text1"/>
          <w:kern w:val="2"/>
          <w:szCs w:val="24"/>
          <w:lang w:val="zh-CN"/>
          <w14:textFill>
            <w14:solidFill>
              <w14:schemeClr w14:val="tx1"/>
            </w14:solidFill>
          </w14:textFill>
        </w:rPr>
        <w:t>按</w:t>
      </w:r>
      <w:r>
        <w:rPr>
          <w:rFonts w:hint="eastAsia" w:ascii="Times New Roman" w:hAnsi="Times New Roman" w:eastAsia="宋体"/>
          <w:color w:val="000000" w:themeColor="text1"/>
          <w:kern w:val="2"/>
          <w:szCs w:val="24"/>
          <w:lang w:val="en-US" w:eastAsia="zh-CN"/>
          <w14:textFill>
            <w14:solidFill>
              <w14:schemeClr w14:val="tx1"/>
            </w14:solidFill>
          </w14:textFill>
        </w:rPr>
        <w:t>上述最高限价的</w:t>
      </w:r>
      <w:r>
        <w:rPr>
          <w:rFonts w:hint="eastAsia" w:ascii="Times New Roman" w:hAnsi="Times New Roman" w:eastAsia="宋体"/>
          <w:color w:val="000000" w:themeColor="text1"/>
          <w:kern w:val="2"/>
          <w:szCs w:val="24"/>
          <w:lang w:val="zh-CN"/>
          <w14:textFill>
            <w14:solidFill>
              <w14:schemeClr w14:val="tx1"/>
            </w14:solidFill>
          </w14:textFill>
        </w:rPr>
        <w:t>下浮率报价</w:t>
      </w:r>
      <w:r>
        <w:rPr>
          <w:rFonts w:hint="eastAsia" w:ascii="Times New Roman" w:hAnsi="Times New Roman" w:eastAsia="宋体"/>
          <w:color w:val="000000" w:themeColor="text1"/>
          <w:kern w:val="2"/>
          <w:szCs w:val="24"/>
          <w:lang w:val="hr-HR"/>
          <w14:textFill>
            <w14:solidFill>
              <w14:schemeClr w14:val="tx1"/>
            </w14:solidFill>
          </w14:textFill>
        </w:rPr>
        <w:t>。</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采购需求：阳新县住房和城乡建设局2022年-2023年建设项目造价咨询服务服务</w:t>
      </w:r>
      <w:r>
        <w:rPr>
          <w:rFonts w:hint="eastAsia" w:ascii="Times New Roman" w:hAnsi="Times New Roman" w:eastAsia="宋体"/>
          <w:color w:val="000000" w:themeColor="text1"/>
          <w:kern w:val="2"/>
          <w:szCs w:val="24"/>
          <w:lang w:val="zh-CN"/>
          <w14:textFill>
            <w14:solidFill>
              <w14:schemeClr w14:val="tx1"/>
            </w14:solidFill>
          </w14:textFill>
        </w:rPr>
        <w:t>工作（包含37个项目）。</w:t>
      </w:r>
      <w:r>
        <w:rPr>
          <w:rFonts w:hint="eastAsia" w:ascii="Times New Roman" w:hAnsi="Times New Roman" w:eastAsia="宋体"/>
          <w:color w:val="000000" w:themeColor="text1"/>
          <w:kern w:val="2"/>
          <w:szCs w:val="24"/>
          <w:lang w:val="hr-HR"/>
          <w14:textFill>
            <w14:solidFill>
              <w14:schemeClr w14:val="tx1"/>
            </w14:solidFill>
          </w14:textFill>
        </w:rPr>
        <w:t>详见本项目招标文件第三章采购需求。</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en-US" w:eastAsia="zh-CN"/>
          <w14:textFill>
            <w14:solidFill>
              <w14:schemeClr w14:val="tx1"/>
            </w14:solidFill>
          </w14:textFill>
        </w:rPr>
        <w:t>8</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合同履行期限：以合同签订日期为准。</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en-US" w:eastAsia="zh-CN"/>
          <w14:textFill>
            <w14:solidFill>
              <w14:schemeClr w14:val="tx1"/>
            </w14:solidFill>
          </w14:textFill>
        </w:rPr>
        <w:t>9</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本项目（是/否）接受联合体投标：</w:t>
      </w:r>
      <w:r>
        <w:rPr>
          <w:rFonts w:hint="eastAsia" w:ascii="Times New Roman" w:hAnsi="Times New Roman" w:eastAsia="宋体"/>
          <w:color w:val="000000" w:themeColor="text1"/>
          <w:kern w:val="2"/>
          <w:szCs w:val="24"/>
          <w:lang w:val="zh-CN"/>
          <w14:textFill>
            <w14:solidFill>
              <w14:schemeClr w14:val="tx1"/>
            </w14:solidFill>
          </w14:textFill>
        </w:rPr>
        <w:t>否</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en-US" w:eastAsia="zh-CN"/>
          <w14:textFill>
            <w14:solidFill>
              <w14:schemeClr w14:val="tx1"/>
            </w14:solidFill>
          </w14:textFill>
        </w:rPr>
        <w:t>10</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是否可采购进口产品：否</w:t>
      </w:r>
    </w:p>
    <w:p>
      <w:pPr>
        <w:pStyle w:val="23"/>
        <w:widowControl/>
        <w:snapToGrid w:val="0"/>
        <w:spacing w:beforeAutospacing="0" w:afterAutospacing="0" w:line="288" w:lineRule="auto"/>
        <w:ind w:left="228" w:leftChars="109" w:right="-54" w:firstLine="98" w:firstLineChars="41"/>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w:t>
      </w:r>
      <w:r>
        <w:rPr>
          <w:rFonts w:hint="eastAsia" w:ascii="Times New Roman" w:hAnsi="Times New Roman" w:eastAsia="宋体"/>
          <w:color w:val="000000" w:themeColor="text1"/>
          <w:kern w:val="2"/>
          <w:szCs w:val="24"/>
          <w:lang w:val="en-US" w:eastAsia="zh-CN"/>
          <w14:textFill>
            <w14:solidFill>
              <w14:schemeClr w14:val="tx1"/>
            </w14:solidFill>
          </w14:textFill>
        </w:rPr>
        <w:t>1</w:t>
      </w: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lang w:val="hr-HR"/>
          <w14:textFill>
            <w14:solidFill>
              <w14:schemeClr w14:val="tx1"/>
            </w14:solidFill>
          </w14:textFill>
        </w:rPr>
        <w:t>本项目（是/否）专门面向中小微企业：</w:t>
      </w:r>
      <w:r>
        <w:rPr>
          <w:rFonts w:hint="eastAsia" w:ascii="Times New Roman" w:hAnsi="Times New Roman" w:eastAsia="宋体"/>
          <w:color w:val="000000" w:themeColor="text1"/>
          <w:kern w:val="2"/>
          <w:szCs w:val="24"/>
          <w:lang w:val="zh-CN"/>
          <w14:textFill>
            <w14:solidFill>
              <w14:schemeClr w14:val="tx1"/>
            </w14:solidFill>
          </w14:textFill>
        </w:rPr>
        <w:t>是</w:t>
      </w:r>
    </w:p>
    <w:p>
      <w:pPr>
        <w:pStyle w:val="23"/>
        <w:widowControl/>
        <w:snapToGrid w:val="0"/>
        <w:spacing w:beforeAutospacing="0" w:afterAutospacing="0" w:line="288" w:lineRule="auto"/>
        <w:ind w:left="330"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二、申请人的资格要求</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1、应具备《政府采购法》第二十二条第一款规定的条件；</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（1）具有独立承担民事责任的能力；</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（2）具有良好的商业信誉和健全的财务会计制度；</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（3）具有履行合同所必需的设备和专业技术能力；</w:t>
      </w:r>
      <w:bookmarkStart w:id="233" w:name="_GoBack"/>
      <w:bookmarkEnd w:id="233"/>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（4）有依法缴纳税收和社会保障资金的良好记录；</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（5）参加政府采购活动前三年内，在经营活动中没有重大违法记录；</w:t>
      </w:r>
    </w:p>
    <w:p>
      <w:pPr>
        <w:pStyle w:val="23"/>
        <w:widowControl/>
        <w:snapToGrid w:val="0"/>
        <w:spacing w:beforeAutospacing="0" w:afterAutospacing="0" w:line="288" w:lineRule="auto"/>
        <w:ind w:left="228" w:leftChars="109" w:right="-54" w:firstLine="98" w:firstLineChars="41"/>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（6）法律、行政法规规定的其他条件。</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2、单位负责人为同一人或者存在直接控股、管理关系的不同投标人，不得参加本项目同一合同项下的政府采购活动。</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3、为本采购项目提供整体设计、规范编制或者项目管理、监理、检测等服务的，不得再参加本项目的其他招标采购活动。</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4、未被列入失信被执行人、重大税收违法案件当事人名单，未被列入政府采购严重违法失信行为记录名单。</w:t>
      </w:r>
    </w:p>
    <w:p>
      <w:pPr>
        <w:pStyle w:val="23"/>
        <w:widowControl/>
        <w:snapToGrid w:val="0"/>
        <w:spacing w:beforeAutospacing="0" w:afterAutospacing="0" w:line="288" w:lineRule="auto"/>
        <w:ind w:right="-54"/>
        <w:jc w:val="both"/>
        <w:rPr>
          <w:rFonts w:ascii="Times New Roman" w:hAnsi="Times New Roman" w:eastAsia="宋体"/>
          <w:color w:val="FF0000"/>
          <w:kern w:val="2"/>
          <w:szCs w:val="24"/>
          <w:lang w:val="zh-CN"/>
        </w:rPr>
      </w:pPr>
      <w:r>
        <w:rPr>
          <w:rFonts w:hint="eastAsia" w:ascii="Times New Roman" w:hAnsi="Times New Roman" w:eastAsia="宋体"/>
          <w:color w:val="000000" w:themeColor="text1"/>
          <w:kern w:val="2"/>
          <w:szCs w:val="24"/>
          <w:lang w:val="zh-CN"/>
          <w14:textFill>
            <w14:solidFill>
              <w14:schemeClr w14:val="tx1"/>
            </w14:solidFill>
          </w14:textFill>
        </w:rPr>
        <w:t>5、落实政府采购政策需满足的资格要求：</w:t>
      </w:r>
      <w:r>
        <w:rPr>
          <w:rFonts w:hint="eastAsia" w:ascii="Times New Roman" w:hAnsi="Times New Roman" w:eastAsia="宋体"/>
          <w:color w:val="FF0000"/>
          <w:kern w:val="2"/>
          <w:szCs w:val="24"/>
          <w:lang w:val="zh-CN"/>
        </w:rPr>
        <w:t>本项目专门面向中小企业采购，供应商应为符合《政府采购促进中小企业发展管理办法》（财库〔2020〕46号）规定的中小企业，提供中小企业声明函。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14:textFill>
            <w14:solidFill>
              <w14:schemeClr w14:val="tx1"/>
            </w14:solidFill>
          </w14:textFill>
        </w:rPr>
        <w:t>6</w:t>
      </w:r>
      <w:r>
        <w:rPr>
          <w:rFonts w:hint="eastAsia" w:ascii="Times New Roman" w:hAnsi="Times New Roman" w:eastAsia="宋体"/>
          <w:color w:val="000000" w:themeColor="text1"/>
          <w:kern w:val="2"/>
          <w:szCs w:val="24"/>
          <w:lang w:val="zh-CN"/>
          <w14:textFill>
            <w14:solidFill>
              <w14:schemeClr w14:val="tx1"/>
            </w14:solidFill>
          </w14:textFill>
        </w:rPr>
        <w:t>、特定条件：</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1</w:t>
      </w:r>
      <w:r>
        <w:rPr>
          <w:rFonts w:hint="eastAsia" w:ascii="Times New Roman" w:hAnsi="Times New Roman" w:eastAsia="宋体"/>
          <w:color w:val="000000" w:themeColor="text1"/>
          <w:kern w:val="2"/>
          <w:szCs w:val="24"/>
          <w:lang w:val="zh-CN"/>
          <w14:textFill>
            <w14:solidFill>
              <w14:schemeClr w14:val="tx1"/>
            </w14:solidFill>
          </w14:textFill>
        </w:rPr>
        <w:t>）投标人须为在中国境内登记注册的、具有独立承担民事责任的法人或其他组织；</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2</w:t>
      </w:r>
      <w:r>
        <w:rPr>
          <w:rFonts w:hint="eastAsia" w:ascii="Times New Roman" w:hAnsi="Times New Roman" w:eastAsia="宋体"/>
          <w:color w:val="000000" w:themeColor="text1"/>
          <w:kern w:val="2"/>
          <w:szCs w:val="24"/>
          <w:lang w:val="zh-CN"/>
          <w14:textFill>
            <w14:solidFill>
              <w14:schemeClr w14:val="tx1"/>
            </w14:solidFill>
          </w14:textFill>
        </w:rPr>
        <w:t>）投标人拟派本项目</w:t>
      </w:r>
      <w:r>
        <w:rPr>
          <w:rFonts w:hint="eastAsia" w:ascii="Times New Roman" w:hAnsi="Times New Roman" w:eastAsia="宋体"/>
          <w:color w:val="000000" w:themeColor="text1"/>
          <w:kern w:val="2"/>
          <w:szCs w:val="24"/>
          <w14:textFill>
            <w14:solidFill>
              <w14:schemeClr w14:val="tx1"/>
            </w14:solidFill>
          </w14:textFill>
        </w:rPr>
        <w:t>负责人</w:t>
      </w:r>
      <w:r>
        <w:rPr>
          <w:rFonts w:hint="eastAsia" w:ascii="Times New Roman" w:hAnsi="Times New Roman" w:eastAsia="宋体"/>
          <w:color w:val="000000" w:themeColor="text1"/>
          <w:kern w:val="2"/>
          <w:szCs w:val="24"/>
          <w:lang w:val="zh-CN"/>
          <w14:textFill>
            <w14:solidFill>
              <w14:schemeClr w14:val="tx1"/>
            </w14:solidFill>
          </w14:textFill>
        </w:rPr>
        <w:t>要求：</w:t>
      </w:r>
      <w:r>
        <w:rPr>
          <w:rFonts w:hint="eastAsia" w:ascii="Times New Roman" w:hAnsi="Times New Roman" w:eastAsia="宋体"/>
          <w:color w:val="000000" w:themeColor="text1"/>
          <w:kern w:val="2"/>
          <w:szCs w:val="24"/>
          <w14:textFill>
            <w14:solidFill>
              <w14:schemeClr w14:val="tx1"/>
            </w14:solidFill>
          </w14:textFill>
        </w:rPr>
        <w:t>项目负责人</w:t>
      </w:r>
      <w:r>
        <w:rPr>
          <w:rFonts w:hint="eastAsia" w:ascii="Times New Roman" w:hAnsi="Times New Roman" w:eastAsia="宋体"/>
          <w:color w:val="000000" w:themeColor="text1"/>
          <w:kern w:val="2"/>
          <w:szCs w:val="24"/>
          <w:lang w:val="zh-CN"/>
          <w14:textFill>
            <w14:solidFill>
              <w14:schemeClr w14:val="tx1"/>
            </w14:solidFill>
          </w14:textFill>
        </w:rPr>
        <w:t>具有国家</w:t>
      </w:r>
      <w:r>
        <w:rPr>
          <w:rFonts w:hint="eastAsia" w:ascii="Times New Roman" w:hAnsi="Times New Roman" w:eastAsia="宋体"/>
          <w:color w:val="000000" w:themeColor="text1"/>
          <w:kern w:val="2"/>
          <w:szCs w:val="24"/>
          <w14:textFill>
            <w14:solidFill>
              <w14:schemeClr w14:val="tx1"/>
            </w14:solidFill>
          </w14:textFill>
        </w:rPr>
        <w:t>一级造价</w:t>
      </w:r>
      <w:r>
        <w:rPr>
          <w:rFonts w:hint="eastAsia" w:ascii="Times New Roman" w:hAnsi="Times New Roman" w:eastAsia="宋体"/>
          <w:color w:val="000000" w:themeColor="text1"/>
          <w:kern w:val="2"/>
          <w:szCs w:val="24"/>
          <w:lang w:val="zh-CN"/>
          <w14:textFill>
            <w14:solidFill>
              <w14:schemeClr w14:val="tx1"/>
            </w14:solidFill>
          </w14:textFill>
        </w:rPr>
        <w:t>师注册执业证书</w:t>
      </w:r>
      <w:r>
        <w:rPr>
          <w:rFonts w:hint="eastAsia" w:ascii="Times New Roman" w:hAnsi="Times New Roman" w:eastAsia="宋体"/>
          <w:color w:val="000000" w:themeColor="text1"/>
          <w:kern w:val="2"/>
          <w:szCs w:val="24"/>
          <w14:textFill>
            <w14:solidFill>
              <w14:schemeClr w14:val="tx1"/>
            </w14:solidFill>
          </w14:textFill>
        </w:rPr>
        <w:t>及高级工程师职称并</w:t>
      </w:r>
      <w:r>
        <w:rPr>
          <w:rFonts w:hint="eastAsia" w:ascii="Times New Roman" w:hAnsi="Times New Roman" w:eastAsia="宋体"/>
          <w:color w:val="000000" w:themeColor="text1"/>
          <w:kern w:val="2"/>
          <w:szCs w:val="24"/>
          <w:lang w:val="zh-CN"/>
          <w14:textFill>
            <w14:solidFill>
              <w14:schemeClr w14:val="tx1"/>
            </w14:solidFill>
          </w14:textFill>
        </w:rPr>
        <w:t>在本单位注册；</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3</w:t>
      </w:r>
      <w:r>
        <w:rPr>
          <w:rFonts w:hint="eastAsia" w:ascii="Times New Roman" w:hAnsi="Times New Roman" w:eastAsia="宋体"/>
          <w:color w:val="000000" w:themeColor="text1"/>
          <w:kern w:val="2"/>
          <w:szCs w:val="24"/>
          <w:lang w:val="zh-CN"/>
          <w14:textFill>
            <w14:solidFill>
              <w14:schemeClr w14:val="tx1"/>
            </w14:solidFill>
          </w14:textFill>
        </w:rPr>
        <w:t>）投标人须提供近三年经会计师事务所或审计机构审计的财务会计报告；</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4</w:t>
      </w:r>
      <w:r>
        <w:rPr>
          <w:rFonts w:hint="eastAsia" w:ascii="Times New Roman" w:hAnsi="Times New Roman" w:eastAsia="宋体"/>
          <w:color w:val="000000" w:themeColor="text1"/>
          <w:kern w:val="2"/>
          <w:szCs w:val="24"/>
          <w:lang w:val="zh-CN"/>
          <w14:textFill>
            <w14:solidFill>
              <w14:schemeClr w14:val="tx1"/>
            </w14:solidFill>
          </w14:textFill>
        </w:rPr>
        <w:t>）投标人须具备良好信誉，未被责令停业；未被暂停或取消投标资格；财产未被接管或冻结；近三年（从投标截止日往前推算）没有骗取中标或严重违约或重大工程质量问题；</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5</w:t>
      </w:r>
      <w:r>
        <w:rPr>
          <w:rFonts w:hint="eastAsia" w:ascii="Times New Roman" w:hAnsi="Times New Roman" w:eastAsia="宋体"/>
          <w:color w:val="000000" w:themeColor="text1"/>
          <w:kern w:val="2"/>
          <w:szCs w:val="24"/>
          <w:lang w:val="zh-CN"/>
          <w14:textFill>
            <w14:solidFill>
              <w14:schemeClr w14:val="tx1"/>
            </w14:solidFill>
          </w14:textFill>
        </w:rPr>
        <w:t>）投标人须提供投标人法定代表人、拟派本项目的</w:t>
      </w:r>
      <w:r>
        <w:rPr>
          <w:rFonts w:hint="eastAsia" w:ascii="Times New Roman" w:hAnsi="Times New Roman" w:eastAsia="宋体"/>
          <w:color w:val="000000" w:themeColor="text1"/>
          <w:kern w:val="2"/>
          <w:szCs w:val="24"/>
          <w14:textFill>
            <w14:solidFill>
              <w14:schemeClr w14:val="tx1"/>
            </w14:solidFill>
          </w14:textFill>
        </w:rPr>
        <w:t>项目负责人等主要人员的近3个月的社保证明及劳动合同；</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w:t>
      </w:r>
      <w:r>
        <w:rPr>
          <w:rFonts w:hint="eastAsia" w:ascii="Times New Roman" w:hAnsi="Times New Roman" w:eastAsia="宋体"/>
          <w:color w:val="000000" w:themeColor="text1"/>
          <w:kern w:val="2"/>
          <w:szCs w:val="24"/>
          <w14:textFill>
            <w14:solidFill>
              <w14:schemeClr w14:val="tx1"/>
            </w14:solidFill>
          </w14:textFill>
        </w:rPr>
        <w:t>6</w:t>
      </w:r>
      <w:r>
        <w:rPr>
          <w:rFonts w:hint="eastAsia" w:ascii="Times New Roman" w:hAnsi="Times New Roman" w:eastAsia="宋体"/>
          <w:color w:val="000000" w:themeColor="text1"/>
          <w:kern w:val="2"/>
          <w:szCs w:val="24"/>
          <w:lang w:val="zh-CN"/>
          <w14:textFill>
            <w14:solidFill>
              <w14:schemeClr w14:val="tx1"/>
            </w14:solidFill>
          </w14:textFill>
        </w:rPr>
        <w:t>）投标人须</w:t>
      </w:r>
      <w:r>
        <w:rPr>
          <w:rFonts w:hint="eastAsia" w:ascii="Times New Roman" w:hAnsi="Times New Roman" w:eastAsia="宋体"/>
          <w:color w:val="000000" w:themeColor="text1"/>
          <w:kern w:val="2"/>
          <w:szCs w:val="24"/>
          <w14:textFill>
            <w14:solidFill>
              <w14:schemeClr w14:val="tx1"/>
            </w14:solidFill>
          </w14:textFill>
        </w:rPr>
        <w:t>提供编制的报告符合GB50500-2013清单计价规范要求声明；项目负责人及主要项目管理人员进驻现场承诺声明；项目成果文件保密承诺声明（成果文件只提供委托方主要负责人）。</w:t>
      </w:r>
    </w:p>
    <w:p>
      <w:pPr>
        <w:pStyle w:val="23"/>
        <w:widowControl/>
        <w:snapToGrid w:val="0"/>
        <w:spacing w:beforeAutospacing="0" w:afterAutospacing="0" w:line="288" w:lineRule="auto"/>
        <w:ind w:right="330"/>
        <w:jc w:val="both"/>
        <w:rPr>
          <w:rFonts w:ascii="宋体" w:hAnsi="宋体" w:cs="宋体"/>
          <w:b/>
          <w:szCs w:val="24"/>
          <w:lang w:val="hr-HR"/>
        </w:rPr>
      </w:pPr>
      <w:r>
        <w:rPr>
          <w:rFonts w:hint="eastAsia" w:ascii="宋体" w:hAnsi="宋体" w:cs="宋体"/>
          <w:b/>
          <w:szCs w:val="24"/>
          <w:lang w:val="hr-HR"/>
        </w:rPr>
        <w:t>三、获取招标文件</w:t>
      </w:r>
    </w:p>
    <w:p>
      <w:pPr>
        <w:pStyle w:val="23"/>
        <w:widowControl/>
        <w:snapToGrid w:val="0"/>
        <w:spacing w:beforeAutospacing="0" w:afterAutospacing="0" w:line="288" w:lineRule="auto"/>
        <w:ind w:right="330"/>
        <w:jc w:val="both"/>
        <w:rPr>
          <w:rFonts w:ascii="宋体" w:hAnsi="宋体"/>
          <w:szCs w:val="24"/>
          <w:highlight w:val="yellow"/>
        </w:rPr>
      </w:pPr>
      <w:r>
        <w:rPr>
          <w:rFonts w:hint="eastAsia" w:ascii="宋体" w:hAnsi="宋体"/>
          <w:szCs w:val="24"/>
        </w:rPr>
        <w:t>本项目实行网上下载标书，招标文件与本招标公告同时</w:t>
      </w:r>
      <w:r>
        <w:rPr>
          <w:rFonts w:hint="eastAsia"/>
          <w:szCs w:val="24"/>
        </w:rPr>
        <w:t>在“湖北政府采购网”“黄石市公共资源交易信息网”及“阳新县人民政府网”</w:t>
      </w:r>
      <w:r>
        <w:rPr>
          <w:rFonts w:hint="eastAsia" w:ascii="宋体" w:hAnsi="宋体"/>
          <w:szCs w:val="24"/>
        </w:rPr>
        <w:t>发布（见招标文件下载），凡自愿参加本项目投标者，请于2022年</w:t>
      </w:r>
      <w:r>
        <w:rPr>
          <w:rFonts w:hint="eastAsia" w:ascii="宋体" w:hAnsi="宋体"/>
          <w:szCs w:val="24"/>
          <w:lang w:val="en-US" w:eastAsia="zh-CN"/>
        </w:rPr>
        <w:t>6</w:t>
      </w:r>
      <w:r>
        <w:rPr>
          <w:rFonts w:hint="eastAsia" w:ascii="宋体" w:hAnsi="宋体"/>
          <w:szCs w:val="24"/>
        </w:rPr>
        <w:t>月</w:t>
      </w:r>
      <w:r>
        <w:rPr>
          <w:rFonts w:hint="eastAsia" w:ascii="宋体" w:hAnsi="宋体"/>
          <w:szCs w:val="24"/>
          <w:lang w:val="en-US" w:eastAsia="zh-CN"/>
        </w:rPr>
        <w:t>28</w:t>
      </w:r>
      <w:r>
        <w:rPr>
          <w:rFonts w:hint="eastAsia" w:ascii="宋体" w:hAnsi="宋体"/>
          <w:szCs w:val="24"/>
        </w:rPr>
        <w:t>日至2022年</w:t>
      </w:r>
      <w:r>
        <w:rPr>
          <w:rFonts w:hint="eastAsia" w:ascii="宋体" w:hAnsi="宋体"/>
          <w:szCs w:val="24"/>
          <w:lang w:val="en-US" w:eastAsia="zh-CN"/>
        </w:rPr>
        <w:t>7</w:t>
      </w:r>
      <w:r>
        <w:rPr>
          <w:rFonts w:hint="eastAsia" w:ascii="宋体" w:hAnsi="宋体"/>
          <w:szCs w:val="24"/>
        </w:rPr>
        <w:t>月</w:t>
      </w:r>
      <w:r>
        <w:rPr>
          <w:rFonts w:hint="eastAsia" w:ascii="宋体" w:hAnsi="宋体"/>
          <w:szCs w:val="24"/>
          <w:lang w:val="en-US" w:eastAsia="zh-CN"/>
        </w:rPr>
        <w:t>4</w:t>
      </w:r>
      <w:r>
        <w:rPr>
          <w:rFonts w:hint="eastAsia" w:ascii="宋体" w:hAnsi="宋体"/>
          <w:szCs w:val="24"/>
        </w:rPr>
        <w:t>日17时30分前点击项目招标公告中的链接下载招标文件，并在投标截止时间前递交投标文件。</w:t>
      </w:r>
    </w:p>
    <w:p>
      <w:pPr>
        <w:pStyle w:val="23"/>
        <w:widowControl/>
        <w:snapToGrid w:val="0"/>
        <w:spacing w:beforeAutospacing="0" w:afterAutospacing="0" w:line="288" w:lineRule="auto"/>
        <w:ind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四、提交投标文件截止时间、开标时间和地点</w:t>
      </w:r>
    </w:p>
    <w:p>
      <w:pPr>
        <w:pStyle w:val="23"/>
        <w:widowControl/>
        <w:snapToGrid w:val="0"/>
        <w:spacing w:beforeAutospacing="0" w:afterAutospacing="0" w:line="288" w:lineRule="auto"/>
        <w:ind w:left="330" w:right="330"/>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1、开始时间：202</w:t>
      </w:r>
      <w:r>
        <w:rPr>
          <w:rFonts w:hint="eastAsia" w:ascii="Times New Roman" w:hAnsi="Times New Roman" w:eastAsia="宋体"/>
          <w:color w:val="000000" w:themeColor="text1"/>
          <w:kern w:val="2"/>
          <w:szCs w:val="24"/>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14:textFill>
            <w14:solidFill>
              <w14:schemeClr w14:val="tx1"/>
            </w14:solidFill>
          </w14:textFill>
        </w:rPr>
        <w:t>8</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14:textFill>
            <w14:solidFill>
              <w14:schemeClr w14:val="tx1"/>
            </w14:solidFill>
          </w14:textFill>
        </w:rPr>
        <w:t>30</w:t>
      </w:r>
      <w:r>
        <w:rPr>
          <w:rFonts w:hint="eastAsia" w:ascii="Times New Roman" w:hAnsi="Times New Roman" w:eastAsia="宋体"/>
          <w:color w:val="000000" w:themeColor="text1"/>
          <w:kern w:val="2"/>
          <w:szCs w:val="24"/>
          <w:lang w:val="hr-HR"/>
          <w14:textFill>
            <w14:solidFill>
              <w14:schemeClr w14:val="tx1"/>
            </w14:solidFill>
          </w14:textFill>
        </w:rPr>
        <w:t>分（北京时间）</w:t>
      </w:r>
    </w:p>
    <w:p>
      <w:pPr>
        <w:pStyle w:val="23"/>
        <w:widowControl/>
        <w:snapToGrid w:val="0"/>
        <w:spacing w:beforeAutospacing="0" w:afterAutospacing="0" w:line="288" w:lineRule="auto"/>
        <w:ind w:left="330" w:right="330"/>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2、截止时间：202</w:t>
      </w:r>
      <w:r>
        <w:rPr>
          <w:rFonts w:hint="eastAsia" w:ascii="Times New Roman" w:hAnsi="Times New Roman" w:eastAsia="宋体"/>
          <w:color w:val="000000" w:themeColor="text1"/>
          <w:kern w:val="2"/>
          <w:szCs w:val="24"/>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年</w:t>
      </w:r>
      <w:r>
        <w:rPr>
          <w:rFonts w:hint="eastAsia" w:ascii="Times New Roman" w:hAnsi="Times New Roman" w:eastAsia="宋体"/>
          <w:color w:val="000000" w:themeColor="text1"/>
          <w:kern w:val="2"/>
          <w:szCs w:val="24"/>
          <w:lang w:val="en-US" w:eastAsia="zh-CN"/>
          <w14:textFill>
            <w14:solidFill>
              <w14:schemeClr w14:val="tx1"/>
            </w14:solidFill>
          </w14:textFill>
        </w:rPr>
        <w:t>7</w:t>
      </w:r>
      <w:r>
        <w:rPr>
          <w:rFonts w:hint="eastAsia" w:ascii="Times New Roman" w:hAnsi="Times New Roman" w:eastAsia="宋体"/>
          <w:color w:val="000000" w:themeColor="text1"/>
          <w:kern w:val="2"/>
          <w:szCs w:val="24"/>
          <w:lang w:val="hr-HR"/>
          <w14:textFill>
            <w14:solidFill>
              <w14:schemeClr w14:val="tx1"/>
            </w14:solidFill>
          </w14:textFill>
        </w:rPr>
        <w:t>月</w:t>
      </w:r>
      <w:r>
        <w:rPr>
          <w:rFonts w:hint="eastAsia" w:ascii="Times New Roman" w:hAnsi="Times New Roman" w:eastAsia="宋体"/>
          <w:color w:val="000000" w:themeColor="text1"/>
          <w:kern w:val="2"/>
          <w:szCs w:val="24"/>
          <w:lang w:val="en-US" w:eastAsia="zh-CN"/>
          <w14:textFill>
            <w14:solidFill>
              <w14:schemeClr w14:val="tx1"/>
            </w14:solidFill>
          </w14:textFill>
        </w:rPr>
        <w:t>20</w:t>
      </w:r>
      <w:r>
        <w:rPr>
          <w:rFonts w:hint="eastAsia" w:ascii="Times New Roman" w:hAnsi="Times New Roman" w:eastAsia="宋体"/>
          <w:color w:val="000000" w:themeColor="text1"/>
          <w:kern w:val="2"/>
          <w:szCs w:val="24"/>
          <w:lang w:val="hr-HR"/>
          <w14:textFill>
            <w14:solidFill>
              <w14:schemeClr w14:val="tx1"/>
            </w14:solidFill>
          </w14:textFill>
        </w:rPr>
        <w:t>日</w:t>
      </w:r>
      <w:r>
        <w:rPr>
          <w:rFonts w:hint="eastAsia" w:ascii="Times New Roman" w:hAnsi="Times New Roman" w:eastAsia="宋体"/>
          <w:color w:val="000000" w:themeColor="text1"/>
          <w:kern w:val="2"/>
          <w:szCs w:val="24"/>
          <w14:textFill>
            <w14:solidFill>
              <w14:schemeClr w14:val="tx1"/>
            </w14:solidFill>
          </w14:textFill>
        </w:rPr>
        <w:t>9</w:t>
      </w:r>
      <w:r>
        <w:rPr>
          <w:rFonts w:hint="eastAsia" w:ascii="Times New Roman" w:hAnsi="Times New Roman" w:eastAsia="宋体"/>
          <w:color w:val="000000" w:themeColor="text1"/>
          <w:kern w:val="2"/>
          <w:szCs w:val="24"/>
          <w:lang w:val="hr-HR"/>
          <w14:textFill>
            <w14:solidFill>
              <w14:schemeClr w14:val="tx1"/>
            </w14:solidFill>
          </w14:textFill>
        </w:rPr>
        <w:t>点</w:t>
      </w:r>
      <w:r>
        <w:rPr>
          <w:rFonts w:hint="eastAsia" w:ascii="Times New Roman" w:hAnsi="Times New Roman" w:eastAsia="宋体"/>
          <w:color w:val="000000" w:themeColor="text1"/>
          <w:kern w:val="2"/>
          <w:szCs w:val="24"/>
          <w14:textFill>
            <w14:solidFill>
              <w14:schemeClr w14:val="tx1"/>
            </w14:solidFill>
          </w14:textFill>
        </w:rPr>
        <w:t>00</w:t>
      </w:r>
      <w:r>
        <w:rPr>
          <w:rFonts w:hint="eastAsia" w:ascii="Times New Roman" w:hAnsi="Times New Roman" w:eastAsia="宋体"/>
          <w:color w:val="000000" w:themeColor="text1"/>
          <w:kern w:val="2"/>
          <w:szCs w:val="24"/>
          <w:lang w:val="hr-HR"/>
          <w14:textFill>
            <w14:solidFill>
              <w14:schemeClr w14:val="tx1"/>
            </w14:solidFill>
          </w14:textFill>
        </w:rPr>
        <w:t>分（北京时间）</w:t>
      </w:r>
    </w:p>
    <w:p>
      <w:pPr>
        <w:pStyle w:val="23"/>
        <w:widowControl/>
        <w:snapToGrid w:val="0"/>
        <w:spacing w:beforeAutospacing="0" w:afterAutospacing="0" w:line="288" w:lineRule="auto"/>
        <w:ind w:left="329" w:right="329"/>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3、地点：阳新县公共资源交易中心</w:t>
      </w:r>
      <w:r>
        <w:rPr>
          <w:rFonts w:hint="eastAsia" w:ascii="Times New Roman" w:hAnsi="Times New Roman" w:eastAsia="宋体"/>
          <w:color w:val="000000" w:themeColor="text1"/>
          <w:kern w:val="2"/>
          <w:szCs w:val="24"/>
          <w:lang w:val="en-US" w:eastAsia="zh-CN"/>
          <w14:textFill>
            <w14:solidFill>
              <w14:schemeClr w14:val="tx1"/>
            </w14:solidFill>
          </w14:textFill>
        </w:rPr>
        <w:t>2</w:t>
      </w:r>
      <w:r>
        <w:rPr>
          <w:rFonts w:hint="eastAsia" w:ascii="Times New Roman" w:hAnsi="Times New Roman" w:eastAsia="宋体"/>
          <w:color w:val="000000" w:themeColor="text1"/>
          <w:kern w:val="2"/>
          <w:szCs w:val="24"/>
          <w:lang w:val="hr-HR"/>
          <w14:textFill>
            <w14:solidFill>
              <w14:schemeClr w14:val="tx1"/>
            </w14:solidFill>
          </w14:textFill>
        </w:rPr>
        <w:t>楼开标厅</w:t>
      </w:r>
    </w:p>
    <w:p>
      <w:pPr>
        <w:pStyle w:val="23"/>
        <w:widowControl/>
        <w:snapToGrid w:val="0"/>
        <w:spacing w:beforeAutospacing="0" w:afterAutospacing="0" w:line="288" w:lineRule="auto"/>
        <w:ind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五、公告期限</w:t>
      </w:r>
    </w:p>
    <w:p>
      <w:pPr>
        <w:pStyle w:val="23"/>
        <w:widowControl/>
        <w:snapToGrid w:val="0"/>
        <w:spacing w:beforeAutospacing="0" w:afterAutospacing="0" w:line="288" w:lineRule="auto"/>
        <w:ind w:left="329" w:right="329"/>
        <w:jc w:val="both"/>
        <w:rPr>
          <w:rFonts w:ascii="Times New Roman" w:hAnsi="Times New Roman" w:eastAsia="宋体"/>
          <w:color w:val="000000" w:themeColor="text1"/>
          <w:kern w:val="2"/>
          <w:szCs w:val="24"/>
          <w:lang w:val="hr-HR"/>
          <w14:textFill>
            <w14:solidFill>
              <w14:schemeClr w14:val="tx1"/>
            </w14:solidFill>
          </w14:textFill>
        </w:rPr>
      </w:pPr>
      <w:r>
        <w:rPr>
          <w:rFonts w:hint="eastAsia" w:ascii="Times New Roman" w:hAnsi="Times New Roman" w:eastAsia="宋体"/>
          <w:color w:val="000000" w:themeColor="text1"/>
          <w:kern w:val="2"/>
          <w:szCs w:val="24"/>
          <w:lang w:val="hr-HR"/>
          <w14:textFill>
            <w14:solidFill>
              <w14:schemeClr w14:val="tx1"/>
            </w14:solidFill>
          </w14:textFill>
        </w:rPr>
        <w:t>自本公告发布之日起5个工作日。</w:t>
      </w:r>
    </w:p>
    <w:p>
      <w:pPr>
        <w:pStyle w:val="23"/>
        <w:widowControl/>
        <w:snapToGrid w:val="0"/>
        <w:spacing w:beforeAutospacing="0" w:afterAutospacing="0" w:line="288" w:lineRule="auto"/>
        <w:ind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六、其他补充事宜</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lang w:val="hr-HR"/>
          <w14:textFill>
            <w14:solidFill>
              <w14:schemeClr w14:val="tx1"/>
            </w14:solidFill>
          </w14:textFill>
        </w:rPr>
        <w:t>政府采购相关政策执行：落实政府采购强制、优先采购节能产品政策；政府采购优先采购环保产品政策；政府采购促进中小企业发展（监狱企业、残疾人福利性单位视同小微企业）等政策</w:t>
      </w:r>
      <w:r>
        <w:rPr>
          <w:rFonts w:hint="eastAsia" w:ascii="Times New Roman" w:hAnsi="Times New Roman" w:eastAsia="宋体" w:cs="Times New Roman"/>
          <w:color w:val="000000" w:themeColor="text1"/>
          <w:sz w:val="24"/>
          <w:szCs w:val="24"/>
          <w14:textFill>
            <w14:solidFill>
              <w14:schemeClr w14:val="tx1"/>
            </w14:solidFill>
          </w14:textFill>
        </w:rPr>
        <w:t>。</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lang w:val="hr-HR"/>
          <w14:textFill>
            <w14:solidFill>
              <w14:schemeClr w14:val="tx1"/>
            </w14:solidFill>
          </w14:textFill>
        </w:rPr>
        <w:t>是否专门面向监狱企业、残疾人福利性单位：</w:t>
      </w:r>
      <w:r>
        <w:rPr>
          <w:rFonts w:hint="eastAsia" w:ascii="Times New Roman" w:hAnsi="Times New Roman" w:eastAsia="宋体" w:cs="Times New Roman"/>
          <w:color w:val="000000" w:themeColor="text1"/>
          <w:sz w:val="24"/>
          <w:szCs w:val="24"/>
          <w14:textFill>
            <w14:solidFill>
              <w14:schemeClr w14:val="tx1"/>
            </w14:solidFill>
          </w14:textFill>
        </w:rPr>
        <w:t>是</w:t>
      </w:r>
      <w:r>
        <w:rPr>
          <w:rFonts w:hint="eastAsia" w:ascii="Times New Roman" w:hAnsi="Times New Roman" w:eastAsia="宋体" w:cs="Times New Roman"/>
          <w:color w:val="000000" w:themeColor="text1"/>
          <w:sz w:val="24"/>
          <w:szCs w:val="24"/>
          <w:lang w:val="hr-HR"/>
          <w14:textFill>
            <w14:solidFill>
              <w14:schemeClr w14:val="tx1"/>
            </w14:solidFill>
          </w14:textFill>
        </w:rPr>
        <w:t>。</w:t>
      </w:r>
    </w:p>
    <w:p>
      <w:pPr>
        <w:snapToGrid w:val="0"/>
        <w:spacing w:line="288" w:lineRule="auto"/>
        <w:ind w:firstLine="480" w:firstLineChars="200"/>
        <w:rPr>
          <w:rFonts w:ascii="Times New Roman" w:hAnsi="Times New Roman" w:eastAsia="宋体" w:cs="Times New Roman"/>
          <w:color w:val="000000" w:themeColor="text1"/>
          <w:sz w:val="24"/>
          <w:szCs w:val="24"/>
          <w:lang w:val="hr-HR"/>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hint="eastAsia" w:ascii="Times New Roman" w:hAnsi="Times New Roman" w:eastAsia="宋体" w:cs="Times New Roman"/>
          <w:color w:val="000000" w:themeColor="text1"/>
          <w:sz w:val="24"/>
          <w:szCs w:val="24"/>
          <w:lang w:val="hr-HR"/>
          <w14:textFill>
            <w14:solidFill>
              <w14:schemeClr w14:val="tx1"/>
            </w14:solidFill>
          </w14:textFill>
        </w:rPr>
        <w:t>投标人认为招标文件、招标过程和中标结果使自己的权益受到损害的，可以在知道或者应知其权益受到损害之日起7个工作日内向采购人或</w:t>
      </w:r>
      <w:r>
        <w:rPr>
          <w:rFonts w:hint="eastAsia" w:ascii="Times New Roman" w:hAnsi="Times New Roman" w:eastAsia="宋体" w:cs="Times New Roman"/>
          <w:color w:val="000000" w:themeColor="text1"/>
          <w:sz w:val="24"/>
          <w:szCs w:val="24"/>
          <w14:textFill>
            <w14:solidFill>
              <w14:schemeClr w14:val="tx1"/>
            </w14:solidFill>
          </w14:textFill>
        </w:rPr>
        <w:t>采购中心</w:t>
      </w:r>
      <w:r>
        <w:rPr>
          <w:rFonts w:hint="eastAsia" w:ascii="Times New Roman" w:hAnsi="Times New Roman" w:eastAsia="宋体" w:cs="Times New Roman"/>
          <w:color w:val="000000" w:themeColor="text1"/>
          <w:sz w:val="24"/>
          <w:szCs w:val="24"/>
          <w:lang w:val="hr-HR"/>
          <w14:textFill>
            <w14:solidFill>
              <w14:schemeClr w14:val="tx1"/>
            </w14:solidFill>
          </w14:textFill>
        </w:rPr>
        <w:t>提出</w:t>
      </w:r>
      <w:r>
        <w:rPr>
          <w:rFonts w:hint="eastAsia" w:ascii="Times New Roman" w:hAnsi="Times New Roman" w:eastAsia="宋体" w:cs="Times New Roman"/>
          <w:color w:val="000000" w:themeColor="text1"/>
          <w:sz w:val="24"/>
          <w:szCs w:val="24"/>
          <w14:textFill>
            <w14:solidFill>
              <w14:schemeClr w14:val="tx1"/>
            </w14:solidFill>
          </w14:textFill>
        </w:rPr>
        <w:t>书面</w:t>
      </w:r>
      <w:r>
        <w:rPr>
          <w:rFonts w:hint="eastAsia" w:ascii="Times New Roman" w:hAnsi="Times New Roman" w:eastAsia="宋体" w:cs="Times New Roman"/>
          <w:color w:val="000000" w:themeColor="text1"/>
          <w:sz w:val="24"/>
          <w:szCs w:val="24"/>
          <w:lang w:val="hr-HR"/>
          <w14:textFill>
            <w14:solidFill>
              <w14:schemeClr w14:val="tx1"/>
            </w14:solidFill>
          </w14:textFill>
        </w:rPr>
        <w:t>质疑。</w:t>
      </w:r>
      <w:r>
        <w:rPr>
          <w:rFonts w:ascii="宋体" w:hAnsi="宋体" w:eastAsia="宋体" w:cs="宋体"/>
          <w:sz w:val="24"/>
          <w:szCs w:val="24"/>
        </w:rPr>
        <w:t>质疑时请提交书面质疑函一份（法人代表签字、加盖单位公章。具体要求详见本招标文件“第二章 投 标人须知”中的第八条之规定），并附相关证据</w:t>
      </w:r>
      <w:r>
        <w:rPr>
          <w:rFonts w:ascii="Times New Roman" w:hAnsi="Times New Roman" w:eastAsia="宋体" w:cs="Times New Roman"/>
          <w:color w:val="000000" w:themeColor="text1"/>
          <w:sz w:val="24"/>
          <w:szCs w:val="24"/>
          <w:lang w:val="hr-HR"/>
          <w14:textFill>
            <w14:solidFill>
              <w14:schemeClr w14:val="tx1"/>
            </w14:solidFill>
          </w14:textFill>
        </w:rPr>
        <w:t>材料。</w:t>
      </w:r>
      <w:r>
        <w:rPr>
          <w:rFonts w:hint="eastAsia" w:ascii="Times New Roman" w:hAnsi="Times New Roman" w:eastAsia="宋体" w:cs="Times New Roman"/>
          <w:color w:val="000000" w:themeColor="text1"/>
          <w:sz w:val="24"/>
          <w:szCs w:val="24"/>
          <w:lang w:val="hr-HR"/>
          <w14:textFill>
            <w14:solidFill>
              <w14:schemeClr w14:val="tx1"/>
            </w14:solidFill>
          </w14:textFill>
        </w:rPr>
        <w:t>线上投诉质疑网址：http://www.yx.gov.cn/zmhd/wjdc/202205/t20220516_904399.html。</w:t>
      </w:r>
    </w:p>
    <w:p>
      <w:pPr>
        <w:pStyle w:val="23"/>
        <w:widowControl/>
        <w:snapToGrid w:val="0"/>
        <w:spacing w:beforeAutospacing="0" w:afterAutospacing="0" w:line="288" w:lineRule="auto"/>
        <w:ind w:right="330"/>
        <w:rPr>
          <w:rFonts w:ascii="Times New Roman" w:hAnsi="Times New Roman" w:eastAsia="宋体"/>
          <w:b/>
          <w:bCs/>
          <w:color w:val="000000" w:themeColor="text1"/>
          <w:kern w:val="2"/>
          <w:szCs w:val="24"/>
          <w:lang w:val="hr-HR"/>
          <w14:textFill>
            <w14:solidFill>
              <w14:schemeClr w14:val="tx1"/>
            </w14:solidFill>
          </w14:textFill>
        </w:rPr>
      </w:pPr>
      <w:r>
        <w:rPr>
          <w:rFonts w:hint="eastAsia" w:ascii="Times New Roman" w:hAnsi="Times New Roman" w:eastAsia="宋体"/>
          <w:b/>
          <w:bCs/>
          <w:color w:val="000000" w:themeColor="text1"/>
          <w:kern w:val="2"/>
          <w:szCs w:val="24"/>
          <w:lang w:val="hr-HR"/>
          <w14:textFill>
            <w14:solidFill>
              <w14:schemeClr w14:val="tx1"/>
            </w14:solidFill>
          </w14:textFill>
        </w:rPr>
        <w:t>七、对本次招标提出询问，请按以下方式联系</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1、采购人信息</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名</w:t>
      </w:r>
      <w:r>
        <w:rPr>
          <w:rFonts w:hint="eastAsia" w:ascii="Times New Roman" w:hAnsi="Times New Roman" w:eastAsia="宋体"/>
          <w:color w:val="000000" w:themeColor="text1"/>
          <w:kern w:val="2"/>
          <w:szCs w:val="24"/>
          <w:lang w:val="en-US" w:eastAsia="zh-CN"/>
          <w14:textFill>
            <w14:solidFill>
              <w14:schemeClr w14:val="tx1"/>
            </w14:solidFill>
          </w14:textFill>
        </w:rPr>
        <w:t xml:space="preserve">  </w:t>
      </w:r>
      <w:r>
        <w:rPr>
          <w:rFonts w:hint="eastAsia" w:ascii="Times New Roman" w:hAnsi="Times New Roman" w:eastAsia="宋体"/>
          <w:color w:val="000000" w:themeColor="text1"/>
          <w:kern w:val="2"/>
          <w:szCs w:val="24"/>
          <w:lang w:val="zh-CN"/>
          <w14:textFill>
            <w14:solidFill>
              <w14:schemeClr w14:val="tx1"/>
            </w14:solidFill>
          </w14:textFill>
        </w:rPr>
        <w:t xml:space="preserve">称：阳新县住房和城乡建设局 </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地</w:t>
      </w:r>
      <w:r>
        <w:rPr>
          <w:rFonts w:hint="eastAsia" w:ascii="Times New Roman" w:hAnsi="Times New Roman" w:eastAsia="宋体"/>
          <w:color w:val="000000" w:themeColor="text1"/>
          <w:kern w:val="2"/>
          <w:szCs w:val="24"/>
          <w:lang w:val="en-US" w:eastAsia="zh-CN"/>
          <w14:textFill>
            <w14:solidFill>
              <w14:schemeClr w14:val="tx1"/>
            </w14:solidFill>
          </w14:textFill>
        </w:rPr>
        <w:t xml:space="preserve">  </w:t>
      </w:r>
      <w:r>
        <w:rPr>
          <w:rFonts w:hint="eastAsia" w:ascii="Times New Roman" w:hAnsi="Times New Roman" w:eastAsia="宋体"/>
          <w:color w:val="000000" w:themeColor="text1"/>
          <w:kern w:val="2"/>
          <w:szCs w:val="24"/>
          <w:lang w:val="zh-CN"/>
          <w14:textFill>
            <w14:solidFill>
              <w14:schemeClr w14:val="tx1"/>
            </w14:solidFill>
          </w14:textFill>
        </w:rPr>
        <w:t>址：阳新县陵园大道13号</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联系人：柯贤强</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联系电话：13617210827</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2、集中采购机构信息</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名</w:t>
      </w:r>
      <w:r>
        <w:rPr>
          <w:rFonts w:hint="eastAsia" w:ascii="Times New Roman" w:hAnsi="Times New Roman" w:eastAsia="宋体"/>
          <w:color w:val="000000" w:themeColor="text1"/>
          <w:kern w:val="2"/>
          <w:szCs w:val="24"/>
          <w:lang w:val="en-US" w:eastAsia="zh-CN"/>
          <w14:textFill>
            <w14:solidFill>
              <w14:schemeClr w14:val="tx1"/>
            </w14:solidFill>
          </w14:textFill>
        </w:rPr>
        <w:t xml:space="preserve">   </w:t>
      </w:r>
      <w:r>
        <w:rPr>
          <w:rFonts w:hint="eastAsia" w:ascii="Times New Roman" w:hAnsi="Times New Roman" w:eastAsia="宋体"/>
          <w:color w:val="000000" w:themeColor="text1"/>
          <w:kern w:val="2"/>
          <w:szCs w:val="24"/>
          <w:lang w:val="zh-CN"/>
          <w14:textFill>
            <w14:solidFill>
              <w14:schemeClr w14:val="tx1"/>
            </w14:solidFill>
          </w14:textFill>
        </w:rPr>
        <w:t>称：阳新县政府采购中心</w:t>
      </w:r>
    </w:p>
    <w:p>
      <w:pPr>
        <w:pStyle w:val="23"/>
        <w:widowControl/>
        <w:snapToGrid w:val="0"/>
        <w:spacing w:beforeAutospacing="0" w:afterAutospacing="0" w:line="288" w:lineRule="auto"/>
        <w:ind w:right="-54"/>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地</w:t>
      </w:r>
      <w:r>
        <w:rPr>
          <w:rFonts w:hint="eastAsia" w:ascii="Times New Roman" w:hAnsi="Times New Roman" w:eastAsia="宋体"/>
          <w:color w:val="000000" w:themeColor="text1"/>
          <w:kern w:val="2"/>
          <w:szCs w:val="24"/>
          <w:lang w:val="en-US" w:eastAsia="zh-CN"/>
          <w14:textFill>
            <w14:solidFill>
              <w14:schemeClr w14:val="tx1"/>
            </w14:solidFill>
          </w14:textFill>
        </w:rPr>
        <w:t xml:space="preserve">   </w:t>
      </w:r>
      <w:r>
        <w:rPr>
          <w:rFonts w:hint="eastAsia" w:ascii="Times New Roman" w:hAnsi="Times New Roman" w:eastAsia="宋体"/>
          <w:color w:val="000000" w:themeColor="text1"/>
          <w:kern w:val="2"/>
          <w:szCs w:val="24"/>
          <w:lang w:val="zh-CN"/>
          <w14:textFill>
            <w14:solidFill>
              <w14:schemeClr w14:val="tx1"/>
            </w14:solidFill>
          </w14:textFill>
        </w:rPr>
        <w:t>址：</w:t>
      </w:r>
      <w:r>
        <w:rPr>
          <w:rFonts w:hint="eastAsia"/>
          <w:color w:val="333333"/>
          <w:shd w:val="clear" w:color="auto" w:fill="FFFFFF"/>
        </w:rPr>
        <w:t>阳新县熊家垴安置小区东侧</w:t>
      </w:r>
    </w:p>
    <w:p>
      <w:pPr>
        <w:pStyle w:val="23"/>
        <w:widowControl/>
        <w:snapToGrid w:val="0"/>
        <w:spacing w:beforeAutospacing="0" w:afterAutospacing="0" w:line="288" w:lineRule="auto"/>
        <w:ind w:right="-54"/>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3、项目联系方式</w:t>
      </w:r>
    </w:p>
    <w:p>
      <w:pPr>
        <w:pStyle w:val="23"/>
        <w:widowControl/>
        <w:snapToGrid w:val="0"/>
        <w:spacing w:beforeAutospacing="0" w:afterAutospacing="0" w:line="288" w:lineRule="auto"/>
        <w:ind w:right="-54"/>
        <w:jc w:val="both"/>
        <w:rPr>
          <w:rFonts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联系人：柯亚杰</w:t>
      </w:r>
    </w:p>
    <w:p>
      <w:pPr>
        <w:pStyle w:val="23"/>
        <w:widowControl/>
        <w:snapToGrid w:val="0"/>
        <w:spacing w:beforeAutospacing="0" w:afterAutospacing="0" w:line="288" w:lineRule="auto"/>
        <w:ind w:right="-54"/>
        <w:jc w:val="both"/>
        <w:rPr>
          <w:rFonts w:hint="eastAsia" w:ascii="Times New Roman" w:hAnsi="Times New Roman" w:eastAsia="宋体"/>
          <w:color w:val="000000" w:themeColor="text1"/>
          <w:kern w:val="2"/>
          <w:szCs w:val="24"/>
          <w:lang w:val="zh-CN"/>
          <w14:textFill>
            <w14:solidFill>
              <w14:schemeClr w14:val="tx1"/>
            </w14:solidFill>
          </w14:textFill>
        </w:rPr>
      </w:pPr>
      <w:r>
        <w:rPr>
          <w:rFonts w:hint="eastAsia" w:ascii="Times New Roman" w:hAnsi="Times New Roman" w:eastAsia="宋体"/>
          <w:color w:val="000000" w:themeColor="text1"/>
          <w:kern w:val="2"/>
          <w:szCs w:val="24"/>
          <w:lang w:val="zh-CN"/>
          <w14:textFill>
            <w14:solidFill>
              <w14:schemeClr w14:val="tx1"/>
            </w14:solidFill>
          </w14:textFill>
        </w:rPr>
        <w:t>联系电话 ：13986160001</w:t>
      </w:r>
    </w:p>
    <w:p>
      <w:pPr>
        <w:pStyle w:val="23"/>
        <w:widowControl/>
        <w:snapToGrid w:val="0"/>
        <w:spacing w:beforeAutospacing="0" w:afterAutospacing="0" w:line="288" w:lineRule="auto"/>
        <w:ind w:right="-54"/>
        <w:jc w:val="both"/>
        <w:rPr>
          <w:rFonts w:hint="eastAsia" w:ascii="Times New Roman" w:hAnsi="Times New Roman" w:eastAsia="宋体"/>
          <w:color w:val="000000" w:themeColor="text1"/>
          <w:kern w:val="2"/>
          <w:szCs w:val="24"/>
          <w:lang w:val="zh-CN"/>
          <w14:textFill>
            <w14:solidFill>
              <w14:schemeClr w14:val="tx1"/>
            </w14:solidFill>
          </w14:textFill>
        </w:rPr>
      </w:pPr>
    </w:p>
    <w:p>
      <w:pPr>
        <w:snapToGrid w:val="0"/>
        <w:rPr>
          <w:rFonts w:ascii="Times New Roman" w:hAnsi="Times New Roman" w:eastAsia="宋体" w:cs="Times New Roman"/>
          <w:color w:val="000000" w:themeColor="text1"/>
          <w:sz w:val="24"/>
          <w:szCs w:val="24"/>
          <w:lang w:val="hr-HR"/>
          <w14:textFill>
            <w14:solidFill>
              <w14:schemeClr w14:val="tx1"/>
            </w14:solidFill>
          </w14:textFill>
        </w:rPr>
      </w:pPr>
    </w:p>
    <w:p>
      <w:pPr>
        <w:pStyle w:val="35"/>
        <w:snapToGrid w:val="0"/>
        <w:spacing w:line="240" w:lineRule="auto"/>
        <w:ind w:firstLine="0" w:firstLineChars="0"/>
        <w:jc w:val="right"/>
        <w:rPr>
          <w:rFonts w:ascii="Times New Roman" w:hAnsi="Times New Roman" w:eastAsia="宋体" w:cs="Times New Roman"/>
          <w:color w:val="000000" w:themeColor="text1"/>
          <w:szCs w:val="24"/>
          <w:lang w:val="hr-HR"/>
          <w14:textFill>
            <w14:solidFill>
              <w14:schemeClr w14:val="tx1"/>
            </w14:solidFill>
          </w14:textFill>
        </w:rPr>
      </w:pPr>
      <w:r>
        <w:rPr>
          <w:rFonts w:hint="eastAsia" w:ascii="Times New Roman" w:hAnsi="Times New Roman" w:eastAsia="宋体" w:cs="Times New Roman"/>
          <w:color w:val="000000" w:themeColor="text1"/>
          <w:szCs w:val="24"/>
          <w:lang w:val="hr-HR"/>
          <w14:textFill>
            <w14:solidFill>
              <w14:schemeClr w14:val="tx1"/>
            </w14:solidFill>
          </w14:textFill>
        </w:rPr>
        <w:t>2022年</w:t>
      </w:r>
      <w:r>
        <w:rPr>
          <w:rFonts w:hint="eastAsia" w:ascii="Times New Roman" w:hAnsi="Times New Roman" w:eastAsia="宋体" w:cs="Times New Roman"/>
          <w:color w:val="000000" w:themeColor="text1"/>
          <w:szCs w:val="24"/>
          <w:lang w:val="en-US" w:eastAsia="zh-CN"/>
          <w14:textFill>
            <w14:solidFill>
              <w14:schemeClr w14:val="tx1"/>
            </w14:solidFill>
          </w14:textFill>
        </w:rPr>
        <w:t>6</w:t>
      </w:r>
      <w:r>
        <w:rPr>
          <w:rFonts w:hint="eastAsia" w:ascii="Times New Roman" w:hAnsi="Times New Roman" w:eastAsia="宋体" w:cs="Times New Roman"/>
          <w:color w:val="000000" w:themeColor="text1"/>
          <w:szCs w:val="24"/>
          <w:lang w:val="hr-HR"/>
          <w14:textFill>
            <w14:solidFill>
              <w14:schemeClr w14:val="tx1"/>
            </w14:solidFill>
          </w14:textFill>
        </w:rPr>
        <w:t>月</w:t>
      </w:r>
      <w:r>
        <w:rPr>
          <w:rFonts w:hint="eastAsia" w:ascii="Times New Roman" w:hAnsi="Times New Roman" w:eastAsia="宋体" w:cs="Times New Roman"/>
          <w:color w:val="000000" w:themeColor="text1"/>
          <w:szCs w:val="24"/>
          <w:lang w:val="en-US" w:eastAsia="zh-CN"/>
          <w14:textFill>
            <w14:solidFill>
              <w14:schemeClr w14:val="tx1"/>
            </w14:solidFill>
          </w14:textFill>
        </w:rPr>
        <w:t>27</w:t>
      </w:r>
      <w:r>
        <w:rPr>
          <w:rFonts w:hint="eastAsia" w:ascii="Times New Roman" w:hAnsi="Times New Roman" w:eastAsia="宋体" w:cs="Times New Roman"/>
          <w:color w:val="000000" w:themeColor="text1"/>
          <w:szCs w:val="24"/>
          <w:lang w:val="hr-HR"/>
          <w14:textFill>
            <w14:solidFill>
              <w14:schemeClr w14:val="tx1"/>
            </w14:solidFill>
          </w14:textFill>
        </w:rPr>
        <w:t>日</w:t>
      </w:r>
    </w:p>
    <w:p>
      <w:pPr>
        <w:rPr>
          <w:lang w:val="hr-HR"/>
        </w:rPr>
      </w:pPr>
      <w:r>
        <w:rPr>
          <w:rFonts w:hint="eastAsia" w:ascii="Times New Roman" w:hAnsi="Times New Roman" w:eastAsia="宋体" w:cs="Times New Roman"/>
          <w:color w:val="000000" w:themeColor="text1"/>
          <w:sz w:val="24"/>
          <w:szCs w:val="24"/>
          <w:lang w:val="hr-HR"/>
          <w14:textFill>
            <w14:solidFill>
              <w14:schemeClr w14:val="tx1"/>
            </w14:solidFill>
          </w14:textFill>
        </w:rPr>
        <w:br w:type="page"/>
      </w:r>
    </w:p>
    <w:p>
      <w:pPr>
        <w:pStyle w:val="3"/>
        <w:numPr>
          <w:ilvl w:val="0"/>
          <w:numId w:val="1"/>
        </w:numPr>
        <w:spacing w:before="240" w:after="120" w:line="240" w:lineRule="auto"/>
        <w:ind w:left="883" w:hanging="880" w:hangingChars="200"/>
        <w:jc w:val="center"/>
        <w:rPr>
          <w:rFonts w:ascii="黑体" w:hAnsi="黑体" w:eastAsia="黑体"/>
        </w:rPr>
      </w:pPr>
      <w:bookmarkStart w:id="1" w:name="_Toc29674"/>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24378"/>
      <w:r>
        <w:rPr>
          <w:rFonts w:cs="Times New Roman" w:asciiTheme="majorEastAsia" w:hAnsiTheme="majorEastAsia" w:eastAsiaTheme="majorEastAsia"/>
          <w:b/>
          <w:bCs/>
          <w:sz w:val="32"/>
          <w:szCs w:val="32"/>
          <w:lang w:val="zh-CN"/>
        </w:rPr>
        <w:t>投标须知前附表</w:t>
      </w:r>
      <w:bookmarkEnd w:id="2"/>
      <w:bookmarkEnd w:id="3"/>
    </w:p>
    <w:tbl>
      <w:tblPr>
        <w:tblStyle w:val="26"/>
        <w:tblW w:w="8659"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05"/>
        <w:gridCol w:w="57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5"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5"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5779"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5779"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131-2022CG-</w:t>
            </w:r>
            <w:r>
              <w:rPr>
                <w:rFonts w:hint="eastAsia" w:ascii="宋体" w:hAnsi="宋体" w:eastAsia="宋体" w:cs="宋体"/>
                <w:color w:val="000000" w:themeColor="text1"/>
                <w:kern w:val="0"/>
                <w:sz w:val="24"/>
                <w:szCs w:val="24"/>
                <w:lang w:val="en-US" w:eastAsia="zh-CN"/>
                <w14:textFill>
                  <w14:solidFill>
                    <w14:schemeClr w14:val="tx1"/>
                  </w14:solidFill>
                </w14:textFill>
              </w:rPr>
              <w:t>117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宋体" w:eastAsia="宋体" w:cs="Times New Roman"/>
                <w:sz w:val="24"/>
                <w:szCs w:val="24"/>
                <w:lang w:val="hr-HR"/>
              </w:rPr>
              <w:t>阳新县住房和城乡建设局2022年-2023年建设项目造价咨询服务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阳新县住房和城乡建设局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资金来源</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投标文件份数</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资格预审</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00000" w:themeColor="text1"/>
                <w:sz w:val="24"/>
                <w:szCs w:val="24"/>
                <w:lang w:val="hr-HR"/>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投标文件递交时间</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Times New Roman" w:hAnsi="宋体" w:eastAsia="宋体" w:cs="Times New Roman"/>
                <w:sz w:val="24"/>
                <w:szCs w:val="24"/>
              </w:rPr>
              <w:t>备选方案</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实物样品</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不提交</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不组织</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color w:val="0D0D0D"/>
                <w:sz w:val="24"/>
                <w:szCs w:val="24"/>
              </w:rPr>
              <w:t>中标后分包</w:t>
            </w:r>
          </w:p>
        </w:tc>
        <w:tc>
          <w:tcPr>
            <w:tcW w:w="5779"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不允许</w:t>
            </w:r>
          </w:p>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ascii="Times New Roman" w:hAnsi="宋体" w:eastAsia="宋体" w:cs="Times New Roman"/>
                <w:sz w:val="24"/>
                <w:szCs w:val="24"/>
              </w:rPr>
              <w:t>评标办法</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5779" w:type="dxa"/>
            <w:tcBorders>
              <w:top w:val="single" w:color="auto" w:sz="4" w:space="0"/>
              <w:left w:val="single" w:color="auto" w:sz="4" w:space="0"/>
              <w:bottom w:val="single" w:color="auto" w:sz="4" w:space="0"/>
            </w:tcBorders>
            <w:vAlign w:val="center"/>
          </w:tcPr>
          <w:p>
            <w:pPr>
              <w:widowControl/>
              <w:jc w:val="left"/>
              <w:rPr>
                <w:rFonts w:ascii="Times New Roman" w:hAnsi="Times New Roman" w:eastAsia="宋体" w:cs="Times New Roman"/>
                <w:color w:val="FF0000"/>
                <w:sz w:val="24"/>
                <w:szCs w:val="24"/>
              </w:rPr>
            </w:pPr>
            <w:r>
              <w:rPr>
                <w:rFonts w:hint="eastAsia" w:ascii="宋体" w:hAnsi="宋体" w:eastAsia="宋体" w:cs="宋体"/>
                <w:color w:val="000000"/>
                <w:kern w:val="0"/>
                <w:sz w:val="24"/>
                <w:szCs w:val="24"/>
              </w:rPr>
              <w:t>专门面向，本项目企业划分标准所属行业为“其他未列明行业”。需提供本单位的 《中小企业声明函》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5779"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宋体" w:hAnsi="宋体" w:cs="Times New Roman"/>
                <w:sz w:val="24"/>
                <w:szCs w:val="24"/>
              </w:rPr>
              <w:t>详见本章“质疑及提交”要求。线上投诉质疑网址：http://www.yx.gov.cn/zmhd/wjdc/202205/t20220516_904399.html。</w:t>
            </w:r>
          </w:p>
        </w:tc>
      </w:tr>
    </w:tbl>
    <w:p>
      <w:pPr>
        <w:keepNext/>
        <w:keepLines/>
        <w:spacing w:before="100" w:beforeAutospacing="1" w:after="100" w:afterAutospacing="1" w:line="360" w:lineRule="auto"/>
        <w:jc w:val="center"/>
        <w:outlineLvl w:val="1"/>
        <w:rPr>
          <w:rFonts w:cs="Times New Roman" w:asciiTheme="majorEastAsia" w:hAnsiTheme="majorEastAsia"/>
          <w:b/>
          <w:bCs/>
          <w:lang w:val="zh-CN"/>
        </w:rPr>
      </w:pPr>
      <w:bookmarkStart w:id="4" w:name="_Toc494561938"/>
      <w:r>
        <w:rPr>
          <w:rFonts w:ascii="黑体" w:hAnsi="黑体" w:eastAsia="黑体" w:cs="Times New Roman"/>
          <w:b/>
          <w:bCs/>
          <w:sz w:val="32"/>
          <w:szCs w:val="32"/>
          <w:lang w:val="zh-CN"/>
        </w:rPr>
        <w:br w:type="page"/>
      </w:r>
      <w:bookmarkStart w:id="5" w:name="_Toc8948"/>
      <w:r>
        <w:rPr>
          <w:rFonts w:hint="eastAsia" w:cs="Times New Roman" w:asciiTheme="majorEastAsia" w:hAnsiTheme="majorEastAsia"/>
          <w:b/>
          <w:bCs/>
          <w:sz w:val="36"/>
          <w:szCs w:val="40"/>
          <w:lang w:val="zh-CN"/>
        </w:rPr>
        <w:t>说  明</w:t>
      </w:r>
      <w:bookmarkEnd w:id="4"/>
      <w:bookmarkEnd w:id="5"/>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ascii="宋体" w:hAnsi="宋体" w:eastAsia="宋体" w:cs="宋体"/>
          <w:color w:val="000000" w:themeColor="text1"/>
          <w:kern w:val="0"/>
          <w:sz w:val="24"/>
          <w:szCs w:val="24"/>
          <w14:textFill>
            <w14:solidFill>
              <w14:schemeClr w14:val="tx1"/>
            </w14:solidFill>
          </w14:textFill>
        </w:rPr>
        <w:t>阳新县住房和城乡建设局</w:t>
      </w:r>
      <w:r>
        <w:rPr>
          <w:rFonts w:hint="eastAsia" w:cs="Times New Roman" w:asciiTheme="minorEastAsia" w:hAnsiTheme="minorEastAsia"/>
          <w:sz w:val="24"/>
          <w:szCs w:val="24"/>
          <w:lang w:val="zh-CN"/>
        </w:rPr>
        <w:t>。</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Helvetica" w:asciiTheme="minorEastAsia" w:hAnsiTheme="minorEastAsia"/>
          <w:kern w:val="0"/>
          <w:sz w:val="24"/>
          <w:szCs w:val="24"/>
        </w:rPr>
        <w:t>阳新县政府采购办公室、阳新县政务服务和大数据管理局。</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w:t>
      </w:r>
      <w:r>
        <w:rPr>
          <w:rFonts w:hint="eastAsia" w:cs="Times New Roman" w:asciiTheme="minorEastAsia" w:hAnsiTheme="minorEastAsia"/>
          <w:b/>
          <w:sz w:val="24"/>
          <w:szCs w:val="24"/>
        </w:rPr>
        <w:t>集中采购机构</w:t>
      </w:r>
      <w:r>
        <w:rPr>
          <w:rFonts w:hint="eastAsia" w:cs="Times New Roman" w:asciiTheme="minorEastAsia" w:hAnsiTheme="minorEastAsia"/>
          <w:b/>
          <w:sz w:val="24"/>
          <w:szCs w:val="24"/>
          <w:lang w:val="zh-CN"/>
        </w:rPr>
        <w:t>”是指：</w:t>
      </w:r>
      <w:r>
        <w:rPr>
          <w:rFonts w:hint="eastAsia" w:cs="Helvetica" w:asciiTheme="minorEastAsia" w:hAnsiTheme="minorEastAsia"/>
          <w:kern w:val="0"/>
          <w:sz w:val="24"/>
          <w:szCs w:val="24"/>
          <w:lang w:val="zh-CN"/>
        </w:rPr>
        <w:t>阳新县政府采购中心。</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4"/>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4"/>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6"/>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5"/>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5"/>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5"/>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3"/>
        </w:numPr>
        <w:spacing w:line="360" w:lineRule="auto"/>
        <w:rPr>
          <w:rFonts w:cs="Times New Roman" w:asciiTheme="minorEastAsia" w:hAnsiTheme="minorEastAsia"/>
          <w:b/>
          <w:sz w:val="24"/>
          <w:szCs w:val="24"/>
          <w:lang w:val="zh-CN"/>
        </w:rPr>
      </w:pPr>
      <w:bookmarkStart w:id="6" w:name="_Toc494561939"/>
      <w:bookmarkStart w:id="7" w:name="_Toc272247695"/>
      <w:bookmarkStart w:id="8" w:name="_Toc278891592"/>
      <w:r>
        <w:rPr>
          <w:rFonts w:hint="eastAsia" w:cs="Times New Roman" w:asciiTheme="minorEastAsia" w:hAnsiTheme="minorEastAsia"/>
          <w:b/>
          <w:sz w:val="24"/>
          <w:szCs w:val="24"/>
          <w:lang w:val="zh-CN"/>
        </w:rPr>
        <w:t>投标费用</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9"/>
        <w:numPr>
          <w:ilvl w:val="0"/>
          <w:numId w:val="7"/>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9"/>
        <w:adjustRightInd w:val="0"/>
        <w:snapToGrid w:val="0"/>
        <w:spacing w:line="300" w:lineRule="auto"/>
        <w:ind w:left="420" w:firstLine="0" w:firstLineChars="0"/>
        <w:rPr>
          <w:rFonts w:ascii="宋体" w:hAnsi="宋体"/>
          <w:sz w:val="24"/>
          <w:szCs w:val="24"/>
        </w:rPr>
      </w:pPr>
      <w:r>
        <w:rPr>
          <w:rFonts w:hint="eastAsia" w:ascii="宋体" w:hAnsi="宋体"/>
          <w:sz w:val="24"/>
          <w:szCs w:val="24"/>
        </w:rPr>
        <w:t>/</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9" w:name="_Toc26358"/>
      <w:r>
        <w:rPr>
          <w:rFonts w:hint="eastAsia" w:cs="Times New Roman" w:asciiTheme="majorEastAsia" w:hAnsiTheme="majorEastAsia"/>
          <w:bCs w:val="0"/>
          <w:lang w:val="zh-CN"/>
        </w:rPr>
        <w:t>招标文件</w:t>
      </w:r>
      <w:bookmarkEnd w:id="6"/>
      <w:bookmarkEnd w:id="7"/>
      <w:bookmarkEnd w:id="8"/>
      <w:bookmarkEnd w:id="9"/>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潜在投标人对招标文件有疑问的，可以向集中采购机构提出询问，或在6.2规定的时间前以书面的形式向集中采购机构提交疑问函。</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9"/>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0"/>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集中采购机构和采购人可以对已发出的招标文件进行必要的澄清或者修改。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澄清或者修改将在原公告发布媒体上发布澄清公告。澄清或者修改的内容可能影响投标文件编制的，集中采购机构和采购人将在投标截止时间至少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3"/>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272247696"/>
      <w:bookmarkStart w:id="12" w:name="_Toc19662"/>
      <w:bookmarkStart w:id="13" w:name="_Toc494561940"/>
      <w:r>
        <w:rPr>
          <w:rFonts w:hint="eastAsia" w:cs="Times New Roman" w:asciiTheme="majorEastAsia" w:hAnsiTheme="majorEastAsia"/>
          <w:bCs w:val="0"/>
          <w:lang w:val="zh-CN"/>
        </w:rPr>
        <w:t>投标文件</w:t>
      </w:r>
      <w:bookmarkEnd w:id="10"/>
      <w:bookmarkEnd w:id="11"/>
      <w:bookmarkEnd w:id="12"/>
      <w:bookmarkEnd w:id="13"/>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3"/>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2"/>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投标人应对投标文件中所提供资料的真实性负责，如有虚假，将依法承担相应责任。投标人应自觉接受集中采购机构对其中任何资料进一步核实的要求。</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2"/>
        </w:numPr>
        <w:spacing w:line="360" w:lineRule="auto"/>
        <w:ind w:left="616" w:hanging="616"/>
        <w:rPr>
          <w:rFonts w:cs="Times New Roman" w:asciiTheme="minorEastAsia" w:hAnsiTheme="minorEastAsia"/>
          <w:b/>
          <w:sz w:val="24"/>
          <w:szCs w:val="24"/>
          <w:highlight w:val="yellow"/>
          <w:lang w:val="zh-CN"/>
        </w:rPr>
      </w:pPr>
      <w:r>
        <w:rPr>
          <w:rFonts w:hint="eastAsia" w:cs="Times New Roman" w:asciiTheme="minorEastAsia" w:hAnsiTheme="minorEastAsia"/>
          <w:b/>
          <w:sz w:val="24"/>
          <w:szCs w:val="24"/>
          <w:highlight w:val="yellow"/>
          <w:lang w:val="zh-CN"/>
        </w:rPr>
        <w:t>投标文件共分为</w:t>
      </w:r>
      <w:r>
        <w:rPr>
          <w:rFonts w:hint="eastAsia" w:cs="Times New Roman" w:asciiTheme="minorEastAsia" w:hAnsiTheme="minorEastAsia"/>
          <w:b/>
          <w:sz w:val="24"/>
          <w:szCs w:val="24"/>
          <w:highlight w:val="yellow"/>
        </w:rPr>
        <w:t>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各部分文件及内容详见第七章“投标文件格式”要求。</w:t>
      </w:r>
    </w:p>
    <w:p>
      <w:pPr>
        <w:numPr>
          <w:ilvl w:val="0"/>
          <w:numId w:val="12"/>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为方便开标时唱标，投标人应将《开标一览表》一份单独密封提交，并在信封上标明"开标一览表"字样。投标人应将投标文件正本和所有的副本一起密封装在文件袋（或封装袋）中，</w:t>
      </w:r>
      <w:r>
        <w:rPr>
          <w:rFonts w:hint="eastAsia" w:cs="Times New Roman" w:asciiTheme="minorEastAsia" w:hAnsiTheme="minorEastAsia"/>
          <w:b/>
          <w:sz w:val="24"/>
          <w:szCs w:val="24"/>
          <w:highlight w:val="yellow"/>
          <w:lang w:val="zh-CN"/>
        </w:rPr>
        <w:t>并在封面上标明"正本和副本"字样。</w:t>
      </w:r>
      <w:r>
        <w:rPr>
          <w:rFonts w:hint="eastAsia" w:cs="Times New Roman" w:asciiTheme="minorEastAsia" w:hAnsiTheme="minorEastAsia"/>
          <w:b/>
          <w:sz w:val="24"/>
          <w:szCs w:val="24"/>
          <w:lang w:val="zh-CN"/>
        </w:rPr>
        <w:t>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4"/>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4"/>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4"/>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应详细提供《投标报价明细表》内容，否则按照</w:t>
      </w:r>
      <w:r>
        <w:rPr>
          <w:rFonts w:hint="eastAsia" w:cs="Times New Roman" w:asciiTheme="minorEastAsia" w:hAnsiTheme="minorEastAsia"/>
          <w:b/>
          <w:sz w:val="24"/>
          <w:szCs w:val="24"/>
          <w:lang w:val="zh-CN"/>
        </w:rPr>
        <w:t>无效投标处理。</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5"/>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w:t>
      </w:r>
      <w:r>
        <w:rPr>
          <w:rFonts w:hint="eastAsia" w:cs="Times New Roman" w:asciiTheme="minorEastAsia" w:hAnsiTheme="minorEastAsia"/>
          <w:sz w:val="24"/>
          <w:szCs w:val="24"/>
          <w:lang w:val="en-US" w:eastAsia="zh-CN"/>
        </w:rPr>
        <w:t>彩色</w:t>
      </w:r>
      <w:r>
        <w:rPr>
          <w:rFonts w:hint="eastAsia" w:cs="Times New Roman" w:asciiTheme="minorEastAsia" w:hAnsiTheme="minorEastAsia"/>
          <w:sz w:val="24"/>
          <w:szCs w:val="24"/>
          <w:lang w:val="zh-CN"/>
        </w:rPr>
        <w:t>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6"/>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3"/>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3"/>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投标文件的密封和标记</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投标人应将投标文件第一部分资格证明文件、第二部分商务文件、第三部分技术、服务文件一起合并装订成一本投标文件，一起封装。</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投标人应将投标文件正本和副本密封合装在封包中。</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如果未按要求加写密封、标记或存在错误，集中采购机构对其误投或提前启封概不负责。</w:t>
      </w:r>
    </w:p>
    <w:p>
      <w:pPr>
        <w:numPr>
          <w:ilvl w:val="0"/>
          <w:numId w:val="19"/>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1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投标人应在不迟于投标邀请书中规定的投标截止日期和时间将投标文件密封递交至集中采购机构规定的投标地点。</w:t>
      </w:r>
    </w:p>
    <w:p>
      <w:pPr>
        <w:numPr>
          <w:ilvl w:val="0"/>
          <w:numId w:val="20"/>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集中采购机构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1"/>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4" w:name="_Toc10080"/>
      <w:bookmarkStart w:id="15" w:name="_Toc494561942"/>
      <w:bookmarkStart w:id="16" w:name="_Toc278891595"/>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3"/>
        </w:numPr>
        <w:spacing w:line="360" w:lineRule="auto"/>
        <w:ind w:left="560" w:hanging="560"/>
        <w:rPr>
          <w:rFonts w:cs="Times New Roman" w:asciiTheme="minorEastAsia" w:hAnsiTheme="minorEastAsia"/>
          <w:sz w:val="24"/>
          <w:szCs w:val="24"/>
          <w:lang w:val="zh-CN"/>
        </w:rPr>
      </w:pPr>
      <w:r>
        <w:rPr>
          <w:rFonts w:hint="eastAsia" w:ascii="宋体" w:hAnsi="宋体" w:eastAsia="宋体" w:cs="Times New Roman"/>
          <w:b/>
          <w:sz w:val="24"/>
          <w:szCs w:val="20"/>
          <w:lang w:val="zh-CN"/>
        </w:rPr>
        <w:t>开标</w:t>
      </w:r>
    </w:p>
    <w:p>
      <w:pPr>
        <w:numPr>
          <w:ilvl w:val="0"/>
          <w:numId w:val="22"/>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w:t>
      </w:r>
      <w:r>
        <w:rPr>
          <w:rFonts w:hint="eastAsia" w:ascii="宋体" w:hAnsi="宋体" w:eastAsia="宋体" w:cs="Times New Roman"/>
          <w:b/>
          <w:bCs/>
          <w:color w:val="FF0000"/>
          <w:sz w:val="24"/>
          <w:szCs w:val="20"/>
          <w:lang w:val="zh-CN"/>
        </w:rPr>
        <w:t>（投标人法定代表人或</w:t>
      </w:r>
      <w:r>
        <w:rPr>
          <w:rFonts w:hint="eastAsia" w:ascii="宋体" w:hAnsi="宋体" w:eastAsia="宋体" w:cs="Times New Roman"/>
          <w:b/>
          <w:bCs/>
          <w:color w:val="FF0000"/>
          <w:sz w:val="24"/>
          <w:szCs w:val="20"/>
        </w:rPr>
        <w:t>项目负责人</w:t>
      </w:r>
      <w:r>
        <w:rPr>
          <w:rFonts w:hint="eastAsia" w:ascii="宋体" w:hAnsi="宋体" w:eastAsia="宋体" w:cs="Times New Roman"/>
          <w:b/>
          <w:bCs/>
          <w:color w:val="FF0000"/>
          <w:sz w:val="24"/>
          <w:szCs w:val="20"/>
          <w:lang w:val="zh-CN"/>
        </w:rPr>
        <w:t>）</w:t>
      </w:r>
      <w:r>
        <w:rPr>
          <w:rFonts w:hint="eastAsia" w:ascii="宋体" w:hAnsi="宋体" w:eastAsia="宋体" w:cs="Times New Roman"/>
          <w:sz w:val="24"/>
          <w:szCs w:val="20"/>
          <w:lang w:val="zh-CN"/>
        </w:rPr>
        <w:t>参加,参加开标的</w:t>
      </w:r>
      <w:r>
        <w:rPr>
          <w:rFonts w:hint="eastAsia" w:ascii="宋体" w:hAnsi="宋体" w:eastAsia="宋体" w:cs="Times New Roman"/>
          <w:sz w:val="24"/>
          <w:szCs w:val="20"/>
        </w:rPr>
        <w:t>授权</w:t>
      </w:r>
      <w:r>
        <w:rPr>
          <w:rFonts w:hint="eastAsia" w:ascii="宋体" w:hAnsi="宋体" w:eastAsia="宋体" w:cs="Times New Roman"/>
          <w:sz w:val="24"/>
          <w:szCs w:val="20"/>
          <w:lang w:val="zh-CN"/>
        </w:rPr>
        <w:t>代表应签到以证明其出席</w:t>
      </w:r>
      <w:r>
        <w:rPr>
          <w:rFonts w:hint="eastAsia" w:ascii="宋体" w:hAnsi="宋体" w:eastAsia="宋体" w:cs="Times New Roman"/>
          <w:b/>
          <w:sz w:val="24"/>
          <w:szCs w:val="20"/>
          <w:lang w:val="zh-CN"/>
        </w:rPr>
        <w:t>，否则视同认可开标结果。</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b/>
          <w:bCs/>
          <w:color w:val="FF0000"/>
          <w:sz w:val="24"/>
          <w:szCs w:val="20"/>
          <w:lang w:val="zh-CN"/>
        </w:rPr>
        <w:t>投标人法定代表人或</w:t>
      </w:r>
      <w:r>
        <w:rPr>
          <w:rFonts w:hint="eastAsia" w:ascii="宋体" w:hAnsi="宋体" w:eastAsia="宋体" w:cs="Times New Roman"/>
          <w:b/>
          <w:bCs/>
          <w:color w:val="FF0000"/>
          <w:sz w:val="24"/>
          <w:szCs w:val="20"/>
        </w:rPr>
        <w:t>项目负责人</w:t>
      </w:r>
      <w:r>
        <w:rPr>
          <w:rFonts w:hint="eastAsia" w:ascii="宋体" w:hAnsi="宋体" w:eastAsia="宋体" w:cs="Times New Roman"/>
          <w:sz w:val="24"/>
          <w:szCs w:val="20"/>
          <w:lang w:val="zh-CN"/>
        </w:rPr>
        <w:t>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工作人员当众拆封，宣布投标人名称、投标价格和招标文件规定的需要宣布的其他内容。</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集中采购机构负责对开标过程进行记录，由参加开标的各投标人代表和相关工作人员对开标记录进行签字确认。</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代表对开标过程和开标记录有疑义，以及认为采购人、集中采购机构相关工作人员有需要回避的情形的，应当场提出询问或者回避申请。采购人、集中采购机构将及时处理投标人代表提出的询问或者回避申请。</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资格审查</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sz w:val="24"/>
          <w:szCs w:val="20"/>
          <w:lang w:val="zh-CN"/>
        </w:rPr>
        <w:t>公开招标采购项目开标结束后，采购人和集中采购机构依据法律、法规及招标文件的规定，对投标人的资格进行审查，以确定投</w:t>
      </w:r>
      <w:r>
        <w:rPr>
          <w:rFonts w:hint="eastAsia" w:ascii="宋体" w:hAnsi="宋体" w:eastAsia="宋体" w:cs="Times New Roman"/>
          <w:bCs/>
          <w:sz w:val="24"/>
          <w:szCs w:val="20"/>
          <w:lang w:val="zh-CN"/>
        </w:rPr>
        <w:t>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3"/>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4"/>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w:t>
      </w:r>
      <w:r>
        <w:rPr>
          <w:rFonts w:hint="eastAsia" w:ascii="宋体" w:hAnsi="宋体" w:eastAsia="宋体" w:cs="Helvetica"/>
          <w:kern w:val="0"/>
          <w:sz w:val="24"/>
          <w:szCs w:val="24"/>
        </w:rPr>
        <w:t>5</w:t>
      </w:r>
      <w:r>
        <w:rPr>
          <w:rFonts w:ascii="宋体" w:hAnsi="宋体" w:eastAsia="宋体" w:cs="Helvetica"/>
          <w:kern w:val="0"/>
          <w:sz w:val="24"/>
          <w:szCs w:val="24"/>
          <w:lang w:val="zh-CN"/>
        </w:rPr>
        <w:t>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Times New Roman"/>
          <w:sz w:val="24"/>
          <w:szCs w:val="20"/>
          <w:lang w:val="zh-CN"/>
        </w:rPr>
        <w:t>。</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7"/>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7"/>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集中采购机构</w:t>
      </w:r>
      <w:r>
        <w:rPr>
          <w:rFonts w:ascii="宋体" w:hAnsi="宋体" w:eastAsia="宋体" w:cs="Times New Roman"/>
          <w:sz w:val="24"/>
          <w:szCs w:val="20"/>
          <w:lang w:val="zh-CN"/>
        </w:rPr>
        <w:t>或者有关部门报告评标中发现的违法行为。</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18" w:name="_Toc20043"/>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w:t>
      </w:r>
      <w:r>
        <w:rPr>
          <w:rFonts w:hint="eastAsia" w:cs="Helvetica" w:asciiTheme="minorEastAsia" w:hAnsiTheme="minorEastAsia"/>
          <w:kern w:val="0"/>
          <w:sz w:val="24"/>
          <w:szCs w:val="24"/>
        </w:rPr>
        <w:t>集中采购机构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28"/>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25812"/>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29"/>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集中采购机构在政府采购监管部门指定的媒体上发布中标公告，同时向中标人和采购人发出《中标通知书》。《中标通知书》是政府采购合同的组成部分,对中标人和采购人具有同等法律效力。</w:t>
      </w:r>
    </w:p>
    <w:p>
      <w:pPr>
        <w:numPr>
          <w:ilvl w:val="0"/>
          <w:numId w:val="29"/>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1"/>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1"/>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4" w:name="_Toc12749"/>
      <w:bookmarkStart w:id="25" w:name="_Toc494561945"/>
      <w:r>
        <w:rPr>
          <w:rFonts w:hint="eastAsia" w:cs="Times New Roman" w:asciiTheme="majorEastAsia" w:hAnsiTheme="majorEastAsia"/>
          <w:bCs w:val="0"/>
          <w:lang w:val="zh-CN"/>
        </w:rPr>
        <w:t>采购信息公告</w:t>
      </w:r>
      <w:bookmarkEnd w:id="24"/>
      <w:bookmarkEnd w:id="25"/>
    </w:p>
    <w:p>
      <w:pPr>
        <w:numPr>
          <w:ilvl w:val="0"/>
          <w:numId w:val="3"/>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集中采购机构在招标活动中的公告、补充、更正、结果等采购信息均依法在政府采购监管部门指定媒体上（中国湖北政府采购网http://www.ccgp-hubei.gov.cn/）发布。</w:t>
      </w:r>
    </w:p>
    <w:p>
      <w:pPr>
        <w:numPr>
          <w:ilvl w:val="0"/>
          <w:numId w:val="32"/>
        </w:numPr>
        <w:tabs>
          <w:tab w:val="left" w:pos="616"/>
        </w:tabs>
        <w:spacing w:line="360" w:lineRule="auto"/>
        <w:ind w:left="616" w:hanging="616"/>
        <w:rPr>
          <w:rFonts w:cs="Helvetica" w:asciiTheme="minorEastAsia" w:hAnsiTheme="minorEastAsia"/>
          <w:b/>
          <w:kern w:val="0"/>
          <w:sz w:val="24"/>
          <w:szCs w:val="24"/>
          <w:lang w:val="zh-CN"/>
        </w:rPr>
      </w:pPr>
      <w:r>
        <w:rPr>
          <w:rFonts w:hint="eastAsia" w:cs="Helvetica" w:asciiTheme="minorEastAsia" w:hAnsiTheme="minorEastAsia"/>
          <w:kern w:val="0"/>
          <w:sz w:val="24"/>
          <w:szCs w:val="24"/>
          <w:lang w:val="zh-CN"/>
        </w:rPr>
        <w:t>集中采购机构在自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2"/>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1685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投标人认为招标文件、招标过程和中标结果使自己的权益受到损害的，可以在知道或者应知其权益受到损害之日起7个工作日内，向集中采购机构</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3"/>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3"/>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投标人未按本章“质疑及提交”规定的时限、内容及方式进行质疑的，集中采购机构不予受理。</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28" w:name="_Toc29371"/>
      <w:bookmarkStart w:id="29" w:name="_Toc494561947"/>
      <w:r>
        <w:rPr>
          <w:rFonts w:hint="eastAsia" w:cs="Times New Roman" w:asciiTheme="majorEastAsia" w:hAnsiTheme="majorEastAsia"/>
          <w:bCs w:val="0"/>
          <w:lang w:val="zh-CN"/>
        </w:rPr>
        <w:t>相关条文解读</w:t>
      </w:r>
      <w:bookmarkEnd w:id="28"/>
      <w:bookmarkEnd w:id="29"/>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8"/>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11061"/>
      <w:r>
        <w:rPr>
          <w:rFonts w:hint="eastAsia" w:cs="Times New Roman" w:asciiTheme="majorEastAsia" w:hAnsiTheme="majorEastAsia"/>
          <w:bCs w:val="0"/>
          <w:lang w:val="zh-CN"/>
        </w:rPr>
        <w:t>其他注意事项</w:t>
      </w:r>
      <w:bookmarkEnd w:id="30"/>
      <w:bookmarkEnd w:id="31"/>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8"/>
        </w:numPr>
        <w:spacing w:before="40" w:after="40" w:line="360" w:lineRule="auto"/>
        <w:ind w:left="966" w:hanging="966"/>
        <w:jc w:val="left"/>
        <w:rPr>
          <w:rFonts w:cs="Times New Roman" w:asciiTheme="majorEastAsia" w:hAnsiTheme="majorEastAsia"/>
          <w:bCs w:val="0"/>
          <w:lang w:val="zh-CN"/>
        </w:rPr>
      </w:pPr>
      <w:bookmarkStart w:id="32" w:name="_Toc494561949"/>
      <w:bookmarkStart w:id="33" w:name="_Toc272247701"/>
      <w:bookmarkStart w:id="34" w:name="_Toc5595"/>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3"/>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采购人、集中采购机构及投标人的一切招标投标活动均适用《政府采购法》、《政府采购法实施条例》、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3"/>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w:t>
      </w:r>
      <w:r>
        <w:rPr>
          <w:rFonts w:hint="eastAsia" w:ascii="Helvetica" w:hAnsi="Helvetica" w:eastAsia="宋体" w:cs="Helvetica"/>
          <w:kern w:val="0"/>
          <w:sz w:val="24"/>
          <w:szCs w:val="24"/>
        </w:rPr>
        <w:t>民法典</w:t>
      </w:r>
      <w:r>
        <w:rPr>
          <w:rFonts w:ascii="Helvetica" w:hAnsi="Helvetica" w:eastAsia="宋体" w:cs="Helvetica"/>
          <w:kern w:val="0"/>
          <w:sz w:val="24"/>
          <w:szCs w:val="24"/>
          <w:lang w:val="zh-CN"/>
        </w:rPr>
        <w:t>》。</w:t>
      </w:r>
    </w:p>
    <w:p>
      <w:pPr>
        <w:pStyle w:val="4"/>
        <w:numPr>
          <w:ilvl w:val="0"/>
          <w:numId w:val="8"/>
        </w:numPr>
        <w:spacing w:before="40" w:after="40" w:line="360" w:lineRule="auto"/>
        <w:ind w:left="966" w:hanging="966"/>
        <w:jc w:val="left"/>
        <w:rPr>
          <w:rFonts w:cs="Times New Roman" w:asciiTheme="majorEastAsia" w:hAnsiTheme="majorEastAsia"/>
          <w:bCs w:val="0"/>
          <w:lang w:val="zh-CN"/>
        </w:rPr>
      </w:pPr>
      <w:bookmarkStart w:id="36" w:name="_Toc31066"/>
      <w:bookmarkStart w:id="37" w:name="_Toc494561950"/>
      <w:bookmarkStart w:id="38" w:name="_Toc278891599"/>
      <w:bookmarkStart w:id="39" w:name="_Toc272247702"/>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3"/>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采购人、集中采购机构</w:t>
      </w:r>
      <w:r>
        <w:rPr>
          <w:rFonts w:hint="eastAsia" w:ascii="宋体" w:hAnsi="宋体" w:eastAsia="宋体" w:cs="Times New Roman"/>
          <w:sz w:val="24"/>
          <w:szCs w:val="20"/>
          <w:lang w:val="zh-CN"/>
        </w:rPr>
        <w:t>所有。</w:t>
      </w:r>
      <w:r>
        <w:br w:type="page"/>
      </w:r>
    </w:p>
    <w:p>
      <w:pPr>
        <w:pStyle w:val="3"/>
        <w:spacing w:line="240" w:lineRule="auto"/>
        <w:jc w:val="center"/>
        <w:rPr>
          <w:rFonts w:ascii="黑体" w:hAnsi="黑体" w:eastAsia="黑体"/>
        </w:rPr>
      </w:pPr>
      <w:bookmarkStart w:id="40" w:name="_Toc1396"/>
      <w:r>
        <w:rPr>
          <w:rFonts w:ascii="Wingdings" w:hAnsi="Wingdings" w:eastAsia="黑体"/>
          <w:b w:val="0"/>
        </w:rPr>
        <w:t>第三章</w:t>
      </w:r>
      <w:r>
        <w:rPr>
          <w:rFonts w:hint="eastAsia" w:ascii="黑体" w:hAnsi="黑体" w:eastAsia="黑体"/>
        </w:rPr>
        <w:t>项目技术、服务及商务要求</w:t>
      </w:r>
      <w:bookmarkEnd w:id="40"/>
    </w:p>
    <w:p>
      <w:pPr>
        <w:numPr>
          <w:ilvl w:val="0"/>
          <w:numId w:val="35"/>
        </w:numPr>
        <w:spacing w:line="360" w:lineRule="auto"/>
        <w:rPr>
          <w:rFonts w:ascii="宋体" w:hAnsi="宋体" w:eastAsia="宋体" w:cs="宋体"/>
          <w:b/>
          <w:bCs/>
          <w:kern w:val="0"/>
          <w:sz w:val="28"/>
          <w:szCs w:val="28"/>
          <w:lang w:val="zh-CN" w:bidi="zh-CN"/>
        </w:rPr>
      </w:pPr>
      <w:bookmarkStart w:id="41" w:name="_Toc21666"/>
      <w:r>
        <w:rPr>
          <w:rFonts w:hint="eastAsia" w:ascii="宋体" w:hAnsi="宋体" w:eastAsia="宋体" w:cs="宋体"/>
          <w:b/>
          <w:bCs/>
          <w:kern w:val="0"/>
          <w:sz w:val="28"/>
          <w:szCs w:val="28"/>
          <w:lang w:val="zh-CN" w:bidi="zh-CN"/>
        </w:rPr>
        <w:t>项目概况：</w:t>
      </w:r>
    </w:p>
    <w:p>
      <w:pPr>
        <w:widowControl/>
        <w:snapToGrid w:val="0"/>
        <w:spacing w:line="360" w:lineRule="auto"/>
        <w:jc w:val="left"/>
        <w:rPr>
          <w:rFonts w:ascii="宋体" w:hAnsi="宋体" w:eastAsia="宋体" w:cs="宋体"/>
          <w:b/>
          <w:bCs/>
          <w:color w:val="FF0000"/>
          <w:kern w:val="0"/>
          <w:sz w:val="24"/>
          <w:szCs w:val="24"/>
          <w:lang w:val="zh-CN"/>
        </w:rPr>
      </w:pPr>
      <w:r>
        <w:rPr>
          <w:rFonts w:hint="eastAsia" w:ascii="宋体" w:hAnsi="宋体" w:eastAsia="宋体" w:cs="宋体"/>
          <w:color w:val="000000" w:themeColor="text1"/>
          <w:kern w:val="0"/>
          <w:sz w:val="24"/>
          <w:szCs w:val="24"/>
          <w14:textFill>
            <w14:solidFill>
              <w14:schemeClr w14:val="tx1"/>
            </w14:solidFill>
          </w14:textFill>
        </w:rPr>
        <w:t>1、项目名称：</w:t>
      </w:r>
      <w:r>
        <w:rPr>
          <w:rFonts w:hint="eastAsia" w:ascii="宋体" w:hAnsi="宋体" w:eastAsia="宋体" w:cs="宋体"/>
          <w:color w:val="000000" w:themeColor="text1"/>
          <w:kern w:val="0"/>
          <w:sz w:val="24"/>
          <w:szCs w:val="24"/>
          <w:lang w:val="zh-CN"/>
          <w14:textFill>
            <w14:solidFill>
              <w14:schemeClr w14:val="tx1"/>
            </w14:solidFill>
          </w14:textFill>
        </w:rPr>
        <w:t>阳新县住房和城乡建设局2022年-2023年建设项目造价咨询服务</w:t>
      </w:r>
    </w:p>
    <w:p>
      <w:pPr>
        <w:widowControl/>
        <w:snapToGrid w:val="0"/>
        <w:spacing w:line="360" w:lineRule="auto"/>
        <w:jc w:val="left"/>
        <w:rPr>
          <w:rFonts w:ascii="宋体" w:hAnsi="宋体" w:eastAsia="宋体" w:cs="宋体"/>
          <w:b/>
          <w:bCs/>
          <w:color w:val="FF0000"/>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2、招标控制价：</w:t>
      </w:r>
      <w:r>
        <w:rPr>
          <w:rFonts w:hint="eastAsia" w:ascii="宋体" w:hAnsi="宋体" w:eastAsia="宋体" w:cs="宋体"/>
          <w:color w:val="FF0000"/>
          <w:kern w:val="0"/>
          <w:sz w:val="24"/>
          <w:szCs w:val="24"/>
          <w:lang w:val="hr-HR"/>
        </w:rPr>
        <w:t>以阳新县住房和城乡建设局2022年-2023年建设项目造价咨询服务</w:t>
      </w:r>
      <w:r>
        <w:rPr>
          <w:rFonts w:hint="eastAsia" w:ascii="宋体" w:hAnsi="宋体" w:eastAsia="宋体" w:cs="宋体"/>
          <w:color w:val="FF0000"/>
          <w:kern w:val="0"/>
          <w:sz w:val="24"/>
          <w:szCs w:val="24"/>
        </w:rPr>
        <w:t>最终财政评审后价格作为招标控制价。（按下浮率报价</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hr-HR"/>
          <w14:textFill>
            <w14:solidFill>
              <w14:schemeClr w14:val="tx1"/>
            </w14:solidFill>
          </w14:textFill>
        </w:rPr>
        <w:t>。</w:t>
      </w:r>
    </w:p>
    <w:p>
      <w:pPr>
        <w:widowControl/>
        <w:snapToGrid w:val="0"/>
        <w:spacing w:line="360" w:lineRule="auto"/>
        <w:jc w:val="left"/>
        <w:rPr>
          <w:rFonts w:ascii="宋体" w:hAnsi="宋体" w:eastAsia="宋体" w:cs="宋体"/>
          <w:b/>
          <w:bCs/>
          <w:color w:val="FF0000"/>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3、项目内容：</w:t>
      </w:r>
      <w:r>
        <w:rPr>
          <w:rFonts w:hint="eastAsia" w:ascii="宋体" w:hAnsi="宋体" w:eastAsia="宋体" w:cs="宋体"/>
          <w:b/>
          <w:bCs/>
          <w:color w:val="FF0000"/>
          <w:kern w:val="0"/>
          <w:sz w:val="24"/>
          <w:szCs w:val="24"/>
          <w:lang w:val="zh-CN"/>
        </w:rPr>
        <w:t>阳新县住房和城乡建设局2022年-2023年建设项目造价咨询服务（</w:t>
      </w:r>
      <w:r>
        <w:rPr>
          <w:rFonts w:hint="eastAsia" w:ascii="宋体" w:hAnsi="宋体" w:eastAsia="宋体" w:cs="宋体"/>
          <w:b/>
          <w:bCs/>
          <w:color w:val="FF0000"/>
          <w:kern w:val="0"/>
          <w:sz w:val="24"/>
          <w:szCs w:val="24"/>
        </w:rPr>
        <w:t>共包含37个项目</w:t>
      </w:r>
      <w:r>
        <w:rPr>
          <w:rFonts w:hint="eastAsia" w:ascii="宋体" w:hAnsi="宋体" w:eastAsia="宋体" w:cs="宋体"/>
          <w:b/>
          <w:bCs/>
          <w:color w:val="FF0000"/>
          <w:kern w:val="0"/>
          <w:sz w:val="24"/>
          <w:szCs w:val="24"/>
          <w:lang w:val="zh-CN"/>
        </w:rPr>
        <w:t>），</w:t>
      </w:r>
      <w:r>
        <w:rPr>
          <w:rFonts w:hint="eastAsia" w:ascii="宋体" w:hAnsi="宋体" w:eastAsia="宋体" w:cs="宋体"/>
          <w:b/>
          <w:bCs/>
          <w:color w:val="FF0000"/>
          <w:kern w:val="0"/>
          <w:sz w:val="24"/>
          <w:szCs w:val="24"/>
        </w:rPr>
        <w:t>对建设项目的工程量清单及招标控制价的编制、工程结算报告的编制及施工阶段全过程造价控制。</w:t>
      </w:r>
    </w:p>
    <w:p>
      <w:pPr>
        <w:pStyle w:val="2"/>
        <w:rPr>
          <w:rFonts w:ascii="宋体" w:hAnsi="宋体" w:eastAsia="宋体" w:cs="宋体"/>
          <w:b/>
          <w:bCs/>
          <w:kern w:val="0"/>
          <w:sz w:val="28"/>
          <w:szCs w:val="28"/>
          <w:lang w:bidi="zh-CN"/>
        </w:rPr>
      </w:pPr>
      <w:r>
        <w:rPr>
          <w:rFonts w:hint="eastAsia" w:ascii="宋体" w:hAnsi="宋体" w:eastAsia="宋体" w:cs="宋体"/>
          <w:b/>
          <w:bCs/>
          <w:kern w:val="0"/>
          <w:sz w:val="28"/>
          <w:szCs w:val="28"/>
          <w:lang w:bidi="zh-CN"/>
        </w:rPr>
        <w:t>二、采购内容清单：</w:t>
      </w:r>
    </w:p>
    <w:tbl>
      <w:tblPr>
        <w:tblStyle w:val="26"/>
        <w:tblW w:w="8859" w:type="dxa"/>
        <w:tblInd w:w="0" w:type="dxa"/>
        <w:tblLayout w:type="fixed"/>
        <w:tblCellMar>
          <w:top w:w="0" w:type="dxa"/>
          <w:left w:w="0" w:type="dxa"/>
          <w:bottom w:w="0" w:type="dxa"/>
          <w:right w:w="0" w:type="dxa"/>
        </w:tblCellMar>
      </w:tblPr>
      <w:tblGrid>
        <w:gridCol w:w="599"/>
        <w:gridCol w:w="3249"/>
        <w:gridCol w:w="5011"/>
      </w:tblGrid>
      <w:tr>
        <w:tblPrEx>
          <w:tblCellMar>
            <w:top w:w="0" w:type="dxa"/>
            <w:left w:w="0" w:type="dxa"/>
            <w:bottom w:w="0" w:type="dxa"/>
            <w:right w:w="0" w:type="dxa"/>
          </w:tblCellMar>
        </w:tblPrEx>
        <w:trPr>
          <w:trHeight w:val="531"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序号</w:t>
            </w:r>
          </w:p>
        </w:tc>
        <w:tc>
          <w:tcPr>
            <w:tcW w:w="32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续建需完工类项目名称</w:t>
            </w:r>
          </w:p>
        </w:tc>
        <w:tc>
          <w:tcPr>
            <w:tcW w:w="5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主要建设内容及规模</w:t>
            </w:r>
          </w:p>
        </w:tc>
      </w:tr>
      <w:tr>
        <w:tblPrEx>
          <w:tblCellMar>
            <w:top w:w="0" w:type="dxa"/>
            <w:left w:w="0" w:type="dxa"/>
            <w:bottom w:w="0" w:type="dxa"/>
            <w:right w:w="0" w:type="dxa"/>
          </w:tblCellMar>
        </w:tblPrEx>
        <w:trPr>
          <w:trHeight w:val="633"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szCs w:val="20"/>
              </w:rPr>
            </w:pPr>
          </w:p>
        </w:tc>
        <w:tc>
          <w:tcPr>
            <w:tcW w:w="32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szCs w:val="20"/>
              </w:rPr>
            </w:pPr>
          </w:p>
        </w:tc>
        <w:tc>
          <w:tcPr>
            <w:tcW w:w="5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b/>
                <w:color w:val="000000"/>
                <w:sz w:val="20"/>
                <w:szCs w:val="20"/>
              </w:rPr>
            </w:pPr>
          </w:p>
        </w:tc>
      </w:tr>
      <w:tr>
        <w:tblPrEx>
          <w:tblCellMar>
            <w:top w:w="0" w:type="dxa"/>
            <w:left w:w="0" w:type="dxa"/>
            <w:bottom w:w="0" w:type="dxa"/>
            <w:right w:w="0" w:type="dxa"/>
          </w:tblCellMar>
        </w:tblPrEx>
        <w:trPr>
          <w:trHeight w:val="87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阳新高铁新区路网工程</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新建站前南路、站前西路、环城南路、民福路、龙马路、独山湖路，道路总长度20.55Km</w:t>
            </w:r>
          </w:p>
        </w:tc>
      </w:tr>
      <w:tr>
        <w:tblPrEx>
          <w:tblCellMar>
            <w:top w:w="0" w:type="dxa"/>
            <w:left w:w="0" w:type="dxa"/>
            <w:bottom w:w="0" w:type="dxa"/>
            <w:right w:w="0" w:type="dxa"/>
          </w:tblCellMar>
        </w:tblPrEx>
        <w:trPr>
          <w:trHeight w:val="223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老城区雨污分流一期（截污干管）</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西截污干管：北起东坡路、南至兴国大道；东截污干管：在明月湾西北角建设1#一体化污水处理设备、西侧空地上建设2#一体化污水处理设备，并将片区雨水排至莲花湖；恩波堤街合流管出口改造；锦富路合流管出口改造；湖滨路污水干管（俞家湾路至环湖西路）；兴国大道（东坡路至图书馆）雨水管网。</w:t>
            </w:r>
          </w:p>
        </w:tc>
      </w:tr>
      <w:tr>
        <w:tblPrEx>
          <w:tblCellMar>
            <w:top w:w="0" w:type="dxa"/>
            <w:left w:w="0" w:type="dxa"/>
            <w:bottom w:w="0" w:type="dxa"/>
            <w:right w:w="0" w:type="dxa"/>
          </w:tblCellMar>
        </w:tblPrEx>
        <w:trPr>
          <w:trHeight w:val="87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陵园大道改造一期</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本工程截面宽度27.5m，设计双向8条车道，其中机动车道6条，非机动车道2条。</w:t>
            </w:r>
          </w:p>
        </w:tc>
      </w:tr>
      <w:tr>
        <w:tblPrEx>
          <w:tblCellMar>
            <w:top w:w="0" w:type="dxa"/>
            <w:left w:w="0" w:type="dxa"/>
            <w:bottom w:w="0" w:type="dxa"/>
            <w:right w:w="0" w:type="dxa"/>
          </w:tblCellMar>
        </w:tblPrEx>
        <w:trPr>
          <w:trHeight w:val="111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2022年城镇老旧小区改造</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改造老旧小区27个，建筑面积约为24万平方米，87栋，2018户。</w:t>
            </w:r>
          </w:p>
        </w:tc>
      </w:tr>
      <w:tr>
        <w:tblPrEx>
          <w:tblCellMar>
            <w:top w:w="0" w:type="dxa"/>
            <w:left w:w="0" w:type="dxa"/>
            <w:bottom w:w="0" w:type="dxa"/>
            <w:right w:w="0" w:type="dxa"/>
          </w:tblCellMar>
        </w:tblPrEx>
        <w:trPr>
          <w:trHeight w:val="67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擦亮小城镇项目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全县各建制镇街道全面实施以“七补齐”为主要内容的擦亮小城镇行动</w:t>
            </w:r>
          </w:p>
        </w:tc>
      </w:tr>
      <w:tr>
        <w:tblPrEx>
          <w:tblCellMar>
            <w:top w:w="0" w:type="dxa"/>
            <w:left w:w="0" w:type="dxa"/>
            <w:bottom w:w="0" w:type="dxa"/>
            <w:right w:w="0"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黄石市阳新县城乡天然气</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新建高中压燃气管道85千米，建设调压站2座。城乡高中压天燃气管道建设及加压站、调压站、LNG储配站、加气站等建设。</w:t>
            </w:r>
          </w:p>
        </w:tc>
      </w:tr>
      <w:tr>
        <w:tblPrEx>
          <w:tblCellMar>
            <w:top w:w="0" w:type="dxa"/>
            <w:left w:w="0" w:type="dxa"/>
            <w:bottom w:w="0" w:type="dxa"/>
            <w:right w:w="0" w:type="dxa"/>
          </w:tblCellMar>
        </w:tblPrEx>
        <w:trPr>
          <w:trHeight w:val="89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南门街三期棚改项目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该项目共计划改造200套（户），改造面积约33200平方米。</w:t>
            </w:r>
          </w:p>
        </w:tc>
      </w:tr>
      <w:tr>
        <w:tblPrEx>
          <w:tblCellMar>
            <w:top w:w="0" w:type="dxa"/>
            <w:left w:w="0" w:type="dxa"/>
            <w:bottom w:w="0" w:type="dxa"/>
            <w:right w:w="0" w:type="dxa"/>
          </w:tblCellMar>
        </w:tblPrEx>
        <w:trPr>
          <w:trHeight w:val="113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伏虎山人防公园</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总占地面积29887平方（44.8亩），包括滨湖休闲活动区、人防标识标牌等配套设施建设</w:t>
            </w:r>
          </w:p>
        </w:tc>
      </w:tr>
      <w:tr>
        <w:tblPrEx>
          <w:tblCellMar>
            <w:top w:w="0" w:type="dxa"/>
            <w:left w:w="0" w:type="dxa"/>
            <w:bottom w:w="0" w:type="dxa"/>
            <w:right w:w="0" w:type="dxa"/>
          </w:tblCellMar>
        </w:tblPrEx>
        <w:trPr>
          <w:trHeight w:val="9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黄阳路口改造项目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黄阳路口与兴富大道交叉口改造</w:t>
            </w:r>
          </w:p>
        </w:tc>
      </w:tr>
      <w:tr>
        <w:tblPrEx>
          <w:tblCellMar>
            <w:top w:w="0" w:type="dxa"/>
            <w:left w:w="0" w:type="dxa"/>
            <w:bottom w:w="0" w:type="dxa"/>
            <w:right w:w="0" w:type="dxa"/>
          </w:tblCellMar>
        </w:tblPrEx>
        <w:trPr>
          <w:trHeight w:val="164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城市桥梁加固及亮化美化工程</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对立交桥、莲花湖大桥、明月湾大桥等5座城市桥梁进行除锈刷漆及加固</w:t>
            </w:r>
          </w:p>
        </w:tc>
      </w:tr>
      <w:tr>
        <w:tblPrEx>
          <w:tblCellMar>
            <w:top w:w="0" w:type="dxa"/>
            <w:left w:w="0" w:type="dxa"/>
            <w:bottom w:w="0" w:type="dxa"/>
            <w:right w:w="0" w:type="dxa"/>
          </w:tblCellMar>
        </w:tblPrEx>
        <w:trPr>
          <w:trHeight w:val="128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陵园大道改造（二期）</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立交桥至林峰路路口道路改造升级</w:t>
            </w:r>
          </w:p>
        </w:tc>
      </w:tr>
      <w:tr>
        <w:tblPrEx>
          <w:tblCellMar>
            <w:top w:w="0" w:type="dxa"/>
            <w:left w:w="0" w:type="dxa"/>
            <w:bottom w:w="0" w:type="dxa"/>
            <w:right w:w="0" w:type="dxa"/>
          </w:tblCellMar>
        </w:tblPrEx>
        <w:trPr>
          <w:trHeight w:val="128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充电桩项目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建设200个充电桩</w:t>
            </w:r>
          </w:p>
        </w:tc>
      </w:tr>
      <w:tr>
        <w:tblPrEx>
          <w:tblCellMar>
            <w:top w:w="0" w:type="dxa"/>
            <w:left w:w="0" w:type="dxa"/>
            <w:bottom w:w="0" w:type="dxa"/>
            <w:right w:w="0" w:type="dxa"/>
          </w:tblCellMar>
        </w:tblPrEx>
        <w:trPr>
          <w:trHeight w:val="152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长江大保护水环境综合治理项目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北湖、南门河、莲花湖、马蹄湖“三湖一河”水环境治理，城东、城北、老城区污水提质增效等工程。</w:t>
            </w:r>
          </w:p>
        </w:tc>
      </w:tr>
      <w:tr>
        <w:tblPrEx>
          <w:tblCellMar>
            <w:top w:w="0" w:type="dxa"/>
            <w:left w:w="0" w:type="dxa"/>
            <w:bottom w:w="0" w:type="dxa"/>
            <w:right w:w="0" w:type="dxa"/>
          </w:tblCellMar>
        </w:tblPrEx>
        <w:trPr>
          <w:trHeight w:val="190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马蹄湖岸线整治项目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总投资2.7亿元，分两期建设，其中一期项目计划投资1.3亿元，建设“马蹄湖欢乐世界”，项目内容主要包含滑行车、摩天轮、碰碰车、旋转木马、摇头飞椅等陆地机械类项目；二期规划在马蹄湖水面区域增设水幕电影、画舫、游船等水上项目。</w:t>
            </w:r>
          </w:p>
        </w:tc>
      </w:tr>
      <w:tr>
        <w:tblPrEx>
          <w:tblCellMar>
            <w:top w:w="0" w:type="dxa"/>
            <w:left w:w="0" w:type="dxa"/>
            <w:bottom w:w="0" w:type="dxa"/>
            <w:right w:w="0"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富池污水提质增效二期工程</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主管网长约6.9千米，三个提升泵站，尾水管网长约1千米，三四级管网大约4千米。</w:t>
            </w:r>
          </w:p>
        </w:tc>
      </w:tr>
      <w:tr>
        <w:tblPrEx>
          <w:tblCellMar>
            <w:top w:w="0" w:type="dxa"/>
            <w:left w:w="0" w:type="dxa"/>
            <w:bottom w:w="0" w:type="dxa"/>
            <w:right w:w="0" w:type="dxa"/>
          </w:tblCellMar>
        </w:tblPrEx>
        <w:trPr>
          <w:trHeight w:val="136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人行天桥、地下通道综合体</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兴国大道第二实验小学校门等其他位置，新建人行天桥5座.莲花大道与仙岛湖路白杨小学旁，新建人行地下通道综合体1座</w:t>
            </w:r>
          </w:p>
        </w:tc>
      </w:tr>
      <w:tr>
        <w:tblPrEx>
          <w:tblCellMar>
            <w:top w:w="0" w:type="dxa"/>
            <w:left w:w="0" w:type="dxa"/>
            <w:bottom w:w="0" w:type="dxa"/>
            <w:right w:w="0" w:type="dxa"/>
          </w:tblCellMar>
        </w:tblPrEx>
        <w:trPr>
          <w:trHeight w:val="105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保障性住房建设项目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拟新建保障房400套，其中2022年完成200套。</w:t>
            </w:r>
          </w:p>
        </w:tc>
      </w:tr>
      <w:tr>
        <w:tblPrEx>
          <w:tblCellMar>
            <w:top w:w="0" w:type="dxa"/>
            <w:left w:w="0" w:type="dxa"/>
            <w:bottom w:w="0" w:type="dxa"/>
            <w:right w:w="0" w:type="dxa"/>
          </w:tblCellMar>
        </w:tblPrEx>
        <w:trPr>
          <w:trHeight w:val="130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阳新县人防应急疏散训练基地项目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占地面积30亩，总建筑面积约6800平方米。建设国防（人防）宣教馆、报告厅、食堂、训练场所等内容。</w:t>
            </w:r>
          </w:p>
        </w:tc>
      </w:tr>
      <w:tr>
        <w:tblPrEx>
          <w:tblCellMar>
            <w:top w:w="0" w:type="dxa"/>
            <w:left w:w="0" w:type="dxa"/>
            <w:bottom w:w="0" w:type="dxa"/>
            <w:right w:w="0" w:type="dxa"/>
          </w:tblCellMar>
        </w:tblPrEx>
        <w:trPr>
          <w:trHeight w:val="12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阳新县城区排涝排渍三期</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新敷设雨水管网计12.5Km</w:t>
            </w:r>
          </w:p>
        </w:tc>
      </w:tr>
      <w:tr>
        <w:tblPrEx>
          <w:tblCellMar>
            <w:top w:w="0" w:type="dxa"/>
            <w:left w:w="0" w:type="dxa"/>
            <w:bottom w:w="0" w:type="dxa"/>
            <w:right w:w="0" w:type="dxa"/>
          </w:tblCellMar>
        </w:tblPrEx>
        <w:trPr>
          <w:trHeight w:val="113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口袋公园</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建设口袋公园50个左右，其中2022年完成6-10个口袋公园</w:t>
            </w:r>
          </w:p>
        </w:tc>
      </w:tr>
      <w:tr>
        <w:tblPrEx>
          <w:tblCellMar>
            <w:top w:w="0" w:type="dxa"/>
            <w:left w:w="0" w:type="dxa"/>
            <w:bottom w:w="0" w:type="dxa"/>
            <w:right w:w="0" w:type="dxa"/>
          </w:tblCellMar>
        </w:tblPrEx>
        <w:trPr>
          <w:trHeight w:val="126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阳新县乡镇污水管网二期工程</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乡镇污水三、四级管网建设</w:t>
            </w:r>
          </w:p>
        </w:tc>
      </w:tr>
      <w:tr>
        <w:tblPrEx>
          <w:tblCellMar>
            <w:top w:w="0" w:type="dxa"/>
            <w:left w:w="0" w:type="dxa"/>
            <w:bottom w:w="0" w:type="dxa"/>
            <w:right w:w="0" w:type="dxa"/>
          </w:tblCellMar>
        </w:tblPrEx>
        <w:trPr>
          <w:trHeight w:val="138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智慧物业项目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利用新一代信息技术，可推动传统物业转型升级，打造智能化小区、科学化物业。</w:t>
            </w:r>
          </w:p>
        </w:tc>
      </w:tr>
      <w:tr>
        <w:tblPrEx>
          <w:tblCellMar>
            <w:top w:w="0" w:type="dxa"/>
            <w:left w:w="0" w:type="dxa"/>
            <w:bottom w:w="0" w:type="dxa"/>
            <w:right w:w="0" w:type="dxa"/>
          </w:tblCellMar>
        </w:tblPrEx>
        <w:trPr>
          <w:trHeight w:val="138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阳新县规划建设档案馆</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县自然资源和县住建局拟共同建两栋档案管理业务用房，大约7000平方米，其中自然资源和规划局4000平方米，住建局3000平方米。</w:t>
            </w:r>
          </w:p>
        </w:tc>
      </w:tr>
      <w:tr>
        <w:tblPrEx>
          <w:tblCellMar>
            <w:top w:w="0" w:type="dxa"/>
            <w:left w:w="0" w:type="dxa"/>
            <w:bottom w:w="0" w:type="dxa"/>
            <w:right w:w="0" w:type="dxa"/>
          </w:tblCellMar>
        </w:tblPrEx>
        <w:trPr>
          <w:trHeight w:val="168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海绵城市项目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在城区范围内建设45平方公里，充分发挥建筑、道路和绿地、水系等生态系统对雨水的吸纳、作用，有效控制雨水径流、实现自然积存、自然渗透、自然净化。</w:t>
            </w:r>
          </w:p>
        </w:tc>
      </w:tr>
      <w:tr>
        <w:tblPrEx>
          <w:tblCellMar>
            <w:top w:w="0" w:type="dxa"/>
            <w:left w:w="0" w:type="dxa"/>
            <w:bottom w:w="0" w:type="dxa"/>
            <w:right w:w="0" w:type="dxa"/>
          </w:tblCellMar>
        </w:tblPrEx>
        <w:trPr>
          <w:trHeight w:val="130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两区一镇强弱电网入地工程项目（二期）</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二期项目内容主要为两区一镇弱电入地工程。</w:t>
            </w:r>
          </w:p>
        </w:tc>
      </w:tr>
      <w:tr>
        <w:tblPrEx>
          <w:tblCellMar>
            <w:top w:w="0" w:type="dxa"/>
            <w:left w:w="0" w:type="dxa"/>
            <w:bottom w:w="0" w:type="dxa"/>
            <w:right w:w="0" w:type="dxa"/>
          </w:tblCellMar>
        </w:tblPrEx>
        <w:trPr>
          <w:trHeight w:val="105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老城区背街小巷整治项目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主要对其改造路面及两侧人行道雨污水管网、绿化带、路灯等进行改造升级。</w:t>
            </w:r>
          </w:p>
        </w:tc>
      </w:tr>
      <w:tr>
        <w:tblPrEx>
          <w:tblCellMar>
            <w:top w:w="0" w:type="dxa"/>
            <w:left w:w="0" w:type="dxa"/>
            <w:bottom w:w="0" w:type="dxa"/>
            <w:right w:w="0" w:type="dxa"/>
          </w:tblCellMar>
        </w:tblPrEx>
        <w:trPr>
          <w:trHeight w:val="49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万春豪庭</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经济开发区</w:t>
            </w:r>
          </w:p>
        </w:tc>
      </w:tr>
      <w:tr>
        <w:tblPrEx>
          <w:tblCellMar>
            <w:top w:w="0" w:type="dxa"/>
            <w:left w:w="0" w:type="dxa"/>
            <w:bottom w:w="0" w:type="dxa"/>
            <w:right w:w="0" w:type="dxa"/>
          </w:tblCellMar>
        </w:tblPrEx>
        <w:trPr>
          <w:trHeight w:val="126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阳新县顺安家园公共租赁住房项目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规划总用地面积16464.79m2，约25.5亩；规划总建筑面积30400m2，其中地上建筑面积29920m2，地下建筑面积480m2，绿化面积4939.44m2</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阳新县老旧小区二次供水设施改造</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城区85个二次供水设施泵房进行改造或新建</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阳新县供水主干管改造</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市政供水主干管改造（管径DN150~DN800，总长25.886km）</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阳新县老旧小区管网改造</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老旧小区供水管网改造（管径DN63~DN150，总长57.264km）</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阳新县供水支管改造</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城中村供水支管改造（管径DN50~DN150，总长107.145km）</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阳新县新建智慧水务</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智慧水务（智慧水务综合信息平台、DM分区系统，GIS系统、智控等软硬件设施）</w:t>
            </w:r>
          </w:p>
        </w:tc>
      </w:tr>
      <w:tr>
        <w:tblPrEx>
          <w:tblCellMar>
            <w:top w:w="0" w:type="dxa"/>
            <w:left w:w="0" w:type="dxa"/>
            <w:bottom w:w="0" w:type="dxa"/>
            <w:right w:w="0" w:type="dxa"/>
          </w:tblCellMar>
        </w:tblPrEx>
        <w:trPr>
          <w:trHeight w:val="34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阳新县新建直饮水站</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新建直饮水站100处</w:t>
            </w:r>
          </w:p>
        </w:tc>
      </w:tr>
      <w:tr>
        <w:tblPrEx>
          <w:tblCellMar>
            <w:top w:w="0" w:type="dxa"/>
            <w:left w:w="0" w:type="dxa"/>
            <w:bottom w:w="0" w:type="dxa"/>
            <w:right w:w="0"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阳新县2023年城镇老旧小区改造项目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涉及城区13个片区，68个小区、217栋、4734户、55.23万㎡</w:t>
            </w:r>
          </w:p>
        </w:tc>
      </w:tr>
      <w:tr>
        <w:tblPrEx>
          <w:tblCellMar>
            <w:top w:w="0" w:type="dxa"/>
            <w:left w:w="0" w:type="dxa"/>
            <w:bottom w:w="0" w:type="dxa"/>
            <w:right w:w="0" w:type="dxa"/>
          </w:tblCellMar>
        </w:tblPrEx>
        <w:trPr>
          <w:trHeight w:val="363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阳新县天然气管道更新改造项目</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陵园社区（管径PE90，总长3000米）、实验小学三眼井社区4200米、张家垴社区2800米、双港大道中压管道工程（管径PE160，总长2500米）、谭（王）家坪路中压管道工程（管径PE110，总长1500米、大桥头至宝塔湖路中压管道工程（管径PE110，总长4100米）、陵园大道西段中压管道工程（管径PE110，总长500米）、阳新农产品加工产业园4300米、阳新县枫林镇市政中压（管径PE110，总长1000米）；2荻田-军垦高压燃气管道工程（管径DN219，总长10km）</w:t>
            </w:r>
          </w:p>
        </w:tc>
      </w:tr>
      <w:tr>
        <w:tblPrEx>
          <w:tblCellMar>
            <w:top w:w="0" w:type="dxa"/>
            <w:left w:w="0" w:type="dxa"/>
            <w:bottom w:w="0" w:type="dxa"/>
            <w:right w:w="0" w:type="dxa"/>
          </w:tblCellMar>
        </w:tblPrEx>
        <w:trPr>
          <w:trHeight w:val="3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阳新县城东新区路网工程</w:t>
            </w:r>
          </w:p>
        </w:tc>
        <w:tc>
          <w:tcPr>
            <w:tcW w:w="5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新建15条区间道路，总长13.7Km</w:t>
            </w:r>
          </w:p>
        </w:tc>
      </w:tr>
    </w:tbl>
    <w:p>
      <w:pPr>
        <w:pStyle w:val="25"/>
        <w:ind w:left="0" w:leftChars="0" w:firstLine="0" w:firstLineChars="0"/>
      </w:pPr>
    </w:p>
    <w:p>
      <w:pPr>
        <w:spacing w:line="360" w:lineRule="auto"/>
        <w:rPr>
          <w:rFonts w:ascii="宋体" w:hAnsi="宋体" w:eastAsia="宋体" w:cs="宋体"/>
          <w:b/>
          <w:bCs/>
          <w:kern w:val="0"/>
          <w:sz w:val="28"/>
          <w:szCs w:val="28"/>
          <w:lang w:bidi="zh-CN"/>
        </w:rPr>
      </w:pPr>
      <w:r>
        <w:rPr>
          <w:rFonts w:hint="eastAsia" w:ascii="宋体" w:hAnsi="宋体" w:eastAsia="宋体" w:cs="宋体"/>
          <w:b/>
          <w:bCs/>
          <w:kern w:val="0"/>
          <w:sz w:val="28"/>
          <w:szCs w:val="28"/>
          <w:lang w:bidi="zh-CN"/>
        </w:rPr>
        <w:t>三、技术要求</w:t>
      </w:r>
    </w:p>
    <w:p>
      <w:pPr>
        <w:spacing w:line="360" w:lineRule="auto"/>
        <w:rPr>
          <w:rFonts w:ascii="宋体" w:hAnsi="宋体" w:eastAsia="宋体" w:cs="宋体"/>
          <w:kern w:val="0"/>
          <w:sz w:val="28"/>
          <w:szCs w:val="28"/>
          <w:lang w:val="zh-CN" w:bidi="zh-CN"/>
        </w:rPr>
      </w:pPr>
      <w:r>
        <w:rPr>
          <w:rFonts w:hint="eastAsia" w:ascii="宋体" w:hAnsi="宋体" w:eastAsia="宋体" w:cs="宋体"/>
          <w:kern w:val="0"/>
          <w:sz w:val="28"/>
          <w:szCs w:val="28"/>
          <w:lang w:bidi="zh-CN"/>
        </w:rPr>
        <w:t xml:space="preserve">1、项目需求 </w:t>
      </w:r>
    </w:p>
    <w:p>
      <w:pPr>
        <w:widowControl/>
        <w:snapToGrid w:val="0"/>
        <w:spacing w:line="360" w:lineRule="auto"/>
        <w:jc w:val="left"/>
      </w:pPr>
      <w:r>
        <w:rPr>
          <w:rFonts w:hint="eastAsia" w:ascii="宋体" w:hAnsi="宋体" w:eastAsia="宋体" w:cs="宋体"/>
          <w:color w:val="000000"/>
          <w:kern w:val="0"/>
          <w:sz w:val="24"/>
          <w:szCs w:val="24"/>
        </w:rPr>
        <w:t>（</w:t>
      </w:r>
      <w:r>
        <w:rPr>
          <w:rFonts w:hint="eastAsia" w:ascii="宋体" w:hAnsi="宋体" w:cs="宋体"/>
          <w:color w:val="000000"/>
          <w:kern w:val="0"/>
          <w:sz w:val="24"/>
          <w:szCs w:val="24"/>
        </w:rPr>
        <w:t>一</w:t>
      </w:r>
      <w:r>
        <w:rPr>
          <w:rFonts w:hint="eastAsia" w:ascii="宋体" w:hAnsi="宋体" w:eastAsia="宋体" w:cs="宋体"/>
          <w:color w:val="000000"/>
          <w:kern w:val="0"/>
          <w:sz w:val="24"/>
          <w:szCs w:val="24"/>
        </w:rPr>
        <w:t xml:space="preserve">）造价咨询标准 </w:t>
      </w:r>
    </w:p>
    <w:p>
      <w:pPr>
        <w:widowControl/>
        <w:snapToGrid w:val="0"/>
        <w:spacing w:line="360" w:lineRule="auto"/>
        <w:jc w:val="left"/>
      </w:pPr>
      <w:r>
        <w:rPr>
          <w:rFonts w:hint="eastAsia" w:ascii="宋体" w:hAnsi="宋体" w:eastAsia="宋体" w:cs="宋体"/>
          <w:color w:val="000000"/>
          <w:kern w:val="0"/>
          <w:sz w:val="24"/>
          <w:szCs w:val="24"/>
        </w:rPr>
        <w:t xml:space="preserve">满足国家及地方相关行业规范、标准要求。 </w:t>
      </w:r>
    </w:p>
    <w:p>
      <w:pPr>
        <w:widowControl/>
        <w:numPr>
          <w:ilvl w:val="0"/>
          <w:numId w:val="36"/>
        </w:numPr>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造价咨询要求 </w:t>
      </w:r>
    </w:p>
    <w:p>
      <w:pPr>
        <w:widowControl/>
        <w:numPr>
          <w:ilvl w:val="0"/>
          <w:numId w:val="37"/>
        </w:numPr>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工程量清单及招标控制价的编制：</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编制工程造价计价说明，编制工程量清单及招标控制价，对工程量清单及招标控制价成果与财政评审机构进行交接；对施工过程签证及设计变更提供计价依据和审核。</w:t>
      </w:r>
    </w:p>
    <w:p>
      <w:pPr>
        <w:pStyle w:val="25"/>
        <w:numPr>
          <w:ilvl w:val="0"/>
          <w:numId w:val="37"/>
        </w:numPr>
        <w:ind w:left="0" w:leftChars="0"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工程结算报告的编制。</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编制工程造价计价说明，对施工单位编制的结算送审报告进行审核；对施工合同、投标文件、签证等有关资料进行审核，出具结算计价报告。</w:t>
      </w:r>
    </w:p>
    <w:p>
      <w:pPr>
        <w:pStyle w:val="25"/>
        <w:ind w:left="0" w:leftChars="0"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（3）施工阶段全过程造价控制：</w:t>
      </w:r>
    </w:p>
    <w:p>
      <w:pPr>
        <w:pStyle w:val="25"/>
        <w:ind w:left="0" w:leftChars="0" w:firstLine="0" w:firstLineChars="0"/>
        <w:rPr>
          <w:rFonts w:ascii="宋体" w:hAnsi="宋体" w:eastAsia="宋体" w:cs="宋体"/>
          <w:color w:val="FF0000"/>
          <w:kern w:val="0"/>
          <w:sz w:val="24"/>
          <w:szCs w:val="24"/>
        </w:rPr>
      </w:pPr>
      <w:r>
        <w:rPr>
          <w:rFonts w:hint="eastAsia" w:ascii="宋体" w:hAnsi="宋体" w:eastAsia="宋体" w:cs="宋体"/>
          <w:color w:val="FF0000"/>
          <w:kern w:val="0"/>
          <w:sz w:val="24"/>
          <w:szCs w:val="24"/>
        </w:rPr>
        <w:t>在建设项目施工阶段，跟踪审计的主要内容包括但不限于：</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1、制定造价控制的实施细则，确定控制目标；</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2、合同审核。检查合同履行情况。检查与建设项目有关的单位是否认真履行合同条款，有无违法分包、转包工程。如有变更、增补、转让或终止情况，应检查其真实性、合法性；</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检查内控制度建立、执行情况。检查项目管理公司是否建立健全并执行了各项内控制度。如工程变更、工程签证、工程款支付、工程结算、设备材料采购等。应督促、指导建立完善的管理制度，保证各项建设规范运行、建设资金合法</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使用；</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4、检查工程设计变更（含变更的必要性）、隐蔽工程、施工现场签证手续是否合理、合规、及时、完整、真实，并进行必要的现场勘验和确认，并以影像资料的形式记录作为存档资料；</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对项目造价出现设计变更、现场签证或其他方面将引起项目投资产生变化情况时编制变更、签证预算，并及时进行功能价值比分析，同时进行多方案比较，在保证安全、满足功能的前提下尽量降低造价，并监督设计变更手续是否完善、合规；</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项目实施过程中，对可能引起索赔因素的应重点跟踪，及时提供合理化建议，避免索赔事件发生。对已发生的索赔事件，根据合同约定，及时做好事件发生、发展、终结等相关记录，收集相关资料。并仔细分析原因，审查索赔是否真实、理由是否正当，证据是否充分；</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7、负责对施工单位上报的每月完成工作量月报进行审核，并签署审核意见，经业主认可后作为支付当月进度款的依据；掌握施工进度，参加形象进度验收，</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对形象进度拨款进行控制，杜绝出现超付工程款现象；提供涉及招标人咨询工程项目的人工、材料、设备等造价信息、与造价控制相关的其他咨询服务。对项目定价、材料定价、设备定价进行市场考察和审计确认，以书面形式将设备材料询价过程及结果告知相关各方、请相关各方签字盖章确认，作为结算的依据。参与设备和材料的入库验收，加强设备、材料价格控制，尤其要对承包人（包括分包人）自行采购的设备、材料的价格进行检查，防止从中加价。对已购设备、材料因故不能使用的，要分析原因，分清责任，并督促招标人及时处理，避免造成更大的损失；</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9、会同业主工地代表、监理人员和施工单位相关人员对施工中采用的新设备、新材料、新工艺、新技术进行确认，并监督其利用情况；</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10、提供业主需要的工程造价有关的咨询服务；</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11、在施工阶段全过程工程造价控制咨询工作正式开展前和工作中，招标人可能视具体情况提出其他一些造价要求，咨询人应尽力配合及满足招标人的工作需要；</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12、施工过程中，全程参与数据测量，并作为结算第一手资料。当月 5 号前提交上月跟踪审计月报，跟踪审计月报包含：A.当月跟踪审计工作内容；B.当月发生变更和签证情况，累计发生变更和签证汇总；C.当月工程形象进度及造价动态控制情况；D.当月实际进场材料情况及累计材料进场汇总；以及其它招标人需要增加的内容。</w:t>
      </w:r>
    </w:p>
    <w:p>
      <w:pPr>
        <w:pStyle w:val="25"/>
        <w:ind w:left="0" w:leftChars="0" w:firstLine="0" w:firstLineChars="0"/>
        <w:rPr>
          <w:rFonts w:ascii="宋体" w:hAnsi="宋体" w:eastAsia="宋体" w:cs="宋体"/>
          <w:color w:val="FF0000"/>
          <w:kern w:val="0"/>
          <w:sz w:val="24"/>
          <w:szCs w:val="24"/>
        </w:rPr>
      </w:pPr>
      <w:r>
        <w:rPr>
          <w:rFonts w:hint="eastAsia" w:ascii="宋体" w:hAnsi="宋体" w:eastAsia="宋体" w:cs="宋体"/>
          <w:color w:val="FF0000"/>
          <w:kern w:val="0"/>
          <w:sz w:val="24"/>
          <w:szCs w:val="24"/>
        </w:rPr>
        <w:t>在建设项目竣工结算阶段，跟踪审计的主要内容包括但不限于：</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1、核对项目有关单位申报的结算资料是否符合合同约定的结算方法，计价依据、取费标准、主材价格和优惠与承诺条件等是否符合要求；</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2、审核项目相关单位施工过程中发生的变更、签证等造价情况，在竣工结算书中是否真实、准确。竣工图纸是否与实际相符。</w:t>
      </w:r>
    </w:p>
    <w:p>
      <w:pPr>
        <w:pStyle w:val="25"/>
        <w:ind w:left="0" w:leftChars="0"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（三）服务要求</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1、中标人应建立健全内部控制制度，加强对执业人员的培训和管理，确保能满足招标人的服务需要。</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2、中标人不得因业务量大小、难易程度、地域远近而拒绝招标人按相关规定委托的具体项目和工作内容。</w:t>
      </w:r>
    </w:p>
    <w:p>
      <w:pPr>
        <w:widowControl/>
        <w:snapToGri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中标人应严格按照国家、湖北省有关财政财务、基建管理、工程造价相关政策法规规定以及招标人有关项目的要求，客观、公正地开展相关工作，对工作成果的真实性、准确性、完整性、合法性、合理性负责。</w:t>
      </w:r>
    </w:p>
    <w:p>
      <w:pPr>
        <w:widowControl/>
        <w:snapToGrid w:val="0"/>
        <w:spacing w:line="360" w:lineRule="auto"/>
        <w:jc w:val="left"/>
        <w:rPr>
          <w:lang w:val="zh-CN"/>
        </w:rPr>
      </w:pPr>
      <w:r>
        <w:rPr>
          <w:rFonts w:hint="eastAsia" w:ascii="宋体" w:hAnsi="宋体" w:eastAsia="宋体" w:cs="宋体"/>
          <w:color w:val="000000"/>
          <w:kern w:val="0"/>
          <w:sz w:val="24"/>
          <w:szCs w:val="24"/>
        </w:rPr>
        <w:t>4、中标人在合同期间应按照招标人要求开展工作，严格执行现场管理的有关规定，自觉接受招标人业务指导和监督，并遵守廉政、保密等相关纪律。</w:t>
      </w:r>
      <w:bookmarkEnd w:id="41"/>
    </w:p>
    <w:p>
      <w:pPr>
        <w:pStyle w:val="35"/>
        <w:ind w:firstLine="0" w:firstLineChars="0"/>
        <w:rPr>
          <w:rFonts w:eastAsia="宋体"/>
          <w:b/>
          <w:color w:val="auto"/>
          <w:kern w:val="0"/>
          <w:sz w:val="28"/>
          <w:szCs w:val="22"/>
          <w:lang w:bidi="zh-CN"/>
        </w:rPr>
      </w:pPr>
      <w:r>
        <w:rPr>
          <w:rFonts w:hint="eastAsia" w:eastAsia="宋体"/>
          <w:b/>
          <w:color w:val="auto"/>
          <w:kern w:val="0"/>
          <w:sz w:val="28"/>
          <w:szCs w:val="22"/>
          <w:lang w:bidi="zh-CN"/>
        </w:rPr>
        <w:t>四、商务要求</w:t>
      </w:r>
    </w:p>
    <w:p>
      <w:pPr>
        <w:tabs>
          <w:tab w:val="left" w:pos="1314"/>
        </w:tabs>
        <w:autoSpaceDE w:val="0"/>
        <w:autoSpaceDN w:val="0"/>
        <w:spacing w:before="1" w:line="379" w:lineRule="auto"/>
        <w:ind w:right="310"/>
        <w:rPr>
          <w:rFonts w:ascii="宋体" w:hAnsi="宋体" w:eastAsia="宋体" w:cs="宋体"/>
          <w:spacing w:val="-1"/>
          <w:kern w:val="0"/>
          <w:sz w:val="24"/>
          <w:lang w:bidi="zh-CN"/>
        </w:rPr>
      </w:pPr>
      <w:bookmarkStart w:id="42" w:name="_Toc14600"/>
      <w:bookmarkStart w:id="43" w:name="_Toc10533"/>
      <w:r>
        <w:rPr>
          <w:rFonts w:hint="eastAsia" w:ascii="宋体" w:hAnsi="宋体" w:eastAsia="宋体" w:cs="宋体"/>
          <w:spacing w:val="-1"/>
          <w:kern w:val="0"/>
          <w:sz w:val="24"/>
          <w:lang w:val="zh-CN" w:bidi="zh-CN"/>
        </w:rPr>
        <w:t>（1）</w:t>
      </w:r>
      <w:r>
        <w:rPr>
          <w:rFonts w:ascii="宋体" w:hAnsi="宋体" w:eastAsia="宋体" w:cs="宋体"/>
          <w:spacing w:val="-1"/>
          <w:kern w:val="0"/>
          <w:sz w:val="24"/>
          <w:lang w:val="zh-CN" w:bidi="zh-CN"/>
        </w:rPr>
        <w:t>合同履行期限</w:t>
      </w:r>
      <w:bookmarkEnd w:id="42"/>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bidi="zh-CN"/>
        </w:rPr>
        <w:t>以合同签订日期为准。</w:t>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r>
        <w:rPr>
          <w:rFonts w:hint="eastAsia" w:ascii="宋体" w:hAnsi="宋体" w:eastAsia="宋体" w:cs="宋体"/>
          <w:spacing w:val="-1"/>
          <w:kern w:val="0"/>
          <w:sz w:val="24"/>
          <w:lang w:val="zh-CN" w:bidi="zh-CN"/>
        </w:rPr>
        <w:t>（2）付款方式：按项目进度付款，具体以与</w:t>
      </w:r>
      <w:r>
        <w:rPr>
          <w:rFonts w:hint="eastAsia" w:ascii="宋体" w:hAnsi="宋体" w:eastAsia="宋体" w:cs="宋体"/>
          <w:spacing w:val="-1"/>
          <w:kern w:val="0"/>
          <w:sz w:val="24"/>
          <w:lang w:bidi="zh-CN"/>
        </w:rPr>
        <w:t>采购人</w:t>
      </w:r>
      <w:r>
        <w:rPr>
          <w:rFonts w:hint="eastAsia" w:ascii="宋体" w:hAnsi="宋体" w:eastAsia="宋体" w:cs="宋体"/>
          <w:spacing w:val="-1"/>
          <w:kern w:val="0"/>
          <w:sz w:val="24"/>
          <w:lang w:val="zh-CN" w:bidi="zh-CN"/>
        </w:rPr>
        <w:t>签订的</w:t>
      </w:r>
      <w:r>
        <w:rPr>
          <w:rFonts w:hint="eastAsia" w:ascii="宋体" w:hAnsi="宋体" w:eastAsia="宋体" w:cs="宋体"/>
          <w:spacing w:val="-1"/>
          <w:kern w:val="0"/>
          <w:sz w:val="24"/>
          <w:lang w:bidi="zh-CN"/>
        </w:rPr>
        <w:t>造价咨询</w:t>
      </w:r>
      <w:r>
        <w:rPr>
          <w:rFonts w:hint="eastAsia" w:ascii="宋体" w:hAnsi="宋体" w:eastAsia="宋体" w:cs="宋体"/>
          <w:spacing w:val="-1"/>
          <w:kern w:val="0"/>
          <w:sz w:val="24"/>
          <w:lang w:val="zh-CN" w:bidi="zh-CN"/>
        </w:rPr>
        <w:t>服务合同为准。</w:t>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r>
        <w:rPr>
          <w:rFonts w:hint="eastAsia" w:ascii="宋体" w:hAnsi="宋体" w:eastAsia="宋体" w:cs="宋体"/>
          <w:spacing w:val="-1"/>
          <w:kern w:val="0"/>
          <w:sz w:val="24"/>
          <w:lang w:val="zh-CN" w:bidi="zh-CN"/>
        </w:rPr>
        <w:t>（</w:t>
      </w:r>
      <w:r>
        <w:rPr>
          <w:rFonts w:hint="eastAsia" w:ascii="宋体" w:hAnsi="宋体" w:eastAsia="宋体" w:cs="宋体"/>
          <w:spacing w:val="-1"/>
          <w:kern w:val="0"/>
          <w:sz w:val="24"/>
          <w:lang w:bidi="zh-CN"/>
        </w:rPr>
        <w:t>3</w:t>
      </w:r>
      <w:r>
        <w:rPr>
          <w:rFonts w:hint="eastAsia" w:ascii="宋体" w:hAnsi="宋体" w:eastAsia="宋体" w:cs="宋体"/>
          <w:spacing w:val="-1"/>
          <w:kern w:val="0"/>
          <w:sz w:val="24"/>
          <w:lang w:val="zh-CN" w:bidi="zh-CN"/>
        </w:rPr>
        <w:t>）服务要求：</w:t>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r>
        <w:rPr>
          <w:rFonts w:hint="eastAsia" w:ascii="宋体" w:hAnsi="宋体" w:eastAsia="宋体" w:cs="宋体"/>
          <w:spacing w:val="-1"/>
          <w:kern w:val="0"/>
          <w:sz w:val="24"/>
          <w:lang w:bidi="zh-CN"/>
        </w:rPr>
        <w:t>执业质量</w:t>
      </w:r>
      <w:r>
        <w:rPr>
          <w:rFonts w:hint="eastAsia" w:ascii="宋体" w:hAnsi="宋体" w:eastAsia="宋体" w:cs="宋体"/>
          <w:spacing w:val="-1"/>
          <w:kern w:val="0"/>
          <w:sz w:val="24"/>
          <w:lang w:val="zh-CN" w:bidi="zh-CN"/>
        </w:rPr>
        <w:t>：合格</w:t>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r>
        <w:rPr>
          <w:rFonts w:hint="eastAsia" w:ascii="宋体" w:hAnsi="宋体" w:eastAsia="宋体" w:cs="宋体"/>
          <w:spacing w:val="-1"/>
          <w:kern w:val="0"/>
          <w:sz w:val="24"/>
          <w:lang w:bidi="zh-CN"/>
        </w:rPr>
        <w:t>执业进度</w:t>
      </w:r>
      <w:r>
        <w:rPr>
          <w:rFonts w:hint="eastAsia" w:ascii="宋体" w:hAnsi="宋体" w:eastAsia="宋体" w:cs="宋体"/>
          <w:spacing w:val="-1"/>
          <w:kern w:val="0"/>
          <w:sz w:val="24"/>
          <w:lang w:val="zh-CN" w:bidi="zh-CN"/>
        </w:rPr>
        <w:t>：合格</w:t>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r>
        <w:rPr>
          <w:rFonts w:hint="eastAsia" w:ascii="宋体" w:hAnsi="宋体" w:eastAsia="宋体" w:cs="宋体"/>
          <w:spacing w:val="-1"/>
          <w:kern w:val="0"/>
          <w:sz w:val="24"/>
          <w:lang w:bidi="zh-CN"/>
        </w:rPr>
        <w:t>执业人员沟通及配合程度</w:t>
      </w:r>
      <w:r>
        <w:rPr>
          <w:rFonts w:hint="eastAsia" w:ascii="宋体" w:hAnsi="宋体" w:eastAsia="宋体" w:cs="宋体"/>
          <w:spacing w:val="-1"/>
          <w:kern w:val="0"/>
          <w:sz w:val="24"/>
          <w:lang w:val="zh-CN" w:bidi="zh-CN"/>
        </w:rPr>
        <w:t>：合格</w:t>
      </w:r>
    </w:p>
    <w:bookmarkEnd w:id="43"/>
    <w:p>
      <w:pPr>
        <w:adjustRightInd w:val="0"/>
        <w:snapToGrid w:val="0"/>
        <w:spacing w:line="500" w:lineRule="exact"/>
        <w:ind w:left="420" w:leftChars="200" w:right="283" w:rightChars="135"/>
        <w:rPr>
          <w:rFonts w:ascii="宋体" w:hAnsi="宋体" w:eastAsia="宋体" w:cs="宋体"/>
          <w:sz w:val="24"/>
          <w:szCs w:val="24"/>
        </w:rPr>
      </w:pPr>
      <w:r>
        <w:rPr>
          <w:rFonts w:hint="eastAsia" w:ascii="宋体" w:hAnsi="宋体" w:eastAsia="宋体" w:cs="宋体"/>
          <w:spacing w:val="-1"/>
          <w:kern w:val="0"/>
          <w:sz w:val="24"/>
          <w:lang w:val="zh-CN" w:bidi="zh-CN"/>
        </w:rPr>
        <w:br w:type="page"/>
      </w:r>
    </w:p>
    <w:p>
      <w:pPr>
        <w:tabs>
          <w:tab w:val="left" w:pos="1314"/>
        </w:tabs>
        <w:autoSpaceDE w:val="0"/>
        <w:autoSpaceDN w:val="0"/>
        <w:spacing w:before="1" w:line="379" w:lineRule="auto"/>
        <w:ind w:right="310"/>
        <w:rPr>
          <w:rFonts w:ascii="宋体" w:hAnsi="宋体" w:eastAsia="宋体" w:cs="宋体"/>
          <w:spacing w:val="-1"/>
          <w:kern w:val="0"/>
          <w:sz w:val="24"/>
          <w:lang w:val="zh-CN" w:bidi="zh-CN"/>
        </w:rPr>
      </w:pPr>
    </w:p>
    <w:p>
      <w:pPr>
        <w:pStyle w:val="3"/>
        <w:spacing w:line="360" w:lineRule="auto"/>
        <w:jc w:val="center"/>
        <w:rPr>
          <w:rFonts w:ascii="黑体" w:hAnsi="黑体" w:eastAsia="黑体"/>
        </w:rPr>
      </w:pPr>
      <w:bookmarkStart w:id="44" w:name="_Toc6807"/>
      <w:r>
        <w:rPr>
          <w:rFonts w:hint="eastAsia" w:ascii="黑体" w:hAnsi="黑体" w:eastAsia="黑体"/>
        </w:rPr>
        <w:t>第四章 资格审查方法及标准</w:t>
      </w:r>
      <w:bookmarkEnd w:id="44"/>
    </w:p>
    <w:p>
      <w:pPr>
        <w:spacing w:line="360" w:lineRule="auto"/>
        <w:ind w:firstLine="420"/>
        <w:rPr>
          <w:rFonts w:ascii="宋体" w:hAnsi="宋体" w:cs="Times New Roman"/>
          <w:bCs/>
          <w:sz w:val="24"/>
          <w:szCs w:val="20"/>
        </w:rPr>
      </w:pPr>
      <w:r>
        <w:rPr>
          <w:rFonts w:hint="eastAsia" w:ascii="宋体" w:hAnsi="宋体" w:cs="Times New Roman"/>
          <w:bCs/>
          <w:sz w:val="24"/>
          <w:szCs w:val="20"/>
        </w:rPr>
        <w:t>根据《政府采购法》、《政府采购法实施条例》、《政府采购货物和服务招标投标管理办法》等相关法律法规确定以下资格审查方法及标准。</w:t>
      </w:r>
    </w:p>
    <w:p>
      <w:pPr>
        <w:pStyle w:val="4"/>
        <w:numPr>
          <w:ilvl w:val="0"/>
          <w:numId w:val="38"/>
        </w:numPr>
        <w:spacing w:before="0" w:after="0" w:line="360" w:lineRule="auto"/>
        <w:ind w:left="616" w:hanging="616"/>
        <w:jc w:val="left"/>
        <w:rPr>
          <w:rFonts w:ascii="宋体" w:hAnsi="宋体" w:cs="Times New Roman"/>
          <w:bCs w:val="0"/>
          <w:sz w:val="30"/>
          <w:szCs w:val="30"/>
        </w:rPr>
      </w:pPr>
      <w:bookmarkStart w:id="45" w:name="_Toc18092"/>
      <w:bookmarkStart w:id="46" w:name="_Toc22352"/>
      <w:bookmarkStart w:id="47" w:name="_Toc494561958"/>
      <w:bookmarkStart w:id="48" w:name="_Toc15388"/>
      <w:bookmarkStart w:id="49" w:name="_Toc511894514"/>
      <w:r>
        <w:rPr>
          <w:rFonts w:hint="eastAsia" w:ascii="宋体" w:hAnsi="宋体" w:cs="Times New Roman"/>
          <w:bCs w:val="0"/>
          <w:sz w:val="30"/>
          <w:szCs w:val="30"/>
        </w:rPr>
        <w:t>资格审查方法</w:t>
      </w:r>
      <w:bookmarkEnd w:id="45"/>
      <w:bookmarkEnd w:id="46"/>
      <w:bookmarkEnd w:id="47"/>
      <w:bookmarkEnd w:id="48"/>
      <w:bookmarkEnd w:id="49"/>
    </w:p>
    <w:p>
      <w:pPr>
        <w:numPr>
          <w:ilvl w:val="0"/>
          <w:numId w:val="39"/>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39"/>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39"/>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39"/>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39"/>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39"/>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9"/>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39"/>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9"/>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9"/>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9"/>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9"/>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rPr>
          <w:rFonts w:hint="eastAsia" w:ascii="黑体" w:hAnsi="黑体" w:eastAsia="黑体"/>
        </w:rPr>
        <w:br w:type="page"/>
      </w:r>
    </w:p>
    <w:p>
      <w:pPr>
        <w:pStyle w:val="3"/>
        <w:spacing w:line="360" w:lineRule="auto"/>
        <w:jc w:val="center"/>
        <w:rPr>
          <w:rFonts w:ascii="黑体" w:hAnsi="黑体" w:eastAsia="黑体"/>
        </w:rPr>
      </w:pPr>
      <w:bookmarkStart w:id="50" w:name="_Toc29550"/>
      <w:r>
        <w:rPr>
          <w:rFonts w:hint="eastAsia" w:ascii="黑体" w:hAnsi="黑体" w:eastAsia="黑体"/>
        </w:rPr>
        <w:t>第五章 评标方法、程序及标准</w:t>
      </w:r>
      <w:bookmarkEnd w:id="5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51" w:name="_Toc278891605"/>
      <w:bookmarkStart w:id="52" w:name="_Toc272247708"/>
      <w:bookmarkStart w:id="53" w:name="_Toc494561961"/>
      <w:bookmarkStart w:id="54" w:name="_Toc5156"/>
      <w:r>
        <w:rPr>
          <w:rFonts w:hint="eastAsia" w:cs="Times New Roman" w:asciiTheme="majorEastAsia" w:hAnsiTheme="majorEastAsia"/>
          <w:bCs w:val="0"/>
          <w:sz w:val="30"/>
          <w:szCs w:val="30"/>
          <w:lang w:val="zh-CN"/>
        </w:rPr>
        <w:t>评标</w:t>
      </w:r>
      <w:bookmarkEnd w:id="51"/>
      <w:bookmarkEnd w:id="52"/>
      <w:r>
        <w:rPr>
          <w:rFonts w:hint="eastAsia" w:cs="Times New Roman" w:asciiTheme="majorEastAsia" w:hAnsiTheme="majorEastAsia"/>
          <w:bCs w:val="0"/>
          <w:sz w:val="30"/>
          <w:szCs w:val="30"/>
          <w:lang w:val="zh-CN"/>
        </w:rPr>
        <w:t>方法</w:t>
      </w:r>
      <w:bookmarkEnd w:id="53"/>
      <w:bookmarkEnd w:id="5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color w:val="0000FF"/>
          <w:sz w:val="24"/>
          <w:szCs w:val="20"/>
          <w:lang w:val="zh-CN"/>
        </w:rPr>
        <w:t>本项目评标采用综合评分法，</w:t>
      </w:r>
      <w:r>
        <w:rPr>
          <w:rFonts w:ascii="宋体" w:hAnsi="宋体" w:eastAsia="宋体" w:cs="Times New Roman"/>
          <w:bCs/>
          <w:color w:val="0000FF"/>
          <w:sz w:val="24"/>
          <w:szCs w:val="20"/>
          <w:lang w:val="zh-CN"/>
        </w:rPr>
        <w:t>是指投标文件满足招标文件全部实质性要求，且按照评审因素的量化指标评审得分最高的投标人为中标候选人的评标方法。</w:t>
      </w:r>
    </w:p>
    <w:p>
      <w:pPr>
        <w:pStyle w:val="4"/>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55" w:name="_Toc272247709"/>
      <w:bookmarkStart w:id="56" w:name="_Toc278891606"/>
      <w:bookmarkStart w:id="57" w:name="_Toc20223"/>
      <w:bookmarkStart w:id="58" w:name="_Toc494561962"/>
      <w:r>
        <w:rPr>
          <w:rFonts w:hint="eastAsia" w:cs="Times New Roman" w:asciiTheme="majorEastAsia" w:hAnsiTheme="majorEastAsia"/>
          <w:bCs w:val="0"/>
          <w:sz w:val="30"/>
          <w:szCs w:val="30"/>
          <w:lang w:val="zh-CN"/>
        </w:rPr>
        <w:t>评标程序</w:t>
      </w:r>
      <w:bookmarkEnd w:id="55"/>
      <w:bookmarkEnd w:id="56"/>
      <w:r>
        <w:rPr>
          <w:rFonts w:hint="eastAsia" w:cs="Times New Roman" w:asciiTheme="majorEastAsia" w:hAnsiTheme="majorEastAsia"/>
          <w:bCs w:val="0"/>
          <w:sz w:val="30"/>
          <w:szCs w:val="30"/>
          <w:lang w:val="zh-CN"/>
        </w:rPr>
        <w:t>及标准</w:t>
      </w:r>
      <w:bookmarkEnd w:id="57"/>
      <w:bookmarkEnd w:id="58"/>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4"/>
        </w:numPr>
        <w:spacing w:line="360" w:lineRule="auto"/>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符合性审查出现下列情形之一的投标按照无效投标处理：</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无法定代表人签字（签章）或签字（签章）人无法定代表人有效授权的（本项目可以由分公司或分支机构总负责人签字（签章）或其授权人签字（签章））；</w:t>
      </w:r>
    </w:p>
    <w:p>
      <w:pPr>
        <w:numPr>
          <w:ilvl w:val="0"/>
          <w:numId w:val="45"/>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符合招标文件第二章“投标人须知”中第</w:t>
      </w:r>
      <w:r>
        <w:rPr>
          <w:rFonts w:hint="eastAsia" w:ascii="Times New Roman" w:hAnsi="宋体" w:eastAsia="宋体" w:cs="Times New Roman"/>
          <w:sz w:val="24"/>
          <w:szCs w:val="24"/>
        </w:rPr>
        <w:t>38</w:t>
      </w:r>
      <w:r>
        <w:rPr>
          <w:rFonts w:hint="eastAsia" w:ascii="Times New Roman" w:hAnsi="宋体" w:eastAsia="宋体" w:cs="Times New Roman"/>
          <w:sz w:val="24"/>
          <w:szCs w:val="24"/>
          <w:lang w:val="zh-CN"/>
        </w:rPr>
        <w:t>条中规定情形，以分公司形式参与投标的，法定代表人授权书未由分公司或分支机构总负责人签字（签章）并加盖公章的；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w:t>
      </w:r>
      <w:r>
        <w:rPr>
          <w:rFonts w:hint="eastAsia" w:ascii="Times New Roman" w:hAnsi="宋体" w:eastAsia="宋体" w:cs="Times New Roman"/>
          <w:sz w:val="24"/>
          <w:szCs w:val="24"/>
        </w:rPr>
        <w:t>九</w:t>
      </w:r>
      <w:r>
        <w:rPr>
          <w:rFonts w:hint="eastAsia" w:ascii="Times New Roman" w:hAnsi="宋体" w:eastAsia="宋体" w:cs="Times New Roman"/>
          <w:sz w:val="24"/>
          <w:szCs w:val="24"/>
          <w:lang w:val="zh-CN"/>
        </w:rPr>
        <w:t xml:space="preserve"> 其他注意事项”中规定的书面声明的；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6"/>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6"/>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6"/>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
          <w:color w:val="FF0000"/>
          <w:sz w:val="24"/>
          <w:szCs w:val="24"/>
        </w:rPr>
      </w:pPr>
      <w:r>
        <w:rPr>
          <w:rFonts w:hint="eastAsia" w:ascii="宋体" w:hAnsi="宋体" w:eastAsia="宋体" w:cs="Times New Roman"/>
          <w:b/>
          <w:color w:val="FF0000"/>
          <w:sz w:val="24"/>
          <w:szCs w:val="24"/>
        </w:rPr>
        <w:t>评标委员会对符合性审查合格的投标文件进行价格评议（</w:t>
      </w:r>
      <w:r>
        <w:rPr>
          <w:rFonts w:hint="eastAsia" w:ascii="宋体" w:hAnsi="宋体" w:eastAsia="宋体" w:cs="Times New Roman"/>
          <w:b/>
          <w:color w:val="FF0000"/>
          <w:sz w:val="24"/>
          <w:szCs w:val="21"/>
          <w:lang w:val="zh-CN"/>
        </w:rPr>
        <w:t>执行国家统一定价标准和采用固定价格采购的项目，其价格不列为评审因素</w:t>
      </w:r>
      <w:r>
        <w:rPr>
          <w:rFonts w:hint="eastAsia" w:ascii="宋体" w:hAnsi="宋体" w:eastAsia="宋体" w:cs="Times New Roman"/>
          <w:b/>
          <w:color w:val="FF0000"/>
          <w:sz w:val="24"/>
          <w:szCs w:val="24"/>
        </w:rPr>
        <w:t>），详见本章“评审因素及评分标准”中的具体计算公式。</w:t>
      </w:r>
    </w:p>
    <w:p>
      <w:pPr>
        <w:numPr>
          <w:ilvl w:val="0"/>
          <w:numId w:val="49"/>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Cs/>
          <w:color w:val="0D0D0D"/>
          <w:sz w:val="24"/>
          <w:szCs w:val="20"/>
          <w:lang w:val="zh-CN"/>
        </w:rPr>
        <w:t>报价合理性说明：评标</w:t>
      </w:r>
      <w:r>
        <w:rPr>
          <w:rFonts w:ascii="宋体" w:hAnsi="宋体" w:eastAsia="宋体" w:cs="Helvetica"/>
          <w:kern w:val="0"/>
          <w:sz w:val="24"/>
          <w:szCs w:val="24"/>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49"/>
        </w:numPr>
        <w:adjustRightInd w:val="0"/>
        <w:spacing w:line="360" w:lineRule="auto"/>
        <w:ind w:left="742" w:hanging="493"/>
        <w:rPr>
          <w:rFonts w:ascii="宋体" w:hAnsi="宋体" w:eastAsia="宋体" w:cs="Times New Roman"/>
          <w:b/>
          <w:color w:val="FF0000"/>
          <w:sz w:val="24"/>
          <w:szCs w:val="24"/>
          <w:lang w:val="zh-CN"/>
        </w:rPr>
      </w:pPr>
      <w:r>
        <w:rPr>
          <w:rFonts w:hint="eastAsia" w:ascii="宋体" w:hAnsi="宋体" w:eastAsia="宋体" w:cs="Times New Roman"/>
          <w:b/>
          <w:color w:val="FF0000"/>
          <w:sz w:val="24"/>
          <w:szCs w:val="24"/>
          <w:lang w:val="zh-CN"/>
        </w:rPr>
        <w:t>小型和微型企业、监狱企业、残疾人福利性单位价格扣除：</w:t>
      </w:r>
    </w:p>
    <w:p>
      <w:pPr>
        <w:numPr>
          <w:ilvl w:val="0"/>
          <w:numId w:val="50"/>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0"/>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非专门面向中小企业的工程、服务类采购项目，投标人是小型和微型企业的价格给予</w:t>
      </w:r>
      <w:r>
        <w:rPr>
          <w:rFonts w:hint="eastAsia" w:ascii="宋体" w:hAnsi="宋体" w:eastAsia="宋体" w:cs="Times New Roman"/>
          <w:b/>
          <w:bCs/>
          <w:color w:val="FF0000"/>
          <w:sz w:val="24"/>
          <w:szCs w:val="20"/>
          <w:lang w:val="zh-CN"/>
        </w:rPr>
        <w:t>6%</w:t>
      </w:r>
      <w:r>
        <w:rPr>
          <w:rFonts w:hint="eastAsia" w:ascii="宋体" w:hAnsi="宋体" w:eastAsia="宋体" w:cs="Times New Roman"/>
          <w:bCs/>
          <w:color w:val="FF0000"/>
          <w:sz w:val="24"/>
          <w:szCs w:val="20"/>
          <w:lang w:val="zh-CN"/>
        </w:rPr>
        <w:t>的扣除，用扣除后的价格参与评审。</w:t>
      </w:r>
    </w:p>
    <w:p>
      <w:pPr>
        <w:numPr>
          <w:ilvl w:val="0"/>
          <w:numId w:val="50"/>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鼓励大中型企业和其他自然人</w:t>
      </w:r>
      <w:r>
        <w:rPr>
          <w:rFonts w:ascii="宋体" w:hAnsi="宋体" w:eastAsia="宋体" w:cs="Times New Roman"/>
          <w:bCs/>
          <w:color w:val="FF0000"/>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color w:val="FF0000"/>
          <w:sz w:val="24"/>
          <w:szCs w:val="20"/>
        </w:rPr>
        <w:t>30%</w:t>
      </w:r>
      <w:r>
        <w:rPr>
          <w:rFonts w:ascii="宋体" w:hAnsi="宋体" w:eastAsia="宋体" w:cs="Times New Roman"/>
          <w:bCs/>
          <w:color w:val="FF0000"/>
          <w:sz w:val="24"/>
          <w:szCs w:val="20"/>
        </w:rPr>
        <w:t>以上的，可给予联合体</w:t>
      </w:r>
      <w:r>
        <w:rPr>
          <w:rFonts w:ascii="宋体" w:hAnsi="宋体" w:eastAsia="宋体" w:cs="Times New Roman"/>
          <w:b/>
          <w:bCs/>
          <w:color w:val="FF0000"/>
          <w:sz w:val="24"/>
          <w:szCs w:val="20"/>
          <w:lang w:val="zh-CN"/>
        </w:rPr>
        <w:t>3%</w:t>
      </w:r>
      <w:r>
        <w:rPr>
          <w:rFonts w:ascii="宋体" w:hAnsi="宋体" w:eastAsia="宋体" w:cs="Times New Roman"/>
          <w:bCs/>
          <w:color w:val="FF0000"/>
          <w:sz w:val="24"/>
          <w:szCs w:val="20"/>
        </w:rPr>
        <w:t>的价格扣除</w:t>
      </w:r>
      <w:r>
        <w:rPr>
          <w:rFonts w:hint="eastAsia" w:ascii="宋体" w:hAnsi="宋体" w:eastAsia="宋体" w:cs="Times New Roman"/>
          <w:bCs/>
          <w:color w:val="FF0000"/>
          <w:sz w:val="24"/>
          <w:szCs w:val="20"/>
        </w:rPr>
        <w:t>，</w:t>
      </w:r>
      <w:r>
        <w:rPr>
          <w:rFonts w:hint="eastAsia" w:ascii="宋体" w:hAnsi="宋体" w:eastAsia="宋体" w:cs="Times New Roman"/>
          <w:bCs/>
          <w:color w:val="FF0000"/>
          <w:sz w:val="24"/>
          <w:szCs w:val="20"/>
          <w:lang w:val="zh-CN"/>
        </w:rPr>
        <w:t>不重复享受政策。</w:t>
      </w:r>
    </w:p>
    <w:p>
      <w:pPr>
        <w:numPr>
          <w:ilvl w:val="0"/>
          <w:numId w:val="50"/>
        </w:numPr>
        <w:spacing w:line="360" w:lineRule="auto"/>
        <w:ind w:left="1134" w:hanging="756"/>
        <w:rPr>
          <w:rFonts w:ascii="宋体" w:hAnsi="宋体" w:eastAsia="宋体" w:cs="Times New Roman"/>
          <w:bCs/>
          <w:color w:val="FF0000"/>
          <w:sz w:val="24"/>
          <w:szCs w:val="20"/>
          <w:lang w:val="zh-CN"/>
        </w:rPr>
      </w:pPr>
      <w:r>
        <w:rPr>
          <w:rFonts w:ascii="宋体" w:hAnsi="宋体" w:eastAsia="宋体" w:cs="Times New Roman"/>
          <w:bCs/>
          <w:color w:val="FF0000"/>
          <w:sz w:val="24"/>
          <w:szCs w:val="20"/>
          <w:lang w:val="zh-CN"/>
        </w:rPr>
        <w:t>监狱企业</w:t>
      </w:r>
      <w:r>
        <w:rPr>
          <w:rFonts w:hint="eastAsia" w:ascii="宋体" w:hAnsi="宋体" w:eastAsia="宋体" w:cs="Times New Roman"/>
          <w:bCs/>
          <w:color w:val="FF0000"/>
          <w:sz w:val="24"/>
          <w:szCs w:val="20"/>
          <w:lang w:val="zh-CN"/>
        </w:rPr>
        <w:t>、残疾人福利性单位</w:t>
      </w:r>
      <w:r>
        <w:rPr>
          <w:rFonts w:ascii="宋体" w:hAnsi="宋体" w:eastAsia="宋体" w:cs="Times New Roman"/>
          <w:bCs/>
          <w:color w:val="FF0000"/>
          <w:sz w:val="24"/>
          <w:szCs w:val="20"/>
          <w:lang w:val="zh-CN"/>
        </w:rPr>
        <w:t>视同小型、微型企业，享受预留份额、评审中价格扣除等政府采购促进中小企业发展的政府采购政策</w:t>
      </w:r>
      <w:r>
        <w:rPr>
          <w:rFonts w:hint="eastAsia" w:ascii="宋体" w:hAnsi="宋体" w:eastAsia="宋体" w:cs="Times New Roman"/>
          <w:bCs/>
          <w:color w:val="FF0000"/>
          <w:sz w:val="24"/>
          <w:szCs w:val="20"/>
          <w:lang w:val="zh-CN"/>
        </w:rPr>
        <w:t>，残疾人福利性单位属于小型、微型企业的，不重复享受政策。</w:t>
      </w:r>
    </w:p>
    <w:p>
      <w:pPr>
        <w:numPr>
          <w:ilvl w:val="0"/>
          <w:numId w:val="50"/>
        </w:numPr>
        <w:spacing w:line="360" w:lineRule="auto"/>
        <w:ind w:left="1134" w:hanging="756"/>
        <w:rPr>
          <w:rFonts w:ascii="宋体" w:hAnsi="宋体" w:eastAsia="宋体" w:cs="Times New Roman"/>
          <w:bCs/>
          <w:color w:val="FF0000"/>
          <w:sz w:val="24"/>
          <w:szCs w:val="20"/>
          <w:lang w:val="zh-CN"/>
        </w:rPr>
      </w:pPr>
      <w:r>
        <w:rPr>
          <w:rFonts w:hint="eastAsia" w:ascii="宋体" w:hAnsi="宋体" w:eastAsia="宋体" w:cs="Times New Roman"/>
          <w:bCs/>
          <w:color w:val="FF0000"/>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1"/>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5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5"/>
        <w:ind w:left="420" w:firstLine="480"/>
        <w:rPr>
          <w:rFonts w:ascii="Helvetica" w:hAnsi="Helvetica" w:eastAsia="宋体" w:cs="Helvetica"/>
          <w:kern w:val="0"/>
          <w:sz w:val="24"/>
          <w:szCs w:val="24"/>
          <w:lang w:val="zh-CN"/>
        </w:rPr>
      </w:pPr>
      <w:bookmarkStart w:id="59" w:name="_Hlk89336112"/>
    </w:p>
    <w:p>
      <w:pPr>
        <w:rPr>
          <w:rFonts w:cs="Times New Roman" w:asciiTheme="majorEastAsia" w:hAnsiTheme="majorEastAsia" w:eastAsiaTheme="majorEastAsia"/>
          <w:b/>
          <w:sz w:val="30"/>
          <w:szCs w:val="30"/>
          <w:lang w:val="zh-CN"/>
        </w:rPr>
      </w:pPr>
      <w:r>
        <w:rPr>
          <w:rFonts w:hint="eastAsia" w:ascii="Helvetica" w:hAnsi="Helvetica" w:eastAsia="宋体" w:cs="Helvetica"/>
          <w:kern w:val="0"/>
          <w:sz w:val="24"/>
          <w:szCs w:val="24"/>
          <w:lang w:val="zh-CN"/>
        </w:rPr>
        <w:br w:type="page"/>
      </w:r>
      <w:bookmarkEnd w:id="59"/>
    </w:p>
    <w:p>
      <w:r>
        <w:rPr>
          <w:rFonts w:hint="eastAsia" w:cs="Times New Roman" w:asciiTheme="majorEastAsia" w:hAnsiTheme="majorEastAsia" w:eastAsiaTheme="majorEastAsia"/>
          <w:b/>
          <w:sz w:val="30"/>
          <w:szCs w:val="30"/>
          <w:lang w:val="zh-CN"/>
        </w:rPr>
        <w:t>一、评审因素及评审标准</w:t>
      </w:r>
    </w:p>
    <w:tbl>
      <w:tblPr>
        <w:tblStyle w:val="26"/>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000"/>
        <w:gridCol w:w="785"/>
        <w:gridCol w:w="659"/>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020" w:type="dxa"/>
            <w:gridSpan w:val="3"/>
            <w:vAlign w:val="center"/>
          </w:tcPr>
          <w:p>
            <w:pPr>
              <w:jc w:val="center"/>
              <w:rPr>
                <w:rFonts w:ascii="宋体" w:hAnsi="宋体" w:eastAsia="宋体" w:cs="宋体"/>
                <w:b/>
                <w:bCs/>
                <w:szCs w:val="21"/>
              </w:rPr>
            </w:pPr>
            <w:r>
              <w:rPr>
                <w:rFonts w:hint="eastAsia" w:ascii="宋体" w:hAnsi="宋体" w:eastAsia="宋体" w:cs="宋体"/>
                <w:b/>
                <w:bCs/>
                <w:szCs w:val="21"/>
              </w:rPr>
              <w:t>评分项目</w:t>
            </w:r>
          </w:p>
        </w:tc>
        <w:tc>
          <w:tcPr>
            <w:tcW w:w="659" w:type="dxa"/>
            <w:vAlign w:val="center"/>
          </w:tcPr>
          <w:p>
            <w:pPr>
              <w:jc w:val="center"/>
              <w:rPr>
                <w:rFonts w:ascii="宋体" w:hAnsi="宋体" w:eastAsia="宋体" w:cs="宋体"/>
                <w:b/>
                <w:bCs/>
                <w:szCs w:val="21"/>
              </w:rPr>
            </w:pPr>
            <w:r>
              <w:rPr>
                <w:rFonts w:hint="eastAsia" w:ascii="宋体" w:hAnsi="宋体" w:eastAsia="宋体" w:cs="宋体"/>
                <w:b/>
                <w:bCs/>
                <w:szCs w:val="21"/>
              </w:rPr>
              <w:t>分值</w:t>
            </w:r>
          </w:p>
        </w:tc>
        <w:tc>
          <w:tcPr>
            <w:tcW w:w="6024" w:type="dxa"/>
            <w:vAlign w:val="center"/>
          </w:tcPr>
          <w:p>
            <w:pPr>
              <w:jc w:val="center"/>
              <w:rPr>
                <w:rFonts w:ascii="宋体" w:hAnsi="宋体" w:eastAsia="宋体" w:cs="宋体"/>
                <w:b/>
                <w:bCs/>
                <w:szCs w:val="21"/>
              </w:rPr>
            </w:pPr>
            <w:r>
              <w:rPr>
                <w:rFonts w:hint="eastAsia" w:ascii="宋体" w:hAnsi="宋体" w:eastAsia="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235" w:type="dxa"/>
            <w:vAlign w:val="center"/>
          </w:tcPr>
          <w:p>
            <w:pPr>
              <w:jc w:val="center"/>
              <w:rPr>
                <w:rFonts w:ascii="宋体" w:hAnsi="宋体" w:eastAsia="宋体" w:cs="宋体"/>
                <w:szCs w:val="21"/>
              </w:rPr>
            </w:pPr>
            <w:r>
              <w:rPr>
                <w:rFonts w:hint="eastAsia" w:ascii="宋体" w:hAnsi="宋体" w:eastAsia="宋体" w:cs="宋体"/>
                <w:szCs w:val="21"/>
              </w:rPr>
              <w:t>价格</w:t>
            </w:r>
          </w:p>
          <w:p>
            <w:pPr>
              <w:jc w:val="center"/>
              <w:rPr>
                <w:rFonts w:ascii="宋体" w:hAnsi="宋体" w:eastAsia="宋体" w:cs="宋体"/>
                <w:szCs w:val="21"/>
              </w:rPr>
            </w:pPr>
            <w:r>
              <w:rPr>
                <w:rFonts w:hint="eastAsia" w:ascii="宋体" w:hAnsi="宋体" w:eastAsia="宋体" w:cs="宋体"/>
                <w:szCs w:val="21"/>
              </w:rPr>
              <w:t>部分</w:t>
            </w:r>
          </w:p>
          <w:p>
            <w:r>
              <w:rPr>
                <w:rFonts w:hint="eastAsia"/>
              </w:rPr>
              <w:t>(10分)</w:t>
            </w:r>
          </w:p>
        </w:tc>
        <w:tc>
          <w:tcPr>
            <w:tcW w:w="1785" w:type="dxa"/>
            <w:gridSpan w:val="2"/>
            <w:vAlign w:val="center"/>
          </w:tcPr>
          <w:p>
            <w:pPr>
              <w:jc w:val="center"/>
              <w:rPr>
                <w:rFonts w:ascii="宋体" w:hAnsi="宋体" w:eastAsia="宋体" w:cs="宋体"/>
                <w:sz w:val="22"/>
              </w:rPr>
            </w:pPr>
            <w:r>
              <w:rPr>
                <w:rFonts w:hint="eastAsia" w:ascii="宋体" w:hAnsi="宋体" w:eastAsia="宋体" w:cs="宋体"/>
                <w:sz w:val="22"/>
              </w:rPr>
              <w:t>报价</w:t>
            </w:r>
          </w:p>
          <w:p>
            <w:pPr>
              <w:jc w:val="center"/>
              <w:rPr>
                <w:rFonts w:ascii="宋体" w:hAnsi="宋体" w:eastAsia="宋体" w:cs="宋体"/>
                <w:sz w:val="22"/>
              </w:rPr>
            </w:pPr>
            <w:r>
              <w:rPr>
                <w:rFonts w:hint="eastAsia" w:ascii="宋体" w:hAnsi="宋体" w:eastAsia="宋体" w:cs="宋体"/>
                <w:sz w:val="22"/>
              </w:rPr>
              <w:t>得分（10分）</w:t>
            </w:r>
          </w:p>
        </w:tc>
        <w:tc>
          <w:tcPr>
            <w:tcW w:w="659" w:type="dxa"/>
            <w:vAlign w:val="center"/>
          </w:tcPr>
          <w:p>
            <w:pPr>
              <w:jc w:val="center"/>
              <w:rPr>
                <w:rFonts w:ascii="宋体" w:hAnsi="宋体" w:eastAsia="宋体" w:cs="宋体"/>
                <w:sz w:val="22"/>
              </w:rPr>
            </w:pPr>
            <w:r>
              <w:rPr>
                <w:rFonts w:hint="eastAsia" w:ascii="宋体" w:hAnsi="宋体" w:eastAsia="宋体" w:cs="宋体"/>
                <w:sz w:val="22"/>
              </w:rPr>
              <w:t>10</w:t>
            </w:r>
          </w:p>
        </w:tc>
        <w:tc>
          <w:tcPr>
            <w:tcW w:w="6024" w:type="dxa"/>
            <w:vAlign w:val="center"/>
          </w:tcPr>
          <w:p>
            <w:pPr>
              <w:jc w:val="left"/>
              <w:rPr>
                <w:sz w:val="22"/>
                <w:szCs w:val="24"/>
              </w:rPr>
            </w:pPr>
            <w:r>
              <w:rPr>
                <w:rFonts w:hint="eastAsia"/>
                <w:sz w:val="24"/>
                <w:szCs w:val="28"/>
                <w:lang w:val="zh-CN"/>
              </w:rPr>
              <w:t>评标委员会只对合格的投标文件进行价格评议，</w:t>
            </w:r>
            <w:r>
              <w:rPr>
                <w:rFonts w:hint="eastAsia"/>
                <w:sz w:val="24"/>
                <w:szCs w:val="28"/>
              </w:rPr>
              <w:t>本次项目报价下浮率</w:t>
            </w:r>
            <w:r>
              <w:rPr>
                <w:rFonts w:hint="eastAsia" w:ascii="宋体" w:hAnsi="宋体"/>
                <w:kern w:val="0"/>
                <w:sz w:val="24"/>
                <w:szCs w:val="36"/>
              </w:rPr>
              <w:t>区间为招标控制价（</w:t>
            </w:r>
            <w:r>
              <w:rPr>
                <w:rFonts w:hint="eastAsia" w:ascii="Times New Roman" w:hAnsi="Times New Roman" w:eastAsia="宋体" w:cs="Times New Roman"/>
                <w:color w:val="FF0000"/>
                <w:sz w:val="24"/>
                <w:szCs w:val="32"/>
                <w:lang w:val="hr-HR"/>
              </w:rPr>
              <w:t>以阳新县住房和城乡建设局2022年-2023年建设项目造价咨询服务</w:t>
            </w:r>
            <w:r>
              <w:rPr>
                <w:rFonts w:hint="eastAsia" w:ascii="Times New Roman" w:hAnsi="Times New Roman" w:eastAsia="宋体" w:cs="Times New Roman"/>
                <w:color w:val="FF0000"/>
                <w:sz w:val="24"/>
                <w:szCs w:val="32"/>
              </w:rPr>
              <w:t>最终财政评审后价格作为招标控制价</w:t>
            </w:r>
            <w:r>
              <w:rPr>
                <w:rFonts w:hint="eastAsia" w:ascii="宋体" w:hAnsi="宋体"/>
                <w:kern w:val="0"/>
                <w:sz w:val="24"/>
                <w:szCs w:val="36"/>
              </w:rPr>
              <w:t>）下浮20%以内均为有效报价。有效报价得分为满分10分。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235" w:type="dxa"/>
            <w:vMerge w:val="restart"/>
            <w:vAlign w:val="center"/>
          </w:tcPr>
          <w:p>
            <w:bookmarkStart w:id="60" w:name="_Toc494665546"/>
            <w:bookmarkStart w:id="61" w:name="_Toc494721093"/>
            <w:bookmarkStart w:id="62" w:name="_Toc494665943"/>
            <w:bookmarkStart w:id="63" w:name="_Toc494702263"/>
            <w:bookmarkStart w:id="64" w:name="_Toc494745310"/>
            <w:bookmarkStart w:id="65" w:name="_Toc494664993"/>
            <w:r>
              <w:rPr>
                <w:rFonts w:hint="eastAsia"/>
              </w:rPr>
              <w:t>商务评审（30分）</w:t>
            </w:r>
          </w:p>
        </w:tc>
        <w:tc>
          <w:tcPr>
            <w:tcW w:w="1785" w:type="dxa"/>
            <w:gridSpan w:val="2"/>
            <w:vAlign w:val="center"/>
          </w:tcPr>
          <w:p>
            <w:pPr>
              <w:jc w:val="center"/>
              <w:rPr>
                <w:rFonts w:ascii="宋体" w:hAnsi="宋体" w:eastAsia="宋体" w:cs="宋体"/>
                <w:szCs w:val="21"/>
              </w:rPr>
            </w:pPr>
            <w:r>
              <w:rPr>
                <w:rFonts w:hint="eastAsia" w:ascii="宋体" w:hAnsi="宋体" w:eastAsia="宋体" w:cs="宋体"/>
                <w:szCs w:val="21"/>
              </w:rPr>
              <w:t>类似业绩</w:t>
            </w:r>
          </w:p>
        </w:tc>
        <w:tc>
          <w:tcPr>
            <w:tcW w:w="659" w:type="dxa"/>
            <w:vAlign w:val="center"/>
          </w:tcPr>
          <w:p>
            <w:pPr>
              <w:jc w:val="left"/>
              <w:rPr>
                <w:rFonts w:ascii="宋体" w:hAnsi="宋体" w:eastAsia="宋体" w:cs="宋体"/>
                <w:szCs w:val="21"/>
              </w:rPr>
            </w:pPr>
            <w:r>
              <w:rPr>
                <w:rFonts w:hint="eastAsia" w:ascii="宋体" w:hAnsi="宋体" w:eastAsia="宋体" w:cs="宋体"/>
                <w:szCs w:val="21"/>
              </w:rPr>
              <w:t>12</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投标人近</w:t>
            </w:r>
            <w:r>
              <w:rPr>
                <w:rFonts w:hint="eastAsia" w:ascii="宋体" w:hAnsi="宋体" w:cs="Helvetica"/>
                <w:kern w:val="0"/>
                <w:sz w:val="24"/>
                <w:szCs w:val="24"/>
              </w:rPr>
              <w:t>三</w:t>
            </w:r>
            <w:r>
              <w:rPr>
                <w:rFonts w:hint="eastAsia" w:ascii="宋体" w:hAnsi="宋体" w:cs="Helvetica"/>
                <w:kern w:val="0"/>
                <w:sz w:val="24"/>
                <w:szCs w:val="24"/>
                <w:lang w:val="zh-CN"/>
              </w:rPr>
              <w:t>年承接过</w:t>
            </w:r>
            <w:r>
              <w:rPr>
                <w:rFonts w:hint="eastAsia" w:ascii="宋体" w:hAnsi="宋体" w:cs="Helvetica"/>
                <w:kern w:val="0"/>
                <w:sz w:val="24"/>
                <w:szCs w:val="24"/>
              </w:rPr>
              <w:t>合同金额40万及以上的工程造价咨询业绩，每个业绩得4分，</w:t>
            </w:r>
            <w:r>
              <w:rPr>
                <w:rFonts w:hint="eastAsia" w:ascii="宋体" w:hAnsi="宋体" w:cs="Helvetica"/>
                <w:kern w:val="0"/>
                <w:sz w:val="24"/>
                <w:szCs w:val="24"/>
                <w:lang w:val="zh-CN"/>
              </w:rPr>
              <w:t>满分</w:t>
            </w:r>
            <w:r>
              <w:rPr>
                <w:rFonts w:hint="eastAsia" w:ascii="宋体" w:hAnsi="宋体" w:cs="Helvetica"/>
                <w:kern w:val="0"/>
                <w:sz w:val="24"/>
                <w:szCs w:val="24"/>
              </w:rPr>
              <w:t>12</w:t>
            </w:r>
            <w:r>
              <w:rPr>
                <w:rFonts w:hint="eastAsia" w:ascii="宋体" w:hAnsi="宋体" w:cs="Helvetica"/>
                <w:kern w:val="0"/>
                <w:sz w:val="24"/>
                <w:szCs w:val="24"/>
                <w:lang w:val="zh-CN"/>
              </w:rPr>
              <w:t>分（证明材料为</w:t>
            </w:r>
            <w:r>
              <w:rPr>
                <w:rFonts w:hint="eastAsia" w:ascii="宋体" w:hAnsi="宋体" w:cs="Helvetica"/>
                <w:kern w:val="0"/>
                <w:sz w:val="24"/>
                <w:szCs w:val="24"/>
              </w:rPr>
              <w:t>合同</w:t>
            </w:r>
            <w:r>
              <w:rPr>
                <w:rFonts w:hint="eastAsia" w:ascii="宋体" w:hAnsi="宋体" w:cs="Helvetica"/>
                <w:kern w:val="0"/>
                <w:sz w:val="24"/>
                <w:szCs w:val="24"/>
                <w:lang w:val="zh-CN"/>
              </w:rPr>
              <w:t>或</w:t>
            </w:r>
            <w:r>
              <w:rPr>
                <w:rFonts w:hint="eastAsia" w:ascii="宋体" w:hAnsi="宋体" w:cs="Helvetica"/>
                <w:kern w:val="0"/>
                <w:sz w:val="24"/>
                <w:szCs w:val="24"/>
              </w:rPr>
              <w:t>成果报告扉页</w:t>
            </w:r>
            <w:r>
              <w:rPr>
                <w:rFonts w:hint="eastAsia" w:ascii="宋体" w:hAnsi="宋体" w:cs="Helvetica"/>
                <w:kern w:val="0"/>
                <w:sz w:val="24"/>
                <w:szCs w:val="24"/>
                <w:lang w:val="zh-CN"/>
              </w:rPr>
              <w:t>、以合同签订时间为准</w:t>
            </w:r>
            <w:r>
              <w:rPr>
                <w:rFonts w:hint="eastAsia" w:ascii="宋体" w:hAnsi="宋体" w:cs="Helvetica"/>
                <w:kern w:val="0"/>
                <w:sz w:val="24"/>
                <w:szCs w:val="24"/>
              </w:rPr>
              <w:t>，业绩为项目负责人主持否则不予考虑</w:t>
            </w:r>
            <w:r>
              <w:rPr>
                <w:rFonts w:hint="eastAsia" w:ascii="宋体" w:hAnsi="宋体" w:cs="Helvetica"/>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35" w:type="dxa"/>
            <w:vMerge w:val="continue"/>
            <w:vAlign w:val="center"/>
          </w:tcPr>
          <w:p/>
        </w:tc>
        <w:tc>
          <w:tcPr>
            <w:tcW w:w="1000" w:type="dxa"/>
            <w:vMerge w:val="restart"/>
            <w:vAlign w:val="center"/>
          </w:tcPr>
          <w:p>
            <w:pPr>
              <w:jc w:val="center"/>
              <w:rPr>
                <w:rFonts w:ascii="宋体" w:hAnsi="宋体" w:eastAsia="宋体" w:cs="宋体"/>
                <w:szCs w:val="21"/>
              </w:rPr>
            </w:pPr>
            <w:r>
              <w:rPr>
                <w:rFonts w:hint="eastAsia" w:ascii="宋体" w:hAnsi="宋体" w:eastAsia="宋体" w:cs="宋体"/>
                <w:szCs w:val="21"/>
              </w:rPr>
              <w:t>主要人员</w:t>
            </w:r>
          </w:p>
        </w:tc>
        <w:tc>
          <w:tcPr>
            <w:tcW w:w="785" w:type="dxa"/>
            <w:vAlign w:val="center"/>
          </w:tcPr>
          <w:p>
            <w:pPr>
              <w:jc w:val="left"/>
              <w:rPr>
                <w:rFonts w:ascii="宋体" w:hAnsi="宋体" w:cs="Helvetica"/>
                <w:kern w:val="0"/>
                <w:sz w:val="24"/>
                <w:szCs w:val="24"/>
              </w:rPr>
            </w:pPr>
            <w:r>
              <w:rPr>
                <w:rFonts w:hint="eastAsia" w:ascii="宋体" w:hAnsi="宋体" w:cs="Helvetica"/>
                <w:kern w:val="0"/>
                <w:sz w:val="24"/>
                <w:szCs w:val="24"/>
              </w:rPr>
              <w:t>项目负责人</w:t>
            </w:r>
          </w:p>
        </w:tc>
        <w:tc>
          <w:tcPr>
            <w:tcW w:w="659" w:type="dxa"/>
            <w:vAlign w:val="center"/>
          </w:tcPr>
          <w:p>
            <w:pPr>
              <w:jc w:val="left"/>
              <w:rPr>
                <w:rFonts w:ascii="宋体" w:hAnsi="宋体" w:cs="Helvetica"/>
                <w:kern w:val="0"/>
                <w:sz w:val="24"/>
                <w:szCs w:val="24"/>
              </w:rPr>
            </w:pPr>
            <w:r>
              <w:rPr>
                <w:rFonts w:hint="eastAsia" w:ascii="宋体" w:hAnsi="宋体" w:cs="Helvetica"/>
                <w:kern w:val="0"/>
                <w:sz w:val="24"/>
                <w:szCs w:val="24"/>
              </w:rPr>
              <w:t>4</w:t>
            </w:r>
          </w:p>
        </w:tc>
        <w:tc>
          <w:tcPr>
            <w:tcW w:w="6024" w:type="dxa"/>
            <w:vAlign w:val="center"/>
          </w:tcPr>
          <w:p>
            <w:pPr>
              <w:jc w:val="left"/>
              <w:rPr>
                <w:rFonts w:ascii="宋体" w:hAnsi="宋体" w:cs="Helvetica"/>
                <w:kern w:val="0"/>
                <w:sz w:val="24"/>
                <w:szCs w:val="24"/>
              </w:rPr>
            </w:pPr>
            <w:r>
              <w:rPr>
                <w:rFonts w:hint="eastAsia" w:ascii="宋体" w:hAnsi="宋体" w:cs="Helvetica"/>
                <w:kern w:val="0"/>
                <w:sz w:val="24"/>
                <w:szCs w:val="24"/>
              </w:rPr>
              <w:t>项目负责人造价咨询工作年限15年及以上得4分，10-15年得2分，10年及以下不得分。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235" w:type="dxa"/>
            <w:vMerge w:val="continue"/>
            <w:vAlign w:val="center"/>
          </w:tcPr>
          <w:p/>
        </w:tc>
        <w:tc>
          <w:tcPr>
            <w:tcW w:w="1000" w:type="dxa"/>
            <w:vMerge w:val="continue"/>
            <w:vAlign w:val="center"/>
          </w:tcPr>
          <w:p>
            <w:pPr>
              <w:jc w:val="center"/>
              <w:rPr>
                <w:rFonts w:ascii="宋体" w:hAnsi="宋体" w:eastAsia="宋体" w:cs="宋体"/>
                <w:szCs w:val="21"/>
              </w:rPr>
            </w:pPr>
          </w:p>
        </w:tc>
        <w:tc>
          <w:tcPr>
            <w:tcW w:w="785" w:type="dxa"/>
            <w:vAlign w:val="center"/>
          </w:tcPr>
          <w:p>
            <w:pPr>
              <w:jc w:val="left"/>
              <w:rPr>
                <w:rFonts w:ascii="宋体" w:hAnsi="宋体" w:cs="Helvetica"/>
                <w:kern w:val="0"/>
                <w:sz w:val="24"/>
                <w:szCs w:val="24"/>
              </w:rPr>
            </w:pPr>
            <w:r>
              <w:rPr>
                <w:rFonts w:hint="eastAsia" w:ascii="宋体" w:hAnsi="宋体" w:cs="Helvetica"/>
                <w:kern w:val="0"/>
                <w:sz w:val="24"/>
                <w:szCs w:val="24"/>
              </w:rPr>
              <w:t>造价人员配备</w:t>
            </w:r>
          </w:p>
        </w:tc>
        <w:tc>
          <w:tcPr>
            <w:tcW w:w="659" w:type="dxa"/>
            <w:vAlign w:val="center"/>
          </w:tcPr>
          <w:p>
            <w:pPr>
              <w:jc w:val="left"/>
              <w:rPr>
                <w:rFonts w:ascii="宋体" w:hAnsi="宋体" w:cs="Helvetica"/>
                <w:kern w:val="0"/>
                <w:sz w:val="24"/>
                <w:szCs w:val="24"/>
              </w:rPr>
            </w:pPr>
            <w:r>
              <w:rPr>
                <w:rFonts w:hint="eastAsia" w:ascii="宋体" w:hAnsi="宋体" w:cs="Helvetica"/>
                <w:kern w:val="0"/>
                <w:sz w:val="24"/>
                <w:szCs w:val="24"/>
              </w:rPr>
              <w:t>12</w:t>
            </w:r>
          </w:p>
        </w:tc>
        <w:tc>
          <w:tcPr>
            <w:tcW w:w="6024" w:type="dxa"/>
            <w:vAlign w:val="center"/>
          </w:tcPr>
          <w:p>
            <w:pPr>
              <w:jc w:val="left"/>
              <w:rPr>
                <w:rFonts w:ascii="宋体" w:hAnsi="宋体" w:cs="Helvetica"/>
                <w:kern w:val="0"/>
                <w:sz w:val="24"/>
                <w:szCs w:val="24"/>
              </w:rPr>
            </w:pPr>
            <w:r>
              <w:rPr>
                <w:rFonts w:hint="eastAsia" w:ascii="宋体" w:hAnsi="宋体" w:cs="Helvetica"/>
                <w:kern w:val="0"/>
                <w:sz w:val="24"/>
                <w:szCs w:val="24"/>
                <w:lang w:val="zh-CN"/>
              </w:rPr>
              <w:t>①</w:t>
            </w:r>
            <w:r>
              <w:rPr>
                <w:rFonts w:hint="eastAsia" w:ascii="宋体" w:hAnsi="宋体" w:cs="Helvetica"/>
                <w:kern w:val="0"/>
                <w:sz w:val="24"/>
                <w:szCs w:val="24"/>
              </w:rPr>
              <w:t>拟派的项目成员（除项目负责人）每增加一名一级注册造价工程师得2分，最高得8分</w:t>
            </w:r>
          </w:p>
          <w:p>
            <w:pPr>
              <w:jc w:val="left"/>
              <w:rPr>
                <w:rFonts w:ascii="宋体" w:hAnsi="宋体" w:cs="Helvetica"/>
                <w:kern w:val="0"/>
                <w:sz w:val="24"/>
                <w:szCs w:val="24"/>
              </w:rPr>
            </w:pPr>
            <w:r>
              <w:rPr>
                <w:rFonts w:hint="eastAsia" w:ascii="宋体" w:hAnsi="宋体" w:cs="Helvetica"/>
                <w:kern w:val="0"/>
                <w:sz w:val="24"/>
                <w:szCs w:val="24"/>
                <w:lang w:val="zh-CN"/>
              </w:rPr>
              <w:t>②</w:t>
            </w:r>
            <w:r>
              <w:rPr>
                <w:rFonts w:hint="eastAsia" w:ascii="宋体" w:hAnsi="宋体" w:cs="Helvetica"/>
                <w:kern w:val="0"/>
                <w:sz w:val="24"/>
                <w:szCs w:val="24"/>
              </w:rPr>
              <w:t>拟派的项目成员（除项目负责人）每增加一名二级注册造价工程师得1分，最高得4分</w:t>
            </w:r>
          </w:p>
          <w:p>
            <w:pPr>
              <w:jc w:val="left"/>
              <w:rPr>
                <w:lang w:val="zh-CN"/>
              </w:rPr>
            </w:pPr>
            <w:r>
              <w:rPr>
                <w:rFonts w:hint="eastAsia" w:ascii="宋体" w:hAnsi="宋体" w:cs="Helvetica"/>
                <w:color w:val="FF0000"/>
                <w:kern w:val="0"/>
                <w:sz w:val="24"/>
                <w:szCs w:val="24"/>
              </w:rPr>
              <w:t>（拟派人员须提供近三个月在本单位缴纳的社保发票劳动合同，退休人员可提供退休证）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235" w:type="dxa"/>
            <w:vMerge w:val="continue"/>
            <w:vAlign w:val="center"/>
          </w:tcPr>
          <w:p/>
        </w:tc>
        <w:tc>
          <w:tcPr>
            <w:tcW w:w="1785" w:type="dxa"/>
            <w:gridSpan w:val="2"/>
            <w:vAlign w:val="center"/>
          </w:tcPr>
          <w:p>
            <w:pPr>
              <w:jc w:val="left"/>
              <w:rPr>
                <w:rFonts w:ascii="宋体" w:hAnsi="宋体" w:cs="Helvetica"/>
                <w:kern w:val="0"/>
                <w:sz w:val="24"/>
                <w:szCs w:val="24"/>
              </w:rPr>
            </w:pPr>
            <w:r>
              <w:rPr>
                <w:rFonts w:hint="eastAsia" w:ascii="宋体" w:hAnsi="宋体" w:cs="Helvetica"/>
                <w:kern w:val="0"/>
                <w:sz w:val="24"/>
                <w:szCs w:val="24"/>
              </w:rPr>
              <w:t>投标文件制作</w:t>
            </w:r>
          </w:p>
        </w:tc>
        <w:tc>
          <w:tcPr>
            <w:tcW w:w="659" w:type="dxa"/>
            <w:vAlign w:val="center"/>
          </w:tcPr>
          <w:p>
            <w:pPr>
              <w:jc w:val="left"/>
              <w:rPr>
                <w:rFonts w:ascii="宋体" w:hAnsi="宋体" w:cs="Helvetica"/>
                <w:kern w:val="0"/>
                <w:sz w:val="24"/>
                <w:szCs w:val="24"/>
              </w:rPr>
            </w:pPr>
            <w:r>
              <w:rPr>
                <w:rFonts w:hint="eastAsia" w:ascii="宋体" w:hAnsi="宋体" w:cs="Helvetica"/>
                <w:kern w:val="0"/>
                <w:sz w:val="24"/>
                <w:szCs w:val="24"/>
              </w:rPr>
              <w:t>2</w:t>
            </w:r>
          </w:p>
        </w:tc>
        <w:tc>
          <w:tcPr>
            <w:tcW w:w="6024" w:type="dxa"/>
            <w:vAlign w:val="center"/>
          </w:tcPr>
          <w:p>
            <w:pPr>
              <w:jc w:val="left"/>
              <w:rPr>
                <w:rFonts w:ascii="宋体" w:hAnsi="宋体" w:cs="Helvetica"/>
                <w:kern w:val="0"/>
                <w:sz w:val="24"/>
                <w:szCs w:val="24"/>
              </w:rPr>
            </w:pPr>
            <w:r>
              <w:rPr>
                <w:rFonts w:hint="eastAsia" w:ascii="宋体" w:hAnsi="宋体" w:cs="Helvetica"/>
                <w:kern w:val="0"/>
                <w:sz w:val="24"/>
                <w:szCs w:val="24"/>
                <w:lang w:val="zh-CN"/>
              </w:rPr>
              <w:t>投标文件全面响应招标文件要求，编制完整、美观，非活页装订，且有详细目录、连续页码、目录与有关材料装订顺序对应清晰、查阅方便的得2分。不符合要求的，每处扣0.5分，扣完为止。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restart"/>
            <w:vAlign w:val="center"/>
          </w:tcPr>
          <w:p>
            <w:r>
              <w:rPr>
                <w:rFonts w:hint="eastAsia"/>
              </w:rPr>
              <w:t>技术评审（60分）</w:t>
            </w: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针对本项目提出的工作方案</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12</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rPr>
              <w:t>根据供应商针对本项目提供的准备阶段工作及工作方案（包括①项目背景的认识；②前期资料的收集；③ 前期资料的分析；④技术要求认识进行综合评审：供应商提供的方案中以上4项要素齐全、详细的得12分，每少一项扣2分，单项不完整欠合理的扣3分，扣完为止。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本项目重难点及应对措施</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12</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根据供应商针对本项目重难点及应对措施（包括：①清单控制价编制；②施工阶段全过程控制服务工作重难点分析；③本项目</w:t>
            </w:r>
            <w:r>
              <w:rPr>
                <w:rFonts w:hint="eastAsia" w:ascii="宋体" w:hAnsi="宋体" w:cs="Helvetica"/>
                <w:kern w:val="0"/>
                <w:sz w:val="24"/>
                <w:szCs w:val="24"/>
              </w:rPr>
              <w:t>工程结算编制</w:t>
            </w:r>
            <w:r>
              <w:rPr>
                <w:rFonts w:hint="eastAsia" w:ascii="宋体" w:hAnsi="宋体" w:cs="Helvetica"/>
                <w:kern w:val="0"/>
                <w:sz w:val="24"/>
                <w:szCs w:val="24"/>
                <w:lang w:val="zh-CN"/>
              </w:rPr>
              <w:t xml:space="preserve">工作重点；④应对措施进行综合评审：供应商提供的方案中以上 4 项要素齐全、详细的得 </w:t>
            </w:r>
            <w:r>
              <w:rPr>
                <w:rFonts w:hint="eastAsia" w:ascii="宋体" w:hAnsi="宋体" w:cs="Helvetica"/>
                <w:kern w:val="0"/>
                <w:sz w:val="24"/>
                <w:szCs w:val="24"/>
              </w:rPr>
              <w:t>12</w:t>
            </w:r>
            <w:r>
              <w:rPr>
                <w:rFonts w:hint="eastAsia" w:ascii="宋体" w:hAnsi="宋体" w:cs="Helvetica"/>
                <w:kern w:val="0"/>
                <w:sz w:val="24"/>
                <w:szCs w:val="24"/>
                <w:lang w:val="zh-CN"/>
              </w:rPr>
              <w:t xml:space="preserve"> 分，每少一项扣3 分，单项不完整欠合理的扣 1.5 分，最多扣 9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内部质量控制体系</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12</w:t>
            </w:r>
          </w:p>
        </w:tc>
        <w:tc>
          <w:tcPr>
            <w:tcW w:w="6024" w:type="dxa"/>
            <w:vAlign w:val="center"/>
          </w:tcPr>
          <w:p>
            <w:pPr>
              <w:jc w:val="left"/>
              <w:rPr>
                <w:rFonts w:ascii="宋体" w:hAnsi="宋体" w:cs="Helvetica"/>
                <w:kern w:val="0"/>
                <w:sz w:val="24"/>
                <w:szCs w:val="24"/>
              </w:rPr>
            </w:pPr>
            <w:r>
              <w:rPr>
                <w:rFonts w:hint="eastAsia" w:ascii="宋体" w:hAnsi="宋体" w:cs="Helvetica"/>
                <w:kern w:val="0"/>
                <w:sz w:val="24"/>
                <w:szCs w:val="24"/>
                <w:lang w:val="zh-CN"/>
              </w:rPr>
              <w:t xml:space="preserve">根据供应商针对本项目提供的内部质量控制体系（包括① 组织机构及质量责任；②质量管控流程；③内部奖惩制度；④作业业务标准）进行综合评审：供应商提供的方案中以上 4 项要素齐全、详细的得 </w:t>
            </w:r>
            <w:r>
              <w:rPr>
                <w:rFonts w:hint="eastAsia" w:ascii="宋体" w:hAnsi="宋体" w:cs="Helvetica"/>
                <w:kern w:val="0"/>
                <w:sz w:val="24"/>
                <w:szCs w:val="24"/>
              </w:rPr>
              <w:t>12</w:t>
            </w:r>
          </w:p>
          <w:p>
            <w:pPr>
              <w:jc w:val="left"/>
              <w:rPr>
                <w:rFonts w:ascii="宋体" w:hAnsi="宋体" w:cs="Helvetica"/>
                <w:kern w:val="0"/>
                <w:sz w:val="24"/>
                <w:szCs w:val="24"/>
                <w:lang w:val="zh-CN"/>
              </w:rPr>
            </w:pPr>
            <w:r>
              <w:rPr>
                <w:rFonts w:hint="eastAsia" w:ascii="宋体" w:hAnsi="宋体" w:cs="Helvetica"/>
                <w:kern w:val="0"/>
                <w:sz w:val="24"/>
                <w:szCs w:val="24"/>
                <w:lang w:val="zh-CN"/>
              </w:rPr>
              <w:t>分，每少一项扣 3 分，单项不完整欠合理的扣 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进度拨款控制</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8</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进度拨款控制目标明确，能够运用过程控制方法建立工程量、工程价款控制体系，依据工程进度能对工程款进行完全有效管理和控制的，方案切实可行、详细的得</w:t>
            </w:r>
            <w:r>
              <w:rPr>
                <w:rFonts w:hint="eastAsia" w:ascii="宋体" w:hAnsi="宋体" w:cs="Helvetica"/>
                <w:kern w:val="0"/>
                <w:sz w:val="24"/>
                <w:szCs w:val="24"/>
              </w:rPr>
              <w:t>8</w:t>
            </w:r>
            <w:r>
              <w:rPr>
                <w:rFonts w:hint="eastAsia" w:ascii="宋体" w:hAnsi="宋体" w:cs="Helvetica"/>
                <w:kern w:val="0"/>
                <w:sz w:val="24"/>
                <w:szCs w:val="24"/>
                <w:lang w:val="zh-CN"/>
              </w:rPr>
              <w:t>分；每存在一项（处）方案欠合理或错误的扣3 分，扣完为止，未提供此项不得分。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资料收集</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4</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对资料的收集、整理、分类、保管；科学、合理、针对性强得</w:t>
            </w:r>
            <w:r>
              <w:rPr>
                <w:rFonts w:hint="eastAsia" w:ascii="宋体" w:hAnsi="宋体" w:cs="Helvetica"/>
                <w:kern w:val="0"/>
                <w:sz w:val="24"/>
                <w:szCs w:val="24"/>
              </w:rPr>
              <w:t>4</w:t>
            </w:r>
            <w:r>
              <w:rPr>
                <w:rFonts w:hint="eastAsia" w:ascii="宋体" w:hAnsi="宋体" w:cs="Helvetica"/>
                <w:kern w:val="0"/>
                <w:sz w:val="24"/>
                <w:szCs w:val="24"/>
                <w:lang w:val="zh-CN"/>
              </w:rPr>
              <w:t>分；合理、可行得3分；欠合理、基本可行得</w:t>
            </w:r>
            <w:r>
              <w:rPr>
                <w:rFonts w:hint="eastAsia" w:ascii="宋体" w:hAnsi="宋体" w:cs="Helvetica"/>
                <w:kern w:val="0"/>
                <w:sz w:val="24"/>
                <w:szCs w:val="24"/>
              </w:rPr>
              <w:t>1</w:t>
            </w:r>
            <w:r>
              <w:rPr>
                <w:rFonts w:hint="eastAsia" w:ascii="宋体" w:hAnsi="宋体" w:cs="Helvetica"/>
                <w:kern w:val="0"/>
                <w:sz w:val="24"/>
                <w:szCs w:val="24"/>
                <w:lang w:val="zh-CN"/>
              </w:rPr>
              <w:t>-2分，缺项不得分；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沟通协调和信息反馈</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4</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对沟通协调的工作任务、沟通协调及信息反馈的工作方法、内外部沟通协调和信息反馈的措施；科学、合理、针对性强得</w:t>
            </w:r>
            <w:r>
              <w:rPr>
                <w:rFonts w:hint="eastAsia" w:ascii="宋体" w:hAnsi="宋体" w:cs="Helvetica"/>
                <w:kern w:val="0"/>
                <w:sz w:val="24"/>
                <w:szCs w:val="24"/>
              </w:rPr>
              <w:t>4</w:t>
            </w:r>
            <w:r>
              <w:rPr>
                <w:rFonts w:hint="eastAsia" w:ascii="宋体" w:hAnsi="宋体" w:cs="Helvetica"/>
                <w:kern w:val="0"/>
                <w:sz w:val="24"/>
                <w:szCs w:val="24"/>
                <w:lang w:val="zh-CN"/>
              </w:rPr>
              <w:t>分；合理、可行得3分；欠合理、基本可行得</w:t>
            </w:r>
            <w:r>
              <w:rPr>
                <w:rFonts w:hint="eastAsia" w:ascii="宋体" w:hAnsi="宋体" w:cs="Helvetica"/>
                <w:kern w:val="0"/>
                <w:sz w:val="24"/>
                <w:szCs w:val="24"/>
              </w:rPr>
              <w:t>1</w:t>
            </w:r>
            <w:r>
              <w:rPr>
                <w:rFonts w:hint="eastAsia" w:ascii="宋体" w:hAnsi="宋体" w:cs="Helvetica"/>
                <w:kern w:val="0"/>
                <w:sz w:val="24"/>
                <w:szCs w:val="24"/>
                <w:lang w:val="zh-CN"/>
              </w:rPr>
              <w:t>-2分，缺项不得分；缺项不得分；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服务时效保证措施</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4</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根据各投标单位提供的服务时效保证措施的完整性、时效性和有针对性等进行综合考评。</w:t>
            </w:r>
          </w:p>
          <w:p>
            <w:pPr>
              <w:jc w:val="left"/>
              <w:rPr>
                <w:rFonts w:ascii="宋体" w:hAnsi="宋体" w:cs="Helvetica"/>
                <w:kern w:val="0"/>
                <w:sz w:val="24"/>
                <w:szCs w:val="24"/>
                <w:lang w:val="zh-CN"/>
              </w:rPr>
            </w:pPr>
            <w:r>
              <w:rPr>
                <w:rFonts w:hint="eastAsia" w:ascii="宋体" w:hAnsi="宋体" w:cs="Helvetica"/>
                <w:kern w:val="0"/>
                <w:sz w:val="24"/>
                <w:szCs w:val="24"/>
                <w:lang w:val="zh-CN"/>
              </w:rPr>
              <w:t>实施方案完整合理、时效性强、有针对性的得</w:t>
            </w:r>
            <w:r>
              <w:rPr>
                <w:rFonts w:hint="eastAsia" w:ascii="宋体" w:hAnsi="宋体" w:cs="Helvetica"/>
                <w:kern w:val="0"/>
                <w:sz w:val="24"/>
                <w:szCs w:val="24"/>
              </w:rPr>
              <w:t>4</w:t>
            </w:r>
            <w:r>
              <w:rPr>
                <w:rFonts w:hint="eastAsia" w:ascii="宋体" w:hAnsi="宋体" w:cs="Helvetica"/>
                <w:kern w:val="0"/>
                <w:sz w:val="24"/>
                <w:szCs w:val="24"/>
                <w:lang w:val="zh-CN"/>
              </w:rPr>
              <w:t>分；</w:t>
            </w:r>
          </w:p>
          <w:p>
            <w:pPr>
              <w:jc w:val="left"/>
              <w:rPr>
                <w:rFonts w:ascii="宋体" w:hAnsi="宋体" w:cs="Helvetica"/>
                <w:kern w:val="0"/>
                <w:sz w:val="24"/>
                <w:szCs w:val="24"/>
                <w:lang w:val="zh-CN"/>
              </w:rPr>
            </w:pPr>
            <w:r>
              <w:rPr>
                <w:rFonts w:hint="eastAsia" w:ascii="宋体" w:hAnsi="宋体" w:cs="Helvetica"/>
                <w:kern w:val="0"/>
                <w:sz w:val="24"/>
                <w:szCs w:val="24"/>
                <w:lang w:val="zh-CN"/>
              </w:rPr>
              <w:t>实施方案完整可行，稍缺乏针对性的得</w:t>
            </w:r>
            <w:r>
              <w:rPr>
                <w:rFonts w:hint="eastAsia" w:ascii="宋体" w:hAnsi="宋体" w:cs="Helvetica"/>
                <w:kern w:val="0"/>
                <w:sz w:val="24"/>
                <w:szCs w:val="24"/>
              </w:rPr>
              <w:t>1</w:t>
            </w:r>
            <w:r>
              <w:rPr>
                <w:rFonts w:hint="eastAsia" w:ascii="宋体" w:hAnsi="宋体" w:cs="Helvetica"/>
                <w:kern w:val="0"/>
                <w:sz w:val="24"/>
                <w:szCs w:val="24"/>
                <w:lang w:val="zh-CN"/>
              </w:rPr>
              <w:t>-</w:t>
            </w:r>
            <w:r>
              <w:rPr>
                <w:rFonts w:hint="eastAsia" w:ascii="宋体" w:hAnsi="宋体" w:cs="Helvetica"/>
                <w:kern w:val="0"/>
                <w:sz w:val="24"/>
                <w:szCs w:val="24"/>
              </w:rPr>
              <w:t>2</w:t>
            </w:r>
            <w:r>
              <w:rPr>
                <w:rFonts w:hint="eastAsia" w:ascii="宋体" w:hAnsi="宋体" w:cs="Helvetica"/>
                <w:kern w:val="0"/>
                <w:sz w:val="24"/>
                <w:szCs w:val="24"/>
                <w:lang w:val="zh-CN"/>
              </w:rPr>
              <w:t>分；</w:t>
            </w:r>
          </w:p>
          <w:p>
            <w:pPr>
              <w:jc w:val="left"/>
              <w:rPr>
                <w:rFonts w:ascii="宋体" w:hAnsi="宋体" w:cs="Helvetica"/>
                <w:kern w:val="0"/>
                <w:sz w:val="24"/>
                <w:szCs w:val="24"/>
                <w:lang w:val="zh-CN"/>
              </w:rPr>
            </w:pPr>
            <w:r>
              <w:rPr>
                <w:rFonts w:hint="eastAsia" w:ascii="宋体" w:hAnsi="宋体" w:cs="Helvetica"/>
                <w:kern w:val="0"/>
                <w:sz w:val="24"/>
                <w:szCs w:val="24"/>
                <w:lang w:val="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35" w:type="dxa"/>
            <w:vMerge w:val="continue"/>
            <w:vAlign w:val="center"/>
          </w:tcPr>
          <w:p/>
        </w:tc>
        <w:tc>
          <w:tcPr>
            <w:tcW w:w="1785" w:type="dxa"/>
            <w:gridSpan w:val="2"/>
            <w:vAlign w:val="center"/>
          </w:tcPr>
          <w:p>
            <w:pPr>
              <w:jc w:val="center"/>
              <w:rPr>
                <w:rFonts w:ascii="宋体" w:hAnsi="宋体" w:cs="Helvetica"/>
                <w:kern w:val="0"/>
                <w:sz w:val="24"/>
                <w:szCs w:val="24"/>
              </w:rPr>
            </w:pPr>
            <w:r>
              <w:rPr>
                <w:rFonts w:hint="eastAsia" w:ascii="宋体" w:hAnsi="宋体" w:cs="Helvetica"/>
                <w:kern w:val="0"/>
                <w:sz w:val="24"/>
                <w:szCs w:val="24"/>
                <w:lang w:val="zh-CN"/>
              </w:rPr>
              <w:t>服务承诺</w:t>
            </w:r>
          </w:p>
        </w:tc>
        <w:tc>
          <w:tcPr>
            <w:tcW w:w="659" w:type="dxa"/>
            <w:vAlign w:val="center"/>
          </w:tcPr>
          <w:p>
            <w:pPr>
              <w:jc w:val="center"/>
              <w:rPr>
                <w:rFonts w:ascii="宋体" w:hAnsi="宋体" w:cs="Helvetica"/>
                <w:kern w:val="0"/>
                <w:sz w:val="24"/>
                <w:szCs w:val="24"/>
              </w:rPr>
            </w:pPr>
            <w:r>
              <w:rPr>
                <w:rFonts w:hint="eastAsia" w:ascii="宋体" w:hAnsi="宋体" w:cs="Helvetica"/>
                <w:kern w:val="0"/>
                <w:sz w:val="24"/>
                <w:szCs w:val="24"/>
              </w:rPr>
              <w:t>4</w:t>
            </w:r>
          </w:p>
        </w:tc>
        <w:tc>
          <w:tcPr>
            <w:tcW w:w="6024" w:type="dxa"/>
            <w:vAlign w:val="center"/>
          </w:tcPr>
          <w:p>
            <w:pPr>
              <w:jc w:val="left"/>
              <w:rPr>
                <w:rFonts w:ascii="宋体" w:hAnsi="宋体" w:cs="Helvetica"/>
                <w:kern w:val="0"/>
                <w:sz w:val="24"/>
                <w:szCs w:val="24"/>
                <w:lang w:val="zh-CN"/>
              </w:rPr>
            </w:pPr>
            <w:r>
              <w:rPr>
                <w:rFonts w:hint="eastAsia" w:ascii="宋体" w:hAnsi="宋体" w:cs="Helvetica"/>
                <w:kern w:val="0"/>
                <w:sz w:val="24"/>
                <w:szCs w:val="24"/>
                <w:lang w:val="zh-CN"/>
              </w:rPr>
              <w:t>对人员配备、质量保证、保密承诺、履约承诺、响应时间、职业道德承诺、纪律承诺、违约承诺、廉洁自律承诺及内控方案、处罚措施；科学、合理、针对性强得</w:t>
            </w:r>
            <w:r>
              <w:rPr>
                <w:rFonts w:hint="eastAsia" w:ascii="宋体" w:hAnsi="宋体" w:cs="Helvetica"/>
                <w:kern w:val="0"/>
                <w:sz w:val="24"/>
                <w:szCs w:val="24"/>
              </w:rPr>
              <w:t>4</w:t>
            </w:r>
            <w:r>
              <w:rPr>
                <w:rFonts w:hint="eastAsia" w:ascii="宋体" w:hAnsi="宋体" w:cs="Helvetica"/>
                <w:kern w:val="0"/>
                <w:sz w:val="24"/>
                <w:szCs w:val="24"/>
                <w:lang w:val="zh-CN"/>
              </w:rPr>
              <w:t>分；合理、可行得</w:t>
            </w:r>
            <w:r>
              <w:rPr>
                <w:rFonts w:hint="eastAsia" w:ascii="宋体" w:hAnsi="宋体" w:cs="Helvetica"/>
                <w:kern w:val="0"/>
                <w:sz w:val="24"/>
                <w:szCs w:val="24"/>
              </w:rPr>
              <w:t>2-3</w:t>
            </w:r>
            <w:r>
              <w:rPr>
                <w:rFonts w:hint="eastAsia" w:ascii="宋体" w:hAnsi="宋体" w:cs="Helvetica"/>
                <w:kern w:val="0"/>
                <w:sz w:val="24"/>
                <w:szCs w:val="24"/>
                <w:lang w:val="zh-CN"/>
              </w:rPr>
              <w:t>分；欠合理、基本可行得</w:t>
            </w:r>
            <w:r>
              <w:rPr>
                <w:rFonts w:hint="eastAsia" w:ascii="宋体" w:hAnsi="宋体" w:cs="Helvetica"/>
                <w:kern w:val="0"/>
                <w:sz w:val="24"/>
                <w:szCs w:val="24"/>
              </w:rPr>
              <w:t>1</w:t>
            </w:r>
            <w:r>
              <w:rPr>
                <w:rFonts w:hint="eastAsia" w:ascii="宋体" w:hAnsi="宋体" w:cs="Helvetica"/>
                <w:kern w:val="0"/>
                <w:sz w:val="24"/>
                <w:szCs w:val="24"/>
                <w:lang w:val="zh-CN"/>
              </w:rPr>
              <w:t>分。缺项不得分</w:t>
            </w:r>
          </w:p>
        </w:tc>
      </w:tr>
    </w:tbl>
    <w:p/>
    <w:p>
      <w:pPr>
        <w:ind w:firstLine="440" w:firstLineChars="200"/>
        <w:rPr>
          <w:rFonts w:ascii="宋体" w:hAnsi="宋体" w:eastAsia="宋体" w:cs="宋体"/>
          <w:b/>
          <w:bCs/>
          <w:color w:val="FF0000"/>
          <w:sz w:val="20"/>
          <w:szCs w:val="21"/>
          <w:lang w:val="zh-CN"/>
        </w:rPr>
      </w:pPr>
      <w:r>
        <w:rPr>
          <w:rFonts w:hint="eastAsia" w:ascii="宋体" w:hAnsi="宋体" w:eastAsia="宋体" w:cs="宋体"/>
          <w:b/>
          <w:bCs/>
          <w:color w:val="FF0000"/>
          <w:sz w:val="22"/>
          <w:lang w:val="zh-CN"/>
        </w:rPr>
        <w:t>备注：以上所有须提供的证件、证书、</w:t>
      </w:r>
      <w:r>
        <w:rPr>
          <w:rFonts w:hint="eastAsia" w:ascii="宋体" w:hAnsi="宋体" w:eastAsia="宋体" w:cs="宋体"/>
          <w:b/>
          <w:bCs/>
          <w:color w:val="FF0000"/>
          <w:sz w:val="22"/>
        </w:rPr>
        <w:t>劳动合同及社保证明</w:t>
      </w:r>
      <w:r>
        <w:rPr>
          <w:rFonts w:hint="eastAsia" w:ascii="宋体" w:hAnsi="宋体" w:eastAsia="宋体" w:cs="宋体"/>
          <w:b/>
          <w:bCs/>
          <w:color w:val="FF0000"/>
          <w:sz w:val="22"/>
          <w:lang w:val="zh-CN"/>
        </w:rPr>
        <w:t>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ascii="黑体" w:hAnsi="黑体" w:eastAsia="黑体"/>
        </w:rPr>
      </w:pPr>
      <w:r>
        <w:rPr>
          <w:rFonts w:hint="eastAsia" w:ascii="黑体" w:hAnsi="黑体" w:eastAsia="黑体"/>
        </w:rPr>
        <w:br w:type="page"/>
      </w:r>
    </w:p>
    <w:p>
      <w:pPr>
        <w:pStyle w:val="3"/>
        <w:spacing w:before="0" w:after="0"/>
        <w:jc w:val="center"/>
        <w:rPr>
          <w:rFonts w:ascii="黑体" w:hAnsi="黑体" w:eastAsia="黑体"/>
        </w:rPr>
      </w:pPr>
      <w:bookmarkStart w:id="66" w:name="_Toc4840"/>
      <w:r>
        <w:rPr>
          <w:rFonts w:hint="eastAsia" w:ascii="黑体" w:hAnsi="黑体" w:eastAsia="黑体"/>
        </w:rPr>
        <w:t xml:space="preserve">第六章 </w:t>
      </w:r>
      <w:r>
        <w:rPr>
          <w:rFonts w:ascii="黑体" w:hAnsi="黑体" w:eastAsia="黑体"/>
        </w:rPr>
        <w:t xml:space="preserve"> </w:t>
      </w:r>
      <w:r>
        <w:rPr>
          <w:rFonts w:hint="eastAsia" w:ascii="黑体" w:hAnsi="黑体" w:eastAsia="黑体"/>
        </w:rPr>
        <w:t>合同书格式（参考）</w:t>
      </w:r>
      <w:bookmarkEnd w:id="60"/>
      <w:bookmarkEnd w:id="61"/>
      <w:bookmarkEnd w:id="62"/>
      <w:bookmarkEnd w:id="63"/>
      <w:bookmarkEnd w:id="64"/>
      <w:bookmarkEnd w:id="65"/>
      <w:bookmarkEnd w:id="66"/>
    </w:p>
    <w:p>
      <w:pPr>
        <w:spacing w:line="360" w:lineRule="auto"/>
        <w:ind w:firstLine="480" w:firstLineChars="200"/>
        <w:rPr>
          <w:sz w:val="24"/>
          <w:szCs w:val="24"/>
        </w:rPr>
      </w:pPr>
      <w:r>
        <w:rPr>
          <w:rFonts w:hint="eastAsia"/>
          <w:sz w:val="24"/>
          <w:szCs w:val="24"/>
        </w:rPr>
        <w:t>（根据《政府采购法》和《民法典》相关规定，采购人和中标人之间的权利和义务，应当按照平等、自愿的原则以合同方式约定。此合同书仅作为签订正式合同时的参考，正式合同书应包括本参考格式之内容。）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本合同甲、乙双方应遵守国家颁布的《中华人民共和国民法典》、《中华人民共和国政府采购法》，并各自履行应负的全部责任和义务。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6"/>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6"/>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4"/>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pPr>
        <w:pStyle w:val="3"/>
        <w:jc w:val="center"/>
        <w:rPr>
          <w:rFonts w:ascii="黑体" w:hAnsi="黑体" w:eastAsia="黑体"/>
        </w:rPr>
      </w:pPr>
      <w:bookmarkStart w:id="67" w:name="_Toc494721094"/>
      <w:bookmarkStart w:id="68" w:name="_Toc494665547"/>
      <w:bookmarkStart w:id="69" w:name="_Toc494702264"/>
      <w:bookmarkStart w:id="70" w:name="_Toc18283"/>
      <w:bookmarkStart w:id="71" w:name="_Toc494665944"/>
      <w:bookmarkStart w:id="72" w:name="_Toc494745311"/>
      <w:bookmarkStart w:id="73" w:name="_Toc494664994"/>
      <w:r>
        <w:rPr>
          <w:rFonts w:hint="eastAsia" w:ascii="黑体" w:hAnsi="黑体" w:eastAsia="黑体"/>
        </w:rPr>
        <w:t xml:space="preserve">第七章 </w:t>
      </w:r>
      <w:r>
        <w:rPr>
          <w:rFonts w:ascii="黑体" w:hAnsi="黑体" w:eastAsia="黑体"/>
        </w:rPr>
        <w:t xml:space="preserve"> </w:t>
      </w:r>
      <w:r>
        <w:rPr>
          <w:rFonts w:hint="eastAsia" w:ascii="黑体" w:hAnsi="黑体" w:eastAsia="黑体"/>
        </w:rPr>
        <w:t>投标文件格式（参考）</w:t>
      </w:r>
      <w:bookmarkEnd w:id="67"/>
      <w:bookmarkEnd w:id="68"/>
      <w:bookmarkEnd w:id="69"/>
      <w:bookmarkEnd w:id="70"/>
      <w:bookmarkEnd w:id="71"/>
      <w:bookmarkEnd w:id="72"/>
      <w:bookmarkEnd w:id="73"/>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cs="Times New Roman" w:asciiTheme="majorEastAsia" w:hAnsiTheme="majorEastAsia"/>
          <w:sz w:val="44"/>
          <w:szCs w:val="44"/>
          <w:lang w:val="zh-CN"/>
        </w:rPr>
      </w:pPr>
      <w:r>
        <w:rPr>
          <w:rFonts w:hint="eastAsia" w:ascii="黑体" w:hAnsi="黑体" w:eastAsia="黑体"/>
          <w:b/>
          <w:sz w:val="144"/>
          <w:szCs w:val="144"/>
        </w:rPr>
        <w:t>投 标 文 件</w:t>
      </w:r>
    </w:p>
    <w:p>
      <w:pPr>
        <w:spacing w:line="360" w:lineRule="auto"/>
        <w:ind w:left="2051" w:leftChars="619" w:right="1299" w:rightChars="619" w:hanging="752" w:hangingChars="209"/>
        <w:rPr>
          <w:rFonts w:cs="Times New Roman" w:asciiTheme="minorEastAsia" w:hAnsiTheme="minorEastAsia"/>
          <w:b/>
          <w:bCs/>
          <w:sz w:val="36"/>
          <w:szCs w:val="24"/>
        </w:rPr>
      </w:pPr>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52"/>
          <w:szCs w:val="52"/>
        </w:rPr>
      </w:pPr>
      <w:r>
        <w:rPr>
          <w:rFonts w:hint="eastAsia" w:cs="Times New Roman" w:asciiTheme="minorEastAsia" w:hAnsiTheme="minorEastAsia"/>
          <w:b/>
          <w:bCs/>
          <w:sz w:val="52"/>
          <w:szCs w:val="52"/>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二0二</w:t>
      </w:r>
      <w:r>
        <w:rPr>
          <w:rFonts w:hint="eastAsia" w:ascii="宋体" w:hAnsi="宋体" w:eastAsia="宋体"/>
          <w:b/>
          <w:sz w:val="36"/>
          <w:szCs w:val="36"/>
        </w:rPr>
        <w:t>二</w:t>
      </w:r>
      <w:r>
        <w:rPr>
          <w:rFonts w:hint="eastAsia" w:ascii="宋体" w:hAnsi="宋体"/>
          <w:b/>
          <w:sz w:val="36"/>
          <w:szCs w:val="36"/>
        </w:rPr>
        <w:t>年 月</w:t>
      </w:r>
    </w:p>
    <w:p>
      <w:pPr>
        <w:rPr>
          <w:rFonts w:cs="Times New Roman" w:asciiTheme="minorEastAsia" w:hAnsiTheme="minorEastAsia"/>
          <w:b/>
          <w:bCs/>
          <w:sz w:val="36"/>
          <w:szCs w:val="24"/>
          <w:highlight w:val="yellow"/>
        </w:rPr>
      </w:pPr>
      <w:r>
        <w:rPr>
          <w:rFonts w:hint="eastAsia" w:cs="Times New Roman" w:asciiTheme="minorEastAsia" w:hAnsiTheme="minorEastAsia"/>
          <w:b/>
          <w:bCs/>
          <w:sz w:val="36"/>
          <w:szCs w:val="24"/>
          <w:highlight w:val="yellow"/>
        </w:rPr>
        <w:br w:type="page"/>
      </w:r>
    </w:p>
    <w:p>
      <w:pPr>
        <w:pStyle w:val="4"/>
        <w:jc w:val="center"/>
      </w:pPr>
      <w:bookmarkStart w:id="74" w:name="_Toc20507"/>
      <w:r>
        <w:rPr>
          <w:rFonts w:hint="eastAsia"/>
        </w:rPr>
        <w:t>投标文件目录</w:t>
      </w:r>
      <w:bookmarkEnd w:id="74"/>
    </w:p>
    <w:p>
      <w:pPr>
        <w:spacing w:line="360" w:lineRule="auto"/>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pStyle w:val="4"/>
        <w:jc w:val="center"/>
      </w:pPr>
      <w:bookmarkStart w:id="75" w:name="_Toc494665946"/>
      <w:bookmarkStart w:id="76" w:name="_Toc3730"/>
      <w:bookmarkStart w:id="77" w:name="_Toc494665549"/>
      <w:bookmarkStart w:id="78" w:name="_Toc494664996"/>
      <w:bookmarkStart w:id="79" w:name="_Toc494745313"/>
      <w:bookmarkStart w:id="80" w:name="_Toc494702266"/>
      <w:bookmarkStart w:id="81" w:name="_Toc494721096"/>
      <w:r>
        <w:rPr>
          <w:rFonts w:hint="eastAsia"/>
        </w:rPr>
        <w:t>第一部分 资格证明文件组成</w:t>
      </w:r>
      <w:bookmarkEnd w:id="75"/>
      <w:bookmarkEnd w:id="76"/>
      <w:bookmarkEnd w:id="77"/>
      <w:bookmarkEnd w:id="78"/>
      <w:bookmarkEnd w:id="79"/>
      <w:bookmarkEnd w:id="80"/>
      <w:bookmarkEnd w:id="81"/>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bookmarkStart w:id="82" w:name="_Toc24442"/>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7"/>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9"/>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9"/>
        <w:autoSpaceDE w:val="0"/>
        <w:autoSpaceDN w:val="0"/>
        <w:adjustRightInd w:val="0"/>
        <w:spacing w:line="360" w:lineRule="auto"/>
        <w:ind w:left="112" w:firstLine="0" w:firstLineChars="0"/>
        <w:rPr>
          <w:rFonts w:ascii="宋体" w:hAnsi="宋体" w:eastAsia="宋体" w:cs="Times New Roman"/>
          <w:kern w:val="0"/>
          <w:sz w:val="24"/>
          <w:szCs w:val="32"/>
        </w:rPr>
      </w:pPr>
      <w:r>
        <w:rPr>
          <w:rFonts w:hint="eastAsia" w:ascii="宋体" w:hAnsi="宋体" w:eastAsia="宋体" w:cs="Times New Roman"/>
          <w:kern w:val="0"/>
          <w:sz w:val="24"/>
          <w:szCs w:val="32"/>
        </w:rPr>
        <w:t>（提供在中华人民共和国境内注册的法人或其他组织的营业执照（或事业单位法人证书，或社会团体法人登记证书），自然人的身份证明；）</w:t>
      </w:r>
    </w:p>
    <w:p>
      <w:pPr>
        <w:pStyle w:val="39"/>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39"/>
        <w:autoSpaceDE w:val="0"/>
        <w:autoSpaceDN w:val="0"/>
        <w:adjustRightInd w:val="0"/>
        <w:spacing w:line="360" w:lineRule="auto"/>
        <w:ind w:left="112" w:firstLine="0" w:firstLineChars="0"/>
        <w:rPr>
          <w:rFonts w:ascii="宋体" w:hAnsi="宋体" w:eastAsia="宋体" w:cs="Times New Roman"/>
          <w:kern w:val="0"/>
          <w:sz w:val="24"/>
          <w:szCs w:val="32"/>
        </w:rPr>
      </w:pPr>
      <w:r>
        <w:rPr>
          <w:rFonts w:hint="eastAsia" w:ascii="宋体" w:hAnsi="宋体" w:eastAsia="宋体" w:cs="Times New Roman"/>
          <w:kern w:val="0"/>
          <w:sz w:val="24"/>
          <w:szCs w:val="32"/>
        </w:rPr>
        <w:t>（提供近三年度经审计财务审计报告，提供近半年任意3个月缴纳税收和社会保险的凭据证明材料复印件；如依法免税或不需要缴纳社会保障资金的，应提供相应证明文件；）</w:t>
      </w:r>
    </w:p>
    <w:p>
      <w:pPr>
        <w:pStyle w:val="39"/>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具备履行合同所必需的设备和专业技术能力的证明材料；（提供承诺函）</w:t>
      </w:r>
    </w:p>
    <w:p>
      <w:pPr>
        <w:pStyle w:val="39"/>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9"/>
        <w:autoSpaceDE w:val="0"/>
        <w:autoSpaceDN w:val="0"/>
        <w:adjustRightInd w:val="0"/>
        <w:spacing w:line="360" w:lineRule="auto"/>
        <w:ind w:left="112" w:firstLine="0" w:firstLineChars="0"/>
        <w:rPr>
          <w:rFonts w:ascii="宋体" w:hAnsi="宋体" w:eastAsia="宋体" w:cs="Times New Roman"/>
          <w:kern w:val="0"/>
          <w:sz w:val="24"/>
          <w:szCs w:val="32"/>
        </w:rPr>
      </w:pPr>
      <w:r>
        <w:rPr>
          <w:rFonts w:hint="eastAsia" w:ascii="宋体" w:hAnsi="宋体" w:eastAsia="宋体" w:cs="Times New Roman"/>
          <w:kern w:val="0"/>
          <w:sz w:val="24"/>
          <w:szCs w:val="32"/>
        </w:rPr>
        <w:t>（提供无重大违法记录声明函）</w:t>
      </w:r>
    </w:p>
    <w:p>
      <w:pPr>
        <w:pStyle w:val="39"/>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r>
        <w:rPr>
          <w:rFonts w:hint="eastAsia" w:ascii="宋体" w:hAnsi="宋体" w:eastAsia="宋体" w:cs="宋体"/>
        </w:rPr>
        <w:t>（截图时间为：开标时间截止前20天内）</w:t>
      </w:r>
    </w:p>
    <w:p>
      <w:pPr>
        <w:numPr>
          <w:ilvl w:val="0"/>
          <w:numId w:val="5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投标人应提供无行贿犯罪记录查询证明（提供在中国裁判文书网的查询结果截图）；</w:t>
      </w:r>
    </w:p>
    <w:p>
      <w:pPr>
        <w:numPr>
          <w:ilvl w:val="0"/>
          <w:numId w:val="57"/>
        </w:numPr>
        <w:autoSpaceDE w:val="0"/>
        <w:autoSpaceDN w:val="0"/>
        <w:adjustRightInd w:val="0"/>
        <w:spacing w:line="360" w:lineRule="auto"/>
        <w:ind w:left="490" w:hanging="370"/>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7"/>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7"/>
        </w:numPr>
        <w:autoSpaceDE w:val="0"/>
        <w:autoSpaceDN w:val="0"/>
        <w:adjustRightInd w:val="0"/>
        <w:spacing w:line="360" w:lineRule="auto"/>
        <w:ind w:left="490" w:hanging="370"/>
        <w:rPr>
          <w:rFonts w:ascii="宋体" w:hAnsi="宋体" w:eastAsia="宋体" w:cs="Times New Roman"/>
          <w:b/>
          <w:sz w:val="24"/>
          <w:szCs w:val="24"/>
        </w:rPr>
      </w:pPr>
      <w:r>
        <w:rPr>
          <w:rFonts w:hint="eastAsia" w:ascii="宋体" w:hAnsi="宋体" w:eastAsia="宋体" w:cs="Courier New"/>
          <w:color w:val="0D0D0D"/>
          <w:sz w:val="24"/>
          <w:szCs w:val="24"/>
        </w:rPr>
        <w:t>投标人认为需提供的其它相关资格证明材料。</w:t>
      </w:r>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pPr>
        <w:adjustRightInd w:val="0"/>
        <w:snapToGrid w:val="0"/>
        <w:ind w:firstLine="420" w:firstLineChars="200"/>
        <w:rPr>
          <w:rFonts w:ascii="宋体" w:hAnsi="宋体" w:eastAsia="宋体" w:cs="宋体"/>
        </w:rPr>
      </w:pPr>
    </w:p>
    <w:p>
      <w:pPr>
        <w:rPr>
          <w:rFonts w:ascii="黑体" w:hAnsi="黑体" w:eastAsia="黑体" w:cs="Times New Roman"/>
          <w:bCs/>
          <w:sz w:val="36"/>
          <w:szCs w:val="36"/>
        </w:rPr>
      </w:pPr>
      <w:r>
        <w:rPr>
          <w:rFonts w:hint="eastAsia" w:ascii="黑体" w:hAnsi="黑体" w:eastAsia="黑体" w:cs="Times New Roman"/>
          <w:bCs/>
          <w:sz w:val="36"/>
          <w:szCs w:val="36"/>
        </w:rPr>
        <w:t>附：</w:t>
      </w:r>
    </w:p>
    <w:p>
      <w:pPr>
        <w:rPr>
          <w:rFonts w:ascii="黑体" w:hAnsi="黑体" w:eastAsia="黑体" w:cs="Times New Roman"/>
          <w:bCs/>
          <w:sz w:val="36"/>
          <w:szCs w:val="36"/>
        </w:rPr>
      </w:pPr>
      <w:r>
        <w:rPr>
          <w:rFonts w:hint="eastAsia" w:ascii="黑体" w:hAnsi="黑体" w:eastAsia="黑体" w:cs="Times New Roman"/>
          <w:bCs/>
          <w:sz w:val="36"/>
          <w:szCs w:val="36"/>
        </w:rPr>
        <w:t>无重大违法记录声明函格式</w:t>
      </w:r>
      <w:bookmarkEnd w:id="82"/>
    </w:p>
    <w:p>
      <w:pPr>
        <w:jc w:val="center"/>
        <w:rPr>
          <w:rFonts w:ascii="宋体" w:hAnsi="宋体"/>
          <w:b/>
          <w:sz w:val="28"/>
          <w:szCs w:val="30"/>
        </w:rPr>
      </w:pPr>
      <w:r>
        <w:rPr>
          <w:rFonts w:hint="eastAsia" w:ascii="宋体" w:hAnsi="宋体"/>
          <w:b/>
          <w:sz w:val="28"/>
          <w:szCs w:val="30"/>
        </w:rPr>
        <w:t>参加政府采购活动前三年内在经营活动中没有重大违法记录的书面</w:t>
      </w:r>
    </w:p>
    <w:p>
      <w:pPr>
        <w:jc w:val="center"/>
        <w:rPr>
          <w:rFonts w:ascii="宋体" w:hAnsi="宋体"/>
          <w:b/>
          <w:sz w:val="30"/>
          <w:szCs w:val="30"/>
        </w:rPr>
      </w:pPr>
      <w:r>
        <w:rPr>
          <w:rFonts w:hint="eastAsia" w:ascii="宋体" w:hAnsi="宋体"/>
          <w:b/>
          <w:sz w:val="28"/>
          <w:szCs w:val="30"/>
        </w:rPr>
        <w:t>声明函</w:t>
      </w:r>
    </w:p>
    <w:p>
      <w:pPr>
        <w:spacing w:line="360" w:lineRule="auto"/>
        <w:rPr>
          <w:rFonts w:ascii="宋体" w:hAnsi="宋体" w:cs="Times New Roman"/>
          <w:b/>
          <w:sz w:val="28"/>
          <w:szCs w:val="28"/>
        </w:rPr>
      </w:pPr>
    </w:p>
    <w:p>
      <w:pPr>
        <w:spacing w:line="360" w:lineRule="auto"/>
        <w:rPr>
          <w:rFonts w:ascii="宋体" w:hAnsi="宋体" w:cs="Times New Roman"/>
          <w:b/>
          <w:sz w:val="28"/>
          <w:szCs w:val="28"/>
        </w:rPr>
      </w:pPr>
      <w:r>
        <w:rPr>
          <w:rFonts w:hint="eastAsia" w:ascii="宋体" w:hAnsi="宋体" w:cs="Times New Roman"/>
          <w:b/>
          <w:sz w:val="28"/>
          <w:szCs w:val="28"/>
        </w:rPr>
        <w:t>XXXXXX：</w:t>
      </w:r>
    </w:p>
    <w:p>
      <w:pPr>
        <w:spacing w:line="360" w:lineRule="auto"/>
        <w:ind w:firstLine="480" w:firstLineChars="200"/>
        <w:rPr>
          <w:rFonts w:ascii="宋体" w:hAnsi="宋体"/>
          <w:bCs/>
          <w:sz w:val="24"/>
          <w:szCs w:val="24"/>
        </w:rPr>
      </w:pPr>
      <w:r>
        <w:rPr>
          <w:rFonts w:hint="eastAsia" w:ascii="宋体" w:hAnsi="宋体"/>
          <w:bCs/>
          <w:sz w:val="24"/>
          <w:szCs w:val="24"/>
          <w:u w:val="single"/>
        </w:rPr>
        <w:t xml:space="preserve">   (投标人全称)  </w:t>
      </w:r>
      <w:r>
        <w:rPr>
          <w:rFonts w:hint="eastAsia" w:ascii="宋体" w:hAnsi="宋体"/>
          <w:bCs/>
          <w:sz w:val="24"/>
          <w:szCs w:val="24"/>
        </w:rPr>
        <w:t>参加贵中心组织的</w:t>
      </w:r>
      <w:r>
        <w:rPr>
          <w:rFonts w:hint="eastAsia" w:ascii="宋体" w:hAnsi="宋体"/>
          <w:bCs/>
          <w:sz w:val="24"/>
          <w:szCs w:val="24"/>
          <w:u w:val="single"/>
        </w:rPr>
        <w:t xml:space="preserve"> </w:t>
      </w:r>
      <w:r>
        <w:rPr>
          <w:rFonts w:hint="eastAsia" w:ascii="宋体" w:hAnsi="宋体" w:cs="Times New Roman"/>
          <w:sz w:val="24"/>
          <w:szCs w:val="24"/>
          <w:u w:val="single"/>
        </w:rPr>
        <w:t>（项目名称）</w:t>
      </w:r>
      <w:r>
        <w:rPr>
          <w:rFonts w:hint="eastAsia" w:ascii="宋体" w:hAnsi="宋体"/>
          <w:bCs/>
          <w:sz w:val="24"/>
          <w:szCs w:val="24"/>
          <w:u w:val="single"/>
        </w:rPr>
        <w:t xml:space="preserve"> </w:t>
      </w:r>
      <w:r>
        <w:rPr>
          <w:rFonts w:hint="eastAsia" w:ascii="宋体" w:hAnsi="宋体"/>
          <w:bCs/>
          <w:sz w:val="24"/>
          <w:szCs w:val="24"/>
        </w:rPr>
        <w:t>项目(项目编号：</w:t>
      </w:r>
      <w:r>
        <w:rPr>
          <w:rFonts w:hint="eastAsia" w:ascii="宋体" w:hAnsi="宋体"/>
          <w:bCs/>
          <w:sz w:val="24"/>
          <w:szCs w:val="24"/>
          <w:u w:val="single"/>
        </w:rPr>
        <w:t xml:space="preserve">          </w:t>
      </w:r>
      <w:r>
        <w:rPr>
          <w:rFonts w:hint="eastAsia" w:ascii="宋体" w:hAnsi="宋体"/>
          <w:bCs/>
          <w:sz w:val="24"/>
          <w:szCs w:val="24"/>
        </w:rPr>
        <w:t>)的政府采购活动，根据招标文件的规定提交相关资格证明文件。本单位郑重声明如下：</w:t>
      </w:r>
    </w:p>
    <w:p>
      <w:pPr>
        <w:pStyle w:val="51"/>
        <w:numPr>
          <w:ilvl w:val="1"/>
          <w:numId w:val="59"/>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51"/>
        <w:numPr>
          <w:ilvl w:val="1"/>
          <w:numId w:val="59"/>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参加本项目政府采购活动前三年内，本单位未受到过全国</w:t>
      </w:r>
      <w:r>
        <w:rPr>
          <w:rFonts w:ascii="宋体" w:hAnsi="宋体"/>
          <w:bCs/>
          <w:sz w:val="24"/>
          <w:szCs w:val="24"/>
        </w:rPr>
        <w:t>各级人民政府财政部门依法</w:t>
      </w:r>
      <w:r>
        <w:rPr>
          <w:rFonts w:hint="eastAsia" w:ascii="宋体" w:hAnsi="宋体"/>
          <w:bCs/>
          <w:sz w:val="24"/>
          <w:szCs w:val="24"/>
        </w:rPr>
        <w:t>作</w:t>
      </w:r>
      <w:r>
        <w:rPr>
          <w:rFonts w:ascii="宋体" w:hAnsi="宋体"/>
          <w:bCs/>
          <w:sz w:val="24"/>
          <w:szCs w:val="24"/>
        </w:rPr>
        <w:t>出的禁止参加政府采购活动等行政处罚决定</w:t>
      </w:r>
      <w:r>
        <w:rPr>
          <w:rFonts w:hint="eastAsia" w:ascii="宋体" w:hAnsi="宋体"/>
          <w:bCs/>
          <w:sz w:val="24"/>
          <w:szCs w:val="24"/>
        </w:rPr>
        <w:t>；</w:t>
      </w:r>
    </w:p>
    <w:p>
      <w:pPr>
        <w:pStyle w:val="51"/>
        <w:numPr>
          <w:ilvl w:val="1"/>
          <w:numId w:val="59"/>
        </w:numPr>
        <w:tabs>
          <w:tab w:val="left" w:pos="854"/>
        </w:tabs>
        <w:spacing w:line="360" w:lineRule="auto"/>
        <w:ind w:left="11" w:firstLine="480"/>
        <w:rPr>
          <w:rFonts w:ascii="宋体" w:hAns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sz w:val="24"/>
          <w:szCs w:val="24"/>
        </w:rPr>
      </w:pPr>
    </w:p>
    <w:p>
      <w:pPr>
        <w:tabs>
          <w:tab w:val="left" w:pos="854"/>
        </w:tabs>
        <w:spacing w:line="360" w:lineRule="auto"/>
        <w:rPr>
          <w:rFonts w:ascii="宋体" w:hAnsi="宋体"/>
          <w:bCs/>
          <w:sz w:val="24"/>
          <w:szCs w:val="24"/>
        </w:rPr>
      </w:pP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 (公章)：</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rPr>
          <w:rFonts w:ascii="宋体" w:hAnsi="宋体" w:cs="Times New Roman"/>
          <w:bCs/>
          <w:sz w:val="24"/>
          <w:szCs w:val="21"/>
          <w:u w:val="single"/>
        </w:rPr>
      </w:pPr>
      <w:r>
        <w:rPr>
          <w:rFonts w:hint="eastAsia" w:ascii="宋体" w:hAnsi="宋体" w:cs="Times New Roman"/>
          <w:bCs/>
          <w:sz w:val="24"/>
          <w:szCs w:val="21"/>
        </w:rPr>
        <w:t>投标人授权代表（签字）：</w:t>
      </w:r>
      <w:r>
        <w:rPr>
          <w:rFonts w:hint="eastAsia" w:ascii="宋体" w:hAnsi="宋体" w:cs="Times New Roman"/>
          <w:bCs/>
          <w:sz w:val="24"/>
          <w:szCs w:val="21"/>
          <w:u w:val="single"/>
        </w:rPr>
        <w:t xml:space="preserve">                  </w:t>
      </w:r>
    </w:p>
    <w:p>
      <w:pPr>
        <w:spacing w:before="100" w:beforeAutospacing="1" w:after="100" w:afterAutospacing="1" w:line="360" w:lineRule="auto"/>
        <w:ind w:firstLine="3316" w:firstLineChars="1382"/>
      </w:pPr>
      <w:r>
        <w:rPr>
          <w:rFonts w:hint="eastAsia" w:hAnsi="宋体" w:cs="Times New Roman"/>
          <w:sz w:val="24"/>
          <w:szCs w:val="24"/>
        </w:rPr>
        <w:t>日   期：</w:t>
      </w:r>
      <w:r>
        <w:rPr>
          <w:rFonts w:hint="eastAsia" w:ascii="宋体" w:hAnsi="宋体" w:cs="Times New Roman"/>
          <w:bCs/>
          <w:sz w:val="24"/>
          <w:szCs w:val="21"/>
          <w:u w:val="single"/>
        </w:rPr>
        <w:t xml:space="preserve">                                </w:t>
      </w:r>
    </w:p>
    <w:p>
      <w:pPr>
        <w:autoSpaceDE w:val="0"/>
        <w:autoSpaceDN w:val="0"/>
        <w:adjustRightInd w:val="0"/>
        <w:spacing w:line="360" w:lineRule="auto"/>
        <w:ind w:left="734" w:leftChars="346" w:hanging="8" w:hangingChars="3"/>
        <w:rPr>
          <w:rFonts w:ascii="宋体" w:hAnsi="宋体" w:cs="Times New Roman"/>
          <w:b/>
          <w:sz w:val="24"/>
          <w:szCs w:val="24"/>
        </w:rPr>
      </w:pPr>
      <w:r>
        <w:rPr>
          <w:rFonts w:eastAsia="黑体"/>
          <w:b/>
          <w:iCs/>
          <w:kern w:val="0"/>
          <w:sz w:val="28"/>
        </w:rPr>
        <w:br w:type="page"/>
      </w:r>
    </w:p>
    <w:p>
      <w:pPr>
        <w:pStyle w:val="4"/>
        <w:jc w:val="center"/>
      </w:pPr>
      <w:bookmarkStart w:id="83" w:name="_Toc494665551"/>
      <w:bookmarkStart w:id="84" w:name="_Toc494665948"/>
      <w:bookmarkStart w:id="85" w:name="_Toc10254"/>
      <w:bookmarkStart w:id="86" w:name="_Toc494721098"/>
      <w:bookmarkStart w:id="87" w:name="_Toc494745315"/>
      <w:bookmarkStart w:id="88" w:name="_Toc494664998"/>
      <w:bookmarkStart w:id="89" w:name="_Toc494702268"/>
      <w:r>
        <w:rPr>
          <w:rFonts w:hint="eastAsia"/>
        </w:rPr>
        <w:t>第二部分 商务文件组成</w:t>
      </w:r>
      <w:bookmarkEnd w:id="83"/>
      <w:bookmarkEnd w:id="84"/>
      <w:bookmarkEnd w:id="85"/>
      <w:bookmarkEnd w:id="86"/>
      <w:bookmarkEnd w:id="87"/>
      <w:bookmarkEnd w:id="88"/>
      <w:bookmarkEnd w:id="89"/>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由各投标人根据参考格式要求自行编写。具体内容应包括但不限于以下内容：</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投标书（附件一）；</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中小企业声明函（附件二）；</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残疾人福利性单位声明函（附件三，不符合的无需提供）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投标报价明细表（附件五）；</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法定代表人授权书（附件六）；</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  其他注意事项”中规定禁止情形的书面声明；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投标人的资格声明（附件七）；</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项目负责人、技术负责人简历表（附件八）；</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项目班子成员情况表（附件九）；</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符合性审查对照表（附件十一）；</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商务要求响应、偏离说明表（附件十二）；</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商务要求“★”号条款响应、偏离说明表（附件十三）</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商务评议对照表（附件十四）。</w:t>
      </w:r>
    </w:p>
    <w:p>
      <w:pPr>
        <w:autoSpaceDE w:val="0"/>
        <w:autoSpaceDN w:val="0"/>
        <w:adjustRightInd w:val="0"/>
        <w:spacing w:line="360" w:lineRule="auto"/>
        <w:ind w:left="120"/>
        <w:rPr>
          <w:rFonts w:ascii="宋体" w:hAnsi="宋体" w:eastAsia="宋体" w:cs="Courier New"/>
          <w:color w:val="0D0D0D"/>
          <w:sz w:val="24"/>
          <w:szCs w:val="24"/>
        </w:rPr>
      </w:pP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br w:type="page"/>
      </w:r>
    </w:p>
    <w:p>
      <w:pPr>
        <w:pStyle w:val="4"/>
        <w:jc w:val="center"/>
      </w:pPr>
      <w:bookmarkStart w:id="90" w:name="_Toc494665000"/>
      <w:bookmarkStart w:id="91" w:name="_Toc494665950"/>
      <w:bookmarkStart w:id="92" w:name="_Toc494702270"/>
      <w:bookmarkStart w:id="93" w:name="_Toc421"/>
      <w:bookmarkStart w:id="94" w:name="_Toc494665553"/>
      <w:bookmarkStart w:id="95" w:name="_Toc494745317"/>
      <w:bookmarkStart w:id="96" w:name="_Toc494721100"/>
      <w:r>
        <w:rPr>
          <w:rFonts w:hint="eastAsia"/>
          <w:lang w:val="zh-CN"/>
        </w:rPr>
        <w:t xml:space="preserve">第三部分 </w:t>
      </w:r>
      <w:r>
        <w:rPr>
          <w:lang w:val="zh-CN"/>
        </w:rPr>
        <w:t xml:space="preserve"> </w:t>
      </w:r>
      <w:r>
        <w:rPr>
          <w:rFonts w:hint="eastAsia"/>
          <w:lang w:val="zh-CN"/>
        </w:rPr>
        <w:t>技术</w:t>
      </w:r>
      <w:r>
        <w:rPr>
          <w:rFonts w:hint="eastAsia"/>
        </w:rPr>
        <w:t>、服务文件组成</w:t>
      </w:r>
      <w:bookmarkEnd w:id="90"/>
      <w:bookmarkEnd w:id="91"/>
      <w:bookmarkEnd w:id="92"/>
      <w:bookmarkEnd w:id="93"/>
      <w:bookmarkEnd w:id="94"/>
      <w:bookmarkEnd w:id="95"/>
      <w:bookmarkEnd w:id="96"/>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由各投标人根据参考格式要求自行编写。具体内容应包括但不限于以下内容：</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技术、服务要求响应、偏离说明表（附件十五）；</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技术、服务要求“★”号条款响应、偏离说明表（附件十六）；</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技术、服务评议对照表（附件十七）；</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2"/>
        </w:numPr>
        <w:spacing w:before="100" w:beforeAutospacing="1" w:afterLines="50" w:line="360" w:lineRule="auto"/>
        <w:ind w:left="3388" w:hanging="1288"/>
        <w:rPr>
          <w:rFonts w:ascii="宋体" w:hAnsi="宋体" w:eastAsia="宋体"/>
        </w:rPr>
      </w:pPr>
      <w:bookmarkStart w:id="97" w:name="_Toc494745318"/>
      <w:bookmarkStart w:id="98" w:name="_Toc494665554"/>
      <w:bookmarkStart w:id="99" w:name="_Toc494721101"/>
      <w:bookmarkStart w:id="100" w:name="_Toc494665951"/>
      <w:bookmarkStart w:id="101" w:name="_Toc21677"/>
      <w:bookmarkStart w:id="102" w:name="_Toc494702271"/>
      <w:bookmarkStart w:id="103" w:name="_Toc238276242"/>
      <w:bookmarkStart w:id="104" w:name="_Toc494665001"/>
      <w:bookmarkStart w:id="105" w:name="_Toc236473298"/>
      <w:r>
        <w:rPr>
          <w:rFonts w:hint="eastAsia" w:ascii="宋体" w:hAnsi="宋体" w:eastAsia="宋体"/>
        </w:rPr>
        <w:t>投标书</w:t>
      </w:r>
      <w:bookmarkEnd w:id="97"/>
      <w:bookmarkEnd w:id="98"/>
      <w:bookmarkEnd w:id="99"/>
      <w:bookmarkEnd w:id="100"/>
      <w:bookmarkEnd w:id="101"/>
      <w:bookmarkEnd w:id="102"/>
      <w:bookmarkEnd w:id="103"/>
      <w:bookmarkEnd w:id="104"/>
      <w:bookmarkEnd w:id="105"/>
    </w:p>
    <w:p>
      <w:pPr>
        <w:spacing w:line="360" w:lineRule="auto"/>
        <w:rPr>
          <w:b/>
          <w:sz w:val="28"/>
          <w:szCs w:val="28"/>
        </w:rPr>
      </w:pPr>
      <w:r>
        <w:rPr>
          <w:rFonts w:hint="eastAsia" w:ascii="宋体" w:hAnsi="宋体" w:eastAsia="宋体" w:cs="宋体"/>
          <w:b/>
          <w:bCs/>
          <w:sz w:val="24"/>
          <w:szCs w:val="24"/>
        </w:rPr>
        <w:t>阳新县政府采购中心</w:t>
      </w:r>
      <w:r>
        <w:rPr>
          <w:rFonts w:hint="eastAsia"/>
          <w:b/>
          <w:sz w:val="28"/>
          <w:szCs w:val="28"/>
        </w:rPr>
        <w:t>：</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w:t>
      </w:r>
      <w:r>
        <w:rPr>
          <w:rFonts w:hint="eastAsia" w:ascii="宋体" w:hAnsi="宋体" w:eastAsia="宋体" w:cs="宋体"/>
          <w:sz w:val="24"/>
          <w:szCs w:val="24"/>
        </w:rPr>
        <w:t>《开标一览表》中规定的应提交和交付的</w:t>
      </w:r>
      <w:r>
        <w:rPr>
          <w:rFonts w:hint="eastAsia" w:ascii="宋体" w:hAnsi="宋体" w:eastAsia="宋体" w:cs="宋体"/>
          <w:sz w:val="24"/>
          <w:szCs w:val="24"/>
          <w:u w:val="single"/>
        </w:rPr>
        <w:t xml:space="preserve">  （包号）  </w:t>
      </w:r>
      <w:r>
        <w:rPr>
          <w:rFonts w:hint="eastAsia" w:ascii="宋体" w:hAnsi="宋体" w:eastAsia="宋体" w:cs="宋体"/>
          <w:sz w:val="24"/>
          <w:szCs w:val="24"/>
        </w:rPr>
        <w:t>货物（工程或服务）投标总价为</w:t>
      </w:r>
      <w:r>
        <w:rPr>
          <w:rFonts w:hint="eastAsia" w:ascii="宋体" w:hAnsi="宋体" w:eastAsia="宋体" w:cs="宋体"/>
          <w:sz w:val="24"/>
          <w:szCs w:val="24"/>
          <w:u w:val="single"/>
        </w:rPr>
        <w:t>（注明币种，并用大写和小写表述投标总价）</w:t>
      </w:r>
      <w:r>
        <w:rPr>
          <w:rFonts w:hint="eastAsia" w:ascii="宋体" w:hAnsi="宋体" w:eastAsia="宋体" w:cs="宋体"/>
          <w:color w:val="0000FF"/>
          <w:spacing w:val="-1"/>
          <w:kern w:val="0"/>
          <w:sz w:val="24"/>
          <w:lang w:val="hr-HR" w:bidi="zh-CN"/>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宋体" w:hAnsi="宋体" w:eastAsia="宋体" w:cs="Times New Roman"/>
          <w:kern w:val="0"/>
          <w:sz w:val="24"/>
          <w:szCs w:val="24"/>
        </w:rPr>
      </w:pPr>
      <w:r>
        <w:rPr>
          <w:rFonts w:hint="eastAsia" w:asciiTheme="minorEastAsia" w:hAnsiTheme="minorEastAsia"/>
          <w:sz w:val="24"/>
          <w:szCs w:val="24"/>
        </w:rPr>
        <w:t>7．与投标有关的一切正式往来信函请寄：。</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2"/>
        </w:numPr>
        <w:spacing w:before="100" w:beforeAutospacing="1" w:afterLines="50" w:line="360" w:lineRule="auto"/>
        <w:ind w:left="3388" w:hanging="1288"/>
        <w:rPr>
          <w:rFonts w:ascii="宋体" w:hAnsi="宋体" w:eastAsia="宋体"/>
        </w:rPr>
      </w:pPr>
      <w:bookmarkStart w:id="106" w:name="_Toc494665003"/>
      <w:bookmarkStart w:id="107" w:name="_Toc494665953"/>
      <w:bookmarkStart w:id="108" w:name="_Toc494665556"/>
      <w:bookmarkStart w:id="109" w:name="_Toc456264006"/>
      <w:bookmarkStart w:id="110" w:name="_Toc494721103"/>
      <w:bookmarkStart w:id="111" w:name="_Toc494702273"/>
      <w:bookmarkStart w:id="112" w:name="_Toc494745320"/>
      <w:bookmarkStart w:id="113" w:name="_Toc1631"/>
      <w:r>
        <w:rPr>
          <w:rFonts w:hint="eastAsia" w:ascii="宋体" w:hAnsi="宋体" w:eastAsia="宋体"/>
        </w:rPr>
        <w:t>中小企业声明函</w:t>
      </w:r>
      <w:bookmarkEnd w:id="106"/>
      <w:bookmarkEnd w:id="107"/>
      <w:bookmarkEnd w:id="108"/>
      <w:bookmarkEnd w:id="109"/>
      <w:bookmarkEnd w:id="110"/>
      <w:bookmarkEnd w:id="111"/>
      <w:bookmarkEnd w:id="112"/>
      <w:bookmarkEnd w:id="113"/>
    </w:p>
    <w:p>
      <w:pPr>
        <w:jc w:val="center"/>
        <w:rPr>
          <w:rFonts w:ascii="宋体" w:hAnsi="宋体"/>
          <w:sz w:val="28"/>
          <w:szCs w:val="28"/>
        </w:rPr>
      </w:pPr>
      <w:r>
        <w:rPr>
          <w:rFonts w:hint="eastAsia" w:ascii="宋体" w:hAnsi="宋体"/>
          <w:b/>
          <w:sz w:val="30"/>
          <w:szCs w:val="30"/>
        </w:rPr>
        <w:t>中小企业声明函</w:t>
      </w:r>
      <w:r>
        <w:rPr>
          <w:rFonts w:hint="eastAsia" w:ascii="宋体" w:hAnsi="宋体"/>
          <w:sz w:val="28"/>
          <w:szCs w:val="28"/>
        </w:rPr>
        <w:t>（工程、服务）</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本公司（联合体）郑重声明，根据《政府采购促进中小企业发展管理办法》（财库﹝2020﹞46号）的规定，本公司（联合体）参加</w:t>
      </w:r>
      <w:r>
        <w:rPr>
          <w:rFonts w:hint="eastAsia"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为万元，资产总额为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万元1，属于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；承建（承接）企业为</w:t>
      </w:r>
      <w:r>
        <w:rPr>
          <w:rFonts w:hint="eastAsia"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rPr>
        <w:t>，从业人员</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人，营业收入为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万元，资产总额为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万元，属于</w:t>
      </w:r>
      <w:r>
        <w:rPr>
          <w:rFonts w:hint="eastAsia" w:ascii="宋体" w:hAnsi="宋体" w:eastAsia="宋体" w:cs="宋体"/>
          <w:color w:val="000000"/>
          <w:kern w:val="0"/>
          <w:sz w:val="24"/>
          <w:szCs w:val="24"/>
          <w:u w:val="single"/>
        </w:rPr>
        <w:t>（中型企业、小型企业、微型企业）</w:t>
      </w:r>
      <w:r>
        <w:rPr>
          <w:rFonts w:hint="eastAsia" w:ascii="宋体" w:hAnsi="宋体" w:eastAsia="宋体" w:cs="宋体"/>
          <w:color w:val="000000"/>
          <w:kern w:val="0"/>
          <w:sz w:val="24"/>
          <w:szCs w:val="24"/>
        </w:rPr>
        <w:t xml:space="preserve">； </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本企业对上述声明内容的真实性负责。如有虚假，将依法承担相应责任。 </w:t>
      </w:r>
    </w:p>
    <w:p>
      <w:pPr>
        <w:spacing w:line="540" w:lineRule="exact"/>
        <w:rPr>
          <w:sz w:val="24"/>
          <w:szCs w:val="24"/>
        </w:rPr>
      </w:pPr>
    </w:p>
    <w:p>
      <w:pPr>
        <w:widowControl/>
        <w:spacing w:line="540" w:lineRule="exact"/>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 xml:space="preserve">企业名称（盖章）： </w:t>
      </w:r>
    </w:p>
    <w:p>
      <w:pPr>
        <w:widowControl/>
        <w:spacing w:line="54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pPr>
        <w:spacing w:line="540" w:lineRule="exact"/>
        <w:rPr>
          <w:sz w:val="24"/>
          <w:szCs w:val="24"/>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130175</wp:posOffset>
                </wp:positionV>
                <wp:extent cx="4624070" cy="4445"/>
                <wp:effectExtent l="0" t="0" r="0" b="0"/>
                <wp:wrapNone/>
                <wp:docPr id="4" name="直接连接符 4"/>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pt;margin-top:10.25pt;height:0.35pt;width:364.1pt;z-index:251663360;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lbLL9QAAAAHAQAADwAAAAAAAAABACAAAAAiAAAAZHJzL2Rvd25yZXYu&#10;eG1sUEsBAhQAFAAAAAgAh07iQD2YFSz/AQAA1wMAAA4AAAAAAAAAAQAgAAAAIwEAAGRycy9lMm9E&#10;b2MueG1sUEsFBgAAAAAGAAYAWQEAAJQFAAAAAA==&#10;">
                <v:fill on="f" focussize="0,0"/>
                <v:stroke weight="0.5pt" color="#000000" miterlimit="8" joinstyle="miter"/>
                <v:imagedata o:title=""/>
                <o:lock v:ext="edit" aspectratio="f"/>
              </v:line>
            </w:pict>
          </mc:Fallback>
        </mc:AlternateContent>
      </w:r>
    </w:p>
    <w:p>
      <w:pPr>
        <w:widowControl/>
        <w:jc w:val="left"/>
        <w:rPr>
          <w:rFonts w:ascii="宋体" w:hAnsi="宋体" w:eastAsia="宋体" w:cs="宋体"/>
        </w:rPr>
        <w:sectPr>
          <w:footerReference r:id="rId7" w:type="default"/>
          <w:pgSz w:w="11906" w:h="16838"/>
          <w:pgMar w:top="1020" w:right="1417" w:bottom="1020" w:left="1587" w:header="624" w:footer="510" w:gutter="0"/>
          <w:pgNumType w:fmt="decimal"/>
          <w:cols w:space="425" w:num="1"/>
          <w:docGrid w:type="linesAndChars" w:linePitch="312" w:charSpace="0"/>
        </w:sectPr>
      </w:pPr>
      <w:r>
        <w:rPr>
          <w:rFonts w:hint="eastAsia" w:ascii="宋体" w:hAnsi="宋体" w:eastAsia="宋体" w:cs="宋体"/>
          <w:color w:val="000000"/>
          <w:kern w:val="0"/>
          <w:sz w:val="18"/>
          <w:szCs w:val="18"/>
        </w:rPr>
        <w:t>注：从业人员、营业收入、资产总额填报上一年度数据，无上一年度数据的新成立企业可不填报。</w:t>
      </w:r>
      <w:r>
        <w:rPr>
          <w:rFonts w:hint="eastAsia" w:ascii="宋体" w:hAnsi="宋体" w:eastAsia="宋体" w:cs="宋体"/>
        </w:rPr>
        <w:br w:type="page"/>
      </w:r>
    </w:p>
    <w:p>
      <w:pPr>
        <w:tabs>
          <w:tab w:val="left" w:pos="2730"/>
        </w:tabs>
      </w:pPr>
    </w:p>
    <w:p>
      <w:pPr>
        <w:tabs>
          <w:tab w:val="left" w:pos="2730"/>
        </w:tabs>
      </w:pPr>
      <w:r>
        <w:tab/>
      </w:r>
    </w:p>
    <w:p>
      <w:pPr>
        <w:spacing w:line="240" w:lineRule="atLeast"/>
        <w:ind w:right="-65" w:rightChars="-31"/>
        <w:jc w:val="center"/>
        <w:rPr>
          <w:rFonts w:ascii="宋体" w:hAnsi="宋体" w:eastAsia="宋体" w:cs="Times New Roman"/>
          <w:b/>
          <w:sz w:val="30"/>
          <w:szCs w:val="30"/>
          <w:lang w:val="zh-CN"/>
        </w:rPr>
      </w:pPr>
      <w:bookmarkStart w:id="114" w:name="_Toc476153619"/>
      <w:r>
        <w:rPr>
          <w:rFonts w:hint="eastAsia" w:ascii="宋体" w:hAnsi="宋体" w:eastAsia="宋体" w:cs="Times New Roman"/>
          <w:b/>
          <w:sz w:val="30"/>
          <w:szCs w:val="30"/>
          <w:lang w:val="zh-CN"/>
        </w:rPr>
        <w:t>中小企业划型标准</w:t>
      </w:r>
      <w:bookmarkEnd w:id="114"/>
    </w:p>
    <w:tbl>
      <w:tblPr>
        <w:tblStyle w:val="26"/>
        <w:tblW w:w="14621" w:type="dxa"/>
        <w:jc w:val="center"/>
        <w:tblLayout w:type="fixed"/>
        <w:tblCellMar>
          <w:top w:w="0" w:type="dxa"/>
          <w:left w:w="108" w:type="dxa"/>
          <w:bottom w:w="0" w:type="dxa"/>
          <w:right w:w="108" w:type="dxa"/>
        </w:tblCellMar>
      </w:tblPr>
      <w:tblGrid>
        <w:gridCol w:w="495"/>
        <w:gridCol w:w="1974"/>
        <w:gridCol w:w="1210"/>
        <w:gridCol w:w="933"/>
        <w:gridCol w:w="951"/>
        <w:gridCol w:w="1120"/>
        <w:gridCol w:w="953"/>
        <w:gridCol w:w="1008"/>
        <w:gridCol w:w="1120"/>
        <w:gridCol w:w="971"/>
        <w:gridCol w:w="1014"/>
        <w:gridCol w:w="1120"/>
        <w:gridCol w:w="892"/>
        <w:gridCol w:w="860"/>
      </w:tblGrid>
      <w:tr>
        <w:tblPrEx>
          <w:tblCellMar>
            <w:top w:w="0" w:type="dxa"/>
            <w:left w:w="108" w:type="dxa"/>
            <w:bottom w:w="0" w:type="dxa"/>
            <w:right w:w="108" w:type="dxa"/>
          </w:tblCellMar>
        </w:tblPrEx>
        <w:trPr>
          <w:trHeight w:val="450" w:hRule="atLeast"/>
          <w:tblHeader/>
          <w:jc w:val="center"/>
        </w:trPr>
        <w:tc>
          <w:tcPr>
            <w:tcW w:w="495"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7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94"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81"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105"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7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03" w:hRule="atLeast"/>
          <w:tblHeader/>
          <w:jc w:val="center"/>
        </w:trPr>
        <w:tc>
          <w:tcPr>
            <w:tcW w:w="495"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7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210"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3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20"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5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20"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71" w:type="dxa"/>
            <w:tcBorders>
              <w:top w:val="nil"/>
              <w:left w:val="nil"/>
              <w:bottom w:val="single" w:color="auto" w:sz="4" w:space="0"/>
              <w:right w:val="single" w:color="auto" w:sz="4" w:space="0"/>
            </w:tcBorders>
            <w:shd w:val="clear" w:color="auto" w:fill="auto"/>
            <w:vAlign w:val="center"/>
          </w:tcPr>
          <w:p>
            <w:pPr>
              <w:spacing w:line="240" w:lineRule="atLeast"/>
              <w:ind w:left="117" w:leftChars="-23" w:right="-65" w:rightChars="-31" w:hanging="165"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1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20"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92"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60"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32"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7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2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32" w:hRule="atLeast"/>
          <w:jc w:val="center"/>
        </w:trPr>
        <w:tc>
          <w:tcPr>
            <w:tcW w:w="495"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7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21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3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5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5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10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7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1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2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92"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60"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rPr>
        <w:sectPr>
          <w:headerReference r:id="rId8" w:type="default"/>
          <w:footerReference r:id="rId9" w:type="default"/>
          <w:pgSz w:w="16838" w:h="11906" w:orient="landscape"/>
          <w:pgMar w:top="720" w:right="720" w:bottom="720" w:left="720" w:header="851" w:footer="851" w:gutter="0"/>
          <w:pgNumType w:fmt="decimal"/>
          <w:cols w:space="425" w:num="1"/>
          <w:docGrid w:type="linesAndChars" w:linePitch="312" w:charSpace="0"/>
        </w:sectPr>
      </w:pPr>
      <w:bookmarkStart w:id="115" w:name="_Toc494702274"/>
      <w:bookmarkStart w:id="116" w:name="_Toc494665954"/>
      <w:bookmarkStart w:id="117" w:name="_Toc494665557"/>
      <w:bookmarkStart w:id="118" w:name="_Toc494665004"/>
      <w:bookmarkStart w:id="119" w:name="_Toc494721104"/>
      <w:bookmarkStart w:id="120" w:name="_Toc494745321"/>
    </w:p>
    <w:p>
      <w:pPr>
        <w:pStyle w:val="4"/>
        <w:numPr>
          <w:ilvl w:val="0"/>
          <w:numId w:val="62"/>
        </w:numPr>
        <w:spacing w:before="100" w:beforeAutospacing="1" w:afterLines="50" w:line="360" w:lineRule="auto"/>
        <w:ind w:left="2328" w:hanging="1688"/>
        <w:jc w:val="left"/>
        <w:rPr>
          <w:rFonts w:ascii="宋体" w:hAnsi="宋体" w:eastAsia="宋体"/>
          <w:lang w:val="zh-CN"/>
        </w:rPr>
      </w:pPr>
      <w:bookmarkStart w:id="121" w:name="_Toc21082"/>
      <w:r>
        <w:rPr>
          <w:rFonts w:hint="eastAsia" w:ascii="宋体" w:hAnsi="宋体" w:eastAsia="宋体"/>
        </w:rPr>
        <w:t>残疾人福利性单位声明函</w:t>
      </w:r>
      <w:bookmarkEnd w:id="115"/>
      <w:bookmarkEnd w:id="116"/>
      <w:bookmarkEnd w:id="117"/>
      <w:bookmarkEnd w:id="118"/>
      <w:bookmarkEnd w:id="119"/>
      <w:bookmarkEnd w:id="120"/>
      <w:r>
        <w:rPr>
          <w:rFonts w:hint="eastAsia" w:ascii="宋体" w:hAnsi="宋体" w:eastAsia="宋体"/>
        </w:rPr>
        <w:t>（不符合不提供）</w:t>
      </w:r>
      <w:bookmarkEnd w:id="121"/>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ascii="宋体" w:hAnsi="宋体" w:eastAsia="宋体" w:cs="宋体"/>
          <w:b/>
          <w:bCs/>
          <w:sz w:val="24"/>
          <w:szCs w:val="24"/>
        </w:rPr>
        <w:t>阳新县政府采购中心</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2"/>
        </w:numPr>
        <w:spacing w:before="100" w:beforeAutospacing="1" w:afterLines="50" w:line="360" w:lineRule="auto"/>
        <w:ind w:left="3388" w:hanging="1288"/>
        <w:rPr>
          <w:rFonts w:ascii="宋体" w:hAnsi="宋体" w:eastAsia="宋体"/>
        </w:rPr>
      </w:pPr>
      <w:bookmarkStart w:id="122" w:name="_Toc494665005"/>
      <w:bookmarkStart w:id="123" w:name="_Toc494665955"/>
      <w:bookmarkStart w:id="124" w:name="_Toc494665558"/>
      <w:bookmarkStart w:id="125" w:name="_Toc494577410"/>
      <w:bookmarkStart w:id="126" w:name="_Toc494745322"/>
      <w:bookmarkStart w:id="127" w:name="_Toc26337"/>
      <w:bookmarkStart w:id="128" w:name="_Toc494721105"/>
      <w:bookmarkStart w:id="129" w:name="_Toc494702275"/>
      <w:r>
        <w:rPr>
          <w:rFonts w:hint="eastAsia" w:ascii="宋体" w:hAnsi="宋体" w:eastAsia="宋体"/>
        </w:rPr>
        <w:t>开标一览表</w:t>
      </w:r>
      <w:bookmarkEnd w:id="122"/>
      <w:bookmarkEnd w:id="123"/>
      <w:bookmarkEnd w:id="124"/>
      <w:bookmarkEnd w:id="125"/>
      <w:bookmarkEnd w:id="126"/>
      <w:bookmarkEnd w:id="127"/>
      <w:bookmarkEnd w:id="128"/>
      <w:bookmarkEnd w:id="129"/>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投 标 人：</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lang w:val="zh-CN"/>
        </w:rPr>
      </w:pPr>
      <w:r>
        <w:rPr>
          <w:rFonts w:hint="eastAsia" w:ascii="宋体" w:hAnsi="宋体" w:eastAsia="宋体" w:cs="宋体"/>
          <w:b/>
          <w:sz w:val="24"/>
          <w:szCs w:val="21"/>
          <w:lang w:val="zh-CN"/>
        </w:rPr>
        <w:t>项目名称：</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Times New Roman"/>
          <w:b/>
          <w:bCs/>
          <w:sz w:val="24"/>
          <w:szCs w:val="21"/>
          <w:lang w:val="zh-CN"/>
        </w:rPr>
        <w:t xml:space="preserve">          </w:t>
      </w:r>
    </w:p>
    <w:tbl>
      <w:tblPr>
        <w:tblStyle w:val="26"/>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2793"/>
        <w:gridCol w:w="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eastAsia="宋体" w:cs="宋体"/>
                <w:color w:val="0D0D0D"/>
                <w:kern w:val="0"/>
                <w:sz w:val="24"/>
              </w:rPr>
            </w:pPr>
            <w:r>
              <w:rPr>
                <w:rFonts w:hint="eastAsia" w:ascii="宋体" w:hAnsi="宋体" w:cs="宋体"/>
                <w:color w:val="0D0D0D"/>
                <w:kern w:val="0"/>
                <w:sz w:val="24"/>
              </w:rPr>
              <w:t>内容</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要求</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数量</w:t>
            </w:r>
          </w:p>
        </w:tc>
        <w:tc>
          <w:tcPr>
            <w:tcW w:w="2793"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下浮率</w:t>
            </w:r>
            <w:r>
              <w:rPr>
                <w:rFonts w:hint="eastAsia" w:ascii="宋体" w:hAnsi="宋体" w:eastAsia="宋体" w:cs="宋体"/>
                <w:color w:val="0D0D0D"/>
                <w:kern w:val="0"/>
                <w:sz w:val="24"/>
              </w:rPr>
              <w:t>(</w:t>
            </w:r>
          </w:p>
          <w:p>
            <w:pPr>
              <w:spacing w:line="360" w:lineRule="auto"/>
              <w:ind w:left="-50" w:leftChars="-24" w:right="-65" w:rightChars="-31"/>
              <w:jc w:val="center"/>
              <w:rPr>
                <w:rFonts w:ascii="宋体" w:hAnsi="宋体" w:eastAsia="宋体" w:cs="宋体"/>
                <w:color w:val="0D0D0D"/>
                <w:kern w:val="0"/>
                <w:sz w:val="24"/>
              </w:rPr>
            </w:pPr>
            <w:r>
              <w:rPr>
                <w:rFonts w:hint="eastAsia" w:ascii="宋体" w:hAnsi="宋体" w:cs="宋体"/>
                <w:color w:val="0D0D0D"/>
                <w:kern w:val="0"/>
                <w:sz w:val="24"/>
              </w:rPr>
              <w:t>%</w:t>
            </w:r>
            <w:r>
              <w:rPr>
                <w:rFonts w:hint="eastAsia" w:ascii="宋体" w:hAnsi="宋体" w:eastAsia="宋体" w:cs="宋体"/>
                <w:color w:val="0D0D0D"/>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758"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793"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49" w:type="dxa"/>
          <w:trHeight w:val="758"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793"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投标总报价（下浮率）</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项目负责人</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firstLine="2640" w:firstLineChars="1100"/>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firstLine="2640" w:firstLineChars="1100"/>
              <w:jc w:val="left"/>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宋体"/>
                <w:kern w:val="0"/>
                <w:sz w:val="24"/>
                <w:szCs w:val="24"/>
              </w:rPr>
            </w:pPr>
          </w:p>
        </w:tc>
      </w:tr>
    </w:tbl>
    <w:p>
      <w:pPr>
        <w:spacing w:line="360" w:lineRule="auto"/>
        <w:ind w:left="1049" w:hanging="1048" w:hangingChars="437"/>
        <w:jc w:val="left"/>
        <w:rPr>
          <w:rFonts w:ascii="宋体" w:hAnsi="宋体" w:eastAsia="宋体" w:cs="Times New Roman"/>
          <w:sz w:val="24"/>
        </w:rPr>
      </w:pPr>
      <w:r>
        <w:rPr>
          <w:rFonts w:hint="eastAsia" w:ascii="宋体" w:hAnsi="宋体" w:eastAsia="宋体" w:cs="Times New Roman"/>
          <w:sz w:val="24"/>
        </w:rPr>
        <w:t>说明：</w:t>
      </w:r>
      <w:r>
        <w:rPr>
          <w:rFonts w:hint="eastAsia" w:ascii="宋体" w:hAnsi="宋体"/>
          <w:sz w:val="24"/>
        </w:rPr>
        <w:t>1</w:t>
      </w:r>
      <w:r>
        <w:rPr>
          <w:rFonts w:hint="eastAsia" w:ascii="宋体" w:hAnsi="宋体" w:eastAsia="宋体" w:cs="Times New Roman"/>
          <w:b/>
          <w:bCs/>
          <w:sz w:val="24"/>
          <w:szCs w:val="24"/>
        </w:rPr>
        <w:t>．价格应按照招标文件第二章“投标人须知”中第12条的要求进行报价，须明确响应第三章“采购内容清单”的量要求。</w:t>
      </w:r>
      <w:r>
        <w:rPr>
          <w:rFonts w:hint="eastAsia" w:ascii="宋体" w:hAnsi="宋体" w:eastAsia="宋体" w:cs="Times New Roman"/>
          <w:sz w:val="24"/>
          <w:szCs w:val="24"/>
        </w:rPr>
        <w:t>否则将被视为非响应性投标，按照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2．为方便开标时唱标，投标人应另附《开标一览表》及《交纳投标保证金的银行凭证》（如有交纳保证金要求的）各一份一并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eastAsia="宋体"/>
        </w:rPr>
      </w:pPr>
      <w:r>
        <w:rPr>
          <w:rFonts w:hint="eastAsia" w:ascii="宋体" w:hAnsi="宋体" w:eastAsia="宋体" w:cs="Times New Roman"/>
          <w:sz w:val="24"/>
          <w:szCs w:val="24"/>
        </w:rPr>
        <w:t>3. 本表应按要求由投标人法人授权代表签字，并加盖投标单位公章，否则将被视为非响应性投标，按照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line="276" w:lineRule="auto"/>
        <w:ind w:left="1061" w:leftChars="339" w:hanging="350" w:hangingChars="146"/>
        <w:jc w:val="center"/>
        <w:rPr>
          <w:rFonts w:ascii="Calibri" w:hAnsi="Calibri" w:eastAsia="宋体" w:cs="Times New Roman"/>
        </w:rPr>
      </w:pPr>
      <w:r>
        <w:rPr>
          <w:rFonts w:hint="eastAsia" w:ascii="宋体" w:hAnsi="宋体" w:eastAsia="宋体" w:cs="Times New Roman"/>
          <w:b/>
          <w:bCs/>
          <w:sz w:val="24"/>
          <w:szCs w:val="21"/>
          <w:lang w:val="zh-CN"/>
        </w:rPr>
        <w:t>投标人（公章）：</w:t>
      </w:r>
    </w:p>
    <w:p>
      <w:pPr>
        <w:spacing w:before="100" w:beforeAutospacing="1" w:after="100" w:afterAutospacing="1" w:line="276"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276"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pStyle w:val="4"/>
        <w:numPr>
          <w:ilvl w:val="0"/>
          <w:numId w:val="62"/>
        </w:numPr>
        <w:spacing w:before="100" w:beforeAutospacing="1" w:afterLines="50" w:line="360" w:lineRule="auto"/>
        <w:ind w:left="1288" w:hanging="1288"/>
        <w:jc w:val="center"/>
        <w:rPr>
          <w:rFonts w:ascii="宋体" w:hAnsi="宋体" w:eastAsia="宋体" w:cs="宋体"/>
        </w:rPr>
      </w:pPr>
      <w:bookmarkStart w:id="130" w:name="_Toc494665559"/>
      <w:bookmarkStart w:id="131" w:name="_Toc494577411"/>
      <w:bookmarkStart w:id="132" w:name="_Toc494665006"/>
      <w:bookmarkStart w:id="133" w:name="_Toc11479"/>
      <w:bookmarkStart w:id="134" w:name="_Toc22656"/>
      <w:bookmarkStart w:id="135" w:name="_Toc14948"/>
      <w:bookmarkStart w:id="136" w:name="_Toc494702276"/>
      <w:bookmarkStart w:id="137" w:name="_Toc494665956"/>
      <w:bookmarkStart w:id="138" w:name="_Toc494745323"/>
      <w:bookmarkStart w:id="139" w:name="_Toc494721106"/>
      <w:r>
        <w:rPr>
          <w:rFonts w:hint="eastAsia" w:ascii="宋体" w:hAnsi="宋体" w:eastAsia="宋体" w:cs="宋体"/>
        </w:rPr>
        <w:t>投标报价明细表</w:t>
      </w:r>
      <w:bookmarkEnd w:id="130"/>
      <w:bookmarkEnd w:id="131"/>
      <w:bookmarkEnd w:id="132"/>
      <w:bookmarkEnd w:id="133"/>
      <w:bookmarkEnd w:id="134"/>
      <w:bookmarkEnd w:id="135"/>
      <w:bookmarkEnd w:id="136"/>
      <w:bookmarkEnd w:id="137"/>
      <w:bookmarkEnd w:id="138"/>
      <w:bookmarkEnd w:id="139"/>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投 标 人：</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lang w:val="zh-CN"/>
        </w:rPr>
      </w:pPr>
      <w:r>
        <w:rPr>
          <w:rFonts w:hint="eastAsia" w:ascii="宋体" w:hAnsi="宋体" w:eastAsia="宋体" w:cs="宋体"/>
          <w:b/>
          <w:sz w:val="24"/>
          <w:szCs w:val="21"/>
          <w:lang w:val="zh-CN"/>
        </w:rPr>
        <w:t>项目名称：</w:t>
      </w:r>
      <w:r>
        <w:rPr>
          <w:rFonts w:hint="eastAsia" w:ascii="宋体" w:hAnsi="宋体" w:eastAsia="宋体" w:cs="宋体"/>
          <w:b/>
          <w:sz w:val="24"/>
          <w:szCs w:val="21"/>
          <w:u w:val="single"/>
          <w:lang w:val="zh-CN"/>
        </w:rPr>
        <w:t xml:space="preserve">                     </w:t>
      </w:r>
    </w:p>
    <w:p>
      <w:pPr>
        <w:spacing w:line="360" w:lineRule="auto"/>
        <w:jc w:val="left"/>
        <w:rPr>
          <w:rFonts w:ascii="宋体" w:hAnsi="宋体" w:eastAsia="宋体" w:cs="宋体"/>
          <w:b/>
          <w:sz w:val="24"/>
          <w:szCs w:val="21"/>
          <w:u w:val="single"/>
          <w:lang w:val="zh-CN"/>
        </w:rPr>
      </w:pPr>
      <w:r>
        <w:rPr>
          <w:rFonts w:hint="eastAsia" w:ascii="宋体" w:hAnsi="宋体" w:eastAsia="宋体" w:cs="宋体"/>
          <w:b/>
          <w:sz w:val="24"/>
          <w:szCs w:val="21"/>
          <w:lang w:val="zh-CN"/>
        </w:rPr>
        <w:t>项目编号：</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rPr>
        <w:t xml:space="preserve">                </w:t>
      </w:r>
      <w:r>
        <w:rPr>
          <w:rFonts w:hint="eastAsia" w:ascii="宋体" w:hAnsi="宋体" w:eastAsia="宋体" w:cs="宋体"/>
          <w:b/>
          <w:bCs/>
          <w:sz w:val="24"/>
          <w:szCs w:val="21"/>
          <w:u w:val="single"/>
          <w:lang w:val="zh-CN"/>
        </w:rPr>
        <w:t xml:space="preserve"> </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bCs/>
          <w:sz w:val="24"/>
          <w:szCs w:val="21"/>
          <w:lang w:val="zh-CN"/>
        </w:rPr>
        <w:t xml:space="preserve">            </w:t>
      </w:r>
    </w:p>
    <w:tbl>
      <w:tblPr>
        <w:tblStyle w:val="26"/>
        <w:tblW w:w="844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5012"/>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2" w:type="dxa"/>
            <w:shd w:val="clear" w:color="auto" w:fill="D8D8D8"/>
            <w:vAlign w:val="center"/>
          </w:tcPr>
          <w:p>
            <w:pPr>
              <w:spacing w:line="360" w:lineRule="auto"/>
              <w:ind w:left="-23" w:leftChars="-11"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序号</w:t>
            </w:r>
          </w:p>
        </w:tc>
        <w:tc>
          <w:tcPr>
            <w:tcW w:w="5012" w:type="dxa"/>
            <w:shd w:val="clear" w:color="auto" w:fill="D8D8D8"/>
            <w:vAlign w:val="center"/>
          </w:tcPr>
          <w:p>
            <w:pPr>
              <w:spacing w:line="360" w:lineRule="auto"/>
              <w:ind w:left="-48" w:leftChars="-23"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名称</w:t>
            </w:r>
          </w:p>
        </w:tc>
        <w:tc>
          <w:tcPr>
            <w:tcW w:w="2178" w:type="dxa"/>
            <w:shd w:val="clear" w:color="auto" w:fill="D8D8D8"/>
            <w:vAlign w:val="center"/>
          </w:tcPr>
          <w:p>
            <w:pPr>
              <w:ind w:left="-48" w:leftChars="-23" w:right="-65" w:rightChars="-31"/>
              <w:jc w:val="center"/>
              <w:rPr>
                <w:rFonts w:ascii="宋体" w:hAnsi="宋体" w:eastAsia="宋体" w:cs="宋体"/>
                <w:color w:val="0D0D0D"/>
                <w:kern w:val="0"/>
                <w:sz w:val="24"/>
              </w:rPr>
            </w:pPr>
            <w:r>
              <w:rPr>
                <w:rFonts w:hint="eastAsia" w:ascii="宋体" w:hAnsi="宋体" w:eastAsia="宋体" w:cs="宋体"/>
                <w:color w:val="0D0D0D"/>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ind w:left="547" w:hanging="547" w:hangingChars="228"/>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numPr>
                <w:ilvl w:val="0"/>
                <w:numId w:val="63"/>
              </w:numPr>
              <w:tabs>
                <w:tab w:val="left" w:pos="82"/>
              </w:tabs>
              <w:adjustRightInd w:val="0"/>
              <w:snapToGrid w:val="0"/>
              <w:jc w:val="center"/>
              <w:rPr>
                <w:rFonts w:ascii="宋体" w:hAnsi="宋体" w:eastAsia="宋体" w:cs="Times New Roman"/>
                <w:sz w:val="24"/>
              </w:rPr>
            </w:pPr>
          </w:p>
        </w:tc>
        <w:tc>
          <w:tcPr>
            <w:tcW w:w="5012" w:type="dxa"/>
            <w:vAlign w:val="center"/>
          </w:tcPr>
          <w:p>
            <w:pPr>
              <w:tabs>
                <w:tab w:val="left" w:pos="0"/>
                <w:tab w:val="left" w:pos="56"/>
              </w:tabs>
              <w:adjustRightInd w:val="0"/>
              <w:snapToGrid w:val="0"/>
              <w:jc w:val="center"/>
              <w:rPr>
                <w:rFonts w:ascii="宋体" w:hAnsi="宋体" w:eastAsia="宋体" w:cs="Times New Roman"/>
                <w:sz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252" w:type="dxa"/>
            <w:vAlign w:val="center"/>
          </w:tcPr>
          <w:p>
            <w:pPr>
              <w:tabs>
                <w:tab w:val="left" w:pos="82"/>
              </w:tabs>
              <w:adjustRightInd w:val="0"/>
              <w:snapToGrid w:val="0"/>
              <w:jc w:val="center"/>
              <w:rPr>
                <w:rFonts w:ascii="宋体" w:hAnsi="宋体" w:eastAsia="宋体" w:cs="Times New Roman"/>
                <w:sz w:val="24"/>
              </w:rPr>
            </w:pPr>
            <w:r>
              <w:rPr>
                <w:rFonts w:hint="eastAsia" w:ascii="宋体" w:hAnsi="宋体" w:eastAsia="宋体" w:cs="Times New Roman"/>
                <w:sz w:val="24"/>
              </w:rPr>
              <w:t>…</w:t>
            </w:r>
          </w:p>
        </w:tc>
        <w:tc>
          <w:tcPr>
            <w:tcW w:w="5012" w:type="dxa"/>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2178" w:type="dxa"/>
            <w:vAlign w:val="center"/>
          </w:tcPr>
          <w:p>
            <w:pPr>
              <w:spacing w:line="240" w:lineRule="atLeast"/>
              <w:ind w:left="-48" w:leftChars="-23" w:right="-65" w:rightChars="-31"/>
              <w:jc w:val="left"/>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442" w:type="dxa"/>
            <w:gridSpan w:val="3"/>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r>
    </w:tbl>
    <w:p>
      <w:pPr>
        <w:spacing w:line="360" w:lineRule="auto"/>
        <w:ind w:left="1049" w:hanging="1048" w:hangingChars="437"/>
        <w:jc w:val="left"/>
        <w:rPr>
          <w:rFonts w:ascii="宋体" w:hAnsi="宋体" w:eastAsia="宋体" w:cs="Times New Roman"/>
          <w:sz w:val="24"/>
        </w:rPr>
      </w:pPr>
      <w:r>
        <w:rPr>
          <w:rFonts w:hint="eastAsia" w:ascii="宋体" w:hAnsi="宋体" w:eastAsia="宋体" w:cs="Times New Roman"/>
          <w:sz w:val="24"/>
        </w:rPr>
        <w:t>说明：1．</w:t>
      </w:r>
      <w:r>
        <w:rPr>
          <w:rFonts w:hint="eastAsia" w:ascii="宋体" w:hAnsi="宋体"/>
          <w:sz w:val="24"/>
        </w:rPr>
        <w:t>本项目为下浮率报价</w:t>
      </w:r>
      <w:r>
        <w:rPr>
          <w:rFonts w:hint="eastAsia" w:ascii="宋体" w:hAnsi="宋体" w:eastAsia="宋体" w:cs="Times New Roman"/>
          <w:sz w:val="24"/>
        </w:rPr>
        <w:t>。</w:t>
      </w:r>
    </w:p>
    <w:p>
      <w:pPr>
        <w:spacing w:line="360" w:lineRule="auto"/>
        <w:ind w:left="1061" w:leftChars="339" w:hanging="350" w:hangingChars="146"/>
        <w:jc w:val="left"/>
        <w:rPr>
          <w:rFonts w:ascii="宋体" w:hAnsi="宋体" w:eastAsia="宋体" w:cs="Times New Roman"/>
          <w:color w:val="0D0D0D"/>
          <w:sz w:val="24"/>
        </w:rPr>
      </w:pPr>
      <w:r>
        <w:rPr>
          <w:rFonts w:hint="eastAsia" w:ascii="宋体" w:hAnsi="宋体" w:eastAsia="宋体" w:cs="Times New Roman"/>
          <w:color w:val="0D0D0D"/>
          <w:sz w:val="24"/>
        </w:rPr>
        <w:t>2．报价明细表合计应与《开标一览表》中的投标总报价一致。</w:t>
      </w:r>
    </w:p>
    <w:p>
      <w:pPr>
        <w:spacing w:line="360" w:lineRule="auto"/>
        <w:ind w:left="1061" w:leftChars="339" w:hanging="350" w:hangingChars="146"/>
        <w:jc w:val="left"/>
        <w:rPr>
          <w:rFonts w:ascii="宋体" w:hAnsi="宋体" w:eastAsia="宋体" w:cs="Times New Roman"/>
          <w:color w:val="0D0D0D"/>
          <w:sz w:val="24"/>
        </w:rPr>
      </w:pPr>
      <w:r>
        <w:rPr>
          <w:rFonts w:hint="eastAsia" w:ascii="宋体" w:hAnsi="宋体" w:eastAsia="宋体" w:cs="Times New Roman"/>
          <w:color w:val="0D0D0D"/>
          <w:sz w:val="24"/>
        </w:rPr>
        <w:t>3．投标人应仔细阅读招标文件采购需求，未提供详细的货物（工程或服务）报价明细</w:t>
      </w:r>
      <w:r>
        <w:rPr>
          <w:rFonts w:hint="eastAsia" w:ascii="宋体" w:hAnsi="宋体" w:eastAsia="宋体" w:cs="Corbel"/>
          <w:sz w:val="24"/>
        </w:rPr>
        <w:t>，</w:t>
      </w:r>
      <w:r>
        <w:rPr>
          <w:rFonts w:hint="eastAsia" w:ascii="宋体" w:hAnsi="宋体" w:eastAsia="宋体" w:cs="Times New Roman"/>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before="100" w:beforeAutospacing="1" w:after="100" w:afterAutospacing="1" w:line="360" w:lineRule="auto"/>
        <w:ind w:firstLine="3316" w:firstLineChars="1382"/>
        <w:rPr>
          <w:rFonts w:ascii="Calibri" w:hAnsi="宋体" w:eastAsia="宋体" w:cs="Times New Roman"/>
          <w:b/>
          <w:bCs/>
          <w:sz w:val="24"/>
          <w:u w:val="single"/>
        </w:rPr>
      </w:pPr>
      <w:r>
        <w:rPr>
          <w:rFonts w:hint="eastAsia" w:ascii="Calibri" w:hAnsi="宋体" w:eastAsia="宋体" w:cs="Times New Roman"/>
          <w:b/>
          <w:bCs/>
          <w:sz w:val="24"/>
        </w:rPr>
        <w:t>投标人（公章）：</w:t>
      </w:r>
    </w:p>
    <w:p>
      <w:pPr>
        <w:spacing w:before="100" w:beforeAutospacing="1" w:after="100" w:afterAutospacing="1" w:line="360" w:lineRule="auto"/>
        <w:ind w:firstLine="3316" w:firstLineChars="1382"/>
        <w:rPr>
          <w:rFonts w:ascii="Calibri" w:hAnsi="宋体" w:eastAsia="宋体" w:cs="Times New Roman"/>
          <w:b/>
          <w:bCs/>
          <w:sz w:val="24"/>
          <w:u w:val="single"/>
        </w:rPr>
      </w:pPr>
      <w:r>
        <w:rPr>
          <w:rFonts w:hint="eastAsia" w:ascii="宋体" w:hAnsi="宋体" w:eastAsia="宋体" w:cs="Times New Roman"/>
          <w:b/>
          <w:bCs/>
          <w:sz w:val="24"/>
          <w:szCs w:val="21"/>
          <w:lang w:val="zh-CN"/>
        </w:rPr>
        <w:t>投标人</w:t>
      </w:r>
      <w:r>
        <w:rPr>
          <w:rFonts w:hint="eastAsia" w:ascii="Calibri" w:hAnsi="宋体" w:eastAsia="宋体" w:cs="Times New Roman"/>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ascii="Calibri" w:hAnsi="宋体" w:eastAsia="宋体" w:cs="Times New Roman"/>
          <w:b/>
          <w:bCs/>
          <w:sz w:val="24"/>
        </w:rPr>
        <w:t>时间</w:t>
      </w:r>
      <w:r>
        <w:rPr>
          <w:rFonts w:hint="eastAsia" w:hAnsi="宋体"/>
          <w:b/>
          <w:bCs/>
          <w:sz w:val="24"/>
        </w:rPr>
        <w:t>：</w:t>
      </w: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spacing w:line="360" w:lineRule="auto"/>
        <w:ind w:left="950" w:hanging="950" w:hangingChars="396"/>
        <w:jc w:val="left"/>
        <w:rPr>
          <w:rFonts w:ascii="宋体" w:hAnsi="宋体" w:eastAsia="宋体" w:cs="宋体"/>
          <w:sz w:val="24"/>
          <w:szCs w:val="24"/>
        </w:rPr>
      </w:pPr>
    </w:p>
    <w:p>
      <w:pPr>
        <w:pStyle w:val="34"/>
        <w:ind w:firstLine="0" w:firstLineChars="0"/>
      </w:pPr>
    </w:p>
    <w:p/>
    <w:p>
      <w:pPr>
        <w:pStyle w:val="4"/>
        <w:numPr>
          <w:ilvl w:val="0"/>
          <w:numId w:val="62"/>
        </w:numPr>
        <w:spacing w:before="100" w:beforeAutospacing="1" w:afterLines="50" w:line="360" w:lineRule="auto"/>
        <w:ind w:left="3388" w:hanging="1288"/>
        <w:rPr>
          <w:rFonts w:ascii="宋体" w:hAnsi="宋体" w:eastAsia="宋体"/>
        </w:rPr>
      </w:pPr>
      <w:bookmarkStart w:id="140" w:name="_Toc18816"/>
      <w:bookmarkStart w:id="141" w:name="_Toc494745327"/>
      <w:bookmarkStart w:id="142" w:name="_Toc238276247"/>
      <w:bookmarkStart w:id="143" w:name="_Toc236473303"/>
      <w:bookmarkStart w:id="144" w:name="_Toc494665563"/>
      <w:bookmarkStart w:id="145" w:name="_Toc494665010"/>
      <w:bookmarkStart w:id="146" w:name="_Toc494721110"/>
      <w:bookmarkStart w:id="147" w:name="_Toc494665960"/>
      <w:bookmarkStart w:id="148" w:name="_Toc494702280"/>
      <w:r>
        <w:rPr>
          <w:rFonts w:hint="eastAsia" w:ascii="宋体" w:hAnsi="宋体" w:eastAsia="宋体"/>
        </w:rPr>
        <w:t>法定代表人授权书</w:t>
      </w:r>
      <w:bookmarkEnd w:id="140"/>
      <w:bookmarkEnd w:id="141"/>
      <w:bookmarkEnd w:id="142"/>
      <w:bookmarkEnd w:id="143"/>
      <w:bookmarkEnd w:id="144"/>
      <w:bookmarkEnd w:id="145"/>
      <w:bookmarkEnd w:id="146"/>
      <w:bookmarkEnd w:id="147"/>
      <w:bookmarkEnd w:id="148"/>
    </w:p>
    <w:p>
      <w:pPr>
        <w:spacing w:line="360" w:lineRule="auto"/>
        <w:rPr>
          <w:b/>
          <w:sz w:val="28"/>
          <w:szCs w:val="28"/>
        </w:rPr>
      </w:pPr>
      <w:r>
        <w:rPr>
          <w:rFonts w:hint="eastAsia" w:ascii="宋体" w:hAnsi="宋体" w:eastAsia="宋体" w:cs="宋体"/>
          <w:b/>
          <w:bCs/>
          <w:sz w:val="24"/>
          <w:szCs w:val="24"/>
        </w:rPr>
        <w:t>阳新县政府采购中心</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6"/>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71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2"/>
        </w:numPr>
        <w:spacing w:before="100" w:beforeAutospacing="1" w:afterLines="50" w:line="360" w:lineRule="auto"/>
        <w:ind w:left="3710" w:hanging="1610"/>
        <w:rPr>
          <w:rFonts w:ascii="宋体" w:hAnsi="宋体" w:eastAsia="宋体"/>
        </w:rPr>
      </w:pPr>
      <w:bookmarkStart w:id="149" w:name="_Toc494665961"/>
      <w:bookmarkStart w:id="150" w:name="_Toc494745328"/>
      <w:bookmarkStart w:id="151" w:name="_Toc236473304"/>
      <w:bookmarkStart w:id="152" w:name="_Toc31832"/>
      <w:bookmarkStart w:id="153" w:name="_Toc494665564"/>
      <w:bookmarkStart w:id="154" w:name="_Toc238276248"/>
      <w:bookmarkStart w:id="155" w:name="_Toc494721111"/>
      <w:bookmarkStart w:id="156" w:name="_Toc494702281"/>
      <w:bookmarkStart w:id="157" w:name="_Toc494665011"/>
      <w:r>
        <w:rPr>
          <w:rFonts w:hint="eastAsia" w:ascii="宋体" w:hAnsi="宋体" w:eastAsia="宋体"/>
        </w:rPr>
        <w:t>投标人的资格声明</w:t>
      </w:r>
      <w:bookmarkEnd w:id="149"/>
      <w:bookmarkEnd w:id="150"/>
      <w:bookmarkEnd w:id="151"/>
      <w:bookmarkEnd w:id="152"/>
      <w:bookmarkEnd w:id="153"/>
      <w:bookmarkEnd w:id="154"/>
      <w:bookmarkEnd w:id="155"/>
      <w:bookmarkEnd w:id="156"/>
      <w:bookmarkEnd w:id="157"/>
    </w:p>
    <w:tbl>
      <w:tblPr>
        <w:tblStyle w:val="26"/>
        <w:tblW w:w="87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954"/>
        <w:gridCol w:w="542"/>
        <w:gridCol w:w="359"/>
        <w:gridCol w:w="1083"/>
        <w:gridCol w:w="537"/>
        <w:gridCol w:w="723"/>
        <w:gridCol w:w="768"/>
        <w:gridCol w:w="313"/>
        <w:gridCol w:w="182"/>
        <w:gridCol w:w="817"/>
        <w:gridCol w:w="1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bookmarkStart w:id="158" w:name="_Toc494665565"/>
            <w:bookmarkStart w:id="159" w:name="_Toc494665012"/>
            <w:bookmarkStart w:id="160" w:name="_Toc494745329"/>
            <w:bookmarkStart w:id="161" w:name="_Toc494721112"/>
            <w:bookmarkStart w:id="162" w:name="_Toc494702282"/>
            <w:bookmarkStart w:id="163" w:name="_Toc494665962"/>
            <w:r>
              <w:rPr>
                <w:rFonts w:hint="eastAsia" w:cs="宋体"/>
                <w:szCs w:val="21"/>
              </w:rPr>
              <w:t>投标人名称</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注册地址</w:t>
            </w:r>
          </w:p>
        </w:tc>
        <w:tc>
          <w:tcPr>
            <w:tcW w:w="3244" w:type="dxa"/>
            <w:gridSpan w:val="5"/>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邮政编码</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联系方式</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联系人</w:t>
            </w:r>
          </w:p>
        </w:tc>
        <w:tc>
          <w:tcPr>
            <w:tcW w:w="234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 话</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vMerge w:val="continue"/>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传  真</w:t>
            </w:r>
          </w:p>
        </w:tc>
        <w:tc>
          <w:tcPr>
            <w:tcW w:w="234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网 址</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组织结构</w:t>
            </w:r>
          </w:p>
        </w:tc>
        <w:tc>
          <w:tcPr>
            <w:tcW w:w="3244" w:type="dxa"/>
            <w:gridSpan w:val="5"/>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成立时间</w:t>
            </w:r>
          </w:p>
        </w:tc>
        <w:tc>
          <w:tcPr>
            <w:tcW w:w="2526"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法定代表人</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姓名</w:t>
            </w:r>
          </w:p>
        </w:tc>
        <w:tc>
          <w:tcPr>
            <w:tcW w:w="1083"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技术职称</w:t>
            </w:r>
          </w:p>
        </w:tc>
        <w:tc>
          <w:tcPr>
            <w:tcW w:w="126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81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电话</w:t>
            </w:r>
          </w:p>
        </w:tc>
        <w:tc>
          <w:tcPr>
            <w:tcW w:w="152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技术负责人</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姓名</w:t>
            </w:r>
          </w:p>
        </w:tc>
        <w:tc>
          <w:tcPr>
            <w:tcW w:w="1083"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技术职称</w:t>
            </w:r>
          </w:p>
        </w:tc>
        <w:tc>
          <w:tcPr>
            <w:tcW w:w="1263" w:type="dxa"/>
            <w:gridSpan w:val="3"/>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81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电话</w:t>
            </w:r>
          </w:p>
        </w:tc>
        <w:tc>
          <w:tcPr>
            <w:tcW w:w="1527" w:type="dxa"/>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企业资质等级</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rPr>
                <w:rFonts w:cs="宋体"/>
                <w:szCs w:val="21"/>
              </w:rPr>
            </w:pPr>
            <w:r>
              <w:rPr>
                <w:rFonts w:hint="eastAsia" w:cs="宋体"/>
                <w:szCs w:val="21"/>
              </w:rPr>
              <w:t>资质等级证书编号</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营业执照号</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注册资金</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基本账户开户银行</w:t>
            </w:r>
          </w:p>
        </w:tc>
        <w:tc>
          <w:tcPr>
            <w:tcW w:w="252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c>
          <w:tcPr>
            <w:tcW w:w="1986"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基本账户账号</w:t>
            </w:r>
          </w:p>
        </w:tc>
        <w:tc>
          <w:tcPr>
            <w:tcW w:w="2344"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54" w:type="dxa"/>
            <w:vMerge w:val="restart"/>
            <w:tcBorders>
              <w:top w:val="single" w:color="auto" w:sz="4" w:space="0"/>
              <w:left w:val="single" w:color="auto" w:sz="4" w:space="0"/>
              <w:right w:val="single" w:color="auto" w:sz="4" w:space="0"/>
            </w:tcBorders>
            <w:vAlign w:val="center"/>
          </w:tcPr>
          <w:p>
            <w:pPr>
              <w:topLinePunct/>
              <w:jc w:val="center"/>
              <w:rPr>
                <w:rFonts w:cs="宋体"/>
                <w:szCs w:val="21"/>
              </w:rPr>
            </w:pPr>
            <w:r>
              <w:rPr>
                <w:rFonts w:hint="eastAsia" w:cs="宋体"/>
                <w:szCs w:val="21"/>
              </w:rPr>
              <w:t>员工</w:t>
            </w:r>
          </w:p>
          <w:p>
            <w:pPr>
              <w:topLinePunct/>
              <w:jc w:val="center"/>
              <w:rPr>
                <w:rFonts w:cs="宋体"/>
                <w:szCs w:val="21"/>
              </w:rPr>
            </w:pPr>
            <w:r>
              <w:rPr>
                <w:rFonts w:hint="eastAsia" w:cs="宋体"/>
                <w:szCs w:val="21"/>
              </w:rPr>
              <w:t>总人数</w:t>
            </w:r>
          </w:p>
          <w:p>
            <w:pPr>
              <w:topLinePunct/>
              <w:jc w:val="center"/>
              <w:rPr>
                <w:rFonts w:cs="宋体"/>
                <w:szCs w:val="21"/>
              </w:rPr>
            </w:pPr>
            <w:r>
              <w:rPr>
                <w:rFonts w:hint="eastAsia" w:cs="宋体"/>
                <w:szCs w:val="21"/>
              </w:rPr>
              <w:t>（人）</w:t>
            </w:r>
          </w:p>
        </w:tc>
        <w:tc>
          <w:tcPr>
            <w:tcW w:w="954" w:type="dxa"/>
            <w:vMerge w:val="restart"/>
            <w:tcBorders>
              <w:top w:val="single" w:color="auto" w:sz="4" w:space="0"/>
              <w:left w:val="single" w:color="auto" w:sz="4" w:space="0"/>
              <w:right w:val="single" w:color="auto" w:sz="4" w:space="0"/>
            </w:tcBorders>
            <w:vAlign w:val="center"/>
          </w:tcPr>
          <w:p>
            <w:pPr>
              <w:topLinePunct/>
              <w:jc w:val="center"/>
              <w:rPr>
                <w:rFonts w:cs="宋体"/>
                <w:szCs w:val="21"/>
              </w:rPr>
            </w:pPr>
          </w:p>
        </w:tc>
        <w:tc>
          <w:tcPr>
            <w:tcW w:w="542" w:type="dxa"/>
            <w:vMerge w:val="restart"/>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其中</w:t>
            </w:r>
          </w:p>
        </w:tc>
        <w:tc>
          <w:tcPr>
            <w:tcW w:w="3470" w:type="dxa"/>
            <w:gridSpan w:val="5"/>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一级注册造价工程师        （人）</w:t>
            </w:r>
          </w:p>
        </w:tc>
        <w:tc>
          <w:tcPr>
            <w:tcW w:w="2839"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高级职称人员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542" w:type="dxa"/>
            <w:vMerge w:val="continue"/>
            <w:tcBorders>
              <w:left w:val="single" w:color="auto" w:sz="4" w:space="0"/>
              <w:right w:val="single" w:color="auto" w:sz="4" w:space="0"/>
            </w:tcBorders>
            <w:vAlign w:val="center"/>
          </w:tcPr>
          <w:p>
            <w:pPr>
              <w:topLinePunct/>
              <w:rPr>
                <w:rFonts w:cs="宋体"/>
                <w:szCs w:val="21"/>
              </w:rPr>
            </w:pPr>
          </w:p>
        </w:tc>
        <w:tc>
          <w:tcPr>
            <w:tcW w:w="3470" w:type="dxa"/>
            <w:gridSpan w:val="5"/>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二级注册造价工程师        （人）</w:t>
            </w:r>
          </w:p>
        </w:tc>
        <w:tc>
          <w:tcPr>
            <w:tcW w:w="2839"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中级职称人员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954" w:type="dxa"/>
            <w:vMerge w:val="continue"/>
            <w:tcBorders>
              <w:left w:val="single" w:color="auto" w:sz="4" w:space="0"/>
              <w:right w:val="single" w:color="auto" w:sz="4" w:space="0"/>
            </w:tcBorders>
            <w:vAlign w:val="center"/>
          </w:tcPr>
          <w:p>
            <w:pPr>
              <w:topLinePunct/>
              <w:jc w:val="center"/>
              <w:rPr>
                <w:rFonts w:cs="宋体"/>
                <w:szCs w:val="21"/>
              </w:rPr>
            </w:pPr>
          </w:p>
        </w:tc>
        <w:tc>
          <w:tcPr>
            <w:tcW w:w="542" w:type="dxa"/>
            <w:vMerge w:val="continue"/>
            <w:tcBorders>
              <w:left w:val="single" w:color="auto" w:sz="4" w:space="0"/>
              <w:right w:val="single" w:color="auto" w:sz="4" w:space="0"/>
            </w:tcBorders>
            <w:vAlign w:val="center"/>
          </w:tcPr>
          <w:p>
            <w:pPr>
              <w:topLinePunct/>
              <w:rPr>
                <w:rFonts w:cs="宋体"/>
                <w:szCs w:val="21"/>
              </w:rPr>
            </w:pPr>
          </w:p>
        </w:tc>
        <w:tc>
          <w:tcPr>
            <w:tcW w:w="3470" w:type="dxa"/>
            <w:gridSpan w:val="5"/>
            <w:tcBorders>
              <w:top w:val="single" w:color="auto" w:sz="4" w:space="0"/>
              <w:left w:val="single" w:color="auto" w:sz="4" w:space="0"/>
              <w:right w:val="single" w:color="auto" w:sz="4" w:space="0"/>
            </w:tcBorders>
            <w:vAlign w:val="center"/>
          </w:tcPr>
          <w:p>
            <w:pPr>
              <w:topLinePunct/>
              <w:rPr>
                <w:rFonts w:cs="宋体"/>
                <w:szCs w:val="21"/>
              </w:rPr>
            </w:pPr>
          </w:p>
        </w:tc>
        <w:tc>
          <w:tcPr>
            <w:tcW w:w="2839" w:type="dxa"/>
            <w:gridSpan w:val="4"/>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初级职称人员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08" w:type="dxa"/>
            <w:gridSpan w:val="2"/>
            <w:tcBorders>
              <w:top w:val="single" w:color="auto" w:sz="4" w:space="0"/>
              <w:left w:val="single" w:color="auto" w:sz="4" w:space="0"/>
              <w:right w:val="single" w:color="auto" w:sz="4" w:space="0"/>
            </w:tcBorders>
            <w:vAlign w:val="center"/>
          </w:tcPr>
          <w:p>
            <w:pPr>
              <w:topLinePunct/>
              <w:rPr>
                <w:rFonts w:cs="宋体"/>
                <w:szCs w:val="21"/>
              </w:rPr>
            </w:pPr>
            <w:r>
              <w:rPr>
                <w:rFonts w:hint="eastAsia" w:cs="宋体"/>
                <w:szCs w:val="21"/>
              </w:rPr>
              <w:t>经营范围</w:t>
            </w:r>
          </w:p>
        </w:tc>
        <w:tc>
          <w:tcPr>
            <w:tcW w:w="6851" w:type="dxa"/>
            <w:gridSpan w:val="10"/>
            <w:tcBorders>
              <w:top w:val="single" w:color="auto" w:sz="4" w:space="0"/>
              <w:left w:val="single" w:color="auto" w:sz="4" w:space="0"/>
              <w:right w:val="single" w:color="auto" w:sz="4" w:space="0"/>
            </w:tcBorders>
            <w:vAlign w:val="center"/>
          </w:tcPr>
          <w:p>
            <w:pPr>
              <w:topLinePunct/>
              <w:rPr>
                <w:rFonts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cs="宋体"/>
                <w:szCs w:val="21"/>
              </w:rPr>
              <w:t>关联企业</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rPr>
                <w:rFonts w:cs="宋体"/>
                <w:szCs w:val="21"/>
              </w:rPr>
            </w:pPr>
            <w:r>
              <w:rPr>
                <w:rFonts w:hint="eastAsia" w:cs="宋体"/>
                <w:szCs w:val="21"/>
              </w:rPr>
              <w:t>与本单位负责人为同一人的单位：</w:t>
            </w:r>
          </w:p>
          <w:p>
            <w:pPr>
              <w:rPr>
                <w:rFonts w:cs="宋体"/>
                <w:szCs w:val="21"/>
              </w:rPr>
            </w:pPr>
            <w:r>
              <w:rPr>
                <w:rFonts w:hint="eastAsia" w:cs="宋体"/>
                <w:szCs w:val="21"/>
              </w:rPr>
              <w:t>与本单位存在控股关系的单位：</w:t>
            </w:r>
          </w:p>
          <w:p>
            <w:pPr>
              <w:rPr>
                <w:rFonts w:cs="宋体"/>
                <w:szCs w:val="21"/>
              </w:rPr>
            </w:pPr>
            <w:r>
              <w:rPr>
                <w:rFonts w:hint="eastAsia" w:cs="宋体"/>
                <w:szCs w:val="21"/>
              </w:rPr>
              <w:t>与本单位存在管理关系的单位：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r>
              <w:rPr>
                <w:rFonts w:hint="eastAsia" w:cs="宋体"/>
                <w:szCs w:val="21"/>
              </w:rPr>
              <w:t>备注</w:t>
            </w:r>
          </w:p>
        </w:tc>
        <w:tc>
          <w:tcPr>
            <w:tcW w:w="6851" w:type="dxa"/>
            <w:gridSpan w:val="10"/>
            <w:tcBorders>
              <w:top w:val="single" w:color="auto" w:sz="4" w:space="0"/>
              <w:left w:val="single" w:color="auto" w:sz="4" w:space="0"/>
              <w:bottom w:val="single" w:color="auto" w:sz="4" w:space="0"/>
              <w:right w:val="single" w:color="auto" w:sz="4" w:space="0"/>
            </w:tcBorders>
            <w:vAlign w:val="center"/>
          </w:tcPr>
          <w:p>
            <w:pPr>
              <w:topLinePunct/>
              <w:jc w:val="center"/>
              <w:rPr>
                <w:rFonts w:cs="宋体"/>
                <w:szCs w:val="21"/>
              </w:rPr>
            </w:pPr>
          </w:p>
        </w:tc>
      </w:tr>
    </w:tbl>
    <w:p>
      <w:pPr>
        <w:spacing w:line="360" w:lineRule="auto"/>
        <w:ind w:left="1078" w:hanging="1077" w:hangingChars="449"/>
        <w:jc w:val="left"/>
        <w:rPr>
          <w:rFonts w:ascii="宋体" w:hAnsi="宋体" w:eastAsia="宋体" w:cs="Times New Roman"/>
          <w:sz w:val="24"/>
          <w:szCs w:val="24"/>
        </w:rPr>
      </w:pPr>
    </w:p>
    <w:p>
      <w:pPr>
        <w:pStyle w:val="34"/>
        <w:ind w:firstLine="480"/>
        <w:rPr>
          <w:rFonts w:hAnsi="宋体"/>
          <w:szCs w:val="24"/>
        </w:rPr>
      </w:pPr>
    </w:p>
    <w:p>
      <w:pPr>
        <w:pStyle w:val="4"/>
        <w:numPr>
          <w:ilvl w:val="0"/>
          <w:numId w:val="62"/>
        </w:numPr>
        <w:spacing w:before="100" w:beforeAutospacing="1" w:afterLines="50" w:line="360" w:lineRule="auto"/>
        <w:ind w:left="2740" w:hanging="1610"/>
        <w:rPr>
          <w:rFonts w:ascii="宋体" w:hAnsi="宋体" w:eastAsia="宋体"/>
        </w:rPr>
      </w:pPr>
      <w:bookmarkStart w:id="164" w:name="_Toc3085"/>
      <w:r>
        <w:rPr>
          <w:rFonts w:hint="eastAsia" w:ascii="宋体" w:hAnsi="宋体" w:eastAsia="宋体"/>
        </w:rPr>
        <w:t>项目负责人、技术负责人简历表</w:t>
      </w:r>
      <w:bookmarkEnd w:id="158"/>
      <w:bookmarkEnd w:id="159"/>
      <w:bookmarkEnd w:id="160"/>
      <w:bookmarkEnd w:id="161"/>
      <w:bookmarkEnd w:id="162"/>
      <w:bookmarkEnd w:id="163"/>
      <w:bookmarkEnd w:id="16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348"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348"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348"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170"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654"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pPr>
        <w:pStyle w:val="4"/>
        <w:numPr>
          <w:ilvl w:val="0"/>
          <w:numId w:val="62"/>
        </w:numPr>
        <w:spacing w:before="100" w:beforeAutospacing="1" w:afterLines="50" w:line="360" w:lineRule="auto"/>
        <w:ind w:left="3710" w:hanging="1610"/>
        <w:rPr>
          <w:rFonts w:ascii="宋体" w:hAnsi="宋体" w:eastAsia="宋体"/>
        </w:rPr>
      </w:pPr>
      <w:bookmarkStart w:id="165" w:name="_Toc238276251"/>
      <w:bookmarkStart w:id="166" w:name="_Toc236473307"/>
      <w:bookmarkStart w:id="167" w:name="_Toc23590"/>
      <w:bookmarkStart w:id="168" w:name="_Toc494745330"/>
      <w:bookmarkStart w:id="169" w:name="_Toc494665013"/>
      <w:bookmarkStart w:id="170" w:name="_Toc494721113"/>
      <w:bookmarkStart w:id="171" w:name="_Toc494665963"/>
      <w:bookmarkStart w:id="172" w:name="_Toc494665566"/>
      <w:bookmarkStart w:id="173" w:name="_Toc494702283"/>
      <w:r>
        <w:rPr>
          <w:rFonts w:hint="eastAsia" w:ascii="宋体" w:hAnsi="宋体" w:eastAsia="宋体"/>
        </w:rPr>
        <w:t>项目班子成员情况表</w:t>
      </w:r>
      <w:bookmarkEnd w:id="165"/>
      <w:bookmarkEnd w:id="166"/>
      <w:bookmarkEnd w:id="167"/>
      <w:bookmarkEnd w:id="168"/>
      <w:bookmarkEnd w:id="169"/>
      <w:bookmarkEnd w:id="170"/>
      <w:bookmarkEnd w:id="171"/>
      <w:bookmarkEnd w:id="172"/>
      <w:bookmarkEnd w:id="17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417"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7"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rPr>
          <w:rFonts w:ascii="宋体" w:hAnsi="宋体" w:eastAsia="宋体"/>
        </w:rPr>
      </w:pPr>
      <w:bookmarkStart w:id="174" w:name="_Toc494665567"/>
      <w:bookmarkStart w:id="175" w:name="_Toc238276256"/>
      <w:bookmarkStart w:id="176" w:name="_Toc494702284"/>
      <w:bookmarkStart w:id="177" w:name="_Toc494665014"/>
      <w:bookmarkStart w:id="178" w:name="_Toc18017"/>
      <w:bookmarkStart w:id="179" w:name="_Toc236473312"/>
      <w:bookmarkStart w:id="180" w:name="_Toc494721114"/>
      <w:bookmarkStart w:id="181" w:name="_Toc494665964"/>
      <w:bookmarkStart w:id="182" w:name="_Toc494745331"/>
      <w:r>
        <w:rPr>
          <w:rFonts w:hint="eastAsia" w:ascii="宋体" w:hAnsi="宋体" w:eastAsia="宋体"/>
        </w:rPr>
        <w:t>投标人类似项目业绩表</w:t>
      </w:r>
      <w:bookmarkEnd w:id="174"/>
      <w:bookmarkEnd w:id="175"/>
      <w:bookmarkEnd w:id="176"/>
      <w:bookmarkEnd w:id="177"/>
      <w:bookmarkEnd w:id="178"/>
      <w:bookmarkEnd w:id="179"/>
      <w:bookmarkEnd w:id="180"/>
      <w:bookmarkEnd w:id="181"/>
      <w:bookmarkEnd w:id="18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121"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85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121"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rPr>
          <w:rFonts w:ascii="宋体" w:hAnsi="宋体" w:eastAsia="宋体"/>
        </w:rPr>
      </w:pPr>
      <w:bookmarkStart w:id="183" w:name="_Toc12171"/>
      <w:bookmarkStart w:id="184" w:name="_Toc494665965"/>
      <w:bookmarkStart w:id="185" w:name="_Toc494665568"/>
      <w:bookmarkStart w:id="186" w:name="_Toc494665015"/>
      <w:bookmarkStart w:id="187" w:name="_Toc494745332"/>
      <w:bookmarkStart w:id="188" w:name="_Toc494721115"/>
      <w:bookmarkStart w:id="189" w:name="_Toc494702285"/>
      <w:r>
        <w:rPr>
          <w:rFonts w:hint="eastAsia" w:ascii="宋体" w:hAnsi="宋体" w:eastAsia="宋体"/>
        </w:rPr>
        <w:t>符合性审查对照表</w:t>
      </w:r>
      <w:bookmarkEnd w:id="183"/>
      <w:bookmarkEnd w:id="184"/>
      <w:bookmarkEnd w:id="185"/>
      <w:bookmarkEnd w:id="186"/>
      <w:bookmarkEnd w:id="187"/>
      <w:bookmarkEnd w:id="188"/>
      <w:bookmarkEnd w:id="18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366"/>
        <w:gridCol w:w="2835"/>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6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符合性审查条款</w:t>
            </w:r>
          </w:p>
        </w:tc>
        <w:tc>
          <w:tcPr>
            <w:tcW w:w="2835"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417"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66" w:type="dxa"/>
            <w:vAlign w:val="center"/>
          </w:tcPr>
          <w:p>
            <w:pPr>
              <w:jc w:val="center"/>
              <w:rPr>
                <w:rFonts w:ascii="宋体" w:hAnsi="宋体" w:eastAsia="宋体" w:cs="FangSong_GB2312"/>
                <w:sz w:val="24"/>
                <w:szCs w:val="24"/>
              </w:rPr>
            </w:pPr>
          </w:p>
        </w:tc>
        <w:tc>
          <w:tcPr>
            <w:tcW w:w="2835"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rPr>
          <w:rFonts w:ascii="宋体" w:hAnsi="宋体" w:eastAsia="宋体"/>
        </w:rPr>
      </w:pPr>
      <w:bookmarkStart w:id="190" w:name="_Toc494665569"/>
      <w:bookmarkStart w:id="191" w:name="_Toc494702286"/>
      <w:bookmarkStart w:id="192" w:name="_Toc494721116"/>
      <w:bookmarkStart w:id="193" w:name="_Toc494745333"/>
      <w:bookmarkStart w:id="194" w:name="_Toc494665966"/>
      <w:bookmarkStart w:id="195" w:name="_Toc494665016"/>
      <w:bookmarkStart w:id="196" w:name="_Toc5678"/>
      <w:r>
        <w:rPr>
          <w:rFonts w:hint="eastAsia" w:ascii="宋体" w:hAnsi="宋体" w:eastAsia="宋体"/>
        </w:rPr>
        <w:t>商务要求响应、偏离说明表</w:t>
      </w:r>
      <w:bookmarkEnd w:id="190"/>
      <w:bookmarkEnd w:id="191"/>
      <w:bookmarkEnd w:id="192"/>
      <w:bookmarkEnd w:id="193"/>
      <w:bookmarkEnd w:id="194"/>
      <w:bookmarkEnd w:id="195"/>
      <w:bookmarkEnd w:id="19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93"/>
        <w:gridCol w:w="2268"/>
        <w:gridCol w:w="17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09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招标文件商务要求条款</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843"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093"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rPr>
          <w:rFonts w:ascii="宋体" w:hAnsi="宋体" w:eastAsia="宋体"/>
        </w:rPr>
      </w:pPr>
      <w:bookmarkStart w:id="197" w:name="_Toc494721117"/>
      <w:bookmarkStart w:id="198" w:name="_Toc494665967"/>
      <w:bookmarkStart w:id="199" w:name="_Toc494665570"/>
      <w:bookmarkStart w:id="200" w:name="_Toc494665017"/>
      <w:bookmarkStart w:id="201" w:name="_Toc494702287"/>
      <w:bookmarkStart w:id="202" w:name="_Toc494745334"/>
      <w:bookmarkStart w:id="203" w:name="_Toc28373"/>
      <w:r>
        <w:rPr>
          <w:rFonts w:hint="eastAsia" w:ascii="宋体" w:hAnsi="宋体" w:eastAsia="宋体"/>
        </w:rPr>
        <w:t>商务要求“★”号条款响应、偏离说明表</w:t>
      </w:r>
      <w:bookmarkEnd w:id="197"/>
      <w:bookmarkEnd w:id="198"/>
      <w:bookmarkEnd w:id="199"/>
      <w:bookmarkEnd w:id="200"/>
      <w:bookmarkEnd w:id="201"/>
      <w:bookmarkEnd w:id="202"/>
      <w:bookmarkEnd w:id="20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19"/>
        <w:gridCol w:w="2268"/>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51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商务要求“★”号条款</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701"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519"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4"/>
        <w:numPr>
          <w:ilvl w:val="0"/>
          <w:numId w:val="62"/>
        </w:numPr>
        <w:spacing w:before="100" w:beforeAutospacing="1" w:afterLines="50" w:line="360" w:lineRule="auto"/>
        <w:ind w:left="3710" w:hanging="1610"/>
        <w:rPr>
          <w:rFonts w:ascii="宋体" w:hAnsi="宋体" w:eastAsia="宋体"/>
        </w:rPr>
      </w:pPr>
      <w:bookmarkStart w:id="204" w:name="_Toc9823"/>
      <w:bookmarkStart w:id="205" w:name="_Toc494721118"/>
      <w:bookmarkStart w:id="206" w:name="_Toc494702288"/>
      <w:bookmarkStart w:id="207" w:name="_Toc494665571"/>
      <w:bookmarkStart w:id="208" w:name="_Toc494665018"/>
      <w:bookmarkStart w:id="209" w:name="_Toc494665968"/>
      <w:bookmarkStart w:id="210" w:name="_Toc494745335"/>
      <w:r>
        <w:rPr>
          <w:rFonts w:hint="eastAsia" w:ascii="宋体" w:hAnsi="宋体" w:eastAsia="宋体"/>
        </w:rPr>
        <w:t>商务评议对照表</w:t>
      </w:r>
      <w:bookmarkEnd w:id="204"/>
      <w:bookmarkEnd w:id="205"/>
      <w:bookmarkEnd w:id="206"/>
      <w:bookmarkEnd w:id="207"/>
      <w:bookmarkEnd w:id="208"/>
      <w:bookmarkEnd w:id="209"/>
      <w:bookmarkEnd w:id="21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316"/>
        <w:gridCol w:w="2268"/>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1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招标文件商务评分标准</w:t>
            </w:r>
          </w:p>
        </w:tc>
        <w:tc>
          <w:tcPr>
            <w:tcW w:w="2268"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55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843"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FangSong_GB2312"/>
                <w:sz w:val="24"/>
                <w:szCs w:val="24"/>
              </w:rPr>
            </w:pP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16" w:type="dxa"/>
            <w:vAlign w:val="center"/>
          </w:tcPr>
          <w:p>
            <w:pPr>
              <w:jc w:val="center"/>
              <w:rPr>
                <w:rFonts w:ascii="宋体" w:hAnsi="宋体" w:eastAsia="宋体" w:cs="FangSong_GB2312"/>
                <w:sz w:val="24"/>
                <w:szCs w:val="24"/>
              </w:rPr>
            </w:pPr>
          </w:p>
        </w:tc>
        <w:tc>
          <w:tcPr>
            <w:tcW w:w="2268"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c>
          <w:tcPr>
            <w:tcW w:w="1843"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jc w:val="left"/>
        <w:rPr>
          <w:rFonts w:ascii="宋体" w:hAnsi="宋体" w:eastAsia="宋体"/>
        </w:rPr>
      </w:pPr>
      <w:bookmarkStart w:id="211" w:name="_Toc494665572"/>
      <w:bookmarkStart w:id="212" w:name="_Toc17841"/>
      <w:bookmarkStart w:id="213" w:name="_Toc494745336"/>
      <w:bookmarkStart w:id="214" w:name="_Toc494665969"/>
      <w:bookmarkStart w:id="215" w:name="_Toc494665019"/>
      <w:bookmarkStart w:id="216" w:name="_Toc494702289"/>
      <w:bookmarkStart w:id="217" w:name="_Toc494721119"/>
      <w:r>
        <w:rPr>
          <w:rFonts w:hint="eastAsia" w:ascii="宋体" w:hAnsi="宋体" w:eastAsia="宋体"/>
        </w:rPr>
        <w:t>技术、服务要求响应、偏离说明表</w:t>
      </w:r>
      <w:bookmarkEnd w:id="211"/>
      <w:bookmarkEnd w:id="212"/>
      <w:bookmarkEnd w:id="213"/>
      <w:bookmarkEnd w:id="214"/>
      <w:bookmarkEnd w:id="215"/>
      <w:bookmarkEnd w:id="216"/>
      <w:bookmarkEnd w:id="21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516"/>
        <w:gridCol w:w="2126"/>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51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招标文件技术、服务要求条款</w:t>
            </w:r>
          </w:p>
        </w:tc>
        <w:tc>
          <w:tcPr>
            <w:tcW w:w="212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70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417"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6</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516" w:type="dxa"/>
            <w:vAlign w:val="center"/>
          </w:tcPr>
          <w:p>
            <w:pPr>
              <w:jc w:val="center"/>
              <w:rPr>
                <w:rFonts w:ascii="宋体" w:hAnsi="宋体" w:eastAsia="宋体" w:cs="FangSong_GB2312"/>
                <w:sz w:val="24"/>
                <w:szCs w:val="24"/>
              </w:rPr>
            </w:pPr>
          </w:p>
        </w:tc>
        <w:tc>
          <w:tcPr>
            <w:tcW w:w="2126"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pPr>
        <w:pStyle w:val="4"/>
        <w:numPr>
          <w:ilvl w:val="0"/>
          <w:numId w:val="62"/>
        </w:numPr>
        <w:spacing w:before="100" w:beforeAutospacing="1" w:afterLines="50" w:line="360" w:lineRule="auto"/>
        <w:ind w:left="3710" w:hanging="1610"/>
        <w:rPr>
          <w:rFonts w:ascii="宋体" w:hAnsi="宋体" w:eastAsia="宋体"/>
        </w:rPr>
      </w:pPr>
      <w:bookmarkStart w:id="218" w:name="_Toc494665573"/>
      <w:bookmarkStart w:id="219" w:name="_Toc494665970"/>
      <w:bookmarkStart w:id="220" w:name="_Toc494721120"/>
      <w:bookmarkStart w:id="221" w:name="_Toc494702290"/>
      <w:bookmarkStart w:id="222" w:name="_Toc494745337"/>
      <w:bookmarkStart w:id="223" w:name="_Toc13977"/>
      <w:bookmarkStart w:id="224" w:name="_Toc494665020"/>
      <w:bookmarkStart w:id="225" w:name="_Toc329859066"/>
      <w:r>
        <w:rPr>
          <w:rFonts w:hint="eastAsia" w:ascii="宋体" w:hAnsi="宋体" w:eastAsia="宋体"/>
        </w:rPr>
        <w:t>技术、服务要求“★”号条款响应、偏离说明表</w:t>
      </w:r>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303"/>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76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w:t>
            </w:r>
            <w:r>
              <w:rPr>
                <w:rFonts w:hint="eastAsia" w:ascii="宋体" w:hAnsi="宋体" w:eastAsia="宋体" w:cs="Corbel"/>
                <w:sz w:val="24"/>
                <w:szCs w:val="24"/>
              </w:rPr>
              <w:t>技术、服务要求“★”号条款</w:t>
            </w:r>
          </w:p>
        </w:tc>
        <w:tc>
          <w:tcPr>
            <w:tcW w:w="2303"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276"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559"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1</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2</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3</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4</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5</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767" w:type="dxa"/>
            <w:vAlign w:val="center"/>
          </w:tcPr>
          <w:p>
            <w:pPr>
              <w:jc w:val="center"/>
              <w:rPr>
                <w:rFonts w:ascii="宋体" w:hAnsi="宋体" w:eastAsia="宋体" w:cs="FangSong_GB2312"/>
                <w:sz w:val="24"/>
                <w:szCs w:val="24"/>
              </w:rPr>
            </w:pPr>
          </w:p>
        </w:tc>
        <w:tc>
          <w:tcPr>
            <w:tcW w:w="2303" w:type="dxa"/>
            <w:vAlign w:val="center"/>
          </w:tcPr>
          <w:p>
            <w:pPr>
              <w:jc w:val="center"/>
              <w:rPr>
                <w:rFonts w:ascii="宋体" w:hAnsi="宋体" w:eastAsia="宋体" w:cs="FangSong_GB2312"/>
                <w:sz w:val="24"/>
                <w:szCs w:val="24"/>
              </w:rPr>
            </w:pPr>
          </w:p>
        </w:tc>
        <w:tc>
          <w:tcPr>
            <w:tcW w:w="1276" w:type="dxa"/>
            <w:vAlign w:val="center"/>
          </w:tcPr>
          <w:p>
            <w:pPr>
              <w:jc w:val="center"/>
              <w:rPr>
                <w:rFonts w:ascii="宋体" w:hAnsi="宋体" w:eastAsia="宋体" w:cs="FangSong_GB2312"/>
                <w:sz w:val="24"/>
                <w:szCs w:val="24"/>
              </w:rPr>
            </w:pPr>
          </w:p>
        </w:tc>
        <w:tc>
          <w:tcPr>
            <w:tcW w:w="1559" w:type="dxa"/>
            <w:vAlign w:val="center"/>
          </w:tcPr>
          <w:p>
            <w:pPr>
              <w:jc w:val="center"/>
              <w:rPr>
                <w:rFonts w:ascii="宋体" w:hAnsi="宋体" w:eastAsia="宋体" w:cs="FangSong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2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Lines="50" w:line="360" w:lineRule="auto"/>
        <w:ind w:left="3710" w:hanging="1610"/>
        <w:rPr>
          <w:rFonts w:ascii="宋体" w:hAnsi="宋体" w:eastAsia="宋体"/>
        </w:rPr>
      </w:pPr>
      <w:bookmarkStart w:id="226" w:name="_Toc494665971"/>
      <w:bookmarkStart w:id="227" w:name="_Toc494721121"/>
      <w:bookmarkStart w:id="228" w:name="_Toc494702291"/>
      <w:bookmarkStart w:id="229" w:name="_Toc21813"/>
      <w:bookmarkStart w:id="230" w:name="_Toc494665021"/>
      <w:bookmarkStart w:id="231" w:name="_Toc494745338"/>
      <w:bookmarkStart w:id="232" w:name="_Toc494665574"/>
      <w:r>
        <w:rPr>
          <w:rFonts w:hint="eastAsia" w:ascii="宋体" w:hAnsi="宋体" w:eastAsia="宋体"/>
        </w:rPr>
        <w:t>技术、服务评议对照表</w:t>
      </w:r>
      <w:bookmarkEnd w:id="226"/>
      <w:bookmarkEnd w:id="227"/>
      <w:bookmarkEnd w:id="228"/>
      <w:bookmarkEnd w:id="229"/>
      <w:bookmarkEnd w:id="230"/>
      <w:bookmarkEnd w:id="231"/>
      <w:bookmarkEnd w:id="23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2481"/>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FangSong_GB2312"/>
                <w:sz w:val="24"/>
                <w:szCs w:val="24"/>
              </w:rPr>
            </w:pPr>
            <w:r>
              <w:rPr>
                <w:rFonts w:hint="eastAsia" w:ascii="宋体" w:hAnsi="宋体" w:eastAsia="宋体" w:cs="FangSong_GB2312"/>
                <w:sz w:val="24"/>
                <w:szCs w:val="24"/>
              </w:rPr>
              <w:t>序号</w:t>
            </w:r>
          </w:p>
        </w:tc>
        <w:tc>
          <w:tcPr>
            <w:tcW w:w="2389"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招标文件技术、服务评分标准</w:t>
            </w:r>
          </w:p>
        </w:tc>
        <w:tc>
          <w:tcPr>
            <w:tcW w:w="2481"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投标响应内容对应简述</w:t>
            </w:r>
          </w:p>
        </w:tc>
        <w:tc>
          <w:tcPr>
            <w:tcW w:w="1417" w:type="dxa"/>
            <w:shd w:val="clear" w:color="auto" w:fill="F1F1F1" w:themeFill="background1" w:themeFillShade="F2"/>
            <w:vAlign w:val="center"/>
          </w:tcPr>
          <w:p>
            <w:pPr>
              <w:jc w:val="center"/>
              <w:rPr>
                <w:rFonts w:ascii="宋体" w:hAnsi="宋体" w:eastAsia="宋体" w:cs="FangSong_GB2312"/>
                <w:sz w:val="24"/>
                <w:szCs w:val="24"/>
              </w:rPr>
            </w:pPr>
            <w:r>
              <w:rPr>
                <w:rFonts w:hint="eastAsia" w:ascii="宋体" w:hAnsi="宋体" w:eastAsia="宋体" w:cs="FangSong_GB2312"/>
                <w:sz w:val="24"/>
                <w:szCs w:val="24"/>
              </w:rPr>
              <w:t>偏离说明</w:t>
            </w:r>
          </w:p>
        </w:tc>
        <w:tc>
          <w:tcPr>
            <w:tcW w:w="1701" w:type="dxa"/>
            <w:shd w:val="clear" w:color="auto" w:fill="F1F1F1" w:themeFill="background1" w:themeFillShade="F2"/>
          </w:tcPr>
          <w:p>
            <w:pPr>
              <w:jc w:val="center"/>
              <w:rPr>
                <w:rFonts w:ascii="宋体" w:hAnsi="宋体" w:eastAsia="宋体" w:cs="FangSong_GB2312"/>
                <w:sz w:val="24"/>
                <w:szCs w:val="24"/>
              </w:rPr>
            </w:pPr>
            <w:r>
              <w:rPr>
                <w:rFonts w:hint="eastAsia" w:ascii="宋体" w:hAnsi="宋体" w:eastAsia="宋体" w:cs="FangSong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FangSong_GB2312"/>
                <w:sz w:val="24"/>
                <w:szCs w:val="24"/>
              </w:rPr>
            </w:pP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FangSong_GB2312"/>
                <w:sz w:val="24"/>
                <w:szCs w:val="24"/>
              </w:rPr>
            </w:pPr>
            <w:r>
              <w:rPr>
                <w:rFonts w:hint="eastAsia" w:ascii="宋体" w:hAnsi="宋体" w:eastAsia="宋体" w:cs="FangSong_GB2312"/>
                <w:sz w:val="24"/>
                <w:szCs w:val="24"/>
              </w:rPr>
              <w:t>…</w:t>
            </w:r>
          </w:p>
        </w:tc>
        <w:tc>
          <w:tcPr>
            <w:tcW w:w="2389" w:type="dxa"/>
            <w:vAlign w:val="center"/>
          </w:tcPr>
          <w:p>
            <w:pPr>
              <w:jc w:val="center"/>
              <w:rPr>
                <w:rFonts w:ascii="宋体" w:hAnsi="宋体" w:eastAsia="宋体" w:cs="FangSong_GB2312"/>
                <w:sz w:val="24"/>
                <w:szCs w:val="24"/>
              </w:rPr>
            </w:pPr>
          </w:p>
        </w:tc>
        <w:tc>
          <w:tcPr>
            <w:tcW w:w="2481" w:type="dxa"/>
            <w:vAlign w:val="center"/>
          </w:tcPr>
          <w:p>
            <w:pPr>
              <w:jc w:val="center"/>
              <w:rPr>
                <w:rFonts w:ascii="宋体" w:hAnsi="宋体" w:eastAsia="宋体" w:cs="FangSong_GB2312"/>
                <w:sz w:val="24"/>
                <w:szCs w:val="24"/>
              </w:rPr>
            </w:pPr>
          </w:p>
        </w:tc>
        <w:tc>
          <w:tcPr>
            <w:tcW w:w="1417" w:type="dxa"/>
            <w:vAlign w:val="center"/>
          </w:tcPr>
          <w:p>
            <w:pPr>
              <w:jc w:val="center"/>
              <w:rPr>
                <w:rFonts w:ascii="宋体" w:hAnsi="宋体" w:eastAsia="宋体" w:cs="FangSong_GB2312"/>
                <w:sz w:val="24"/>
                <w:szCs w:val="24"/>
              </w:rPr>
            </w:pPr>
          </w:p>
        </w:tc>
        <w:tc>
          <w:tcPr>
            <w:tcW w:w="1701" w:type="dxa"/>
            <w:vAlign w:val="center"/>
          </w:tcPr>
          <w:p>
            <w:pPr>
              <w:jc w:val="center"/>
              <w:rPr>
                <w:rFonts w:ascii="宋体" w:hAnsi="宋体" w:eastAsia="宋体" w:cs="FangSong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headerReference r:id="rId10" w:type="default"/>
      <w:footerReference r:id="rId11" w:type="default"/>
      <w:pgSz w:w="11906" w:h="16838"/>
      <w:pgMar w:top="1440" w:right="1800" w:bottom="1440" w:left="1800"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821"/>
      </w:tabs>
      <w:rPr>
        <w:rFonts w:ascii="宋体" w:hAnsi="宋体" w:eastAsia="宋体" w:cs="宋体"/>
        <w:kern w:val="0"/>
        <w:sz w:val="18"/>
        <w:szCs w:val="18"/>
        <w:u w:val="single"/>
      </w:rPr>
    </w:pPr>
  </w:p>
  <w:p>
    <w:pPr>
      <w:pStyle w:val="10"/>
      <w:tabs>
        <w:tab w:val="center" w:pos="4153"/>
        <w:tab w:val="right" w:pos="8426"/>
      </w:tabs>
      <w:jc w:val="left"/>
      <w:rPr>
        <w:rFonts w:ascii="宋体" w:hAnsi="宋体" w:eastAsia="宋体" w:cs="宋体"/>
        <w:kern w:val="0"/>
        <w:sz w:val="18"/>
        <w:szCs w:val="18"/>
        <w:u w:val="single"/>
      </w:rPr>
    </w:pPr>
    <w:r>
      <w:rPr>
        <w:rFonts w:hint="eastAsia" w:ascii="宋体" w:hAnsi="宋体" w:eastAsia="宋体" w:cs="宋体"/>
        <w:kern w:val="0"/>
        <w:sz w:val="18"/>
        <w:szCs w:val="18"/>
        <w:u w:val="single"/>
      </w:rPr>
      <w:tab/>
    </w:r>
    <w:r>
      <w:rPr>
        <w:rFonts w:hint="eastAsia" w:ascii="宋体" w:hAnsi="宋体" w:eastAsia="宋体" w:cs="宋体"/>
        <w:kern w:val="0"/>
        <w:sz w:val="18"/>
        <w:szCs w:val="18"/>
        <w:u w:val="singl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w:rPr>
        <w:rFonts w:hint="eastAsia" w:asciiTheme="minorEastAsia" w:hAnsiTheme="minorEastAsia"/>
      </w:rPr>
      <w:t xml:space="preserve"> </w:t>
    </w:r>
  </w:p>
  <w:p>
    <w:pPr>
      <w:pStyle w:val="10"/>
      <w:spacing w:line="14" w:lineRule="auto"/>
      <w:rPr>
        <w:sz w:val="20"/>
      </w:rPr>
    </w:pPr>
  </w:p>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Theme="minorEastAsia" w:hAnsiTheme="minorEastAsia"/>
      </w:rPr>
      <w:t xml:space="preserve"> </w:t>
    </w:r>
  </w:p>
  <w:p>
    <w:pPr>
      <w:pStyle w:val="10"/>
      <w:spacing w:line="14" w:lineRule="auto"/>
      <w:rPr>
        <w:sz w:val="20"/>
      </w:rPr>
    </w:pPr>
  </w:p>
  <w:p>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heme="minorEastAsia" w:hAnsiTheme="minorEastAsia"/>
      </w:rPr>
      <w:t xml:space="preserve"> </w:t>
    </w:r>
  </w:p>
  <w:p>
    <w:pPr>
      <w:pStyle w:val="10"/>
      <w:spacing w:line="14" w:lineRule="auto"/>
      <w:rPr>
        <w:sz w:val="20"/>
      </w:rPr>
    </w:pPr>
  </w:p>
  <w:p>
    <w:pPr>
      <w:pStyle w:val="1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themeColor="text1" w:sz="4" w:space="1"/>
      </w:pBdr>
      <w:tabs>
        <w:tab w:val="clear" w:pos="4153"/>
        <w:tab w:val="clear" w:pos="8306"/>
      </w:tabs>
      <w:ind w:right="-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asciiTheme="minorEastAsia" w:hAnsiTheme="minorEastAsia"/>
      </w:rPr>
      <w:t xml:space="preserve">                                     </w:t>
    </w:r>
  </w:p>
  <w:p>
    <w:pPr>
      <w:pStyle w:val="18"/>
      <w:pBdr>
        <w:top w:val="single" w:color="000000" w:themeColor="text1" w:sz="4" w:space="1"/>
      </w:pBdr>
      <w:tabs>
        <w:tab w:val="clear" w:pos="4153"/>
        <w:tab w:val="clear" w:pos="8306"/>
      </w:tabs>
      <w:ind w:right="-9"/>
      <w:rPr>
        <w:rFonts w:asciiTheme="minorEastAsia" w:hAnsiTheme="minorEastAsia"/>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pPr>
    <w:r>
      <w:rPr>
        <w:rFonts w:hint="eastAsia"/>
        <w:b/>
        <w:u w:val="single"/>
        <w:lang w:val="zh-CN"/>
      </w:rPr>
      <w:t>阳新县住房和城乡建设局2022年-2023年建设项目造价咨询服务</w:t>
    </w:r>
    <w:r>
      <w:rPr>
        <w:rFonts w:hint="eastAsia"/>
        <w:b/>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63" w:rightChars="30"/>
      <w:jc w:val="left"/>
      <w:rPr>
        <w:b/>
        <w:u w:val="single"/>
      </w:rPr>
    </w:pPr>
    <w:r>
      <w:rPr>
        <w:rFonts w:hint="eastAsia"/>
        <w:b/>
        <w:u w:val="single"/>
      </w:rPr>
      <w:t>阳新县住房和城乡建设局2022年-2023年建设项目造价咨询服务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705A5"/>
    <w:multiLevelType w:val="singleLevel"/>
    <w:tmpl w:val="F38705A5"/>
    <w:lvl w:ilvl="0" w:tentative="0">
      <w:start w:val="1"/>
      <w:numFmt w:val="chineseCounting"/>
      <w:suff w:val="nothing"/>
      <w:lvlText w:val="%1、"/>
      <w:lvlJc w:val="left"/>
      <w:rPr>
        <w:rFonts w:hint="eastAsia"/>
      </w:rPr>
    </w:lvl>
  </w:abstractNum>
  <w:abstractNum w:abstractNumId="1">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2">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3A1834"/>
    <w:multiLevelType w:val="multilevel"/>
    <w:tmpl w:val="143A1834"/>
    <w:lvl w:ilvl="0" w:tentative="0">
      <w:start w:val="1"/>
      <w:numFmt w:val="chineseCountingThousand"/>
      <w:lvlText w:val="附件%1、"/>
      <w:lvlJc w:val="left"/>
      <w:pPr>
        <w:ind w:left="25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5">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374CF7"/>
    <w:multiLevelType w:val="singleLevel"/>
    <w:tmpl w:val="1A374CF7"/>
    <w:lvl w:ilvl="0" w:tentative="0">
      <w:start w:val="1"/>
      <w:numFmt w:val="decimal"/>
      <w:suff w:val="nothing"/>
      <w:lvlText w:val="（%1）"/>
      <w:lvlJc w:val="left"/>
    </w:lvl>
  </w:abstractNum>
  <w:abstractNum w:abstractNumId="19">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0">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1">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2">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3">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4">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8">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33020AE6"/>
    <w:multiLevelType w:val="multilevel"/>
    <w:tmpl w:val="33020AE6"/>
    <w:lvl w:ilvl="0" w:tentative="0">
      <w:start w:val="1"/>
      <w:numFmt w:val="decimal"/>
      <w:lvlText w:val="%1"/>
      <w:lvlJc w:val="left"/>
      <w:pPr>
        <w:ind w:left="63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B44FAA4"/>
    <w:multiLevelType w:val="singleLevel"/>
    <w:tmpl w:val="3B44FAA4"/>
    <w:lvl w:ilvl="0" w:tentative="0">
      <w:start w:val="2"/>
      <w:numFmt w:val="chineseCounting"/>
      <w:suff w:val="nothing"/>
      <w:lvlText w:val="（%1）"/>
      <w:lvlJc w:val="left"/>
      <w:rPr>
        <w:rFonts w:hint="eastAsia"/>
      </w:rPr>
    </w:lvl>
  </w:abstractNum>
  <w:abstractNum w:abstractNumId="37">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9">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0">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1">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9">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0">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1">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3">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6">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3">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4"/>
  </w:num>
  <w:num w:numId="2">
    <w:abstractNumId w:val="32"/>
  </w:num>
  <w:num w:numId="3">
    <w:abstractNumId w:val="41"/>
  </w:num>
  <w:num w:numId="4">
    <w:abstractNumId w:val="17"/>
  </w:num>
  <w:num w:numId="5">
    <w:abstractNumId w:val="8"/>
  </w:num>
  <w:num w:numId="6">
    <w:abstractNumId w:val="52"/>
  </w:num>
  <w:num w:numId="7">
    <w:abstractNumId w:val="34"/>
  </w:num>
  <w:num w:numId="8">
    <w:abstractNumId w:val="5"/>
  </w:num>
  <w:num w:numId="9">
    <w:abstractNumId w:val="48"/>
  </w:num>
  <w:num w:numId="10">
    <w:abstractNumId w:val="31"/>
  </w:num>
  <w:num w:numId="11">
    <w:abstractNumId w:val="7"/>
  </w:num>
  <w:num w:numId="12">
    <w:abstractNumId w:val="24"/>
  </w:num>
  <w:num w:numId="13">
    <w:abstractNumId w:val="25"/>
  </w:num>
  <w:num w:numId="14">
    <w:abstractNumId w:val="11"/>
  </w:num>
  <w:num w:numId="15">
    <w:abstractNumId w:val="10"/>
  </w:num>
  <w:num w:numId="16">
    <w:abstractNumId w:val="60"/>
  </w:num>
  <w:num w:numId="17">
    <w:abstractNumId w:val="12"/>
  </w:num>
  <w:num w:numId="18">
    <w:abstractNumId w:val="30"/>
  </w:num>
  <w:num w:numId="19">
    <w:abstractNumId w:val="37"/>
  </w:num>
  <w:num w:numId="20">
    <w:abstractNumId w:val="40"/>
  </w:num>
  <w:num w:numId="21">
    <w:abstractNumId w:val="63"/>
  </w:num>
  <w:num w:numId="22">
    <w:abstractNumId w:val="47"/>
  </w:num>
  <w:num w:numId="23">
    <w:abstractNumId w:val="56"/>
  </w:num>
  <w:num w:numId="24">
    <w:abstractNumId w:val="61"/>
  </w:num>
  <w:num w:numId="25">
    <w:abstractNumId w:val="46"/>
  </w:num>
  <w:num w:numId="26">
    <w:abstractNumId w:val="9"/>
  </w:num>
  <w:num w:numId="27">
    <w:abstractNumId w:val="22"/>
  </w:num>
  <w:num w:numId="28">
    <w:abstractNumId w:val="57"/>
  </w:num>
  <w:num w:numId="29">
    <w:abstractNumId w:val="53"/>
  </w:num>
  <w:num w:numId="30">
    <w:abstractNumId w:val="39"/>
  </w:num>
  <w:num w:numId="31">
    <w:abstractNumId w:val="51"/>
  </w:num>
  <w:num w:numId="32">
    <w:abstractNumId w:val="26"/>
  </w:num>
  <w:num w:numId="33">
    <w:abstractNumId w:val="54"/>
  </w:num>
  <w:num w:numId="34">
    <w:abstractNumId w:val="4"/>
  </w:num>
  <w:num w:numId="35">
    <w:abstractNumId w:val="0"/>
  </w:num>
  <w:num w:numId="36">
    <w:abstractNumId w:val="36"/>
  </w:num>
  <w:num w:numId="37">
    <w:abstractNumId w:val="18"/>
  </w:num>
  <w:num w:numId="38">
    <w:abstractNumId w:val="2"/>
  </w:num>
  <w:num w:numId="39">
    <w:abstractNumId w:val="28"/>
  </w:num>
  <w:num w:numId="40">
    <w:abstractNumId w:val="45"/>
  </w:num>
  <w:num w:numId="41">
    <w:abstractNumId w:val="33"/>
  </w:num>
  <w:num w:numId="42">
    <w:abstractNumId w:val="42"/>
  </w:num>
  <w:num w:numId="43">
    <w:abstractNumId w:val="35"/>
  </w:num>
  <w:num w:numId="44">
    <w:abstractNumId w:val="20"/>
  </w:num>
  <w:num w:numId="45">
    <w:abstractNumId w:val="50"/>
  </w:num>
  <w:num w:numId="46">
    <w:abstractNumId w:val="64"/>
  </w:num>
  <w:num w:numId="47">
    <w:abstractNumId w:val="21"/>
  </w:num>
  <w:num w:numId="48">
    <w:abstractNumId w:val="19"/>
  </w:num>
  <w:num w:numId="49">
    <w:abstractNumId w:val="3"/>
  </w:num>
  <w:num w:numId="50">
    <w:abstractNumId w:val="49"/>
    <w:lvlOverride w:ilvl="0">
      <w:startOverride w:val="1"/>
    </w:lvlOverride>
  </w:num>
  <w:num w:numId="51">
    <w:abstractNumId w:val="15"/>
  </w:num>
  <w:num w:numId="52">
    <w:abstractNumId w:val="27"/>
  </w:num>
  <w:num w:numId="53">
    <w:abstractNumId w:val="62"/>
  </w:num>
  <w:num w:numId="54">
    <w:abstractNumId w:val="55"/>
  </w:num>
  <w:num w:numId="55">
    <w:abstractNumId w:val="43"/>
  </w:num>
  <w:num w:numId="56">
    <w:abstractNumId w:val="14"/>
  </w:num>
  <w:num w:numId="57">
    <w:abstractNumId w:val="23"/>
  </w:num>
  <w:num w:numId="58">
    <w:abstractNumId w:val="58"/>
  </w:num>
  <w:num w:numId="59">
    <w:abstractNumId w:val="1"/>
  </w:num>
  <w:num w:numId="60">
    <w:abstractNumId w:val="38"/>
  </w:num>
  <w:num w:numId="61">
    <w:abstractNumId w:val="59"/>
  </w:num>
  <w:num w:numId="62">
    <w:abstractNumId w:val="13"/>
  </w:num>
  <w:num w:numId="63">
    <w:abstractNumId w:val="6"/>
  </w:num>
  <w:num w:numId="64">
    <w:abstractNumId w:val="16"/>
  </w:num>
  <w:num w:numId="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mU2MGM2OWYzYTc5MTM1NTU3NDUzMmIzMTI2N2YifQ=="/>
  </w:docVars>
  <w:rsids>
    <w:rsidRoot w:val="007D7A97"/>
    <w:rsid w:val="000A0486"/>
    <w:rsid w:val="000F3834"/>
    <w:rsid w:val="00104893"/>
    <w:rsid w:val="0016212E"/>
    <w:rsid w:val="001D58BE"/>
    <w:rsid w:val="003355CA"/>
    <w:rsid w:val="003C1682"/>
    <w:rsid w:val="004F2BEE"/>
    <w:rsid w:val="006839D2"/>
    <w:rsid w:val="006B6C89"/>
    <w:rsid w:val="00731489"/>
    <w:rsid w:val="007D7A97"/>
    <w:rsid w:val="0085195F"/>
    <w:rsid w:val="00954EC6"/>
    <w:rsid w:val="00A41134"/>
    <w:rsid w:val="00A66A13"/>
    <w:rsid w:val="00B517AA"/>
    <w:rsid w:val="00BD3B1A"/>
    <w:rsid w:val="00C37398"/>
    <w:rsid w:val="00C51144"/>
    <w:rsid w:val="01357B89"/>
    <w:rsid w:val="01394650"/>
    <w:rsid w:val="01735916"/>
    <w:rsid w:val="01812BB4"/>
    <w:rsid w:val="01934AD0"/>
    <w:rsid w:val="01A53163"/>
    <w:rsid w:val="01A67F7C"/>
    <w:rsid w:val="01F2160E"/>
    <w:rsid w:val="01FC15A9"/>
    <w:rsid w:val="02000E9B"/>
    <w:rsid w:val="02780977"/>
    <w:rsid w:val="02A32FD1"/>
    <w:rsid w:val="02E42301"/>
    <w:rsid w:val="02EE3595"/>
    <w:rsid w:val="03311FBB"/>
    <w:rsid w:val="03396AA6"/>
    <w:rsid w:val="03606F82"/>
    <w:rsid w:val="03DB0A6E"/>
    <w:rsid w:val="041E2228"/>
    <w:rsid w:val="045A0D54"/>
    <w:rsid w:val="045A5B2F"/>
    <w:rsid w:val="046F603B"/>
    <w:rsid w:val="047F4F47"/>
    <w:rsid w:val="04972903"/>
    <w:rsid w:val="04D676DE"/>
    <w:rsid w:val="052A3F51"/>
    <w:rsid w:val="05430E21"/>
    <w:rsid w:val="05686B51"/>
    <w:rsid w:val="05827C52"/>
    <w:rsid w:val="05BE5A34"/>
    <w:rsid w:val="05C352F7"/>
    <w:rsid w:val="05C75B4A"/>
    <w:rsid w:val="05ED27D9"/>
    <w:rsid w:val="061C459C"/>
    <w:rsid w:val="063A744B"/>
    <w:rsid w:val="06592C6B"/>
    <w:rsid w:val="065A7316"/>
    <w:rsid w:val="068D4100"/>
    <w:rsid w:val="06955E3A"/>
    <w:rsid w:val="06DA1516"/>
    <w:rsid w:val="06DF4032"/>
    <w:rsid w:val="07567DD3"/>
    <w:rsid w:val="07880630"/>
    <w:rsid w:val="07BB3D95"/>
    <w:rsid w:val="081B7CA1"/>
    <w:rsid w:val="08443A86"/>
    <w:rsid w:val="08663167"/>
    <w:rsid w:val="08890E50"/>
    <w:rsid w:val="08DD49AA"/>
    <w:rsid w:val="08E57AAB"/>
    <w:rsid w:val="09073106"/>
    <w:rsid w:val="09105369"/>
    <w:rsid w:val="09196DC4"/>
    <w:rsid w:val="094E2AF7"/>
    <w:rsid w:val="09F36E94"/>
    <w:rsid w:val="0A1218F7"/>
    <w:rsid w:val="0A451F1E"/>
    <w:rsid w:val="0A641D6F"/>
    <w:rsid w:val="0A8B5B5B"/>
    <w:rsid w:val="0A8F155B"/>
    <w:rsid w:val="0AAB3E8C"/>
    <w:rsid w:val="0AB43976"/>
    <w:rsid w:val="0AD82DEB"/>
    <w:rsid w:val="0B1B1F6F"/>
    <w:rsid w:val="0B2C58E7"/>
    <w:rsid w:val="0B2E793C"/>
    <w:rsid w:val="0B6A4C7D"/>
    <w:rsid w:val="0B83006B"/>
    <w:rsid w:val="0B997AC2"/>
    <w:rsid w:val="0BB24C39"/>
    <w:rsid w:val="0BC01D0B"/>
    <w:rsid w:val="0C160804"/>
    <w:rsid w:val="0C342025"/>
    <w:rsid w:val="0C7053DC"/>
    <w:rsid w:val="0CC064B0"/>
    <w:rsid w:val="0D49653A"/>
    <w:rsid w:val="0D7620F8"/>
    <w:rsid w:val="0D7D77F5"/>
    <w:rsid w:val="0DA45667"/>
    <w:rsid w:val="0DAE7D9A"/>
    <w:rsid w:val="0DAF6309"/>
    <w:rsid w:val="0DBC04BA"/>
    <w:rsid w:val="0E09418F"/>
    <w:rsid w:val="0E2C256B"/>
    <w:rsid w:val="0E372641"/>
    <w:rsid w:val="0E685720"/>
    <w:rsid w:val="0E6D0F94"/>
    <w:rsid w:val="0E923279"/>
    <w:rsid w:val="0EC57C3B"/>
    <w:rsid w:val="0EEB51F0"/>
    <w:rsid w:val="0EFB4B5B"/>
    <w:rsid w:val="0F0A29D7"/>
    <w:rsid w:val="0F1830F5"/>
    <w:rsid w:val="0F347277"/>
    <w:rsid w:val="0F3D6275"/>
    <w:rsid w:val="0F5041CA"/>
    <w:rsid w:val="0FE27614"/>
    <w:rsid w:val="10351326"/>
    <w:rsid w:val="10B647EA"/>
    <w:rsid w:val="10DF479C"/>
    <w:rsid w:val="1139667B"/>
    <w:rsid w:val="115F4064"/>
    <w:rsid w:val="11994994"/>
    <w:rsid w:val="12041922"/>
    <w:rsid w:val="12166E24"/>
    <w:rsid w:val="125D5A45"/>
    <w:rsid w:val="12D24541"/>
    <w:rsid w:val="13227DE6"/>
    <w:rsid w:val="13921285"/>
    <w:rsid w:val="139605E5"/>
    <w:rsid w:val="13CE7AAA"/>
    <w:rsid w:val="14000567"/>
    <w:rsid w:val="140046E1"/>
    <w:rsid w:val="140517CA"/>
    <w:rsid w:val="14580086"/>
    <w:rsid w:val="14805505"/>
    <w:rsid w:val="14836210"/>
    <w:rsid w:val="14A10DD7"/>
    <w:rsid w:val="14C017FE"/>
    <w:rsid w:val="14E1247B"/>
    <w:rsid w:val="15380EB3"/>
    <w:rsid w:val="15902E2B"/>
    <w:rsid w:val="159F6D20"/>
    <w:rsid w:val="15DB02B1"/>
    <w:rsid w:val="15EA7414"/>
    <w:rsid w:val="15F270A0"/>
    <w:rsid w:val="167126BF"/>
    <w:rsid w:val="1675532E"/>
    <w:rsid w:val="16D14ECF"/>
    <w:rsid w:val="17273ADD"/>
    <w:rsid w:val="17283F09"/>
    <w:rsid w:val="17631117"/>
    <w:rsid w:val="17635723"/>
    <w:rsid w:val="176A2725"/>
    <w:rsid w:val="17C6207A"/>
    <w:rsid w:val="17EC422A"/>
    <w:rsid w:val="18280A7D"/>
    <w:rsid w:val="18676DDD"/>
    <w:rsid w:val="186F6F18"/>
    <w:rsid w:val="188F4518"/>
    <w:rsid w:val="189864CE"/>
    <w:rsid w:val="18C90957"/>
    <w:rsid w:val="18F238C7"/>
    <w:rsid w:val="191475F4"/>
    <w:rsid w:val="192C7D52"/>
    <w:rsid w:val="192D3334"/>
    <w:rsid w:val="198D6725"/>
    <w:rsid w:val="19C86102"/>
    <w:rsid w:val="19CA348C"/>
    <w:rsid w:val="19E740FD"/>
    <w:rsid w:val="1A3D63F9"/>
    <w:rsid w:val="1A5C424B"/>
    <w:rsid w:val="1A6F2DEB"/>
    <w:rsid w:val="1A972F71"/>
    <w:rsid w:val="1AE7520B"/>
    <w:rsid w:val="1B0B673A"/>
    <w:rsid w:val="1B315A3C"/>
    <w:rsid w:val="1BAF1290"/>
    <w:rsid w:val="1BD6074C"/>
    <w:rsid w:val="1BF432CC"/>
    <w:rsid w:val="1C050231"/>
    <w:rsid w:val="1C142F0A"/>
    <w:rsid w:val="1C225EE3"/>
    <w:rsid w:val="1C5438B3"/>
    <w:rsid w:val="1C62261B"/>
    <w:rsid w:val="1CB75083"/>
    <w:rsid w:val="1CEC2A56"/>
    <w:rsid w:val="1CEE7C20"/>
    <w:rsid w:val="1D1D47A9"/>
    <w:rsid w:val="1D292C8E"/>
    <w:rsid w:val="1D463E6A"/>
    <w:rsid w:val="1D6D781C"/>
    <w:rsid w:val="1DEE3A54"/>
    <w:rsid w:val="1DF74B29"/>
    <w:rsid w:val="1E3621D6"/>
    <w:rsid w:val="1EA01CAD"/>
    <w:rsid w:val="1ED41720"/>
    <w:rsid w:val="1F202DC6"/>
    <w:rsid w:val="1F2F5894"/>
    <w:rsid w:val="1F3A759F"/>
    <w:rsid w:val="20344724"/>
    <w:rsid w:val="204A6A08"/>
    <w:rsid w:val="20C428DD"/>
    <w:rsid w:val="210C30D0"/>
    <w:rsid w:val="211617B0"/>
    <w:rsid w:val="21267239"/>
    <w:rsid w:val="2132474C"/>
    <w:rsid w:val="21990178"/>
    <w:rsid w:val="222642DD"/>
    <w:rsid w:val="225477BC"/>
    <w:rsid w:val="225C4C5D"/>
    <w:rsid w:val="22B16BE0"/>
    <w:rsid w:val="22C8438F"/>
    <w:rsid w:val="22CA292F"/>
    <w:rsid w:val="22DC6C24"/>
    <w:rsid w:val="22E76C94"/>
    <w:rsid w:val="22F55462"/>
    <w:rsid w:val="232B0AE9"/>
    <w:rsid w:val="233C3B12"/>
    <w:rsid w:val="2357306E"/>
    <w:rsid w:val="238F73B2"/>
    <w:rsid w:val="23DE5B2B"/>
    <w:rsid w:val="23F65067"/>
    <w:rsid w:val="240452EC"/>
    <w:rsid w:val="24151E4A"/>
    <w:rsid w:val="24212F0F"/>
    <w:rsid w:val="24803D11"/>
    <w:rsid w:val="2482353D"/>
    <w:rsid w:val="24B44D19"/>
    <w:rsid w:val="252C08C2"/>
    <w:rsid w:val="253B229E"/>
    <w:rsid w:val="253E0CF1"/>
    <w:rsid w:val="254540B4"/>
    <w:rsid w:val="255A03BF"/>
    <w:rsid w:val="25646B9E"/>
    <w:rsid w:val="25825B30"/>
    <w:rsid w:val="259976F9"/>
    <w:rsid w:val="25A4435D"/>
    <w:rsid w:val="25C14CD3"/>
    <w:rsid w:val="25F94123"/>
    <w:rsid w:val="26052B58"/>
    <w:rsid w:val="260B3690"/>
    <w:rsid w:val="26495241"/>
    <w:rsid w:val="265E1AB4"/>
    <w:rsid w:val="267115C0"/>
    <w:rsid w:val="268E2D61"/>
    <w:rsid w:val="26E80A9F"/>
    <w:rsid w:val="26EC5890"/>
    <w:rsid w:val="26F10154"/>
    <w:rsid w:val="271F3C20"/>
    <w:rsid w:val="272519B2"/>
    <w:rsid w:val="2734496F"/>
    <w:rsid w:val="275E6ABD"/>
    <w:rsid w:val="27722837"/>
    <w:rsid w:val="27946F59"/>
    <w:rsid w:val="27E03C45"/>
    <w:rsid w:val="28166FD2"/>
    <w:rsid w:val="28237B98"/>
    <w:rsid w:val="2854262E"/>
    <w:rsid w:val="285957A2"/>
    <w:rsid w:val="2860312F"/>
    <w:rsid w:val="28631649"/>
    <w:rsid w:val="28991A1A"/>
    <w:rsid w:val="28BF110A"/>
    <w:rsid w:val="2913630D"/>
    <w:rsid w:val="29421584"/>
    <w:rsid w:val="296C7CD3"/>
    <w:rsid w:val="29AF4013"/>
    <w:rsid w:val="29EB2E33"/>
    <w:rsid w:val="2A160307"/>
    <w:rsid w:val="2A681BE5"/>
    <w:rsid w:val="2A772C58"/>
    <w:rsid w:val="2A8750E8"/>
    <w:rsid w:val="2A8A5DCF"/>
    <w:rsid w:val="2AB20E09"/>
    <w:rsid w:val="2B597443"/>
    <w:rsid w:val="2B5E2B35"/>
    <w:rsid w:val="2B851BE1"/>
    <w:rsid w:val="2B856DFE"/>
    <w:rsid w:val="2BB34C5B"/>
    <w:rsid w:val="2BCC1843"/>
    <w:rsid w:val="2BD56AE4"/>
    <w:rsid w:val="2BF00EE9"/>
    <w:rsid w:val="2C0C18DD"/>
    <w:rsid w:val="2C40459E"/>
    <w:rsid w:val="2C6858AA"/>
    <w:rsid w:val="2C911EE0"/>
    <w:rsid w:val="2D392319"/>
    <w:rsid w:val="2D861D15"/>
    <w:rsid w:val="2DBF5E0B"/>
    <w:rsid w:val="2DC3301F"/>
    <w:rsid w:val="2DE538E8"/>
    <w:rsid w:val="2DE60387"/>
    <w:rsid w:val="2DEE15AA"/>
    <w:rsid w:val="2E592EF5"/>
    <w:rsid w:val="2E6D3924"/>
    <w:rsid w:val="2E920522"/>
    <w:rsid w:val="2EC1618A"/>
    <w:rsid w:val="2EE926FC"/>
    <w:rsid w:val="2FAA7F74"/>
    <w:rsid w:val="2FCB19D2"/>
    <w:rsid w:val="2FDE34CE"/>
    <w:rsid w:val="2FEF5F12"/>
    <w:rsid w:val="300F686F"/>
    <w:rsid w:val="30956D56"/>
    <w:rsid w:val="30B307F6"/>
    <w:rsid w:val="312B4F7A"/>
    <w:rsid w:val="313F4D1E"/>
    <w:rsid w:val="31590A5E"/>
    <w:rsid w:val="320E32C9"/>
    <w:rsid w:val="32132A0C"/>
    <w:rsid w:val="32371A51"/>
    <w:rsid w:val="329167CB"/>
    <w:rsid w:val="32A10A06"/>
    <w:rsid w:val="32B549F3"/>
    <w:rsid w:val="32BC2797"/>
    <w:rsid w:val="32C36177"/>
    <w:rsid w:val="32D94E73"/>
    <w:rsid w:val="32EC3746"/>
    <w:rsid w:val="32FA117F"/>
    <w:rsid w:val="33492A8A"/>
    <w:rsid w:val="334F08B2"/>
    <w:rsid w:val="33507E5E"/>
    <w:rsid w:val="335E7911"/>
    <w:rsid w:val="33A96228"/>
    <w:rsid w:val="33AB5872"/>
    <w:rsid w:val="34500D23"/>
    <w:rsid w:val="34575DB4"/>
    <w:rsid w:val="34A740D5"/>
    <w:rsid w:val="34C22221"/>
    <w:rsid w:val="34E51D7E"/>
    <w:rsid w:val="35354CBA"/>
    <w:rsid w:val="353A2679"/>
    <w:rsid w:val="353D6440"/>
    <w:rsid w:val="35610582"/>
    <w:rsid w:val="358F6B3E"/>
    <w:rsid w:val="35A73908"/>
    <w:rsid w:val="35C366E7"/>
    <w:rsid w:val="36303068"/>
    <w:rsid w:val="3637699C"/>
    <w:rsid w:val="36BA7625"/>
    <w:rsid w:val="37172BF2"/>
    <w:rsid w:val="37204E23"/>
    <w:rsid w:val="374B727A"/>
    <w:rsid w:val="374C76ED"/>
    <w:rsid w:val="377F20E2"/>
    <w:rsid w:val="378051D9"/>
    <w:rsid w:val="37A83733"/>
    <w:rsid w:val="37DC0704"/>
    <w:rsid w:val="38195F89"/>
    <w:rsid w:val="383062DF"/>
    <w:rsid w:val="385C673F"/>
    <w:rsid w:val="38C94F0C"/>
    <w:rsid w:val="39285C60"/>
    <w:rsid w:val="39397DD8"/>
    <w:rsid w:val="396C0A6C"/>
    <w:rsid w:val="39792B18"/>
    <w:rsid w:val="39991F4B"/>
    <w:rsid w:val="39B1229D"/>
    <w:rsid w:val="39C13624"/>
    <w:rsid w:val="39C13896"/>
    <w:rsid w:val="39C50133"/>
    <w:rsid w:val="3A03049E"/>
    <w:rsid w:val="3A05517B"/>
    <w:rsid w:val="3A2A45C0"/>
    <w:rsid w:val="3A341A7D"/>
    <w:rsid w:val="3AE53C08"/>
    <w:rsid w:val="3B3141DA"/>
    <w:rsid w:val="3B7325D3"/>
    <w:rsid w:val="3BC461B6"/>
    <w:rsid w:val="3C4E0781"/>
    <w:rsid w:val="3C833CCB"/>
    <w:rsid w:val="3C981D79"/>
    <w:rsid w:val="3CA2580F"/>
    <w:rsid w:val="3CB91AC7"/>
    <w:rsid w:val="3CBE5145"/>
    <w:rsid w:val="3CCF118E"/>
    <w:rsid w:val="3CF51DCA"/>
    <w:rsid w:val="3D1E5950"/>
    <w:rsid w:val="3D20764E"/>
    <w:rsid w:val="3D3D5D5E"/>
    <w:rsid w:val="3DDD59AC"/>
    <w:rsid w:val="3E227AF1"/>
    <w:rsid w:val="3E6C5665"/>
    <w:rsid w:val="3E6D25CC"/>
    <w:rsid w:val="3E7E6F52"/>
    <w:rsid w:val="3E8E34E8"/>
    <w:rsid w:val="3EB82BBF"/>
    <w:rsid w:val="3EBF3A73"/>
    <w:rsid w:val="3EC87956"/>
    <w:rsid w:val="3ECC389E"/>
    <w:rsid w:val="3EEE1D8D"/>
    <w:rsid w:val="3F055DAC"/>
    <w:rsid w:val="3F533A3C"/>
    <w:rsid w:val="3F543091"/>
    <w:rsid w:val="3FB35848"/>
    <w:rsid w:val="40150E53"/>
    <w:rsid w:val="402E257C"/>
    <w:rsid w:val="4053680B"/>
    <w:rsid w:val="405A23C5"/>
    <w:rsid w:val="40A508FA"/>
    <w:rsid w:val="40B87FA3"/>
    <w:rsid w:val="40C74908"/>
    <w:rsid w:val="40E43502"/>
    <w:rsid w:val="41015470"/>
    <w:rsid w:val="410775CE"/>
    <w:rsid w:val="410D352D"/>
    <w:rsid w:val="41121FB4"/>
    <w:rsid w:val="412739A4"/>
    <w:rsid w:val="412F2E02"/>
    <w:rsid w:val="416A2F22"/>
    <w:rsid w:val="41F36CB5"/>
    <w:rsid w:val="41F703A2"/>
    <w:rsid w:val="422E7146"/>
    <w:rsid w:val="42337488"/>
    <w:rsid w:val="427349C2"/>
    <w:rsid w:val="42D8312F"/>
    <w:rsid w:val="42E35FDC"/>
    <w:rsid w:val="43232B46"/>
    <w:rsid w:val="43960B0B"/>
    <w:rsid w:val="43B15CBA"/>
    <w:rsid w:val="440661D5"/>
    <w:rsid w:val="44162DAC"/>
    <w:rsid w:val="44183284"/>
    <w:rsid w:val="441B5B8D"/>
    <w:rsid w:val="44201B14"/>
    <w:rsid w:val="443915EC"/>
    <w:rsid w:val="4446163A"/>
    <w:rsid w:val="44852938"/>
    <w:rsid w:val="44B14384"/>
    <w:rsid w:val="44B35C8D"/>
    <w:rsid w:val="44E872DF"/>
    <w:rsid w:val="44EA0CF9"/>
    <w:rsid w:val="450A484A"/>
    <w:rsid w:val="452B0593"/>
    <w:rsid w:val="452E20FC"/>
    <w:rsid w:val="45753869"/>
    <w:rsid w:val="45AA1663"/>
    <w:rsid w:val="45AF72C7"/>
    <w:rsid w:val="45B8235E"/>
    <w:rsid w:val="45C35EC8"/>
    <w:rsid w:val="461C21FA"/>
    <w:rsid w:val="461E2347"/>
    <w:rsid w:val="462D7404"/>
    <w:rsid w:val="465A0E4D"/>
    <w:rsid w:val="46670BDD"/>
    <w:rsid w:val="46C23FA8"/>
    <w:rsid w:val="46DF7EF7"/>
    <w:rsid w:val="47225794"/>
    <w:rsid w:val="47463C86"/>
    <w:rsid w:val="474D6A34"/>
    <w:rsid w:val="477A7558"/>
    <w:rsid w:val="47862F78"/>
    <w:rsid w:val="47A262BE"/>
    <w:rsid w:val="47C3274A"/>
    <w:rsid w:val="47E4504C"/>
    <w:rsid w:val="47EA6828"/>
    <w:rsid w:val="483230D2"/>
    <w:rsid w:val="489A0A31"/>
    <w:rsid w:val="48C41427"/>
    <w:rsid w:val="48D47EDF"/>
    <w:rsid w:val="4919661D"/>
    <w:rsid w:val="493C61FE"/>
    <w:rsid w:val="494245A1"/>
    <w:rsid w:val="499E1256"/>
    <w:rsid w:val="499E219C"/>
    <w:rsid w:val="49BA6573"/>
    <w:rsid w:val="4A3144EA"/>
    <w:rsid w:val="4A682B50"/>
    <w:rsid w:val="4ADA01B8"/>
    <w:rsid w:val="4ADD0A4F"/>
    <w:rsid w:val="4AEE6968"/>
    <w:rsid w:val="4AF042FE"/>
    <w:rsid w:val="4B1C70B8"/>
    <w:rsid w:val="4B8621CA"/>
    <w:rsid w:val="4B892E44"/>
    <w:rsid w:val="4B8C648F"/>
    <w:rsid w:val="4BAB09C9"/>
    <w:rsid w:val="4BAD6E2C"/>
    <w:rsid w:val="4C3563F9"/>
    <w:rsid w:val="4C6161CE"/>
    <w:rsid w:val="4C74641A"/>
    <w:rsid w:val="4C811AF8"/>
    <w:rsid w:val="4CBF6AF4"/>
    <w:rsid w:val="4CE23903"/>
    <w:rsid w:val="4CFC366E"/>
    <w:rsid w:val="4D034608"/>
    <w:rsid w:val="4D192698"/>
    <w:rsid w:val="4D2F17EF"/>
    <w:rsid w:val="4D386906"/>
    <w:rsid w:val="4DB3423A"/>
    <w:rsid w:val="4DC63BE4"/>
    <w:rsid w:val="4DC74489"/>
    <w:rsid w:val="4DCE3059"/>
    <w:rsid w:val="4DD61DB1"/>
    <w:rsid w:val="4E462338"/>
    <w:rsid w:val="4E666C9B"/>
    <w:rsid w:val="4E7222A8"/>
    <w:rsid w:val="4E9557F2"/>
    <w:rsid w:val="4F022E62"/>
    <w:rsid w:val="4F0B11A9"/>
    <w:rsid w:val="4F563B4C"/>
    <w:rsid w:val="4F711948"/>
    <w:rsid w:val="4F8F2FCA"/>
    <w:rsid w:val="4F92560F"/>
    <w:rsid w:val="4FA175D5"/>
    <w:rsid w:val="4FCC27F3"/>
    <w:rsid w:val="4FE35647"/>
    <w:rsid w:val="50295209"/>
    <w:rsid w:val="50784922"/>
    <w:rsid w:val="50821ADA"/>
    <w:rsid w:val="50B54BE6"/>
    <w:rsid w:val="50C56AEC"/>
    <w:rsid w:val="50D024D6"/>
    <w:rsid w:val="51550A8C"/>
    <w:rsid w:val="517320AE"/>
    <w:rsid w:val="517A234D"/>
    <w:rsid w:val="517F0BCD"/>
    <w:rsid w:val="51F226B5"/>
    <w:rsid w:val="52012B32"/>
    <w:rsid w:val="52217AE5"/>
    <w:rsid w:val="5250314C"/>
    <w:rsid w:val="525F3DA5"/>
    <w:rsid w:val="526A12B2"/>
    <w:rsid w:val="526C5D4D"/>
    <w:rsid w:val="5272144B"/>
    <w:rsid w:val="52774E00"/>
    <w:rsid w:val="52791960"/>
    <w:rsid w:val="527F002A"/>
    <w:rsid w:val="52C42E4A"/>
    <w:rsid w:val="52C54EB6"/>
    <w:rsid w:val="52E72925"/>
    <w:rsid w:val="531227AB"/>
    <w:rsid w:val="5320519F"/>
    <w:rsid w:val="533A70CD"/>
    <w:rsid w:val="53FF5D72"/>
    <w:rsid w:val="542E736F"/>
    <w:rsid w:val="543D3309"/>
    <w:rsid w:val="54583EEE"/>
    <w:rsid w:val="54855564"/>
    <w:rsid w:val="54CE5360"/>
    <w:rsid w:val="54D25ADB"/>
    <w:rsid w:val="54E447EF"/>
    <w:rsid w:val="551F3F7A"/>
    <w:rsid w:val="5527119C"/>
    <w:rsid w:val="55306814"/>
    <w:rsid w:val="55384D9D"/>
    <w:rsid w:val="553F7D47"/>
    <w:rsid w:val="554C47A1"/>
    <w:rsid w:val="555A52F5"/>
    <w:rsid w:val="555F62FA"/>
    <w:rsid w:val="55672FCC"/>
    <w:rsid w:val="557578CB"/>
    <w:rsid w:val="55BD2A47"/>
    <w:rsid w:val="55C06939"/>
    <w:rsid w:val="55CB2505"/>
    <w:rsid w:val="55CE7A30"/>
    <w:rsid w:val="55E33014"/>
    <w:rsid w:val="55ED4EE8"/>
    <w:rsid w:val="560359DB"/>
    <w:rsid w:val="561D6B1F"/>
    <w:rsid w:val="563A5CCE"/>
    <w:rsid w:val="56741A53"/>
    <w:rsid w:val="568F0AC5"/>
    <w:rsid w:val="56B767CA"/>
    <w:rsid w:val="56C355B1"/>
    <w:rsid w:val="56CC2494"/>
    <w:rsid w:val="570775E8"/>
    <w:rsid w:val="572A4399"/>
    <w:rsid w:val="574C2511"/>
    <w:rsid w:val="577D1E8A"/>
    <w:rsid w:val="5795440E"/>
    <w:rsid w:val="57CE0652"/>
    <w:rsid w:val="57F62749"/>
    <w:rsid w:val="58A22E26"/>
    <w:rsid w:val="58E504BB"/>
    <w:rsid w:val="58EA7CF4"/>
    <w:rsid w:val="591A4785"/>
    <w:rsid w:val="59235CF5"/>
    <w:rsid w:val="5963338C"/>
    <w:rsid w:val="596F7C9B"/>
    <w:rsid w:val="598370BC"/>
    <w:rsid w:val="59EA27CF"/>
    <w:rsid w:val="5A0E0B45"/>
    <w:rsid w:val="5A1D18B2"/>
    <w:rsid w:val="5A502B6F"/>
    <w:rsid w:val="5A864B67"/>
    <w:rsid w:val="5AB07DFA"/>
    <w:rsid w:val="5B03575C"/>
    <w:rsid w:val="5B2E1D48"/>
    <w:rsid w:val="5B3D5D30"/>
    <w:rsid w:val="5B436FA0"/>
    <w:rsid w:val="5B5E2B6D"/>
    <w:rsid w:val="5B84306E"/>
    <w:rsid w:val="5BC23327"/>
    <w:rsid w:val="5BEF63FC"/>
    <w:rsid w:val="5C1C55B8"/>
    <w:rsid w:val="5C2F1E35"/>
    <w:rsid w:val="5C4E55C8"/>
    <w:rsid w:val="5C6C0C5C"/>
    <w:rsid w:val="5C901FBA"/>
    <w:rsid w:val="5C992619"/>
    <w:rsid w:val="5C9C2E86"/>
    <w:rsid w:val="5CE9360B"/>
    <w:rsid w:val="5D2975E8"/>
    <w:rsid w:val="5D5B6855"/>
    <w:rsid w:val="5DC91E64"/>
    <w:rsid w:val="5DDC45A2"/>
    <w:rsid w:val="5E14627D"/>
    <w:rsid w:val="5E3528C1"/>
    <w:rsid w:val="5E4F502B"/>
    <w:rsid w:val="5E5059BD"/>
    <w:rsid w:val="5EDC06D4"/>
    <w:rsid w:val="5EE36DED"/>
    <w:rsid w:val="5F0418D3"/>
    <w:rsid w:val="5F1B470D"/>
    <w:rsid w:val="5F2C7550"/>
    <w:rsid w:val="5F367F47"/>
    <w:rsid w:val="5F923A10"/>
    <w:rsid w:val="5FA34BD6"/>
    <w:rsid w:val="5FF50CF4"/>
    <w:rsid w:val="60070D83"/>
    <w:rsid w:val="602A14A2"/>
    <w:rsid w:val="603A7520"/>
    <w:rsid w:val="604E2B42"/>
    <w:rsid w:val="605D18BA"/>
    <w:rsid w:val="608921B0"/>
    <w:rsid w:val="60AF0E46"/>
    <w:rsid w:val="60B0016D"/>
    <w:rsid w:val="60B90162"/>
    <w:rsid w:val="60BC146A"/>
    <w:rsid w:val="60BD632F"/>
    <w:rsid w:val="60CC582C"/>
    <w:rsid w:val="60DC3821"/>
    <w:rsid w:val="60FA5AB5"/>
    <w:rsid w:val="60FF44A5"/>
    <w:rsid w:val="611711BB"/>
    <w:rsid w:val="6152116F"/>
    <w:rsid w:val="617F6A0E"/>
    <w:rsid w:val="618B4A86"/>
    <w:rsid w:val="61FF5B03"/>
    <w:rsid w:val="621E7C01"/>
    <w:rsid w:val="62886DF3"/>
    <w:rsid w:val="62913EAB"/>
    <w:rsid w:val="62A879C1"/>
    <w:rsid w:val="62D81508"/>
    <w:rsid w:val="62D94166"/>
    <w:rsid w:val="62FB7442"/>
    <w:rsid w:val="6339244A"/>
    <w:rsid w:val="63D10BB9"/>
    <w:rsid w:val="63FF0B0C"/>
    <w:rsid w:val="643A3F08"/>
    <w:rsid w:val="646B0673"/>
    <w:rsid w:val="64923E2B"/>
    <w:rsid w:val="64C31087"/>
    <w:rsid w:val="65187B55"/>
    <w:rsid w:val="65566962"/>
    <w:rsid w:val="655911AC"/>
    <w:rsid w:val="656C4D3D"/>
    <w:rsid w:val="65A22FF3"/>
    <w:rsid w:val="65BE2D97"/>
    <w:rsid w:val="65FB27E9"/>
    <w:rsid w:val="660F25A7"/>
    <w:rsid w:val="663C0E2F"/>
    <w:rsid w:val="66910E07"/>
    <w:rsid w:val="66B24FDE"/>
    <w:rsid w:val="66D80427"/>
    <w:rsid w:val="66FB7852"/>
    <w:rsid w:val="675C7AE6"/>
    <w:rsid w:val="67BE2E1F"/>
    <w:rsid w:val="67E23162"/>
    <w:rsid w:val="67FA22B3"/>
    <w:rsid w:val="68366F66"/>
    <w:rsid w:val="683977DC"/>
    <w:rsid w:val="68A058FA"/>
    <w:rsid w:val="68A75FE5"/>
    <w:rsid w:val="68AC2C86"/>
    <w:rsid w:val="6902723F"/>
    <w:rsid w:val="6955546F"/>
    <w:rsid w:val="697854C6"/>
    <w:rsid w:val="698C04BA"/>
    <w:rsid w:val="69977FAA"/>
    <w:rsid w:val="69A83646"/>
    <w:rsid w:val="69D02025"/>
    <w:rsid w:val="6A0D06B1"/>
    <w:rsid w:val="6AB278D1"/>
    <w:rsid w:val="6AD3770D"/>
    <w:rsid w:val="6AD73EEE"/>
    <w:rsid w:val="6AE25EB8"/>
    <w:rsid w:val="6B7633F7"/>
    <w:rsid w:val="6B780D47"/>
    <w:rsid w:val="6B7E2F12"/>
    <w:rsid w:val="6BB0552F"/>
    <w:rsid w:val="6BE42F2C"/>
    <w:rsid w:val="6BF446C7"/>
    <w:rsid w:val="6C7817AD"/>
    <w:rsid w:val="6C874160"/>
    <w:rsid w:val="6C926EFF"/>
    <w:rsid w:val="6CA42688"/>
    <w:rsid w:val="6CAE5A71"/>
    <w:rsid w:val="6CC51003"/>
    <w:rsid w:val="6CF17040"/>
    <w:rsid w:val="6D16198C"/>
    <w:rsid w:val="6D164463"/>
    <w:rsid w:val="6D377C7B"/>
    <w:rsid w:val="6D653E2E"/>
    <w:rsid w:val="6DA90604"/>
    <w:rsid w:val="6DC858A6"/>
    <w:rsid w:val="6DF86D88"/>
    <w:rsid w:val="6E042452"/>
    <w:rsid w:val="6E354AB1"/>
    <w:rsid w:val="6E423EEE"/>
    <w:rsid w:val="6E445E5C"/>
    <w:rsid w:val="6E505296"/>
    <w:rsid w:val="6E671776"/>
    <w:rsid w:val="6E9165E0"/>
    <w:rsid w:val="6EAF2D70"/>
    <w:rsid w:val="6EC6701F"/>
    <w:rsid w:val="6EDF58E3"/>
    <w:rsid w:val="6EF16791"/>
    <w:rsid w:val="6EF1700E"/>
    <w:rsid w:val="6F04259C"/>
    <w:rsid w:val="6F3A6C0E"/>
    <w:rsid w:val="6F7B2B68"/>
    <w:rsid w:val="6FAF72A0"/>
    <w:rsid w:val="6FE93A8E"/>
    <w:rsid w:val="700C4178"/>
    <w:rsid w:val="70306E0F"/>
    <w:rsid w:val="704D178B"/>
    <w:rsid w:val="706A71DC"/>
    <w:rsid w:val="708236DE"/>
    <w:rsid w:val="709246E5"/>
    <w:rsid w:val="70996B6D"/>
    <w:rsid w:val="70B70B34"/>
    <w:rsid w:val="70D07A55"/>
    <w:rsid w:val="70D34B02"/>
    <w:rsid w:val="70EC7C38"/>
    <w:rsid w:val="71425B20"/>
    <w:rsid w:val="71676109"/>
    <w:rsid w:val="71905529"/>
    <w:rsid w:val="719D4162"/>
    <w:rsid w:val="71AF6E97"/>
    <w:rsid w:val="71D758DC"/>
    <w:rsid w:val="72663898"/>
    <w:rsid w:val="72822C70"/>
    <w:rsid w:val="72857723"/>
    <w:rsid w:val="729E0FBA"/>
    <w:rsid w:val="72D40700"/>
    <w:rsid w:val="72D96964"/>
    <w:rsid w:val="73856221"/>
    <w:rsid w:val="73AB4FAD"/>
    <w:rsid w:val="73FF3CD4"/>
    <w:rsid w:val="740A5DF5"/>
    <w:rsid w:val="74294242"/>
    <w:rsid w:val="74344BDA"/>
    <w:rsid w:val="745F30ED"/>
    <w:rsid w:val="747921A6"/>
    <w:rsid w:val="74D16C4E"/>
    <w:rsid w:val="74D21800"/>
    <w:rsid w:val="74D454F5"/>
    <w:rsid w:val="75432EBA"/>
    <w:rsid w:val="757409A5"/>
    <w:rsid w:val="75742D4C"/>
    <w:rsid w:val="7578254D"/>
    <w:rsid w:val="75993D67"/>
    <w:rsid w:val="75E038D7"/>
    <w:rsid w:val="760C0203"/>
    <w:rsid w:val="761C1357"/>
    <w:rsid w:val="762B7B66"/>
    <w:rsid w:val="764842DB"/>
    <w:rsid w:val="76A616E7"/>
    <w:rsid w:val="76C221F7"/>
    <w:rsid w:val="76C448E1"/>
    <w:rsid w:val="76D54F04"/>
    <w:rsid w:val="771947C5"/>
    <w:rsid w:val="775F1B87"/>
    <w:rsid w:val="776659F6"/>
    <w:rsid w:val="776D2D83"/>
    <w:rsid w:val="77DF4D70"/>
    <w:rsid w:val="7824064E"/>
    <w:rsid w:val="782D2C54"/>
    <w:rsid w:val="783640D6"/>
    <w:rsid w:val="783D1C8F"/>
    <w:rsid w:val="787865F4"/>
    <w:rsid w:val="787C2E12"/>
    <w:rsid w:val="78BF53AA"/>
    <w:rsid w:val="78DF156D"/>
    <w:rsid w:val="78E029EF"/>
    <w:rsid w:val="78E2330F"/>
    <w:rsid w:val="79222811"/>
    <w:rsid w:val="794C2442"/>
    <w:rsid w:val="79637242"/>
    <w:rsid w:val="79836923"/>
    <w:rsid w:val="79932B48"/>
    <w:rsid w:val="79E508C0"/>
    <w:rsid w:val="7A0B0A9A"/>
    <w:rsid w:val="7A317024"/>
    <w:rsid w:val="7A3845DE"/>
    <w:rsid w:val="7A663F63"/>
    <w:rsid w:val="7AB70EA2"/>
    <w:rsid w:val="7ABE1345"/>
    <w:rsid w:val="7AC70CB7"/>
    <w:rsid w:val="7AF80E94"/>
    <w:rsid w:val="7B2A3375"/>
    <w:rsid w:val="7B362385"/>
    <w:rsid w:val="7B417A9D"/>
    <w:rsid w:val="7B721609"/>
    <w:rsid w:val="7B7A1288"/>
    <w:rsid w:val="7BF56AEB"/>
    <w:rsid w:val="7C593512"/>
    <w:rsid w:val="7C931472"/>
    <w:rsid w:val="7C99498C"/>
    <w:rsid w:val="7CA0257E"/>
    <w:rsid w:val="7CA71EBE"/>
    <w:rsid w:val="7CA769FE"/>
    <w:rsid w:val="7CAD64BE"/>
    <w:rsid w:val="7CB92C14"/>
    <w:rsid w:val="7CC113BE"/>
    <w:rsid w:val="7CEC097F"/>
    <w:rsid w:val="7D76210A"/>
    <w:rsid w:val="7D895627"/>
    <w:rsid w:val="7D9576AB"/>
    <w:rsid w:val="7DA57EB8"/>
    <w:rsid w:val="7DB065FE"/>
    <w:rsid w:val="7DB93C70"/>
    <w:rsid w:val="7DC46C1D"/>
    <w:rsid w:val="7DC7327B"/>
    <w:rsid w:val="7E083E3B"/>
    <w:rsid w:val="7E0A2307"/>
    <w:rsid w:val="7E377905"/>
    <w:rsid w:val="7E9958AD"/>
    <w:rsid w:val="7EF722B6"/>
    <w:rsid w:val="7F5558D5"/>
    <w:rsid w:val="7F5759DD"/>
    <w:rsid w:val="7F9D15B6"/>
    <w:rsid w:val="7FB157BB"/>
    <w:rsid w:val="7FE50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paragraph" w:styleId="8">
    <w:name w:val="Normal Indent"/>
    <w:basedOn w:val="1"/>
    <w:link w:val="47"/>
    <w:qFormat/>
    <w:uiPriority w:val="0"/>
    <w:pPr>
      <w:ind w:firstLine="420"/>
    </w:pPr>
  </w:style>
  <w:style w:type="paragraph" w:styleId="9">
    <w:name w:val="annotation text"/>
    <w:basedOn w:val="1"/>
    <w:link w:val="41"/>
    <w:unhideWhenUsed/>
    <w:qFormat/>
    <w:uiPriority w:val="99"/>
    <w:pPr>
      <w:jc w:val="left"/>
    </w:pPr>
  </w:style>
  <w:style w:type="paragraph" w:styleId="10">
    <w:name w:val="Body Text"/>
    <w:basedOn w:val="1"/>
    <w:next w:val="1"/>
    <w:link w:val="52"/>
    <w:semiHidden/>
    <w:unhideWhenUsed/>
    <w:qFormat/>
    <w:uiPriority w:val="99"/>
    <w:pPr>
      <w:spacing w:after="120"/>
    </w:pPr>
  </w:style>
  <w:style w:type="paragraph" w:styleId="11">
    <w:name w:val="Body Text Indent"/>
    <w:basedOn w:val="1"/>
    <w:next w:val="1"/>
    <w:link w:val="53"/>
    <w:unhideWhenUsed/>
    <w:qFormat/>
    <w:uiPriority w:val="99"/>
    <w:pPr>
      <w:widowControl/>
      <w:spacing w:after="120"/>
      <w:ind w:left="420"/>
    </w:pPr>
    <w:rPr>
      <w:rFonts w:ascii="Times New Roman" w:hAnsi="Times New Roman" w:cs="Times New Roman"/>
      <w:szCs w:val="21"/>
    </w:rPr>
  </w:style>
  <w:style w:type="paragraph" w:styleId="12">
    <w:name w:val="Block Text"/>
    <w:basedOn w:val="1"/>
    <w:qFormat/>
    <w:uiPriority w:val="6"/>
    <w:pPr>
      <w:spacing w:line="360" w:lineRule="auto"/>
      <w:ind w:left="630" w:right="-609" w:firstLine="420"/>
    </w:pPr>
    <w:rPr>
      <w:rFonts w:ascii="FangSong_GB2312" w:hAnsi="FangSong_GB2312" w:eastAsia="FangSong_GB2312"/>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link w:val="44"/>
    <w:qFormat/>
    <w:uiPriority w:val="0"/>
    <w:rPr>
      <w:rFonts w:ascii="宋体" w:hAnsi="Courier New" w:cs="Courier New"/>
      <w:szCs w:val="21"/>
    </w:rPr>
  </w:style>
  <w:style w:type="paragraph" w:styleId="15">
    <w:name w:val="Date"/>
    <w:basedOn w:val="1"/>
    <w:next w:val="1"/>
    <w:link w:val="57"/>
    <w:semiHidden/>
    <w:unhideWhenUsed/>
    <w:qFormat/>
    <w:uiPriority w:val="99"/>
    <w:pPr>
      <w:ind w:left="100" w:leftChars="2500"/>
    </w:pPr>
  </w:style>
  <w:style w:type="paragraph" w:styleId="16">
    <w:name w:val="endnote text"/>
    <w:basedOn w:val="1"/>
    <w:link w:val="43"/>
    <w:unhideWhenUsed/>
    <w:qFormat/>
    <w:uiPriority w:val="99"/>
    <w:pPr>
      <w:snapToGrid w:val="0"/>
      <w:jc w:val="left"/>
    </w:pPr>
  </w:style>
  <w:style w:type="paragraph" w:styleId="17">
    <w:name w:val="Balloon Text"/>
    <w:basedOn w:val="1"/>
    <w:link w:val="38"/>
    <w:unhideWhenUsed/>
    <w:qFormat/>
    <w:uiPriority w:val="99"/>
    <w:rPr>
      <w:sz w:val="18"/>
      <w:szCs w:val="18"/>
    </w:rPr>
  </w:style>
  <w:style w:type="paragraph" w:styleId="18">
    <w:name w:val="footer"/>
    <w:basedOn w:val="1"/>
    <w:link w:val="37"/>
    <w:unhideWhenUsed/>
    <w:qFormat/>
    <w:uiPriority w:val="0"/>
    <w:pPr>
      <w:tabs>
        <w:tab w:val="center" w:pos="4153"/>
        <w:tab w:val="right" w:pos="8306"/>
      </w:tabs>
      <w:snapToGrid w:val="0"/>
      <w:jc w:val="left"/>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line="440" w:lineRule="exact"/>
      <w:jc w:val="left"/>
    </w:pPr>
    <w:rPr>
      <w:rFonts w:eastAsia="黑体"/>
      <w:b/>
      <w:kern w:val="0"/>
      <w:sz w:val="28"/>
    </w:rPr>
  </w:style>
  <w:style w:type="paragraph" w:styleId="21">
    <w:name w:val="toc 2"/>
    <w:basedOn w:val="22"/>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22">
    <w:name w:val="引用1"/>
    <w:basedOn w:val="1"/>
    <w:next w:val="1"/>
    <w:link w:val="46"/>
    <w:qFormat/>
    <w:uiPriority w:val="29"/>
    <w:rPr>
      <w:i/>
      <w:iCs/>
      <w:color w:val="000000" w:themeColor="text1"/>
      <w14:textFill>
        <w14:solidFill>
          <w14:schemeClr w14:val="tx1"/>
        </w14:solidFill>
      </w14:textFill>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annotation subject"/>
    <w:basedOn w:val="9"/>
    <w:next w:val="9"/>
    <w:link w:val="48"/>
    <w:unhideWhenUsed/>
    <w:qFormat/>
    <w:uiPriority w:val="99"/>
    <w:rPr>
      <w:b/>
      <w:bCs/>
    </w:rPr>
  </w:style>
  <w:style w:type="paragraph" w:styleId="25">
    <w:name w:val="Body Text First Indent 2"/>
    <w:basedOn w:val="11"/>
    <w:link w:val="54"/>
    <w:unhideWhenUsed/>
    <w:qFormat/>
    <w:uiPriority w:val="99"/>
    <w:pPr>
      <w:widowControl w:val="0"/>
      <w:ind w:left="200" w:leftChars="200" w:firstLine="420" w:firstLineChars="200"/>
    </w:pPr>
    <w:rPr>
      <w:rFonts w:asciiTheme="minorHAnsi" w:hAnsiTheme="minorHAnsi" w:cstheme="minorBidi"/>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rPr>
  </w:style>
  <w:style w:type="character" w:styleId="30">
    <w:name w:val="endnote reference"/>
    <w:basedOn w:val="28"/>
    <w:unhideWhenUsed/>
    <w:qFormat/>
    <w:uiPriority w:val="99"/>
    <w:rPr>
      <w:vertAlign w:val="superscript"/>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qFormat/>
    <w:uiPriority w:val="99"/>
    <w:rPr>
      <w:sz w:val="21"/>
    </w:rPr>
  </w:style>
  <w:style w:type="character" w:customStyle="1" w:styleId="33">
    <w:name w:val="标题 1 Char"/>
    <w:basedOn w:val="28"/>
    <w:link w:val="3"/>
    <w:qFormat/>
    <w:uiPriority w:val="9"/>
    <w:rPr>
      <w:b/>
      <w:bCs/>
      <w:kern w:val="44"/>
      <w:sz w:val="44"/>
      <w:szCs w:val="44"/>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36">
    <w:name w:val="页眉 Char"/>
    <w:basedOn w:val="28"/>
    <w:link w:val="19"/>
    <w:qFormat/>
    <w:uiPriority w:val="99"/>
    <w:rPr>
      <w:sz w:val="18"/>
      <w:szCs w:val="18"/>
    </w:rPr>
  </w:style>
  <w:style w:type="character" w:customStyle="1" w:styleId="37">
    <w:name w:val="页脚 Char"/>
    <w:basedOn w:val="28"/>
    <w:link w:val="18"/>
    <w:qFormat/>
    <w:uiPriority w:val="99"/>
    <w:rPr>
      <w:sz w:val="18"/>
      <w:szCs w:val="18"/>
    </w:rPr>
  </w:style>
  <w:style w:type="character" w:customStyle="1" w:styleId="38">
    <w:name w:val="批注框文本 Char"/>
    <w:basedOn w:val="28"/>
    <w:link w:val="17"/>
    <w:semiHidden/>
    <w:qFormat/>
    <w:uiPriority w:val="99"/>
    <w:rPr>
      <w:sz w:val="18"/>
      <w:szCs w:val="18"/>
    </w:rPr>
  </w:style>
  <w:style w:type="paragraph" w:customStyle="1" w:styleId="39">
    <w:name w:val="列出段落1"/>
    <w:basedOn w:val="1"/>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文字 Char"/>
    <w:basedOn w:val="28"/>
    <w:link w:val="9"/>
    <w:qFormat/>
    <w:uiPriority w:val="99"/>
  </w:style>
  <w:style w:type="character" w:customStyle="1" w:styleId="42">
    <w:name w:val="标题 2 Char"/>
    <w:basedOn w:val="28"/>
    <w:link w:val="4"/>
    <w:qFormat/>
    <w:uiPriority w:val="9"/>
    <w:rPr>
      <w:rFonts w:asciiTheme="majorHAnsi" w:hAnsiTheme="majorHAnsi" w:eastAsiaTheme="majorEastAsia" w:cstheme="majorBidi"/>
      <w:b/>
      <w:bCs/>
      <w:sz w:val="32"/>
      <w:szCs w:val="32"/>
    </w:rPr>
  </w:style>
  <w:style w:type="character" w:customStyle="1" w:styleId="43">
    <w:name w:val="尾注文本 Char"/>
    <w:basedOn w:val="28"/>
    <w:link w:val="16"/>
    <w:semiHidden/>
    <w:qFormat/>
    <w:uiPriority w:val="99"/>
  </w:style>
  <w:style w:type="character" w:customStyle="1" w:styleId="44">
    <w:name w:val="纯文本 Char"/>
    <w:link w:val="14"/>
    <w:qFormat/>
    <w:uiPriority w:val="0"/>
    <w:rPr>
      <w:rFonts w:ascii="宋体" w:hAnsi="Courier New" w:cs="Courier New"/>
      <w:szCs w:val="21"/>
    </w:rPr>
  </w:style>
  <w:style w:type="character" w:customStyle="1" w:styleId="45">
    <w:name w:val="纯文本 Char1"/>
    <w:basedOn w:val="28"/>
    <w:semiHidden/>
    <w:qFormat/>
    <w:uiPriority w:val="99"/>
    <w:rPr>
      <w:rFonts w:ascii="宋体" w:hAnsi="Courier New" w:eastAsia="宋体" w:cs="Courier New"/>
      <w:szCs w:val="21"/>
    </w:rPr>
  </w:style>
  <w:style w:type="character" w:customStyle="1" w:styleId="46">
    <w:name w:val="引用 Char"/>
    <w:basedOn w:val="28"/>
    <w:link w:val="22"/>
    <w:qFormat/>
    <w:uiPriority w:val="29"/>
    <w:rPr>
      <w:i/>
      <w:iCs/>
      <w:color w:val="000000" w:themeColor="text1"/>
      <w14:textFill>
        <w14:solidFill>
          <w14:schemeClr w14:val="tx1"/>
        </w14:solidFill>
      </w14:textFill>
    </w:rPr>
  </w:style>
  <w:style w:type="character" w:customStyle="1" w:styleId="47">
    <w:name w:val="正文缩进 Char"/>
    <w:link w:val="8"/>
    <w:qFormat/>
    <w:uiPriority w:val="0"/>
  </w:style>
  <w:style w:type="character" w:customStyle="1" w:styleId="48">
    <w:name w:val="批注主题 Char"/>
    <w:basedOn w:val="41"/>
    <w:link w:val="24"/>
    <w:semiHidden/>
    <w:qFormat/>
    <w:uiPriority w:val="99"/>
    <w:rPr>
      <w:b/>
      <w:bCs/>
    </w:rPr>
  </w:style>
  <w:style w:type="paragraph" w:customStyle="1" w:styleId="49">
    <w:name w:val="列出段落2"/>
    <w:basedOn w:val="1"/>
    <w:unhideWhenUsed/>
    <w:qFormat/>
    <w:uiPriority w:val="99"/>
    <w:pPr>
      <w:ind w:firstLine="420" w:firstLineChars="200"/>
    </w:pPr>
  </w:style>
  <w:style w:type="paragraph" w:customStyle="1" w:styleId="50">
    <w:name w:val="_Style 1"/>
    <w:qFormat/>
    <w:uiPriority w:val="1"/>
    <w:pPr>
      <w:adjustRightInd w:val="0"/>
      <w:snapToGrid w:val="0"/>
    </w:pPr>
    <w:rPr>
      <w:rFonts w:ascii="Tahoma" w:hAnsi="Tahoma" w:eastAsia="宋体" w:cs="Times New Roman"/>
      <w:sz w:val="22"/>
      <w:szCs w:val="22"/>
      <w:lang w:val="en-US" w:eastAsia="zh-CN" w:bidi="ar-SA"/>
    </w:rPr>
  </w:style>
  <w:style w:type="paragraph" w:styleId="51">
    <w:name w:val="List Paragraph"/>
    <w:basedOn w:val="1"/>
    <w:unhideWhenUsed/>
    <w:qFormat/>
    <w:uiPriority w:val="99"/>
    <w:pPr>
      <w:ind w:firstLine="420" w:firstLineChars="200"/>
    </w:pPr>
  </w:style>
  <w:style w:type="character" w:customStyle="1" w:styleId="52">
    <w:name w:val="正文文本 Char"/>
    <w:basedOn w:val="28"/>
    <w:link w:val="10"/>
    <w:semiHidden/>
    <w:qFormat/>
    <w:uiPriority w:val="99"/>
    <w:rPr>
      <w:rFonts w:asciiTheme="minorHAnsi" w:hAnsiTheme="minorHAnsi" w:eastAsiaTheme="minorEastAsia" w:cstheme="minorBidi"/>
      <w:kern w:val="2"/>
      <w:sz w:val="21"/>
      <w:szCs w:val="22"/>
    </w:rPr>
  </w:style>
  <w:style w:type="character" w:customStyle="1" w:styleId="53">
    <w:name w:val="正文文本缩进 Char"/>
    <w:basedOn w:val="28"/>
    <w:link w:val="11"/>
    <w:qFormat/>
    <w:uiPriority w:val="99"/>
    <w:rPr>
      <w:rFonts w:eastAsiaTheme="minorEastAsia"/>
      <w:kern w:val="2"/>
      <w:sz w:val="21"/>
      <w:szCs w:val="21"/>
    </w:rPr>
  </w:style>
  <w:style w:type="character" w:customStyle="1" w:styleId="54">
    <w:name w:val="正文首行缩进 2 Char"/>
    <w:basedOn w:val="53"/>
    <w:link w:val="25"/>
    <w:qFormat/>
    <w:uiPriority w:val="0"/>
    <w:rPr>
      <w:rFonts w:eastAsiaTheme="minorEastAsia"/>
      <w:kern w:val="2"/>
      <w:sz w:val="21"/>
      <w:szCs w:val="21"/>
    </w:rPr>
  </w:style>
  <w:style w:type="paragraph" w:customStyle="1" w:styleId="55">
    <w:name w:val="Table Paragraph"/>
    <w:basedOn w:val="1"/>
    <w:qFormat/>
    <w:uiPriority w:val="1"/>
    <w:pPr>
      <w:autoSpaceDE w:val="0"/>
      <w:autoSpaceDN w:val="0"/>
      <w:jc w:val="left"/>
    </w:pPr>
    <w:rPr>
      <w:rFonts w:ascii="宋体" w:hAnsi="宋体" w:eastAsia="宋体" w:cs="宋体"/>
      <w:kern w:val="0"/>
      <w:sz w:val="22"/>
    </w:rPr>
  </w:style>
  <w:style w:type="paragraph" w:customStyle="1" w:styleId="56">
    <w:name w:val="正文文本 (2)1"/>
    <w:basedOn w:val="1"/>
    <w:qFormat/>
    <w:uiPriority w:val="0"/>
    <w:pPr>
      <w:shd w:val="clear" w:color="auto" w:fill="FFFFFF"/>
      <w:autoSpaceDE w:val="0"/>
      <w:autoSpaceDN w:val="0"/>
      <w:spacing w:line="408" w:lineRule="exact"/>
      <w:ind w:hanging="480"/>
      <w:jc w:val="distribute"/>
    </w:pPr>
    <w:rPr>
      <w:rFonts w:ascii="MingLiU" w:hAnsi="MingLiU" w:eastAsia="MingLiU"/>
      <w:kern w:val="0"/>
      <w:sz w:val="22"/>
    </w:rPr>
  </w:style>
  <w:style w:type="character" w:customStyle="1" w:styleId="57">
    <w:name w:val="日期 Char"/>
    <w:basedOn w:val="28"/>
    <w:link w:val="15"/>
    <w:semiHidden/>
    <w:qFormat/>
    <w:uiPriority w:val="99"/>
    <w:rPr>
      <w:rFonts w:asciiTheme="minorHAnsi" w:hAnsiTheme="minorHAnsi" w:eastAsiaTheme="minorEastAsia" w:cstheme="minorBidi"/>
      <w:kern w:val="2"/>
      <w:sz w:val="21"/>
      <w:szCs w:val="22"/>
    </w:rPr>
  </w:style>
  <w:style w:type="character" w:customStyle="1" w:styleId="58">
    <w:name w:val="标题 4 Char"/>
    <w:basedOn w:val="28"/>
    <w:link w:val="6"/>
    <w:semiHidden/>
    <w:qFormat/>
    <w:uiPriority w:val="9"/>
    <w:rPr>
      <w:rFonts w:asciiTheme="majorHAnsi" w:hAnsiTheme="majorHAnsi" w:eastAsiaTheme="majorEastAsia" w:cstheme="majorBidi"/>
      <w:b/>
      <w:bCs/>
      <w:kern w:val="2"/>
      <w:sz w:val="28"/>
      <w:szCs w:val="28"/>
    </w:rPr>
  </w:style>
  <w:style w:type="paragraph" w:customStyle="1" w:styleId="59">
    <w:name w:val="表格文字"/>
    <w:basedOn w:val="1"/>
    <w:qFormat/>
    <w:uiPriority w:val="0"/>
    <w:pPr>
      <w:spacing w:before="25" w:after="25"/>
      <w:jc w:val="left"/>
    </w:pPr>
    <w:rPr>
      <w:bCs/>
      <w:spacing w:val="10"/>
      <w:kern w:val="0"/>
      <w:sz w:val="24"/>
    </w:rPr>
  </w:style>
  <w:style w:type="paragraph" w:styleId="60">
    <w:name w:val="No Spacing"/>
    <w:qFormat/>
    <w:uiPriority w:val="1"/>
    <w:pPr>
      <w:widowControl w:val="0"/>
      <w:jc w:val="both"/>
    </w:pPr>
    <w:rPr>
      <w:rFonts w:ascii="Times New Roman" w:hAnsi="Times New Roman" w:eastAsia="宋体" w:cs="Times New Roman"/>
      <w:kern w:val="2"/>
      <w:sz w:val="21"/>
      <w:lang w:val="en-US" w:eastAsia="zh-CN" w:bidi="ar-SA"/>
    </w:rPr>
  </w:style>
  <w:style w:type="table" w:customStyle="1" w:styleId="6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2B77A-64C4-4C3A-89D2-5ACCA41A5C5C}">
  <ds:schemaRefs/>
</ds:datastoreItem>
</file>

<file path=docProps/app.xml><?xml version="1.0" encoding="utf-8"?>
<Properties xmlns="http://schemas.openxmlformats.org/officeDocument/2006/extended-properties" xmlns:vt="http://schemas.openxmlformats.org/officeDocument/2006/docPropsVTypes">
  <Template>Normal</Template>
  <Pages>61</Pages>
  <Words>29012</Words>
  <Characters>30209</Characters>
  <Lines>253</Lines>
  <Paragraphs>71</Paragraphs>
  <TotalTime>0</TotalTime>
  <ScaleCrop>false</ScaleCrop>
  <LinksUpToDate>false</LinksUpToDate>
  <CharactersWithSpaces>31520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Administrator</dc:creator>
  <cp:lastModifiedBy>lenovo</cp:lastModifiedBy>
  <cp:lastPrinted>2022-02-11T05:08:00Z</cp:lastPrinted>
  <dcterms:modified xsi:type="dcterms:W3CDTF">2022-06-27T07:57:27Z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50D054B832984CFF8F73D24D9A7262FA</vt:lpwstr>
  </property>
</Properties>
</file>