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spacing w:line="480" w:lineRule="auto"/>
        <w:jc w:val="center"/>
        <w:rPr>
          <w:rFonts w:ascii="宋体" w:cs="宋体"/>
          <w:color w:val="000000"/>
          <w:w w:val="120"/>
          <w:sz w:val="60"/>
          <w:szCs w:val="60"/>
        </w:rPr>
      </w:pPr>
    </w:p>
    <w:p>
      <w:pPr>
        <w:spacing w:line="480" w:lineRule="auto"/>
        <w:jc w:val="center"/>
        <w:rPr>
          <w:rFonts w:ascii="宋体" w:cs="宋体"/>
          <w:color w:val="000000"/>
          <w:w w:val="120"/>
          <w:sz w:val="20"/>
          <w:szCs w:val="20"/>
        </w:rPr>
      </w:pPr>
    </w:p>
    <w:p>
      <w:pPr>
        <w:pStyle w:val="16"/>
        <w:adjustRightInd w:val="0"/>
        <w:snapToGrid w:val="0"/>
        <w:jc w:val="center"/>
        <w:rPr>
          <w:rFonts w:hAnsi="宋体" w:cs="宋体"/>
          <w:snapToGrid w:val="0"/>
          <w:kern w:val="10"/>
          <w:sz w:val="144"/>
          <w:szCs w:val="144"/>
        </w:rPr>
      </w:pPr>
      <w:r>
        <w:rPr>
          <w:rFonts w:hint="eastAsia" w:hAnsi="宋体" w:cs="宋体"/>
          <w:snapToGrid w:val="0"/>
          <w:kern w:val="10"/>
          <w:sz w:val="144"/>
          <w:szCs w:val="144"/>
        </w:rPr>
        <w:t>招标文件</w:t>
      </w:r>
    </w:p>
    <w:p>
      <w:pPr>
        <w:pStyle w:val="16"/>
        <w:adjustRightInd w:val="0"/>
        <w:snapToGrid w:val="0"/>
        <w:jc w:val="center"/>
        <w:rPr>
          <w:rFonts w:hAnsi="宋体" w:cs="宋体"/>
          <w:snapToGrid w:val="0"/>
          <w:kern w:val="10"/>
          <w:sz w:val="40"/>
          <w:szCs w:val="40"/>
        </w:rPr>
      </w:pPr>
    </w:p>
    <w:p>
      <w:pPr>
        <w:pStyle w:val="16"/>
        <w:adjustRightInd w:val="0"/>
        <w:snapToGrid w:val="0"/>
        <w:jc w:val="center"/>
        <w:rPr>
          <w:rFonts w:hAnsi="宋体" w:cs="宋体"/>
          <w:snapToGrid w:val="0"/>
          <w:kern w:val="10"/>
          <w:sz w:val="40"/>
          <w:szCs w:val="40"/>
        </w:rPr>
      </w:pPr>
    </w:p>
    <w:p>
      <w:pPr>
        <w:pStyle w:val="16"/>
        <w:adjustRightInd w:val="0"/>
        <w:snapToGrid w:val="0"/>
        <w:jc w:val="center"/>
        <w:rPr>
          <w:rFonts w:hAnsi="宋体" w:cs="宋体"/>
          <w:snapToGrid w:val="0"/>
          <w:kern w:val="10"/>
          <w:sz w:val="40"/>
          <w:szCs w:val="40"/>
        </w:rPr>
      </w:pPr>
    </w:p>
    <w:p>
      <w:pPr>
        <w:pStyle w:val="16"/>
        <w:adjustRightInd w:val="0"/>
        <w:snapToGrid w:val="0"/>
        <w:jc w:val="center"/>
        <w:rPr>
          <w:rFonts w:hAnsi="宋体" w:cs="宋体"/>
          <w:snapToGrid w:val="0"/>
          <w:kern w:val="10"/>
          <w:sz w:val="40"/>
          <w:szCs w:val="40"/>
        </w:rPr>
      </w:pPr>
    </w:p>
    <w:p>
      <w:pPr>
        <w:spacing w:line="480" w:lineRule="auto"/>
        <w:ind w:firstLine="1600" w:firstLineChars="500"/>
        <w:rPr>
          <w:rFonts w:hint="default" w:ascii="宋体" w:eastAsia="宋体" w:cs="宋体"/>
          <w:bCs/>
          <w:color w:val="000000"/>
          <w:sz w:val="32"/>
          <w:szCs w:val="32"/>
          <w:lang w:val="en-US" w:eastAsia="zh-CN"/>
        </w:rPr>
      </w:pPr>
      <w:r>
        <w:rPr>
          <w:rFonts w:hint="eastAsia" w:ascii="宋体" w:hAnsi="宋体" w:cs="宋体"/>
          <w:bCs/>
          <w:color w:val="000000"/>
          <w:sz w:val="32"/>
          <w:szCs w:val="32"/>
        </w:rPr>
        <w:t>项目编号：</w:t>
      </w:r>
      <w:r>
        <w:rPr>
          <w:rFonts w:ascii="宋体" w:hAnsi="宋体" w:cs="宋体"/>
          <w:bCs/>
          <w:color w:val="000000"/>
          <w:sz w:val="32"/>
          <w:szCs w:val="32"/>
        </w:rPr>
        <w:t>131-</w:t>
      </w:r>
      <w:r>
        <w:rPr>
          <w:rFonts w:hint="eastAsia" w:ascii="宋体" w:hAnsi="宋体" w:cs="宋体"/>
          <w:bCs/>
          <w:color w:val="000000"/>
          <w:sz w:val="32"/>
          <w:szCs w:val="32"/>
        </w:rPr>
        <w:t>2022CG</w:t>
      </w:r>
      <w:r>
        <w:rPr>
          <w:rFonts w:ascii="宋体" w:hAnsi="宋体" w:cs="宋体"/>
          <w:bCs/>
          <w:color w:val="000000"/>
          <w:sz w:val="32"/>
          <w:szCs w:val="32"/>
        </w:rPr>
        <w:t>-</w:t>
      </w:r>
      <w:r>
        <w:rPr>
          <w:rFonts w:hint="eastAsia" w:ascii="宋体" w:hAnsi="宋体" w:cs="宋体"/>
          <w:bCs/>
          <w:color w:val="000000"/>
          <w:sz w:val="32"/>
          <w:szCs w:val="32"/>
          <w:lang w:val="en-US" w:eastAsia="zh-CN"/>
        </w:rPr>
        <w:t>188</w:t>
      </w:r>
    </w:p>
    <w:p>
      <w:pPr>
        <w:spacing w:line="480" w:lineRule="auto"/>
        <w:ind w:firstLine="1600" w:firstLineChars="500"/>
        <w:rPr>
          <w:rFonts w:ascii="宋体" w:cs="宋体"/>
          <w:bCs/>
          <w:color w:val="000000"/>
          <w:sz w:val="32"/>
          <w:szCs w:val="32"/>
        </w:rPr>
      </w:pPr>
      <w:r>
        <w:rPr>
          <w:rFonts w:hint="eastAsia" w:ascii="宋体" w:hAnsi="宋体" w:cs="宋体"/>
          <w:bCs/>
          <w:color w:val="000000"/>
          <w:sz w:val="32"/>
          <w:szCs w:val="32"/>
        </w:rPr>
        <w:t>采购人：阳新县城市建设开发有限公司</w:t>
      </w:r>
    </w:p>
    <w:p>
      <w:pPr>
        <w:spacing w:line="480" w:lineRule="auto"/>
        <w:ind w:firstLine="1600" w:firstLineChars="500"/>
        <w:rPr>
          <w:rFonts w:ascii="宋体" w:cs="宋体"/>
          <w:bCs/>
          <w:color w:val="000000"/>
          <w:sz w:val="32"/>
          <w:szCs w:val="32"/>
        </w:rPr>
      </w:pPr>
      <w:r>
        <w:rPr>
          <w:rFonts w:hint="eastAsia" w:ascii="宋体" w:hAnsi="宋体" w:cs="宋体"/>
          <w:bCs/>
          <w:color w:val="000000"/>
          <w:sz w:val="32"/>
          <w:szCs w:val="32"/>
        </w:rPr>
        <w:t>项目名称：</w:t>
      </w:r>
      <w:bookmarkStart w:id="279" w:name="_GoBack"/>
      <w:r>
        <w:rPr>
          <w:rFonts w:hint="eastAsia" w:ascii="宋体" w:hAnsi="宋体" w:cs="宋体"/>
          <w:bCs/>
          <w:color w:val="000000"/>
          <w:sz w:val="32"/>
          <w:szCs w:val="32"/>
        </w:rPr>
        <w:t>阳新县新老城区部分交通完善设施建设项目</w:t>
      </w:r>
    </w:p>
    <w:bookmarkEnd w:id="279"/>
    <w:p>
      <w:pPr>
        <w:spacing w:line="480" w:lineRule="auto"/>
        <w:ind w:left="105" w:leftChars="50" w:firstLine="1440" w:firstLineChars="450"/>
        <w:rPr>
          <w:rFonts w:ascii="宋体" w:cs="宋体"/>
          <w:sz w:val="36"/>
          <w:szCs w:val="36"/>
        </w:rPr>
      </w:pPr>
      <w:r>
        <w:rPr>
          <w:rFonts w:hint="eastAsia" w:ascii="宋体" w:hAnsi="宋体" w:cs="宋体"/>
          <w:bCs/>
          <w:color w:val="000000"/>
          <w:sz w:val="32"/>
          <w:szCs w:val="32"/>
        </w:rPr>
        <w:t>采购内容：阳新县新老城区部分交通完善设施建设</w:t>
      </w:r>
    </w:p>
    <w:p>
      <w:pPr>
        <w:jc w:val="center"/>
        <w:rPr>
          <w:rFonts w:ascii="宋体" w:cs="宋体"/>
          <w:bCs/>
          <w:snapToGrid w:val="0"/>
          <w:color w:val="000000"/>
          <w:kern w:val="0"/>
          <w:position w:val="-98"/>
          <w:sz w:val="76"/>
          <w:szCs w:val="76"/>
        </w:rPr>
      </w:pPr>
    </w:p>
    <w:p>
      <w:pPr>
        <w:jc w:val="center"/>
        <w:rPr>
          <w:rFonts w:ascii="宋体" w:cs="宋体"/>
          <w:bCs/>
          <w:snapToGrid w:val="0"/>
          <w:color w:val="000000"/>
          <w:kern w:val="0"/>
          <w:position w:val="-98"/>
          <w:sz w:val="76"/>
          <w:szCs w:val="76"/>
        </w:rPr>
      </w:pPr>
      <w:r>
        <w:rPr>
          <w:rFonts w:hint="eastAsia" w:ascii="宋体" w:hAnsi="宋体" w:cs="宋体"/>
          <w:bCs/>
          <w:snapToGrid w:val="0"/>
          <w:color w:val="000000"/>
          <w:kern w:val="0"/>
          <w:position w:val="-98"/>
          <w:sz w:val="76"/>
          <w:szCs w:val="76"/>
        </w:rPr>
        <w:t>中智达项目管理有限公司</w:t>
      </w:r>
    </w:p>
    <w:p>
      <w:pPr>
        <w:jc w:val="center"/>
        <w:rPr>
          <w:rFonts w:ascii="宋体" w:cs="宋体"/>
          <w:bCs/>
          <w:snapToGrid w:val="0"/>
          <w:color w:val="000000"/>
          <w:kern w:val="0"/>
          <w:position w:val="-98"/>
          <w:sz w:val="60"/>
          <w:szCs w:val="60"/>
        </w:rPr>
      </w:pPr>
      <w:r>
        <w:rPr>
          <w:rFonts w:ascii="宋体" w:hAnsi="宋体" w:cs="宋体"/>
          <w:bCs/>
          <w:snapToGrid w:val="0"/>
          <w:color w:val="000000"/>
          <w:kern w:val="0"/>
          <w:position w:val="-98"/>
          <w:sz w:val="60"/>
          <w:szCs w:val="60"/>
        </w:rPr>
        <w:t>20</w:t>
      </w:r>
      <w:r>
        <w:rPr>
          <w:rFonts w:hint="eastAsia" w:ascii="宋体" w:hAnsi="宋体" w:cs="宋体"/>
          <w:bCs/>
          <w:snapToGrid w:val="0"/>
          <w:color w:val="000000"/>
          <w:kern w:val="0"/>
          <w:position w:val="-98"/>
          <w:sz w:val="60"/>
          <w:szCs w:val="60"/>
        </w:rPr>
        <w:t>22年6月</w:t>
      </w:r>
    </w:p>
    <w:p>
      <w:pPr>
        <w:jc w:val="center"/>
        <w:rPr>
          <w:bCs/>
          <w:snapToGrid w:val="0"/>
          <w:color w:val="000000"/>
          <w:kern w:val="0"/>
          <w:position w:val="-98"/>
          <w:sz w:val="60"/>
          <w:szCs w:val="60"/>
        </w:rPr>
      </w:pPr>
    </w:p>
    <w:p>
      <w:pPr>
        <w:jc w:val="center"/>
        <w:rPr>
          <w:rFonts w:ascii="黑体" w:hAnsi="黑体" w:eastAsia="黑体"/>
          <w:sz w:val="44"/>
          <w:szCs w:val="44"/>
        </w:rPr>
      </w:pPr>
    </w:p>
    <w:p>
      <w:pPr>
        <w:jc w:val="center"/>
        <w:rPr>
          <w:rFonts w:ascii="黑体" w:hAnsi="黑体" w:eastAsia="黑体"/>
          <w:sz w:val="44"/>
          <w:szCs w:val="44"/>
        </w:rPr>
      </w:pPr>
    </w:p>
    <w:p>
      <w:pPr>
        <w:jc w:val="center"/>
        <w:rPr>
          <w:rFonts w:ascii="黑体" w:hAnsi="黑体" w:eastAsia="黑体"/>
          <w:sz w:val="44"/>
          <w:szCs w:val="44"/>
        </w:rPr>
      </w:pPr>
      <w:r>
        <w:rPr>
          <w:rFonts w:hint="eastAsia" w:ascii="黑体" w:hAnsi="黑体" w:eastAsia="黑体"/>
          <w:sz w:val="44"/>
          <w:szCs w:val="44"/>
        </w:rPr>
        <w:t>目录</w:t>
      </w:r>
    </w:p>
    <w:p>
      <w:pPr>
        <w:pStyle w:val="22"/>
        <w:tabs>
          <w:tab w:val="left" w:pos="1260"/>
          <w:tab w:val="right" w:leader="dot" w:pos="9514"/>
        </w:tabs>
        <w:rPr>
          <w:rFonts w:asciiTheme="minorHAnsi" w:hAnsiTheme="minorHAnsi" w:eastAsiaTheme="minorEastAsia" w:cstheme="minorBidi"/>
          <w:b w:val="0"/>
          <w:iCs w:val="0"/>
          <w:color w:val="auto"/>
          <w:kern w:val="2"/>
          <w:sz w:val="21"/>
          <w:szCs w:val="22"/>
        </w:rPr>
      </w:pPr>
      <w:r>
        <w:fldChar w:fldCharType="begin"/>
      </w:r>
      <w:r>
        <w:instrText xml:space="preserve"> TOC \o "1-2" \h \z \u </w:instrText>
      </w:r>
      <w:r>
        <w:fldChar w:fldCharType="separate"/>
      </w:r>
      <w:r>
        <w:fldChar w:fldCharType="begin"/>
      </w:r>
      <w:r>
        <w:instrText xml:space="preserve"> HYPERLINK \l "_Toc106268596" </w:instrText>
      </w:r>
      <w:r>
        <w:fldChar w:fldCharType="separate"/>
      </w:r>
      <w:r>
        <w:rPr>
          <w:rStyle w:val="33"/>
          <w:rFonts w:hint="eastAsia" w:ascii="黑体" w:hAnsi="黑体"/>
        </w:rPr>
        <w:t>第一章</w:t>
      </w:r>
      <w:r>
        <w:rPr>
          <w:rFonts w:asciiTheme="minorHAnsi" w:hAnsiTheme="minorHAnsi" w:eastAsiaTheme="minorEastAsia" w:cstheme="minorBidi"/>
          <w:b w:val="0"/>
          <w:iCs w:val="0"/>
          <w:color w:val="auto"/>
          <w:kern w:val="2"/>
          <w:sz w:val="21"/>
          <w:szCs w:val="22"/>
        </w:rPr>
        <w:tab/>
      </w:r>
      <w:r>
        <w:rPr>
          <w:rStyle w:val="33"/>
          <w:rFonts w:hint="eastAsia" w:ascii="黑体" w:hAnsi="黑体"/>
        </w:rPr>
        <w:t>投标邀请书</w:t>
      </w:r>
      <w:r>
        <w:tab/>
      </w:r>
      <w:r>
        <w:rPr>
          <w:rFonts w:hint="eastAsia"/>
        </w:rPr>
        <w:t>3</w:t>
      </w:r>
      <w:r>
        <w:rPr>
          <w:rFonts w:hint="eastAsia"/>
        </w:rPr>
        <w:fldChar w:fldCharType="end"/>
      </w:r>
    </w:p>
    <w:p>
      <w:pPr>
        <w:pStyle w:val="22"/>
        <w:tabs>
          <w:tab w:val="left" w:pos="1260"/>
          <w:tab w:val="right" w:leader="dot" w:pos="9514"/>
        </w:tabs>
        <w:rPr>
          <w:rFonts w:asciiTheme="minorHAnsi" w:hAnsiTheme="minorHAnsi" w:eastAsiaTheme="minorEastAsia" w:cstheme="minorBidi"/>
          <w:b w:val="0"/>
          <w:iCs w:val="0"/>
          <w:color w:val="auto"/>
          <w:kern w:val="2"/>
          <w:sz w:val="21"/>
          <w:szCs w:val="22"/>
        </w:rPr>
      </w:pPr>
      <w:r>
        <w:fldChar w:fldCharType="begin"/>
      </w:r>
      <w:r>
        <w:instrText xml:space="preserve"> HYPERLINK \l "_Toc106268597" </w:instrText>
      </w:r>
      <w:r>
        <w:fldChar w:fldCharType="separate"/>
      </w:r>
      <w:r>
        <w:rPr>
          <w:rStyle w:val="33"/>
          <w:rFonts w:hint="eastAsia" w:ascii="黑体" w:hAnsi="黑体"/>
        </w:rPr>
        <w:t>第二章</w:t>
      </w:r>
      <w:r>
        <w:rPr>
          <w:rFonts w:asciiTheme="minorHAnsi" w:hAnsiTheme="minorHAnsi" w:eastAsiaTheme="minorEastAsia" w:cstheme="minorBidi"/>
          <w:b w:val="0"/>
          <w:iCs w:val="0"/>
          <w:color w:val="auto"/>
          <w:kern w:val="2"/>
          <w:sz w:val="21"/>
          <w:szCs w:val="22"/>
        </w:rPr>
        <w:tab/>
      </w:r>
      <w:r>
        <w:rPr>
          <w:rStyle w:val="33"/>
          <w:rFonts w:hint="eastAsia" w:ascii="黑体" w:hAnsi="黑体"/>
        </w:rPr>
        <w:t>投标人须知</w:t>
      </w:r>
      <w:r>
        <w:tab/>
      </w:r>
      <w:r>
        <w:rPr>
          <w:rFonts w:hint="eastAsia"/>
        </w:rPr>
        <w:t>5</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"_Toc106268598" </w:instrText>
      </w:r>
      <w:r>
        <w:fldChar w:fldCharType="separate"/>
      </w:r>
      <w:r>
        <w:rPr>
          <w:rStyle w:val="33"/>
          <w:rFonts w:hint="eastAsia"/>
          <w:b/>
          <w:bCs/>
          <w:lang w:val="zh-CN"/>
        </w:rPr>
        <w:t>投标须知前附表</w:t>
      </w:r>
      <w:r>
        <w:tab/>
      </w:r>
      <w:r>
        <w:rPr>
          <w:rFonts w:hint="eastAsia"/>
        </w:rPr>
        <w:t>5</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"_Toc106268599" </w:instrText>
      </w:r>
      <w:r>
        <w:fldChar w:fldCharType="separate"/>
      </w:r>
      <w:r>
        <w:rPr>
          <w:rStyle w:val="33"/>
          <w:rFonts w:hint="eastAsia"/>
          <w:lang w:val="zh-CN"/>
        </w:rPr>
        <w:t>一、</w:t>
      </w:r>
      <w:r>
        <w:rPr>
          <w:rFonts w:asciiTheme="minorHAnsi" w:hAnsiTheme="minorHAnsi" w:eastAsiaTheme="minorEastAsia" w:cstheme="minorBidi"/>
          <w:iCs w:val="0"/>
          <w:color w:val="auto"/>
          <w:kern w:val="2"/>
          <w:sz w:val="21"/>
          <w:szCs w:val="22"/>
        </w:rPr>
        <w:tab/>
      </w:r>
      <w:r>
        <w:rPr>
          <w:rStyle w:val="33"/>
          <w:rFonts w:hint="eastAsia"/>
          <w:lang w:val="zh-CN"/>
        </w:rPr>
        <w:t>说明</w:t>
      </w:r>
      <w:r>
        <w:rPr>
          <w:rStyle w:val="33"/>
          <w:lang w:val="zh-CN"/>
        </w:rPr>
        <w:tab/>
      </w:r>
      <w:r>
        <w:tab/>
      </w:r>
      <w:r>
        <w:rPr>
          <w:rFonts w:hint="eastAsia"/>
        </w:rPr>
        <w:t>5</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"_Toc106268600" </w:instrText>
      </w:r>
      <w:r>
        <w:fldChar w:fldCharType="separate"/>
      </w:r>
      <w:r>
        <w:rPr>
          <w:rStyle w:val="33"/>
          <w:rFonts w:hint="eastAsia"/>
          <w:lang w:val="zh-CN"/>
        </w:rPr>
        <w:t>二、</w:t>
      </w:r>
      <w:r>
        <w:rPr>
          <w:rFonts w:asciiTheme="minorHAnsi" w:hAnsiTheme="minorHAnsi" w:eastAsiaTheme="minorEastAsia" w:cstheme="minorBidi"/>
          <w:iCs w:val="0"/>
          <w:color w:val="auto"/>
          <w:kern w:val="2"/>
          <w:sz w:val="21"/>
          <w:szCs w:val="22"/>
        </w:rPr>
        <w:tab/>
      </w:r>
      <w:r>
        <w:rPr>
          <w:rStyle w:val="33"/>
          <w:rFonts w:hint="eastAsia"/>
          <w:lang w:val="zh-CN"/>
        </w:rPr>
        <w:t>招标文件</w:t>
      </w:r>
      <w:r>
        <w:tab/>
      </w:r>
      <w:r>
        <w:rPr>
          <w:rFonts w:hint="eastAsia"/>
        </w:rPr>
        <w:t>7</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"_Toc106268601" </w:instrText>
      </w:r>
      <w:r>
        <w:fldChar w:fldCharType="separate"/>
      </w:r>
      <w:r>
        <w:rPr>
          <w:rStyle w:val="33"/>
          <w:rFonts w:hint="eastAsia"/>
          <w:lang w:val="zh-CN"/>
        </w:rPr>
        <w:t>三、</w:t>
      </w:r>
      <w:r>
        <w:rPr>
          <w:rFonts w:asciiTheme="minorHAnsi" w:hAnsiTheme="minorHAnsi" w:eastAsiaTheme="minorEastAsia" w:cstheme="minorBidi"/>
          <w:iCs w:val="0"/>
          <w:color w:val="auto"/>
          <w:kern w:val="2"/>
          <w:sz w:val="21"/>
          <w:szCs w:val="22"/>
        </w:rPr>
        <w:tab/>
      </w:r>
      <w:r>
        <w:rPr>
          <w:rStyle w:val="33"/>
          <w:rFonts w:hint="eastAsia"/>
          <w:lang w:val="zh-CN"/>
        </w:rPr>
        <w:t>投标文件</w:t>
      </w:r>
      <w:r>
        <w:tab/>
      </w:r>
      <w:r>
        <w:rPr>
          <w:rFonts w:hint="eastAsia"/>
        </w:rPr>
        <w:t>8</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"_Toc106268602" </w:instrText>
      </w:r>
      <w:r>
        <w:fldChar w:fldCharType="separate"/>
      </w:r>
      <w:r>
        <w:rPr>
          <w:rStyle w:val="33"/>
          <w:rFonts w:hint="eastAsia"/>
          <w:lang w:val="zh-CN"/>
        </w:rPr>
        <w:t>四、</w:t>
      </w:r>
      <w:r>
        <w:rPr>
          <w:rFonts w:asciiTheme="minorHAnsi" w:hAnsiTheme="minorHAnsi" w:eastAsiaTheme="minorEastAsia" w:cstheme="minorBidi"/>
          <w:iCs w:val="0"/>
          <w:color w:val="auto"/>
          <w:kern w:val="2"/>
          <w:sz w:val="21"/>
          <w:szCs w:val="22"/>
        </w:rPr>
        <w:tab/>
      </w:r>
      <w:r>
        <w:rPr>
          <w:rStyle w:val="33"/>
          <w:rFonts w:hint="eastAsia"/>
          <w:lang w:val="zh-CN"/>
        </w:rPr>
        <w:t>开标与评标</w:t>
      </w:r>
      <w:r>
        <w:tab/>
      </w:r>
      <w:r>
        <w:rPr>
          <w:rFonts w:hint="eastAsia"/>
        </w:rPr>
        <w:t>12</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"_Toc106268603" </w:instrText>
      </w:r>
      <w:r>
        <w:fldChar w:fldCharType="separate"/>
      </w:r>
      <w:r>
        <w:rPr>
          <w:rStyle w:val="33"/>
          <w:rFonts w:hint="eastAsia"/>
          <w:lang w:val="zh-CN"/>
        </w:rPr>
        <w:t>五、</w:t>
      </w:r>
      <w:r>
        <w:rPr>
          <w:rFonts w:asciiTheme="minorHAnsi" w:hAnsiTheme="minorHAnsi" w:eastAsiaTheme="minorEastAsia" w:cstheme="minorBidi"/>
          <w:iCs w:val="0"/>
          <w:color w:val="auto"/>
          <w:kern w:val="2"/>
          <w:sz w:val="21"/>
          <w:szCs w:val="22"/>
        </w:rPr>
        <w:tab/>
      </w:r>
      <w:r>
        <w:rPr>
          <w:rStyle w:val="33"/>
          <w:rFonts w:hint="eastAsia"/>
          <w:lang w:val="zh-CN"/>
        </w:rPr>
        <w:t>投标人信用信息及查询</w:t>
      </w:r>
      <w:r>
        <w:tab/>
      </w:r>
      <w:r>
        <w:rPr>
          <w:rFonts w:hint="eastAsia"/>
        </w:rPr>
        <w:t>13</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"_Toc106268604" </w:instrText>
      </w:r>
      <w:r>
        <w:fldChar w:fldCharType="separate"/>
      </w:r>
      <w:r>
        <w:rPr>
          <w:rStyle w:val="33"/>
          <w:rFonts w:hint="eastAsia"/>
          <w:lang w:val="zh-CN"/>
        </w:rPr>
        <w:t>六、</w:t>
      </w:r>
      <w:r>
        <w:rPr>
          <w:rFonts w:asciiTheme="minorHAnsi" w:hAnsiTheme="minorHAnsi" w:eastAsiaTheme="minorEastAsia" w:cstheme="minorBidi"/>
          <w:iCs w:val="0"/>
          <w:color w:val="auto"/>
          <w:kern w:val="2"/>
          <w:sz w:val="21"/>
          <w:szCs w:val="22"/>
        </w:rPr>
        <w:tab/>
      </w:r>
      <w:r>
        <w:rPr>
          <w:rStyle w:val="33"/>
          <w:rFonts w:hint="eastAsia"/>
          <w:lang w:val="zh-CN"/>
        </w:rPr>
        <w:t>中标与合同</w:t>
      </w:r>
      <w:r>
        <w:tab/>
      </w:r>
      <w:r>
        <w:rPr>
          <w:rFonts w:hint="eastAsia"/>
        </w:rPr>
        <w:t>13</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"_Toc106268605" </w:instrText>
      </w:r>
      <w:r>
        <w:fldChar w:fldCharType="separate"/>
      </w:r>
      <w:r>
        <w:rPr>
          <w:rStyle w:val="33"/>
          <w:rFonts w:hint="eastAsia"/>
          <w:lang w:val="zh-CN"/>
        </w:rPr>
        <w:t>七、</w:t>
      </w:r>
      <w:r>
        <w:rPr>
          <w:rFonts w:asciiTheme="minorHAnsi" w:hAnsiTheme="minorHAnsi" w:eastAsiaTheme="minorEastAsia" w:cstheme="minorBidi"/>
          <w:iCs w:val="0"/>
          <w:color w:val="auto"/>
          <w:kern w:val="2"/>
          <w:sz w:val="21"/>
          <w:szCs w:val="22"/>
        </w:rPr>
        <w:tab/>
      </w:r>
      <w:r>
        <w:rPr>
          <w:rStyle w:val="33"/>
          <w:rFonts w:hint="eastAsia"/>
          <w:lang w:val="zh-CN"/>
        </w:rPr>
        <w:t>采购信息公告</w:t>
      </w:r>
      <w:r>
        <w:tab/>
      </w:r>
      <w:r>
        <w:fldChar w:fldCharType="begin"/>
      </w:r>
      <w:r>
        <w:instrText xml:space="preserve"> PAGEREF _Toc106268605 \h </w:instrText>
      </w:r>
      <w:r>
        <w:fldChar w:fldCharType="separate"/>
      </w:r>
      <w:r>
        <w:t>14</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"_Toc106268606" </w:instrText>
      </w:r>
      <w:r>
        <w:fldChar w:fldCharType="separate"/>
      </w:r>
      <w:r>
        <w:rPr>
          <w:rStyle w:val="33"/>
          <w:rFonts w:hint="eastAsia"/>
          <w:lang w:val="zh-CN"/>
        </w:rPr>
        <w:t>八、</w:t>
      </w:r>
      <w:r>
        <w:rPr>
          <w:rFonts w:asciiTheme="minorHAnsi" w:hAnsiTheme="minorHAnsi" w:eastAsiaTheme="minorEastAsia" w:cstheme="minorBidi"/>
          <w:iCs w:val="0"/>
          <w:color w:val="auto"/>
          <w:kern w:val="2"/>
          <w:sz w:val="21"/>
          <w:szCs w:val="22"/>
        </w:rPr>
        <w:tab/>
      </w:r>
      <w:r>
        <w:rPr>
          <w:rStyle w:val="33"/>
          <w:rFonts w:hint="eastAsia"/>
          <w:lang w:val="zh-CN"/>
        </w:rPr>
        <w:t>质疑及提交</w:t>
      </w:r>
      <w:r>
        <w:tab/>
      </w:r>
      <w:r>
        <w:rPr>
          <w:rFonts w:hint="eastAsia"/>
        </w:rPr>
        <w:t>15</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"_Toc106268607" </w:instrText>
      </w:r>
      <w:r>
        <w:fldChar w:fldCharType="separate"/>
      </w:r>
      <w:r>
        <w:rPr>
          <w:rStyle w:val="33"/>
          <w:rFonts w:hint="eastAsia"/>
          <w:lang w:val="zh-CN"/>
        </w:rPr>
        <w:t>九、</w:t>
      </w:r>
      <w:r>
        <w:rPr>
          <w:rFonts w:asciiTheme="minorHAnsi" w:hAnsiTheme="minorHAnsi" w:eastAsiaTheme="minorEastAsia" w:cstheme="minorBidi"/>
          <w:iCs w:val="0"/>
          <w:color w:val="auto"/>
          <w:kern w:val="2"/>
          <w:sz w:val="21"/>
          <w:szCs w:val="22"/>
        </w:rPr>
        <w:tab/>
      </w:r>
      <w:r>
        <w:rPr>
          <w:rStyle w:val="33"/>
          <w:rFonts w:hint="eastAsia"/>
          <w:lang w:val="zh-CN"/>
        </w:rPr>
        <w:t>相关条文解读</w:t>
      </w:r>
      <w:r>
        <w:tab/>
      </w:r>
      <w:r>
        <w:rPr>
          <w:rFonts w:hint="eastAsia"/>
        </w:rPr>
        <w:t>16</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"_Toc106268608" </w:instrText>
      </w:r>
      <w:r>
        <w:fldChar w:fldCharType="separate"/>
      </w:r>
      <w:r>
        <w:rPr>
          <w:rStyle w:val="33"/>
          <w:rFonts w:hint="eastAsia"/>
          <w:lang w:val="zh-CN"/>
        </w:rPr>
        <w:t>十、</w:t>
      </w:r>
      <w:r>
        <w:rPr>
          <w:rFonts w:asciiTheme="minorHAnsi" w:hAnsiTheme="minorHAnsi" w:eastAsiaTheme="minorEastAsia" w:cstheme="minorBidi"/>
          <w:iCs w:val="0"/>
          <w:color w:val="auto"/>
          <w:kern w:val="2"/>
          <w:sz w:val="21"/>
          <w:szCs w:val="22"/>
        </w:rPr>
        <w:tab/>
      </w:r>
      <w:r>
        <w:rPr>
          <w:rStyle w:val="33"/>
          <w:rFonts w:hint="eastAsia"/>
          <w:lang w:val="zh-CN"/>
        </w:rPr>
        <w:t>其他注意事项</w:t>
      </w:r>
      <w:r>
        <w:tab/>
      </w:r>
      <w:r>
        <w:rPr>
          <w:rFonts w:hint="eastAsia"/>
        </w:rPr>
        <w:t>16</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"_Toc106268609" </w:instrText>
      </w:r>
      <w:r>
        <w:fldChar w:fldCharType="separate"/>
      </w:r>
      <w:r>
        <w:rPr>
          <w:rStyle w:val="33"/>
          <w:rFonts w:hint="eastAsia"/>
          <w:lang w:val="zh-CN"/>
        </w:rPr>
        <w:t>十一、</w:t>
      </w:r>
      <w:r>
        <w:rPr>
          <w:rFonts w:asciiTheme="minorHAnsi" w:hAnsiTheme="minorHAnsi" w:eastAsiaTheme="minorEastAsia" w:cstheme="minorBidi"/>
          <w:iCs w:val="0"/>
          <w:color w:val="auto"/>
          <w:kern w:val="2"/>
          <w:sz w:val="21"/>
          <w:szCs w:val="22"/>
        </w:rPr>
        <w:tab/>
      </w:r>
      <w:r>
        <w:rPr>
          <w:rStyle w:val="33"/>
          <w:rFonts w:hint="eastAsia"/>
          <w:lang w:val="zh-CN"/>
        </w:rPr>
        <w:t>适用法律</w:t>
      </w:r>
      <w:r>
        <w:tab/>
      </w:r>
      <w:r>
        <w:rPr>
          <w:rFonts w:hint="eastAsia"/>
        </w:rPr>
        <w:t>16</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"_Toc106268610" </w:instrText>
      </w:r>
      <w:r>
        <w:fldChar w:fldCharType="separate"/>
      </w:r>
      <w:r>
        <w:rPr>
          <w:rStyle w:val="33"/>
          <w:rFonts w:hint="eastAsia"/>
          <w:lang w:val="zh-CN"/>
        </w:rPr>
        <w:t>十二、</w:t>
      </w:r>
      <w:r>
        <w:rPr>
          <w:rFonts w:asciiTheme="minorHAnsi" w:hAnsiTheme="minorHAnsi" w:eastAsiaTheme="minorEastAsia" w:cstheme="minorBidi"/>
          <w:iCs w:val="0"/>
          <w:color w:val="auto"/>
          <w:kern w:val="2"/>
          <w:sz w:val="21"/>
          <w:szCs w:val="22"/>
        </w:rPr>
        <w:tab/>
      </w:r>
      <w:r>
        <w:rPr>
          <w:rStyle w:val="33"/>
          <w:rFonts w:hint="eastAsia"/>
          <w:lang w:val="zh-CN"/>
        </w:rPr>
        <w:t>招标文件的解释权</w:t>
      </w:r>
      <w:r>
        <w:tab/>
      </w:r>
      <w:r>
        <w:rPr>
          <w:rFonts w:hint="eastAsia"/>
        </w:rPr>
        <w:t>16</w:t>
      </w:r>
      <w:r>
        <w:rPr>
          <w:rFonts w:hint="eastAsia"/>
        </w:rPr>
        <w:fldChar w:fldCharType="end"/>
      </w:r>
    </w:p>
    <w:p>
      <w:pPr>
        <w:pStyle w:val="22"/>
        <w:tabs>
          <w:tab w:val="right" w:leader="dot" w:pos="9514"/>
        </w:tabs>
        <w:rPr>
          <w:rFonts w:asciiTheme="minorHAnsi" w:hAnsiTheme="minorHAnsi" w:eastAsiaTheme="minorEastAsia" w:cstheme="minorBidi"/>
          <w:b w:val="0"/>
          <w:iCs w:val="0"/>
          <w:color w:val="auto"/>
          <w:kern w:val="2"/>
          <w:sz w:val="21"/>
          <w:szCs w:val="22"/>
        </w:rPr>
      </w:pPr>
      <w:r>
        <w:fldChar w:fldCharType="begin"/>
      </w:r>
      <w:r>
        <w:instrText xml:space="preserve"> HYPERLINK \l "_Toc106268611" </w:instrText>
      </w:r>
      <w:r>
        <w:fldChar w:fldCharType="separate"/>
      </w:r>
      <w:r>
        <w:rPr>
          <w:rStyle w:val="33"/>
          <w:rFonts w:hint="eastAsia"/>
        </w:rPr>
        <w:t>第三章项目技术、服务及商务要求</w:t>
      </w:r>
      <w:r>
        <w:tab/>
      </w:r>
      <w:r>
        <w:rPr>
          <w:rFonts w:hint="eastAsia"/>
        </w:rPr>
        <w:t>17</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"_Toc106268612" </w:instrText>
      </w:r>
      <w:r>
        <w:fldChar w:fldCharType="separate"/>
      </w:r>
      <w:r>
        <w:rPr>
          <w:rStyle w:val="33"/>
          <w:rFonts w:hint="eastAsia"/>
        </w:rPr>
        <w:t>一、 项目概况</w:t>
      </w:r>
      <w:r>
        <w:tab/>
      </w:r>
      <w:r>
        <w:rPr>
          <w:rFonts w:hint="eastAsia"/>
        </w:rPr>
        <w:t>17</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"_Toc106268613" </w:instrText>
      </w:r>
      <w:r>
        <w:fldChar w:fldCharType="separate"/>
      </w:r>
      <w:r>
        <w:rPr>
          <w:rStyle w:val="33"/>
          <w:rFonts w:hint="eastAsia"/>
        </w:rPr>
        <w:t>二、采购清单</w:t>
      </w:r>
      <w:r>
        <w:tab/>
      </w:r>
      <w:r>
        <w:rPr>
          <w:rFonts w:hint="eastAsia"/>
        </w:rPr>
        <w:t>18</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"_Toc106268614" </w:instrText>
      </w:r>
      <w:r>
        <w:fldChar w:fldCharType="separate"/>
      </w:r>
      <w:r>
        <w:rPr>
          <w:rStyle w:val="33"/>
          <w:rFonts w:hint="eastAsia"/>
        </w:rPr>
        <w:t>三、技术参数及要求</w:t>
      </w:r>
      <w:r>
        <w:tab/>
      </w:r>
      <w:r>
        <w:rPr>
          <w:rFonts w:hint="eastAsia"/>
        </w:rPr>
        <w:t>22</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"_Toc106268615" </w:instrText>
      </w:r>
      <w:r>
        <w:fldChar w:fldCharType="separate"/>
      </w:r>
      <w:r>
        <w:rPr>
          <w:rStyle w:val="33"/>
          <w:rFonts w:hint="eastAsia"/>
        </w:rPr>
        <w:t>四、商务要求</w:t>
      </w:r>
      <w:r>
        <w:tab/>
      </w:r>
      <w:r>
        <w:rPr>
          <w:rFonts w:hint="eastAsia"/>
        </w:rPr>
        <w:t>37</w:t>
      </w:r>
      <w:r>
        <w:rPr>
          <w:rFonts w:hint="eastAsia"/>
        </w:rPr>
        <w:fldChar w:fldCharType="end"/>
      </w:r>
    </w:p>
    <w:p>
      <w:pPr>
        <w:pStyle w:val="22"/>
        <w:tabs>
          <w:tab w:val="left" w:pos="1260"/>
          <w:tab w:val="right" w:leader="dot" w:pos="9514"/>
        </w:tabs>
        <w:rPr>
          <w:rFonts w:asciiTheme="minorHAnsi" w:hAnsiTheme="minorHAnsi" w:eastAsiaTheme="minorEastAsia" w:cstheme="minorBidi"/>
          <w:b w:val="0"/>
          <w:iCs w:val="0"/>
          <w:color w:val="auto"/>
          <w:kern w:val="2"/>
          <w:sz w:val="21"/>
          <w:szCs w:val="22"/>
        </w:rPr>
      </w:pPr>
      <w:r>
        <w:fldChar w:fldCharType="begin"/>
      </w:r>
      <w:r>
        <w:instrText xml:space="preserve"> HYPERLINK \l "_Toc106268616" </w:instrText>
      </w:r>
      <w:r>
        <w:fldChar w:fldCharType="separate"/>
      </w:r>
      <w:r>
        <w:rPr>
          <w:rStyle w:val="33"/>
          <w:rFonts w:hint="eastAsia" w:ascii="黑体" w:hAnsi="黑体"/>
        </w:rPr>
        <w:t>第四章</w:t>
      </w:r>
      <w:r>
        <w:rPr>
          <w:rFonts w:asciiTheme="minorHAnsi" w:hAnsiTheme="minorHAnsi" w:eastAsiaTheme="minorEastAsia" w:cstheme="minorBidi"/>
          <w:b w:val="0"/>
          <w:iCs w:val="0"/>
          <w:color w:val="auto"/>
          <w:kern w:val="2"/>
          <w:sz w:val="21"/>
          <w:szCs w:val="22"/>
        </w:rPr>
        <w:tab/>
      </w:r>
      <w:r>
        <w:rPr>
          <w:rStyle w:val="33"/>
          <w:rFonts w:hint="eastAsia" w:ascii="黑体" w:hAnsi="黑体"/>
        </w:rPr>
        <w:t>资格审查方法及标准</w:t>
      </w:r>
      <w:r>
        <w:tab/>
      </w:r>
      <w:r>
        <w:rPr>
          <w:rFonts w:hint="eastAsia"/>
        </w:rPr>
        <w:t>38</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"_Toc106268617" </w:instrText>
      </w:r>
      <w:r>
        <w:fldChar w:fldCharType="separate"/>
      </w:r>
      <w:r>
        <w:rPr>
          <w:rStyle w:val="33"/>
          <w:rFonts w:hint="eastAsia"/>
          <w:lang w:val="zh-CN"/>
        </w:rPr>
        <w:t>一、</w:t>
      </w:r>
      <w:r>
        <w:rPr>
          <w:rFonts w:asciiTheme="minorHAnsi" w:hAnsiTheme="minorHAnsi" w:eastAsiaTheme="minorEastAsia" w:cstheme="minorBidi"/>
          <w:iCs w:val="0"/>
          <w:color w:val="auto"/>
          <w:kern w:val="2"/>
          <w:sz w:val="21"/>
          <w:szCs w:val="22"/>
        </w:rPr>
        <w:tab/>
      </w:r>
      <w:r>
        <w:rPr>
          <w:rStyle w:val="33"/>
          <w:rFonts w:hint="eastAsia"/>
          <w:lang w:val="zh-CN"/>
        </w:rPr>
        <w:t>资格审查方法</w:t>
      </w:r>
      <w:r>
        <w:tab/>
      </w:r>
      <w:r>
        <w:fldChar w:fldCharType="begin"/>
      </w:r>
      <w:r>
        <w:instrText xml:space="preserve"> PAGEREF _Toc106268617 \h </w:instrText>
      </w:r>
      <w:r>
        <w:fldChar w:fldCharType="separate"/>
      </w:r>
      <w:r>
        <w:t>38</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"_Toc106268618" </w:instrText>
      </w:r>
      <w:r>
        <w:fldChar w:fldCharType="separate"/>
      </w:r>
      <w:r>
        <w:rPr>
          <w:rStyle w:val="33"/>
          <w:rFonts w:hint="eastAsia"/>
          <w:lang w:val="zh-CN"/>
        </w:rPr>
        <w:t>二、</w:t>
      </w:r>
      <w:r>
        <w:rPr>
          <w:rFonts w:asciiTheme="minorHAnsi" w:hAnsiTheme="minorHAnsi" w:eastAsiaTheme="minorEastAsia" w:cstheme="minorBidi"/>
          <w:iCs w:val="0"/>
          <w:color w:val="auto"/>
          <w:kern w:val="2"/>
          <w:sz w:val="21"/>
          <w:szCs w:val="22"/>
        </w:rPr>
        <w:tab/>
      </w:r>
      <w:r>
        <w:rPr>
          <w:rStyle w:val="33"/>
          <w:rFonts w:hint="eastAsia"/>
          <w:lang w:val="zh-CN"/>
        </w:rPr>
        <w:t>资格审查标准</w:t>
      </w:r>
      <w:r>
        <w:tab/>
      </w:r>
      <w:r>
        <w:fldChar w:fldCharType="begin"/>
      </w:r>
      <w:r>
        <w:instrText xml:space="preserve"> PAGEREF _Toc106268618 \h </w:instrText>
      </w:r>
      <w:r>
        <w:fldChar w:fldCharType="separate"/>
      </w:r>
      <w:r>
        <w:t>38</w:t>
      </w:r>
      <w:r>
        <w:fldChar w:fldCharType="end"/>
      </w:r>
      <w:r>
        <w:fldChar w:fldCharType="end"/>
      </w:r>
    </w:p>
    <w:p>
      <w:pPr>
        <w:pStyle w:val="22"/>
        <w:tabs>
          <w:tab w:val="left" w:pos="1260"/>
          <w:tab w:val="right" w:leader="dot" w:pos="9514"/>
        </w:tabs>
        <w:rPr>
          <w:rFonts w:asciiTheme="minorHAnsi" w:hAnsiTheme="minorHAnsi" w:eastAsiaTheme="minorEastAsia" w:cstheme="minorBidi"/>
          <w:b w:val="0"/>
          <w:iCs w:val="0"/>
          <w:color w:val="auto"/>
          <w:kern w:val="2"/>
          <w:sz w:val="21"/>
          <w:szCs w:val="22"/>
        </w:rPr>
      </w:pPr>
      <w:r>
        <w:fldChar w:fldCharType="begin"/>
      </w:r>
      <w:r>
        <w:instrText xml:space="preserve"> HYPERLINK \l "_Toc106268619" </w:instrText>
      </w:r>
      <w:r>
        <w:fldChar w:fldCharType="separate"/>
      </w:r>
      <w:r>
        <w:rPr>
          <w:rStyle w:val="33"/>
          <w:rFonts w:hint="eastAsia" w:ascii="黑体" w:hAnsi="黑体"/>
        </w:rPr>
        <w:t>第五章</w:t>
      </w:r>
      <w:r>
        <w:rPr>
          <w:rFonts w:asciiTheme="minorHAnsi" w:hAnsiTheme="minorHAnsi" w:eastAsiaTheme="minorEastAsia" w:cstheme="minorBidi"/>
          <w:b w:val="0"/>
          <w:iCs w:val="0"/>
          <w:color w:val="auto"/>
          <w:kern w:val="2"/>
          <w:sz w:val="21"/>
          <w:szCs w:val="22"/>
        </w:rPr>
        <w:tab/>
      </w:r>
      <w:r>
        <w:rPr>
          <w:rStyle w:val="33"/>
          <w:rFonts w:hint="eastAsia" w:ascii="黑体" w:hAnsi="黑体"/>
        </w:rPr>
        <w:t>评标方法、程序及标准</w:t>
      </w:r>
      <w:r>
        <w:tab/>
      </w:r>
      <w:r>
        <w:fldChar w:fldCharType="begin"/>
      </w:r>
      <w:r>
        <w:instrText xml:space="preserve"> PAGEREF _Toc106268619 \h </w:instrText>
      </w:r>
      <w:r>
        <w:fldChar w:fldCharType="separate"/>
      </w:r>
      <w:r>
        <w:t>40</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"_Toc106268620" </w:instrText>
      </w:r>
      <w:r>
        <w:fldChar w:fldCharType="separate"/>
      </w:r>
      <w:r>
        <w:rPr>
          <w:rStyle w:val="33"/>
          <w:rFonts w:hint="eastAsia"/>
          <w:lang w:val="zh-CN"/>
        </w:rPr>
        <w:t>一、</w:t>
      </w:r>
      <w:r>
        <w:rPr>
          <w:rFonts w:asciiTheme="minorHAnsi" w:hAnsiTheme="minorHAnsi" w:eastAsiaTheme="minorEastAsia" w:cstheme="minorBidi"/>
          <w:iCs w:val="0"/>
          <w:color w:val="auto"/>
          <w:kern w:val="2"/>
          <w:sz w:val="21"/>
          <w:szCs w:val="22"/>
        </w:rPr>
        <w:tab/>
      </w:r>
      <w:r>
        <w:rPr>
          <w:rStyle w:val="33"/>
          <w:rFonts w:hint="eastAsia"/>
          <w:lang w:val="zh-CN"/>
        </w:rPr>
        <w:t>评标方法</w:t>
      </w:r>
      <w:r>
        <w:tab/>
      </w:r>
      <w:r>
        <w:fldChar w:fldCharType="begin"/>
      </w:r>
      <w:r>
        <w:instrText xml:space="preserve"> PAGEREF _Toc106268620 \h </w:instrText>
      </w:r>
      <w:r>
        <w:fldChar w:fldCharType="separate"/>
      </w:r>
      <w:r>
        <w:t>40</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"_Toc106268621" </w:instrText>
      </w:r>
      <w:r>
        <w:fldChar w:fldCharType="separate"/>
      </w:r>
      <w:r>
        <w:rPr>
          <w:rStyle w:val="33"/>
          <w:rFonts w:hint="eastAsia"/>
          <w:lang w:val="zh-CN"/>
        </w:rPr>
        <w:t>二、</w:t>
      </w:r>
      <w:r>
        <w:rPr>
          <w:rFonts w:asciiTheme="minorHAnsi" w:hAnsiTheme="minorHAnsi" w:eastAsiaTheme="minorEastAsia" w:cstheme="minorBidi"/>
          <w:iCs w:val="0"/>
          <w:color w:val="auto"/>
          <w:kern w:val="2"/>
          <w:sz w:val="21"/>
          <w:szCs w:val="22"/>
        </w:rPr>
        <w:tab/>
      </w:r>
      <w:r>
        <w:rPr>
          <w:rStyle w:val="33"/>
          <w:rFonts w:hint="eastAsia"/>
          <w:lang w:val="zh-CN"/>
        </w:rPr>
        <w:t>评标程序及标准</w:t>
      </w:r>
      <w:r>
        <w:tab/>
      </w:r>
      <w:r>
        <w:fldChar w:fldCharType="begin"/>
      </w:r>
      <w:r>
        <w:instrText xml:space="preserve"> PAGEREF _Toc106268621 \h </w:instrText>
      </w:r>
      <w:r>
        <w:fldChar w:fldCharType="separate"/>
      </w:r>
      <w:r>
        <w:t>40</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"_Toc106268622" </w:instrText>
      </w:r>
      <w:r>
        <w:fldChar w:fldCharType="separate"/>
      </w:r>
      <w:r>
        <w:rPr>
          <w:rStyle w:val="33"/>
          <w:rFonts w:hint="eastAsia"/>
          <w:lang w:val="zh-CN"/>
        </w:rPr>
        <w:t>三、</w:t>
      </w:r>
      <w:r>
        <w:rPr>
          <w:rFonts w:asciiTheme="minorHAnsi" w:hAnsiTheme="minorHAnsi" w:eastAsiaTheme="minorEastAsia" w:cstheme="minorBidi"/>
          <w:iCs w:val="0"/>
          <w:color w:val="auto"/>
          <w:kern w:val="2"/>
          <w:sz w:val="21"/>
          <w:szCs w:val="22"/>
        </w:rPr>
        <w:tab/>
      </w:r>
      <w:r>
        <w:rPr>
          <w:rStyle w:val="33"/>
          <w:rFonts w:hint="eastAsia"/>
          <w:lang w:val="zh-CN"/>
        </w:rPr>
        <w:t>评审因素及评分标准</w:t>
      </w:r>
      <w:r>
        <w:tab/>
      </w:r>
      <w:r>
        <w:fldChar w:fldCharType="begin"/>
      </w:r>
      <w:r>
        <w:instrText xml:space="preserve"> PAGEREF _Toc106268622 \h </w:instrText>
      </w:r>
      <w:r>
        <w:fldChar w:fldCharType="separate"/>
      </w:r>
      <w:r>
        <w:t>44</w:t>
      </w:r>
      <w:r>
        <w:fldChar w:fldCharType="end"/>
      </w:r>
      <w:r>
        <w:fldChar w:fldCharType="end"/>
      </w:r>
    </w:p>
    <w:p>
      <w:pPr>
        <w:pStyle w:val="22"/>
        <w:tabs>
          <w:tab w:val="left" w:pos="1260"/>
          <w:tab w:val="right" w:leader="dot" w:pos="9514"/>
        </w:tabs>
        <w:rPr>
          <w:rFonts w:asciiTheme="minorHAnsi" w:hAnsiTheme="minorHAnsi" w:eastAsiaTheme="minorEastAsia" w:cstheme="minorBidi"/>
          <w:b w:val="0"/>
          <w:iCs w:val="0"/>
          <w:color w:val="auto"/>
          <w:kern w:val="2"/>
          <w:sz w:val="21"/>
          <w:szCs w:val="22"/>
        </w:rPr>
      </w:pPr>
      <w:r>
        <w:fldChar w:fldCharType="begin"/>
      </w:r>
      <w:r>
        <w:instrText xml:space="preserve"> HYPERLINK \l "_Toc106268623" </w:instrText>
      </w:r>
      <w:r>
        <w:fldChar w:fldCharType="separate"/>
      </w:r>
      <w:r>
        <w:rPr>
          <w:rStyle w:val="33"/>
          <w:rFonts w:hint="eastAsia" w:ascii="黑体" w:hAnsi="黑体"/>
        </w:rPr>
        <w:t>第六章</w:t>
      </w:r>
      <w:r>
        <w:rPr>
          <w:rFonts w:asciiTheme="minorHAnsi" w:hAnsiTheme="minorHAnsi" w:eastAsiaTheme="minorEastAsia" w:cstheme="minorBidi"/>
          <w:b w:val="0"/>
          <w:iCs w:val="0"/>
          <w:color w:val="auto"/>
          <w:kern w:val="2"/>
          <w:sz w:val="21"/>
          <w:szCs w:val="22"/>
        </w:rPr>
        <w:tab/>
      </w:r>
      <w:r>
        <w:rPr>
          <w:rStyle w:val="33"/>
          <w:rFonts w:hint="eastAsia" w:ascii="黑体" w:hAnsi="黑体"/>
        </w:rPr>
        <w:t>合同书格式（参考）</w:t>
      </w:r>
      <w:r>
        <w:tab/>
      </w:r>
      <w:r>
        <w:rPr>
          <w:rFonts w:hint="eastAsia"/>
        </w:rPr>
        <w:t>48</w:t>
      </w:r>
      <w:r>
        <w:rPr>
          <w:rFonts w:hint="eastAsia"/>
        </w:rPr>
        <w:fldChar w:fldCharType="end"/>
      </w:r>
    </w:p>
    <w:p>
      <w:pPr>
        <w:pStyle w:val="22"/>
        <w:tabs>
          <w:tab w:val="left" w:pos="1260"/>
          <w:tab w:val="right" w:leader="dot" w:pos="9514"/>
        </w:tabs>
        <w:rPr>
          <w:rFonts w:asciiTheme="minorHAnsi" w:hAnsiTheme="minorHAnsi" w:eastAsiaTheme="minorEastAsia" w:cstheme="minorBidi"/>
          <w:b w:val="0"/>
          <w:iCs w:val="0"/>
          <w:color w:val="auto"/>
          <w:kern w:val="2"/>
          <w:sz w:val="21"/>
          <w:szCs w:val="22"/>
        </w:rPr>
      </w:pPr>
      <w:r>
        <w:fldChar w:fldCharType="begin"/>
      </w:r>
      <w:r>
        <w:instrText xml:space="preserve"> HYPERLINK \l "_Toc106268624" </w:instrText>
      </w:r>
      <w:r>
        <w:fldChar w:fldCharType="separate"/>
      </w:r>
      <w:r>
        <w:rPr>
          <w:rStyle w:val="33"/>
          <w:rFonts w:hint="eastAsia" w:ascii="黑体" w:hAnsi="黑体"/>
        </w:rPr>
        <w:t>第七章</w:t>
      </w:r>
      <w:r>
        <w:rPr>
          <w:rFonts w:asciiTheme="minorHAnsi" w:hAnsiTheme="minorHAnsi" w:eastAsiaTheme="minorEastAsia" w:cstheme="minorBidi"/>
          <w:b w:val="0"/>
          <w:iCs w:val="0"/>
          <w:color w:val="auto"/>
          <w:kern w:val="2"/>
          <w:sz w:val="21"/>
          <w:szCs w:val="22"/>
        </w:rPr>
        <w:tab/>
      </w:r>
      <w:r>
        <w:rPr>
          <w:rStyle w:val="33"/>
          <w:rFonts w:hint="eastAsia" w:ascii="黑体" w:hAnsi="黑体"/>
        </w:rPr>
        <w:t>投标文件格式（参考）</w:t>
      </w:r>
      <w:r>
        <w:tab/>
      </w:r>
      <w:r>
        <w:rPr>
          <w:rFonts w:hint="eastAsia"/>
        </w:rPr>
        <w:t>50</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"_Toc106268625" </w:instrText>
      </w:r>
      <w:r>
        <w:fldChar w:fldCharType="separate"/>
      </w:r>
      <w:r>
        <w:rPr>
          <w:rStyle w:val="33"/>
          <w:rFonts w:hint="eastAsia"/>
          <w:lang w:val="zh-CN"/>
        </w:rPr>
        <w:t>第一部分资格证明文件</w:t>
      </w:r>
      <w:r>
        <w:tab/>
      </w:r>
      <w:r>
        <w:rPr>
          <w:rFonts w:hint="eastAsia"/>
        </w:rPr>
        <w:t>51</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"_Toc106268626" </w:instrText>
      </w:r>
      <w:r>
        <w:fldChar w:fldCharType="separate"/>
      </w:r>
      <w:r>
        <w:rPr>
          <w:rStyle w:val="33"/>
          <w:rFonts w:hint="eastAsia"/>
          <w:lang w:val="zh-CN"/>
        </w:rPr>
        <w:t>第二部分商务文件</w:t>
      </w:r>
      <w:r>
        <w:tab/>
      </w:r>
      <w:r>
        <w:rPr>
          <w:rFonts w:hint="eastAsia"/>
        </w:rPr>
        <w:t>52</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"_Toc106268627" </w:instrText>
      </w:r>
      <w:r>
        <w:fldChar w:fldCharType="separate"/>
      </w:r>
      <w:r>
        <w:rPr>
          <w:rStyle w:val="33"/>
          <w:rFonts w:hint="eastAsia"/>
          <w:lang w:val="zh-CN"/>
        </w:rPr>
        <w:t>第三部分技术、服务文件</w:t>
      </w:r>
      <w:r>
        <w:tab/>
      </w:r>
      <w:r>
        <w:fldChar w:fldCharType="begin"/>
      </w:r>
      <w:r>
        <w:instrText xml:space="preserve"> PAGEREF _Toc106268627 \h </w:instrText>
      </w:r>
      <w:r>
        <w:fldChar w:fldCharType="separate"/>
      </w:r>
      <w:r>
        <w:t>55</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"_Toc106268628" </w:instrText>
      </w:r>
      <w:r>
        <w:fldChar w:fldCharType="separate"/>
      </w:r>
      <w:r>
        <w:rPr>
          <w:rStyle w:val="33"/>
          <w:rFonts w:hint="eastAsia"/>
        </w:rPr>
        <w:t>附件一、</w:t>
      </w:r>
      <w:r>
        <w:rPr>
          <w:rFonts w:asciiTheme="minorHAnsi" w:hAnsiTheme="minorHAnsi" w:eastAsiaTheme="minorEastAsia" w:cstheme="minorBidi"/>
          <w:iCs w:val="0"/>
          <w:color w:val="auto"/>
          <w:kern w:val="2"/>
          <w:sz w:val="21"/>
          <w:szCs w:val="22"/>
        </w:rPr>
        <w:tab/>
      </w:r>
      <w:r>
        <w:rPr>
          <w:rStyle w:val="33"/>
          <w:rFonts w:hint="eastAsia"/>
        </w:rPr>
        <w:t>投标书</w:t>
      </w:r>
      <w:r>
        <w:tab/>
      </w:r>
      <w:r>
        <w:rPr>
          <w:rFonts w:hint="eastAsia"/>
        </w:rPr>
        <w:t>56</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"_Toc106268629" </w:instrText>
      </w:r>
      <w:r>
        <w:fldChar w:fldCharType="separate"/>
      </w:r>
      <w:r>
        <w:rPr>
          <w:rStyle w:val="33"/>
          <w:rFonts w:hint="eastAsia"/>
        </w:rPr>
        <w:t>附件二、</w:t>
      </w:r>
      <w:r>
        <w:rPr>
          <w:rFonts w:asciiTheme="minorHAnsi" w:hAnsiTheme="minorHAnsi" w:eastAsiaTheme="minorEastAsia" w:cstheme="minorBidi"/>
          <w:iCs w:val="0"/>
          <w:color w:val="auto"/>
          <w:kern w:val="2"/>
          <w:sz w:val="21"/>
          <w:szCs w:val="22"/>
        </w:rPr>
        <w:tab/>
      </w:r>
      <w:r>
        <w:rPr>
          <w:rStyle w:val="33"/>
          <w:rFonts w:hint="eastAsia"/>
        </w:rPr>
        <w:t>制造商中小企业声明函</w:t>
      </w:r>
      <w:r>
        <w:tab/>
      </w:r>
      <w:r>
        <w:rPr>
          <w:rFonts w:hint="eastAsia"/>
        </w:rPr>
        <w:t>57</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"_Toc106268630" </w:instrText>
      </w:r>
      <w:r>
        <w:fldChar w:fldCharType="separate"/>
      </w:r>
      <w:r>
        <w:rPr>
          <w:rStyle w:val="33"/>
          <w:rFonts w:hint="eastAsia"/>
        </w:rPr>
        <w:t>附件三、</w:t>
      </w:r>
      <w:r>
        <w:rPr>
          <w:rFonts w:asciiTheme="minorHAnsi" w:hAnsiTheme="minorHAnsi" w:eastAsiaTheme="minorEastAsia" w:cstheme="minorBidi"/>
          <w:iCs w:val="0"/>
          <w:color w:val="auto"/>
          <w:kern w:val="2"/>
          <w:sz w:val="21"/>
          <w:szCs w:val="22"/>
        </w:rPr>
        <w:tab/>
      </w:r>
      <w:r>
        <w:rPr>
          <w:rStyle w:val="33"/>
          <w:rFonts w:hint="eastAsia"/>
        </w:rPr>
        <w:t>中小企业声明函</w:t>
      </w:r>
      <w:r>
        <w:tab/>
      </w:r>
      <w:r>
        <w:rPr>
          <w:rFonts w:hint="eastAsia"/>
        </w:rPr>
        <w:t>58</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"_Toc106268631" </w:instrText>
      </w:r>
      <w:r>
        <w:fldChar w:fldCharType="separate"/>
      </w:r>
      <w:r>
        <w:rPr>
          <w:rStyle w:val="33"/>
          <w:rFonts w:hint="eastAsia"/>
        </w:rPr>
        <w:t>附件四、</w:t>
      </w:r>
      <w:r>
        <w:rPr>
          <w:rFonts w:asciiTheme="minorHAnsi" w:hAnsiTheme="minorHAnsi" w:eastAsiaTheme="minorEastAsia" w:cstheme="minorBidi"/>
          <w:iCs w:val="0"/>
          <w:color w:val="auto"/>
          <w:kern w:val="2"/>
          <w:sz w:val="21"/>
          <w:szCs w:val="22"/>
        </w:rPr>
        <w:tab/>
      </w:r>
      <w:r>
        <w:rPr>
          <w:rStyle w:val="33"/>
          <w:rFonts w:hint="eastAsia"/>
        </w:rPr>
        <w:t>残疾人福利性单位声明函</w:t>
      </w:r>
      <w:r>
        <w:tab/>
      </w:r>
      <w:r>
        <w:rPr>
          <w:rFonts w:hint="eastAsia"/>
        </w:rPr>
        <w:t>58</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"_Toc106268632" </w:instrText>
      </w:r>
      <w:r>
        <w:fldChar w:fldCharType="separate"/>
      </w:r>
      <w:r>
        <w:rPr>
          <w:rStyle w:val="33"/>
          <w:rFonts w:hint="eastAsia"/>
        </w:rPr>
        <w:t>附件五、</w:t>
      </w:r>
      <w:r>
        <w:rPr>
          <w:rFonts w:asciiTheme="minorHAnsi" w:hAnsiTheme="minorHAnsi" w:eastAsiaTheme="minorEastAsia" w:cstheme="minorBidi"/>
          <w:iCs w:val="0"/>
          <w:color w:val="auto"/>
          <w:kern w:val="2"/>
          <w:sz w:val="21"/>
          <w:szCs w:val="22"/>
        </w:rPr>
        <w:tab/>
      </w:r>
      <w:r>
        <w:rPr>
          <w:rStyle w:val="33"/>
          <w:rFonts w:hint="eastAsia"/>
        </w:rPr>
        <w:t>开标一览表</w:t>
      </w:r>
      <w:r>
        <w:tab/>
      </w:r>
      <w:r>
        <w:rPr>
          <w:rFonts w:hint="eastAsia"/>
        </w:rPr>
        <w:t>63</w:t>
      </w:r>
      <w:r>
        <w:rPr>
          <w:rFonts w:hint="eastAsia"/>
        </w:rP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"_Toc106268633" </w:instrText>
      </w:r>
      <w:r>
        <w:fldChar w:fldCharType="separate"/>
      </w:r>
      <w:r>
        <w:rPr>
          <w:rStyle w:val="33"/>
          <w:rFonts w:hint="eastAsia"/>
        </w:rPr>
        <w:t>附件六、</w:t>
      </w:r>
      <w:r>
        <w:rPr>
          <w:rFonts w:asciiTheme="minorHAnsi" w:hAnsiTheme="minorHAnsi" w:eastAsiaTheme="minorEastAsia" w:cstheme="minorBidi"/>
          <w:iCs w:val="0"/>
          <w:color w:val="auto"/>
          <w:kern w:val="2"/>
          <w:sz w:val="21"/>
          <w:szCs w:val="22"/>
        </w:rPr>
        <w:tab/>
      </w:r>
      <w:r>
        <w:rPr>
          <w:rStyle w:val="33"/>
          <w:rFonts w:hint="eastAsia"/>
        </w:rPr>
        <w:t>投标报价明细表</w:t>
      </w:r>
      <w:r>
        <w:tab/>
      </w:r>
      <w:r>
        <w:fldChar w:fldCharType="begin"/>
      </w:r>
      <w:r>
        <w:instrText xml:space="preserve"> PAGEREF _Toc106268633 \h </w:instrText>
      </w:r>
      <w:r>
        <w:fldChar w:fldCharType="separate"/>
      </w:r>
      <w:r>
        <w:t>65</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"_Toc106268634" </w:instrText>
      </w:r>
      <w:r>
        <w:fldChar w:fldCharType="separate"/>
      </w:r>
      <w:r>
        <w:rPr>
          <w:rStyle w:val="33"/>
          <w:rFonts w:hint="eastAsia"/>
        </w:rPr>
        <w:t>附件七、</w:t>
      </w:r>
      <w:r>
        <w:rPr>
          <w:rFonts w:asciiTheme="minorHAnsi" w:hAnsiTheme="minorHAnsi" w:eastAsiaTheme="minorEastAsia" w:cstheme="minorBidi"/>
          <w:iCs w:val="0"/>
          <w:color w:val="auto"/>
          <w:kern w:val="2"/>
          <w:sz w:val="21"/>
          <w:szCs w:val="22"/>
        </w:rPr>
        <w:tab/>
      </w:r>
      <w:r>
        <w:rPr>
          <w:rStyle w:val="33"/>
          <w:rFonts w:hint="eastAsia"/>
        </w:rPr>
        <w:t>小型和微型企业、监狱企业、残疾人福利性单位货物汇总表</w:t>
      </w:r>
      <w:r>
        <w:tab/>
      </w:r>
      <w:r>
        <w:fldChar w:fldCharType="begin"/>
      </w:r>
      <w:r>
        <w:instrText xml:space="preserve"> PAGEREF _Toc106268634 \h </w:instrText>
      </w:r>
      <w:r>
        <w:fldChar w:fldCharType="separate"/>
      </w:r>
      <w:r>
        <w:t>66</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"_Toc106268635" </w:instrText>
      </w:r>
      <w:r>
        <w:fldChar w:fldCharType="separate"/>
      </w:r>
      <w:r>
        <w:rPr>
          <w:rStyle w:val="33"/>
          <w:rFonts w:hint="eastAsia"/>
        </w:rPr>
        <w:t>附件八、</w:t>
      </w:r>
      <w:r>
        <w:rPr>
          <w:rFonts w:asciiTheme="minorHAnsi" w:hAnsiTheme="minorHAnsi" w:eastAsiaTheme="minorEastAsia" w:cstheme="minorBidi"/>
          <w:iCs w:val="0"/>
          <w:color w:val="auto"/>
          <w:kern w:val="2"/>
          <w:sz w:val="21"/>
          <w:szCs w:val="22"/>
        </w:rPr>
        <w:tab/>
      </w:r>
      <w:r>
        <w:rPr>
          <w:rStyle w:val="33"/>
          <w:rFonts w:hint="eastAsia"/>
        </w:rPr>
        <w:t>投标货物（工程或服务）清单</w:t>
      </w:r>
      <w:r>
        <w:tab/>
      </w:r>
      <w:r>
        <w:fldChar w:fldCharType="begin"/>
      </w:r>
      <w:r>
        <w:instrText xml:space="preserve"> PAGEREF _Toc106268635 \h </w:instrText>
      </w:r>
      <w:r>
        <w:fldChar w:fldCharType="separate"/>
      </w:r>
      <w:r>
        <w:t>67</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"_Toc106268636" </w:instrText>
      </w:r>
      <w:r>
        <w:fldChar w:fldCharType="separate"/>
      </w:r>
      <w:r>
        <w:rPr>
          <w:rStyle w:val="33"/>
          <w:rFonts w:hint="eastAsia"/>
        </w:rPr>
        <w:t>附件九、</w:t>
      </w:r>
      <w:r>
        <w:rPr>
          <w:rFonts w:asciiTheme="minorHAnsi" w:hAnsiTheme="minorHAnsi" w:eastAsiaTheme="minorEastAsia" w:cstheme="minorBidi"/>
          <w:iCs w:val="0"/>
          <w:color w:val="auto"/>
          <w:kern w:val="2"/>
          <w:sz w:val="21"/>
          <w:szCs w:val="22"/>
        </w:rPr>
        <w:tab/>
      </w:r>
      <w:r>
        <w:rPr>
          <w:rStyle w:val="33"/>
          <w:rFonts w:hint="eastAsia"/>
        </w:rPr>
        <w:t>交纳投标保证金的银行凭证（不适用）</w:t>
      </w:r>
      <w:r>
        <w:tab/>
      </w:r>
      <w:r>
        <w:fldChar w:fldCharType="begin"/>
      </w:r>
      <w:r>
        <w:instrText xml:space="preserve"> PAGEREF _Toc106268636 \h </w:instrText>
      </w:r>
      <w:r>
        <w:fldChar w:fldCharType="separate"/>
      </w:r>
      <w:r>
        <w:t>68</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"_Toc106268637" </w:instrText>
      </w:r>
      <w:r>
        <w:fldChar w:fldCharType="separate"/>
      </w:r>
      <w:r>
        <w:rPr>
          <w:rStyle w:val="33"/>
          <w:rFonts w:hint="eastAsia"/>
        </w:rPr>
        <w:t>附件十、</w:t>
      </w:r>
      <w:r>
        <w:rPr>
          <w:rFonts w:asciiTheme="minorHAnsi" w:hAnsiTheme="minorHAnsi" w:eastAsiaTheme="minorEastAsia" w:cstheme="minorBidi"/>
          <w:iCs w:val="0"/>
          <w:color w:val="auto"/>
          <w:kern w:val="2"/>
          <w:sz w:val="21"/>
          <w:szCs w:val="22"/>
        </w:rPr>
        <w:tab/>
      </w:r>
      <w:r>
        <w:rPr>
          <w:rStyle w:val="33"/>
          <w:rFonts w:hint="eastAsia"/>
        </w:rPr>
        <w:t>法定代表人授权书</w:t>
      </w:r>
      <w:r>
        <w:tab/>
      </w:r>
      <w:r>
        <w:fldChar w:fldCharType="begin"/>
      </w:r>
      <w:r>
        <w:instrText xml:space="preserve"> PAGEREF _Toc106268637 \h </w:instrText>
      </w:r>
      <w:r>
        <w:fldChar w:fldCharType="separate"/>
      </w:r>
      <w:r>
        <w:t>69</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"_Toc106268638" </w:instrText>
      </w:r>
      <w:r>
        <w:fldChar w:fldCharType="separate"/>
      </w:r>
      <w:r>
        <w:rPr>
          <w:rStyle w:val="33"/>
          <w:rFonts w:hint="eastAsia"/>
        </w:rPr>
        <w:t>附件十一、</w:t>
      </w:r>
      <w:r>
        <w:rPr>
          <w:rFonts w:asciiTheme="minorHAnsi" w:hAnsiTheme="minorHAnsi" w:eastAsiaTheme="minorEastAsia" w:cstheme="minorBidi"/>
          <w:iCs w:val="0"/>
          <w:color w:val="auto"/>
          <w:kern w:val="2"/>
          <w:sz w:val="21"/>
          <w:szCs w:val="22"/>
        </w:rPr>
        <w:tab/>
      </w:r>
      <w:r>
        <w:rPr>
          <w:rStyle w:val="33"/>
          <w:rFonts w:hint="eastAsia"/>
        </w:rPr>
        <w:t>投标人的资格声明</w:t>
      </w:r>
      <w:r>
        <w:tab/>
      </w:r>
      <w:r>
        <w:fldChar w:fldCharType="begin"/>
      </w:r>
      <w:r>
        <w:instrText xml:space="preserve"> PAGEREF _Toc106268638 \h </w:instrText>
      </w:r>
      <w:r>
        <w:fldChar w:fldCharType="separate"/>
      </w:r>
      <w:r>
        <w:t>70</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"_Toc106268639" </w:instrText>
      </w:r>
      <w:r>
        <w:fldChar w:fldCharType="separate"/>
      </w:r>
      <w:r>
        <w:rPr>
          <w:rStyle w:val="33"/>
          <w:rFonts w:hint="eastAsia"/>
        </w:rPr>
        <w:t>附件十二、</w:t>
      </w:r>
      <w:r>
        <w:rPr>
          <w:rFonts w:asciiTheme="minorHAnsi" w:hAnsiTheme="minorHAnsi" w:eastAsiaTheme="minorEastAsia" w:cstheme="minorBidi"/>
          <w:iCs w:val="0"/>
          <w:color w:val="auto"/>
          <w:kern w:val="2"/>
          <w:sz w:val="21"/>
          <w:szCs w:val="22"/>
        </w:rPr>
        <w:tab/>
      </w:r>
      <w:r>
        <w:rPr>
          <w:rStyle w:val="33"/>
          <w:rFonts w:hint="eastAsia"/>
        </w:rPr>
        <w:t>项目负责人、技术负责人简历表</w:t>
      </w:r>
      <w:r>
        <w:tab/>
      </w:r>
      <w:r>
        <w:fldChar w:fldCharType="begin"/>
      </w:r>
      <w:r>
        <w:instrText xml:space="preserve"> PAGEREF _Toc106268639 \h </w:instrText>
      </w:r>
      <w:r>
        <w:fldChar w:fldCharType="separate"/>
      </w:r>
      <w:r>
        <w:t>71</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"_Toc106268640" </w:instrText>
      </w:r>
      <w:r>
        <w:fldChar w:fldCharType="separate"/>
      </w:r>
      <w:r>
        <w:rPr>
          <w:rStyle w:val="33"/>
          <w:rFonts w:hint="eastAsia"/>
        </w:rPr>
        <w:t>附件十三、</w:t>
      </w:r>
      <w:r>
        <w:rPr>
          <w:rFonts w:asciiTheme="minorHAnsi" w:hAnsiTheme="minorHAnsi" w:eastAsiaTheme="minorEastAsia" w:cstheme="minorBidi"/>
          <w:iCs w:val="0"/>
          <w:color w:val="auto"/>
          <w:kern w:val="2"/>
          <w:sz w:val="21"/>
          <w:szCs w:val="22"/>
        </w:rPr>
        <w:tab/>
      </w:r>
      <w:r>
        <w:rPr>
          <w:rStyle w:val="33"/>
          <w:rFonts w:hint="eastAsia"/>
        </w:rPr>
        <w:t>项目班子成员情况表</w:t>
      </w:r>
      <w:r>
        <w:tab/>
      </w:r>
      <w:r>
        <w:fldChar w:fldCharType="begin"/>
      </w:r>
      <w:r>
        <w:instrText xml:space="preserve"> PAGEREF _Toc106268640 \h </w:instrText>
      </w:r>
      <w:r>
        <w:fldChar w:fldCharType="separate"/>
      </w:r>
      <w:r>
        <w:t>72</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"_Toc106268641" </w:instrText>
      </w:r>
      <w:r>
        <w:fldChar w:fldCharType="separate"/>
      </w:r>
      <w:r>
        <w:rPr>
          <w:rStyle w:val="33"/>
          <w:rFonts w:hint="eastAsia"/>
        </w:rPr>
        <w:t>附件十四、</w:t>
      </w:r>
      <w:r>
        <w:rPr>
          <w:rFonts w:asciiTheme="minorHAnsi" w:hAnsiTheme="minorHAnsi" w:eastAsiaTheme="minorEastAsia" w:cstheme="minorBidi"/>
          <w:iCs w:val="0"/>
          <w:color w:val="auto"/>
          <w:kern w:val="2"/>
          <w:sz w:val="21"/>
          <w:szCs w:val="22"/>
        </w:rPr>
        <w:tab/>
      </w:r>
      <w:r>
        <w:rPr>
          <w:rStyle w:val="33"/>
          <w:rFonts w:hint="eastAsia"/>
        </w:rPr>
        <w:t>投标人类似项目业绩表</w:t>
      </w:r>
      <w:r>
        <w:tab/>
      </w:r>
      <w:r>
        <w:fldChar w:fldCharType="begin"/>
      </w:r>
      <w:r>
        <w:instrText xml:space="preserve"> PAGEREF _Toc106268641 \h </w:instrText>
      </w:r>
      <w:r>
        <w:fldChar w:fldCharType="separate"/>
      </w:r>
      <w:r>
        <w:t>73</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"_Toc106268642" </w:instrText>
      </w:r>
      <w:r>
        <w:fldChar w:fldCharType="separate"/>
      </w:r>
      <w:r>
        <w:rPr>
          <w:rStyle w:val="33"/>
          <w:rFonts w:hint="eastAsia"/>
        </w:rPr>
        <w:t>附件十五、</w:t>
      </w:r>
      <w:r>
        <w:rPr>
          <w:rFonts w:asciiTheme="minorHAnsi" w:hAnsiTheme="minorHAnsi" w:eastAsiaTheme="minorEastAsia" w:cstheme="minorBidi"/>
          <w:iCs w:val="0"/>
          <w:color w:val="auto"/>
          <w:kern w:val="2"/>
          <w:sz w:val="21"/>
          <w:szCs w:val="22"/>
        </w:rPr>
        <w:tab/>
      </w:r>
      <w:r>
        <w:rPr>
          <w:rStyle w:val="33"/>
          <w:rFonts w:hint="eastAsia"/>
        </w:rPr>
        <w:t>符合性审查对照表</w:t>
      </w:r>
      <w:r>
        <w:tab/>
      </w:r>
      <w:r>
        <w:fldChar w:fldCharType="begin"/>
      </w:r>
      <w:r>
        <w:instrText xml:space="preserve"> PAGEREF _Toc106268642 \h </w:instrText>
      </w:r>
      <w:r>
        <w:fldChar w:fldCharType="separate"/>
      </w:r>
      <w:r>
        <w:t>74</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"_Toc106268643" </w:instrText>
      </w:r>
      <w:r>
        <w:fldChar w:fldCharType="separate"/>
      </w:r>
      <w:r>
        <w:rPr>
          <w:rStyle w:val="33"/>
          <w:rFonts w:hint="eastAsia"/>
        </w:rPr>
        <w:t>附件十六、</w:t>
      </w:r>
      <w:r>
        <w:rPr>
          <w:rFonts w:asciiTheme="minorHAnsi" w:hAnsiTheme="minorHAnsi" w:eastAsiaTheme="minorEastAsia" w:cstheme="minorBidi"/>
          <w:iCs w:val="0"/>
          <w:color w:val="auto"/>
          <w:kern w:val="2"/>
          <w:sz w:val="21"/>
          <w:szCs w:val="22"/>
        </w:rPr>
        <w:tab/>
      </w:r>
      <w:r>
        <w:rPr>
          <w:rStyle w:val="33"/>
          <w:rFonts w:hint="eastAsia"/>
        </w:rPr>
        <w:t>商务要求响应、偏离说明表</w:t>
      </w:r>
      <w:r>
        <w:tab/>
      </w:r>
      <w:r>
        <w:fldChar w:fldCharType="begin"/>
      </w:r>
      <w:r>
        <w:instrText xml:space="preserve"> PAGEREF _Toc106268643 \h </w:instrText>
      </w:r>
      <w:r>
        <w:fldChar w:fldCharType="separate"/>
      </w:r>
      <w:r>
        <w:t>75</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"_Toc106268644" </w:instrText>
      </w:r>
      <w:r>
        <w:fldChar w:fldCharType="separate"/>
      </w:r>
      <w:r>
        <w:rPr>
          <w:rStyle w:val="33"/>
          <w:rFonts w:hint="eastAsia"/>
        </w:rPr>
        <w:t>附件十七、</w:t>
      </w:r>
      <w:r>
        <w:rPr>
          <w:rFonts w:asciiTheme="minorHAnsi" w:hAnsiTheme="minorHAnsi" w:eastAsiaTheme="minorEastAsia" w:cstheme="minorBidi"/>
          <w:iCs w:val="0"/>
          <w:color w:val="auto"/>
          <w:kern w:val="2"/>
          <w:sz w:val="21"/>
          <w:szCs w:val="22"/>
        </w:rPr>
        <w:tab/>
      </w:r>
      <w:r>
        <w:rPr>
          <w:rStyle w:val="33"/>
          <w:rFonts w:hint="eastAsia"/>
        </w:rPr>
        <w:t>商务要求“★”号条款响应、偏离说明表</w:t>
      </w:r>
      <w:r>
        <w:tab/>
      </w:r>
      <w:r>
        <w:fldChar w:fldCharType="begin"/>
      </w:r>
      <w:r>
        <w:instrText xml:space="preserve"> PAGEREF _Toc106268644 \h </w:instrText>
      </w:r>
      <w:r>
        <w:fldChar w:fldCharType="separate"/>
      </w:r>
      <w:r>
        <w:t>76</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"_Toc106268645" </w:instrText>
      </w:r>
      <w:r>
        <w:fldChar w:fldCharType="separate"/>
      </w:r>
      <w:r>
        <w:rPr>
          <w:rStyle w:val="33"/>
          <w:rFonts w:hint="eastAsia"/>
        </w:rPr>
        <w:t>附件十八、</w:t>
      </w:r>
      <w:r>
        <w:rPr>
          <w:rFonts w:asciiTheme="minorHAnsi" w:hAnsiTheme="minorHAnsi" w:eastAsiaTheme="minorEastAsia" w:cstheme="minorBidi"/>
          <w:iCs w:val="0"/>
          <w:color w:val="auto"/>
          <w:kern w:val="2"/>
          <w:sz w:val="21"/>
          <w:szCs w:val="22"/>
        </w:rPr>
        <w:tab/>
      </w:r>
      <w:r>
        <w:rPr>
          <w:rStyle w:val="33"/>
          <w:rFonts w:hint="eastAsia"/>
        </w:rPr>
        <w:t>商务评议对照表</w:t>
      </w:r>
      <w:r>
        <w:tab/>
      </w:r>
      <w:r>
        <w:fldChar w:fldCharType="begin"/>
      </w:r>
      <w:r>
        <w:instrText xml:space="preserve"> PAGEREF _Toc106268645 \h </w:instrText>
      </w:r>
      <w:r>
        <w:fldChar w:fldCharType="separate"/>
      </w:r>
      <w:r>
        <w:t>77</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"_Toc106268646" </w:instrText>
      </w:r>
      <w:r>
        <w:fldChar w:fldCharType="separate"/>
      </w:r>
      <w:r>
        <w:rPr>
          <w:rStyle w:val="33"/>
          <w:rFonts w:hint="eastAsia"/>
        </w:rPr>
        <w:t>附件十九、</w:t>
      </w:r>
      <w:r>
        <w:rPr>
          <w:rFonts w:asciiTheme="minorHAnsi" w:hAnsiTheme="minorHAnsi" w:eastAsiaTheme="minorEastAsia" w:cstheme="minorBidi"/>
          <w:iCs w:val="0"/>
          <w:color w:val="auto"/>
          <w:kern w:val="2"/>
          <w:sz w:val="21"/>
          <w:szCs w:val="22"/>
        </w:rPr>
        <w:tab/>
      </w:r>
      <w:r>
        <w:rPr>
          <w:rStyle w:val="33"/>
          <w:rFonts w:hint="eastAsia"/>
        </w:rPr>
        <w:t>技术、服务要求响应、偏离说明表</w:t>
      </w:r>
      <w:r>
        <w:tab/>
      </w:r>
      <w:r>
        <w:fldChar w:fldCharType="begin"/>
      </w:r>
      <w:r>
        <w:instrText xml:space="preserve"> PAGEREF _Toc106268646 \h </w:instrText>
      </w:r>
      <w:r>
        <w:fldChar w:fldCharType="separate"/>
      </w:r>
      <w:r>
        <w:t>78</w:t>
      </w:r>
      <w:r>
        <w:fldChar w:fldCharType="end"/>
      </w:r>
      <w:r>
        <w:fldChar w:fldCharType="end"/>
      </w:r>
    </w:p>
    <w:p>
      <w:pPr>
        <w:pStyle w:val="25"/>
        <w:rPr>
          <w:rFonts w:asciiTheme="minorHAnsi" w:hAnsiTheme="minorHAnsi" w:eastAsiaTheme="minorEastAsia" w:cstheme="minorBidi"/>
          <w:iCs w:val="0"/>
          <w:color w:val="auto"/>
          <w:kern w:val="2"/>
          <w:sz w:val="21"/>
          <w:szCs w:val="22"/>
        </w:rPr>
      </w:pPr>
      <w:r>
        <w:fldChar w:fldCharType="begin"/>
      </w:r>
      <w:r>
        <w:instrText xml:space="preserve"> HYPERLINK \l "_Toc106268647" </w:instrText>
      </w:r>
      <w:r>
        <w:fldChar w:fldCharType="separate"/>
      </w:r>
      <w:r>
        <w:rPr>
          <w:rStyle w:val="33"/>
          <w:rFonts w:hint="eastAsia"/>
        </w:rPr>
        <w:t>附件二十、</w:t>
      </w:r>
      <w:r>
        <w:rPr>
          <w:rFonts w:asciiTheme="minorHAnsi" w:hAnsiTheme="minorHAnsi" w:eastAsiaTheme="minorEastAsia" w:cstheme="minorBidi"/>
          <w:iCs w:val="0"/>
          <w:color w:val="auto"/>
          <w:kern w:val="2"/>
          <w:sz w:val="21"/>
          <w:szCs w:val="22"/>
        </w:rPr>
        <w:tab/>
      </w:r>
      <w:r>
        <w:rPr>
          <w:rStyle w:val="33"/>
          <w:rFonts w:hint="eastAsia"/>
        </w:rPr>
        <w:t>技术、服务要求“★”号条款响应、偏离说明表</w:t>
      </w:r>
      <w:r>
        <w:tab/>
      </w:r>
      <w:r>
        <w:fldChar w:fldCharType="begin"/>
      </w:r>
      <w:r>
        <w:instrText xml:space="preserve"> PAGEREF _Toc106268647 \h </w:instrText>
      </w:r>
      <w:r>
        <w:fldChar w:fldCharType="separate"/>
      </w:r>
      <w:r>
        <w:t>79</w:t>
      </w:r>
      <w:r>
        <w:fldChar w:fldCharType="end"/>
      </w:r>
      <w:r>
        <w:fldChar w:fldCharType="end"/>
      </w:r>
    </w:p>
    <w:p>
      <w:pPr>
        <w:pStyle w:val="25"/>
        <w:tabs>
          <w:tab w:val="left" w:pos="1870"/>
        </w:tabs>
        <w:rPr>
          <w:rFonts w:asciiTheme="minorHAnsi" w:hAnsiTheme="minorHAnsi" w:eastAsiaTheme="minorEastAsia" w:cstheme="minorBidi"/>
          <w:iCs w:val="0"/>
          <w:color w:val="auto"/>
          <w:kern w:val="2"/>
          <w:sz w:val="21"/>
          <w:szCs w:val="22"/>
        </w:rPr>
      </w:pPr>
      <w:r>
        <w:fldChar w:fldCharType="begin"/>
      </w:r>
      <w:r>
        <w:instrText xml:space="preserve"> HYPERLINK \l "_Toc106268648" </w:instrText>
      </w:r>
      <w:r>
        <w:fldChar w:fldCharType="separate"/>
      </w:r>
      <w:r>
        <w:rPr>
          <w:rStyle w:val="33"/>
          <w:rFonts w:hint="eastAsia"/>
        </w:rPr>
        <w:t>附件二十一、</w:t>
      </w:r>
      <w:r>
        <w:rPr>
          <w:rFonts w:asciiTheme="minorHAnsi" w:hAnsiTheme="minorHAnsi" w:eastAsiaTheme="minorEastAsia" w:cstheme="minorBidi"/>
          <w:iCs w:val="0"/>
          <w:color w:val="auto"/>
          <w:kern w:val="2"/>
          <w:sz w:val="21"/>
          <w:szCs w:val="22"/>
        </w:rPr>
        <w:tab/>
      </w:r>
      <w:r>
        <w:rPr>
          <w:rStyle w:val="33"/>
          <w:rFonts w:hint="eastAsia"/>
        </w:rPr>
        <w:t>技术、服务评议对照表</w:t>
      </w:r>
      <w:r>
        <w:tab/>
      </w:r>
      <w:r>
        <w:fldChar w:fldCharType="begin"/>
      </w:r>
      <w:r>
        <w:instrText xml:space="preserve"> PAGEREF _Toc106268648 \h </w:instrText>
      </w:r>
      <w:r>
        <w:fldChar w:fldCharType="separate"/>
      </w:r>
      <w:r>
        <w:t>80</w:t>
      </w:r>
      <w:r>
        <w:fldChar w:fldCharType="end"/>
      </w:r>
      <w:r>
        <w:fldChar w:fldCharType="end"/>
      </w:r>
    </w:p>
    <w:p>
      <w:pPr>
        <w:pStyle w:val="22"/>
        <w:tabs>
          <w:tab w:val="left" w:pos="1260"/>
          <w:tab w:val="right" w:leader="dot" w:pos="9514"/>
        </w:tabs>
      </w:pPr>
      <w:r>
        <w:fldChar w:fldCharType="end"/>
      </w:r>
      <w:r>
        <w:rPr>
          <w:b w:val="0"/>
          <w:bCs/>
          <w:lang w:val="zh-CN"/>
        </w:rPr>
        <w:tab/>
      </w:r>
    </w:p>
    <w:p>
      <w:r>
        <w:br w:type="page"/>
      </w:r>
    </w:p>
    <w:p>
      <w:pPr>
        <w:pStyle w:val="3"/>
        <w:numPr>
          <w:ilvl w:val="0"/>
          <w:numId w:val="1"/>
        </w:numPr>
        <w:spacing w:before="240" w:after="120"/>
        <w:ind w:left="883" w:hanging="880" w:hangingChars="200"/>
        <w:jc w:val="center"/>
        <w:rPr>
          <w:rFonts w:ascii="黑体" w:hAnsi="黑体" w:eastAsia="黑体"/>
        </w:rPr>
      </w:pPr>
      <w:bookmarkStart w:id="0" w:name="_Toc106268596"/>
      <w:r>
        <w:rPr>
          <w:rFonts w:hint="eastAsia" w:ascii="黑体" w:hAnsi="黑体" w:eastAsia="黑体"/>
        </w:rPr>
        <w:t>投标邀请书</w:t>
      </w:r>
      <w:bookmarkEnd w:id="0"/>
    </w:p>
    <w:p>
      <w:pPr>
        <w:spacing w:line="440" w:lineRule="exact"/>
        <w:ind w:firstLine="480" w:firstLineChars="200"/>
        <w:rPr>
          <w:rFonts w:ascii="宋体" w:hAnsi="宋体"/>
          <w:sz w:val="28"/>
          <w:szCs w:val="28"/>
        </w:rPr>
      </w:pPr>
      <w:r>
        <w:rPr>
          <w:rFonts w:hint="eastAsia" w:ascii="宋体" w:hAnsi="宋体"/>
          <w:color w:val="0D0D0D"/>
          <w:sz w:val="24"/>
          <w:szCs w:val="24"/>
        </w:rPr>
        <w:t xml:space="preserve">     中智达项目管理有限公司受</w:t>
      </w:r>
      <w:r>
        <w:rPr>
          <w:rFonts w:hint="eastAsia" w:ascii="宋体" w:hAnsi="宋体"/>
          <w:color w:val="0D0D0D"/>
          <w:sz w:val="24"/>
          <w:szCs w:val="24"/>
          <w:u w:val="single"/>
        </w:rPr>
        <w:t>阳新县城市建设开发有限公司</w:t>
      </w:r>
      <w:r>
        <w:rPr>
          <w:rFonts w:hint="eastAsia" w:ascii="宋体" w:hAnsi="宋体"/>
          <w:color w:val="0D0D0D"/>
          <w:sz w:val="24"/>
          <w:szCs w:val="24"/>
        </w:rPr>
        <w:t>的委托，就</w:t>
      </w:r>
      <w:r>
        <w:rPr>
          <w:rFonts w:hint="eastAsia" w:ascii="宋体" w:hAnsi="宋体"/>
          <w:color w:val="0D0D0D"/>
          <w:sz w:val="24"/>
          <w:szCs w:val="24"/>
          <w:u w:val="single"/>
        </w:rPr>
        <w:t>阳新县新老城区部分交通完善设施建设项目</w:t>
      </w:r>
      <w:r>
        <w:rPr>
          <w:rFonts w:hint="eastAsia" w:ascii="宋体" w:hAnsi="宋体"/>
          <w:color w:val="0D0D0D"/>
          <w:sz w:val="24"/>
          <w:szCs w:val="24"/>
        </w:rPr>
        <w:t>进行公开招标采购，欢迎符合条件的供应商投标。</w:t>
      </w:r>
    </w:p>
    <w:p>
      <w:pPr>
        <w:numPr>
          <w:ilvl w:val="0"/>
          <w:numId w:val="2"/>
        </w:numPr>
        <w:spacing w:line="440" w:lineRule="exact"/>
        <w:ind w:left="490" w:hanging="490"/>
        <w:rPr>
          <w:rFonts w:ascii="宋体"/>
          <w:b/>
          <w:color w:val="0D0D0D"/>
          <w:sz w:val="24"/>
          <w:szCs w:val="24"/>
        </w:rPr>
      </w:pPr>
      <w:r>
        <w:rPr>
          <w:rFonts w:hint="eastAsia" w:ascii="宋体" w:hAnsi="宋体"/>
          <w:b/>
          <w:color w:val="0D0D0D"/>
          <w:sz w:val="24"/>
          <w:szCs w:val="24"/>
        </w:rPr>
        <w:t>项目编号：</w:t>
      </w:r>
      <w:r>
        <w:rPr>
          <w:rFonts w:ascii="宋体" w:hAnsi="宋体"/>
          <w:color w:val="0D0D0D"/>
          <w:sz w:val="24"/>
          <w:szCs w:val="24"/>
          <w:u w:val="single"/>
        </w:rPr>
        <w:t xml:space="preserve"> 131-</w:t>
      </w:r>
      <w:r>
        <w:rPr>
          <w:rFonts w:hint="eastAsia" w:ascii="宋体" w:hAnsi="宋体"/>
          <w:color w:val="0D0D0D"/>
          <w:sz w:val="24"/>
          <w:szCs w:val="24"/>
          <w:u w:val="single"/>
        </w:rPr>
        <w:t>2022CG</w:t>
      </w:r>
      <w:r>
        <w:rPr>
          <w:rFonts w:ascii="宋体" w:hAnsi="宋体"/>
          <w:color w:val="0D0D0D"/>
          <w:sz w:val="24"/>
          <w:szCs w:val="24"/>
          <w:u w:val="single"/>
        </w:rPr>
        <w:t>-</w:t>
      </w:r>
      <w:r>
        <w:rPr>
          <w:rFonts w:hint="eastAsia" w:ascii="宋体" w:hAnsi="宋体"/>
          <w:color w:val="0D0D0D"/>
          <w:sz w:val="24"/>
          <w:szCs w:val="24"/>
          <w:u w:val="single"/>
          <w:lang w:val="en-US" w:eastAsia="zh-CN"/>
        </w:rPr>
        <w:t>188</w:t>
      </w:r>
    </w:p>
    <w:p>
      <w:pPr>
        <w:numPr>
          <w:ilvl w:val="0"/>
          <w:numId w:val="2"/>
        </w:numPr>
        <w:spacing w:line="440" w:lineRule="exact"/>
        <w:ind w:left="490" w:hanging="490"/>
        <w:rPr>
          <w:rFonts w:ascii="宋体"/>
          <w:color w:val="0D0D0D"/>
          <w:sz w:val="24"/>
          <w:szCs w:val="24"/>
        </w:rPr>
      </w:pPr>
      <w:r>
        <w:rPr>
          <w:rFonts w:hint="eastAsia" w:ascii="宋体" w:hAnsi="宋体"/>
          <w:b/>
          <w:color w:val="0D0D0D"/>
          <w:sz w:val="24"/>
          <w:szCs w:val="24"/>
        </w:rPr>
        <w:t>项目名称：</w:t>
      </w:r>
      <w:r>
        <w:rPr>
          <w:rFonts w:hint="eastAsia" w:ascii="宋体" w:hAnsi="宋体"/>
          <w:color w:val="0D0D0D"/>
          <w:sz w:val="24"/>
          <w:szCs w:val="24"/>
          <w:u w:val="single"/>
        </w:rPr>
        <w:t>阳新县新老城区部分交通完善设施建设项目</w:t>
      </w:r>
    </w:p>
    <w:p>
      <w:pPr>
        <w:numPr>
          <w:ilvl w:val="0"/>
          <w:numId w:val="2"/>
        </w:numPr>
        <w:spacing w:line="440" w:lineRule="exact"/>
        <w:ind w:left="490" w:hanging="490"/>
        <w:rPr>
          <w:rFonts w:ascii="宋体"/>
          <w:color w:val="0D0D0D"/>
          <w:sz w:val="24"/>
          <w:szCs w:val="24"/>
        </w:rPr>
      </w:pPr>
      <w:r>
        <w:rPr>
          <w:rFonts w:hint="eastAsia" w:ascii="宋体" w:hAnsi="宋体"/>
          <w:b/>
          <w:color w:val="0D0D0D"/>
          <w:sz w:val="24"/>
          <w:szCs w:val="24"/>
        </w:rPr>
        <w:t>招标内容：</w:t>
      </w:r>
      <w:r>
        <w:rPr>
          <w:rFonts w:hint="eastAsia" w:ascii="宋体" w:hAnsi="宋体"/>
          <w:color w:val="0D0D0D"/>
          <w:sz w:val="24"/>
          <w:szCs w:val="24"/>
          <w:u w:val="single"/>
        </w:rPr>
        <w:t>一标段：阳新县新老城区部分交通完善设施建设，二标段：阳新县新城东新区标线复划工程</w:t>
      </w:r>
      <w:r>
        <w:rPr>
          <w:rFonts w:hint="eastAsia" w:ascii="宋体" w:hAnsi="宋体"/>
          <w:color w:val="0D0D0D"/>
          <w:sz w:val="24"/>
          <w:szCs w:val="24"/>
        </w:rPr>
        <w:t>（具体详见招标文件）</w:t>
      </w:r>
    </w:p>
    <w:p>
      <w:pPr>
        <w:numPr>
          <w:ilvl w:val="0"/>
          <w:numId w:val="2"/>
        </w:numPr>
        <w:spacing w:line="440" w:lineRule="exact"/>
        <w:ind w:left="490" w:hanging="490"/>
        <w:rPr>
          <w:rFonts w:ascii="宋体"/>
          <w:color w:val="0D0D0D"/>
          <w:sz w:val="24"/>
          <w:szCs w:val="24"/>
        </w:rPr>
      </w:pPr>
      <w:r>
        <w:rPr>
          <w:rFonts w:hint="eastAsia" w:ascii="宋体" w:hAnsi="宋体"/>
          <w:b/>
          <w:color w:val="0D0D0D"/>
          <w:sz w:val="24"/>
          <w:szCs w:val="24"/>
        </w:rPr>
        <w:t>采购预算：</w:t>
      </w:r>
      <w:r>
        <w:rPr>
          <w:rFonts w:hint="eastAsia" w:asciiTheme="minorEastAsia" w:hAnsiTheme="minorEastAsia" w:eastAsiaTheme="minorEastAsia"/>
          <w:b/>
          <w:color w:val="000000" w:themeColor="text1"/>
          <w:sz w:val="24"/>
          <w:szCs w:val="24"/>
        </w:rPr>
        <w:t>一标段：人民币1118.132844万</w:t>
      </w:r>
      <w:r>
        <w:rPr>
          <w:rFonts w:hint="eastAsia" w:asciiTheme="minorEastAsia" w:hAnsiTheme="minorEastAsia" w:eastAsiaTheme="minorEastAsia"/>
          <w:b/>
          <w:color w:val="000000" w:themeColor="text1"/>
          <w:sz w:val="24"/>
        </w:rPr>
        <w:t>元（其中含暂列金额：98.8万元），二标段：人民币290.594125万元（其中含暂列金额：26万元）。</w:t>
      </w:r>
      <w:r>
        <w:rPr>
          <w:rFonts w:hint="eastAsia" w:ascii="宋体" w:hAnsi="宋体"/>
          <w:sz w:val="24"/>
        </w:rPr>
        <w:t>投标人参加投标的报价超过该采购预算金额的，其该投标为废标。</w:t>
      </w:r>
    </w:p>
    <w:p>
      <w:pPr>
        <w:numPr>
          <w:ilvl w:val="0"/>
          <w:numId w:val="2"/>
        </w:numPr>
        <w:spacing w:line="440" w:lineRule="exact"/>
        <w:ind w:left="490" w:hanging="490"/>
        <w:rPr>
          <w:rFonts w:ascii="宋体"/>
          <w:sz w:val="24"/>
          <w:szCs w:val="24"/>
        </w:rPr>
      </w:pPr>
      <w:r>
        <w:rPr>
          <w:rFonts w:hint="eastAsia" w:ascii="宋体" w:hAnsi="宋体"/>
          <w:b/>
          <w:sz w:val="24"/>
          <w:szCs w:val="24"/>
        </w:rPr>
        <w:t>资金来源：</w:t>
      </w:r>
      <w:r>
        <w:rPr>
          <w:rFonts w:hint="eastAsia" w:ascii="宋体" w:hAnsi="宋体"/>
          <w:sz w:val="24"/>
          <w:szCs w:val="24"/>
        </w:rPr>
        <w:t>自筹资金</w:t>
      </w:r>
    </w:p>
    <w:p>
      <w:pPr>
        <w:numPr>
          <w:ilvl w:val="0"/>
          <w:numId w:val="2"/>
        </w:numPr>
        <w:spacing w:line="440" w:lineRule="exact"/>
        <w:ind w:left="490" w:hanging="490"/>
        <w:rPr>
          <w:rFonts w:ascii="宋体"/>
          <w:color w:val="0D0D0D"/>
          <w:sz w:val="24"/>
          <w:szCs w:val="24"/>
        </w:rPr>
      </w:pPr>
      <w:r>
        <w:rPr>
          <w:rFonts w:hint="eastAsia" w:ascii="宋体" w:hAnsi="宋体"/>
          <w:b/>
          <w:color w:val="0D0D0D"/>
          <w:sz w:val="24"/>
          <w:szCs w:val="24"/>
        </w:rPr>
        <w:t>政府集中采购项目：否</w:t>
      </w:r>
    </w:p>
    <w:p>
      <w:pPr>
        <w:numPr>
          <w:ilvl w:val="0"/>
          <w:numId w:val="2"/>
        </w:numPr>
        <w:spacing w:line="440" w:lineRule="exact"/>
        <w:ind w:left="490" w:hanging="490"/>
        <w:rPr>
          <w:rFonts w:ascii="宋体" w:hAnsi="宋体"/>
          <w:b/>
          <w:color w:val="0D0D0D"/>
          <w:sz w:val="24"/>
          <w:szCs w:val="24"/>
        </w:rPr>
      </w:pPr>
      <w:r>
        <w:rPr>
          <w:rFonts w:hint="eastAsia" w:ascii="宋体" w:hAnsi="宋体"/>
          <w:b/>
          <w:color w:val="0D0D0D"/>
          <w:sz w:val="24"/>
          <w:szCs w:val="24"/>
        </w:rPr>
        <w:t>投标人资格要求：</w:t>
      </w:r>
    </w:p>
    <w:p>
      <w:pPr>
        <w:spacing w:line="360" w:lineRule="auto"/>
        <w:rPr>
          <w:rFonts w:ascii="宋体"/>
          <w:color w:val="000000" w:themeColor="text1"/>
          <w:sz w:val="24"/>
          <w:szCs w:val="24"/>
        </w:rPr>
      </w:pPr>
      <w:r>
        <w:rPr>
          <w:rFonts w:hint="eastAsia" w:ascii="宋体" w:hAnsi="宋体"/>
          <w:color w:val="000000" w:themeColor="text1"/>
          <w:sz w:val="24"/>
          <w:szCs w:val="24"/>
        </w:rPr>
        <w:t>1、供应商必须符合《法》第二十二条第一款之规定的基本条件；</w:t>
      </w:r>
    </w:p>
    <w:p>
      <w:pPr>
        <w:spacing w:line="360" w:lineRule="auto"/>
        <w:rPr>
          <w:rFonts w:ascii="宋体" w:hAnsi="宋体"/>
          <w:color w:val="0000FF"/>
          <w:sz w:val="24"/>
          <w:szCs w:val="24"/>
        </w:rPr>
      </w:pPr>
      <w:r>
        <w:rPr>
          <w:rFonts w:hint="eastAsia" w:ascii="宋体" w:hAnsi="宋体"/>
          <w:color w:val="000000" w:themeColor="text1"/>
          <w:sz w:val="24"/>
          <w:szCs w:val="24"/>
        </w:rPr>
        <w:t>2、应未被“信用中国”网站列入失信被执行人、</w:t>
      </w:r>
      <w:r>
        <w:rPr>
          <w:rFonts w:hint="eastAsia" w:cs="宋体" w:asciiTheme="minorEastAsia" w:hAnsiTheme="minorEastAsia" w:eastAsiaTheme="minorEastAsia"/>
          <w:color w:val="333333"/>
          <w:kern w:val="0"/>
          <w:sz w:val="24"/>
          <w:shd w:val="clear" w:color="auto" w:fill="FFFFFF"/>
        </w:rPr>
        <w:t>重大税收违法失信主体</w:t>
      </w:r>
      <w:r>
        <w:rPr>
          <w:rFonts w:hint="eastAsia" w:ascii="宋体" w:hAnsi="宋体"/>
          <w:color w:val="000000" w:themeColor="text1"/>
          <w:sz w:val="24"/>
          <w:szCs w:val="24"/>
        </w:rPr>
        <w:t>； “中国网”严重违法失信行为记录名单。</w:t>
      </w:r>
    </w:p>
    <w:p>
      <w:pPr>
        <w:spacing w:line="360" w:lineRule="auto"/>
        <w:rPr>
          <w:rFonts w:ascii="宋体" w:hAnsi="宋体"/>
          <w:b/>
          <w:color w:val="0D0D0D"/>
          <w:sz w:val="24"/>
          <w:szCs w:val="24"/>
        </w:rPr>
      </w:pPr>
      <w:r>
        <w:rPr>
          <w:rFonts w:hint="eastAsia" w:ascii="宋体" w:hAnsi="宋体"/>
          <w:b/>
          <w:color w:val="0D0D0D"/>
          <w:sz w:val="24"/>
          <w:szCs w:val="24"/>
        </w:rPr>
        <w:t>3.特定条件：</w:t>
      </w:r>
    </w:p>
    <w:p>
      <w:pPr>
        <w:pStyle w:val="2"/>
        <w:rPr>
          <w:rFonts w:ascii="宋体" w:hAnsi="宋体"/>
          <w:color w:val="FF0000"/>
          <w:sz w:val="24"/>
          <w:szCs w:val="24"/>
        </w:rPr>
      </w:pPr>
      <w:r>
        <w:rPr>
          <w:rFonts w:hint="eastAsia" w:ascii="宋体" w:hAnsi="宋体"/>
          <w:color w:val="FF0000"/>
          <w:sz w:val="24"/>
          <w:szCs w:val="24"/>
        </w:rPr>
        <w:t>（1）</w:t>
      </w:r>
      <w:r>
        <w:rPr>
          <w:rFonts w:hint="eastAsia" w:ascii="宋体" w:hAnsi="宋体"/>
          <w:b/>
          <w:color w:val="FF0000"/>
          <w:sz w:val="24"/>
          <w:szCs w:val="24"/>
        </w:rPr>
        <w:t>一标段:</w:t>
      </w:r>
      <w:r>
        <w:rPr>
          <w:rFonts w:hint="eastAsia" w:ascii="宋体" w:hAnsi="宋体"/>
          <w:color w:val="FF0000"/>
          <w:sz w:val="24"/>
          <w:szCs w:val="24"/>
        </w:rPr>
        <w:t>投标人必须是中华人民共和国境内注册并取得营业执照的独立法人，营业执照经营范围内需含有电子产品类；</w:t>
      </w:r>
    </w:p>
    <w:p>
      <w:pPr>
        <w:pStyle w:val="2"/>
        <w:rPr>
          <w:rFonts w:ascii="宋体" w:hAnsi="宋体"/>
          <w:color w:val="FF0000"/>
          <w:sz w:val="24"/>
          <w:szCs w:val="24"/>
        </w:rPr>
      </w:pPr>
      <w:r>
        <w:rPr>
          <w:rFonts w:hint="eastAsia" w:ascii="宋体" w:hAnsi="宋体"/>
          <w:color w:val="FF0000"/>
          <w:sz w:val="24"/>
          <w:szCs w:val="24"/>
        </w:rPr>
        <w:t>（2）</w:t>
      </w:r>
      <w:r>
        <w:rPr>
          <w:rFonts w:hint="eastAsia" w:ascii="宋体" w:hAnsi="宋体"/>
          <w:b/>
          <w:color w:val="FF0000"/>
          <w:sz w:val="24"/>
          <w:szCs w:val="24"/>
        </w:rPr>
        <w:t>二标段:</w:t>
      </w:r>
      <w:r>
        <w:rPr>
          <w:rFonts w:hint="eastAsia" w:ascii="宋体" w:hAnsi="宋体"/>
          <w:color w:val="FF0000"/>
          <w:sz w:val="24"/>
          <w:szCs w:val="24"/>
        </w:rPr>
        <w:t>投标人必须是中华人民共和国境内注册并取得营业执照的独立法人，营业执照经营范围内需含有交通设施类；</w:t>
      </w:r>
    </w:p>
    <w:p>
      <w:pPr>
        <w:pStyle w:val="2"/>
        <w:rPr>
          <w:rFonts w:ascii="宋体" w:hAnsi="宋体"/>
          <w:color w:val="000000" w:themeColor="text1"/>
          <w:sz w:val="24"/>
          <w:szCs w:val="24"/>
        </w:rPr>
      </w:pPr>
      <w:r>
        <w:rPr>
          <w:rFonts w:hint="eastAsia" w:ascii="宋体" w:hAnsi="宋体"/>
          <w:color w:val="000000" w:themeColor="text1"/>
          <w:sz w:val="24"/>
          <w:szCs w:val="24"/>
        </w:rPr>
        <w:t>4.本项目不接受联合体形式的投标。</w:t>
      </w:r>
    </w:p>
    <w:p>
      <w:pPr>
        <w:numPr>
          <w:ilvl w:val="0"/>
          <w:numId w:val="2"/>
        </w:numPr>
        <w:spacing w:line="440" w:lineRule="exact"/>
        <w:ind w:left="490" w:hanging="490"/>
        <w:rPr>
          <w:rFonts w:ascii="宋体" w:cs="宋体"/>
          <w:b/>
          <w:color w:val="0D0D0D"/>
          <w:kern w:val="0"/>
          <w:sz w:val="24"/>
          <w:szCs w:val="24"/>
        </w:rPr>
      </w:pPr>
      <w:r>
        <w:rPr>
          <w:rFonts w:hint="eastAsia" w:ascii="宋体" w:hAnsi="宋体" w:cs="宋体"/>
          <w:b/>
          <w:color w:val="0D0D0D"/>
          <w:kern w:val="0"/>
          <w:sz w:val="24"/>
          <w:szCs w:val="24"/>
        </w:rPr>
        <w:t>相关政策执行：</w:t>
      </w:r>
    </w:p>
    <w:p>
      <w:pPr>
        <w:tabs>
          <w:tab w:val="left" w:pos="896"/>
        </w:tabs>
        <w:spacing w:line="360" w:lineRule="auto"/>
        <w:ind w:firstLine="480" w:firstLineChars="200"/>
        <w:rPr>
          <w:rFonts w:ascii="宋体"/>
          <w:color w:val="0D0D0D"/>
          <w:sz w:val="24"/>
          <w:szCs w:val="24"/>
        </w:rPr>
      </w:pPr>
      <w:r>
        <w:rPr>
          <w:rFonts w:hint="eastAsia" w:ascii="宋体" w:hAnsi="宋体"/>
          <w:color w:val="0D0D0D"/>
          <w:sz w:val="24"/>
          <w:szCs w:val="24"/>
        </w:rPr>
        <w:t>落实强制、优先采购节能产品政策；优先采购环保产品政策；促进中小企业发展（监狱企业、残疾人福利性单位视同小微企业）等政策。</w:t>
      </w:r>
    </w:p>
    <w:p>
      <w:pPr>
        <w:tabs>
          <w:tab w:val="left" w:pos="896"/>
        </w:tabs>
        <w:spacing w:line="360" w:lineRule="auto"/>
        <w:ind w:firstLine="480" w:firstLineChars="200"/>
        <w:rPr>
          <w:rFonts w:ascii="宋体"/>
          <w:b/>
          <w:color w:val="0D0D0D"/>
          <w:sz w:val="24"/>
          <w:szCs w:val="24"/>
        </w:rPr>
      </w:pPr>
      <w:r>
        <w:rPr>
          <w:rFonts w:hint="eastAsia" w:ascii="宋体" w:hAnsi="宋体"/>
          <w:b/>
          <w:color w:val="0D0D0D"/>
          <w:sz w:val="24"/>
          <w:szCs w:val="24"/>
        </w:rPr>
        <w:t>是否专门面向中小企业、监狱企业、残疾人福利性单位：</w:t>
      </w:r>
      <w:r>
        <w:rPr>
          <w:rFonts w:hint="eastAsia" w:ascii="宋体" w:hAnsi="宋体"/>
          <w:color w:val="FF0000"/>
          <w:sz w:val="24"/>
          <w:szCs w:val="24"/>
        </w:rPr>
        <w:t>一标段：部分专门面向；二标段：专门面向。</w:t>
      </w:r>
    </w:p>
    <w:p>
      <w:pPr>
        <w:numPr>
          <w:ilvl w:val="0"/>
          <w:numId w:val="2"/>
        </w:numPr>
        <w:spacing w:line="380" w:lineRule="exact"/>
        <w:ind w:left="490" w:hanging="490"/>
        <w:rPr>
          <w:rFonts w:ascii="宋体" w:cs="宋体"/>
          <w:b/>
          <w:color w:val="0D0D0D"/>
          <w:kern w:val="0"/>
          <w:sz w:val="24"/>
          <w:szCs w:val="24"/>
        </w:rPr>
      </w:pPr>
      <w:r>
        <w:rPr>
          <w:rFonts w:hint="eastAsia" w:ascii="宋体" w:hAnsi="宋体" w:cs="宋体"/>
          <w:b/>
          <w:color w:val="0D0D0D"/>
          <w:kern w:val="0"/>
          <w:sz w:val="24"/>
          <w:szCs w:val="24"/>
          <w:lang w:val="zh-CN"/>
        </w:rPr>
        <w:t>招标文件获取</w:t>
      </w:r>
      <w:r>
        <w:rPr>
          <w:rFonts w:hint="eastAsia" w:ascii="宋体" w:hAnsi="宋体" w:cs="宋体"/>
          <w:b/>
          <w:color w:val="0D0D0D"/>
          <w:kern w:val="0"/>
          <w:sz w:val="24"/>
          <w:szCs w:val="24"/>
        </w:rPr>
        <w:t>：</w:t>
      </w:r>
    </w:p>
    <w:p>
      <w:pPr>
        <w:widowControl/>
        <w:adjustRightInd w:val="0"/>
        <w:snapToGrid w:val="0"/>
        <w:spacing w:line="380" w:lineRule="exact"/>
        <w:ind w:firstLine="360" w:firstLineChars="150"/>
        <w:jc w:val="left"/>
        <w:rPr>
          <w:rFonts w:ascii="宋体"/>
          <w:color w:val="0D0D0D"/>
          <w:sz w:val="24"/>
          <w:szCs w:val="24"/>
        </w:rPr>
      </w:pPr>
      <w:r>
        <w:rPr>
          <w:rFonts w:hint="eastAsia" w:ascii="宋体" w:hAnsi="宋体"/>
          <w:color w:val="0D0D0D"/>
          <w:sz w:val="24"/>
          <w:szCs w:val="24"/>
        </w:rPr>
        <w:t>本项目实行网上下载标书，招标文件与本招标公告同时发布（见招标文件下载），凡自愿参加本项目投标者，请于</w:t>
      </w:r>
      <w:r>
        <w:rPr>
          <w:rFonts w:hint="eastAsia" w:ascii="宋体" w:hAnsi="宋体"/>
          <w:color w:val="0000CC"/>
          <w:sz w:val="24"/>
          <w:szCs w:val="24"/>
        </w:rPr>
        <w:t>2022年</w:t>
      </w:r>
      <w:r>
        <w:rPr>
          <w:rFonts w:hint="eastAsia" w:ascii="宋体" w:hAnsi="宋体"/>
          <w:color w:val="0000CC"/>
          <w:sz w:val="24"/>
          <w:szCs w:val="24"/>
          <w:lang w:val="en-US" w:eastAsia="zh-CN"/>
        </w:rPr>
        <w:t>8</w:t>
      </w:r>
      <w:r>
        <w:rPr>
          <w:rFonts w:hint="eastAsia" w:ascii="宋体" w:hAnsi="宋体"/>
          <w:color w:val="0000CC"/>
          <w:sz w:val="24"/>
          <w:szCs w:val="24"/>
        </w:rPr>
        <w:t>月</w:t>
      </w:r>
      <w:r>
        <w:rPr>
          <w:rFonts w:hint="eastAsia" w:ascii="宋体" w:hAnsi="宋体"/>
          <w:color w:val="0000CC"/>
          <w:sz w:val="24"/>
          <w:szCs w:val="24"/>
          <w:lang w:val="en-US" w:eastAsia="zh-CN"/>
        </w:rPr>
        <w:t>5</w:t>
      </w:r>
      <w:r>
        <w:rPr>
          <w:rFonts w:hint="eastAsia" w:ascii="宋体" w:hAnsi="宋体"/>
          <w:color w:val="0000CC"/>
          <w:sz w:val="24"/>
          <w:szCs w:val="24"/>
        </w:rPr>
        <w:t>日至</w:t>
      </w:r>
      <w:r>
        <w:rPr>
          <w:rFonts w:ascii="宋体" w:hAnsi="宋体"/>
          <w:color w:val="0000CC"/>
          <w:sz w:val="24"/>
          <w:szCs w:val="24"/>
        </w:rPr>
        <w:t>20</w:t>
      </w:r>
      <w:r>
        <w:rPr>
          <w:rFonts w:hint="eastAsia" w:ascii="宋体" w:hAnsi="宋体"/>
          <w:color w:val="0000CC"/>
          <w:sz w:val="24"/>
          <w:szCs w:val="24"/>
        </w:rPr>
        <w:t>22年</w:t>
      </w:r>
      <w:r>
        <w:rPr>
          <w:rFonts w:hint="eastAsia" w:ascii="宋体" w:hAnsi="宋体"/>
          <w:color w:val="0000CC"/>
          <w:sz w:val="24"/>
          <w:szCs w:val="24"/>
          <w:lang w:val="en-US" w:eastAsia="zh-CN"/>
        </w:rPr>
        <w:t>8</w:t>
      </w:r>
      <w:r>
        <w:rPr>
          <w:rFonts w:hint="eastAsia" w:ascii="宋体" w:hAnsi="宋体"/>
          <w:color w:val="0000CC"/>
          <w:sz w:val="24"/>
          <w:szCs w:val="24"/>
        </w:rPr>
        <w:t>月</w:t>
      </w:r>
      <w:r>
        <w:rPr>
          <w:rFonts w:hint="eastAsia" w:ascii="宋体" w:hAnsi="宋体"/>
          <w:color w:val="0000CC"/>
          <w:sz w:val="24"/>
          <w:szCs w:val="24"/>
          <w:lang w:val="en-US" w:eastAsia="zh-CN"/>
        </w:rPr>
        <w:t>11</w:t>
      </w:r>
      <w:r>
        <w:rPr>
          <w:rFonts w:hint="eastAsia" w:ascii="宋体" w:hAnsi="宋体"/>
          <w:color w:val="0000CC"/>
          <w:sz w:val="24"/>
          <w:szCs w:val="24"/>
        </w:rPr>
        <w:t>日</w:t>
      </w:r>
      <w:r>
        <w:rPr>
          <w:rFonts w:ascii="宋体" w:hAnsi="宋体"/>
          <w:color w:val="0000CC"/>
          <w:sz w:val="24"/>
          <w:szCs w:val="24"/>
        </w:rPr>
        <w:t>17</w:t>
      </w:r>
      <w:r>
        <w:rPr>
          <w:rFonts w:hint="eastAsia" w:ascii="宋体" w:hAnsi="宋体"/>
          <w:color w:val="0000CC"/>
          <w:sz w:val="24"/>
          <w:szCs w:val="24"/>
        </w:rPr>
        <w:t>时</w:t>
      </w:r>
      <w:r>
        <w:rPr>
          <w:rFonts w:ascii="宋体" w:hAnsi="宋体"/>
          <w:color w:val="0000CC"/>
          <w:sz w:val="24"/>
          <w:szCs w:val="24"/>
        </w:rPr>
        <w:t>30</w:t>
      </w:r>
      <w:r>
        <w:rPr>
          <w:rFonts w:hint="eastAsia" w:ascii="宋体" w:hAnsi="宋体"/>
          <w:color w:val="0000CC"/>
          <w:sz w:val="24"/>
          <w:szCs w:val="24"/>
        </w:rPr>
        <w:t>分</w:t>
      </w:r>
      <w:r>
        <w:rPr>
          <w:rFonts w:hint="eastAsia" w:ascii="宋体" w:hAnsi="宋体"/>
          <w:color w:val="0D0D0D"/>
          <w:sz w:val="24"/>
          <w:szCs w:val="24"/>
        </w:rPr>
        <w:t>前点击项目招标公告中的链接免费下载招标文件，并在投标截止时间前办理所有投标手续并同时递交投标文件。</w:t>
      </w:r>
    </w:p>
    <w:p>
      <w:pPr>
        <w:numPr>
          <w:ilvl w:val="0"/>
          <w:numId w:val="2"/>
        </w:numPr>
        <w:spacing w:line="440" w:lineRule="exact"/>
        <w:ind w:left="728" w:hanging="728"/>
        <w:rPr>
          <w:rFonts w:ascii="宋体" w:cs="宋体"/>
          <w:b/>
          <w:color w:val="0D0D0D"/>
          <w:kern w:val="0"/>
          <w:sz w:val="24"/>
          <w:szCs w:val="24"/>
          <w:lang w:val="zh-CN"/>
        </w:rPr>
      </w:pPr>
      <w:r>
        <w:rPr>
          <w:rFonts w:hint="eastAsia" w:ascii="宋体" w:hAnsi="宋体" w:cs="宋体"/>
          <w:b/>
          <w:color w:val="0D0D0D"/>
          <w:kern w:val="0"/>
          <w:sz w:val="24"/>
          <w:szCs w:val="24"/>
          <w:lang w:val="zh-CN"/>
        </w:rPr>
        <w:t>投标信息：</w:t>
      </w:r>
    </w:p>
    <w:p>
      <w:pPr>
        <w:spacing w:line="440" w:lineRule="exact"/>
        <w:ind w:firstLine="470" w:firstLineChars="196"/>
        <w:rPr>
          <w:rFonts w:ascii="宋体" w:cs="宋体"/>
          <w:b/>
          <w:color w:val="0D0D0D"/>
          <w:kern w:val="0"/>
          <w:sz w:val="24"/>
          <w:szCs w:val="24"/>
        </w:rPr>
      </w:pPr>
      <w:r>
        <w:rPr>
          <w:rFonts w:hint="eastAsia" w:ascii="宋体" w:hAnsi="宋体" w:cs="宋体"/>
          <w:color w:val="0D0D0D"/>
          <w:kern w:val="0"/>
          <w:sz w:val="24"/>
          <w:szCs w:val="24"/>
        </w:rPr>
        <w:t>投标文件递交截止时间：</w:t>
      </w:r>
      <w:r>
        <w:rPr>
          <w:rFonts w:ascii="宋体" w:hAnsi="宋体" w:cs="宋体"/>
          <w:color w:val="0000CC"/>
          <w:kern w:val="0"/>
          <w:sz w:val="24"/>
          <w:szCs w:val="24"/>
        </w:rPr>
        <w:t>20</w:t>
      </w:r>
      <w:r>
        <w:rPr>
          <w:rFonts w:hint="eastAsia" w:ascii="宋体" w:hAnsi="宋体" w:cs="宋体"/>
          <w:color w:val="0000CC"/>
          <w:kern w:val="0"/>
          <w:sz w:val="24"/>
          <w:szCs w:val="24"/>
        </w:rPr>
        <w:t>22</w:t>
      </w:r>
      <w:r>
        <w:rPr>
          <w:rFonts w:hint="eastAsia" w:ascii="宋体" w:hAnsi="宋体"/>
          <w:color w:val="0000CC"/>
          <w:sz w:val="24"/>
          <w:szCs w:val="24"/>
        </w:rPr>
        <w:t>年</w:t>
      </w:r>
      <w:r>
        <w:rPr>
          <w:rFonts w:hint="eastAsia" w:ascii="宋体" w:hAnsi="宋体"/>
          <w:color w:val="0000CC"/>
          <w:sz w:val="24"/>
          <w:szCs w:val="24"/>
          <w:lang w:val="en-US" w:eastAsia="zh-CN"/>
        </w:rPr>
        <w:t>8</w:t>
      </w:r>
      <w:r>
        <w:rPr>
          <w:rFonts w:hint="eastAsia" w:ascii="宋体" w:hAnsi="宋体"/>
          <w:color w:val="0000CC"/>
          <w:sz w:val="24"/>
          <w:szCs w:val="24"/>
        </w:rPr>
        <w:t>月</w:t>
      </w:r>
      <w:r>
        <w:rPr>
          <w:rFonts w:hint="eastAsia" w:ascii="宋体" w:hAnsi="宋体"/>
          <w:color w:val="0000CC"/>
          <w:sz w:val="24"/>
          <w:szCs w:val="24"/>
          <w:lang w:val="en-US" w:eastAsia="zh-CN"/>
        </w:rPr>
        <w:t>29</w:t>
      </w:r>
      <w:r>
        <w:rPr>
          <w:rFonts w:hint="eastAsia" w:ascii="宋体" w:hAnsi="宋体"/>
          <w:color w:val="0000CC"/>
          <w:sz w:val="24"/>
          <w:szCs w:val="24"/>
        </w:rPr>
        <w:t>日</w:t>
      </w:r>
      <w:r>
        <w:rPr>
          <w:rFonts w:ascii="宋体" w:hAnsi="宋体"/>
          <w:color w:val="0000CC"/>
          <w:sz w:val="24"/>
          <w:szCs w:val="24"/>
        </w:rPr>
        <w:t>9:00</w:t>
      </w:r>
      <w:r>
        <w:rPr>
          <w:rFonts w:hint="eastAsia" w:ascii="宋体" w:hAnsi="宋体"/>
          <w:color w:val="0D0D0D"/>
          <w:sz w:val="24"/>
          <w:szCs w:val="24"/>
        </w:rPr>
        <w:t>时</w:t>
      </w:r>
      <w:r>
        <w:rPr>
          <w:rFonts w:hint="eastAsia" w:ascii="宋体" w:hAnsi="宋体" w:cs="宋体"/>
          <w:color w:val="0D0D0D"/>
          <w:kern w:val="0"/>
          <w:sz w:val="24"/>
          <w:szCs w:val="24"/>
        </w:rPr>
        <w:t>（8时10分开始接收投标文件，拒收逾期送达或者未按招标文件要求密封的投标文件）</w:t>
      </w:r>
    </w:p>
    <w:p>
      <w:pPr>
        <w:widowControl/>
        <w:spacing w:line="440" w:lineRule="exact"/>
        <w:ind w:firstLine="470" w:firstLineChars="196"/>
        <w:jc w:val="left"/>
        <w:rPr>
          <w:rFonts w:ascii="宋体" w:cs="宋体"/>
          <w:color w:val="0D0D0D"/>
          <w:kern w:val="0"/>
          <w:sz w:val="24"/>
          <w:szCs w:val="24"/>
        </w:rPr>
      </w:pPr>
      <w:r>
        <w:rPr>
          <w:rFonts w:hint="eastAsia" w:ascii="宋体" w:hAnsi="宋体" w:cs="宋体"/>
          <w:color w:val="0D0D0D"/>
          <w:kern w:val="0"/>
          <w:sz w:val="24"/>
          <w:szCs w:val="24"/>
        </w:rPr>
        <w:t>投标文件递交地点：阳新县公共资源交易中心</w:t>
      </w:r>
      <w:r>
        <w:rPr>
          <w:rFonts w:hint="eastAsia" w:ascii="宋体" w:hAnsi="宋体" w:cs="宋体"/>
          <w:color w:val="0D0D0D"/>
          <w:kern w:val="0"/>
          <w:sz w:val="24"/>
          <w:szCs w:val="24"/>
          <w:u w:val="none"/>
          <w:lang w:eastAsia="zh-CN"/>
        </w:rPr>
        <w:t>二</w:t>
      </w:r>
      <w:r>
        <w:rPr>
          <w:rFonts w:hint="eastAsia" w:ascii="宋体" w:hAnsi="宋体" w:cs="宋体"/>
          <w:color w:val="0D0D0D"/>
          <w:kern w:val="0"/>
          <w:sz w:val="24"/>
          <w:szCs w:val="24"/>
        </w:rPr>
        <w:t>楼开标大厅（阳新县熊家垴安置小区东侧）</w:t>
      </w:r>
    </w:p>
    <w:p>
      <w:pPr>
        <w:widowControl/>
        <w:spacing w:line="440" w:lineRule="exact"/>
        <w:ind w:firstLine="480" w:firstLineChars="200"/>
        <w:textAlignment w:val="baseline"/>
        <w:rPr>
          <w:rFonts w:ascii="宋体" w:cs="宋体"/>
          <w:color w:val="0D0D0D"/>
          <w:kern w:val="0"/>
          <w:sz w:val="24"/>
          <w:szCs w:val="24"/>
        </w:rPr>
      </w:pPr>
      <w:r>
        <w:rPr>
          <w:rFonts w:hint="eastAsia" w:ascii="Times New Roman" w:hAnsi="Times New Roman" w:cs="宋体"/>
          <w:color w:val="0D0D0D"/>
          <w:sz w:val="24"/>
          <w:szCs w:val="24"/>
        </w:rPr>
        <w:t>届时请参加投标的授权代表携带有效身份证、法人身份证明书或法人委托授权书（原件）出席开标大会，否则视同认可开标结果。</w:t>
      </w:r>
    </w:p>
    <w:p>
      <w:pPr>
        <w:numPr>
          <w:ilvl w:val="0"/>
          <w:numId w:val="2"/>
        </w:numPr>
        <w:spacing w:line="440" w:lineRule="exact"/>
        <w:ind w:left="728" w:hanging="728"/>
        <w:rPr>
          <w:rFonts w:ascii="宋体" w:cs="宋体"/>
          <w:b/>
          <w:color w:val="0D0D0D"/>
          <w:kern w:val="0"/>
          <w:sz w:val="24"/>
          <w:szCs w:val="24"/>
          <w:lang w:val="zh-CN"/>
        </w:rPr>
      </w:pPr>
      <w:r>
        <w:rPr>
          <w:rFonts w:hint="eastAsia" w:ascii="宋体" w:hAnsi="宋体" w:cs="宋体"/>
          <w:b/>
          <w:color w:val="0D0D0D"/>
          <w:kern w:val="0"/>
          <w:sz w:val="24"/>
          <w:szCs w:val="24"/>
          <w:lang w:val="zh-CN"/>
        </w:rPr>
        <w:t>开标信息：</w:t>
      </w:r>
    </w:p>
    <w:p>
      <w:pPr>
        <w:spacing w:line="440" w:lineRule="exact"/>
        <w:ind w:firstLine="470" w:firstLineChars="196"/>
        <w:rPr>
          <w:rFonts w:ascii="宋体"/>
          <w:color w:val="0000CC"/>
          <w:sz w:val="24"/>
          <w:szCs w:val="24"/>
          <w:u w:val="single"/>
        </w:rPr>
      </w:pPr>
      <w:r>
        <w:rPr>
          <w:rFonts w:hint="eastAsia" w:ascii="宋体" w:hAnsi="宋体" w:cs="宋体"/>
          <w:color w:val="0D0D0D"/>
          <w:kern w:val="0"/>
          <w:sz w:val="24"/>
          <w:szCs w:val="24"/>
        </w:rPr>
        <w:t>开标时间：</w:t>
      </w:r>
      <w:r>
        <w:rPr>
          <w:rFonts w:ascii="宋体" w:hAnsi="宋体" w:cs="宋体"/>
          <w:color w:val="0000CC"/>
          <w:kern w:val="0"/>
          <w:sz w:val="24"/>
          <w:szCs w:val="24"/>
        </w:rPr>
        <w:t>20</w:t>
      </w:r>
      <w:r>
        <w:rPr>
          <w:rFonts w:hint="eastAsia" w:ascii="宋体" w:hAnsi="宋体" w:cs="宋体"/>
          <w:color w:val="0000CC"/>
          <w:kern w:val="0"/>
          <w:sz w:val="24"/>
          <w:szCs w:val="24"/>
        </w:rPr>
        <w:t>22</w:t>
      </w:r>
      <w:r>
        <w:rPr>
          <w:rFonts w:hint="eastAsia" w:ascii="宋体" w:hAnsi="宋体"/>
          <w:color w:val="0000CC"/>
          <w:sz w:val="24"/>
          <w:szCs w:val="24"/>
        </w:rPr>
        <w:t>年</w:t>
      </w:r>
      <w:r>
        <w:rPr>
          <w:rFonts w:hint="eastAsia" w:ascii="宋体" w:hAnsi="宋体"/>
          <w:color w:val="0000CC"/>
          <w:sz w:val="24"/>
          <w:szCs w:val="24"/>
          <w:lang w:val="en-US" w:eastAsia="zh-CN"/>
        </w:rPr>
        <w:t>8</w:t>
      </w:r>
      <w:r>
        <w:rPr>
          <w:rFonts w:hint="eastAsia" w:ascii="宋体" w:hAnsi="宋体"/>
          <w:color w:val="0000CC"/>
          <w:sz w:val="24"/>
          <w:szCs w:val="24"/>
        </w:rPr>
        <w:t>月</w:t>
      </w:r>
      <w:r>
        <w:rPr>
          <w:rFonts w:hint="eastAsia" w:ascii="宋体" w:hAnsi="宋体"/>
          <w:color w:val="0000CC"/>
          <w:sz w:val="24"/>
          <w:szCs w:val="24"/>
          <w:lang w:val="en-US" w:eastAsia="zh-CN"/>
        </w:rPr>
        <w:t>29</w:t>
      </w:r>
      <w:r>
        <w:rPr>
          <w:rFonts w:hint="eastAsia" w:ascii="宋体" w:hAnsi="宋体"/>
          <w:color w:val="0000CC"/>
          <w:sz w:val="24"/>
          <w:szCs w:val="24"/>
        </w:rPr>
        <w:t>日9:00时</w:t>
      </w:r>
    </w:p>
    <w:p>
      <w:pPr>
        <w:spacing w:line="440" w:lineRule="exact"/>
        <w:ind w:firstLine="470" w:firstLineChars="196"/>
        <w:rPr>
          <w:rFonts w:ascii="宋体" w:cs="宋体"/>
          <w:color w:val="0D0D0D"/>
          <w:kern w:val="0"/>
          <w:sz w:val="24"/>
          <w:szCs w:val="24"/>
        </w:rPr>
      </w:pPr>
      <w:r>
        <w:rPr>
          <w:rFonts w:hint="eastAsia" w:ascii="宋体" w:hAnsi="宋体" w:cs="宋体"/>
          <w:color w:val="0D0D0D"/>
          <w:kern w:val="0"/>
          <w:sz w:val="24"/>
          <w:szCs w:val="24"/>
        </w:rPr>
        <w:t>开标地点：阳新县公</w:t>
      </w:r>
      <w:r>
        <w:rPr>
          <w:rFonts w:hint="eastAsia" w:ascii="宋体" w:hAnsi="宋体" w:cs="宋体"/>
          <w:kern w:val="0"/>
          <w:sz w:val="24"/>
          <w:szCs w:val="24"/>
        </w:rPr>
        <w:t>共资源交易中心</w:t>
      </w:r>
      <w:r>
        <w:rPr>
          <w:rFonts w:hint="eastAsia" w:ascii="宋体" w:hAnsi="宋体" w:cs="宋体"/>
          <w:kern w:val="0"/>
          <w:sz w:val="24"/>
          <w:szCs w:val="24"/>
          <w:lang w:eastAsia="zh-CN"/>
        </w:rPr>
        <w:t>二</w:t>
      </w:r>
      <w:r>
        <w:rPr>
          <w:rFonts w:hint="eastAsia" w:ascii="宋体" w:hAnsi="宋体" w:cs="宋体"/>
          <w:kern w:val="0"/>
          <w:sz w:val="24"/>
          <w:szCs w:val="24"/>
        </w:rPr>
        <w:t>楼开标大厅（</w:t>
      </w:r>
      <w:r>
        <w:rPr>
          <w:rFonts w:hint="eastAsia" w:ascii="宋体" w:hAnsi="宋体" w:cs="宋体"/>
          <w:color w:val="0D0D0D"/>
          <w:kern w:val="0"/>
          <w:sz w:val="24"/>
          <w:szCs w:val="24"/>
        </w:rPr>
        <w:t>阳新县熊家垴安置小区东侧）</w:t>
      </w:r>
    </w:p>
    <w:p>
      <w:pPr>
        <w:numPr>
          <w:ilvl w:val="0"/>
          <w:numId w:val="2"/>
        </w:numPr>
        <w:spacing w:line="440" w:lineRule="exact"/>
        <w:ind w:left="728" w:hanging="728"/>
        <w:rPr>
          <w:rFonts w:ascii="宋体"/>
          <w:color w:val="0D0D0D"/>
          <w:sz w:val="24"/>
          <w:szCs w:val="24"/>
        </w:rPr>
      </w:pPr>
      <w:r>
        <w:rPr>
          <w:rFonts w:hint="eastAsia" w:ascii="宋体" w:hAnsi="宋体" w:cs="宋体"/>
          <w:b/>
          <w:color w:val="0D0D0D"/>
          <w:kern w:val="0"/>
          <w:sz w:val="24"/>
          <w:szCs w:val="24"/>
          <w:lang w:val="zh-CN"/>
        </w:rPr>
        <w:t>公告期限：</w:t>
      </w:r>
      <w:r>
        <w:rPr>
          <w:rFonts w:hint="eastAsia" w:ascii="宋体" w:hAnsi="宋体"/>
          <w:color w:val="0D0D0D"/>
          <w:sz w:val="24"/>
          <w:szCs w:val="24"/>
        </w:rPr>
        <w:t>自公告发布之日起</w:t>
      </w:r>
      <w:r>
        <w:rPr>
          <w:rFonts w:ascii="宋体" w:hAnsi="宋体"/>
          <w:color w:val="0D0D0D"/>
          <w:sz w:val="24"/>
          <w:szCs w:val="24"/>
        </w:rPr>
        <w:t>5</w:t>
      </w:r>
      <w:r>
        <w:rPr>
          <w:rFonts w:hint="eastAsia" w:ascii="宋体" w:hAnsi="宋体"/>
          <w:color w:val="0D0D0D"/>
          <w:sz w:val="24"/>
          <w:szCs w:val="24"/>
        </w:rPr>
        <w:t>个工作日。</w:t>
      </w:r>
    </w:p>
    <w:p>
      <w:pPr>
        <w:numPr>
          <w:ilvl w:val="0"/>
          <w:numId w:val="2"/>
        </w:numPr>
        <w:spacing w:line="440" w:lineRule="exact"/>
        <w:ind w:left="728" w:hanging="728"/>
        <w:rPr>
          <w:rFonts w:ascii="宋体" w:cs="宋体"/>
          <w:b/>
          <w:color w:val="0D0D0D"/>
          <w:kern w:val="0"/>
          <w:sz w:val="24"/>
          <w:szCs w:val="24"/>
          <w:lang w:val="zh-CN"/>
        </w:rPr>
      </w:pPr>
      <w:r>
        <w:rPr>
          <w:rFonts w:hint="eastAsia" w:ascii="宋体" w:hAnsi="宋体" w:cs="宋体"/>
          <w:b/>
          <w:color w:val="0D0D0D"/>
          <w:kern w:val="0"/>
          <w:sz w:val="24"/>
          <w:szCs w:val="24"/>
          <w:lang w:val="zh-CN"/>
        </w:rPr>
        <w:t>质疑：</w:t>
      </w:r>
    </w:p>
    <w:p>
      <w:pPr>
        <w:spacing w:line="440" w:lineRule="exact"/>
        <w:ind w:firstLine="480" w:firstLineChars="200"/>
        <w:rPr>
          <w:rFonts w:ascii="宋体" w:cs="宋体"/>
          <w:b/>
          <w:color w:val="0D0D0D"/>
          <w:kern w:val="0"/>
          <w:sz w:val="24"/>
          <w:szCs w:val="24"/>
          <w:lang w:val="zh-CN"/>
        </w:rPr>
      </w:pPr>
      <w:r>
        <w:rPr>
          <w:rFonts w:hint="eastAsia" w:ascii="宋体" w:hAnsi="宋体" w:cs="宋体"/>
          <w:color w:val="0D0D0D"/>
          <w:kern w:val="0"/>
          <w:sz w:val="24"/>
          <w:szCs w:val="24"/>
          <w:lang w:val="zh-CN"/>
        </w:rPr>
        <w:t>投标人认为招标文件、招标过程和中标结果使自己的权益受到损害的，可以在知道或者应知其权益受到损害之日起</w:t>
      </w:r>
      <w:r>
        <w:rPr>
          <w:rFonts w:ascii="宋体" w:hAnsi="宋体" w:cs="宋体"/>
          <w:color w:val="0D0D0D"/>
          <w:kern w:val="0"/>
          <w:sz w:val="24"/>
          <w:szCs w:val="24"/>
          <w:lang w:val="zh-CN"/>
        </w:rPr>
        <w:t>7</w:t>
      </w:r>
      <w:r>
        <w:rPr>
          <w:rFonts w:hint="eastAsia" w:ascii="宋体" w:hAnsi="宋体" w:cs="宋体"/>
          <w:color w:val="0D0D0D"/>
          <w:kern w:val="0"/>
          <w:sz w:val="24"/>
          <w:szCs w:val="24"/>
          <w:lang w:val="zh-CN"/>
        </w:rPr>
        <w:t>个工作日内，向采购代理机构提出</w:t>
      </w:r>
      <w:r>
        <w:rPr>
          <w:rFonts w:hint="eastAsia" w:cs="宋体"/>
          <w:color w:val="0D0D0D"/>
          <w:kern w:val="0"/>
          <w:sz w:val="24"/>
          <w:szCs w:val="24"/>
          <w:lang w:val="zh-CN"/>
        </w:rPr>
        <w:t>书面</w:t>
      </w:r>
      <w:r>
        <w:rPr>
          <w:rFonts w:hint="eastAsia" w:ascii="宋体" w:hAnsi="宋体" w:cs="宋体"/>
          <w:color w:val="0D0D0D"/>
          <w:kern w:val="0"/>
          <w:sz w:val="24"/>
          <w:szCs w:val="24"/>
          <w:lang w:val="zh-CN"/>
        </w:rPr>
        <w:t>质疑。</w:t>
      </w:r>
      <w:r>
        <w:rPr>
          <w:rFonts w:hint="eastAsia" w:ascii="宋体" w:hAnsi="宋体" w:cs="宋体"/>
          <w:color w:val="0D0D0D"/>
          <w:kern w:val="0"/>
          <w:sz w:val="24"/>
          <w:szCs w:val="24"/>
        </w:rPr>
        <w:t>质疑时请提交书面质疑函一份（法人代表签字、加盖单位公章。具体要求详见本招标文件“第二章投标人须知”中的第八条之规定），并附相关证据材料。</w:t>
      </w:r>
    </w:p>
    <w:p>
      <w:pPr>
        <w:numPr>
          <w:ilvl w:val="0"/>
          <w:numId w:val="2"/>
        </w:numPr>
        <w:spacing w:line="440" w:lineRule="exact"/>
        <w:ind w:left="728" w:hanging="728"/>
        <w:rPr>
          <w:rFonts w:ascii="宋体" w:cs="宋体"/>
          <w:b/>
          <w:color w:val="0D0D0D"/>
          <w:kern w:val="0"/>
          <w:sz w:val="24"/>
          <w:szCs w:val="24"/>
          <w:lang w:val="zh-CN"/>
        </w:rPr>
      </w:pPr>
      <w:r>
        <w:rPr>
          <w:rFonts w:hint="eastAsia" w:ascii="宋体" w:hAnsi="宋体" w:cs="宋体"/>
          <w:b/>
          <w:color w:val="0D0D0D"/>
          <w:kern w:val="0"/>
          <w:sz w:val="24"/>
          <w:szCs w:val="24"/>
          <w:lang w:val="zh-CN"/>
        </w:rPr>
        <w:t>联系方式：</w:t>
      </w:r>
    </w:p>
    <w:p>
      <w:pPr>
        <w:spacing w:line="400" w:lineRule="exact"/>
        <w:ind w:left="420"/>
        <w:rPr>
          <w:rFonts w:ascii="宋体"/>
          <w:b/>
          <w:sz w:val="22"/>
        </w:rPr>
      </w:pPr>
      <w:r>
        <w:rPr>
          <w:rFonts w:hint="eastAsia" w:ascii="宋体" w:hAnsi="宋体"/>
          <w:sz w:val="22"/>
        </w:rPr>
        <w:t>招标人：</w:t>
      </w:r>
      <w:r>
        <w:rPr>
          <w:rFonts w:hint="eastAsia" w:ascii="宋体" w:hAnsi="宋体"/>
          <w:sz w:val="22"/>
          <w:lang w:val="zh-CN"/>
        </w:rPr>
        <w:t>阳新县城市建设开发有限公司</w:t>
      </w:r>
    </w:p>
    <w:p>
      <w:pPr>
        <w:spacing w:line="400" w:lineRule="exact"/>
        <w:ind w:firstLine="440" w:firstLineChars="200"/>
        <w:rPr>
          <w:rFonts w:ascii="宋体" w:hAnsi="宋体"/>
          <w:sz w:val="22"/>
        </w:rPr>
      </w:pPr>
      <w:r>
        <w:rPr>
          <w:rFonts w:hint="eastAsia" w:ascii="宋体" w:hAnsi="宋体"/>
          <w:sz w:val="22"/>
        </w:rPr>
        <w:t>地址：湖北黄石市阳新县城东新区科技7-9层</w:t>
      </w:r>
    </w:p>
    <w:p>
      <w:pPr>
        <w:spacing w:line="400" w:lineRule="exact"/>
        <w:ind w:firstLine="440" w:firstLineChars="200"/>
        <w:rPr>
          <w:rFonts w:ascii="宋体"/>
          <w:sz w:val="22"/>
        </w:rPr>
      </w:pPr>
      <w:r>
        <w:rPr>
          <w:rFonts w:hint="eastAsia" w:ascii="宋体" w:hAnsi="宋体"/>
          <w:sz w:val="22"/>
        </w:rPr>
        <w:t>联系人：刘昀　　　联系电话：18062286466</w:t>
      </w:r>
    </w:p>
    <w:p>
      <w:pPr>
        <w:spacing w:line="400" w:lineRule="exact"/>
        <w:ind w:firstLine="440" w:firstLineChars="200"/>
        <w:rPr>
          <w:rFonts w:ascii="宋体" w:hAnsi="宋体"/>
          <w:sz w:val="22"/>
        </w:rPr>
      </w:pPr>
      <w:r>
        <w:rPr>
          <w:rFonts w:hint="eastAsia" w:ascii="宋体" w:hAnsi="宋体"/>
          <w:sz w:val="22"/>
        </w:rPr>
        <w:t>招标代理机构：中智达项目管理有限公司</w:t>
      </w:r>
    </w:p>
    <w:p>
      <w:pPr>
        <w:spacing w:line="400" w:lineRule="exact"/>
        <w:ind w:firstLine="440" w:firstLineChars="200"/>
        <w:rPr>
          <w:rFonts w:ascii="宋体" w:hAnsi="宋体"/>
          <w:sz w:val="22"/>
        </w:rPr>
      </w:pPr>
      <w:r>
        <w:rPr>
          <w:rFonts w:hint="eastAsia" w:ascii="宋体" w:hAnsi="宋体"/>
          <w:sz w:val="22"/>
        </w:rPr>
        <w:t>地址：</w:t>
      </w:r>
      <w:r>
        <w:rPr>
          <w:rStyle w:val="64"/>
          <w:rFonts w:hint="eastAsia" w:ascii="宋体" w:hAnsi="宋体"/>
          <w:sz w:val="22"/>
        </w:rPr>
        <w:t>阳新县兴国镇熊家垴小区4栋1101室</w:t>
      </w:r>
    </w:p>
    <w:p>
      <w:pPr>
        <w:spacing w:line="400" w:lineRule="exact"/>
        <w:ind w:firstLine="440" w:firstLineChars="200"/>
        <w:rPr>
          <w:rFonts w:ascii="宋体" w:hAnsi="宋体"/>
          <w:sz w:val="22"/>
        </w:rPr>
      </w:pPr>
      <w:r>
        <w:rPr>
          <w:rFonts w:hint="eastAsia" w:ascii="宋体" w:hAnsi="宋体"/>
          <w:sz w:val="22"/>
        </w:rPr>
        <w:t>联系人：解慧芳     电话：17364234935</w:t>
      </w:r>
    </w:p>
    <w:p>
      <w:pPr>
        <w:widowControl/>
        <w:spacing w:line="440" w:lineRule="exact"/>
        <w:jc w:val="left"/>
        <w:rPr>
          <w:rFonts w:ascii="宋体" w:cs="宋体"/>
          <w:bCs/>
          <w:color w:val="0D0D0D"/>
          <w:kern w:val="0"/>
          <w:sz w:val="24"/>
          <w:szCs w:val="24"/>
        </w:rPr>
      </w:pPr>
    </w:p>
    <w:p>
      <w:pPr>
        <w:widowControl/>
        <w:spacing w:line="440" w:lineRule="exact"/>
        <w:jc w:val="right"/>
        <w:rPr>
          <w:sz w:val="22"/>
          <w:lang w:val="zh-CN"/>
        </w:rPr>
      </w:pPr>
      <w:r>
        <w:rPr>
          <w:rStyle w:val="64"/>
          <w:rFonts w:hint="eastAsia" w:ascii="宋体" w:hAnsi="宋体"/>
          <w:sz w:val="22"/>
        </w:rPr>
        <w:t>中</w:t>
      </w:r>
      <w:r>
        <w:rPr>
          <w:rFonts w:hint="eastAsia"/>
          <w:sz w:val="22"/>
          <w:lang w:val="zh-CN"/>
        </w:rPr>
        <w:t>智达项目管理有限公司</w:t>
      </w:r>
    </w:p>
    <w:p>
      <w:pPr>
        <w:widowControl/>
        <w:wordWrap w:val="0"/>
        <w:spacing w:line="440" w:lineRule="exact"/>
        <w:jc w:val="right"/>
        <w:rPr>
          <w:sz w:val="22"/>
          <w:lang w:val="zh-CN"/>
        </w:rPr>
      </w:pPr>
      <w:r>
        <w:rPr>
          <w:rFonts w:hint="eastAsia"/>
          <w:sz w:val="22"/>
          <w:lang w:val="zh-CN"/>
        </w:rPr>
        <w:t>2022年</w:t>
      </w:r>
      <w:r>
        <w:rPr>
          <w:rFonts w:hint="eastAsia"/>
          <w:sz w:val="22"/>
          <w:lang w:val="en-US" w:eastAsia="zh-CN"/>
        </w:rPr>
        <w:t>8</w:t>
      </w:r>
      <w:r>
        <w:rPr>
          <w:rFonts w:hint="eastAsia"/>
          <w:sz w:val="22"/>
          <w:lang w:val="zh-CN"/>
        </w:rPr>
        <w:t>月</w:t>
      </w:r>
      <w:r>
        <w:rPr>
          <w:rFonts w:hint="eastAsia"/>
          <w:sz w:val="22"/>
          <w:lang w:val="en-US" w:eastAsia="zh-CN"/>
        </w:rPr>
        <w:t>5</w:t>
      </w:r>
      <w:r>
        <w:rPr>
          <w:rFonts w:hint="eastAsia"/>
          <w:sz w:val="22"/>
          <w:lang w:val="zh-CN"/>
        </w:rPr>
        <w:t>日</w:t>
      </w:r>
    </w:p>
    <w:p>
      <w:pPr>
        <w:widowControl/>
        <w:spacing w:line="360" w:lineRule="auto"/>
        <w:jc w:val="left"/>
        <w:rPr>
          <w:rFonts w:ascii="宋体" w:hAnsi="宋体"/>
          <w:sz w:val="22"/>
        </w:rPr>
        <w:sectPr>
          <w:headerReference r:id="rId3" w:type="default"/>
          <w:footerReference r:id="rId4" w:type="default"/>
          <w:pgSz w:w="11906" w:h="16838"/>
          <w:pgMar w:top="1134" w:right="1191" w:bottom="1134" w:left="1191" w:header="851" w:footer="624" w:gutter="0"/>
          <w:pgNumType w:start="0"/>
          <w:cols w:space="425" w:num="1"/>
          <w:titlePg/>
          <w:docGrid w:type="linesAndChars" w:linePitch="312" w:charSpace="0"/>
        </w:sectPr>
      </w:pPr>
    </w:p>
    <w:p>
      <w:pPr>
        <w:pStyle w:val="3"/>
        <w:numPr>
          <w:ilvl w:val="0"/>
          <w:numId w:val="1"/>
        </w:numPr>
        <w:spacing w:before="240" w:after="120"/>
        <w:ind w:left="883" w:hanging="880" w:hangingChars="200"/>
        <w:jc w:val="center"/>
        <w:rPr>
          <w:rFonts w:ascii="黑体" w:hAnsi="黑体" w:eastAsia="黑体"/>
        </w:rPr>
      </w:pPr>
      <w:bookmarkStart w:id="1" w:name="_Toc106268597"/>
      <w:r>
        <w:rPr>
          <w:rFonts w:hint="eastAsia" w:ascii="黑体" w:hAnsi="黑体" w:eastAsia="黑体"/>
        </w:rPr>
        <w:t>投标人须知</w:t>
      </w:r>
      <w:bookmarkEnd w:id="1"/>
    </w:p>
    <w:p>
      <w:pPr>
        <w:keepNext/>
        <w:keepLines/>
        <w:spacing w:line="360" w:lineRule="auto"/>
        <w:jc w:val="center"/>
        <w:outlineLvl w:val="1"/>
        <w:rPr>
          <w:rFonts w:ascii="宋体"/>
          <w:b/>
          <w:bCs/>
          <w:sz w:val="32"/>
          <w:szCs w:val="32"/>
          <w:lang w:val="zh-CN"/>
        </w:rPr>
      </w:pPr>
      <w:bookmarkStart w:id="2" w:name="_Toc494561937"/>
      <w:bookmarkStart w:id="3" w:name="_Toc106268598"/>
      <w:r>
        <w:rPr>
          <w:rFonts w:hint="eastAsia" w:ascii="宋体" w:hAnsi="宋体"/>
          <w:b/>
          <w:bCs/>
          <w:sz w:val="32"/>
          <w:szCs w:val="32"/>
          <w:lang w:val="zh-CN"/>
        </w:rPr>
        <w:t>投标须知前附表</w:t>
      </w:r>
      <w:bookmarkEnd w:id="2"/>
      <w:bookmarkEnd w:id="3"/>
    </w:p>
    <w:tbl>
      <w:tblPr>
        <w:tblStyle w:val="28"/>
        <w:tblW w:w="9680" w:type="dxa"/>
        <w:tblInd w:w="122"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699"/>
        <w:gridCol w:w="2285"/>
        <w:gridCol w:w="6696"/>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31" w:hRule="atLeast"/>
        </w:trPr>
        <w:tc>
          <w:tcPr>
            <w:tcW w:w="699" w:type="dxa"/>
            <w:tcBorders>
              <w:top w:val="single" w:color="auto" w:sz="4" w:space="0"/>
              <w:bottom w:val="single" w:color="auto" w:sz="4" w:space="0"/>
              <w:right w:val="single" w:color="auto" w:sz="4" w:space="0"/>
            </w:tcBorders>
            <w:vAlign w:val="center"/>
          </w:tcPr>
          <w:p>
            <w:pPr>
              <w:spacing w:line="276" w:lineRule="auto"/>
              <w:ind w:left="-52" w:leftChars="-25" w:right="-27" w:rightChars="-13"/>
              <w:jc w:val="center"/>
              <w:rPr>
                <w:rFonts w:ascii="宋体"/>
                <w:b/>
                <w:sz w:val="24"/>
                <w:szCs w:val="24"/>
              </w:rPr>
            </w:pPr>
            <w:r>
              <w:rPr>
                <w:rFonts w:hint="eastAsia" w:ascii="宋体" w:hAnsi="宋体"/>
                <w:b/>
                <w:sz w:val="24"/>
                <w:szCs w:val="24"/>
              </w:rPr>
              <w:t>序号</w:t>
            </w:r>
          </w:p>
        </w:tc>
        <w:tc>
          <w:tcPr>
            <w:tcW w:w="2285" w:type="dxa"/>
            <w:tcBorders>
              <w:top w:val="single" w:color="auto" w:sz="4" w:space="0"/>
              <w:left w:val="single" w:color="auto" w:sz="4" w:space="0"/>
              <w:bottom w:val="single" w:color="auto" w:sz="4" w:space="0"/>
              <w:right w:val="single" w:color="auto" w:sz="4" w:space="0"/>
            </w:tcBorders>
            <w:vAlign w:val="center"/>
          </w:tcPr>
          <w:p>
            <w:pPr>
              <w:spacing w:line="276" w:lineRule="auto"/>
              <w:ind w:right="-11"/>
              <w:jc w:val="center"/>
              <w:rPr>
                <w:rFonts w:ascii="Times New Roman" w:hAnsi="Times New Roman"/>
                <w:b/>
                <w:sz w:val="24"/>
                <w:szCs w:val="24"/>
              </w:rPr>
            </w:pPr>
            <w:r>
              <w:rPr>
                <w:rFonts w:hint="eastAsia" w:ascii="Times New Roman" w:hAnsi="宋体"/>
                <w:b/>
                <w:sz w:val="24"/>
                <w:szCs w:val="24"/>
              </w:rPr>
              <w:t>名称</w:t>
            </w:r>
          </w:p>
        </w:tc>
        <w:tc>
          <w:tcPr>
            <w:tcW w:w="6696" w:type="dxa"/>
            <w:tcBorders>
              <w:top w:val="single" w:color="auto" w:sz="4" w:space="0"/>
              <w:left w:val="single" w:color="auto" w:sz="4" w:space="0"/>
              <w:bottom w:val="single" w:color="auto" w:sz="4" w:space="0"/>
            </w:tcBorders>
            <w:vAlign w:val="center"/>
          </w:tcPr>
          <w:p>
            <w:pPr>
              <w:spacing w:line="276" w:lineRule="auto"/>
              <w:ind w:left="57" w:right="57" w:firstLine="482" w:firstLineChars="201"/>
              <w:jc w:val="center"/>
              <w:rPr>
                <w:rFonts w:ascii="Times New Roman" w:hAnsi="Times New Roman"/>
                <w:b/>
                <w:sz w:val="24"/>
                <w:szCs w:val="24"/>
              </w:rPr>
            </w:pPr>
            <w:r>
              <w:rPr>
                <w:rFonts w:hint="eastAsia" w:ascii="Times New Roman" w:hAnsi="宋体"/>
                <w:b/>
                <w:sz w:val="24"/>
                <w:szCs w:val="24"/>
              </w:rPr>
              <w:t>内容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130"/>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sz w:val="24"/>
                <w:szCs w:val="24"/>
              </w:rPr>
            </w:pPr>
            <w:r>
              <w:rPr>
                <w:rFonts w:hint="eastAsia" w:ascii="Times New Roman" w:hAnsi="宋体"/>
                <w:sz w:val="24"/>
                <w:szCs w:val="24"/>
              </w:rPr>
              <w:t>项目编号</w:t>
            </w:r>
          </w:p>
        </w:tc>
        <w:tc>
          <w:tcPr>
            <w:tcW w:w="6696" w:type="dxa"/>
            <w:tcBorders>
              <w:top w:val="single" w:color="auto" w:sz="4" w:space="0"/>
              <w:left w:val="single" w:color="auto" w:sz="4" w:space="0"/>
              <w:bottom w:val="single" w:color="auto" w:sz="4" w:space="0"/>
            </w:tcBorders>
            <w:vAlign w:val="center"/>
          </w:tcPr>
          <w:p>
            <w:pPr>
              <w:rPr>
                <w:rFonts w:hint="default" w:ascii="Times New Roman" w:hAnsi="Times New Roman" w:eastAsia="宋体"/>
                <w:color w:val="FF0000"/>
                <w:sz w:val="24"/>
                <w:szCs w:val="24"/>
                <w:lang w:val="en-US" w:eastAsia="zh-CN"/>
              </w:rPr>
            </w:pPr>
            <w:r>
              <w:rPr>
                <w:rFonts w:ascii="宋体" w:hAnsi="宋体" w:cs="宋体"/>
                <w:kern w:val="0"/>
                <w:sz w:val="24"/>
                <w:szCs w:val="24"/>
              </w:rPr>
              <w:t>131-</w:t>
            </w:r>
            <w:r>
              <w:rPr>
                <w:rFonts w:hint="eastAsia" w:ascii="宋体" w:hAnsi="宋体" w:cs="宋体"/>
                <w:kern w:val="0"/>
                <w:sz w:val="24"/>
                <w:szCs w:val="24"/>
              </w:rPr>
              <w:t>2022CG-</w:t>
            </w:r>
            <w:r>
              <w:rPr>
                <w:rFonts w:hint="eastAsia" w:ascii="宋体" w:hAnsi="宋体" w:cs="宋体"/>
                <w:kern w:val="0"/>
                <w:sz w:val="24"/>
                <w:szCs w:val="24"/>
                <w:lang w:val="en-US" w:eastAsia="zh-CN"/>
              </w:rPr>
              <w:t>188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130"/>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宋体"/>
                <w:sz w:val="24"/>
                <w:szCs w:val="24"/>
              </w:rPr>
            </w:pPr>
            <w:r>
              <w:rPr>
                <w:rFonts w:hint="eastAsia" w:ascii="Times New Roman" w:hAnsi="宋体"/>
                <w:sz w:val="24"/>
                <w:szCs w:val="24"/>
              </w:rPr>
              <w:t>项目名称</w:t>
            </w:r>
          </w:p>
        </w:tc>
        <w:tc>
          <w:tcPr>
            <w:tcW w:w="6696" w:type="dxa"/>
            <w:tcBorders>
              <w:top w:val="single" w:color="auto" w:sz="4" w:space="0"/>
              <w:left w:val="single" w:color="auto" w:sz="4" w:space="0"/>
              <w:bottom w:val="single" w:color="auto" w:sz="4" w:space="0"/>
            </w:tcBorders>
            <w:vAlign w:val="center"/>
          </w:tcPr>
          <w:p>
            <w:pPr>
              <w:rPr>
                <w:rFonts w:ascii="Times New Roman" w:hAnsi="Times New Roman"/>
                <w:color w:val="FF0000"/>
                <w:sz w:val="24"/>
                <w:szCs w:val="24"/>
              </w:rPr>
            </w:pPr>
            <w:r>
              <w:rPr>
                <w:rFonts w:hint="eastAsia" w:ascii="宋体" w:hAnsi="宋体" w:cs="宋体"/>
                <w:kern w:val="0"/>
                <w:sz w:val="24"/>
                <w:szCs w:val="24"/>
              </w:rPr>
              <w:t>阳新县新老城区部分交通完善设施建设项目</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130"/>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宋体"/>
                <w:color w:val="0D0D0D"/>
                <w:sz w:val="24"/>
                <w:szCs w:val="24"/>
              </w:rPr>
            </w:pPr>
            <w:r>
              <w:rPr>
                <w:rFonts w:hint="eastAsia" w:ascii="Times New Roman" w:hAnsi="宋体"/>
                <w:color w:val="0D0D0D"/>
                <w:sz w:val="24"/>
                <w:szCs w:val="24"/>
              </w:rPr>
              <w:t>项目属性</w:t>
            </w:r>
          </w:p>
        </w:tc>
        <w:tc>
          <w:tcPr>
            <w:tcW w:w="6696" w:type="dxa"/>
            <w:tcBorders>
              <w:top w:val="single" w:color="auto" w:sz="4" w:space="0"/>
              <w:left w:val="single" w:color="auto" w:sz="4" w:space="0"/>
              <w:bottom w:val="single" w:color="auto" w:sz="4" w:space="0"/>
            </w:tcBorders>
            <w:vAlign w:val="center"/>
          </w:tcPr>
          <w:p>
            <w:pPr>
              <w:rPr>
                <w:rFonts w:ascii="宋体" w:cs="宋体"/>
                <w:kern w:val="0"/>
                <w:sz w:val="24"/>
                <w:szCs w:val="24"/>
              </w:rPr>
            </w:pPr>
            <w:r>
              <w:rPr>
                <w:rFonts w:hint="eastAsia" w:ascii="宋体" w:hAnsi="宋体" w:cs="宋体"/>
                <w:kern w:val="0"/>
                <w:sz w:val="24"/>
                <w:szCs w:val="24"/>
              </w:rPr>
              <w:t>货物类</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130"/>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宋体"/>
                <w:sz w:val="24"/>
                <w:szCs w:val="24"/>
              </w:rPr>
            </w:pPr>
            <w:r>
              <w:rPr>
                <w:rFonts w:hint="eastAsia" w:ascii="Times New Roman" w:hAnsi="宋体"/>
                <w:sz w:val="24"/>
                <w:szCs w:val="24"/>
              </w:rPr>
              <w:t>采购人</w:t>
            </w:r>
          </w:p>
        </w:tc>
        <w:tc>
          <w:tcPr>
            <w:tcW w:w="6696" w:type="dxa"/>
            <w:tcBorders>
              <w:top w:val="single" w:color="auto" w:sz="4" w:space="0"/>
              <w:left w:val="single" w:color="auto" w:sz="4" w:space="0"/>
              <w:bottom w:val="single" w:color="auto" w:sz="4" w:space="0"/>
            </w:tcBorders>
            <w:vAlign w:val="center"/>
          </w:tcPr>
          <w:p>
            <w:pPr>
              <w:rPr>
                <w:rFonts w:ascii="宋体" w:cs="宋体"/>
                <w:kern w:val="0"/>
                <w:sz w:val="24"/>
                <w:szCs w:val="24"/>
              </w:rPr>
            </w:pPr>
            <w:r>
              <w:rPr>
                <w:rFonts w:hint="eastAsia" w:ascii="宋体" w:hAnsi="宋体" w:cs="宋体"/>
                <w:kern w:val="0"/>
                <w:sz w:val="24"/>
                <w:szCs w:val="24"/>
              </w:rPr>
              <w:t>阳新县城市建设开发有限公司</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25"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130"/>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宋体"/>
                <w:sz w:val="24"/>
                <w:szCs w:val="24"/>
              </w:rPr>
            </w:pPr>
            <w:r>
              <w:rPr>
                <w:rFonts w:hint="eastAsia" w:ascii="Times New Roman" w:hAnsi="宋体"/>
                <w:sz w:val="24"/>
                <w:szCs w:val="24"/>
              </w:rPr>
              <w:t>投标保证金</w:t>
            </w:r>
          </w:p>
        </w:tc>
        <w:tc>
          <w:tcPr>
            <w:tcW w:w="6696" w:type="dxa"/>
            <w:tcBorders>
              <w:top w:val="single" w:color="auto" w:sz="4" w:space="0"/>
              <w:left w:val="single" w:color="auto" w:sz="4" w:space="0"/>
              <w:bottom w:val="single" w:color="auto" w:sz="4" w:space="0"/>
            </w:tcBorders>
            <w:vAlign w:val="center"/>
          </w:tcPr>
          <w:p>
            <w:pPr>
              <w:rPr>
                <w:rFonts w:ascii="宋体" w:cs="宋体"/>
                <w:color w:val="0000CC"/>
                <w:kern w:val="0"/>
                <w:sz w:val="24"/>
                <w:szCs w:val="24"/>
              </w:rPr>
            </w:pPr>
            <w:r>
              <w:rPr>
                <w:rFonts w:hint="eastAsia" w:ascii="宋体" w:hAnsi="宋体" w:cs="宋体"/>
                <w:color w:val="0000CC"/>
                <w:kern w:val="0"/>
                <w:sz w:val="24"/>
                <w:szCs w:val="24"/>
              </w:rPr>
              <w:t>不收取</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379"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130"/>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sz w:val="24"/>
                <w:szCs w:val="24"/>
              </w:rPr>
            </w:pPr>
            <w:r>
              <w:rPr>
                <w:rFonts w:hint="eastAsia" w:ascii="Times New Roman" w:hAnsi="宋体"/>
                <w:sz w:val="24"/>
                <w:szCs w:val="24"/>
              </w:rPr>
              <w:t>投标文件份数</w:t>
            </w:r>
          </w:p>
        </w:tc>
        <w:tc>
          <w:tcPr>
            <w:tcW w:w="6696" w:type="dxa"/>
            <w:tcBorders>
              <w:top w:val="single" w:color="auto" w:sz="4" w:space="0"/>
              <w:left w:val="single" w:color="auto" w:sz="4" w:space="0"/>
              <w:bottom w:val="single" w:color="auto" w:sz="4" w:space="0"/>
            </w:tcBorders>
            <w:vAlign w:val="center"/>
          </w:tcPr>
          <w:p>
            <w:pPr>
              <w:rPr>
                <w:rFonts w:ascii="Times New Roman" w:hAnsi="Times New Roman"/>
                <w:color w:val="0D0D0D"/>
                <w:sz w:val="24"/>
                <w:szCs w:val="24"/>
              </w:rPr>
            </w:pPr>
            <w:r>
              <w:rPr>
                <w:rFonts w:hint="eastAsia" w:ascii="Times New Roman" w:hAnsi="Times New Roman"/>
                <w:color w:val="0D0D0D"/>
                <w:sz w:val="24"/>
                <w:szCs w:val="24"/>
              </w:rPr>
              <w:t>正本一份，副本四份</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130"/>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sz w:val="24"/>
                <w:szCs w:val="24"/>
              </w:rPr>
            </w:pPr>
            <w:r>
              <w:rPr>
                <w:rFonts w:hint="eastAsia" w:ascii="Times New Roman" w:hAnsi="宋体"/>
                <w:sz w:val="24"/>
                <w:szCs w:val="24"/>
              </w:rPr>
              <w:t>投标有效期</w:t>
            </w:r>
          </w:p>
        </w:tc>
        <w:tc>
          <w:tcPr>
            <w:tcW w:w="6696" w:type="dxa"/>
            <w:tcBorders>
              <w:top w:val="single" w:color="auto" w:sz="4" w:space="0"/>
              <w:left w:val="single" w:color="auto" w:sz="4" w:space="0"/>
              <w:bottom w:val="single" w:color="auto" w:sz="4" w:space="0"/>
            </w:tcBorders>
            <w:vAlign w:val="center"/>
          </w:tcPr>
          <w:p>
            <w:pPr>
              <w:rPr>
                <w:rFonts w:ascii="Times New Roman" w:hAnsi="Times New Roman"/>
                <w:color w:val="0D0D0D"/>
                <w:sz w:val="24"/>
                <w:szCs w:val="24"/>
              </w:rPr>
            </w:pPr>
            <w:r>
              <w:rPr>
                <w:rFonts w:hint="eastAsia" w:ascii="宋体" w:hAnsi="宋体" w:cs="宋体"/>
                <w:color w:val="0D0D0D"/>
                <w:kern w:val="0"/>
                <w:sz w:val="24"/>
                <w:szCs w:val="24"/>
              </w:rPr>
              <w:t>提交投标文件截止之日起</w:t>
            </w:r>
            <w:r>
              <w:rPr>
                <w:rFonts w:ascii="宋体" w:hAnsi="宋体" w:cs="宋体"/>
                <w:color w:val="0D0D0D"/>
                <w:kern w:val="0"/>
                <w:sz w:val="24"/>
                <w:szCs w:val="24"/>
              </w:rPr>
              <w:t>90</w:t>
            </w:r>
            <w:r>
              <w:rPr>
                <w:rFonts w:hint="eastAsia" w:ascii="宋体" w:hAnsi="宋体" w:cs="宋体"/>
                <w:color w:val="0D0D0D"/>
                <w:kern w:val="0"/>
                <w:sz w:val="24"/>
                <w:szCs w:val="24"/>
              </w:rPr>
              <w:t>日历日</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130"/>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宋体"/>
                <w:sz w:val="24"/>
                <w:szCs w:val="24"/>
              </w:rPr>
            </w:pPr>
            <w:r>
              <w:rPr>
                <w:rFonts w:hint="eastAsia" w:ascii="Times New Roman" w:hAnsi="宋体"/>
                <w:sz w:val="24"/>
                <w:szCs w:val="24"/>
              </w:rPr>
              <w:t>资格预审</w:t>
            </w:r>
          </w:p>
        </w:tc>
        <w:tc>
          <w:tcPr>
            <w:tcW w:w="6696" w:type="dxa"/>
            <w:tcBorders>
              <w:top w:val="single" w:color="auto" w:sz="4" w:space="0"/>
              <w:left w:val="single" w:color="auto" w:sz="4" w:space="0"/>
              <w:bottom w:val="single" w:color="auto" w:sz="4" w:space="0"/>
            </w:tcBorders>
            <w:vAlign w:val="center"/>
          </w:tcPr>
          <w:p>
            <w:pPr>
              <w:rPr>
                <w:rFonts w:ascii="Times New Roman" w:hAnsi="Times New Roman"/>
                <w:sz w:val="24"/>
                <w:szCs w:val="24"/>
                <w:highlight w:val="yellow"/>
              </w:rPr>
            </w:pPr>
            <w:r>
              <w:rPr>
                <w:rFonts w:hint="eastAsia" w:ascii="Times New Roman" w:hAnsi="Times New Roman"/>
                <w:sz w:val="24"/>
                <w:szCs w:val="24"/>
                <w:highlight w:val="yellow"/>
              </w:rPr>
              <w:t>不进行</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242"/>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sz w:val="24"/>
                <w:szCs w:val="24"/>
              </w:rPr>
            </w:pPr>
            <w:r>
              <w:rPr>
                <w:rFonts w:hint="eastAsia" w:ascii="Times New Roman" w:hAnsi="宋体"/>
                <w:sz w:val="24"/>
                <w:szCs w:val="24"/>
              </w:rPr>
              <w:t>投标文件递交时间</w:t>
            </w:r>
          </w:p>
        </w:tc>
        <w:tc>
          <w:tcPr>
            <w:tcW w:w="6696" w:type="dxa"/>
            <w:tcBorders>
              <w:top w:val="single" w:color="auto" w:sz="4" w:space="0"/>
              <w:left w:val="single" w:color="auto" w:sz="4" w:space="0"/>
              <w:bottom w:val="single" w:color="auto" w:sz="4" w:space="0"/>
            </w:tcBorders>
            <w:vAlign w:val="center"/>
          </w:tcPr>
          <w:p>
            <w:pPr>
              <w:rPr>
                <w:rFonts w:ascii="Times New Roman" w:hAnsi="Times New Roman"/>
                <w:sz w:val="24"/>
                <w:szCs w:val="24"/>
              </w:rPr>
            </w:pPr>
            <w:r>
              <w:rPr>
                <w:rFonts w:hint="eastAsia" w:ascii="Times New Roman" w:hAnsi="Times New Roman"/>
                <w:sz w:val="24"/>
                <w:szCs w:val="24"/>
              </w:rPr>
              <w:t>详见第一章“投标邀请书”要求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242"/>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sz w:val="24"/>
                <w:szCs w:val="24"/>
              </w:rPr>
            </w:pPr>
            <w:r>
              <w:rPr>
                <w:rFonts w:hint="eastAsia" w:ascii="Times New Roman" w:hAnsi="宋体"/>
                <w:sz w:val="24"/>
                <w:szCs w:val="24"/>
              </w:rPr>
              <w:t>开标时间、地点</w:t>
            </w:r>
          </w:p>
        </w:tc>
        <w:tc>
          <w:tcPr>
            <w:tcW w:w="6696" w:type="dxa"/>
            <w:tcBorders>
              <w:top w:val="single" w:color="auto" w:sz="4" w:space="0"/>
              <w:left w:val="single" w:color="auto" w:sz="4" w:space="0"/>
              <w:bottom w:val="single" w:color="auto" w:sz="4" w:space="0"/>
            </w:tcBorders>
            <w:vAlign w:val="center"/>
          </w:tcPr>
          <w:p>
            <w:pPr>
              <w:rPr>
                <w:rFonts w:ascii="Times New Roman" w:hAnsi="Times New Roman"/>
                <w:sz w:val="24"/>
                <w:szCs w:val="24"/>
              </w:rPr>
            </w:pPr>
            <w:r>
              <w:rPr>
                <w:rFonts w:hint="eastAsia" w:ascii="Times New Roman" w:hAnsi="Times New Roman"/>
                <w:sz w:val="24"/>
                <w:szCs w:val="24"/>
              </w:rPr>
              <w:t>详见第一章“投标邀请书”要求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29"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242"/>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宋体"/>
                <w:sz w:val="24"/>
                <w:szCs w:val="24"/>
              </w:rPr>
            </w:pPr>
            <w:r>
              <w:rPr>
                <w:rFonts w:hint="eastAsia" w:ascii="Times New Roman" w:hAnsi="宋体"/>
                <w:sz w:val="24"/>
                <w:szCs w:val="24"/>
              </w:rPr>
              <w:t>备选方案</w:t>
            </w:r>
          </w:p>
        </w:tc>
        <w:tc>
          <w:tcPr>
            <w:tcW w:w="6696" w:type="dxa"/>
            <w:tcBorders>
              <w:top w:val="single" w:color="auto" w:sz="4" w:space="0"/>
              <w:left w:val="single" w:color="auto" w:sz="4" w:space="0"/>
              <w:bottom w:val="single" w:color="auto" w:sz="4" w:space="0"/>
            </w:tcBorders>
            <w:vAlign w:val="center"/>
          </w:tcPr>
          <w:p>
            <w:pPr>
              <w:rPr>
                <w:rFonts w:ascii="Times New Roman" w:hAnsi="Times New Roman"/>
                <w:sz w:val="24"/>
                <w:szCs w:val="24"/>
              </w:rPr>
            </w:pPr>
            <w:r>
              <w:rPr>
                <w:rFonts w:hint="eastAsia" w:ascii="Times New Roman" w:hAnsi="Times New Roman"/>
                <w:sz w:val="24"/>
                <w:szCs w:val="24"/>
              </w:rPr>
              <w:t>不允许</w:t>
            </w:r>
          </w:p>
          <w:p>
            <w:pPr>
              <w:rPr>
                <w:rFonts w:ascii="Times New Roman" w:hAnsi="Times New Roman"/>
                <w:sz w:val="24"/>
                <w:szCs w:val="24"/>
              </w:rPr>
            </w:pPr>
            <w:r>
              <w:rPr>
                <w:rFonts w:hint="eastAsia" w:ascii="Times New Roman" w:hAnsi="Times New Roman"/>
                <w:sz w:val="24"/>
                <w:szCs w:val="24"/>
              </w:rPr>
              <w:t>详见第三章“</w:t>
            </w:r>
            <w:r>
              <w:rPr>
                <w:rFonts w:hint="eastAsia" w:ascii="宋体" w:hAnsi="宋体"/>
                <w:sz w:val="24"/>
                <w:szCs w:val="24"/>
              </w:rPr>
              <w:t>项目技术、服务及商务要求</w:t>
            </w:r>
            <w:r>
              <w:rPr>
                <w:rFonts w:hint="eastAsia" w:ascii="Times New Roman" w:hAnsi="Times New Roman"/>
                <w:sz w:val="24"/>
                <w:szCs w:val="24"/>
              </w:rPr>
              <w:t>”要求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29"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242"/>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sz w:val="24"/>
                <w:szCs w:val="24"/>
              </w:rPr>
            </w:pPr>
            <w:r>
              <w:rPr>
                <w:rFonts w:hint="eastAsia" w:ascii="Times New Roman" w:hAnsi="宋体"/>
                <w:sz w:val="24"/>
                <w:szCs w:val="24"/>
              </w:rPr>
              <w:t>实物样品</w:t>
            </w:r>
          </w:p>
        </w:tc>
        <w:tc>
          <w:tcPr>
            <w:tcW w:w="6696" w:type="dxa"/>
            <w:tcBorders>
              <w:top w:val="single" w:color="auto" w:sz="4" w:space="0"/>
              <w:left w:val="single" w:color="auto" w:sz="4" w:space="0"/>
              <w:bottom w:val="single" w:color="auto" w:sz="4" w:space="0"/>
            </w:tcBorders>
            <w:vAlign w:val="center"/>
          </w:tcPr>
          <w:p>
            <w:pPr>
              <w:rPr>
                <w:rFonts w:ascii="Times New Roman" w:hAnsi="Times New Roman"/>
                <w:sz w:val="24"/>
                <w:szCs w:val="24"/>
              </w:rPr>
            </w:pPr>
            <w:r>
              <w:rPr>
                <w:rFonts w:hint="eastAsia" w:ascii="Times New Roman" w:hAnsi="Times New Roman"/>
                <w:sz w:val="24"/>
                <w:szCs w:val="24"/>
                <w:highlight w:val="yellow"/>
              </w:rPr>
              <w:t>不提交</w:t>
            </w:r>
          </w:p>
          <w:p>
            <w:pPr>
              <w:rPr>
                <w:rFonts w:ascii="Times New Roman" w:hAnsi="Times New Roman"/>
                <w:sz w:val="24"/>
                <w:szCs w:val="24"/>
              </w:rPr>
            </w:pPr>
            <w:r>
              <w:rPr>
                <w:rFonts w:hint="eastAsia" w:ascii="Times New Roman" w:hAnsi="Times New Roman"/>
                <w:sz w:val="24"/>
                <w:szCs w:val="24"/>
              </w:rPr>
              <w:t>详见第三章“</w:t>
            </w:r>
            <w:r>
              <w:rPr>
                <w:rFonts w:hint="eastAsia" w:ascii="宋体" w:hAnsi="宋体"/>
                <w:sz w:val="24"/>
                <w:szCs w:val="24"/>
              </w:rPr>
              <w:t>项目技术、服务及商务要求</w:t>
            </w:r>
            <w:r>
              <w:rPr>
                <w:rFonts w:hint="eastAsia" w:ascii="Times New Roman" w:hAnsi="Times New Roman"/>
                <w:sz w:val="24"/>
                <w:szCs w:val="24"/>
              </w:rPr>
              <w:t>”要求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91"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242"/>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宋体"/>
                <w:sz w:val="24"/>
                <w:szCs w:val="24"/>
              </w:rPr>
            </w:pPr>
            <w:r>
              <w:rPr>
                <w:rFonts w:hint="eastAsia" w:ascii="宋体" w:hAnsi="宋体" w:cs="宋体"/>
                <w:color w:val="000000"/>
                <w:sz w:val="24"/>
                <w:szCs w:val="24"/>
              </w:rPr>
              <w:t>现</w:t>
            </w:r>
            <w:r>
              <w:rPr>
                <w:rFonts w:hint="eastAsia" w:ascii="宋体" w:hAnsi="宋体" w:cs="宋体"/>
                <w:sz w:val="24"/>
                <w:szCs w:val="24"/>
              </w:rPr>
              <w:t>场考察</w:t>
            </w:r>
          </w:p>
        </w:tc>
        <w:tc>
          <w:tcPr>
            <w:tcW w:w="6696" w:type="dxa"/>
            <w:tcBorders>
              <w:top w:val="single" w:color="auto" w:sz="4" w:space="0"/>
              <w:left w:val="single" w:color="auto" w:sz="4" w:space="0"/>
              <w:bottom w:val="single" w:color="auto" w:sz="4" w:space="0"/>
            </w:tcBorders>
            <w:vAlign w:val="center"/>
          </w:tcPr>
          <w:p>
            <w:pPr>
              <w:pStyle w:val="2"/>
              <w:rPr>
                <w:sz w:val="24"/>
              </w:rPr>
            </w:pPr>
            <w:r>
              <w:rPr>
                <w:rFonts w:hint="eastAsia" w:ascii="Times New Roman" w:hAnsi="宋体"/>
                <w:sz w:val="24"/>
                <w:szCs w:val="24"/>
              </w:rPr>
              <w:t>不组织供应商现场踏勘</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29"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242"/>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宋体"/>
                <w:color w:val="0D0D0D"/>
                <w:sz w:val="24"/>
                <w:szCs w:val="24"/>
              </w:rPr>
            </w:pPr>
            <w:r>
              <w:rPr>
                <w:rFonts w:hint="eastAsia" w:ascii="Times New Roman" w:hAnsi="宋体"/>
                <w:color w:val="0D0D0D"/>
                <w:sz w:val="24"/>
                <w:szCs w:val="24"/>
              </w:rPr>
              <w:t>中标后分包</w:t>
            </w:r>
          </w:p>
        </w:tc>
        <w:tc>
          <w:tcPr>
            <w:tcW w:w="6696" w:type="dxa"/>
            <w:tcBorders>
              <w:top w:val="single" w:color="auto" w:sz="4" w:space="0"/>
              <w:left w:val="single" w:color="auto" w:sz="4" w:space="0"/>
              <w:bottom w:val="single" w:color="auto" w:sz="4" w:space="0"/>
            </w:tcBorders>
            <w:vAlign w:val="center"/>
          </w:tcPr>
          <w:p>
            <w:pPr>
              <w:rPr>
                <w:rFonts w:ascii="Times New Roman" w:hAnsi="Times New Roman"/>
                <w:sz w:val="24"/>
                <w:szCs w:val="24"/>
              </w:rPr>
            </w:pPr>
            <w:r>
              <w:rPr>
                <w:rFonts w:hint="eastAsia" w:ascii="Times New Roman" w:hAnsi="Times New Roman"/>
                <w:sz w:val="24"/>
                <w:szCs w:val="24"/>
              </w:rPr>
              <w:t>不允许</w:t>
            </w:r>
          </w:p>
          <w:p>
            <w:pPr>
              <w:rPr>
                <w:rFonts w:ascii="Times New Roman" w:hAnsi="Times New Roman"/>
                <w:sz w:val="24"/>
                <w:szCs w:val="24"/>
                <w:highlight w:val="yellow"/>
              </w:rPr>
            </w:pPr>
            <w:r>
              <w:rPr>
                <w:rFonts w:hint="eastAsia" w:ascii="Times New Roman" w:hAnsi="Times New Roman"/>
                <w:sz w:val="24"/>
                <w:szCs w:val="24"/>
              </w:rPr>
              <w:t>详见第三章“</w:t>
            </w:r>
            <w:r>
              <w:rPr>
                <w:rFonts w:hint="eastAsia" w:ascii="宋体" w:hAnsi="宋体"/>
                <w:sz w:val="24"/>
                <w:szCs w:val="24"/>
              </w:rPr>
              <w:t>项目技术、服务及商务要求</w:t>
            </w:r>
            <w:r>
              <w:rPr>
                <w:rFonts w:hint="eastAsia" w:ascii="Times New Roman" w:hAnsi="Times New Roman"/>
                <w:sz w:val="24"/>
                <w:szCs w:val="24"/>
              </w:rPr>
              <w:t>”要求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29"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242"/>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宋体"/>
                <w:sz w:val="24"/>
                <w:szCs w:val="24"/>
              </w:rPr>
            </w:pPr>
            <w:r>
              <w:rPr>
                <w:rFonts w:hint="eastAsia" w:ascii="Times New Roman" w:hAnsi="宋体"/>
                <w:sz w:val="24"/>
                <w:szCs w:val="24"/>
              </w:rPr>
              <w:t>评标办法</w:t>
            </w:r>
          </w:p>
        </w:tc>
        <w:tc>
          <w:tcPr>
            <w:tcW w:w="6696" w:type="dxa"/>
            <w:tcBorders>
              <w:top w:val="single" w:color="auto" w:sz="4" w:space="0"/>
              <w:left w:val="single" w:color="auto" w:sz="4" w:space="0"/>
              <w:bottom w:val="single" w:color="auto" w:sz="4" w:space="0"/>
            </w:tcBorders>
            <w:vAlign w:val="center"/>
          </w:tcPr>
          <w:p>
            <w:pPr>
              <w:rPr>
                <w:rFonts w:ascii="Times New Roman" w:hAnsi="Times New Roman"/>
                <w:color w:val="0D0D0D"/>
                <w:sz w:val="24"/>
                <w:szCs w:val="24"/>
              </w:rPr>
            </w:pPr>
            <w:r>
              <w:rPr>
                <w:rFonts w:hint="eastAsia" w:ascii="Times New Roman" w:hAnsi="Times New Roman"/>
                <w:color w:val="0D0D0D"/>
                <w:sz w:val="24"/>
                <w:szCs w:val="24"/>
              </w:rPr>
              <w:t>综合评分法</w:t>
            </w:r>
          </w:p>
          <w:p>
            <w:pPr>
              <w:rPr>
                <w:rFonts w:ascii="Times New Roman" w:hAnsi="Times New Roman"/>
                <w:color w:val="0D0D0D"/>
                <w:sz w:val="24"/>
                <w:szCs w:val="24"/>
                <w:lang w:val="zh-CN"/>
              </w:rPr>
            </w:pPr>
            <w:r>
              <w:rPr>
                <w:rFonts w:hint="eastAsia" w:ascii="Times New Roman" w:hAnsi="Times New Roman"/>
                <w:color w:val="0D0D0D"/>
                <w:sz w:val="24"/>
                <w:szCs w:val="24"/>
              </w:rPr>
              <w:t>详见第五章“评标方法、程序及标准”要求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242"/>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宋体"/>
                <w:sz w:val="24"/>
                <w:szCs w:val="24"/>
              </w:rPr>
            </w:pPr>
            <w:r>
              <w:rPr>
                <w:rFonts w:hint="eastAsia" w:ascii="Times New Roman" w:hAnsi="宋体"/>
                <w:sz w:val="24"/>
                <w:szCs w:val="24"/>
              </w:rPr>
              <w:t>中小企业</w:t>
            </w:r>
          </w:p>
        </w:tc>
        <w:tc>
          <w:tcPr>
            <w:tcW w:w="6696" w:type="dxa"/>
            <w:tcBorders>
              <w:top w:val="single" w:color="auto" w:sz="4" w:space="0"/>
              <w:left w:val="single" w:color="auto" w:sz="4" w:space="0"/>
              <w:bottom w:val="single" w:color="auto" w:sz="4" w:space="0"/>
            </w:tcBorders>
            <w:vAlign w:val="center"/>
          </w:tcPr>
          <w:p>
            <w:pPr>
              <w:rPr>
                <w:rFonts w:ascii="Times New Roman" w:hAnsi="Times New Roman"/>
                <w:sz w:val="24"/>
                <w:szCs w:val="24"/>
              </w:rPr>
            </w:pPr>
            <w:r>
              <w:rPr>
                <w:rFonts w:hint="eastAsia" w:ascii="宋体" w:hAnsi="宋体"/>
                <w:color w:val="FF0000"/>
                <w:sz w:val="24"/>
                <w:szCs w:val="24"/>
              </w:rPr>
              <w:t>一标段：部分专门面向；二标段：专门面向</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242"/>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宋体"/>
                <w:sz w:val="24"/>
                <w:szCs w:val="24"/>
              </w:rPr>
            </w:pPr>
            <w:r>
              <w:rPr>
                <w:rFonts w:hint="eastAsia" w:ascii="Times New Roman" w:hAnsi="宋体"/>
                <w:sz w:val="24"/>
                <w:szCs w:val="24"/>
              </w:rPr>
              <w:t>监狱企业</w:t>
            </w:r>
          </w:p>
        </w:tc>
        <w:tc>
          <w:tcPr>
            <w:tcW w:w="6696" w:type="dxa"/>
            <w:tcBorders>
              <w:top w:val="single" w:color="auto" w:sz="4" w:space="0"/>
              <w:left w:val="single" w:color="auto" w:sz="4" w:space="0"/>
              <w:bottom w:val="single" w:color="auto" w:sz="4" w:space="0"/>
            </w:tcBorders>
            <w:vAlign w:val="center"/>
          </w:tcPr>
          <w:p>
            <w:pPr>
              <w:rPr>
                <w:rFonts w:ascii="Times New Roman" w:hAnsi="Times New Roman"/>
                <w:sz w:val="24"/>
                <w:szCs w:val="24"/>
              </w:rPr>
            </w:pPr>
            <w:r>
              <w:rPr>
                <w:rFonts w:hint="eastAsia" w:ascii="宋体" w:hAnsi="宋体"/>
                <w:color w:val="FF0000"/>
                <w:sz w:val="24"/>
                <w:szCs w:val="24"/>
              </w:rPr>
              <w:t>一标段：部分专门面向；二标段：专门面向</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699" w:type="dxa"/>
            <w:tcBorders>
              <w:top w:val="single" w:color="auto" w:sz="4" w:space="0"/>
              <w:bottom w:val="single" w:color="auto" w:sz="4" w:space="0"/>
              <w:right w:val="single" w:color="auto" w:sz="4" w:space="0"/>
            </w:tcBorders>
            <w:vAlign w:val="center"/>
          </w:tcPr>
          <w:p>
            <w:pPr>
              <w:numPr>
                <w:ilvl w:val="0"/>
                <w:numId w:val="3"/>
              </w:numPr>
              <w:tabs>
                <w:tab w:val="left" w:pos="242"/>
              </w:tabs>
              <w:ind w:right="57"/>
              <w:jc w:val="center"/>
              <w:rPr>
                <w:rFonts w:ascii="宋体"/>
                <w:b/>
                <w:sz w:val="24"/>
                <w:szCs w:val="24"/>
              </w:rPr>
            </w:pPr>
          </w:p>
        </w:tc>
        <w:tc>
          <w:tcPr>
            <w:tcW w:w="22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宋体"/>
                <w:sz w:val="24"/>
                <w:szCs w:val="24"/>
              </w:rPr>
            </w:pPr>
            <w:r>
              <w:rPr>
                <w:rFonts w:hint="eastAsia" w:ascii="Times New Roman" w:hAnsi="宋体"/>
                <w:sz w:val="24"/>
                <w:szCs w:val="24"/>
              </w:rPr>
              <w:t>质疑及提交</w:t>
            </w:r>
          </w:p>
        </w:tc>
        <w:tc>
          <w:tcPr>
            <w:tcW w:w="6696" w:type="dxa"/>
            <w:tcBorders>
              <w:top w:val="single" w:color="auto" w:sz="4" w:space="0"/>
              <w:left w:val="single" w:color="auto" w:sz="4" w:space="0"/>
              <w:bottom w:val="single" w:color="auto" w:sz="4" w:space="0"/>
            </w:tcBorders>
            <w:vAlign w:val="center"/>
          </w:tcPr>
          <w:p>
            <w:pPr>
              <w:rPr>
                <w:rFonts w:ascii="宋体"/>
                <w:color w:val="0D0D0D"/>
                <w:sz w:val="24"/>
                <w:szCs w:val="24"/>
              </w:rPr>
            </w:pPr>
            <w:r>
              <w:rPr>
                <w:rFonts w:hint="eastAsia" w:ascii="宋体" w:hAnsi="宋体"/>
                <w:color w:val="0D0D0D"/>
                <w:sz w:val="24"/>
                <w:szCs w:val="24"/>
              </w:rPr>
              <w:t>详见本章“质疑及提交”要求</w:t>
            </w:r>
          </w:p>
        </w:tc>
      </w:tr>
    </w:tbl>
    <w:p>
      <w:pPr>
        <w:pStyle w:val="4"/>
        <w:numPr>
          <w:ilvl w:val="0"/>
          <w:numId w:val="4"/>
        </w:numPr>
        <w:spacing w:before="40" w:after="40" w:line="360" w:lineRule="auto"/>
        <w:ind w:left="658" w:hanging="658"/>
        <w:jc w:val="left"/>
        <w:rPr>
          <w:rFonts w:ascii="宋体"/>
          <w:bCs w:val="0"/>
          <w:lang w:val="zh-CN"/>
        </w:rPr>
      </w:pPr>
      <w:bookmarkStart w:id="4" w:name="_Toc494561938"/>
      <w:bookmarkStart w:id="5" w:name="_Toc106268599"/>
      <w:r>
        <w:rPr>
          <w:rFonts w:hint="eastAsia" w:ascii="宋体" w:hAnsi="宋体"/>
          <w:bCs w:val="0"/>
          <w:lang w:val="zh-CN"/>
        </w:rPr>
        <w:t>说明</w:t>
      </w:r>
      <w:bookmarkEnd w:id="4"/>
      <w:bookmarkEnd w:id="5"/>
    </w:p>
    <w:p>
      <w:pPr>
        <w:numPr>
          <w:ilvl w:val="0"/>
          <w:numId w:val="5"/>
        </w:numPr>
        <w:spacing w:line="360" w:lineRule="auto"/>
        <w:rPr>
          <w:rFonts w:ascii="宋体"/>
          <w:b/>
          <w:sz w:val="24"/>
          <w:szCs w:val="24"/>
          <w:lang w:val="zh-CN"/>
        </w:rPr>
      </w:pPr>
      <w:r>
        <w:rPr>
          <w:rFonts w:hint="eastAsia" w:ascii="宋体" w:hAnsi="宋体"/>
          <w:b/>
          <w:sz w:val="24"/>
          <w:szCs w:val="24"/>
          <w:lang w:val="zh-CN"/>
        </w:rPr>
        <w:t>适用范围</w:t>
      </w:r>
    </w:p>
    <w:p>
      <w:pPr>
        <w:spacing w:line="360" w:lineRule="auto"/>
        <w:ind w:firstLine="480" w:firstLineChars="200"/>
        <w:rPr>
          <w:rFonts w:ascii="宋体"/>
          <w:sz w:val="24"/>
          <w:szCs w:val="24"/>
          <w:lang w:val="zh-CN"/>
        </w:rPr>
      </w:pPr>
      <w:r>
        <w:rPr>
          <w:rFonts w:hint="eastAsia" w:ascii="宋体" w:hAnsi="宋体"/>
          <w:sz w:val="24"/>
          <w:szCs w:val="24"/>
          <w:lang w:val="zh-CN"/>
        </w:rPr>
        <w:t>招标文件仅适用于第一章“投标邀请书”中所述项目的货物、工程及服务的采购。</w:t>
      </w:r>
    </w:p>
    <w:p>
      <w:pPr>
        <w:numPr>
          <w:ilvl w:val="0"/>
          <w:numId w:val="5"/>
        </w:numPr>
        <w:spacing w:line="360" w:lineRule="auto"/>
        <w:rPr>
          <w:rFonts w:ascii="宋体"/>
          <w:b/>
          <w:sz w:val="24"/>
          <w:szCs w:val="24"/>
          <w:lang w:val="zh-CN"/>
        </w:rPr>
      </w:pPr>
      <w:r>
        <w:rPr>
          <w:rFonts w:hint="eastAsia" w:ascii="宋体" w:hAnsi="宋体"/>
          <w:b/>
          <w:sz w:val="24"/>
          <w:szCs w:val="24"/>
          <w:lang w:val="zh-CN"/>
        </w:rPr>
        <w:t>当事人定义</w:t>
      </w:r>
    </w:p>
    <w:p>
      <w:pPr>
        <w:numPr>
          <w:ilvl w:val="0"/>
          <w:numId w:val="6"/>
        </w:numPr>
        <w:spacing w:line="360" w:lineRule="auto"/>
        <w:ind w:left="476" w:hanging="476"/>
        <w:rPr>
          <w:rFonts w:ascii="宋体"/>
          <w:sz w:val="24"/>
          <w:szCs w:val="24"/>
          <w:u w:val="single"/>
          <w:lang w:val="zh-CN"/>
        </w:rPr>
      </w:pPr>
      <w:r>
        <w:rPr>
          <w:rFonts w:hint="eastAsia" w:ascii="宋体" w:hAnsi="宋体"/>
          <w:b/>
          <w:sz w:val="24"/>
          <w:szCs w:val="24"/>
          <w:lang w:val="zh-CN"/>
        </w:rPr>
        <w:t>“采购人”是指：</w:t>
      </w:r>
      <w:r>
        <w:rPr>
          <w:rFonts w:hint="eastAsia" w:ascii="宋体" w:hAnsi="宋体"/>
          <w:sz w:val="24"/>
          <w:szCs w:val="24"/>
          <w:u w:val="single"/>
          <w:lang w:val="zh-CN"/>
        </w:rPr>
        <w:t>阳新县城市建设开发有限公司。</w:t>
      </w:r>
    </w:p>
    <w:p>
      <w:pPr>
        <w:numPr>
          <w:ilvl w:val="0"/>
          <w:numId w:val="6"/>
        </w:numPr>
        <w:spacing w:line="360" w:lineRule="auto"/>
        <w:ind w:left="476" w:hanging="476"/>
        <w:rPr>
          <w:rFonts w:ascii="宋体"/>
          <w:sz w:val="24"/>
          <w:szCs w:val="24"/>
          <w:u w:val="single"/>
          <w:lang w:val="zh-CN"/>
        </w:rPr>
      </w:pPr>
      <w:r>
        <w:rPr>
          <w:rFonts w:hint="eastAsia" w:ascii="宋体" w:hAnsi="宋体"/>
          <w:b/>
          <w:sz w:val="24"/>
          <w:szCs w:val="24"/>
          <w:lang w:val="zh-CN"/>
        </w:rPr>
        <w:t>“监管部门”是指：</w:t>
      </w:r>
      <w:r>
        <w:rPr>
          <w:rFonts w:hint="eastAsia" w:ascii="宋体" w:hAnsi="宋体"/>
          <w:sz w:val="24"/>
          <w:szCs w:val="24"/>
          <w:u w:val="single"/>
          <w:lang w:val="zh-CN"/>
        </w:rPr>
        <w:t>阳新县办公室、阳新县公共资源交易监督管理局。</w:t>
      </w:r>
    </w:p>
    <w:p>
      <w:pPr>
        <w:numPr>
          <w:ilvl w:val="0"/>
          <w:numId w:val="6"/>
        </w:numPr>
        <w:spacing w:line="360" w:lineRule="auto"/>
        <w:ind w:left="476" w:hanging="476"/>
        <w:rPr>
          <w:rFonts w:ascii="宋体"/>
          <w:sz w:val="24"/>
          <w:szCs w:val="24"/>
          <w:u w:val="single"/>
          <w:lang w:val="zh-CN"/>
        </w:rPr>
      </w:pPr>
      <w:r>
        <w:rPr>
          <w:rFonts w:hint="eastAsia" w:ascii="宋体" w:hAnsi="宋体"/>
          <w:b/>
          <w:sz w:val="24"/>
          <w:szCs w:val="24"/>
          <w:lang w:val="zh-CN"/>
        </w:rPr>
        <w:t>“采购代理机构”是指：</w:t>
      </w:r>
      <w:r>
        <w:rPr>
          <w:rFonts w:hint="eastAsia" w:ascii="宋体" w:hAnsi="宋体"/>
          <w:bCs/>
          <w:color w:val="0D0D0D"/>
          <w:sz w:val="24"/>
          <w:szCs w:val="24"/>
          <w:u w:val="single"/>
        </w:rPr>
        <w:t>中智达项目管理有限公司</w:t>
      </w:r>
      <w:r>
        <w:rPr>
          <w:rFonts w:hint="eastAsia" w:ascii="宋体" w:hAnsi="宋体"/>
          <w:sz w:val="24"/>
          <w:szCs w:val="24"/>
          <w:u w:val="single"/>
          <w:lang w:val="zh-CN"/>
        </w:rPr>
        <w:t>。</w:t>
      </w:r>
    </w:p>
    <w:p>
      <w:pPr>
        <w:numPr>
          <w:ilvl w:val="0"/>
          <w:numId w:val="6"/>
        </w:numPr>
        <w:spacing w:line="360" w:lineRule="auto"/>
        <w:ind w:left="476" w:hanging="476"/>
        <w:rPr>
          <w:rFonts w:ascii="宋体"/>
          <w:sz w:val="24"/>
          <w:szCs w:val="24"/>
          <w:lang w:val="zh-CN"/>
        </w:rPr>
      </w:pPr>
      <w:r>
        <w:rPr>
          <w:rFonts w:hint="eastAsia" w:ascii="宋体" w:hAnsi="宋体"/>
          <w:b/>
          <w:sz w:val="24"/>
          <w:szCs w:val="24"/>
          <w:lang w:val="zh-CN"/>
        </w:rPr>
        <w:t>“投标人”是指：</w:t>
      </w:r>
      <w:r>
        <w:rPr>
          <w:rFonts w:hint="eastAsia" w:ascii="宋体" w:hAnsi="宋体" w:cs="Helvetica"/>
          <w:kern w:val="0"/>
          <w:sz w:val="24"/>
          <w:szCs w:val="24"/>
          <w:lang w:val="zh-CN"/>
        </w:rPr>
        <w:t>响应招标、参加投标竞争的法人、其他组织或者自然人。</w:t>
      </w:r>
    </w:p>
    <w:p>
      <w:pPr>
        <w:numPr>
          <w:ilvl w:val="0"/>
          <w:numId w:val="6"/>
        </w:numPr>
        <w:spacing w:line="360" w:lineRule="auto"/>
        <w:ind w:left="476" w:hanging="476"/>
        <w:rPr>
          <w:rFonts w:ascii="宋体" w:cs="Helvetica"/>
          <w:kern w:val="0"/>
          <w:sz w:val="24"/>
          <w:szCs w:val="24"/>
          <w:lang w:val="zh-CN"/>
        </w:rPr>
      </w:pPr>
      <w:r>
        <w:rPr>
          <w:rFonts w:hint="eastAsia" w:ascii="宋体" w:hAnsi="宋体"/>
          <w:b/>
          <w:sz w:val="24"/>
          <w:szCs w:val="24"/>
          <w:lang w:val="zh-CN"/>
        </w:rPr>
        <w:t>“合格的投标人”是指：</w:t>
      </w:r>
      <w:r>
        <w:rPr>
          <w:rFonts w:hint="eastAsia" w:ascii="宋体" w:hAnsi="宋体" w:cs="Helvetica"/>
          <w:kern w:val="0"/>
          <w:sz w:val="24"/>
          <w:szCs w:val="24"/>
          <w:lang w:val="zh-CN"/>
        </w:rPr>
        <w:t>资格审查和符合性审查合格的投标人。</w:t>
      </w:r>
    </w:p>
    <w:p>
      <w:pPr>
        <w:numPr>
          <w:ilvl w:val="0"/>
          <w:numId w:val="6"/>
        </w:numPr>
        <w:spacing w:line="360" w:lineRule="auto"/>
        <w:ind w:left="476" w:hanging="476"/>
        <w:rPr>
          <w:rFonts w:ascii="宋体"/>
          <w:sz w:val="24"/>
          <w:szCs w:val="24"/>
          <w:lang w:val="zh-CN"/>
        </w:rPr>
      </w:pPr>
      <w:r>
        <w:rPr>
          <w:rFonts w:hint="eastAsia" w:ascii="宋体" w:hAnsi="宋体"/>
          <w:b/>
          <w:sz w:val="24"/>
          <w:szCs w:val="24"/>
          <w:lang w:val="zh-CN"/>
        </w:rPr>
        <w:t>“中标人”是指：</w:t>
      </w:r>
      <w:r>
        <w:rPr>
          <w:rFonts w:hint="eastAsia" w:ascii="宋体" w:hAnsi="宋体"/>
          <w:sz w:val="24"/>
          <w:szCs w:val="24"/>
          <w:lang w:val="zh-CN"/>
        </w:rPr>
        <w:t>经评标委员会评审，授予合同的投标人。</w:t>
      </w:r>
    </w:p>
    <w:p>
      <w:pPr>
        <w:numPr>
          <w:ilvl w:val="0"/>
          <w:numId w:val="5"/>
        </w:numPr>
        <w:spacing w:line="360" w:lineRule="auto"/>
        <w:rPr>
          <w:rFonts w:ascii="宋体"/>
          <w:b/>
          <w:sz w:val="24"/>
          <w:szCs w:val="24"/>
          <w:lang w:val="zh-CN"/>
        </w:rPr>
      </w:pPr>
      <w:r>
        <w:rPr>
          <w:rFonts w:hint="eastAsia" w:ascii="宋体" w:hAnsi="宋体"/>
          <w:b/>
          <w:sz w:val="24"/>
          <w:szCs w:val="24"/>
          <w:lang w:val="zh-CN"/>
        </w:rPr>
        <w:t>项目属性及定义</w:t>
      </w:r>
    </w:p>
    <w:p>
      <w:pPr>
        <w:numPr>
          <w:ilvl w:val="0"/>
          <w:numId w:val="7"/>
        </w:numPr>
        <w:spacing w:line="360" w:lineRule="auto"/>
        <w:ind w:left="476" w:hanging="476"/>
        <w:rPr>
          <w:rFonts w:ascii="宋体"/>
          <w:sz w:val="24"/>
          <w:szCs w:val="24"/>
          <w:lang w:val="zh-CN"/>
        </w:rPr>
      </w:pPr>
      <w:r>
        <w:rPr>
          <w:rFonts w:hint="eastAsia" w:ascii="宋体" w:hAnsi="宋体"/>
          <w:b/>
          <w:sz w:val="24"/>
          <w:szCs w:val="24"/>
          <w:lang w:val="zh-CN"/>
        </w:rPr>
        <w:t>“货物”是指</w:t>
      </w:r>
      <w:r>
        <w:rPr>
          <w:rFonts w:hint="eastAsia" w:ascii="宋体" w:hAnsi="宋体"/>
          <w:sz w:val="24"/>
          <w:szCs w:val="24"/>
          <w:lang w:val="zh-CN"/>
        </w:rPr>
        <w:t>：各种形态和种类的物品，包括原材料、燃料、设备、产品等。</w:t>
      </w:r>
    </w:p>
    <w:p>
      <w:pPr>
        <w:numPr>
          <w:ilvl w:val="0"/>
          <w:numId w:val="8"/>
        </w:numPr>
        <w:spacing w:line="360" w:lineRule="auto"/>
        <w:ind w:left="854" w:hanging="728"/>
        <w:rPr>
          <w:rFonts w:ascii="宋体"/>
          <w:sz w:val="24"/>
          <w:szCs w:val="24"/>
          <w:lang w:val="zh-CN"/>
        </w:rPr>
      </w:pPr>
      <w:r>
        <w:rPr>
          <w:rFonts w:hint="eastAsia" w:ascii="宋体" w:hAnsi="宋体"/>
          <w:sz w:val="24"/>
          <w:szCs w:val="24"/>
          <w:lang w:val="zh-CN"/>
        </w:rPr>
        <w:t>招标文件中没有提及招标货物来源地的，根据《法》及相关规定均应是本国货物，另有规定的除外。</w:t>
      </w:r>
    </w:p>
    <w:p>
      <w:pPr>
        <w:numPr>
          <w:ilvl w:val="0"/>
          <w:numId w:val="8"/>
        </w:numPr>
        <w:spacing w:line="360" w:lineRule="auto"/>
        <w:ind w:left="854" w:hanging="728"/>
        <w:rPr>
          <w:rFonts w:ascii="宋体"/>
          <w:sz w:val="24"/>
          <w:szCs w:val="24"/>
          <w:lang w:val="zh-CN"/>
        </w:rPr>
      </w:pPr>
      <w:r>
        <w:rPr>
          <w:rFonts w:hint="eastAsia" w:ascii="宋体" w:hAnsi="宋体"/>
          <w:sz w:val="24"/>
          <w:szCs w:val="24"/>
          <w:lang w:val="zh-CN"/>
        </w:rPr>
        <w:t>投标的货物应是合法生产的符合国家有关标准要求的货物，并能够按照合同规定的品牌、产地、质量、价格和有效期等履约。</w:t>
      </w:r>
    </w:p>
    <w:p>
      <w:pPr>
        <w:numPr>
          <w:ilvl w:val="0"/>
          <w:numId w:val="7"/>
        </w:numPr>
        <w:spacing w:line="360" w:lineRule="auto"/>
        <w:ind w:left="476" w:hanging="476"/>
        <w:rPr>
          <w:rFonts w:ascii="宋体"/>
          <w:b/>
          <w:color w:val="0D0D0D"/>
          <w:sz w:val="24"/>
          <w:szCs w:val="24"/>
          <w:lang w:val="zh-CN"/>
        </w:rPr>
      </w:pPr>
      <w:r>
        <w:rPr>
          <w:rFonts w:hint="eastAsia" w:ascii="宋体" w:hAnsi="宋体"/>
          <w:b/>
          <w:color w:val="0D0D0D"/>
          <w:sz w:val="24"/>
          <w:szCs w:val="24"/>
          <w:lang w:val="zh-CN"/>
        </w:rPr>
        <w:t>“工程”是指</w:t>
      </w:r>
      <w:r>
        <w:rPr>
          <w:rFonts w:hint="eastAsia" w:ascii="宋体" w:hAnsi="宋体"/>
          <w:color w:val="0D0D0D"/>
          <w:sz w:val="24"/>
          <w:szCs w:val="24"/>
          <w:lang w:val="zh-CN"/>
        </w:rPr>
        <w:t>：与建筑物和构筑物的新建、改建、扩建及其相关的装修、拆除、修缮无关的工程。</w:t>
      </w:r>
    </w:p>
    <w:p>
      <w:pPr>
        <w:numPr>
          <w:ilvl w:val="0"/>
          <w:numId w:val="7"/>
        </w:numPr>
        <w:spacing w:line="360" w:lineRule="auto"/>
        <w:ind w:left="476" w:hanging="476"/>
        <w:rPr>
          <w:rFonts w:ascii="宋体"/>
          <w:sz w:val="24"/>
          <w:szCs w:val="24"/>
          <w:lang w:val="zh-CN"/>
        </w:rPr>
      </w:pPr>
      <w:r>
        <w:rPr>
          <w:rFonts w:hint="eastAsia" w:ascii="宋体" w:hAnsi="宋体"/>
          <w:b/>
          <w:sz w:val="24"/>
          <w:szCs w:val="24"/>
          <w:lang w:val="zh-CN"/>
        </w:rPr>
        <w:t>“服务”</w:t>
      </w:r>
      <w:r>
        <w:rPr>
          <w:rFonts w:hint="eastAsia" w:ascii="宋体" w:hAnsi="宋体"/>
          <w:b/>
          <w:color w:val="0D0D0D"/>
          <w:sz w:val="24"/>
          <w:szCs w:val="24"/>
          <w:lang w:val="zh-CN"/>
        </w:rPr>
        <w:t>是指：</w:t>
      </w:r>
      <w:r>
        <w:rPr>
          <w:rFonts w:hint="eastAsia" w:ascii="宋体" w:hAnsi="宋体"/>
          <w:color w:val="0D0D0D"/>
          <w:sz w:val="24"/>
          <w:szCs w:val="24"/>
          <w:lang w:val="zh-CN"/>
        </w:rPr>
        <w:t>除货物和工程（含本章</w:t>
      </w:r>
      <w:r>
        <w:rPr>
          <w:rFonts w:ascii="宋体" w:hAnsi="宋体"/>
          <w:color w:val="0D0D0D"/>
          <w:sz w:val="24"/>
          <w:szCs w:val="24"/>
          <w:lang w:val="zh-CN"/>
        </w:rPr>
        <w:t>3.2</w:t>
      </w:r>
      <w:r>
        <w:rPr>
          <w:rFonts w:hint="eastAsia" w:ascii="宋体" w:hAnsi="宋体"/>
          <w:color w:val="0D0D0D"/>
          <w:sz w:val="24"/>
          <w:szCs w:val="24"/>
          <w:lang w:val="zh-CN"/>
        </w:rPr>
        <w:t>条所述工程及《招标投标法》所定义工程）以外的其他对象</w:t>
      </w:r>
      <w:r>
        <w:rPr>
          <w:rFonts w:ascii="宋体"/>
          <w:color w:val="0D0D0D"/>
          <w:sz w:val="24"/>
          <w:szCs w:val="24"/>
          <w:lang w:val="zh-CN"/>
        </w:rPr>
        <w:t>,</w:t>
      </w:r>
      <w:r>
        <w:rPr>
          <w:rFonts w:hint="eastAsia" w:ascii="宋体" w:hAnsi="宋体"/>
          <w:color w:val="0D0D0D"/>
          <w:sz w:val="24"/>
          <w:szCs w:val="24"/>
          <w:lang w:val="zh-CN"/>
        </w:rPr>
        <w:t>包括政府自身需要的服务和政府向社会公众提供的公共服务。</w:t>
      </w:r>
    </w:p>
    <w:p>
      <w:pPr>
        <w:numPr>
          <w:ilvl w:val="0"/>
          <w:numId w:val="7"/>
        </w:numPr>
        <w:spacing w:line="360" w:lineRule="auto"/>
        <w:ind w:left="476" w:hanging="476"/>
        <w:rPr>
          <w:rFonts w:ascii="宋体"/>
          <w:sz w:val="24"/>
          <w:szCs w:val="24"/>
          <w:lang w:val="zh-CN"/>
        </w:rPr>
      </w:pPr>
      <w:r>
        <w:rPr>
          <w:rFonts w:hint="eastAsia" w:ascii="宋体" w:hAnsi="宋体"/>
          <w:sz w:val="24"/>
          <w:szCs w:val="24"/>
          <w:lang w:val="zh-CN"/>
        </w:rPr>
        <w:t>采购人应当按照财政部制定的《品目分类目录》确定采购项目属性。按照《品目分类目录》无法确定的，按照有利于采购项目实施的原则确定。</w:t>
      </w:r>
    </w:p>
    <w:p>
      <w:pPr>
        <w:numPr>
          <w:ilvl w:val="0"/>
          <w:numId w:val="5"/>
        </w:numPr>
        <w:spacing w:line="360" w:lineRule="auto"/>
        <w:rPr>
          <w:rFonts w:ascii="宋体"/>
          <w:b/>
          <w:sz w:val="24"/>
          <w:szCs w:val="24"/>
          <w:lang w:val="zh-CN"/>
        </w:rPr>
      </w:pPr>
      <w:r>
        <w:rPr>
          <w:rFonts w:hint="eastAsia" w:ascii="宋体" w:hAnsi="宋体"/>
          <w:b/>
          <w:sz w:val="24"/>
          <w:szCs w:val="24"/>
          <w:lang w:val="zh-CN"/>
        </w:rPr>
        <w:t>投标费用</w:t>
      </w:r>
    </w:p>
    <w:p>
      <w:pPr>
        <w:numPr>
          <w:ilvl w:val="0"/>
          <w:numId w:val="9"/>
        </w:numPr>
        <w:spacing w:line="360" w:lineRule="auto"/>
        <w:ind w:left="476" w:hanging="476"/>
        <w:rPr>
          <w:rFonts w:ascii="宋体"/>
          <w:sz w:val="24"/>
          <w:szCs w:val="24"/>
          <w:lang w:val="zh-CN"/>
        </w:rPr>
      </w:pPr>
      <w:r>
        <w:rPr>
          <w:rFonts w:hint="eastAsia" w:ascii="宋体" w:hAnsi="宋体"/>
          <w:sz w:val="24"/>
          <w:szCs w:val="24"/>
          <w:lang w:val="zh-CN"/>
        </w:rPr>
        <w:t>投标人应承担所有与准备和参加投标有关的费用。不论投标的结果如何，采购代理机构和采购人均无义务和责任承担这些费用。</w:t>
      </w:r>
    </w:p>
    <w:p>
      <w:pPr>
        <w:pStyle w:val="52"/>
        <w:numPr>
          <w:ilvl w:val="0"/>
          <w:numId w:val="9"/>
        </w:numPr>
        <w:adjustRightInd w:val="0"/>
        <w:snapToGrid w:val="0"/>
        <w:spacing w:line="300" w:lineRule="auto"/>
        <w:ind w:firstLineChars="0"/>
        <w:rPr>
          <w:rFonts w:ascii="宋体"/>
          <w:bCs/>
          <w:sz w:val="24"/>
          <w:szCs w:val="24"/>
        </w:rPr>
      </w:pPr>
      <w:r>
        <w:rPr>
          <w:rFonts w:hint="eastAsia" w:ascii="宋体" w:hAnsi="宋体"/>
          <w:sz w:val="24"/>
          <w:szCs w:val="24"/>
        </w:rPr>
        <w:t>采购代理服务费</w:t>
      </w:r>
    </w:p>
    <w:p>
      <w:pPr>
        <w:pStyle w:val="52"/>
        <w:ind w:left="420" w:firstLine="0" w:firstLineChars="0"/>
        <w:rPr>
          <w:rFonts w:ascii="宋体"/>
          <w:b/>
          <w:sz w:val="24"/>
          <w:szCs w:val="24"/>
        </w:rPr>
      </w:pPr>
      <w:r>
        <w:rPr>
          <w:rFonts w:hint="eastAsia" w:ascii="宋体" w:hAnsi="宋体"/>
          <w:b/>
          <w:sz w:val="24"/>
          <w:szCs w:val="24"/>
        </w:rPr>
        <w:t>经过采购代理机构与采购人协议，规定由中标单位支付。采购代理服务费收费标准如下：</w:t>
      </w:r>
    </w:p>
    <w:tbl>
      <w:tblPr>
        <w:tblStyle w:val="28"/>
        <w:tblpPr w:leftFromText="180" w:rightFromText="180" w:vertAnchor="text" w:horzAnchor="page" w:tblpX="1717" w:tblpY="187"/>
        <w:tblOverlap w:val="never"/>
        <w:tblW w:w="924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75"/>
        <w:gridCol w:w="2470"/>
        <w:gridCol w:w="2148"/>
        <w:gridCol w:w="2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4" w:hRule="atLeast"/>
        </w:trPr>
        <w:tc>
          <w:tcPr>
            <w:tcW w:w="2475" w:type="dxa"/>
          </w:tcPr>
          <w:p>
            <w:pPr>
              <w:spacing w:line="300" w:lineRule="auto"/>
              <w:ind w:firstLine="873" w:firstLineChars="416"/>
              <w:rPr>
                <w:rFonts w:ascii="宋体" w:cs="宋体"/>
                <w:sz w:val="24"/>
                <w:szCs w:val="24"/>
              </w:rPr>
            </w:pPr>
            <w:r>
              <mc:AlternateContent>
                <mc:Choice Requires="wps">
                  <w:drawing>
                    <wp:anchor distT="0" distB="0" distL="114300" distR="114300" simplePos="0" relativeHeight="251660288" behindDoc="0" locked="0" layoutInCell="1" allowOverlap="1">
                      <wp:simplePos x="0" y="0"/>
                      <wp:positionH relativeFrom="column">
                        <wp:posOffset>-13335</wp:posOffset>
                      </wp:positionH>
                      <wp:positionV relativeFrom="paragraph">
                        <wp:posOffset>101600</wp:posOffset>
                      </wp:positionV>
                      <wp:extent cx="1410970" cy="869950"/>
                      <wp:effectExtent l="2540" t="3810" r="15240" b="21590"/>
                      <wp:wrapNone/>
                      <wp:docPr id="2" name="Line 16"/>
                      <wp:cNvGraphicFramePr/>
                      <a:graphic xmlns:a="http://schemas.openxmlformats.org/drawingml/2006/main">
                        <a:graphicData uri="http://schemas.microsoft.com/office/word/2010/wordprocessingShape">
                          <wps:wsp>
                            <wps:cNvCnPr/>
                            <wps:spPr>
                              <a:xfrm flipH="1" flipV="1">
                                <a:off x="0" y="0"/>
                                <a:ext cx="1410970" cy="869950"/>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Line 16" o:spid="_x0000_s1026" o:spt="20" style="position:absolute;left:0pt;flip:x y;margin-left:-1.05pt;margin-top:8pt;height:68.5pt;width:111.1pt;z-index:251660288;mso-width-relative:page;mso-height-relative:page;" filled="f" stroked="t" coordsize="21600,21600" o:gfxdata="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4EZzrNEAAAAJAQAADwAAAAAAAAABACAAAAAiAAAAZHJzL2Rvd25yZXYueG1sUEsBAhQAFAAAAAgA&#10;h07iQJfLArrzAQAAAQQAAA4AAAAAAAAAAQAgAAAAIAEAAGRycy9lMm9Eb2MueG1sUEsFBgAAAAAG&#10;AAYAWQEAAIU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-65405</wp:posOffset>
                      </wp:positionH>
                      <wp:positionV relativeFrom="paragraph">
                        <wp:posOffset>54610</wp:posOffset>
                      </wp:positionV>
                      <wp:extent cx="1597025" cy="421005"/>
                      <wp:effectExtent l="1270" t="4445" r="1905" b="12700"/>
                      <wp:wrapNone/>
                      <wp:docPr id="3" name="Line 17"/>
                      <wp:cNvGraphicFramePr/>
                      <a:graphic xmlns:a="http://schemas.openxmlformats.org/drawingml/2006/main">
                        <a:graphicData uri="http://schemas.microsoft.com/office/word/2010/wordprocessingShape">
                          <wps:wsp>
                            <wps:cNvCnPr/>
                            <wps:spPr>
                              <a:xfrm flipH="1" flipV="1">
                                <a:off x="0" y="0"/>
                                <a:ext cx="1597025" cy="42100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Line 17" o:spid="_x0000_s1026" o:spt="20" style="position:absolute;left:0pt;flip:x y;margin-left:-5.15pt;margin-top:4.3pt;height:33.15pt;width:125.75pt;z-index:251661312;mso-width-relative:page;mso-height-relative:page;" filled="f" stroked="t" coordsize="21600,21600" o:gfxdata="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3i4ChtUAAAAIAQAADwAAAAAAAAABACAAAAAiAAAAZHJzL2Rvd25yZXYueG1sUEsBAhQAFAAAAAgA&#10;h07iQIaP61LvAQAAAQQAAA4AAAAAAAAAAQAgAAAAJAEAAGRycy9lMm9Eb2MueG1sUEsFBgAAAAAG&#10;AAYAWQEAAIU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59264" behindDoc="0" locked="0" layoutInCell="0" allowOverlap="1">
                      <wp:simplePos x="0" y="0"/>
                      <wp:positionH relativeFrom="column">
                        <wp:posOffset>-114300</wp:posOffset>
                      </wp:positionH>
                      <wp:positionV relativeFrom="paragraph">
                        <wp:posOffset>-6350</wp:posOffset>
                      </wp:positionV>
                      <wp:extent cx="635" cy="0"/>
                      <wp:effectExtent l="0" t="0" r="0" b="0"/>
                      <wp:wrapNone/>
                      <wp:docPr id="1" name="Line 15"/>
                      <wp:cNvGraphicFramePr/>
                      <a:graphic xmlns:a="http://schemas.openxmlformats.org/drawingml/2006/main">
                        <a:graphicData uri="http://schemas.microsoft.com/office/word/2010/wordprocessingShape">
                          <wps:wsp>
                            <wps:cNvCnPr/>
                            <wps:spPr>
                              <a:xfrm>
                                <a:off x="0" y="0"/>
                                <a:ext cx="635" cy="0"/>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Line 15" o:spid="_x0000_s1026" o:spt="20" style="position:absolute;left:0pt;margin-left:-9pt;margin-top:-0.5pt;height:0pt;width:0.05pt;z-index:251659264;mso-width-relative:page;mso-height-relative:page;" filled="f" stroked="t" coordsize="21600,21600" o:allowincell="f" o:gfxdata="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rkdN+1QAAAAkBAAAPAAAAAAAA&#10;AAEAIAAAACIAAABkcnMvZG93bnJldi54bWxQSwECFAAUAAAACACHTuJABZwNwNwBAADkAwAADgAA&#10;AAAAAAABACAAAAAkAQAAZHJzL2Uyb0RvYy54bWxQSwUGAAAAAAYABgBZAQAAcgUAAAAA&#10;">
                      <v:fill on="f" focussize="0,0"/>
                      <v:stroke color="#000000" joinstyle="round"/>
                      <v:imagedata o:title=""/>
                      <o:lock v:ext="edit" aspectratio="f"/>
                    </v:line>
                  </w:pict>
                </mc:Fallback>
              </mc:AlternateContent>
            </w:r>
            <w:r>
              <w:rPr>
                <w:rFonts w:hint="eastAsia" w:ascii="宋体" w:hAnsi="宋体" w:cs="宋体"/>
                <w:sz w:val="24"/>
                <w:szCs w:val="24"/>
              </w:rPr>
              <w:t>招标类型　　　</w:t>
            </w:r>
          </w:p>
          <w:p>
            <w:pPr>
              <w:spacing w:line="300" w:lineRule="auto"/>
              <w:ind w:firstLine="998" w:firstLineChars="416"/>
              <w:rPr>
                <w:rFonts w:ascii="宋体" w:cs="宋体"/>
                <w:sz w:val="24"/>
                <w:szCs w:val="24"/>
              </w:rPr>
            </w:pPr>
            <w:r>
              <w:rPr>
                <w:rFonts w:hint="eastAsia" w:ascii="宋体" w:hAnsi="宋体" w:cs="宋体"/>
                <w:bCs/>
                <w:sz w:val="24"/>
                <w:szCs w:val="24"/>
              </w:rPr>
              <w:t>中标</w:t>
            </w:r>
            <w:r>
              <w:rPr>
                <w:rFonts w:hint="eastAsia" w:ascii="宋体" w:hAnsi="宋体" w:cs="宋体"/>
                <w:sz w:val="24"/>
                <w:szCs w:val="24"/>
              </w:rPr>
              <w:t>　　　</w:t>
            </w:r>
          </w:p>
          <w:p>
            <w:pPr>
              <w:spacing w:line="300" w:lineRule="auto"/>
              <w:ind w:firstLine="1504" w:firstLineChars="627"/>
              <w:rPr>
                <w:rFonts w:ascii="宋体" w:cs="宋体"/>
                <w:bCs/>
                <w:sz w:val="24"/>
                <w:szCs w:val="24"/>
              </w:rPr>
            </w:pPr>
            <w:r>
              <w:rPr>
                <w:rFonts w:hint="eastAsia" w:ascii="宋体" w:hAnsi="宋体" w:cs="宋体"/>
                <w:bCs/>
                <w:sz w:val="24"/>
                <w:szCs w:val="24"/>
              </w:rPr>
              <w:t>费率</w:t>
            </w:r>
          </w:p>
          <w:p>
            <w:pPr>
              <w:spacing w:line="300" w:lineRule="auto"/>
              <w:rPr>
                <w:rFonts w:ascii="宋体" w:cs="宋体"/>
                <w:sz w:val="24"/>
                <w:szCs w:val="24"/>
              </w:rPr>
            </w:pPr>
            <w:r>
              <w:rPr>
                <w:rFonts w:hint="eastAsia" w:ascii="宋体" w:hAnsi="宋体" w:cs="宋体"/>
                <w:sz w:val="24"/>
                <w:szCs w:val="24"/>
              </w:rPr>
              <w:t>金额（万元）</w:t>
            </w:r>
          </w:p>
        </w:tc>
        <w:tc>
          <w:tcPr>
            <w:tcW w:w="2470" w:type="dxa"/>
            <w:vAlign w:val="center"/>
          </w:tcPr>
          <w:p>
            <w:pPr>
              <w:spacing w:line="300" w:lineRule="auto"/>
              <w:jc w:val="center"/>
              <w:rPr>
                <w:rFonts w:ascii="宋体" w:cs="宋体"/>
                <w:sz w:val="24"/>
                <w:szCs w:val="24"/>
              </w:rPr>
            </w:pPr>
            <w:r>
              <w:rPr>
                <w:rFonts w:hint="eastAsia" w:ascii="宋体" w:hAnsi="宋体" w:cs="宋体"/>
                <w:sz w:val="24"/>
                <w:szCs w:val="24"/>
              </w:rPr>
              <w:t>货物招标</w:t>
            </w:r>
          </w:p>
        </w:tc>
        <w:tc>
          <w:tcPr>
            <w:tcW w:w="2148" w:type="dxa"/>
            <w:vAlign w:val="center"/>
          </w:tcPr>
          <w:p>
            <w:pPr>
              <w:spacing w:line="300" w:lineRule="auto"/>
              <w:jc w:val="center"/>
              <w:rPr>
                <w:rFonts w:ascii="宋体" w:cs="宋体"/>
                <w:sz w:val="24"/>
                <w:szCs w:val="24"/>
              </w:rPr>
            </w:pPr>
            <w:r>
              <w:rPr>
                <w:rFonts w:hint="eastAsia" w:ascii="宋体" w:hAnsi="宋体" w:cs="宋体"/>
                <w:sz w:val="24"/>
                <w:szCs w:val="24"/>
              </w:rPr>
              <w:t>服务招标</w:t>
            </w:r>
          </w:p>
        </w:tc>
        <w:tc>
          <w:tcPr>
            <w:tcW w:w="2148" w:type="dxa"/>
            <w:vAlign w:val="center"/>
          </w:tcPr>
          <w:p>
            <w:pPr>
              <w:spacing w:line="300" w:lineRule="auto"/>
              <w:jc w:val="center"/>
              <w:rPr>
                <w:rFonts w:ascii="宋体" w:cs="宋体"/>
                <w:sz w:val="24"/>
                <w:szCs w:val="24"/>
              </w:rPr>
            </w:pPr>
            <w:r>
              <w:rPr>
                <w:rFonts w:hint="eastAsia" w:ascii="宋体" w:hAnsi="宋体" w:cs="宋体"/>
                <w:sz w:val="24"/>
                <w:szCs w:val="24"/>
              </w:rPr>
              <w:t>工程招标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475" w:type="dxa"/>
          </w:tcPr>
          <w:p>
            <w:pPr>
              <w:spacing w:line="300" w:lineRule="auto"/>
              <w:jc w:val="center"/>
              <w:rPr>
                <w:rFonts w:ascii="宋体" w:cs="宋体"/>
                <w:sz w:val="24"/>
                <w:szCs w:val="24"/>
              </w:rPr>
            </w:pPr>
            <w:r>
              <w:rPr>
                <w:rFonts w:ascii="宋体" w:hAnsi="宋体" w:cs="宋体"/>
                <w:sz w:val="24"/>
                <w:szCs w:val="24"/>
              </w:rPr>
              <w:t>100</w:t>
            </w:r>
            <w:r>
              <w:rPr>
                <w:rFonts w:hint="eastAsia" w:ascii="宋体" w:hAnsi="宋体" w:cs="宋体"/>
                <w:sz w:val="24"/>
                <w:szCs w:val="24"/>
              </w:rPr>
              <w:t>以下</w:t>
            </w:r>
          </w:p>
        </w:tc>
        <w:tc>
          <w:tcPr>
            <w:tcW w:w="2470" w:type="dxa"/>
          </w:tcPr>
          <w:p>
            <w:pPr>
              <w:spacing w:line="300" w:lineRule="auto"/>
              <w:jc w:val="center"/>
              <w:rPr>
                <w:rFonts w:ascii="宋体" w:cs="宋体"/>
                <w:sz w:val="24"/>
                <w:szCs w:val="24"/>
              </w:rPr>
            </w:pPr>
            <w:r>
              <w:rPr>
                <w:rFonts w:ascii="宋体" w:hAnsi="宋体" w:cs="宋体"/>
                <w:sz w:val="24"/>
                <w:szCs w:val="24"/>
              </w:rPr>
              <w:t>1.5%</w:t>
            </w:r>
          </w:p>
        </w:tc>
        <w:tc>
          <w:tcPr>
            <w:tcW w:w="2148" w:type="dxa"/>
          </w:tcPr>
          <w:p>
            <w:pPr>
              <w:spacing w:line="300" w:lineRule="auto"/>
              <w:jc w:val="center"/>
              <w:rPr>
                <w:rFonts w:ascii="宋体" w:cs="宋体"/>
                <w:sz w:val="24"/>
                <w:szCs w:val="24"/>
              </w:rPr>
            </w:pPr>
            <w:r>
              <w:rPr>
                <w:rFonts w:ascii="宋体" w:hAnsi="宋体" w:cs="宋体"/>
                <w:sz w:val="24"/>
                <w:szCs w:val="24"/>
              </w:rPr>
              <w:t>1.5%</w:t>
            </w:r>
          </w:p>
        </w:tc>
        <w:tc>
          <w:tcPr>
            <w:tcW w:w="2148" w:type="dxa"/>
          </w:tcPr>
          <w:p>
            <w:pPr>
              <w:spacing w:line="300" w:lineRule="auto"/>
              <w:jc w:val="center"/>
              <w:rPr>
                <w:rFonts w:ascii="宋体" w:cs="宋体"/>
                <w:sz w:val="24"/>
                <w:szCs w:val="24"/>
              </w:rPr>
            </w:pPr>
            <w:r>
              <w:rPr>
                <w:rFonts w:ascii="宋体" w:hAnsi="宋体" w:cs="宋体"/>
                <w:sz w:val="24"/>
                <w:szCs w:val="24"/>
              </w:rPr>
              <w:t>1.00</w:t>
            </w:r>
            <w:r>
              <w:rPr>
                <w:rFonts w:hint="eastAsia" w:ascii="宋体" w:hAnsi="宋体" w:cs="宋体"/>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2475" w:type="dxa"/>
          </w:tcPr>
          <w:p>
            <w:pPr>
              <w:spacing w:line="300" w:lineRule="auto"/>
              <w:jc w:val="center"/>
              <w:rPr>
                <w:rFonts w:ascii="宋体" w:cs="宋体"/>
                <w:sz w:val="24"/>
                <w:szCs w:val="24"/>
              </w:rPr>
            </w:pPr>
            <w:r>
              <w:rPr>
                <w:rFonts w:ascii="宋体" w:hAnsi="宋体" w:cs="宋体"/>
                <w:sz w:val="24"/>
                <w:szCs w:val="24"/>
              </w:rPr>
              <w:t>100-500</w:t>
            </w:r>
          </w:p>
        </w:tc>
        <w:tc>
          <w:tcPr>
            <w:tcW w:w="2470" w:type="dxa"/>
          </w:tcPr>
          <w:p>
            <w:pPr>
              <w:spacing w:line="300" w:lineRule="auto"/>
              <w:jc w:val="center"/>
              <w:rPr>
                <w:rFonts w:ascii="宋体" w:cs="宋体"/>
                <w:sz w:val="24"/>
                <w:szCs w:val="24"/>
              </w:rPr>
            </w:pPr>
            <w:r>
              <w:rPr>
                <w:rFonts w:ascii="宋体" w:hAnsi="宋体" w:cs="宋体"/>
                <w:sz w:val="24"/>
                <w:szCs w:val="24"/>
              </w:rPr>
              <w:t>1.1%</w:t>
            </w:r>
          </w:p>
        </w:tc>
        <w:tc>
          <w:tcPr>
            <w:tcW w:w="2148" w:type="dxa"/>
          </w:tcPr>
          <w:p>
            <w:pPr>
              <w:spacing w:line="300" w:lineRule="auto"/>
              <w:jc w:val="center"/>
              <w:rPr>
                <w:rFonts w:ascii="宋体" w:cs="宋体"/>
                <w:sz w:val="24"/>
                <w:szCs w:val="24"/>
              </w:rPr>
            </w:pPr>
            <w:r>
              <w:rPr>
                <w:rFonts w:ascii="宋体" w:hAnsi="宋体" w:cs="宋体"/>
                <w:sz w:val="24"/>
                <w:szCs w:val="24"/>
              </w:rPr>
              <w:t>0.8%</w:t>
            </w:r>
          </w:p>
        </w:tc>
        <w:tc>
          <w:tcPr>
            <w:tcW w:w="2148" w:type="dxa"/>
          </w:tcPr>
          <w:p>
            <w:pPr>
              <w:spacing w:line="300" w:lineRule="auto"/>
              <w:jc w:val="center"/>
              <w:rPr>
                <w:rFonts w:ascii="宋体" w:cs="宋体"/>
                <w:sz w:val="24"/>
                <w:szCs w:val="24"/>
              </w:rPr>
            </w:pPr>
            <w:r>
              <w:rPr>
                <w:rFonts w:ascii="宋体" w:hAnsi="宋体" w:cs="宋体"/>
                <w:sz w:val="24"/>
                <w:szCs w:val="24"/>
              </w:rPr>
              <w:t>0.70</w:t>
            </w:r>
            <w:r>
              <w:rPr>
                <w:rFonts w:hint="eastAsia" w:ascii="宋体" w:hAnsi="宋体" w:cs="宋体"/>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2475" w:type="dxa"/>
          </w:tcPr>
          <w:p>
            <w:pPr>
              <w:spacing w:line="300" w:lineRule="auto"/>
              <w:jc w:val="center"/>
              <w:rPr>
                <w:rFonts w:ascii="宋体" w:cs="宋体"/>
                <w:sz w:val="24"/>
                <w:szCs w:val="24"/>
              </w:rPr>
            </w:pPr>
            <w:r>
              <w:rPr>
                <w:rFonts w:ascii="宋体" w:hAnsi="宋体" w:cs="宋体"/>
                <w:sz w:val="24"/>
                <w:szCs w:val="24"/>
              </w:rPr>
              <w:t>500-1000</w:t>
            </w:r>
          </w:p>
        </w:tc>
        <w:tc>
          <w:tcPr>
            <w:tcW w:w="2470" w:type="dxa"/>
          </w:tcPr>
          <w:p>
            <w:pPr>
              <w:spacing w:line="300" w:lineRule="auto"/>
              <w:jc w:val="center"/>
              <w:rPr>
                <w:rFonts w:ascii="宋体" w:cs="宋体"/>
                <w:sz w:val="24"/>
                <w:szCs w:val="24"/>
              </w:rPr>
            </w:pPr>
            <w:r>
              <w:rPr>
                <w:rFonts w:ascii="宋体" w:hAnsi="宋体" w:cs="宋体"/>
                <w:sz w:val="24"/>
                <w:szCs w:val="24"/>
              </w:rPr>
              <w:t>0.8%</w:t>
            </w:r>
          </w:p>
        </w:tc>
        <w:tc>
          <w:tcPr>
            <w:tcW w:w="2148" w:type="dxa"/>
          </w:tcPr>
          <w:p>
            <w:pPr>
              <w:spacing w:line="300" w:lineRule="auto"/>
              <w:jc w:val="center"/>
              <w:rPr>
                <w:rFonts w:ascii="宋体" w:cs="宋体"/>
                <w:sz w:val="24"/>
                <w:szCs w:val="24"/>
              </w:rPr>
            </w:pPr>
            <w:r>
              <w:rPr>
                <w:rFonts w:ascii="宋体" w:hAnsi="宋体" w:cs="宋体"/>
                <w:sz w:val="24"/>
                <w:szCs w:val="24"/>
              </w:rPr>
              <w:t>0.45%</w:t>
            </w:r>
          </w:p>
        </w:tc>
        <w:tc>
          <w:tcPr>
            <w:tcW w:w="2148" w:type="dxa"/>
          </w:tcPr>
          <w:p>
            <w:pPr>
              <w:spacing w:line="300" w:lineRule="auto"/>
              <w:jc w:val="center"/>
              <w:rPr>
                <w:rFonts w:ascii="宋体" w:cs="宋体"/>
                <w:sz w:val="24"/>
                <w:szCs w:val="24"/>
              </w:rPr>
            </w:pPr>
            <w:r>
              <w:rPr>
                <w:rFonts w:ascii="宋体" w:hAnsi="宋体" w:cs="宋体"/>
                <w:sz w:val="24"/>
                <w:szCs w:val="24"/>
              </w:rPr>
              <w:t>0.55</w:t>
            </w:r>
            <w:r>
              <w:rPr>
                <w:rFonts w:hint="eastAsia" w:ascii="宋体" w:hAnsi="宋体" w:cs="宋体"/>
                <w:sz w:val="24"/>
                <w:szCs w:val="24"/>
              </w:rPr>
              <w:t>％</w:t>
            </w:r>
          </w:p>
        </w:tc>
      </w:tr>
    </w:tbl>
    <w:p>
      <w:pPr>
        <w:pStyle w:val="52"/>
        <w:ind w:left="420" w:firstLine="0" w:firstLineChars="0"/>
        <w:rPr>
          <w:rFonts w:ascii="宋体"/>
          <w:b/>
          <w:sz w:val="24"/>
          <w:szCs w:val="24"/>
        </w:rPr>
      </w:pPr>
    </w:p>
    <w:p>
      <w:pPr>
        <w:pStyle w:val="52"/>
        <w:ind w:left="420" w:firstLine="0" w:firstLineChars="0"/>
        <w:rPr>
          <w:rFonts w:ascii="宋体"/>
          <w:sz w:val="24"/>
          <w:szCs w:val="24"/>
        </w:rPr>
      </w:pPr>
    </w:p>
    <w:p>
      <w:pPr>
        <w:pStyle w:val="52"/>
        <w:adjustRightInd w:val="0"/>
        <w:snapToGrid w:val="0"/>
        <w:spacing w:line="300" w:lineRule="auto"/>
        <w:ind w:left="420" w:firstLine="0" w:firstLineChars="0"/>
        <w:rPr>
          <w:rFonts w:ascii="宋体"/>
          <w:sz w:val="24"/>
          <w:szCs w:val="24"/>
        </w:rPr>
      </w:pPr>
    </w:p>
    <w:p>
      <w:pPr>
        <w:pStyle w:val="4"/>
        <w:numPr>
          <w:ilvl w:val="0"/>
          <w:numId w:val="4"/>
        </w:numPr>
        <w:spacing w:before="40" w:after="40" w:line="360" w:lineRule="auto"/>
        <w:ind w:left="658" w:hanging="658"/>
        <w:jc w:val="left"/>
        <w:rPr>
          <w:rFonts w:ascii="宋体"/>
          <w:bCs w:val="0"/>
          <w:lang w:val="zh-CN"/>
        </w:rPr>
      </w:pPr>
      <w:bookmarkStart w:id="6" w:name="_Toc106268600"/>
      <w:bookmarkStart w:id="7" w:name="_Toc272247695"/>
      <w:bookmarkStart w:id="8" w:name="_Toc278891592"/>
      <w:bookmarkStart w:id="9" w:name="_Toc494561939"/>
      <w:r>
        <w:rPr>
          <w:rFonts w:hint="eastAsia" w:ascii="宋体" w:hAnsi="宋体"/>
          <w:bCs w:val="0"/>
          <w:lang w:val="zh-CN"/>
        </w:rPr>
        <w:t>招标文件</w:t>
      </w:r>
      <w:bookmarkEnd w:id="6"/>
      <w:bookmarkEnd w:id="7"/>
      <w:bookmarkEnd w:id="8"/>
      <w:bookmarkEnd w:id="9"/>
    </w:p>
    <w:p>
      <w:pPr>
        <w:numPr>
          <w:ilvl w:val="0"/>
          <w:numId w:val="5"/>
        </w:numPr>
        <w:spacing w:line="360" w:lineRule="auto"/>
        <w:rPr>
          <w:rFonts w:ascii="宋体"/>
          <w:b/>
          <w:sz w:val="24"/>
          <w:szCs w:val="20"/>
          <w:lang w:val="zh-CN"/>
        </w:rPr>
      </w:pPr>
      <w:r>
        <w:rPr>
          <w:rFonts w:hint="eastAsia" w:ascii="宋体" w:hAnsi="宋体"/>
          <w:b/>
          <w:sz w:val="24"/>
          <w:szCs w:val="20"/>
          <w:lang w:val="zh-CN"/>
        </w:rPr>
        <w:t>招标文件的构成</w:t>
      </w:r>
    </w:p>
    <w:p>
      <w:pPr>
        <w:tabs>
          <w:tab w:val="left" w:pos="476"/>
        </w:tabs>
        <w:spacing w:line="360" w:lineRule="auto"/>
        <w:ind w:left="476"/>
        <w:rPr>
          <w:rFonts w:ascii="宋体"/>
          <w:sz w:val="24"/>
          <w:szCs w:val="20"/>
          <w:lang w:val="zh-CN"/>
        </w:rPr>
      </w:pPr>
      <w:r>
        <w:rPr>
          <w:rFonts w:hint="eastAsia" w:ascii="宋体" w:hAnsi="宋体"/>
          <w:sz w:val="24"/>
          <w:szCs w:val="20"/>
          <w:lang w:val="zh-CN"/>
        </w:rPr>
        <w:t>第一章投标邀请书</w:t>
      </w:r>
    </w:p>
    <w:p>
      <w:pPr>
        <w:tabs>
          <w:tab w:val="left" w:pos="476"/>
        </w:tabs>
        <w:spacing w:line="360" w:lineRule="auto"/>
        <w:ind w:left="476"/>
        <w:rPr>
          <w:rFonts w:ascii="宋体"/>
          <w:sz w:val="24"/>
          <w:szCs w:val="20"/>
          <w:lang w:val="zh-CN"/>
        </w:rPr>
      </w:pPr>
      <w:r>
        <w:rPr>
          <w:rFonts w:hint="eastAsia" w:ascii="宋体" w:hAnsi="宋体"/>
          <w:sz w:val="24"/>
          <w:szCs w:val="20"/>
          <w:lang w:val="zh-CN"/>
        </w:rPr>
        <w:t>第二章投标人须知</w:t>
      </w:r>
    </w:p>
    <w:p>
      <w:pPr>
        <w:tabs>
          <w:tab w:val="left" w:pos="476"/>
        </w:tabs>
        <w:spacing w:line="360" w:lineRule="auto"/>
        <w:ind w:left="476"/>
        <w:rPr>
          <w:rFonts w:ascii="宋体"/>
          <w:sz w:val="24"/>
          <w:szCs w:val="20"/>
          <w:lang w:val="zh-CN"/>
        </w:rPr>
      </w:pPr>
      <w:r>
        <w:rPr>
          <w:rFonts w:hint="eastAsia" w:ascii="宋体" w:hAnsi="宋体"/>
          <w:sz w:val="24"/>
          <w:szCs w:val="20"/>
          <w:lang w:val="zh-CN"/>
        </w:rPr>
        <w:t>第三章项目技术、服务及商务要求</w:t>
      </w:r>
    </w:p>
    <w:p>
      <w:pPr>
        <w:tabs>
          <w:tab w:val="left" w:pos="476"/>
        </w:tabs>
        <w:spacing w:line="360" w:lineRule="auto"/>
        <w:ind w:left="476"/>
        <w:rPr>
          <w:rFonts w:ascii="宋体"/>
          <w:sz w:val="24"/>
          <w:szCs w:val="20"/>
          <w:lang w:val="zh-CN"/>
        </w:rPr>
      </w:pPr>
      <w:r>
        <w:rPr>
          <w:rFonts w:hint="eastAsia" w:ascii="宋体" w:hAnsi="宋体"/>
          <w:sz w:val="24"/>
          <w:szCs w:val="20"/>
          <w:lang w:val="zh-CN"/>
        </w:rPr>
        <w:t>第四章资格审查方法及标准</w:t>
      </w:r>
    </w:p>
    <w:p>
      <w:pPr>
        <w:tabs>
          <w:tab w:val="left" w:pos="476"/>
        </w:tabs>
        <w:spacing w:line="360" w:lineRule="auto"/>
        <w:ind w:left="476"/>
        <w:rPr>
          <w:rFonts w:ascii="宋体"/>
          <w:sz w:val="24"/>
          <w:szCs w:val="20"/>
          <w:lang w:val="zh-CN"/>
        </w:rPr>
      </w:pPr>
      <w:r>
        <w:rPr>
          <w:rFonts w:hint="eastAsia" w:ascii="宋体" w:hAnsi="宋体"/>
          <w:sz w:val="24"/>
          <w:szCs w:val="20"/>
          <w:lang w:val="zh-CN"/>
        </w:rPr>
        <w:t>第五章评标方法、程序及标准</w:t>
      </w:r>
    </w:p>
    <w:p>
      <w:pPr>
        <w:tabs>
          <w:tab w:val="left" w:pos="476"/>
        </w:tabs>
        <w:spacing w:line="360" w:lineRule="auto"/>
        <w:ind w:left="476"/>
        <w:rPr>
          <w:rFonts w:ascii="宋体"/>
          <w:sz w:val="24"/>
          <w:szCs w:val="20"/>
          <w:lang w:val="zh-CN"/>
        </w:rPr>
      </w:pPr>
      <w:r>
        <w:rPr>
          <w:rFonts w:hint="eastAsia" w:ascii="宋体" w:hAnsi="宋体"/>
          <w:sz w:val="24"/>
          <w:szCs w:val="20"/>
          <w:lang w:val="zh-CN"/>
        </w:rPr>
        <w:t>第六章合同书格式（参考）</w:t>
      </w:r>
    </w:p>
    <w:p>
      <w:pPr>
        <w:tabs>
          <w:tab w:val="left" w:pos="476"/>
        </w:tabs>
        <w:spacing w:line="360" w:lineRule="auto"/>
        <w:ind w:left="476"/>
        <w:rPr>
          <w:rFonts w:ascii="宋体"/>
          <w:sz w:val="24"/>
          <w:szCs w:val="20"/>
          <w:lang w:val="zh-CN"/>
        </w:rPr>
      </w:pPr>
      <w:r>
        <w:rPr>
          <w:rFonts w:hint="eastAsia" w:ascii="宋体" w:hAnsi="宋体"/>
          <w:sz w:val="24"/>
          <w:szCs w:val="20"/>
          <w:lang w:val="zh-CN"/>
        </w:rPr>
        <w:t>第七章投标文件格式（参考）</w:t>
      </w:r>
    </w:p>
    <w:p>
      <w:pPr>
        <w:tabs>
          <w:tab w:val="left" w:pos="476"/>
        </w:tabs>
        <w:spacing w:line="360" w:lineRule="auto"/>
        <w:ind w:left="476"/>
        <w:rPr>
          <w:rFonts w:ascii="宋体"/>
          <w:sz w:val="24"/>
          <w:szCs w:val="20"/>
          <w:lang w:val="zh-CN"/>
        </w:rPr>
      </w:pPr>
      <w:r>
        <w:rPr>
          <w:rFonts w:hint="eastAsia" w:ascii="宋体" w:hAnsi="宋体"/>
          <w:sz w:val="24"/>
          <w:szCs w:val="20"/>
          <w:lang w:val="zh-CN"/>
        </w:rPr>
        <w:t>其他在招标过程中由集中采购机构发出的修正和补充文件等</w:t>
      </w:r>
    </w:p>
    <w:p>
      <w:pPr>
        <w:numPr>
          <w:ilvl w:val="0"/>
          <w:numId w:val="5"/>
        </w:numPr>
        <w:spacing w:line="360" w:lineRule="auto"/>
        <w:rPr>
          <w:rFonts w:ascii="宋体"/>
          <w:b/>
          <w:sz w:val="24"/>
          <w:szCs w:val="20"/>
          <w:lang w:val="zh-CN"/>
        </w:rPr>
      </w:pPr>
      <w:r>
        <w:rPr>
          <w:rFonts w:hint="eastAsia" w:ascii="宋体" w:hAnsi="宋体"/>
          <w:b/>
          <w:sz w:val="24"/>
          <w:szCs w:val="20"/>
          <w:lang w:val="zh-CN"/>
        </w:rPr>
        <w:t>招标文件疑问的提交</w:t>
      </w:r>
    </w:p>
    <w:p>
      <w:pPr>
        <w:numPr>
          <w:ilvl w:val="0"/>
          <w:numId w:val="10"/>
        </w:numPr>
        <w:spacing w:line="360" w:lineRule="auto"/>
        <w:ind w:left="476" w:hanging="476"/>
        <w:rPr>
          <w:rFonts w:ascii="宋体"/>
          <w:sz w:val="24"/>
          <w:szCs w:val="20"/>
          <w:lang w:val="zh-CN"/>
        </w:rPr>
      </w:pPr>
      <w:r>
        <w:rPr>
          <w:rFonts w:hint="eastAsia" w:ascii="宋体" w:hAnsi="宋体"/>
          <w:sz w:val="24"/>
          <w:szCs w:val="20"/>
          <w:lang w:val="zh-CN"/>
        </w:rPr>
        <w:t>潜在投标人对招标文件有疑问的，可以向采购代理机构提出询问，或在</w:t>
      </w:r>
      <w:r>
        <w:rPr>
          <w:rFonts w:ascii="宋体" w:hAnsi="宋体"/>
          <w:sz w:val="24"/>
          <w:szCs w:val="20"/>
          <w:lang w:val="zh-CN"/>
        </w:rPr>
        <w:t>6.2</w:t>
      </w:r>
      <w:r>
        <w:rPr>
          <w:rFonts w:hint="eastAsia" w:ascii="宋体" w:hAnsi="宋体"/>
          <w:sz w:val="24"/>
          <w:szCs w:val="20"/>
          <w:lang w:val="zh-CN"/>
        </w:rPr>
        <w:t>规定的时间前以书面的形式向采购代理机构提交疑问函。</w:t>
      </w:r>
    </w:p>
    <w:p>
      <w:pPr>
        <w:numPr>
          <w:ilvl w:val="0"/>
          <w:numId w:val="10"/>
        </w:numPr>
        <w:spacing w:line="360" w:lineRule="auto"/>
        <w:ind w:left="476" w:hanging="476"/>
        <w:rPr>
          <w:rFonts w:ascii="宋体"/>
          <w:sz w:val="24"/>
          <w:szCs w:val="20"/>
          <w:lang w:val="zh-CN"/>
        </w:rPr>
      </w:pPr>
      <w:r>
        <w:rPr>
          <w:rFonts w:hint="eastAsia" w:ascii="宋体" w:hAnsi="宋体"/>
          <w:sz w:val="24"/>
          <w:szCs w:val="20"/>
          <w:lang w:val="zh-CN"/>
        </w:rPr>
        <w:t>潜在投标人在项目招标公告期限届满之日起</w:t>
      </w:r>
      <w:r>
        <w:rPr>
          <w:rFonts w:ascii="宋体" w:hAnsi="宋体"/>
          <w:color w:val="0000CC"/>
          <w:sz w:val="24"/>
          <w:szCs w:val="20"/>
          <w:lang w:val="zh-CN"/>
        </w:rPr>
        <w:t>7</w:t>
      </w:r>
      <w:r>
        <w:rPr>
          <w:rFonts w:hint="eastAsia" w:ascii="宋体" w:hAnsi="宋体"/>
          <w:color w:val="0000CC"/>
          <w:sz w:val="24"/>
          <w:szCs w:val="20"/>
          <w:lang w:val="zh-CN"/>
        </w:rPr>
        <w:t>个工作日</w:t>
      </w:r>
      <w:r>
        <w:rPr>
          <w:rFonts w:hint="eastAsia" w:ascii="宋体" w:hAnsi="宋体"/>
          <w:sz w:val="24"/>
          <w:szCs w:val="20"/>
          <w:lang w:val="zh-CN"/>
        </w:rPr>
        <w:t>内未对招标文件提出疑问的，采购代理机构将视其认同招标文件，在规定的时间后就招标文件内容提出的疑问将不予受理。</w:t>
      </w:r>
    </w:p>
    <w:p>
      <w:pPr>
        <w:numPr>
          <w:ilvl w:val="0"/>
          <w:numId w:val="10"/>
        </w:numPr>
        <w:spacing w:line="360" w:lineRule="auto"/>
        <w:ind w:left="476" w:hanging="476"/>
        <w:rPr>
          <w:rFonts w:ascii="宋体"/>
          <w:sz w:val="24"/>
          <w:szCs w:val="20"/>
          <w:lang w:val="zh-CN"/>
        </w:rPr>
      </w:pPr>
      <w:r>
        <w:rPr>
          <w:rFonts w:hint="eastAsia" w:ascii="宋体" w:hAnsi="宋体"/>
          <w:sz w:val="24"/>
          <w:szCs w:val="20"/>
          <w:lang w:val="zh-CN"/>
        </w:rPr>
        <w:t>采购代理机构将组织采购人对潜在投标人所提交疑问以书面（或网上公告）的形式予以答复。必要时，采购代理机构将组织相关专家召开答疑会，并将会议内容以书面（或网上公告）的形式发给每个领取招标文件的潜在投标人（答复中不包括问题的来源）。</w:t>
      </w:r>
    </w:p>
    <w:p>
      <w:pPr>
        <w:numPr>
          <w:ilvl w:val="0"/>
          <w:numId w:val="5"/>
        </w:numPr>
        <w:spacing w:line="360" w:lineRule="auto"/>
        <w:rPr>
          <w:rFonts w:ascii="宋体"/>
          <w:b/>
          <w:sz w:val="24"/>
          <w:szCs w:val="20"/>
          <w:lang w:val="zh-CN"/>
        </w:rPr>
      </w:pPr>
      <w:r>
        <w:rPr>
          <w:rFonts w:hint="eastAsia" w:ascii="宋体" w:hAnsi="宋体"/>
          <w:b/>
          <w:sz w:val="24"/>
          <w:szCs w:val="20"/>
          <w:lang w:val="zh-CN"/>
        </w:rPr>
        <w:t>招标文件的澄清、修改</w:t>
      </w:r>
    </w:p>
    <w:p>
      <w:pPr>
        <w:numPr>
          <w:ilvl w:val="0"/>
          <w:numId w:val="11"/>
        </w:numPr>
        <w:spacing w:line="360" w:lineRule="auto"/>
        <w:ind w:left="476" w:hanging="476"/>
        <w:rPr>
          <w:rFonts w:ascii="Helvetica" w:hAnsi="Helvetica" w:cs="Helvetica"/>
          <w:kern w:val="0"/>
          <w:sz w:val="24"/>
          <w:szCs w:val="24"/>
          <w:lang w:val="zh-CN"/>
        </w:rPr>
      </w:pPr>
      <w:r>
        <w:rPr>
          <w:rFonts w:hint="eastAsia" w:ascii="宋体" w:hAnsi="宋体"/>
          <w:sz w:val="24"/>
          <w:szCs w:val="20"/>
          <w:lang w:val="zh-CN"/>
        </w:rPr>
        <w:t>采购代理机构和采购人可以对已发出的招标文件进行必要的澄清或者修改。</w:t>
      </w:r>
      <w:r>
        <w:rPr>
          <w:rFonts w:hint="eastAsia" w:ascii="Helvetica" w:hAnsi="Helvetica" w:cs="Helvetica"/>
          <w:kern w:val="0"/>
          <w:sz w:val="24"/>
          <w:szCs w:val="24"/>
          <w:lang w:val="zh-CN"/>
        </w:rPr>
        <w:t>澄清或者修改将在原公告发布媒体上发布澄清公告。澄清或者修改的内容可能影响投标文件编制的，</w:t>
      </w:r>
      <w:r>
        <w:rPr>
          <w:rFonts w:hint="eastAsia" w:ascii="宋体" w:hAnsi="宋体"/>
          <w:sz w:val="24"/>
          <w:szCs w:val="20"/>
          <w:lang w:val="zh-CN"/>
        </w:rPr>
        <w:t>采购代理机构</w:t>
      </w:r>
      <w:r>
        <w:rPr>
          <w:rFonts w:hint="eastAsia" w:ascii="Helvetica" w:hAnsi="Helvetica" w:cs="Helvetica"/>
          <w:kern w:val="0"/>
          <w:sz w:val="24"/>
          <w:szCs w:val="24"/>
          <w:lang w:val="zh-CN"/>
        </w:rPr>
        <w:t>和采购人将在投标截止时间至少</w:t>
      </w:r>
      <w:r>
        <w:rPr>
          <w:rFonts w:ascii="宋体" w:hAnsi="宋体"/>
          <w:sz w:val="24"/>
          <w:szCs w:val="20"/>
          <w:lang w:val="zh-CN"/>
        </w:rPr>
        <w:t>15</w:t>
      </w:r>
      <w:r>
        <w:rPr>
          <w:rFonts w:hint="eastAsia" w:ascii="Helvetica" w:hAnsi="Helvetica" w:cs="Helvetica"/>
          <w:kern w:val="0"/>
          <w:sz w:val="24"/>
          <w:szCs w:val="24"/>
          <w:lang w:val="zh-CN"/>
        </w:rPr>
        <w:t>日前，以书面</w:t>
      </w:r>
      <w:r>
        <w:rPr>
          <w:rFonts w:hint="eastAsia" w:ascii="宋体" w:hAnsi="宋体"/>
          <w:sz w:val="24"/>
          <w:szCs w:val="20"/>
          <w:lang w:val="zh-CN"/>
        </w:rPr>
        <w:t>（或网上公告）</w:t>
      </w:r>
      <w:r>
        <w:rPr>
          <w:rFonts w:hint="eastAsia" w:ascii="Helvetica" w:hAnsi="Helvetica" w:cs="Helvetica"/>
          <w:kern w:val="0"/>
          <w:sz w:val="24"/>
          <w:szCs w:val="24"/>
          <w:lang w:val="zh-CN"/>
        </w:rPr>
        <w:t>形式通知所有获取招标文件的潜在投标人。</w:t>
      </w:r>
    </w:p>
    <w:p>
      <w:pPr>
        <w:numPr>
          <w:ilvl w:val="0"/>
          <w:numId w:val="11"/>
        </w:numPr>
        <w:spacing w:line="360" w:lineRule="auto"/>
        <w:ind w:left="476" w:hanging="476"/>
        <w:rPr>
          <w:rFonts w:ascii="宋体"/>
          <w:sz w:val="24"/>
          <w:szCs w:val="20"/>
          <w:lang w:val="zh-CN"/>
        </w:rPr>
      </w:pPr>
      <w:r>
        <w:rPr>
          <w:rFonts w:hint="eastAsia" w:ascii="宋体" w:hAnsi="宋体"/>
          <w:sz w:val="24"/>
          <w:szCs w:val="20"/>
          <w:lang w:val="zh-CN"/>
        </w:rPr>
        <w:t>为使潜在投标人有充足时间对招标文件的澄清或者修改的内容进行研究和响应，采购代理机构和采购人可适当顺延提交投标文件的截止时间，并以书面（或网上公告）的形式通知所有领取招标文件的潜在投标人。</w:t>
      </w:r>
    </w:p>
    <w:p>
      <w:pPr>
        <w:numPr>
          <w:ilvl w:val="0"/>
          <w:numId w:val="11"/>
        </w:numPr>
        <w:spacing w:line="360" w:lineRule="auto"/>
        <w:ind w:left="476" w:hanging="476"/>
        <w:rPr>
          <w:rFonts w:ascii="宋体"/>
          <w:sz w:val="24"/>
          <w:szCs w:val="20"/>
          <w:lang w:val="zh-CN"/>
        </w:rPr>
      </w:pPr>
      <w:r>
        <w:rPr>
          <w:rFonts w:hint="eastAsia" w:ascii="宋体" w:hAnsi="宋体"/>
          <w:sz w:val="24"/>
          <w:szCs w:val="20"/>
          <w:lang w:val="zh-CN"/>
        </w:rPr>
        <w:t>澄清或者修改的内容为招标文件的组成部分，并对潜在投标人具有约束力。</w:t>
      </w:r>
    </w:p>
    <w:p>
      <w:pPr>
        <w:numPr>
          <w:ilvl w:val="0"/>
          <w:numId w:val="5"/>
        </w:numPr>
        <w:spacing w:line="360" w:lineRule="auto"/>
        <w:rPr>
          <w:rFonts w:ascii="宋体"/>
          <w:b/>
          <w:sz w:val="24"/>
          <w:szCs w:val="20"/>
          <w:lang w:val="zh-CN"/>
        </w:rPr>
      </w:pPr>
      <w:r>
        <w:rPr>
          <w:rFonts w:hint="eastAsia" w:ascii="宋体" w:hAnsi="宋体"/>
          <w:b/>
          <w:sz w:val="24"/>
          <w:szCs w:val="20"/>
          <w:lang w:val="zh-CN"/>
        </w:rPr>
        <w:t>现场考察</w:t>
      </w:r>
    </w:p>
    <w:p>
      <w:pPr>
        <w:numPr>
          <w:ilvl w:val="0"/>
          <w:numId w:val="12"/>
        </w:numPr>
        <w:spacing w:line="360" w:lineRule="auto"/>
        <w:ind w:left="476" w:hanging="476"/>
        <w:rPr>
          <w:rFonts w:ascii="宋体"/>
          <w:sz w:val="24"/>
          <w:szCs w:val="20"/>
          <w:lang w:val="zh-CN"/>
        </w:rPr>
      </w:pPr>
      <w:r>
        <w:rPr>
          <w:rFonts w:hint="eastAsia" w:ascii="宋体" w:hAnsi="宋体"/>
          <w:sz w:val="24"/>
          <w:szCs w:val="20"/>
          <w:lang w:val="zh-CN"/>
        </w:rPr>
        <w:t>采购人可以在招标文件提供期限截止后，组织已获取招标文件的潜在投标人现场考察。采购人组织现场考察的，潜在投标人可对项目现场及周围环境进行踏勘，以便获取有关编制投标文件和签署合同所涉及现场的资料。</w:t>
      </w:r>
    </w:p>
    <w:p>
      <w:pPr>
        <w:numPr>
          <w:ilvl w:val="0"/>
          <w:numId w:val="12"/>
        </w:numPr>
        <w:spacing w:line="360" w:lineRule="auto"/>
        <w:ind w:left="476" w:hanging="476"/>
        <w:rPr>
          <w:rFonts w:ascii="宋体"/>
          <w:sz w:val="24"/>
          <w:szCs w:val="20"/>
          <w:lang w:val="zh-CN"/>
        </w:rPr>
      </w:pPr>
      <w:r>
        <w:rPr>
          <w:rFonts w:hint="eastAsia" w:ascii="宋体" w:hAnsi="宋体"/>
          <w:sz w:val="24"/>
          <w:szCs w:val="20"/>
          <w:lang w:val="zh-CN"/>
        </w:rPr>
        <w:t>采购人向潜在投标人提供有关现场的数据和资料。是采购人现有的能被潜在投标人利用的客观资料，采购人对潜在投标人依此作出的任何推论、理解和结论均不负责任。</w:t>
      </w:r>
    </w:p>
    <w:p>
      <w:pPr>
        <w:numPr>
          <w:ilvl w:val="0"/>
          <w:numId w:val="12"/>
        </w:numPr>
        <w:spacing w:line="360" w:lineRule="auto"/>
        <w:ind w:left="476" w:hanging="476"/>
        <w:rPr>
          <w:rFonts w:ascii="宋体"/>
          <w:sz w:val="24"/>
          <w:szCs w:val="20"/>
          <w:lang w:val="zh-CN"/>
        </w:rPr>
      </w:pPr>
      <w:r>
        <w:rPr>
          <w:rFonts w:hint="eastAsia" w:ascii="宋体" w:hAnsi="宋体"/>
          <w:sz w:val="24"/>
          <w:szCs w:val="20"/>
          <w:lang w:val="zh-CN"/>
        </w:rPr>
        <w:t>经采购人允许，潜在投标人可进入项目现场进行考察，但潜在投标人不得因此使采购人承担有关责任和蒙受损失。潜在投标人应自行承担现场考察的全部费用、责任和风险。</w:t>
      </w:r>
    </w:p>
    <w:p>
      <w:pPr>
        <w:pStyle w:val="4"/>
        <w:numPr>
          <w:ilvl w:val="0"/>
          <w:numId w:val="4"/>
        </w:numPr>
        <w:spacing w:before="40" w:after="40" w:line="360" w:lineRule="auto"/>
        <w:ind w:left="658" w:hanging="658"/>
        <w:jc w:val="left"/>
        <w:rPr>
          <w:rFonts w:ascii="宋体"/>
          <w:bCs w:val="0"/>
          <w:lang w:val="zh-CN"/>
        </w:rPr>
      </w:pPr>
      <w:bookmarkStart w:id="10" w:name="_Toc106268601"/>
      <w:bookmarkStart w:id="11" w:name="_Toc272247696"/>
      <w:bookmarkStart w:id="12" w:name="_Toc494561940"/>
      <w:bookmarkStart w:id="13" w:name="_Toc278891593"/>
      <w:r>
        <w:rPr>
          <w:rFonts w:hint="eastAsia" w:ascii="宋体" w:hAnsi="宋体"/>
          <w:bCs w:val="0"/>
          <w:lang w:val="zh-CN"/>
        </w:rPr>
        <w:t>投标文件</w:t>
      </w:r>
      <w:bookmarkEnd w:id="10"/>
      <w:bookmarkEnd w:id="11"/>
      <w:bookmarkEnd w:id="12"/>
      <w:bookmarkEnd w:id="13"/>
    </w:p>
    <w:p>
      <w:pPr>
        <w:numPr>
          <w:ilvl w:val="0"/>
          <w:numId w:val="5"/>
        </w:numPr>
        <w:spacing w:line="360" w:lineRule="auto"/>
        <w:rPr>
          <w:rFonts w:ascii="宋体"/>
          <w:b/>
          <w:sz w:val="24"/>
          <w:szCs w:val="24"/>
          <w:lang w:val="zh-CN"/>
        </w:rPr>
      </w:pPr>
      <w:r>
        <w:rPr>
          <w:rFonts w:hint="eastAsia" w:ascii="宋体" w:hAnsi="宋体"/>
          <w:b/>
          <w:sz w:val="24"/>
          <w:szCs w:val="24"/>
          <w:lang w:val="zh-CN"/>
        </w:rPr>
        <w:t>投标的语言</w:t>
      </w:r>
    </w:p>
    <w:p>
      <w:pPr>
        <w:spacing w:line="360" w:lineRule="auto"/>
        <w:ind w:firstLine="480" w:firstLineChars="200"/>
        <w:rPr>
          <w:rFonts w:ascii="宋体"/>
          <w:sz w:val="24"/>
          <w:szCs w:val="24"/>
          <w:lang w:val="zh-CN"/>
        </w:rPr>
      </w:pPr>
      <w:r>
        <w:rPr>
          <w:rFonts w:hint="eastAsia" w:ascii="宋体" w:hAnsi="宋体"/>
          <w:sz w:val="24"/>
          <w:szCs w:val="24"/>
          <w:lang w:val="zh-CN"/>
        </w:rPr>
        <w:t>投标人提交的投标文件以及投标人与</w:t>
      </w:r>
      <w:r>
        <w:rPr>
          <w:rFonts w:hint="eastAsia" w:ascii="宋体" w:hAnsi="宋体"/>
          <w:sz w:val="24"/>
          <w:szCs w:val="20"/>
          <w:lang w:val="zh-CN"/>
        </w:rPr>
        <w:t>采购代理机构</w:t>
      </w:r>
      <w:r>
        <w:rPr>
          <w:rFonts w:hint="eastAsia" w:ascii="宋体" w:hAnsi="宋体"/>
          <w:sz w:val="24"/>
          <w:szCs w:val="24"/>
          <w:lang w:val="zh-CN"/>
        </w:rPr>
        <w:t>或采购人就有关投标的所有来往函电均应使用中文。投标人提交的相关证明文件、资料或文献可以用另一种语言，但相应内容应附有中文翻译本，在解释投标文件的相关内容时以中文翻译本为准。</w:t>
      </w:r>
    </w:p>
    <w:p>
      <w:pPr>
        <w:numPr>
          <w:ilvl w:val="0"/>
          <w:numId w:val="5"/>
        </w:numPr>
        <w:spacing w:line="360" w:lineRule="auto"/>
        <w:rPr>
          <w:rFonts w:ascii="宋体"/>
          <w:b/>
          <w:sz w:val="24"/>
          <w:szCs w:val="24"/>
          <w:lang w:val="zh-CN"/>
        </w:rPr>
      </w:pPr>
      <w:r>
        <w:rPr>
          <w:rFonts w:hint="eastAsia" w:ascii="宋体" w:hAnsi="宋体"/>
          <w:b/>
          <w:sz w:val="24"/>
          <w:szCs w:val="24"/>
          <w:lang w:val="zh-CN"/>
        </w:rPr>
        <w:t>投标文件的构成</w:t>
      </w:r>
    </w:p>
    <w:p>
      <w:pPr>
        <w:spacing w:line="360" w:lineRule="auto"/>
        <w:ind w:firstLine="480" w:firstLineChars="200"/>
        <w:rPr>
          <w:rFonts w:ascii="宋体"/>
          <w:sz w:val="24"/>
          <w:szCs w:val="24"/>
          <w:lang w:val="zh-CN"/>
        </w:rPr>
      </w:pPr>
      <w:r>
        <w:rPr>
          <w:rFonts w:hint="eastAsia" w:ascii="宋体" w:hAnsi="宋体"/>
          <w:sz w:val="24"/>
          <w:szCs w:val="24"/>
          <w:lang w:val="zh-CN"/>
        </w:rPr>
        <w:t>投标人编制的投标文件应包括但不限于下列内容：</w:t>
      </w:r>
    </w:p>
    <w:p>
      <w:pPr>
        <w:spacing w:line="360" w:lineRule="auto"/>
        <w:ind w:firstLine="480" w:firstLineChars="200"/>
        <w:rPr>
          <w:rFonts w:ascii="宋体"/>
          <w:sz w:val="24"/>
          <w:szCs w:val="24"/>
          <w:lang w:val="zh-CN"/>
        </w:rPr>
      </w:pPr>
      <w:r>
        <w:rPr>
          <w:rFonts w:hint="eastAsia" w:ascii="宋体" w:hAnsi="宋体"/>
          <w:sz w:val="24"/>
          <w:szCs w:val="24"/>
          <w:lang w:val="zh-CN"/>
        </w:rPr>
        <w:t>第一部分资格证明文件（详见第七章“投标文件格式”中资格证明文件组成）</w:t>
      </w:r>
    </w:p>
    <w:p>
      <w:pPr>
        <w:spacing w:line="360" w:lineRule="auto"/>
        <w:ind w:firstLine="480" w:firstLineChars="200"/>
        <w:rPr>
          <w:rFonts w:ascii="宋体"/>
          <w:sz w:val="24"/>
          <w:szCs w:val="24"/>
          <w:lang w:val="zh-CN"/>
        </w:rPr>
      </w:pPr>
      <w:r>
        <w:rPr>
          <w:rFonts w:hint="eastAsia" w:ascii="宋体" w:hAnsi="宋体"/>
          <w:sz w:val="24"/>
          <w:szCs w:val="24"/>
          <w:lang w:val="zh-CN"/>
        </w:rPr>
        <w:t>第二部分商务文件（详见第七章“投标文件格式”中商务文件组成）</w:t>
      </w:r>
    </w:p>
    <w:p>
      <w:pPr>
        <w:spacing w:line="360" w:lineRule="auto"/>
        <w:ind w:firstLine="480" w:firstLineChars="200"/>
        <w:rPr>
          <w:rFonts w:ascii="宋体"/>
          <w:sz w:val="24"/>
          <w:szCs w:val="24"/>
          <w:lang w:val="zh-CN"/>
        </w:rPr>
      </w:pPr>
      <w:r>
        <w:rPr>
          <w:rFonts w:hint="eastAsia" w:ascii="宋体" w:hAnsi="宋体"/>
          <w:sz w:val="24"/>
          <w:szCs w:val="24"/>
          <w:lang w:val="zh-CN"/>
        </w:rPr>
        <w:t>第三部分技术、服务文件（详见第七章“投标文件格式”中技术、服务文件组成）</w:t>
      </w:r>
    </w:p>
    <w:p>
      <w:pPr>
        <w:numPr>
          <w:ilvl w:val="0"/>
          <w:numId w:val="5"/>
        </w:numPr>
        <w:spacing w:line="360" w:lineRule="auto"/>
        <w:ind w:left="560" w:hanging="560"/>
        <w:rPr>
          <w:rFonts w:ascii="宋体"/>
          <w:b/>
          <w:sz w:val="24"/>
          <w:szCs w:val="24"/>
          <w:lang w:val="zh-CN"/>
        </w:rPr>
      </w:pPr>
      <w:r>
        <w:rPr>
          <w:rFonts w:hint="eastAsia" w:ascii="宋体" w:hAnsi="宋体"/>
          <w:b/>
          <w:sz w:val="24"/>
          <w:szCs w:val="24"/>
          <w:lang w:val="zh-CN"/>
        </w:rPr>
        <w:t>投标文件编制</w:t>
      </w:r>
    </w:p>
    <w:p>
      <w:pPr>
        <w:numPr>
          <w:ilvl w:val="0"/>
          <w:numId w:val="13"/>
        </w:numPr>
        <w:spacing w:line="360" w:lineRule="auto"/>
        <w:ind w:left="616" w:hanging="616"/>
        <w:rPr>
          <w:rFonts w:ascii="宋体"/>
          <w:sz w:val="24"/>
          <w:szCs w:val="24"/>
          <w:lang w:val="zh-CN"/>
        </w:rPr>
      </w:pPr>
      <w:r>
        <w:rPr>
          <w:rFonts w:hint="eastAsia" w:ascii="宋体" w:hAnsi="宋体"/>
          <w:sz w:val="24"/>
          <w:szCs w:val="24"/>
          <w:lang w:val="zh-CN"/>
        </w:rPr>
        <w:t>如招标文件有分包要求，投标人对招标文件中多个包进行投标的，其投标文件的编制应按每包要求分别装订和封装，并注明对应包号。</w:t>
      </w:r>
    </w:p>
    <w:p>
      <w:pPr>
        <w:numPr>
          <w:ilvl w:val="0"/>
          <w:numId w:val="13"/>
        </w:numPr>
        <w:spacing w:line="360" w:lineRule="auto"/>
        <w:ind w:left="616" w:hanging="616"/>
        <w:rPr>
          <w:rFonts w:ascii="宋体"/>
          <w:sz w:val="24"/>
          <w:szCs w:val="24"/>
          <w:lang w:val="zh-CN"/>
        </w:rPr>
      </w:pPr>
      <w:r>
        <w:rPr>
          <w:rFonts w:hint="eastAsia" w:ascii="宋体" w:hAnsi="宋体"/>
          <w:sz w:val="24"/>
          <w:szCs w:val="24"/>
          <w:lang w:val="zh-CN"/>
        </w:rPr>
        <w:t>投标人应当对投标文件进行装订，对未经装订的投标书可能发生的文件散落或缺损，由此产生的后果及责任由投标人自行承担。</w:t>
      </w:r>
    </w:p>
    <w:p>
      <w:pPr>
        <w:numPr>
          <w:ilvl w:val="0"/>
          <w:numId w:val="13"/>
        </w:numPr>
        <w:spacing w:line="360" w:lineRule="auto"/>
        <w:ind w:left="616" w:hanging="616"/>
        <w:rPr>
          <w:rFonts w:ascii="宋体"/>
          <w:sz w:val="24"/>
          <w:szCs w:val="24"/>
          <w:lang w:val="zh-CN"/>
        </w:rPr>
      </w:pPr>
      <w:r>
        <w:rPr>
          <w:rFonts w:hint="eastAsia" w:ascii="宋体" w:hAnsi="宋体"/>
          <w:sz w:val="24"/>
          <w:szCs w:val="24"/>
          <w:lang w:val="zh-CN"/>
        </w:rPr>
        <w:t>投标人应按照招标文件第七章“投标文件格式”提供的《投标书》、《开标一览表》、《投标报价明细表》、《法定代表人授权书》等格式、要求、规定来编制投标文件。</w:t>
      </w:r>
    </w:p>
    <w:p>
      <w:pPr>
        <w:numPr>
          <w:ilvl w:val="0"/>
          <w:numId w:val="13"/>
        </w:numPr>
        <w:spacing w:line="360" w:lineRule="auto"/>
        <w:ind w:left="616" w:hanging="616"/>
        <w:rPr>
          <w:rFonts w:ascii="宋体"/>
          <w:color w:val="0D0D0D"/>
          <w:sz w:val="24"/>
          <w:szCs w:val="24"/>
          <w:lang w:val="zh-CN"/>
        </w:rPr>
      </w:pPr>
      <w:r>
        <w:rPr>
          <w:rFonts w:hint="eastAsia" w:ascii="宋体" w:hAnsi="宋体"/>
          <w:color w:val="0D0D0D"/>
          <w:sz w:val="24"/>
          <w:szCs w:val="24"/>
          <w:lang w:val="zh-CN"/>
        </w:rPr>
        <w:t>投标人应对投标文件中所提供资料的真实性负责，如有虚假，将依法承担相应责任。投标人应自觉接受集中采购机构对其中任何资料进一步核实的要求。</w:t>
      </w:r>
    </w:p>
    <w:p>
      <w:pPr>
        <w:numPr>
          <w:ilvl w:val="0"/>
          <w:numId w:val="13"/>
        </w:numPr>
        <w:spacing w:line="360" w:lineRule="auto"/>
        <w:ind w:left="616" w:hanging="616"/>
        <w:rPr>
          <w:rFonts w:ascii="宋体"/>
          <w:sz w:val="24"/>
          <w:szCs w:val="24"/>
          <w:lang w:val="zh-CN"/>
        </w:rPr>
      </w:pPr>
      <w:r>
        <w:rPr>
          <w:rFonts w:hint="eastAsia" w:ascii="宋体" w:hAnsi="宋体"/>
          <w:sz w:val="24"/>
          <w:szCs w:val="24"/>
          <w:lang w:val="zh-CN"/>
        </w:rPr>
        <w:t>因投标人投标文件填报的内容不详，或没有提供招标文件中所要求的全部资料及数据等，由此产生的后果及责任由投标人自行承担。</w:t>
      </w:r>
    </w:p>
    <w:p>
      <w:pPr>
        <w:numPr>
          <w:ilvl w:val="0"/>
          <w:numId w:val="13"/>
        </w:numPr>
        <w:spacing w:line="360" w:lineRule="auto"/>
        <w:ind w:left="616" w:hanging="616"/>
        <w:rPr>
          <w:rFonts w:ascii="宋体"/>
          <w:sz w:val="24"/>
          <w:szCs w:val="24"/>
          <w:lang w:val="zh-CN"/>
        </w:rPr>
      </w:pPr>
      <w:r>
        <w:rPr>
          <w:rFonts w:hint="eastAsia" w:ascii="宋体" w:hAnsi="宋体"/>
          <w:sz w:val="24"/>
          <w:szCs w:val="24"/>
          <w:lang w:val="zh-CN"/>
        </w:rPr>
        <w:t>投标文件用纸应统一为</w:t>
      </w:r>
      <w:r>
        <w:rPr>
          <w:rFonts w:ascii="宋体" w:hAnsi="宋体"/>
          <w:sz w:val="24"/>
          <w:szCs w:val="24"/>
          <w:lang w:val="zh-CN"/>
        </w:rPr>
        <w:t>A4</w:t>
      </w:r>
      <w:r>
        <w:rPr>
          <w:rFonts w:hint="eastAsia" w:ascii="宋体" w:hAnsi="宋体"/>
          <w:sz w:val="24"/>
          <w:szCs w:val="24"/>
          <w:lang w:val="zh-CN"/>
        </w:rPr>
        <w:t>规格（图纸除外）。</w:t>
      </w:r>
    </w:p>
    <w:p>
      <w:pPr>
        <w:numPr>
          <w:ilvl w:val="0"/>
          <w:numId w:val="13"/>
        </w:numPr>
        <w:spacing w:line="360" w:lineRule="auto"/>
        <w:ind w:left="616" w:hanging="616"/>
        <w:rPr>
          <w:rFonts w:ascii="宋体"/>
          <w:b/>
          <w:sz w:val="24"/>
          <w:szCs w:val="24"/>
          <w:lang w:val="zh-CN"/>
        </w:rPr>
      </w:pPr>
      <w:r>
        <w:rPr>
          <w:rFonts w:hint="eastAsia" w:ascii="宋体" w:hAnsi="宋体"/>
          <w:b/>
          <w:sz w:val="24"/>
          <w:szCs w:val="24"/>
          <w:lang w:val="zh-CN"/>
        </w:rPr>
        <w:t>投标文件共分为：第一部分资格证明文件、第二部分商务文件和第三部分技术、服务文件。投标人应将投标文件第一部分资格证明文件、第二部分商务文件、第三部分技术、服务文件分别用显著文字说明，统一编制合订成一本投标文件，统一逐页连续标注页码，建立目录索引。</w:t>
      </w:r>
      <w:r>
        <w:rPr>
          <w:rFonts w:hint="eastAsia" w:ascii="宋体" w:hAnsi="宋体"/>
          <w:b/>
          <w:sz w:val="24"/>
          <w:szCs w:val="20"/>
          <w:lang w:val="zh-CN"/>
        </w:rPr>
        <w:t>各部分文件及内容详见第七章“投标文件格式”要求。</w:t>
      </w:r>
    </w:p>
    <w:p>
      <w:pPr>
        <w:numPr>
          <w:ilvl w:val="0"/>
          <w:numId w:val="13"/>
        </w:numPr>
        <w:spacing w:line="360" w:lineRule="auto"/>
        <w:ind w:left="616" w:hanging="616"/>
        <w:rPr>
          <w:rFonts w:ascii="宋体"/>
          <w:b/>
          <w:sz w:val="24"/>
          <w:szCs w:val="24"/>
          <w:lang w:val="zh-CN"/>
        </w:rPr>
      </w:pPr>
      <w:r>
        <w:rPr>
          <w:rFonts w:hint="eastAsia" w:ascii="宋体" w:hAnsi="宋体"/>
          <w:b/>
          <w:sz w:val="24"/>
          <w:szCs w:val="24"/>
          <w:lang w:val="zh-CN"/>
        </w:rPr>
        <w:t>为方便开标时唱标，投标人应将《开标一览表》单独密封一份提交，并在信封上标明</w:t>
      </w:r>
      <w:r>
        <w:rPr>
          <w:rFonts w:ascii="宋体" w:hAnsi="宋体"/>
          <w:b/>
          <w:sz w:val="24"/>
          <w:szCs w:val="24"/>
          <w:lang w:val="zh-CN"/>
        </w:rPr>
        <w:t>"</w:t>
      </w:r>
      <w:r>
        <w:rPr>
          <w:rFonts w:hint="eastAsia" w:ascii="宋体" w:hAnsi="宋体"/>
          <w:b/>
          <w:sz w:val="24"/>
          <w:szCs w:val="24"/>
          <w:lang w:val="zh-CN"/>
        </w:rPr>
        <w:t>开标一览表</w:t>
      </w:r>
      <w:r>
        <w:rPr>
          <w:rFonts w:ascii="宋体" w:hAnsi="宋体"/>
          <w:b/>
          <w:sz w:val="24"/>
          <w:szCs w:val="24"/>
          <w:lang w:val="zh-CN"/>
        </w:rPr>
        <w:t>"</w:t>
      </w:r>
      <w:r>
        <w:rPr>
          <w:rFonts w:hint="eastAsia" w:ascii="宋体" w:hAnsi="宋体"/>
          <w:b/>
          <w:sz w:val="24"/>
          <w:szCs w:val="24"/>
          <w:lang w:val="zh-CN"/>
        </w:rPr>
        <w:t>字样。投标人应将投标文件正本和所有的副本一起密封装在文件袋（或封装袋）中，并在封面上标明</w:t>
      </w:r>
      <w:r>
        <w:rPr>
          <w:rFonts w:ascii="宋体" w:hAnsi="宋体"/>
          <w:b/>
          <w:sz w:val="24"/>
          <w:szCs w:val="24"/>
          <w:lang w:val="zh-CN"/>
        </w:rPr>
        <w:t>"</w:t>
      </w:r>
      <w:r>
        <w:rPr>
          <w:rFonts w:hint="eastAsia" w:ascii="宋体" w:hAnsi="宋体"/>
          <w:b/>
          <w:sz w:val="24"/>
          <w:szCs w:val="24"/>
          <w:lang w:val="zh-CN"/>
        </w:rPr>
        <w:t>正本</w:t>
      </w:r>
      <w:r>
        <w:rPr>
          <w:rFonts w:ascii="宋体" w:hAnsi="宋体"/>
          <w:b/>
          <w:sz w:val="24"/>
          <w:szCs w:val="24"/>
          <w:lang w:val="zh-CN"/>
        </w:rPr>
        <w:t>"</w:t>
      </w:r>
      <w:r>
        <w:rPr>
          <w:rFonts w:hint="eastAsia" w:ascii="宋体" w:hAnsi="宋体"/>
          <w:b/>
          <w:sz w:val="24"/>
          <w:szCs w:val="24"/>
          <w:lang w:val="zh-CN"/>
        </w:rPr>
        <w:t>、</w:t>
      </w:r>
      <w:r>
        <w:rPr>
          <w:rFonts w:ascii="宋体" w:hAnsi="宋体"/>
          <w:b/>
          <w:sz w:val="24"/>
          <w:szCs w:val="24"/>
          <w:lang w:val="zh-CN"/>
        </w:rPr>
        <w:t>"</w:t>
      </w:r>
      <w:r>
        <w:rPr>
          <w:rFonts w:hint="eastAsia" w:ascii="宋体" w:hAnsi="宋体"/>
          <w:b/>
          <w:sz w:val="24"/>
          <w:szCs w:val="24"/>
          <w:lang w:val="zh-CN"/>
        </w:rPr>
        <w:t>副本</w:t>
      </w:r>
      <w:r>
        <w:rPr>
          <w:rFonts w:ascii="宋体" w:hAnsi="宋体"/>
          <w:b/>
          <w:sz w:val="24"/>
          <w:szCs w:val="24"/>
          <w:lang w:val="zh-CN"/>
        </w:rPr>
        <w:t>"</w:t>
      </w:r>
      <w:r>
        <w:rPr>
          <w:rFonts w:hint="eastAsia" w:ascii="宋体" w:hAnsi="宋体"/>
          <w:b/>
          <w:sz w:val="24"/>
          <w:szCs w:val="24"/>
          <w:lang w:val="zh-CN"/>
        </w:rPr>
        <w:t>字样。未单独提交或单独提交的上述资料未按照招标文件规定的要求填写完整并签字、盖章的其投标将有可能被拒绝。开标一览表必须按要求由投标人法定代表人或法定代表人授权代表签字，并加盖投标单位公章，单独密封提交，否则将被视为非响应性投标，将按照无效投标处理。</w:t>
      </w:r>
    </w:p>
    <w:p>
      <w:pPr>
        <w:numPr>
          <w:ilvl w:val="0"/>
          <w:numId w:val="5"/>
        </w:numPr>
        <w:spacing w:line="360" w:lineRule="auto"/>
        <w:ind w:left="560" w:hanging="560"/>
        <w:rPr>
          <w:rFonts w:ascii="宋体"/>
          <w:b/>
          <w:sz w:val="24"/>
          <w:szCs w:val="24"/>
          <w:lang w:val="zh-CN"/>
        </w:rPr>
      </w:pPr>
      <w:r>
        <w:rPr>
          <w:rFonts w:hint="eastAsia" w:ascii="宋体" w:hAnsi="宋体"/>
          <w:b/>
          <w:sz w:val="24"/>
          <w:szCs w:val="24"/>
          <w:lang w:val="zh-CN"/>
        </w:rPr>
        <w:t>投标报价</w:t>
      </w:r>
    </w:p>
    <w:p>
      <w:pPr>
        <w:numPr>
          <w:ilvl w:val="0"/>
          <w:numId w:val="14"/>
        </w:numPr>
        <w:spacing w:line="360" w:lineRule="auto"/>
        <w:ind w:left="616" w:hanging="616"/>
        <w:rPr>
          <w:rFonts w:ascii="宋体"/>
          <w:sz w:val="24"/>
          <w:szCs w:val="24"/>
          <w:lang w:val="zh-CN"/>
        </w:rPr>
      </w:pPr>
      <w:r>
        <w:rPr>
          <w:rFonts w:hint="eastAsia" w:ascii="宋体" w:hAnsi="宋体"/>
          <w:sz w:val="24"/>
          <w:szCs w:val="24"/>
          <w:lang w:val="zh-CN"/>
        </w:rPr>
        <w:t>投标人所提供的货物（工程或服务）均以人民币计价。</w:t>
      </w:r>
    </w:p>
    <w:p>
      <w:pPr>
        <w:numPr>
          <w:ilvl w:val="0"/>
          <w:numId w:val="14"/>
        </w:numPr>
        <w:spacing w:line="360" w:lineRule="auto"/>
        <w:ind w:left="616" w:hanging="616"/>
        <w:rPr>
          <w:rFonts w:ascii="宋体"/>
          <w:sz w:val="24"/>
          <w:szCs w:val="24"/>
          <w:lang w:val="zh-CN"/>
        </w:rPr>
      </w:pPr>
      <w:r>
        <w:rPr>
          <w:rFonts w:hint="eastAsia" w:ascii="宋体" w:hAnsi="宋体"/>
          <w:sz w:val="24"/>
          <w:szCs w:val="24"/>
          <w:lang w:val="zh-CN"/>
        </w:rPr>
        <w:t>投标人应按照“第三章项目技术、服务及商务要求”规定的货物（工程或服务）内容、责任范围以及合同条款进行报价。并按照《开标一览表》和《投标报价明细表》的格式报出分项价格和投标总价。报价上的优惠应体现在各分项报价中，投标总价应为优惠后的最终报价。投标总价中不得包含招标文件要求以外的内容，否则，在评标时不予核减。</w:t>
      </w:r>
    </w:p>
    <w:p>
      <w:pPr>
        <w:numPr>
          <w:ilvl w:val="0"/>
          <w:numId w:val="14"/>
        </w:numPr>
        <w:spacing w:line="360" w:lineRule="auto"/>
        <w:ind w:left="616" w:hanging="616"/>
        <w:rPr>
          <w:rFonts w:ascii="宋体"/>
          <w:sz w:val="24"/>
          <w:szCs w:val="24"/>
          <w:lang w:val="zh-CN"/>
        </w:rPr>
      </w:pPr>
      <w:r>
        <w:rPr>
          <w:rFonts w:hint="eastAsia" w:ascii="宋体" w:hAnsi="宋体"/>
          <w:sz w:val="24"/>
          <w:szCs w:val="24"/>
          <w:lang w:val="zh-CN"/>
        </w:rPr>
        <w:t>《投标报价明细表》填写时应响应下列要求：</w:t>
      </w:r>
    </w:p>
    <w:p>
      <w:pPr>
        <w:numPr>
          <w:ilvl w:val="0"/>
          <w:numId w:val="15"/>
        </w:numPr>
        <w:spacing w:line="360" w:lineRule="auto"/>
        <w:ind w:left="980" w:hanging="854"/>
        <w:rPr>
          <w:rFonts w:ascii="宋体"/>
          <w:sz w:val="24"/>
          <w:szCs w:val="24"/>
          <w:lang w:val="zh-CN"/>
        </w:rPr>
      </w:pPr>
      <w:r>
        <w:rPr>
          <w:rFonts w:hint="eastAsia" w:ascii="宋体" w:hAnsi="宋体"/>
          <w:sz w:val="24"/>
        </w:rPr>
        <w:t>应包括所有根据合同或其他原因由投标人支付的款项、费用</w:t>
      </w:r>
      <w:r>
        <w:rPr>
          <w:rFonts w:hint="eastAsia" w:ascii="宋体" w:hAnsi="宋体"/>
          <w:sz w:val="24"/>
          <w:szCs w:val="24"/>
          <w:lang w:val="zh-CN"/>
        </w:rPr>
        <w:t>；</w:t>
      </w:r>
    </w:p>
    <w:p>
      <w:pPr>
        <w:numPr>
          <w:ilvl w:val="0"/>
          <w:numId w:val="15"/>
        </w:numPr>
        <w:spacing w:line="360" w:lineRule="auto"/>
        <w:ind w:left="980" w:hanging="854"/>
        <w:rPr>
          <w:rFonts w:ascii="宋体"/>
          <w:sz w:val="24"/>
          <w:szCs w:val="24"/>
          <w:lang w:val="zh-CN"/>
        </w:rPr>
      </w:pPr>
      <w:r>
        <w:rPr>
          <w:rFonts w:hint="eastAsia" w:ascii="宋体" w:hAnsi="宋体"/>
          <w:sz w:val="24"/>
          <w:szCs w:val="24"/>
          <w:lang w:val="zh-CN"/>
        </w:rPr>
        <w:t>应包含货物运至最终目的地的运输、保险和伴随货物（工程或服务）的有关费用；</w:t>
      </w:r>
    </w:p>
    <w:p>
      <w:pPr>
        <w:numPr>
          <w:ilvl w:val="0"/>
          <w:numId w:val="15"/>
        </w:numPr>
        <w:spacing w:line="360" w:lineRule="auto"/>
        <w:ind w:left="980" w:hanging="854"/>
        <w:rPr>
          <w:rFonts w:ascii="宋体" w:cs="Courier New"/>
          <w:sz w:val="24"/>
          <w:szCs w:val="24"/>
          <w:lang w:val="zh-CN"/>
        </w:rPr>
      </w:pPr>
      <w:r>
        <w:rPr>
          <w:rFonts w:hint="eastAsia" w:ascii="宋体" w:hAnsi="宋体"/>
          <w:sz w:val="24"/>
          <w:szCs w:val="24"/>
          <w:lang w:val="zh-CN"/>
        </w:rPr>
        <w:t>应详细提供《投标报价明细表》和《投标货物、服务清单》等内容，否则按照</w:t>
      </w:r>
      <w:r>
        <w:rPr>
          <w:rFonts w:hint="eastAsia" w:ascii="宋体" w:hAnsi="宋体"/>
          <w:b/>
          <w:sz w:val="24"/>
          <w:szCs w:val="24"/>
          <w:lang w:val="zh-CN"/>
        </w:rPr>
        <w:t>无效投标处理。</w:t>
      </w:r>
    </w:p>
    <w:p>
      <w:pPr>
        <w:numPr>
          <w:ilvl w:val="0"/>
          <w:numId w:val="14"/>
        </w:numPr>
        <w:spacing w:line="360" w:lineRule="auto"/>
        <w:ind w:left="616" w:hanging="616"/>
        <w:rPr>
          <w:rFonts w:ascii="宋体"/>
          <w:sz w:val="24"/>
          <w:szCs w:val="24"/>
          <w:lang w:val="zh-CN"/>
        </w:rPr>
      </w:pPr>
      <w:r>
        <w:rPr>
          <w:rFonts w:hint="eastAsia" w:ascii="宋体" w:hAnsi="宋体"/>
          <w:sz w:val="24"/>
          <w:szCs w:val="24"/>
          <w:lang w:val="zh-CN"/>
        </w:rPr>
        <w:t>每一种规格的货物（工程或服务）只允许有一个报价，否则按照</w:t>
      </w:r>
      <w:r>
        <w:rPr>
          <w:rFonts w:hint="eastAsia" w:ascii="宋体" w:hAnsi="宋体"/>
          <w:b/>
          <w:sz w:val="24"/>
          <w:szCs w:val="24"/>
          <w:lang w:val="zh-CN"/>
        </w:rPr>
        <w:t>无效投标处理</w:t>
      </w:r>
      <w:r>
        <w:rPr>
          <w:rFonts w:hint="eastAsia" w:ascii="宋体" w:hAnsi="宋体"/>
          <w:sz w:val="24"/>
          <w:szCs w:val="24"/>
          <w:lang w:val="zh-CN"/>
        </w:rPr>
        <w:t>。</w:t>
      </w:r>
    </w:p>
    <w:p>
      <w:pPr>
        <w:numPr>
          <w:ilvl w:val="0"/>
          <w:numId w:val="14"/>
        </w:numPr>
        <w:spacing w:line="360" w:lineRule="auto"/>
        <w:ind w:left="616" w:hanging="616"/>
        <w:rPr>
          <w:rFonts w:ascii="宋体"/>
          <w:sz w:val="24"/>
          <w:szCs w:val="24"/>
          <w:lang w:val="zh-CN"/>
        </w:rPr>
      </w:pPr>
      <w:r>
        <w:rPr>
          <w:rFonts w:hint="eastAsia" w:ascii="宋体" w:hAnsi="宋体"/>
          <w:sz w:val="24"/>
          <w:szCs w:val="24"/>
          <w:lang w:val="zh-CN"/>
        </w:rPr>
        <w:t>投标人的投标总报价在合同执行过程中是固定不变的，不得以任何理由予以变更。故投标人的投标总报价应包含本招标内容全部工作所需的一切费用，即投标总报价为“交钥匙”价。对在合同实施过程中可能发生的其它费用（如：增加耗材、材料涨价、人工、运输成本增加等因素），采购人不予支付。</w:t>
      </w:r>
    </w:p>
    <w:p>
      <w:pPr>
        <w:numPr>
          <w:ilvl w:val="0"/>
          <w:numId w:val="14"/>
        </w:numPr>
        <w:spacing w:line="360" w:lineRule="auto"/>
        <w:ind w:left="616" w:hanging="616"/>
        <w:rPr>
          <w:rFonts w:ascii="宋体"/>
          <w:sz w:val="24"/>
          <w:szCs w:val="24"/>
          <w:lang w:val="zh-CN"/>
        </w:rPr>
      </w:pPr>
      <w:r>
        <w:rPr>
          <w:rFonts w:hint="eastAsia" w:ascii="宋体" w:hAnsi="宋体"/>
          <w:sz w:val="24"/>
          <w:szCs w:val="24"/>
          <w:lang w:val="zh-CN"/>
        </w:rPr>
        <w:t>对于招标文件未列明，而投标人认为必需的费用也需列入其投标总价。在合同实施时，采购人将不予支付投标人没有列入的项目费用，并认为此项目的费用已包括在其投标总价中。</w:t>
      </w:r>
    </w:p>
    <w:p>
      <w:pPr>
        <w:numPr>
          <w:ilvl w:val="0"/>
          <w:numId w:val="14"/>
        </w:numPr>
        <w:spacing w:line="360" w:lineRule="auto"/>
        <w:ind w:left="616" w:hanging="616"/>
        <w:rPr>
          <w:rFonts w:ascii="宋体"/>
          <w:sz w:val="24"/>
          <w:szCs w:val="24"/>
          <w:lang w:val="zh-CN"/>
        </w:rPr>
      </w:pPr>
      <w:r>
        <w:rPr>
          <w:rFonts w:hint="eastAsia" w:ascii="宋体" w:hAnsi="宋体"/>
          <w:sz w:val="24"/>
          <w:szCs w:val="24"/>
          <w:lang w:val="zh-CN"/>
        </w:rPr>
        <w:t>投标人应对项目招标范围内的全部内容进行报价，不得缺、漏项或只投其中的部分内容的，否则按照</w:t>
      </w:r>
      <w:r>
        <w:rPr>
          <w:rFonts w:hint="eastAsia" w:ascii="宋体" w:hAnsi="宋体"/>
          <w:b/>
          <w:sz w:val="24"/>
          <w:szCs w:val="24"/>
          <w:lang w:val="zh-CN"/>
        </w:rPr>
        <w:t>无效投标处理</w:t>
      </w:r>
      <w:r>
        <w:rPr>
          <w:rFonts w:hint="eastAsia" w:ascii="宋体" w:hAnsi="宋体"/>
          <w:sz w:val="24"/>
          <w:szCs w:val="24"/>
          <w:lang w:val="zh-CN"/>
        </w:rPr>
        <w:t>。</w:t>
      </w:r>
    </w:p>
    <w:p>
      <w:pPr>
        <w:numPr>
          <w:ilvl w:val="0"/>
          <w:numId w:val="5"/>
        </w:numPr>
        <w:spacing w:line="360" w:lineRule="auto"/>
        <w:ind w:left="560" w:hanging="560"/>
        <w:rPr>
          <w:rFonts w:ascii="宋体"/>
          <w:b/>
          <w:sz w:val="24"/>
          <w:szCs w:val="24"/>
          <w:lang w:val="zh-CN"/>
        </w:rPr>
      </w:pPr>
      <w:r>
        <w:rPr>
          <w:rFonts w:hint="eastAsia" w:ascii="宋体" w:hAnsi="宋体"/>
          <w:b/>
          <w:sz w:val="24"/>
          <w:szCs w:val="24"/>
          <w:lang w:val="zh-CN"/>
        </w:rPr>
        <w:t>备选方案</w:t>
      </w:r>
    </w:p>
    <w:p>
      <w:pPr>
        <w:spacing w:line="360" w:lineRule="auto"/>
        <w:ind w:firstLine="480" w:firstLineChars="200"/>
        <w:rPr>
          <w:rFonts w:ascii="宋体"/>
          <w:sz w:val="24"/>
          <w:szCs w:val="24"/>
          <w:lang w:val="zh-CN"/>
        </w:rPr>
      </w:pPr>
      <w:r>
        <w:rPr>
          <w:rFonts w:hint="eastAsia" w:ascii="宋体" w:hAnsi="宋体"/>
          <w:sz w:val="24"/>
          <w:szCs w:val="24"/>
          <w:lang w:val="zh-CN"/>
        </w:rPr>
        <w:t>只允许投标人提供一个投标方案（招标文件中要求提供备选方案的除外），否则按照</w:t>
      </w:r>
      <w:r>
        <w:rPr>
          <w:rFonts w:hint="eastAsia" w:ascii="宋体" w:hAnsi="宋体"/>
          <w:b/>
          <w:sz w:val="24"/>
          <w:szCs w:val="24"/>
          <w:lang w:val="zh-CN"/>
        </w:rPr>
        <w:t>无效投标处理</w:t>
      </w:r>
      <w:r>
        <w:rPr>
          <w:rFonts w:hint="eastAsia" w:ascii="宋体" w:hAnsi="宋体"/>
          <w:sz w:val="24"/>
          <w:szCs w:val="24"/>
          <w:lang w:val="zh-CN"/>
        </w:rPr>
        <w:t>。</w:t>
      </w:r>
    </w:p>
    <w:p>
      <w:pPr>
        <w:numPr>
          <w:ilvl w:val="0"/>
          <w:numId w:val="5"/>
        </w:numPr>
        <w:spacing w:line="360" w:lineRule="auto"/>
        <w:ind w:left="560" w:hanging="560"/>
        <w:rPr>
          <w:rFonts w:ascii="宋体"/>
          <w:b/>
          <w:sz w:val="24"/>
          <w:szCs w:val="24"/>
          <w:lang w:val="zh-CN"/>
        </w:rPr>
      </w:pPr>
      <w:r>
        <w:rPr>
          <w:rFonts w:hint="eastAsia" w:ascii="宋体" w:hAnsi="宋体"/>
          <w:b/>
          <w:sz w:val="24"/>
          <w:szCs w:val="24"/>
          <w:lang w:val="zh-CN"/>
        </w:rPr>
        <w:t>中标后分包</w:t>
      </w:r>
    </w:p>
    <w:p>
      <w:pPr>
        <w:spacing w:line="360" w:lineRule="auto"/>
        <w:ind w:firstLine="480" w:firstLineChars="200"/>
        <w:rPr>
          <w:rFonts w:ascii="宋体"/>
          <w:sz w:val="24"/>
          <w:szCs w:val="24"/>
          <w:lang w:val="zh-CN"/>
        </w:rPr>
      </w:pPr>
      <w:r>
        <w:rPr>
          <w:rFonts w:hint="eastAsia" w:ascii="宋体" w:hAnsi="宋体"/>
          <w:sz w:val="24"/>
          <w:szCs w:val="24"/>
          <w:lang w:val="zh-CN"/>
        </w:rPr>
        <w:t>招标文件规定项目非主体、非关键性工作中标后可以分包的，投标人拟在中标后将项目的非主体、非关键性工作分包，应当在投标文件中载明具备相应资质条件的分包承担主体，分包承担主体不得再次分包。否则中标后不允许分包。</w:t>
      </w:r>
    </w:p>
    <w:p>
      <w:pPr>
        <w:numPr>
          <w:ilvl w:val="0"/>
          <w:numId w:val="5"/>
        </w:numPr>
        <w:spacing w:line="360" w:lineRule="auto"/>
        <w:ind w:left="560" w:hanging="560"/>
        <w:rPr>
          <w:rFonts w:ascii="宋体"/>
          <w:b/>
          <w:sz w:val="24"/>
          <w:szCs w:val="24"/>
          <w:lang w:val="zh-CN"/>
        </w:rPr>
      </w:pPr>
      <w:r>
        <w:rPr>
          <w:rFonts w:hint="eastAsia" w:ascii="宋体" w:hAnsi="宋体"/>
          <w:b/>
          <w:sz w:val="24"/>
          <w:szCs w:val="24"/>
          <w:lang w:val="zh-CN"/>
        </w:rPr>
        <w:t>联合体投标</w:t>
      </w:r>
    </w:p>
    <w:p>
      <w:pPr>
        <w:numPr>
          <w:ilvl w:val="0"/>
          <w:numId w:val="16"/>
        </w:numPr>
        <w:spacing w:line="360" w:lineRule="auto"/>
        <w:ind w:left="728" w:hanging="728"/>
        <w:rPr>
          <w:rFonts w:ascii="宋体"/>
          <w:sz w:val="24"/>
          <w:szCs w:val="24"/>
          <w:lang w:val="zh-CN"/>
        </w:rPr>
      </w:pPr>
      <w:r>
        <w:rPr>
          <w:rFonts w:hint="eastAsia" w:ascii="宋体" w:hAnsi="宋体"/>
          <w:sz w:val="24"/>
          <w:szCs w:val="24"/>
          <w:lang w:val="zh-CN"/>
        </w:rPr>
        <w:t>本项目不接受联合体投标。</w:t>
      </w:r>
    </w:p>
    <w:p>
      <w:pPr>
        <w:numPr>
          <w:ilvl w:val="0"/>
          <w:numId w:val="5"/>
        </w:numPr>
        <w:spacing w:line="360" w:lineRule="auto"/>
        <w:ind w:left="560" w:hanging="560"/>
        <w:rPr>
          <w:rFonts w:ascii="宋体"/>
          <w:b/>
          <w:sz w:val="24"/>
          <w:szCs w:val="24"/>
          <w:lang w:val="zh-CN"/>
        </w:rPr>
      </w:pPr>
      <w:r>
        <w:rPr>
          <w:rFonts w:hint="eastAsia" w:ascii="宋体" w:hAnsi="宋体"/>
          <w:b/>
          <w:sz w:val="24"/>
          <w:szCs w:val="24"/>
          <w:lang w:val="zh-CN"/>
        </w:rPr>
        <w:t>资格证明文件</w:t>
      </w:r>
    </w:p>
    <w:p>
      <w:pPr>
        <w:numPr>
          <w:ilvl w:val="0"/>
          <w:numId w:val="17"/>
        </w:numPr>
        <w:spacing w:line="360" w:lineRule="auto"/>
        <w:ind w:left="616" w:hanging="616"/>
        <w:rPr>
          <w:rFonts w:ascii="宋体"/>
          <w:sz w:val="24"/>
          <w:szCs w:val="24"/>
          <w:lang w:val="zh-CN"/>
        </w:rPr>
      </w:pPr>
      <w:r>
        <w:rPr>
          <w:rFonts w:hint="eastAsia" w:ascii="宋体" w:hAnsi="宋体"/>
          <w:sz w:val="24"/>
          <w:szCs w:val="24"/>
          <w:lang w:val="zh-CN"/>
        </w:rPr>
        <w:t>投标人应按本节及第四章“资格审查方法及标准”的要求，提供足以证明其符合项目“投标人资格要求”且中标后有能力履行合同的文件，并作为其投标文件的组成部分。</w:t>
      </w:r>
    </w:p>
    <w:p>
      <w:pPr>
        <w:numPr>
          <w:ilvl w:val="0"/>
          <w:numId w:val="17"/>
        </w:numPr>
        <w:spacing w:line="360" w:lineRule="auto"/>
        <w:ind w:left="616" w:hanging="616"/>
        <w:rPr>
          <w:rFonts w:ascii="宋体"/>
          <w:sz w:val="24"/>
          <w:szCs w:val="24"/>
          <w:lang w:val="zh-CN"/>
        </w:rPr>
      </w:pPr>
      <w:r>
        <w:rPr>
          <w:rFonts w:hint="eastAsia" w:ascii="宋体" w:hAnsi="宋体"/>
          <w:sz w:val="24"/>
          <w:szCs w:val="24"/>
          <w:lang w:val="zh-CN"/>
        </w:rPr>
        <w:t>资格证明文件应真实、合法，并就此承担相应法律责任。</w:t>
      </w:r>
    </w:p>
    <w:p>
      <w:pPr>
        <w:numPr>
          <w:ilvl w:val="0"/>
          <w:numId w:val="17"/>
        </w:numPr>
        <w:spacing w:line="360" w:lineRule="auto"/>
        <w:ind w:left="616" w:hanging="616"/>
        <w:rPr>
          <w:rFonts w:ascii="宋体"/>
          <w:sz w:val="24"/>
          <w:szCs w:val="24"/>
          <w:lang w:val="zh-CN"/>
        </w:rPr>
      </w:pPr>
      <w:r>
        <w:rPr>
          <w:rFonts w:hint="eastAsia" w:ascii="宋体" w:hAnsi="宋体"/>
          <w:color w:val="0000CC"/>
          <w:sz w:val="24"/>
          <w:szCs w:val="24"/>
          <w:lang w:val="zh-CN"/>
        </w:rPr>
        <w:t>资格证明文件正本应为清晰彩色影印件且加盖单位公章</w:t>
      </w:r>
      <w:r>
        <w:rPr>
          <w:rFonts w:hint="eastAsia" w:ascii="宋体" w:hAnsi="宋体"/>
          <w:sz w:val="24"/>
          <w:szCs w:val="24"/>
          <w:lang w:val="zh-CN"/>
        </w:rPr>
        <w:t>，否则按照</w:t>
      </w:r>
      <w:r>
        <w:rPr>
          <w:rFonts w:hint="eastAsia" w:ascii="宋体" w:hAnsi="宋体"/>
          <w:b/>
          <w:sz w:val="24"/>
          <w:szCs w:val="24"/>
          <w:lang w:val="zh-CN"/>
        </w:rPr>
        <w:t>无效投标处理</w:t>
      </w:r>
      <w:r>
        <w:rPr>
          <w:rFonts w:hint="eastAsia" w:ascii="宋体" w:hAnsi="宋体"/>
          <w:sz w:val="24"/>
          <w:szCs w:val="24"/>
          <w:lang w:val="zh-CN"/>
        </w:rPr>
        <w:t>。副本可为正本的复印件</w:t>
      </w:r>
      <w:r>
        <w:rPr>
          <w:rFonts w:ascii="宋体"/>
          <w:sz w:val="24"/>
          <w:szCs w:val="24"/>
          <w:lang w:val="zh-CN"/>
        </w:rPr>
        <w:t>,</w:t>
      </w:r>
      <w:r>
        <w:rPr>
          <w:rFonts w:hint="eastAsia" w:ascii="宋体" w:hAnsi="宋体"/>
          <w:sz w:val="24"/>
          <w:szCs w:val="24"/>
          <w:lang w:val="zh-CN"/>
        </w:rPr>
        <w:t>但应在副本封面加盖单位公章。</w:t>
      </w:r>
    </w:p>
    <w:p>
      <w:pPr>
        <w:numPr>
          <w:ilvl w:val="0"/>
          <w:numId w:val="17"/>
        </w:numPr>
        <w:spacing w:line="360" w:lineRule="auto"/>
        <w:ind w:left="616" w:hanging="616"/>
        <w:rPr>
          <w:rFonts w:ascii="宋体"/>
          <w:sz w:val="24"/>
          <w:szCs w:val="24"/>
          <w:lang w:val="zh-CN"/>
        </w:rPr>
      </w:pPr>
      <w:r>
        <w:rPr>
          <w:rFonts w:hint="eastAsia" w:ascii="宋体" w:hAnsi="宋体" w:cs="Helvetica"/>
          <w:kern w:val="0"/>
          <w:sz w:val="24"/>
          <w:szCs w:val="24"/>
          <w:lang w:val="zh-CN"/>
        </w:rPr>
        <w:t>资格证明文件内容详见</w:t>
      </w:r>
      <w:r>
        <w:rPr>
          <w:rFonts w:hint="eastAsia" w:ascii="宋体" w:hAnsi="宋体"/>
          <w:sz w:val="24"/>
          <w:szCs w:val="24"/>
          <w:lang w:val="zh-CN"/>
        </w:rPr>
        <w:t>第四章“资格审查方法及标准”中资格审查内容</w:t>
      </w:r>
      <w:r>
        <w:rPr>
          <w:rFonts w:hint="eastAsia" w:ascii="宋体" w:hAnsi="宋体" w:cs="Helvetica"/>
          <w:kern w:val="0"/>
          <w:sz w:val="24"/>
          <w:szCs w:val="24"/>
          <w:lang w:val="zh-CN"/>
        </w:rPr>
        <w:t>。</w:t>
      </w:r>
    </w:p>
    <w:p>
      <w:pPr>
        <w:numPr>
          <w:ilvl w:val="0"/>
          <w:numId w:val="5"/>
        </w:numPr>
        <w:spacing w:line="360" w:lineRule="auto"/>
        <w:ind w:left="560" w:hanging="560"/>
        <w:rPr>
          <w:rFonts w:ascii="宋体"/>
          <w:sz w:val="24"/>
          <w:szCs w:val="24"/>
          <w:lang w:val="zh-CN"/>
        </w:rPr>
      </w:pPr>
      <w:r>
        <w:rPr>
          <w:rFonts w:hint="eastAsia" w:ascii="宋体" w:hAnsi="宋体"/>
          <w:b/>
          <w:sz w:val="24"/>
          <w:szCs w:val="24"/>
          <w:lang w:val="zh-CN"/>
        </w:rPr>
        <w:t>投标保证金</w:t>
      </w:r>
      <w:r>
        <w:rPr>
          <w:rFonts w:hint="eastAsia" w:ascii="宋体" w:hAnsi="宋体"/>
          <w:sz w:val="24"/>
          <w:szCs w:val="24"/>
          <w:lang w:val="zh-CN"/>
        </w:rPr>
        <w:t>（交纳金额及账户信息详见本章“投标须知前附表”中规定）。（不收取）</w:t>
      </w:r>
    </w:p>
    <w:p>
      <w:pPr>
        <w:numPr>
          <w:ilvl w:val="0"/>
          <w:numId w:val="5"/>
        </w:numPr>
        <w:spacing w:line="360" w:lineRule="auto"/>
        <w:ind w:left="560" w:hanging="560"/>
        <w:rPr>
          <w:rFonts w:ascii="宋体"/>
          <w:b/>
          <w:sz w:val="24"/>
          <w:szCs w:val="24"/>
          <w:lang w:val="zh-CN"/>
        </w:rPr>
      </w:pPr>
      <w:r>
        <w:rPr>
          <w:rFonts w:hint="eastAsia" w:ascii="宋体" w:hAnsi="宋体"/>
          <w:b/>
          <w:sz w:val="24"/>
          <w:szCs w:val="24"/>
          <w:lang w:val="zh-CN"/>
        </w:rPr>
        <w:t>投标有效期</w:t>
      </w:r>
    </w:p>
    <w:p>
      <w:pPr>
        <w:numPr>
          <w:ilvl w:val="0"/>
          <w:numId w:val="18"/>
        </w:numPr>
        <w:spacing w:line="360" w:lineRule="auto"/>
        <w:ind w:left="616" w:hanging="616"/>
        <w:rPr>
          <w:rFonts w:ascii="宋体"/>
          <w:sz w:val="24"/>
          <w:szCs w:val="24"/>
          <w:lang w:val="zh-CN"/>
        </w:rPr>
      </w:pPr>
      <w:r>
        <w:rPr>
          <w:rFonts w:hint="eastAsia" w:ascii="宋体" w:hAnsi="宋体"/>
          <w:sz w:val="24"/>
          <w:szCs w:val="24"/>
          <w:lang w:val="zh-CN"/>
        </w:rPr>
        <w:t>投标有效期详见本章“投标须知前附表”中规定。</w:t>
      </w:r>
      <w:r>
        <w:rPr>
          <w:rFonts w:hint="eastAsia" w:ascii="宋体" w:hAnsi="宋体" w:cs="Helvetica"/>
          <w:kern w:val="0"/>
          <w:sz w:val="24"/>
          <w:szCs w:val="24"/>
          <w:lang w:val="zh-CN"/>
        </w:rPr>
        <w:t>投标文件中承诺的投标有效期应当不少于招标文件中载明的投标有效期。投标有效期不足的，</w:t>
      </w:r>
      <w:r>
        <w:rPr>
          <w:rFonts w:hint="eastAsia" w:ascii="宋体" w:hAnsi="宋体"/>
          <w:sz w:val="24"/>
          <w:szCs w:val="24"/>
          <w:lang w:val="zh-CN"/>
        </w:rPr>
        <w:t>按照</w:t>
      </w:r>
      <w:r>
        <w:rPr>
          <w:rFonts w:hint="eastAsia" w:ascii="宋体" w:hAnsi="宋体"/>
          <w:b/>
          <w:sz w:val="24"/>
          <w:szCs w:val="24"/>
          <w:lang w:val="zh-CN"/>
        </w:rPr>
        <w:t>无效投标处理。</w:t>
      </w:r>
    </w:p>
    <w:p>
      <w:pPr>
        <w:numPr>
          <w:ilvl w:val="0"/>
          <w:numId w:val="18"/>
        </w:numPr>
        <w:spacing w:line="360" w:lineRule="auto"/>
        <w:ind w:left="616" w:hanging="616"/>
        <w:rPr>
          <w:rFonts w:ascii="宋体"/>
          <w:sz w:val="24"/>
          <w:szCs w:val="24"/>
          <w:lang w:val="zh-CN"/>
        </w:rPr>
      </w:pPr>
      <w:r>
        <w:rPr>
          <w:rFonts w:hint="eastAsia" w:ascii="宋体" w:hAnsi="宋体"/>
          <w:sz w:val="24"/>
          <w:szCs w:val="24"/>
          <w:lang w:val="zh-CN"/>
        </w:rPr>
        <w:t>特殊情况下，在原投标有效期截止之前，</w:t>
      </w:r>
      <w:r>
        <w:rPr>
          <w:rFonts w:hint="eastAsia" w:ascii="宋体" w:hAnsi="宋体"/>
          <w:sz w:val="24"/>
          <w:szCs w:val="20"/>
          <w:lang w:val="zh-CN"/>
        </w:rPr>
        <w:t>采购代理机构</w:t>
      </w:r>
      <w:r>
        <w:rPr>
          <w:rFonts w:hint="eastAsia" w:ascii="宋体" w:hAnsi="宋体"/>
          <w:sz w:val="24"/>
          <w:szCs w:val="24"/>
          <w:lang w:val="zh-CN"/>
        </w:rPr>
        <w:t>或采购人可要求投标人延长投标有效期。这种要求与答复均应以书面形式提交。投标人可拒绝</w:t>
      </w:r>
      <w:r>
        <w:rPr>
          <w:rFonts w:hint="eastAsia" w:ascii="宋体" w:hAnsi="宋体"/>
          <w:sz w:val="24"/>
          <w:szCs w:val="20"/>
          <w:lang w:val="zh-CN"/>
        </w:rPr>
        <w:t>采购代理机构</w:t>
      </w:r>
      <w:r>
        <w:rPr>
          <w:rFonts w:hint="eastAsia" w:ascii="宋体" w:hAnsi="宋体"/>
          <w:sz w:val="24"/>
          <w:szCs w:val="24"/>
          <w:lang w:val="zh-CN"/>
        </w:rPr>
        <w:t>或采购人的这种要求，但其投标在原投标有效期期满后将不再有效。同意延长投标有效期的投标人不会被要求和允许修正其投标内容，而只会被要求相应地延长其投标保证金的有效期。在这种情况下，本章“投标保证金”的退还和不予退还的规定将在延长了的有效期内继续有效。</w:t>
      </w:r>
    </w:p>
    <w:p>
      <w:pPr>
        <w:numPr>
          <w:ilvl w:val="0"/>
          <w:numId w:val="5"/>
        </w:numPr>
        <w:spacing w:line="360" w:lineRule="auto"/>
        <w:ind w:left="560" w:hanging="560"/>
        <w:rPr>
          <w:rFonts w:ascii="宋体"/>
          <w:b/>
          <w:sz w:val="24"/>
          <w:szCs w:val="24"/>
          <w:lang w:val="zh-CN"/>
        </w:rPr>
      </w:pPr>
      <w:r>
        <w:rPr>
          <w:rFonts w:hint="eastAsia" w:ascii="宋体" w:hAnsi="宋体"/>
          <w:b/>
          <w:sz w:val="24"/>
          <w:szCs w:val="24"/>
          <w:lang w:val="zh-CN"/>
        </w:rPr>
        <w:t>投标文件的数量和签署</w:t>
      </w:r>
    </w:p>
    <w:p>
      <w:pPr>
        <w:numPr>
          <w:ilvl w:val="0"/>
          <w:numId w:val="19"/>
        </w:numPr>
        <w:spacing w:line="360" w:lineRule="auto"/>
        <w:ind w:left="616" w:hanging="616"/>
        <w:rPr>
          <w:rFonts w:ascii="宋体"/>
          <w:sz w:val="24"/>
          <w:szCs w:val="24"/>
          <w:lang w:val="zh-CN"/>
        </w:rPr>
      </w:pPr>
      <w:r>
        <w:rPr>
          <w:rFonts w:hint="eastAsia" w:ascii="宋体" w:hAnsi="宋体"/>
          <w:sz w:val="24"/>
          <w:szCs w:val="24"/>
          <w:lang w:val="zh-CN"/>
        </w:rPr>
        <w:t>投标人应按本章“投标须知前附表”中规定的份数要求编制投标文件，投标文件的副本可为正本的复印件</w:t>
      </w:r>
      <w:r>
        <w:rPr>
          <w:rFonts w:ascii="宋体"/>
          <w:sz w:val="24"/>
          <w:szCs w:val="24"/>
          <w:lang w:val="zh-CN"/>
        </w:rPr>
        <w:t>,</w:t>
      </w:r>
      <w:r>
        <w:rPr>
          <w:rFonts w:hint="eastAsia" w:ascii="宋体" w:hAnsi="宋体"/>
          <w:sz w:val="24"/>
          <w:szCs w:val="24"/>
          <w:lang w:val="zh-CN"/>
        </w:rPr>
        <w:t>但应在副本封面加盖单位公章。每套投标文件应清楚地标明“正本”、“副本”。副本与正本不一致的，以正本为准。</w:t>
      </w:r>
    </w:p>
    <w:p>
      <w:pPr>
        <w:numPr>
          <w:ilvl w:val="0"/>
          <w:numId w:val="19"/>
        </w:numPr>
        <w:spacing w:line="360" w:lineRule="auto"/>
        <w:ind w:left="616" w:hanging="616"/>
        <w:rPr>
          <w:rFonts w:ascii="宋体"/>
          <w:sz w:val="24"/>
          <w:szCs w:val="24"/>
          <w:lang w:val="zh-CN"/>
        </w:rPr>
      </w:pPr>
      <w:r>
        <w:rPr>
          <w:rFonts w:hint="eastAsia" w:ascii="宋体" w:hAnsi="宋体"/>
          <w:sz w:val="24"/>
          <w:szCs w:val="24"/>
          <w:lang w:val="zh-CN"/>
        </w:rPr>
        <w:t>投标文件的正本应打印或用不褪色墨水书写，应由法定代表人或经其正式授权的代表签字或盖章。由被授权代表签字或盖章的，应以书面形式出具授权证明，其《法定代表人授权书》应附在投标文件中。</w:t>
      </w:r>
    </w:p>
    <w:p>
      <w:pPr>
        <w:numPr>
          <w:ilvl w:val="0"/>
          <w:numId w:val="19"/>
        </w:numPr>
        <w:spacing w:line="360" w:lineRule="auto"/>
        <w:ind w:left="616" w:hanging="616"/>
        <w:rPr>
          <w:rFonts w:ascii="宋体"/>
          <w:sz w:val="24"/>
          <w:szCs w:val="24"/>
          <w:lang w:val="zh-CN"/>
        </w:rPr>
      </w:pPr>
      <w:r>
        <w:rPr>
          <w:rFonts w:hint="eastAsia" w:ascii="宋体" w:hAnsi="宋体"/>
          <w:sz w:val="24"/>
          <w:szCs w:val="24"/>
          <w:lang w:val="zh-CN"/>
        </w:rPr>
        <w:t>投标文件中任何涂改和增删，应由法定代表人或经其正式授权的代表在旁边签字后方为有效。</w:t>
      </w:r>
    </w:p>
    <w:p>
      <w:pPr>
        <w:numPr>
          <w:ilvl w:val="0"/>
          <w:numId w:val="19"/>
        </w:numPr>
        <w:spacing w:line="360" w:lineRule="auto"/>
        <w:ind w:left="616" w:hanging="616"/>
        <w:rPr>
          <w:rFonts w:ascii="宋体"/>
          <w:sz w:val="24"/>
          <w:szCs w:val="24"/>
          <w:lang w:val="zh-CN"/>
        </w:rPr>
      </w:pPr>
      <w:r>
        <w:rPr>
          <w:rFonts w:hint="eastAsia" w:ascii="宋体" w:hAnsi="宋体"/>
          <w:sz w:val="24"/>
          <w:szCs w:val="24"/>
          <w:lang w:val="zh-CN"/>
        </w:rPr>
        <w:t>招标文件中要求加盖公章及签字（签章）之处，投标文件正本中应按要求提供加盖公章及签字（签章）的原件，否则按照</w:t>
      </w:r>
      <w:r>
        <w:rPr>
          <w:rFonts w:hint="eastAsia" w:ascii="宋体" w:hAnsi="宋体"/>
          <w:b/>
          <w:sz w:val="24"/>
          <w:szCs w:val="24"/>
          <w:lang w:val="zh-CN"/>
        </w:rPr>
        <w:t>无效投标处理。</w:t>
      </w:r>
    </w:p>
    <w:p>
      <w:pPr>
        <w:numPr>
          <w:ilvl w:val="0"/>
          <w:numId w:val="5"/>
        </w:numPr>
        <w:spacing w:line="360" w:lineRule="auto"/>
        <w:ind w:left="560" w:hanging="560"/>
        <w:rPr>
          <w:rFonts w:ascii="宋体"/>
          <w:b/>
          <w:sz w:val="24"/>
          <w:szCs w:val="20"/>
          <w:lang w:val="zh-CN"/>
        </w:rPr>
      </w:pPr>
      <w:r>
        <w:rPr>
          <w:rFonts w:hint="eastAsia" w:ascii="宋体" w:hAnsi="宋体"/>
          <w:b/>
          <w:sz w:val="24"/>
          <w:szCs w:val="20"/>
          <w:lang w:val="zh-CN"/>
        </w:rPr>
        <w:t>投标文件的密封和标记</w:t>
      </w:r>
    </w:p>
    <w:p>
      <w:pPr>
        <w:numPr>
          <w:ilvl w:val="0"/>
          <w:numId w:val="20"/>
        </w:numPr>
        <w:spacing w:line="360" w:lineRule="auto"/>
        <w:ind w:left="616" w:hanging="616"/>
        <w:rPr>
          <w:rFonts w:ascii="宋体"/>
          <w:b/>
          <w:sz w:val="24"/>
          <w:szCs w:val="20"/>
          <w:lang w:val="zh-CN"/>
        </w:rPr>
      </w:pPr>
      <w:r>
        <w:rPr>
          <w:rFonts w:hint="eastAsia" w:ascii="宋体" w:hAnsi="宋体"/>
          <w:b/>
          <w:sz w:val="24"/>
          <w:szCs w:val="20"/>
          <w:lang w:val="zh-CN"/>
        </w:rPr>
        <w:t>投标人应将投标文件第一部分资格证明文件、第二部分商务文件、第三部分技术、服务文件合并一起装订，一起封装。</w:t>
      </w:r>
    </w:p>
    <w:p>
      <w:pPr>
        <w:numPr>
          <w:ilvl w:val="0"/>
          <w:numId w:val="20"/>
        </w:numPr>
        <w:spacing w:line="360" w:lineRule="auto"/>
        <w:ind w:left="616" w:hanging="616"/>
        <w:rPr>
          <w:rFonts w:ascii="宋体"/>
          <w:sz w:val="24"/>
          <w:szCs w:val="20"/>
          <w:lang w:val="zh-CN"/>
        </w:rPr>
      </w:pPr>
      <w:r>
        <w:rPr>
          <w:rFonts w:hint="eastAsia" w:ascii="宋体" w:hAnsi="宋体"/>
          <w:sz w:val="24"/>
          <w:szCs w:val="20"/>
          <w:lang w:val="zh-CN"/>
        </w:rPr>
        <w:t>投标人应将投标文件</w:t>
      </w:r>
      <w:r>
        <w:rPr>
          <w:rFonts w:hint="eastAsia" w:ascii="宋体" w:hAnsi="宋体"/>
          <w:b/>
          <w:sz w:val="24"/>
          <w:szCs w:val="20"/>
          <w:lang w:val="zh-CN"/>
        </w:rPr>
        <w:t>各部分正本和各部分副本</w:t>
      </w:r>
      <w:r>
        <w:rPr>
          <w:rFonts w:hint="eastAsia" w:ascii="宋体" w:hAnsi="宋体"/>
          <w:sz w:val="24"/>
          <w:szCs w:val="20"/>
          <w:lang w:val="zh-CN"/>
        </w:rPr>
        <w:t>分开密封装在单独的封包中，并在封包上标明“正本”、“副本”字样。</w:t>
      </w:r>
    </w:p>
    <w:p>
      <w:pPr>
        <w:numPr>
          <w:ilvl w:val="0"/>
          <w:numId w:val="20"/>
        </w:numPr>
        <w:spacing w:line="360" w:lineRule="auto"/>
        <w:ind w:left="616" w:hanging="616"/>
        <w:rPr>
          <w:rFonts w:ascii="宋体"/>
          <w:sz w:val="24"/>
          <w:szCs w:val="20"/>
          <w:lang w:val="zh-CN"/>
        </w:rPr>
      </w:pPr>
      <w:r>
        <w:rPr>
          <w:rFonts w:hint="eastAsia" w:ascii="宋体" w:hAnsi="宋体"/>
          <w:sz w:val="24"/>
          <w:szCs w:val="20"/>
          <w:lang w:val="zh-CN"/>
        </w:rPr>
        <w:t>如果未按要求加写密封、标记或存在错误，采购代理机构对其误投或提前启封概不负责。</w:t>
      </w:r>
    </w:p>
    <w:p>
      <w:pPr>
        <w:numPr>
          <w:ilvl w:val="0"/>
          <w:numId w:val="20"/>
        </w:numPr>
        <w:spacing w:line="360" w:lineRule="auto"/>
        <w:ind w:left="616" w:hanging="616"/>
        <w:rPr>
          <w:rFonts w:ascii="宋体"/>
          <w:b/>
          <w:sz w:val="24"/>
          <w:szCs w:val="20"/>
          <w:lang w:val="zh-CN"/>
        </w:rPr>
      </w:pPr>
      <w:r>
        <w:rPr>
          <w:rFonts w:hint="eastAsia" w:ascii="宋体" w:hAnsi="宋体"/>
          <w:sz w:val="24"/>
          <w:szCs w:val="20"/>
          <w:lang w:val="zh-CN"/>
        </w:rPr>
        <w:t>为方便开标时唱标，投标人应将《开标一览表》原件</w:t>
      </w:r>
      <w:r>
        <w:rPr>
          <w:rFonts w:hint="eastAsia" w:ascii="宋体" w:hAnsi="宋体"/>
          <w:spacing w:val="-6"/>
          <w:kern w:val="0"/>
          <w:sz w:val="24"/>
          <w:szCs w:val="20"/>
          <w:lang w:val="zh-CN"/>
        </w:rPr>
        <w:t>装入一个信封，单独密封提交</w:t>
      </w:r>
      <w:r>
        <w:rPr>
          <w:rFonts w:hint="eastAsia" w:ascii="宋体" w:hAnsi="宋体"/>
          <w:sz w:val="24"/>
          <w:szCs w:val="20"/>
          <w:lang w:val="zh-CN"/>
        </w:rPr>
        <w:t>，并在信封上标明“开标一览表”字样。未单独提交或单独提交的上述资料未按照招标文件规定的格式填写完整并签字、盖章的采购人</w:t>
      </w:r>
      <w:r>
        <w:rPr>
          <w:rFonts w:hint="eastAsia" w:ascii="宋体" w:hAnsi="宋体"/>
          <w:b/>
          <w:sz w:val="24"/>
          <w:szCs w:val="20"/>
          <w:lang w:val="zh-CN"/>
        </w:rPr>
        <w:t>拒绝</w:t>
      </w:r>
      <w:r>
        <w:rPr>
          <w:rFonts w:hint="eastAsia" w:ascii="宋体" w:hAnsi="宋体"/>
          <w:sz w:val="24"/>
          <w:szCs w:val="20"/>
          <w:lang w:val="zh-CN"/>
        </w:rPr>
        <w:t>其投标。</w:t>
      </w:r>
    </w:p>
    <w:p>
      <w:pPr>
        <w:numPr>
          <w:ilvl w:val="0"/>
          <w:numId w:val="20"/>
        </w:numPr>
        <w:spacing w:line="360" w:lineRule="auto"/>
        <w:ind w:left="616" w:hanging="616"/>
        <w:rPr>
          <w:rFonts w:ascii="宋体"/>
          <w:sz w:val="24"/>
          <w:szCs w:val="20"/>
          <w:lang w:val="zh-CN"/>
        </w:rPr>
      </w:pPr>
      <w:r>
        <w:rPr>
          <w:rFonts w:hint="eastAsia" w:ascii="宋体" w:hAnsi="宋体"/>
          <w:sz w:val="24"/>
          <w:szCs w:val="20"/>
          <w:lang w:val="zh-CN"/>
        </w:rPr>
        <w:t>“开标一览表”信封和投标文件的封包上应注明采购项目编号、项目名称、投标内容和有“在（招标文件中规定的开标日期和时间）之前不得启封”的字样，封口处加盖投标人公章。</w:t>
      </w:r>
    </w:p>
    <w:p>
      <w:pPr>
        <w:numPr>
          <w:ilvl w:val="0"/>
          <w:numId w:val="5"/>
        </w:numPr>
        <w:spacing w:line="360" w:lineRule="auto"/>
        <w:ind w:left="560" w:hanging="560"/>
        <w:rPr>
          <w:rFonts w:ascii="宋体"/>
          <w:b/>
          <w:sz w:val="24"/>
          <w:szCs w:val="20"/>
          <w:lang w:val="zh-CN"/>
        </w:rPr>
      </w:pPr>
      <w:r>
        <w:rPr>
          <w:rFonts w:hint="eastAsia" w:ascii="宋体" w:hAnsi="宋体"/>
          <w:b/>
          <w:sz w:val="24"/>
          <w:szCs w:val="20"/>
          <w:lang w:val="zh-CN"/>
        </w:rPr>
        <w:t>投标文件递交</w:t>
      </w:r>
    </w:p>
    <w:p>
      <w:pPr>
        <w:numPr>
          <w:ilvl w:val="0"/>
          <w:numId w:val="21"/>
        </w:numPr>
        <w:spacing w:line="360" w:lineRule="auto"/>
        <w:ind w:left="616" w:hanging="616"/>
        <w:rPr>
          <w:rFonts w:ascii="Helvetica" w:hAnsi="Helvetica" w:cs="Helvetica"/>
          <w:kern w:val="0"/>
          <w:sz w:val="24"/>
          <w:szCs w:val="24"/>
          <w:lang w:val="zh-CN"/>
        </w:rPr>
      </w:pPr>
      <w:r>
        <w:rPr>
          <w:rFonts w:hint="eastAsia" w:ascii="Helvetica" w:hAnsi="Helvetica" w:cs="Helvetica"/>
          <w:kern w:val="0"/>
          <w:sz w:val="24"/>
          <w:szCs w:val="24"/>
          <w:lang w:val="zh-CN"/>
        </w:rPr>
        <w:t>投标人应在不迟于投标邀请书中规定的投标截止日期和时间将投标文件密封递交至采购人（或代理公司）规定的投标地点。</w:t>
      </w:r>
    </w:p>
    <w:p>
      <w:pPr>
        <w:numPr>
          <w:ilvl w:val="0"/>
          <w:numId w:val="21"/>
        </w:numPr>
        <w:spacing w:line="360" w:lineRule="auto"/>
        <w:ind w:left="616" w:hanging="616"/>
        <w:rPr>
          <w:rFonts w:ascii="Helvetica" w:hAnsi="Helvetica" w:cs="Helvetica"/>
          <w:b/>
          <w:kern w:val="0"/>
          <w:sz w:val="24"/>
          <w:szCs w:val="24"/>
          <w:lang w:val="zh-CN"/>
        </w:rPr>
      </w:pPr>
      <w:r>
        <w:rPr>
          <w:rFonts w:hint="eastAsia" w:ascii="Helvetica" w:hAnsi="Helvetica" w:cs="Helvetica"/>
          <w:kern w:val="0"/>
          <w:sz w:val="24"/>
          <w:szCs w:val="24"/>
          <w:lang w:val="zh-CN"/>
        </w:rPr>
        <w:t>采购人（或代理公司）</w:t>
      </w:r>
      <w:r>
        <w:rPr>
          <w:rFonts w:hint="eastAsia" w:ascii="Helvetica" w:hAnsi="Helvetica" w:cs="Helvetica"/>
          <w:b/>
          <w:kern w:val="0"/>
          <w:sz w:val="24"/>
          <w:szCs w:val="24"/>
          <w:lang w:val="zh-CN"/>
        </w:rPr>
        <w:t>拒收逾期送达或者未按招标文件要求密封的投标文件。</w:t>
      </w:r>
    </w:p>
    <w:p>
      <w:pPr>
        <w:numPr>
          <w:ilvl w:val="0"/>
          <w:numId w:val="21"/>
        </w:numPr>
        <w:spacing w:line="360" w:lineRule="auto"/>
        <w:ind w:left="616" w:hanging="616"/>
        <w:rPr>
          <w:rFonts w:ascii="Helvetica" w:hAnsi="Helvetica" w:cs="Helvetica"/>
          <w:kern w:val="0"/>
          <w:sz w:val="24"/>
          <w:szCs w:val="24"/>
          <w:lang w:val="zh-CN"/>
        </w:rPr>
      </w:pPr>
      <w:r>
        <w:rPr>
          <w:rFonts w:hint="eastAsia" w:ascii="Helvetica" w:hAnsi="Helvetica" w:cs="Helvetica"/>
          <w:kern w:val="0"/>
          <w:sz w:val="24"/>
          <w:szCs w:val="24"/>
          <w:lang w:val="zh-CN"/>
        </w:rPr>
        <w:t>采购人（或代理公司）收到投标文件后，应当如实记载投标文件的送达时间和密封情况，签收保存，并向投标人出具签收回执。</w:t>
      </w:r>
    </w:p>
    <w:p>
      <w:pPr>
        <w:numPr>
          <w:ilvl w:val="0"/>
          <w:numId w:val="5"/>
        </w:numPr>
        <w:spacing w:line="360" w:lineRule="auto"/>
        <w:ind w:left="560" w:hanging="560"/>
        <w:rPr>
          <w:rFonts w:ascii="宋体"/>
          <w:b/>
          <w:sz w:val="24"/>
          <w:szCs w:val="20"/>
          <w:lang w:val="zh-CN"/>
        </w:rPr>
      </w:pPr>
      <w:r>
        <w:rPr>
          <w:rFonts w:hint="eastAsia" w:ascii="宋体" w:hAnsi="宋体"/>
          <w:b/>
          <w:sz w:val="24"/>
          <w:szCs w:val="20"/>
          <w:lang w:val="zh-CN"/>
        </w:rPr>
        <w:t>投标文件的修改和撤回</w:t>
      </w:r>
    </w:p>
    <w:p>
      <w:pPr>
        <w:numPr>
          <w:ilvl w:val="0"/>
          <w:numId w:val="22"/>
        </w:numPr>
        <w:spacing w:line="360" w:lineRule="auto"/>
        <w:ind w:left="616" w:hanging="616"/>
        <w:rPr>
          <w:rFonts w:ascii="宋体"/>
          <w:strike/>
          <w:sz w:val="24"/>
          <w:szCs w:val="20"/>
          <w:lang w:val="zh-CN"/>
        </w:rPr>
      </w:pPr>
      <w:r>
        <w:rPr>
          <w:rFonts w:hint="eastAsia" w:ascii="宋体" w:hAnsi="宋体"/>
          <w:sz w:val="24"/>
          <w:szCs w:val="20"/>
          <w:lang w:val="zh-CN"/>
        </w:rPr>
        <w:t>投标人在投标截止时间前，可以对所递交的投标文件进行补充、修改或者撤回，并书面通知采购代理机构。补充、修改的内容应当按照招标文件要求签署、盖章、密封后，作为投标文件的组成部分。</w:t>
      </w:r>
    </w:p>
    <w:p>
      <w:pPr>
        <w:numPr>
          <w:ilvl w:val="0"/>
          <w:numId w:val="22"/>
        </w:numPr>
        <w:spacing w:line="360" w:lineRule="auto"/>
        <w:ind w:left="616" w:hanging="616"/>
        <w:rPr>
          <w:rFonts w:ascii="宋体"/>
          <w:sz w:val="24"/>
          <w:szCs w:val="20"/>
          <w:lang w:val="zh-CN"/>
        </w:rPr>
      </w:pPr>
      <w:r>
        <w:rPr>
          <w:rFonts w:hint="eastAsia" w:ascii="宋体" w:hAnsi="宋体"/>
          <w:sz w:val="24"/>
          <w:szCs w:val="20"/>
          <w:lang w:val="zh-CN"/>
        </w:rPr>
        <w:t>投标有效期内投标人不得撤销其投标文件。</w:t>
      </w:r>
    </w:p>
    <w:p>
      <w:pPr>
        <w:numPr>
          <w:ilvl w:val="0"/>
          <w:numId w:val="22"/>
        </w:numPr>
        <w:spacing w:line="360" w:lineRule="auto"/>
        <w:ind w:left="616" w:hanging="616"/>
        <w:rPr>
          <w:rFonts w:ascii="宋体"/>
          <w:sz w:val="24"/>
          <w:szCs w:val="20"/>
          <w:lang w:val="zh-CN"/>
        </w:rPr>
      </w:pPr>
      <w:r>
        <w:rPr>
          <w:rFonts w:hint="eastAsia" w:ascii="宋体" w:hAnsi="宋体"/>
          <w:sz w:val="24"/>
          <w:szCs w:val="20"/>
          <w:lang w:val="zh-CN"/>
        </w:rPr>
        <w:t>投标人所递交的投标文件无论中标与否不予退还。</w:t>
      </w:r>
    </w:p>
    <w:p>
      <w:pPr>
        <w:pStyle w:val="4"/>
        <w:numPr>
          <w:ilvl w:val="0"/>
          <w:numId w:val="4"/>
        </w:numPr>
        <w:spacing w:before="40" w:after="40" w:line="360" w:lineRule="auto"/>
        <w:ind w:left="658" w:hanging="658"/>
        <w:jc w:val="left"/>
        <w:rPr>
          <w:rFonts w:ascii="宋体"/>
          <w:bCs w:val="0"/>
          <w:lang w:val="zh-CN"/>
        </w:rPr>
      </w:pPr>
      <w:bookmarkStart w:id="14" w:name="_Toc106268602"/>
      <w:bookmarkStart w:id="15" w:name="_Toc272247698"/>
      <w:bookmarkStart w:id="16" w:name="_Toc278891595"/>
      <w:bookmarkStart w:id="17" w:name="_Toc494561942"/>
      <w:r>
        <w:rPr>
          <w:rFonts w:hint="eastAsia" w:ascii="宋体" w:hAnsi="宋体"/>
          <w:bCs w:val="0"/>
          <w:lang w:val="zh-CN"/>
        </w:rPr>
        <w:t>开标与评标</w:t>
      </w:r>
      <w:bookmarkEnd w:id="14"/>
      <w:bookmarkEnd w:id="15"/>
      <w:bookmarkEnd w:id="16"/>
      <w:bookmarkEnd w:id="17"/>
    </w:p>
    <w:p>
      <w:pPr>
        <w:numPr>
          <w:ilvl w:val="0"/>
          <w:numId w:val="5"/>
        </w:numPr>
        <w:spacing w:line="360" w:lineRule="auto"/>
        <w:ind w:left="560" w:hanging="560"/>
        <w:rPr>
          <w:rFonts w:ascii="宋体"/>
          <w:b/>
          <w:sz w:val="24"/>
          <w:szCs w:val="20"/>
          <w:lang w:val="zh-CN"/>
        </w:rPr>
      </w:pPr>
      <w:r>
        <w:rPr>
          <w:rFonts w:hint="eastAsia" w:ascii="宋体" w:hAnsi="宋体"/>
          <w:b/>
          <w:sz w:val="24"/>
          <w:szCs w:val="20"/>
          <w:lang w:val="zh-CN"/>
        </w:rPr>
        <w:t>开标</w:t>
      </w:r>
    </w:p>
    <w:p>
      <w:pPr>
        <w:numPr>
          <w:ilvl w:val="0"/>
          <w:numId w:val="23"/>
        </w:numPr>
        <w:spacing w:line="360" w:lineRule="auto"/>
        <w:ind w:left="616" w:hanging="616"/>
        <w:rPr>
          <w:rFonts w:ascii="宋体"/>
          <w:b/>
          <w:sz w:val="24"/>
          <w:szCs w:val="20"/>
          <w:lang w:val="zh-CN"/>
        </w:rPr>
      </w:pPr>
      <w:r>
        <w:rPr>
          <w:rFonts w:hint="eastAsia" w:ascii="Helvetica" w:hAnsi="Helvetica" w:cs="Helvetica"/>
          <w:kern w:val="0"/>
          <w:sz w:val="24"/>
          <w:szCs w:val="24"/>
          <w:lang w:val="zh-CN"/>
        </w:rPr>
        <w:t>采购人（或代理公司）</w:t>
      </w:r>
      <w:r>
        <w:rPr>
          <w:rFonts w:hint="eastAsia" w:ascii="宋体" w:hAnsi="宋体"/>
          <w:sz w:val="24"/>
          <w:szCs w:val="20"/>
          <w:lang w:val="zh-CN"/>
        </w:rPr>
        <w:t>在第一章“投标邀请书”中约定的日期、时间和地点组织公开开标。开标时采购人和投标人代表（投标人法定代表人或其授权代表）参加</w:t>
      </w:r>
      <w:r>
        <w:rPr>
          <w:rFonts w:ascii="宋体"/>
          <w:sz w:val="24"/>
          <w:szCs w:val="20"/>
          <w:lang w:val="zh-CN"/>
        </w:rPr>
        <w:t>,</w:t>
      </w:r>
      <w:r>
        <w:rPr>
          <w:rFonts w:hint="eastAsia" w:ascii="宋体" w:hAnsi="宋体"/>
          <w:sz w:val="24"/>
          <w:szCs w:val="20"/>
          <w:lang w:val="zh-CN"/>
        </w:rPr>
        <w:t>参加开标的代表应签到以证明其出席</w:t>
      </w:r>
      <w:r>
        <w:rPr>
          <w:rFonts w:hint="eastAsia" w:ascii="宋体" w:hAnsi="宋体"/>
          <w:b/>
          <w:sz w:val="24"/>
          <w:szCs w:val="20"/>
          <w:lang w:val="zh-CN"/>
        </w:rPr>
        <w:t>，否则视同认可开标结果。</w:t>
      </w:r>
    </w:p>
    <w:p>
      <w:pPr>
        <w:numPr>
          <w:ilvl w:val="0"/>
          <w:numId w:val="23"/>
        </w:numPr>
        <w:spacing w:line="360" w:lineRule="auto"/>
        <w:ind w:left="616" w:hanging="616"/>
        <w:rPr>
          <w:rFonts w:ascii="宋体"/>
          <w:sz w:val="24"/>
          <w:szCs w:val="20"/>
          <w:lang w:val="zh-CN"/>
        </w:rPr>
      </w:pPr>
      <w:r>
        <w:rPr>
          <w:rFonts w:hint="eastAsia" w:ascii="宋体" w:hAnsi="宋体"/>
          <w:sz w:val="24"/>
          <w:szCs w:val="20"/>
          <w:lang w:val="zh-CN"/>
        </w:rPr>
        <w:t>投标人法定代表人或其授权代表应携带有效身份证明参加项目开标会，投标人未参加开标的，视同认可开标结果。截止</w:t>
      </w:r>
      <w:r>
        <w:rPr>
          <w:rFonts w:hint="eastAsia" w:ascii="宋体" w:hAnsi="宋体" w:cs="宋体"/>
          <w:kern w:val="0"/>
          <w:sz w:val="24"/>
          <w:szCs w:val="24"/>
        </w:rPr>
        <w:t>投标文件</w:t>
      </w:r>
      <w:r>
        <w:rPr>
          <w:rFonts w:hint="eastAsia" w:ascii="宋体" w:hAnsi="宋体"/>
          <w:sz w:val="24"/>
          <w:szCs w:val="20"/>
          <w:lang w:val="zh-CN"/>
        </w:rPr>
        <w:t>递交时间，投标人不足</w:t>
      </w:r>
      <w:r>
        <w:rPr>
          <w:rFonts w:ascii="宋体" w:hAnsi="宋体"/>
          <w:sz w:val="24"/>
          <w:szCs w:val="20"/>
          <w:lang w:val="zh-CN"/>
        </w:rPr>
        <w:t>3</w:t>
      </w:r>
      <w:r>
        <w:rPr>
          <w:rFonts w:hint="eastAsia" w:ascii="宋体" w:hAnsi="宋体"/>
          <w:sz w:val="24"/>
          <w:szCs w:val="20"/>
          <w:lang w:val="zh-CN"/>
        </w:rPr>
        <w:t>家的，不进行开标</w:t>
      </w:r>
      <w:r>
        <w:rPr>
          <w:rFonts w:hint="eastAsia" w:ascii="Helvetica" w:hAnsi="Helvetica" w:cs="Helvetica"/>
          <w:kern w:val="0"/>
          <w:sz w:val="24"/>
          <w:szCs w:val="24"/>
          <w:lang w:val="zh-CN"/>
        </w:rPr>
        <w:t>。</w:t>
      </w:r>
    </w:p>
    <w:p>
      <w:pPr>
        <w:numPr>
          <w:ilvl w:val="0"/>
          <w:numId w:val="23"/>
        </w:numPr>
        <w:spacing w:line="360" w:lineRule="auto"/>
        <w:ind w:left="616" w:hanging="616"/>
        <w:rPr>
          <w:rFonts w:ascii="宋体"/>
          <w:sz w:val="24"/>
          <w:szCs w:val="20"/>
          <w:lang w:val="zh-CN"/>
        </w:rPr>
      </w:pPr>
      <w:r>
        <w:rPr>
          <w:rFonts w:hint="eastAsia" w:ascii="宋体" w:hAnsi="宋体"/>
          <w:sz w:val="24"/>
          <w:szCs w:val="20"/>
          <w:lang w:val="zh-CN"/>
        </w:rPr>
        <w:t>开标时，由投标人或其推选的代表检查投标文件的密封情况，经确认无误后由</w:t>
      </w:r>
      <w:r>
        <w:rPr>
          <w:rFonts w:hint="eastAsia" w:ascii="Helvetica" w:hAnsi="Helvetica" w:cs="Helvetica"/>
          <w:kern w:val="0"/>
          <w:sz w:val="24"/>
          <w:szCs w:val="24"/>
          <w:lang w:val="zh-CN"/>
        </w:rPr>
        <w:t>采购人（或代理公司）</w:t>
      </w:r>
      <w:r>
        <w:rPr>
          <w:rFonts w:hint="eastAsia" w:ascii="宋体" w:hAnsi="宋体"/>
          <w:sz w:val="24"/>
          <w:szCs w:val="20"/>
          <w:lang w:val="zh-CN"/>
        </w:rPr>
        <w:t>工作人员当众拆封，宣布投标人名称、投标价格和招标文件规定的需要宣布的其他内容。</w:t>
      </w:r>
    </w:p>
    <w:p>
      <w:pPr>
        <w:numPr>
          <w:ilvl w:val="0"/>
          <w:numId w:val="23"/>
        </w:numPr>
        <w:spacing w:line="360" w:lineRule="auto"/>
        <w:ind w:left="616" w:hanging="616"/>
        <w:rPr>
          <w:rFonts w:ascii="宋体"/>
          <w:sz w:val="24"/>
          <w:szCs w:val="20"/>
          <w:lang w:val="zh-CN"/>
        </w:rPr>
      </w:pPr>
      <w:r>
        <w:rPr>
          <w:rFonts w:hint="eastAsia" w:ascii="Helvetica" w:hAnsi="Helvetica" w:cs="Helvetica"/>
          <w:kern w:val="0"/>
          <w:sz w:val="24"/>
          <w:szCs w:val="24"/>
          <w:lang w:val="zh-CN"/>
        </w:rPr>
        <w:t>采购人（或代理公司）</w:t>
      </w:r>
      <w:r>
        <w:rPr>
          <w:rFonts w:hint="eastAsia" w:ascii="宋体" w:hAnsi="宋体"/>
          <w:sz w:val="24"/>
          <w:szCs w:val="20"/>
          <w:lang w:val="zh-CN"/>
        </w:rPr>
        <w:t>负责对开标过程进行记录，由参加开标的各投标人代表和相关工作人员对开标记录进行签字确认。</w:t>
      </w:r>
    </w:p>
    <w:p>
      <w:pPr>
        <w:numPr>
          <w:ilvl w:val="0"/>
          <w:numId w:val="23"/>
        </w:numPr>
        <w:spacing w:line="360" w:lineRule="auto"/>
        <w:ind w:left="616" w:hanging="616"/>
        <w:rPr>
          <w:rFonts w:ascii="宋体"/>
          <w:sz w:val="24"/>
          <w:szCs w:val="20"/>
          <w:lang w:val="zh-CN"/>
        </w:rPr>
      </w:pPr>
      <w:r>
        <w:rPr>
          <w:rFonts w:hint="eastAsia" w:ascii="宋体" w:hAnsi="宋体"/>
          <w:sz w:val="24"/>
          <w:szCs w:val="20"/>
          <w:lang w:val="zh-CN"/>
        </w:rPr>
        <w:t>投标人代表对开标过程和开标记录有疑义，以及认为采购人、</w:t>
      </w:r>
      <w:r>
        <w:rPr>
          <w:rFonts w:hint="eastAsia" w:ascii="Helvetica" w:hAnsi="Helvetica" w:cs="Helvetica"/>
          <w:kern w:val="0"/>
          <w:sz w:val="24"/>
          <w:szCs w:val="24"/>
          <w:lang w:val="zh-CN"/>
        </w:rPr>
        <w:t>代理公司</w:t>
      </w:r>
      <w:r>
        <w:rPr>
          <w:rFonts w:hint="eastAsia" w:ascii="宋体" w:hAnsi="宋体"/>
          <w:sz w:val="24"/>
          <w:szCs w:val="20"/>
          <w:lang w:val="zh-CN"/>
        </w:rPr>
        <w:t>相关工作人员有需要回避的情形的，应当场提出询问或者回避申请。采购人、</w:t>
      </w:r>
      <w:r>
        <w:rPr>
          <w:rFonts w:hint="eastAsia" w:ascii="Helvetica" w:hAnsi="Helvetica" w:cs="Helvetica"/>
          <w:kern w:val="0"/>
          <w:sz w:val="24"/>
          <w:szCs w:val="24"/>
          <w:lang w:val="zh-CN"/>
        </w:rPr>
        <w:t>代理公司</w:t>
      </w:r>
      <w:r>
        <w:rPr>
          <w:rFonts w:hint="eastAsia" w:ascii="宋体" w:hAnsi="宋体"/>
          <w:sz w:val="24"/>
          <w:szCs w:val="20"/>
          <w:lang w:val="zh-CN"/>
        </w:rPr>
        <w:t>将及时处理投标人代表提出的询问或者回避申请。</w:t>
      </w:r>
    </w:p>
    <w:p>
      <w:pPr>
        <w:numPr>
          <w:ilvl w:val="0"/>
          <w:numId w:val="5"/>
        </w:numPr>
        <w:spacing w:line="360" w:lineRule="auto"/>
        <w:ind w:left="560" w:hanging="560"/>
        <w:rPr>
          <w:rFonts w:ascii="宋体"/>
          <w:b/>
          <w:sz w:val="24"/>
          <w:szCs w:val="20"/>
          <w:lang w:val="zh-CN"/>
        </w:rPr>
      </w:pPr>
      <w:r>
        <w:rPr>
          <w:rFonts w:hint="eastAsia" w:ascii="宋体" w:hAnsi="宋体"/>
          <w:b/>
          <w:sz w:val="24"/>
          <w:szCs w:val="20"/>
          <w:lang w:val="zh-CN"/>
        </w:rPr>
        <w:t>资格审查</w:t>
      </w:r>
    </w:p>
    <w:p>
      <w:pPr>
        <w:numPr>
          <w:ilvl w:val="0"/>
          <w:numId w:val="24"/>
        </w:numPr>
        <w:spacing w:line="360" w:lineRule="auto"/>
        <w:ind w:left="616" w:hanging="616"/>
        <w:rPr>
          <w:rFonts w:ascii="Helvetica" w:hAnsi="Helvetica" w:cs="Helvetica"/>
          <w:kern w:val="0"/>
          <w:sz w:val="24"/>
          <w:szCs w:val="24"/>
          <w:lang w:val="zh-CN"/>
        </w:rPr>
      </w:pPr>
      <w:r>
        <w:rPr>
          <w:rFonts w:hint="eastAsia" w:ascii="宋体" w:hAnsi="宋体"/>
          <w:bCs/>
          <w:sz w:val="24"/>
          <w:szCs w:val="20"/>
          <w:lang w:val="zh-CN"/>
        </w:rPr>
        <w:t>公开招标采购项目开标结束后，采购人和采购代理公司依据法律、法规及招标文件的规定，对投标人的资格进行审查，以确定投标人资格是否合格。</w:t>
      </w:r>
      <w:r>
        <w:rPr>
          <w:rFonts w:hint="eastAsia" w:ascii="Helvetica" w:hAnsi="Helvetica" w:cs="Helvetica"/>
          <w:kern w:val="0"/>
          <w:sz w:val="24"/>
          <w:szCs w:val="24"/>
          <w:lang w:val="zh-CN"/>
        </w:rPr>
        <w:t>合格投标人不足</w:t>
      </w:r>
      <w:r>
        <w:rPr>
          <w:rFonts w:ascii="宋体" w:hAnsi="宋体" w:cs="Helvetica"/>
          <w:kern w:val="0"/>
          <w:sz w:val="24"/>
          <w:szCs w:val="24"/>
          <w:lang w:val="zh-CN"/>
        </w:rPr>
        <w:t>3</w:t>
      </w:r>
      <w:r>
        <w:rPr>
          <w:rFonts w:hint="eastAsia" w:ascii="Helvetica" w:hAnsi="Helvetica" w:cs="Helvetica"/>
          <w:kern w:val="0"/>
          <w:sz w:val="24"/>
          <w:szCs w:val="24"/>
          <w:lang w:val="zh-CN"/>
        </w:rPr>
        <w:t>家的，不进行评标。</w:t>
      </w:r>
    </w:p>
    <w:p>
      <w:pPr>
        <w:numPr>
          <w:ilvl w:val="0"/>
          <w:numId w:val="24"/>
        </w:numPr>
        <w:spacing w:line="360" w:lineRule="auto"/>
        <w:ind w:left="616" w:hanging="616"/>
        <w:rPr>
          <w:rFonts w:ascii="宋体"/>
          <w:bCs/>
          <w:sz w:val="24"/>
          <w:szCs w:val="20"/>
          <w:lang w:val="zh-CN"/>
        </w:rPr>
      </w:pPr>
      <w:r>
        <w:rPr>
          <w:rFonts w:hint="eastAsia" w:ascii="宋体" w:hAnsi="宋体"/>
          <w:bCs/>
          <w:sz w:val="24"/>
          <w:szCs w:val="20"/>
          <w:lang w:val="zh-CN"/>
        </w:rPr>
        <w:t>资格审查详见第四章“资格审查方法及标准”。</w:t>
      </w:r>
    </w:p>
    <w:p>
      <w:pPr>
        <w:numPr>
          <w:ilvl w:val="0"/>
          <w:numId w:val="5"/>
        </w:numPr>
        <w:spacing w:line="360" w:lineRule="auto"/>
        <w:ind w:left="560" w:hanging="560"/>
        <w:rPr>
          <w:rFonts w:ascii="宋体"/>
          <w:b/>
          <w:sz w:val="24"/>
          <w:szCs w:val="20"/>
          <w:lang w:val="zh-CN"/>
        </w:rPr>
      </w:pPr>
      <w:r>
        <w:rPr>
          <w:rFonts w:hint="eastAsia" w:ascii="宋体" w:hAnsi="宋体"/>
          <w:b/>
          <w:sz w:val="24"/>
          <w:szCs w:val="20"/>
          <w:lang w:val="zh-CN"/>
        </w:rPr>
        <w:t>评标方法</w:t>
      </w:r>
    </w:p>
    <w:p>
      <w:pPr>
        <w:numPr>
          <w:ilvl w:val="0"/>
          <w:numId w:val="25"/>
        </w:numPr>
        <w:spacing w:line="360" w:lineRule="auto"/>
        <w:ind w:left="616" w:hanging="616"/>
        <w:rPr>
          <w:rFonts w:ascii="宋体"/>
          <w:bCs/>
          <w:sz w:val="24"/>
          <w:szCs w:val="20"/>
          <w:lang w:val="zh-CN"/>
        </w:rPr>
      </w:pPr>
      <w:r>
        <w:rPr>
          <w:rFonts w:hint="eastAsia" w:ascii="宋体" w:hAnsi="宋体"/>
          <w:bCs/>
          <w:sz w:val="24"/>
          <w:szCs w:val="20"/>
          <w:lang w:val="zh-CN"/>
        </w:rPr>
        <w:t>最低评标价法。最低评标价法是指投标文件满足招标文件全部实质性要求，且投标报价最低的投标人为中标候选人的评标方法。</w:t>
      </w:r>
    </w:p>
    <w:p>
      <w:pPr>
        <w:numPr>
          <w:ilvl w:val="0"/>
          <w:numId w:val="25"/>
        </w:numPr>
        <w:spacing w:line="360" w:lineRule="auto"/>
        <w:ind w:left="616" w:hanging="616"/>
        <w:rPr>
          <w:rFonts w:ascii="宋体"/>
          <w:bCs/>
          <w:sz w:val="24"/>
          <w:szCs w:val="20"/>
          <w:lang w:val="zh-CN"/>
        </w:rPr>
      </w:pPr>
      <w:r>
        <w:rPr>
          <w:rFonts w:hint="eastAsia" w:ascii="宋体" w:hAnsi="宋体"/>
          <w:bCs/>
          <w:sz w:val="24"/>
          <w:szCs w:val="20"/>
          <w:lang w:val="zh-CN"/>
        </w:rPr>
        <w:t>综合评分法。综合评分法是指投标文件满足招标文件全部实质性要求，且按照评审因素的量化指标评审得分最高的投标人为中标候选人的评标方法。</w:t>
      </w:r>
    </w:p>
    <w:p>
      <w:pPr>
        <w:numPr>
          <w:ilvl w:val="0"/>
          <w:numId w:val="25"/>
        </w:numPr>
        <w:spacing w:line="360" w:lineRule="auto"/>
        <w:ind w:left="616" w:hanging="616"/>
        <w:rPr>
          <w:rFonts w:ascii="宋体"/>
          <w:bCs/>
          <w:sz w:val="24"/>
          <w:szCs w:val="20"/>
          <w:lang w:val="zh-CN"/>
        </w:rPr>
      </w:pPr>
      <w:r>
        <w:rPr>
          <w:rFonts w:hint="eastAsia" w:ascii="Helvetica" w:hAnsi="Helvetica" w:cs="Helvetica"/>
          <w:kern w:val="0"/>
          <w:sz w:val="24"/>
          <w:szCs w:val="24"/>
          <w:lang w:val="zh-CN"/>
        </w:rPr>
        <w:t>评标方法详见第五章“评标方法、程序及标准”</w:t>
      </w:r>
      <w:r>
        <w:rPr>
          <w:rFonts w:hint="eastAsia" w:ascii="宋体" w:hAnsi="宋体"/>
          <w:bCs/>
          <w:sz w:val="24"/>
          <w:szCs w:val="20"/>
          <w:lang w:val="zh-CN"/>
        </w:rPr>
        <w:t>。</w:t>
      </w:r>
    </w:p>
    <w:p>
      <w:pPr>
        <w:numPr>
          <w:ilvl w:val="0"/>
          <w:numId w:val="5"/>
        </w:numPr>
        <w:spacing w:line="360" w:lineRule="auto"/>
        <w:ind w:left="560" w:hanging="560"/>
        <w:rPr>
          <w:rFonts w:ascii="宋体"/>
          <w:b/>
          <w:sz w:val="24"/>
          <w:szCs w:val="20"/>
          <w:lang w:val="zh-CN"/>
        </w:rPr>
      </w:pPr>
      <w:r>
        <w:rPr>
          <w:rFonts w:hint="eastAsia" w:ascii="宋体" w:hAnsi="宋体"/>
          <w:b/>
          <w:sz w:val="24"/>
          <w:szCs w:val="20"/>
          <w:lang w:val="zh-CN"/>
        </w:rPr>
        <w:t>评标委员会的组成</w:t>
      </w:r>
    </w:p>
    <w:p>
      <w:pPr>
        <w:numPr>
          <w:ilvl w:val="0"/>
          <w:numId w:val="26"/>
        </w:numPr>
        <w:spacing w:line="360" w:lineRule="auto"/>
        <w:ind w:left="616" w:hanging="616"/>
        <w:rPr>
          <w:rFonts w:ascii="宋体"/>
          <w:sz w:val="24"/>
          <w:szCs w:val="20"/>
          <w:lang w:val="zh-CN"/>
        </w:rPr>
      </w:pPr>
      <w:r>
        <w:rPr>
          <w:rFonts w:hint="eastAsia" w:ascii="宋体" w:hAnsi="宋体" w:cs="Helvetica"/>
          <w:kern w:val="0"/>
          <w:sz w:val="24"/>
          <w:szCs w:val="24"/>
          <w:lang w:val="zh-CN"/>
        </w:rPr>
        <w:t>评标委员会由采购人代表和评审专家组成，成员人数应当为</w:t>
      </w:r>
      <w:r>
        <w:rPr>
          <w:rFonts w:ascii="宋体" w:hAnsi="宋体" w:cs="Helvetica"/>
          <w:kern w:val="0"/>
          <w:sz w:val="24"/>
          <w:szCs w:val="24"/>
          <w:lang w:val="zh-CN"/>
        </w:rPr>
        <w:t>5</w:t>
      </w:r>
      <w:r>
        <w:rPr>
          <w:rFonts w:hint="eastAsia" w:ascii="宋体" w:hAnsi="宋体" w:cs="Helvetica"/>
          <w:kern w:val="0"/>
          <w:sz w:val="24"/>
          <w:szCs w:val="24"/>
          <w:lang w:val="zh-CN"/>
        </w:rPr>
        <w:t>人及以上单数，其中评审专家不得少于成员总数的三分之二；</w:t>
      </w:r>
      <w:r>
        <w:rPr>
          <w:rFonts w:hint="eastAsia" w:ascii="宋体" w:hAnsi="宋体"/>
          <w:sz w:val="24"/>
          <w:szCs w:val="20"/>
          <w:lang w:val="zh-CN"/>
        </w:rPr>
        <w:t>采购预算金额在</w:t>
      </w:r>
      <w:r>
        <w:rPr>
          <w:rFonts w:ascii="宋体" w:hAnsi="宋体"/>
          <w:sz w:val="24"/>
          <w:szCs w:val="20"/>
          <w:lang w:val="zh-CN"/>
        </w:rPr>
        <w:t>1000</w:t>
      </w:r>
      <w:r>
        <w:rPr>
          <w:rFonts w:hint="eastAsia" w:ascii="宋体" w:hAnsi="宋体"/>
          <w:sz w:val="24"/>
          <w:szCs w:val="20"/>
          <w:lang w:val="zh-CN"/>
        </w:rPr>
        <w:t>万元及以上、技术复杂或社会影响较大的项目，评标委员会成员人数应当为</w:t>
      </w:r>
      <w:r>
        <w:rPr>
          <w:rFonts w:ascii="宋体" w:hAnsi="宋体"/>
          <w:sz w:val="24"/>
          <w:szCs w:val="20"/>
          <w:lang w:val="zh-CN"/>
        </w:rPr>
        <w:t>7</w:t>
      </w:r>
      <w:r>
        <w:rPr>
          <w:rFonts w:hint="eastAsia" w:ascii="宋体" w:hAnsi="宋体"/>
          <w:sz w:val="24"/>
          <w:szCs w:val="20"/>
          <w:lang w:val="zh-CN"/>
        </w:rPr>
        <w:t>人及以上单数。</w:t>
      </w:r>
    </w:p>
    <w:p>
      <w:pPr>
        <w:numPr>
          <w:ilvl w:val="0"/>
          <w:numId w:val="26"/>
        </w:numPr>
        <w:spacing w:line="360" w:lineRule="auto"/>
        <w:ind w:left="616" w:hanging="616"/>
        <w:rPr>
          <w:rFonts w:ascii="宋体"/>
          <w:b/>
          <w:sz w:val="24"/>
          <w:szCs w:val="20"/>
          <w:lang w:val="zh-CN"/>
        </w:rPr>
      </w:pPr>
      <w:r>
        <w:rPr>
          <w:rFonts w:hint="eastAsia" w:ascii="宋体" w:hAnsi="宋体"/>
          <w:b/>
          <w:sz w:val="24"/>
          <w:szCs w:val="20"/>
          <w:lang w:val="zh-CN"/>
        </w:rPr>
        <w:t>评标委员会成员依法从专家库中随机抽取。对技术复杂、专业性强的采购项目，通过随机方式难以确定合适评审专家的，经主管预算单位同意，采购人可以自行选定相应专业领域的评审专家。</w:t>
      </w:r>
    </w:p>
    <w:p>
      <w:pPr>
        <w:numPr>
          <w:ilvl w:val="0"/>
          <w:numId w:val="5"/>
        </w:numPr>
        <w:spacing w:line="360" w:lineRule="auto"/>
        <w:ind w:left="560" w:hanging="560"/>
        <w:rPr>
          <w:rFonts w:ascii="宋体"/>
          <w:b/>
          <w:sz w:val="24"/>
          <w:szCs w:val="20"/>
          <w:lang w:val="zh-CN"/>
        </w:rPr>
      </w:pPr>
      <w:r>
        <w:rPr>
          <w:rFonts w:hint="eastAsia" w:ascii="宋体" w:hAnsi="宋体"/>
          <w:b/>
          <w:sz w:val="24"/>
          <w:szCs w:val="20"/>
          <w:lang w:val="zh-CN"/>
        </w:rPr>
        <w:t>评标程序</w:t>
      </w:r>
    </w:p>
    <w:p>
      <w:pPr>
        <w:numPr>
          <w:ilvl w:val="0"/>
          <w:numId w:val="27"/>
        </w:numPr>
        <w:spacing w:line="360" w:lineRule="auto"/>
        <w:ind w:left="616" w:hanging="616"/>
        <w:rPr>
          <w:rFonts w:ascii="宋体"/>
          <w:sz w:val="24"/>
          <w:szCs w:val="20"/>
          <w:lang w:val="zh-CN"/>
        </w:rPr>
      </w:pPr>
      <w:r>
        <w:rPr>
          <w:rFonts w:hint="eastAsia" w:ascii="Helvetica" w:hAnsi="Helvetica" w:cs="Helvetica"/>
          <w:kern w:val="0"/>
          <w:sz w:val="24"/>
          <w:szCs w:val="24"/>
          <w:lang w:val="zh-CN"/>
        </w:rPr>
        <w:t>评标委员会负责具体评标事务，并独立履行下列职责：</w:t>
      </w:r>
    </w:p>
    <w:p>
      <w:pPr>
        <w:numPr>
          <w:ilvl w:val="0"/>
          <w:numId w:val="28"/>
        </w:numPr>
        <w:spacing w:line="360" w:lineRule="auto"/>
        <w:ind w:left="980" w:hanging="854"/>
        <w:rPr>
          <w:rFonts w:ascii="宋体"/>
          <w:sz w:val="24"/>
          <w:szCs w:val="20"/>
          <w:lang w:val="zh-CN"/>
        </w:rPr>
      </w:pPr>
      <w:r>
        <w:rPr>
          <w:rFonts w:hint="eastAsia" w:ascii="宋体" w:hAnsi="宋体"/>
          <w:sz w:val="24"/>
          <w:szCs w:val="20"/>
          <w:lang w:val="zh-CN"/>
        </w:rPr>
        <w:t>审查、评价投标文件是否符合招标文件的商务、技术等实质性要求；</w:t>
      </w:r>
    </w:p>
    <w:p>
      <w:pPr>
        <w:numPr>
          <w:ilvl w:val="0"/>
          <w:numId w:val="28"/>
        </w:numPr>
        <w:spacing w:line="360" w:lineRule="auto"/>
        <w:ind w:left="980" w:hanging="854"/>
        <w:rPr>
          <w:rFonts w:ascii="宋体"/>
          <w:sz w:val="24"/>
          <w:szCs w:val="20"/>
          <w:lang w:val="zh-CN"/>
        </w:rPr>
      </w:pPr>
      <w:r>
        <w:rPr>
          <w:rFonts w:hint="eastAsia" w:ascii="宋体" w:hAnsi="宋体"/>
          <w:sz w:val="24"/>
          <w:szCs w:val="20"/>
          <w:lang w:val="zh-CN"/>
        </w:rPr>
        <w:t>要求投标人对投标文件有关事项作出澄清或者说明；</w:t>
      </w:r>
    </w:p>
    <w:p>
      <w:pPr>
        <w:numPr>
          <w:ilvl w:val="0"/>
          <w:numId w:val="28"/>
        </w:numPr>
        <w:spacing w:line="360" w:lineRule="auto"/>
        <w:ind w:left="980" w:hanging="854"/>
        <w:rPr>
          <w:rFonts w:ascii="宋体"/>
          <w:sz w:val="24"/>
          <w:szCs w:val="20"/>
          <w:lang w:val="zh-CN"/>
        </w:rPr>
      </w:pPr>
      <w:r>
        <w:rPr>
          <w:rFonts w:hint="eastAsia" w:ascii="宋体" w:hAnsi="宋体"/>
          <w:sz w:val="24"/>
          <w:szCs w:val="20"/>
          <w:lang w:val="zh-CN"/>
        </w:rPr>
        <w:t>对投标文件进行综合比较和评价；</w:t>
      </w:r>
    </w:p>
    <w:p>
      <w:pPr>
        <w:numPr>
          <w:ilvl w:val="0"/>
          <w:numId w:val="28"/>
        </w:numPr>
        <w:spacing w:line="360" w:lineRule="auto"/>
        <w:ind w:left="980" w:hanging="854"/>
        <w:rPr>
          <w:rFonts w:ascii="宋体"/>
          <w:sz w:val="24"/>
          <w:szCs w:val="20"/>
          <w:lang w:val="zh-CN"/>
        </w:rPr>
      </w:pPr>
      <w:r>
        <w:rPr>
          <w:rFonts w:hint="eastAsia" w:ascii="宋体" w:hAnsi="宋体"/>
          <w:sz w:val="24"/>
          <w:szCs w:val="20"/>
          <w:lang w:val="zh-CN"/>
        </w:rPr>
        <w:t>确定中标候选人名单或中标人；</w:t>
      </w:r>
    </w:p>
    <w:p>
      <w:pPr>
        <w:numPr>
          <w:ilvl w:val="0"/>
          <w:numId w:val="28"/>
        </w:numPr>
        <w:spacing w:line="360" w:lineRule="auto"/>
        <w:ind w:left="980" w:hanging="854"/>
        <w:rPr>
          <w:rFonts w:ascii="宋体"/>
          <w:sz w:val="24"/>
          <w:szCs w:val="20"/>
          <w:lang w:val="zh-CN"/>
        </w:rPr>
      </w:pPr>
      <w:r>
        <w:rPr>
          <w:rFonts w:hint="eastAsia" w:ascii="宋体" w:hAnsi="宋体"/>
          <w:sz w:val="24"/>
          <w:szCs w:val="20"/>
          <w:lang w:val="zh-CN"/>
        </w:rPr>
        <w:t>向采购人、集中采购机构或者有关部门报告评标中发现的违法行为。</w:t>
      </w:r>
    </w:p>
    <w:p>
      <w:pPr>
        <w:numPr>
          <w:ilvl w:val="0"/>
          <w:numId w:val="27"/>
        </w:numPr>
        <w:spacing w:line="360" w:lineRule="auto"/>
        <w:ind w:left="616" w:hanging="616"/>
        <w:rPr>
          <w:rFonts w:ascii="Helvetica" w:hAnsi="Helvetica" w:cs="Helvetica"/>
          <w:kern w:val="0"/>
          <w:sz w:val="24"/>
          <w:szCs w:val="24"/>
          <w:lang w:val="zh-CN"/>
        </w:rPr>
      </w:pPr>
      <w:r>
        <w:rPr>
          <w:rFonts w:hint="eastAsia" w:ascii="Helvetica" w:hAnsi="Helvetica" w:cs="Helvetica"/>
          <w:kern w:val="0"/>
          <w:sz w:val="24"/>
          <w:szCs w:val="24"/>
          <w:lang w:val="zh-CN"/>
        </w:rPr>
        <w:t>评标程序详见第五章“评标方法、程序及标准”。</w:t>
      </w:r>
    </w:p>
    <w:p>
      <w:pPr>
        <w:pStyle w:val="4"/>
        <w:numPr>
          <w:ilvl w:val="0"/>
          <w:numId w:val="4"/>
        </w:numPr>
        <w:spacing w:before="40" w:after="40" w:line="360" w:lineRule="auto"/>
        <w:ind w:left="658" w:hanging="658"/>
        <w:jc w:val="left"/>
        <w:rPr>
          <w:rFonts w:ascii="宋体"/>
          <w:bCs w:val="0"/>
          <w:lang w:val="zh-CN"/>
        </w:rPr>
      </w:pPr>
      <w:bookmarkStart w:id="18" w:name="_Toc494561943"/>
      <w:bookmarkStart w:id="19" w:name="_Toc106268603"/>
      <w:r>
        <w:rPr>
          <w:rFonts w:hint="eastAsia" w:ascii="宋体" w:hAnsi="宋体"/>
          <w:bCs w:val="0"/>
          <w:lang w:val="zh-CN"/>
        </w:rPr>
        <w:t>投标人信用信息及查询</w:t>
      </w:r>
      <w:bookmarkEnd w:id="18"/>
      <w:bookmarkEnd w:id="19"/>
    </w:p>
    <w:p>
      <w:pPr>
        <w:numPr>
          <w:ilvl w:val="0"/>
          <w:numId w:val="5"/>
        </w:numPr>
        <w:spacing w:line="360" w:lineRule="auto"/>
        <w:ind w:left="560" w:hanging="560"/>
        <w:rPr>
          <w:rFonts w:ascii="宋体"/>
          <w:b/>
          <w:sz w:val="24"/>
          <w:szCs w:val="20"/>
          <w:lang w:val="zh-CN"/>
        </w:rPr>
      </w:pPr>
      <w:r>
        <w:rPr>
          <w:rFonts w:hint="eastAsia" w:ascii="宋体" w:hAnsi="宋体"/>
          <w:b/>
          <w:sz w:val="24"/>
          <w:szCs w:val="20"/>
          <w:lang w:val="zh-CN"/>
        </w:rPr>
        <w:t>信用信息查询渠道及使用规则</w:t>
      </w:r>
    </w:p>
    <w:p>
      <w:pPr>
        <w:numPr>
          <w:ilvl w:val="0"/>
          <w:numId w:val="29"/>
        </w:numPr>
        <w:spacing w:line="360" w:lineRule="auto"/>
        <w:ind w:left="616" w:hanging="616"/>
        <w:rPr>
          <w:rFonts w:ascii="宋体" w:cs="Helvetica"/>
          <w:kern w:val="0"/>
          <w:sz w:val="24"/>
          <w:szCs w:val="24"/>
          <w:lang w:val="zh-CN"/>
        </w:rPr>
      </w:pPr>
      <w:r>
        <w:rPr>
          <w:rFonts w:hint="eastAsia" w:ascii="宋体" w:hAnsi="宋体" w:cs="Helvetica"/>
          <w:kern w:val="0"/>
          <w:sz w:val="24"/>
          <w:szCs w:val="24"/>
          <w:lang w:val="zh-CN"/>
        </w:rPr>
        <w:t>按照《关于在活动中查询及使用信用记录有关问题的通知》的要求，参与的投标人，信用记录的查询渠道为“信用中国”网站</w:t>
      </w:r>
      <w:r>
        <w:rPr>
          <w:rFonts w:ascii="宋体" w:hAnsi="宋体" w:cs="Helvetica"/>
          <w:kern w:val="0"/>
          <w:sz w:val="24"/>
          <w:szCs w:val="24"/>
          <w:lang w:val="zh-CN"/>
        </w:rPr>
        <w:t>(www.creditchina.gov.cn)</w:t>
      </w:r>
      <w:r>
        <w:rPr>
          <w:rFonts w:hint="eastAsia" w:ascii="宋体" w:hAnsi="宋体" w:cs="Helvetica"/>
          <w:kern w:val="0"/>
          <w:sz w:val="24"/>
          <w:szCs w:val="24"/>
          <w:lang w:val="zh-CN"/>
        </w:rPr>
        <w:t>、中国网</w:t>
      </w:r>
      <w:r>
        <w:rPr>
          <w:rFonts w:ascii="宋体" w:hAnsi="宋体" w:cs="Helvetica"/>
          <w:kern w:val="0"/>
          <w:sz w:val="24"/>
          <w:szCs w:val="24"/>
          <w:lang w:val="zh-CN"/>
        </w:rPr>
        <w:t>(</w:t>
      </w:r>
      <w:r>
        <w:fldChar w:fldCharType="begin"/>
      </w:r>
      <w:r>
        <w:instrText xml:space="preserve"> HYPERLINK "http://www.ccgp.gov.cn" </w:instrText>
      </w:r>
      <w:r>
        <w:fldChar w:fldCharType="separate"/>
      </w:r>
      <w:r>
        <w:rPr>
          <w:rFonts w:ascii="宋体" w:hAnsi="宋体" w:cs="Helvetica"/>
          <w:kern w:val="0"/>
          <w:sz w:val="24"/>
          <w:szCs w:val="24"/>
          <w:lang w:val="zh-CN"/>
        </w:rPr>
        <w:t>www.ccgp.gov.cn</w:t>
      </w:r>
      <w:r>
        <w:rPr>
          <w:rFonts w:ascii="宋体" w:hAnsi="宋体" w:cs="Helvetica"/>
          <w:kern w:val="0"/>
          <w:sz w:val="24"/>
          <w:szCs w:val="24"/>
          <w:lang w:val="zh-CN"/>
        </w:rPr>
        <w:fldChar w:fldCharType="end"/>
      </w:r>
      <w:r>
        <w:rPr>
          <w:rFonts w:ascii="宋体" w:hAnsi="宋体" w:cs="Helvetica"/>
          <w:kern w:val="0"/>
          <w:sz w:val="24"/>
          <w:szCs w:val="24"/>
          <w:lang w:val="zh-CN"/>
        </w:rPr>
        <w:t>)</w:t>
      </w:r>
      <w:r>
        <w:rPr>
          <w:rFonts w:hint="eastAsia" w:ascii="宋体" w:hAnsi="宋体" w:cs="Helvetica"/>
          <w:kern w:val="0"/>
          <w:sz w:val="24"/>
          <w:szCs w:val="24"/>
          <w:lang w:val="zh-CN"/>
        </w:rPr>
        <w:t>。</w:t>
      </w:r>
    </w:p>
    <w:p>
      <w:pPr>
        <w:numPr>
          <w:ilvl w:val="0"/>
          <w:numId w:val="29"/>
        </w:numPr>
        <w:spacing w:line="360" w:lineRule="auto"/>
        <w:ind w:left="616" w:hanging="616"/>
        <w:rPr>
          <w:rFonts w:ascii="宋体" w:cs="Helvetica"/>
          <w:kern w:val="0"/>
          <w:sz w:val="24"/>
          <w:szCs w:val="24"/>
          <w:lang w:val="zh-CN"/>
        </w:rPr>
      </w:pPr>
      <w:r>
        <w:rPr>
          <w:rFonts w:hint="eastAsia" w:ascii="宋体" w:hAnsi="宋体" w:cs="Helvetica"/>
          <w:kern w:val="0"/>
          <w:sz w:val="24"/>
          <w:szCs w:val="24"/>
          <w:lang w:val="zh-CN"/>
        </w:rPr>
        <w:t>列入失信被执行人、重大税收违法案件当事人名单、严重违法失信行为记录名单的供应商，采购人、采购代理机构</w:t>
      </w:r>
      <w:r>
        <w:rPr>
          <w:rFonts w:hint="eastAsia" w:ascii="宋体" w:hAnsi="宋体" w:cs="Helvetica"/>
          <w:b/>
          <w:kern w:val="0"/>
          <w:sz w:val="24"/>
          <w:szCs w:val="24"/>
          <w:lang w:val="zh-CN"/>
        </w:rPr>
        <w:t>拒绝</w:t>
      </w:r>
      <w:r>
        <w:rPr>
          <w:rFonts w:hint="eastAsia" w:ascii="宋体" w:hAnsi="宋体" w:cs="Helvetica"/>
          <w:kern w:val="0"/>
          <w:sz w:val="24"/>
          <w:szCs w:val="24"/>
          <w:lang w:val="zh-CN"/>
        </w:rPr>
        <w:t>其参与活动。</w:t>
      </w:r>
    </w:p>
    <w:p>
      <w:pPr>
        <w:numPr>
          <w:ilvl w:val="0"/>
          <w:numId w:val="29"/>
        </w:numPr>
        <w:spacing w:line="360" w:lineRule="auto"/>
        <w:ind w:left="616" w:hanging="616"/>
        <w:rPr>
          <w:rFonts w:ascii="宋体" w:cs="Helvetica"/>
          <w:kern w:val="0"/>
          <w:sz w:val="24"/>
          <w:szCs w:val="24"/>
          <w:lang w:val="zh-CN"/>
        </w:rPr>
      </w:pPr>
      <w:r>
        <w:rPr>
          <w:rFonts w:hint="eastAsia" w:ascii="宋体" w:hAnsi="宋体" w:cs="Helvetica"/>
          <w:kern w:val="0"/>
          <w:sz w:val="24"/>
          <w:szCs w:val="24"/>
          <w:lang w:val="zh-CN"/>
        </w:rPr>
        <w:t>投标人的信用记录，最终以评标时的“信用中国”网站发布的信息为准。</w:t>
      </w:r>
    </w:p>
    <w:p>
      <w:pPr>
        <w:numPr>
          <w:ilvl w:val="0"/>
          <w:numId w:val="29"/>
        </w:numPr>
        <w:spacing w:line="360" w:lineRule="auto"/>
        <w:ind w:left="616" w:hanging="616"/>
        <w:rPr>
          <w:rFonts w:ascii="宋体" w:cs="Helvetica"/>
          <w:kern w:val="0"/>
          <w:sz w:val="24"/>
          <w:szCs w:val="24"/>
          <w:lang w:val="zh-CN"/>
        </w:rPr>
      </w:pPr>
      <w:r>
        <w:rPr>
          <w:rFonts w:hint="eastAsia" w:ascii="宋体" w:hAnsi="宋体" w:cs="Helvetica"/>
          <w:kern w:val="0"/>
          <w:sz w:val="24"/>
          <w:szCs w:val="24"/>
          <w:lang w:val="zh-CN"/>
        </w:rPr>
        <w:t>在资格审查与评标工作未同日进行的特殊情形下，</w:t>
      </w:r>
      <w:r>
        <w:rPr>
          <w:rFonts w:hint="eastAsia" w:ascii="Helvetica" w:hAnsi="Helvetica" w:cs="Helvetica"/>
          <w:kern w:val="0"/>
          <w:sz w:val="24"/>
          <w:szCs w:val="24"/>
          <w:lang w:val="zh-CN"/>
        </w:rPr>
        <w:t>采购人（或代理公司）</w:t>
      </w:r>
      <w:r>
        <w:rPr>
          <w:rFonts w:hint="eastAsia" w:ascii="宋体" w:hAnsi="宋体" w:cs="Helvetica"/>
          <w:kern w:val="0"/>
          <w:sz w:val="24"/>
          <w:szCs w:val="24"/>
          <w:lang w:val="zh-CN"/>
        </w:rPr>
        <w:t>工作人员在评标时对投标人的信用信息进行复核，发现评标当日存在不良信用信息的，由评标委员会按照符合性审查不合格作</w:t>
      </w:r>
      <w:r>
        <w:rPr>
          <w:rFonts w:hint="eastAsia" w:ascii="宋体" w:hAnsi="宋体" w:cs="Helvetica"/>
          <w:b/>
          <w:kern w:val="0"/>
          <w:sz w:val="24"/>
          <w:szCs w:val="24"/>
          <w:lang w:val="zh-CN"/>
        </w:rPr>
        <w:t>无效投标处理</w:t>
      </w:r>
      <w:r>
        <w:rPr>
          <w:rFonts w:hint="eastAsia" w:ascii="宋体" w:hAnsi="宋体" w:cs="Helvetica"/>
          <w:kern w:val="0"/>
          <w:sz w:val="24"/>
          <w:szCs w:val="24"/>
          <w:lang w:val="zh-CN"/>
        </w:rPr>
        <w:t>。</w:t>
      </w:r>
    </w:p>
    <w:p>
      <w:pPr>
        <w:pStyle w:val="4"/>
        <w:numPr>
          <w:ilvl w:val="0"/>
          <w:numId w:val="4"/>
        </w:numPr>
        <w:spacing w:before="40" w:after="40" w:line="360" w:lineRule="auto"/>
        <w:ind w:left="658" w:hanging="658"/>
        <w:jc w:val="left"/>
        <w:rPr>
          <w:rFonts w:ascii="宋体"/>
          <w:bCs w:val="0"/>
          <w:lang w:val="zh-CN"/>
        </w:rPr>
      </w:pPr>
      <w:bookmarkStart w:id="20" w:name="_Toc106268604"/>
      <w:bookmarkStart w:id="21" w:name="_Toc494561944"/>
      <w:r>
        <w:rPr>
          <w:rFonts w:hint="eastAsia" w:ascii="宋体" w:hAnsi="宋体"/>
          <w:bCs w:val="0"/>
          <w:lang w:val="zh-CN"/>
        </w:rPr>
        <w:t>中标与合同</w:t>
      </w:r>
      <w:bookmarkEnd w:id="20"/>
      <w:bookmarkEnd w:id="21"/>
    </w:p>
    <w:p>
      <w:pPr>
        <w:numPr>
          <w:ilvl w:val="0"/>
          <w:numId w:val="5"/>
        </w:numPr>
        <w:spacing w:line="360" w:lineRule="auto"/>
        <w:ind w:left="560" w:hanging="560"/>
        <w:rPr>
          <w:rFonts w:ascii="宋体"/>
          <w:b/>
          <w:sz w:val="24"/>
          <w:szCs w:val="20"/>
          <w:lang w:val="zh-CN"/>
        </w:rPr>
      </w:pPr>
      <w:r>
        <w:rPr>
          <w:rFonts w:hint="eastAsia" w:ascii="宋体" w:hAnsi="宋体"/>
          <w:b/>
          <w:sz w:val="24"/>
          <w:szCs w:val="20"/>
          <w:lang w:val="zh-CN"/>
        </w:rPr>
        <w:t>确定中标人</w:t>
      </w:r>
    </w:p>
    <w:p>
      <w:pPr>
        <w:numPr>
          <w:ilvl w:val="0"/>
          <w:numId w:val="30"/>
        </w:numPr>
        <w:spacing w:line="360" w:lineRule="auto"/>
        <w:ind w:left="616" w:hanging="616"/>
        <w:rPr>
          <w:rFonts w:ascii="宋体"/>
          <w:sz w:val="24"/>
          <w:szCs w:val="20"/>
          <w:lang w:val="zh-CN"/>
        </w:rPr>
      </w:pPr>
      <w:r>
        <w:rPr>
          <w:rFonts w:hint="eastAsia" w:ascii="Helvetica" w:hAnsi="Helvetica" w:cs="Helvetica"/>
          <w:kern w:val="0"/>
          <w:sz w:val="24"/>
          <w:szCs w:val="24"/>
          <w:lang w:val="zh-CN"/>
        </w:rPr>
        <w:t>采购人收到评标报告</w:t>
      </w:r>
      <w:r>
        <w:rPr>
          <w:rFonts w:ascii="宋体" w:hAnsi="宋体" w:cs="Helvetica"/>
          <w:kern w:val="0"/>
          <w:sz w:val="24"/>
          <w:szCs w:val="24"/>
          <w:lang w:val="zh-CN"/>
        </w:rPr>
        <w:t>5</w:t>
      </w:r>
      <w:r>
        <w:rPr>
          <w:rFonts w:hint="eastAsia" w:ascii="宋体" w:hAnsi="宋体" w:cs="Helvetica"/>
          <w:kern w:val="0"/>
          <w:sz w:val="24"/>
          <w:szCs w:val="24"/>
          <w:lang w:val="zh-CN"/>
        </w:rPr>
        <w:t>个工作日内，按评标报告推荐的中标候选人顺序确定中标人。</w:t>
      </w:r>
    </w:p>
    <w:p>
      <w:pPr>
        <w:numPr>
          <w:ilvl w:val="0"/>
          <w:numId w:val="30"/>
        </w:numPr>
        <w:spacing w:line="360" w:lineRule="auto"/>
        <w:ind w:left="616" w:hanging="616"/>
        <w:rPr>
          <w:rFonts w:ascii="宋体"/>
          <w:sz w:val="24"/>
          <w:szCs w:val="20"/>
          <w:lang w:val="zh-CN"/>
        </w:rPr>
      </w:pPr>
      <w:r>
        <w:rPr>
          <w:rFonts w:hint="eastAsia" w:ascii="Helvetica" w:hAnsi="Helvetica" w:cs="Helvetica"/>
          <w:kern w:val="0"/>
          <w:sz w:val="24"/>
          <w:szCs w:val="24"/>
          <w:lang w:val="zh-CN"/>
        </w:rPr>
        <w:t>中标候选人并列的：</w:t>
      </w:r>
    </w:p>
    <w:p>
      <w:pPr>
        <w:numPr>
          <w:ilvl w:val="0"/>
          <w:numId w:val="31"/>
        </w:numPr>
        <w:spacing w:line="360" w:lineRule="auto"/>
        <w:ind w:left="980" w:hanging="854"/>
        <w:rPr>
          <w:rFonts w:ascii="宋体"/>
          <w:sz w:val="24"/>
          <w:szCs w:val="20"/>
          <w:lang w:val="zh-CN"/>
        </w:rPr>
      </w:pPr>
      <w:r>
        <w:rPr>
          <w:rFonts w:hint="eastAsia" w:ascii="宋体" w:hAnsi="宋体"/>
          <w:sz w:val="24"/>
          <w:szCs w:val="20"/>
          <w:lang w:val="zh-CN"/>
        </w:rPr>
        <w:t>采用最低评标价法的，评标结果按投标报价由低到高顺序排列。投标报价相同的，按技术部分由高到低顺序排列。</w:t>
      </w:r>
    </w:p>
    <w:p>
      <w:pPr>
        <w:numPr>
          <w:ilvl w:val="0"/>
          <w:numId w:val="31"/>
        </w:numPr>
        <w:spacing w:line="360" w:lineRule="auto"/>
        <w:ind w:left="980" w:hanging="854"/>
        <w:rPr>
          <w:rFonts w:ascii="宋体"/>
          <w:sz w:val="24"/>
          <w:szCs w:val="20"/>
          <w:lang w:val="zh-CN"/>
        </w:rPr>
      </w:pPr>
      <w:r>
        <w:rPr>
          <w:rFonts w:hint="eastAsia" w:ascii="宋体" w:hAnsi="宋体"/>
          <w:sz w:val="24"/>
          <w:szCs w:val="20"/>
          <w:lang w:val="zh-CN"/>
        </w:rPr>
        <w:t>采用综合评分法的，评标结果按评审后得分由高到低顺序排列。得分相同的，按投标报价由低到高顺序排列。得分且投标报价相同的，按技术部分由高到低顺序排列。</w:t>
      </w:r>
    </w:p>
    <w:p>
      <w:pPr>
        <w:numPr>
          <w:ilvl w:val="0"/>
          <w:numId w:val="30"/>
        </w:numPr>
        <w:spacing w:line="360" w:lineRule="auto"/>
        <w:ind w:left="616" w:hanging="616"/>
        <w:rPr>
          <w:rFonts w:ascii="宋体"/>
          <w:sz w:val="24"/>
          <w:szCs w:val="20"/>
          <w:lang w:val="zh-CN"/>
        </w:rPr>
      </w:pPr>
      <w:r>
        <w:rPr>
          <w:rFonts w:hint="eastAsia" w:ascii="宋体" w:hAnsi="宋体"/>
          <w:sz w:val="24"/>
          <w:szCs w:val="20"/>
          <w:lang w:val="zh-CN"/>
        </w:rPr>
        <w:t>中标人的数量有其他规定的，按招标文件相关规定执行。</w:t>
      </w:r>
    </w:p>
    <w:p>
      <w:pPr>
        <w:numPr>
          <w:ilvl w:val="0"/>
          <w:numId w:val="30"/>
        </w:numPr>
        <w:spacing w:line="360" w:lineRule="auto"/>
        <w:ind w:left="616" w:hanging="616"/>
        <w:rPr>
          <w:rFonts w:ascii="宋体"/>
          <w:strike/>
          <w:sz w:val="24"/>
          <w:szCs w:val="20"/>
          <w:lang w:val="zh-CN"/>
        </w:rPr>
      </w:pPr>
      <w:r>
        <w:rPr>
          <w:rFonts w:hint="eastAsia" w:ascii="宋体" w:hAnsi="宋体"/>
          <w:sz w:val="24"/>
          <w:szCs w:val="20"/>
          <w:lang w:val="zh-CN"/>
        </w:rPr>
        <w:t>中标人确定后，采购人、采购代理机构在监管部门指定的媒体上发布中标公告，同时向中标人和采购人发出《中标通知书》。《中标通知书》是合同的组成部分</w:t>
      </w:r>
      <w:r>
        <w:rPr>
          <w:rFonts w:ascii="宋体"/>
          <w:sz w:val="24"/>
          <w:szCs w:val="20"/>
          <w:lang w:val="zh-CN"/>
        </w:rPr>
        <w:t>,</w:t>
      </w:r>
      <w:r>
        <w:rPr>
          <w:rFonts w:hint="eastAsia" w:ascii="宋体" w:hAnsi="宋体"/>
          <w:sz w:val="24"/>
          <w:szCs w:val="20"/>
          <w:lang w:val="zh-CN"/>
        </w:rPr>
        <w:t>对中标人和采购人具有同等法律效力。</w:t>
      </w:r>
    </w:p>
    <w:p>
      <w:pPr>
        <w:numPr>
          <w:ilvl w:val="0"/>
          <w:numId w:val="30"/>
        </w:numPr>
        <w:spacing w:line="360" w:lineRule="auto"/>
        <w:ind w:left="616" w:hanging="616"/>
        <w:rPr>
          <w:rFonts w:ascii="宋体"/>
          <w:strike/>
          <w:sz w:val="24"/>
          <w:szCs w:val="20"/>
          <w:lang w:val="zh-CN"/>
        </w:rPr>
      </w:pPr>
      <w:r>
        <w:rPr>
          <w:rFonts w:hint="eastAsia" w:ascii="Helvetica" w:hAnsi="Helvetica" w:cs="Helvetica"/>
          <w:kern w:val="0"/>
          <w:sz w:val="24"/>
          <w:szCs w:val="24"/>
          <w:lang w:val="zh-CN"/>
        </w:rPr>
        <w:t>中标通知书发出后，采购人不得违法改变中标结果，中标人无正当理由不得放弃中标。</w:t>
      </w:r>
    </w:p>
    <w:p>
      <w:pPr>
        <w:numPr>
          <w:ilvl w:val="0"/>
          <w:numId w:val="30"/>
        </w:numPr>
        <w:spacing w:line="360" w:lineRule="auto"/>
        <w:ind w:left="616" w:hanging="616"/>
        <w:rPr>
          <w:rFonts w:ascii="宋体"/>
          <w:sz w:val="24"/>
          <w:szCs w:val="20"/>
          <w:lang w:val="zh-CN"/>
        </w:rPr>
      </w:pPr>
      <w:r>
        <w:rPr>
          <w:rFonts w:hint="eastAsia" w:ascii="宋体" w:hAnsi="宋体"/>
          <w:sz w:val="24"/>
          <w:szCs w:val="20"/>
          <w:lang w:val="zh-CN"/>
        </w:rPr>
        <w:t>中标人拒绝与采购人签订合同的，采购人可以按照评标报告推荐的中标候选人名单排序，确定下一候选人为中标人，也可以重新开展活动。</w:t>
      </w:r>
    </w:p>
    <w:p>
      <w:pPr>
        <w:numPr>
          <w:ilvl w:val="0"/>
          <w:numId w:val="5"/>
        </w:numPr>
        <w:spacing w:line="360" w:lineRule="auto"/>
        <w:ind w:left="560" w:hanging="560"/>
        <w:rPr>
          <w:rFonts w:ascii="宋体"/>
          <w:b/>
          <w:sz w:val="24"/>
          <w:szCs w:val="20"/>
          <w:lang w:val="zh-CN"/>
        </w:rPr>
      </w:pPr>
      <w:r>
        <w:rPr>
          <w:rFonts w:hint="eastAsia" w:ascii="宋体" w:hAnsi="宋体"/>
          <w:b/>
          <w:sz w:val="24"/>
          <w:szCs w:val="20"/>
          <w:lang w:val="zh-CN"/>
        </w:rPr>
        <w:t>合同授予</w:t>
      </w:r>
    </w:p>
    <w:p>
      <w:pPr>
        <w:spacing w:line="360" w:lineRule="auto"/>
        <w:ind w:firstLine="480" w:firstLineChars="200"/>
        <w:rPr>
          <w:rFonts w:ascii="宋体"/>
          <w:sz w:val="24"/>
          <w:szCs w:val="20"/>
          <w:lang w:val="zh-CN"/>
        </w:rPr>
      </w:pPr>
      <w:r>
        <w:rPr>
          <w:rFonts w:hint="eastAsia" w:ascii="宋体" w:hAnsi="宋体"/>
          <w:sz w:val="24"/>
          <w:szCs w:val="20"/>
          <w:lang w:val="zh-CN"/>
        </w:rPr>
        <w:t>除本章“确定中标人”规定及其他法律规定的情形外，采购人把合同授予被确定为实质上响应招标文件要求且排名第一的中标人。</w:t>
      </w:r>
    </w:p>
    <w:p>
      <w:pPr>
        <w:numPr>
          <w:ilvl w:val="0"/>
          <w:numId w:val="5"/>
        </w:numPr>
        <w:spacing w:line="360" w:lineRule="auto"/>
        <w:ind w:left="560" w:hanging="560"/>
        <w:rPr>
          <w:rFonts w:ascii="宋体"/>
          <w:b/>
          <w:sz w:val="24"/>
          <w:szCs w:val="20"/>
          <w:lang w:val="zh-CN"/>
        </w:rPr>
      </w:pPr>
      <w:r>
        <w:rPr>
          <w:rFonts w:hint="eastAsia" w:ascii="宋体" w:hAnsi="宋体"/>
          <w:b/>
          <w:sz w:val="24"/>
          <w:szCs w:val="20"/>
          <w:lang w:val="zh-CN"/>
        </w:rPr>
        <w:t>合同签订</w:t>
      </w:r>
    </w:p>
    <w:p>
      <w:pPr>
        <w:numPr>
          <w:ilvl w:val="0"/>
          <w:numId w:val="32"/>
        </w:numPr>
        <w:spacing w:line="360" w:lineRule="auto"/>
        <w:ind w:left="616" w:hanging="616"/>
        <w:rPr>
          <w:rFonts w:ascii="宋体"/>
          <w:sz w:val="24"/>
          <w:szCs w:val="20"/>
          <w:lang w:val="zh-CN"/>
        </w:rPr>
      </w:pPr>
      <w:bookmarkStart w:id="22" w:name="_Toc272247700"/>
      <w:bookmarkStart w:id="23" w:name="_Toc278891597"/>
      <w:r>
        <w:rPr>
          <w:rFonts w:hint="eastAsia" w:ascii="宋体" w:hAnsi="宋体"/>
          <w:sz w:val="24"/>
          <w:szCs w:val="20"/>
          <w:lang w:val="zh-CN"/>
        </w:rPr>
        <w:t>采购人应当自中标通知书发出之日起</w:t>
      </w:r>
      <w:r>
        <w:rPr>
          <w:rFonts w:ascii="宋体" w:hAnsi="宋体"/>
          <w:sz w:val="24"/>
          <w:szCs w:val="20"/>
          <w:lang w:val="zh-CN"/>
        </w:rPr>
        <w:t>30</w:t>
      </w:r>
      <w:r>
        <w:rPr>
          <w:rFonts w:hint="eastAsia" w:ascii="宋体" w:hAnsi="宋体"/>
          <w:sz w:val="24"/>
          <w:szCs w:val="20"/>
          <w:lang w:val="zh-CN"/>
        </w:rPr>
        <w:t>日内，按照招标文件规定和中标人投标文件的承诺，与中标人签订书面合同。所签订的合同不得对招标文件确定的事项和中标人投标文件作实质性修改。</w:t>
      </w:r>
    </w:p>
    <w:p>
      <w:pPr>
        <w:numPr>
          <w:ilvl w:val="0"/>
          <w:numId w:val="32"/>
        </w:numPr>
        <w:tabs>
          <w:tab w:val="left" w:pos="616"/>
        </w:tabs>
        <w:spacing w:line="360" w:lineRule="auto"/>
        <w:ind w:left="616" w:hanging="616"/>
        <w:rPr>
          <w:rFonts w:ascii="宋体"/>
          <w:sz w:val="24"/>
          <w:szCs w:val="20"/>
          <w:lang w:val="zh-CN"/>
        </w:rPr>
      </w:pPr>
      <w:r>
        <w:rPr>
          <w:rFonts w:hint="eastAsia" w:ascii="Helvetica" w:hAnsi="Helvetica" w:cs="Helvetica"/>
          <w:kern w:val="0"/>
          <w:sz w:val="24"/>
          <w:szCs w:val="24"/>
          <w:lang w:val="zh-CN"/>
        </w:rPr>
        <w:t>采购人不得向中标人提出任何不合理的要求作为签订合同的条件。</w:t>
      </w:r>
    </w:p>
    <w:p>
      <w:pPr>
        <w:numPr>
          <w:ilvl w:val="0"/>
          <w:numId w:val="32"/>
        </w:numPr>
        <w:tabs>
          <w:tab w:val="left" w:pos="616"/>
        </w:tabs>
        <w:spacing w:line="360" w:lineRule="auto"/>
        <w:ind w:left="616" w:hanging="616"/>
        <w:rPr>
          <w:rFonts w:ascii="宋体"/>
          <w:sz w:val="24"/>
          <w:szCs w:val="20"/>
          <w:lang w:val="zh-CN"/>
        </w:rPr>
      </w:pPr>
      <w:r>
        <w:rPr>
          <w:rFonts w:hint="eastAsia" w:ascii="宋体" w:hAnsi="宋体"/>
          <w:sz w:val="24"/>
          <w:szCs w:val="20"/>
          <w:lang w:val="zh-CN"/>
        </w:rPr>
        <w:t>合同应当包括采购人与中标人的名称和住所、标的、数量、质量、价款或者报酬、履行期限及地点和方式、验收要求、违约责任、解决争议的方法等内容。</w:t>
      </w:r>
    </w:p>
    <w:p>
      <w:pPr>
        <w:numPr>
          <w:ilvl w:val="0"/>
          <w:numId w:val="32"/>
        </w:numPr>
        <w:tabs>
          <w:tab w:val="left" w:pos="616"/>
        </w:tabs>
        <w:spacing w:line="360" w:lineRule="auto"/>
        <w:ind w:left="616" w:hanging="616"/>
        <w:rPr>
          <w:rFonts w:ascii="宋体"/>
          <w:sz w:val="24"/>
          <w:szCs w:val="20"/>
          <w:lang w:val="zh-CN"/>
        </w:rPr>
      </w:pPr>
      <w:r>
        <w:rPr>
          <w:rFonts w:hint="eastAsia" w:ascii="Helvetica" w:hAnsi="Helvetica" w:cs="Helvetica"/>
          <w:kern w:val="0"/>
          <w:sz w:val="24"/>
          <w:szCs w:val="24"/>
          <w:lang w:val="zh-CN"/>
        </w:rPr>
        <w:t>采购人与中标人应当根据合同的约定依法履行合同义务。合同的履行、违约责任和解决争议的方法等适用《中华人民共和国合同法》。</w:t>
      </w:r>
    </w:p>
    <w:p>
      <w:pPr>
        <w:numPr>
          <w:ilvl w:val="0"/>
          <w:numId w:val="32"/>
        </w:numPr>
        <w:tabs>
          <w:tab w:val="left" w:pos="616"/>
        </w:tabs>
        <w:spacing w:line="360" w:lineRule="auto"/>
        <w:ind w:left="616" w:hanging="616"/>
        <w:rPr>
          <w:rFonts w:ascii="宋体"/>
          <w:sz w:val="24"/>
          <w:szCs w:val="20"/>
          <w:lang w:val="zh-CN"/>
        </w:rPr>
      </w:pPr>
      <w:r>
        <w:rPr>
          <w:rFonts w:hint="eastAsia" w:ascii="宋体" w:hAnsi="宋体"/>
          <w:sz w:val="24"/>
          <w:szCs w:val="20"/>
        </w:rPr>
        <w:t>采购人应当自合同签订之日起</w:t>
      </w:r>
      <w:r>
        <w:rPr>
          <w:rFonts w:ascii="宋体" w:hAnsi="宋体"/>
          <w:sz w:val="24"/>
          <w:szCs w:val="20"/>
        </w:rPr>
        <w:t>2</w:t>
      </w:r>
      <w:r>
        <w:rPr>
          <w:rFonts w:hint="eastAsia" w:ascii="宋体" w:hAnsi="宋体"/>
          <w:sz w:val="24"/>
          <w:szCs w:val="20"/>
        </w:rPr>
        <w:t>个工作日内，将合同在省级以上人民政府财政部门指定的媒体上公告，但合同中涉及国家秘密、商业秘密的内容除外。</w:t>
      </w:r>
    </w:p>
    <w:p>
      <w:pPr>
        <w:numPr>
          <w:ilvl w:val="0"/>
          <w:numId w:val="32"/>
        </w:numPr>
        <w:tabs>
          <w:tab w:val="left" w:pos="616"/>
        </w:tabs>
        <w:spacing w:line="360" w:lineRule="auto"/>
        <w:ind w:left="616" w:hanging="616"/>
        <w:rPr>
          <w:rFonts w:ascii="宋体"/>
          <w:sz w:val="24"/>
          <w:szCs w:val="20"/>
          <w:lang w:val="zh-CN"/>
        </w:rPr>
      </w:pPr>
      <w:r>
        <w:rPr>
          <w:rFonts w:hint="eastAsia" w:ascii="Helvetica" w:hAnsi="Helvetica" w:cs="Helvetica"/>
          <w:kern w:val="0"/>
          <w:sz w:val="24"/>
          <w:szCs w:val="24"/>
          <w:lang w:val="zh-CN"/>
        </w:rPr>
        <w:t>采购人应当加强对中标人的履约管理，并按照采购合同约定，及时向中标人支付采购资金。对于中标人违反采购合同约定的行为，采购人应当及时处理，依法追究其违约责任。</w:t>
      </w:r>
    </w:p>
    <w:p>
      <w:pPr>
        <w:pStyle w:val="4"/>
        <w:numPr>
          <w:ilvl w:val="0"/>
          <w:numId w:val="4"/>
        </w:numPr>
        <w:spacing w:before="40" w:after="40" w:line="360" w:lineRule="auto"/>
        <w:ind w:left="658" w:hanging="658"/>
        <w:jc w:val="left"/>
        <w:rPr>
          <w:rFonts w:ascii="宋体"/>
          <w:bCs w:val="0"/>
          <w:lang w:val="zh-CN"/>
        </w:rPr>
      </w:pPr>
      <w:bookmarkStart w:id="24" w:name="_Toc106268605"/>
      <w:bookmarkStart w:id="25" w:name="_Toc494561945"/>
      <w:r>
        <w:rPr>
          <w:rFonts w:hint="eastAsia" w:ascii="宋体" w:hAnsi="宋体"/>
          <w:bCs w:val="0"/>
          <w:lang w:val="zh-CN"/>
        </w:rPr>
        <w:t>采购信息公告</w:t>
      </w:r>
      <w:bookmarkEnd w:id="24"/>
      <w:bookmarkEnd w:id="25"/>
    </w:p>
    <w:p>
      <w:pPr>
        <w:numPr>
          <w:ilvl w:val="0"/>
          <w:numId w:val="5"/>
        </w:numPr>
        <w:spacing w:line="360" w:lineRule="auto"/>
        <w:ind w:left="560" w:hanging="560"/>
        <w:rPr>
          <w:rFonts w:ascii="宋体" w:cs="Helvetica"/>
          <w:b/>
          <w:color w:val="0D0D0D"/>
          <w:kern w:val="0"/>
          <w:sz w:val="24"/>
          <w:szCs w:val="24"/>
          <w:lang w:val="zh-CN"/>
        </w:rPr>
      </w:pPr>
      <w:r>
        <w:rPr>
          <w:rFonts w:hint="eastAsia" w:ascii="宋体" w:hAnsi="宋体" w:cs="Helvetica"/>
          <w:b/>
          <w:color w:val="0D0D0D"/>
          <w:kern w:val="0"/>
          <w:sz w:val="24"/>
          <w:szCs w:val="24"/>
          <w:lang w:val="zh-CN"/>
        </w:rPr>
        <w:t>公告的媒体及规定</w:t>
      </w:r>
    </w:p>
    <w:p>
      <w:pPr>
        <w:numPr>
          <w:ilvl w:val="0"/>
          <w:numId w:val="33"/>
        </w:numPr>
        <w:tabs>
          <w:tab w:val="left" w:pos="616"/>
        </w:tabs>
        <w:spacing w:line="360" w:lineRule="auto"/>
        <w:ind w:left="616" w:hanging="616"/>
        <w:rPr>
          <w:rFonts w:ascii="宋体" w:cs="Helvetica"/>
          <w:kern w:val="0"/>
          <w:sz w:val="24"/>
          <w:szCs w:val="24"/>
          <w:lang w:val="zh-CN"/>
        </w:rPr>
      </w:pPr>
      <w:r>
        <w:rPr>
          <w:rFonts w:hint="eastAsia" w:ascii="宋体" w:hAnsi="宋体"/>
          <w:sz w:val="24"/>
          <w:szCs w:val="20"/>
          <w:lang w:val="zh-CN"/>
        </w:rPr>
        <w:t>采购代理机构</w:t>
      </w:r>
      <w:r>
        <w:rPr>
          <w:rFonts w:hint="eastAsia" w:ascii="宋体" w:hAnsi="宋体" w:cs="Helvetica"/>
          <w:kern w:val="0"/>
          <w:sz w:val="24"/>
          <w:szCs w:val="24"/>
          <w:lang w:val="zh-CN"/>
        </w:rPr>
        <w:t>在招标活动中的公告、补充、更正、结果等采购信息均依法在监管部门指定媒体上发布。</w:t>
      </w:r>
    </w:p>
    <w:p>
      <w:pPr>
        <w:numPr>
          <w:ilvl w:val="0"/>
          <w:numId w:val="33"/>
        </w:numPr>
        <w:tabs>
          <w:tab w:val="left" w:pos="616"/>
        </w:tabs>
        <w:spacing w:line="360" w:lineRule="auto"/>
        <w:ind w:left="616" w:hanging="616"/>
        <w:rPr>
          <w:rFonts w:ascii="宋体" w:cs="Helvetica"/>
          <w:b/>
          <w:kern w:val="0"/>
          <w:sz w:val="24"/>
          <w:szCs w:val="24"/>
          <w:lang w:val="zh-CN"/>
        </w:rPr>
      </w:pPr>
      <w:r>
        <w:rPr>
          <w:rFonts w:hint="eastAsia" w:ascii="宋体" w:hAnsi="宋体"/>
          <w:sz w:val="24"/>
          <w:szCs w:val="20"/>
          <w:lang w:val="zh-CN"/>
        </w:rPr>
        <w:t>采购代理机构</w:t>
      </w:r>
      <w:r>
        <w:rPr>
          <w:rFonts w:hint="eastAsia" w:ascii="宋体" w:hAnsi="宋体" w:cs="Helvetica"/>
          <w:kern w:val="0"/>
          <w:sz w:val="24"/>
          <w:szCs w:val="24"/>
          <w:lang w:val="zh-CN"/>
        </w:rPr>
        <w:t>在自中标人确定之日起</w:t>
      </w:r>
      <w:r>
        <w:rPr>
          <w:rFonts w:ascii="宋体" w:hAnsi="宋体" w:cs="Helvetica"/>
          <w:kern w:val="0"/>
          <w:sz w:val="24"/>
          <w:szCs w:val="24"/>
          <w:lang w:val="zh-CN"/>
        </w:rPr>
        <w:t>2</w:t>
      </w:r>
      <w:r>
        <w:rPr>
          <w:rFonts w:hint="eastAsia" w:ascii="宋体" w:hAnsi="宋体" w:cs="Helvetica"/>
          <w:kern w:val="0"/>
          <w:sz w:val="24"/>
          <w:szCs w:val="24"/>
          <w:lang w:val="zh-CN"/>
        </w:rPr>
        <w:t>个工作日内，在监管部门指定媒体上公告中标结果，</w:t>
      </w:r>
      <w:r>
        <w:rPr>
          <w:rFonts w:hint="eastAsia" w:ascii="宋体" w:hAnsi="宋体" w:cs="Helvetica"/>
          <w:b/>
          <w:kern w:val="0"/>
          <w:sz w:val="24"/>
          <w:szCs w:val="24"/>
          <w:lang w:val="zh-CN"/>
        </w:rPr>
        <w:t>中标公告的公示期为</w:t>
      </w:r>
      <w:r>
        <w:rPr>
          <w:rFonts w:ascii="宋体" w:hAnsi="宋体" w:cs="Helvetica"/>
          <w:b/>
          <w:kern w:val="0"/>
          <w:sz w:val="24"/>
          <w:szCs w:val="24"/>
          <w:lang w:val="zh-CN"/>
        </w:rPr>
        <w:t>1</w:t>
      </w:r>
      <w:r>
        <w:rPr>
          <w:rFonts w:hint="eastAsia" w:ascii="宋体" w:hAnsi="宋体" w:cs="Helvetica"/>
          <w:b/>
          <w:kern w:val="0"/>
          <w:sz w:val="24"/>
          <w:szCs w:val="24"/>
          <w:lang w:val="zh-CN"/>
        </w:rPr>
        <w:t>个工作日。</w:t>
      </w:r>
    </w:p>
    <w:p>
      <w:pPr>
        <w:numPr>
          <w:ilvl w:val="0"/>
          <w:numId w:val="33"/>
        </w:numPr>
        <w:tabs>
          <w:tab w:val="left" w:pos="616"/>
        </w:tabs>
        <w:spacing w:line="360" w:lineRule="auto"/>
        <w:ind w:left="616" w:hanging="616"/>
        <w:rPr>
          <w:rFonts w:ascii="宋体" w:cs="Helvetica"/>
          <w:kern w:val="0"/>
          <w:sz w:val="24"/>
          <w:szCs w:val="24"/>
          <w:lang w:val="zh-CN"/>
        </w:rPr>
      </w:pPr>
      <w:r>
        <w:rPr>
          <w:rFonts w:hint="eastAsia" w:ascii="宋体" w:hAnsi="宋体" w:cs="Helvetica"/>
          <w:kern w:val="0"/>
          <w:sz w:val="24"/>
          <w:szCs w:val="24"/>
          <w:lang w:val="zh-CN"/>
        </w:rPr>
        <w:t>资格审查未通过的投标人可在结果公告质疑有效期内按公告中的联系方式获知本单位的资格审查情况。</w:t>
      </w:r>
    </w:p>
    <w:p>
      <w:pPr>
        <w:numPr>
          <w:ilvl w:val="0"/>
          <w:numId w:val="33"/>
        </w:numPr>
        <w:tabs>
          <w:tab w:val="left" w:pos="616"/>
        </w:tabs>
        <w:spacing w:line="360" w:lineRule="auto"/>
        <w:ind w:left="616" w:hanging="616"/>
        <w:rPr>
          <w:rFonts w:ascii="宋体" w:cs="Helvetica"/>
          <w:kern w:val="0"/>
          <w:sz w:val="24"/>
          <w:szCs w:val="24"/>
          <w:lang w:val="zh-CN"/>
        </w:rPr>
      </w:pPr>
      <w:r>
        <w:rPr>
          <w:rFonts w:hint="eastAsia" w:ascii="宋体" w:hAnsi="宋体" w:cs="Helvetica"/>
          <w:kern w:val="0"/>
          <w:sz w:val="24"/>
          <w:szCs w:val="24"/>
          <w:lang w:val="zh-CN"/>
        </w:rPr>
        <w:t>采用综合评分法评审的项目，未中标人可在结果公告质疑有效期内按公告中的联系方式获知本单位的评审得分与排序。</w:t>
      </w:r>
    </w:p>
    <w:p>
      <w:pPr>
        <w:pStyle w:val="4"/>
        <w:numPr>
          <w:ilvl w:val="0"/>
          <w:numId w:val="4"/>
        </w:numPr>
        <w:spacing w:before="40" w:after="40" w:line="360" w:lineRule="auto"/>
        <w:ind w:left="658" w:hanging="658"/>
        <w:jc w:val="left"/>
        <w:rPr>
          <w:rFonts w:ascii="宋体"/>
          <w:bCs w:val="0"/>
          <w:lang w:val="zh-CN"/>
        </w:rPr>
      </w:pPr>
      <w:bookmarkStart w:id="26" w:name="_Toc494561946"/>
      <w:bookmarkStart w:id="27" w:name="_Toc106268606"/>
      <w:r>
        <w:rPr>
          <w:rFonts w:hint="eastAsia" w:ascii="宋体" w:hAnsi="宋体"/>
          <w:bCs w:val="0"/>
          <w:lang w:val="zh-CN"/>
        </w:rPr>
        <w:t>质疑</w:t>
      </w:r>
      <w:bookmarkEnd w:id="22"/>
      <w:bookmarkEnd w:id="23"/>
      <w:r>
        <w:rPr>
          <w:rFonts w:hint="eastAsia" w:ascii="宋体" w:hAnsi="宋体"/>
          <w:bCs w:val="0"/>
          <w:lang w:val="zh-CN"/>
        </w:rPr>
        <w:t>及提交</w:t>
      </w:r>
      <w:bookmarkEnd w:id="26"/>
      <w:bookmarkEnd w:id="27"/>
    </w:p>
    <w:p>
      <w:pPr>
        <w:numPr>
          <w:ilvl w:val="0"/>
          <w:numId w:val="5"/>
        </w:numPr>
        <w:spacing w:line="360" w:lineRule="auto"/>
        <w:ind w:left="560" w:hanging="560"/>
        <w:rPr>
          <w:rFonts w:ascii="宋体"/>
          <w:b/>
          <w:sz w:val="24"/>
          <w:szCs w:val="20"/>
          <w:lang w:val="zh-CN"/>
        </w:rPr>
      </w:pPr>
      <w:r>
        <w:rPr>
          <w:rFonts w:hint="eastAsia" w:ascii="宋体" w:hAnsi="宋体"/>
          <w:b/>
          <w:sz w:val="24"/>
          <w:szCs w:val="20"/>
          <w:lang w:val="zh-CN"/>
        </w:rPr>
        <w:t>质疑提交</w:t>
      </w:r>
    </w:p>
    <w:p>
      <w:pPr>
        <w:autoSpaceDE w:val="0"/>
        <w:autoSpaceDN w:val="0"/>
        <w:adjustRightInd w:val="0"/>
        <w:snapToGrid w:val="0"/>
        <w:spacing w:line="300" w:lineRule="auto"/>
        <w:ind w:left="420" w:right="32" w:firstLine="6"/>
        <w:rPr>
          <w:rFonts w:ascii="宋体"/>
          <w:sz w:val="24"/>
          <w:szCs w:val="20"/>
          <w:lang w:val="zh-CN"/>
        </w:rPr>
      </w:pPr>
      <w:r>
        <w:rPr>
          <w:rFonts w:hint="eastAsia" w:ascii="宋体" w:hAnsi="宋体"/>
          <w:sz w:val="24"/>
          <w:szCs w:val="20"/>
          <w:lang w:val="zh-CN"/>
        </w:rPr>
        <w:t>投标人认为招标文件、招标过程和中标结果使自己的权益受到损害的，可以在知道或者应知其权益受到损害之日起</w:t>
      </w:r>
      <w:r>
        <w:rPr>
          <w:rFonts w:ascii="宋体" w:hAnsi="宋体"/>
          <w:sz w:val="24"/>
          <w:szCs w:val="20"/>
          <w:lang w:val="zh-CN"/>
        </w:rPr>
        <w:t>7</w:t>
      </w:r>
      <w:r>
        <w:rPr>
          <w:rFonts w:hint="eastAsia" w:ascii="宋体" w:hAnsi="宋体"/>
          <w:sz w:val="24"/>
          <w:szCs w:val="20"/>
          <w:lang w:val="zh-CN"/>
        </w:rPr>
        <w:t>个工作日内，向采购人（或代理公司）提出书面质疑，质疑提出时间以收到之日为准。</w:t>
      </w:r>
    </w:p>
    <w:p>
      <w:pPr>
        <w:numPr>
          <w:ilvl w:val="0"/>
          <w:numId w:val="5"/>
        </w:numPr>
        <w:spacing w:line="360" w:lineRule="auto"/>
        <w:ind w:left="560" w:hanging="560"/>
        <w:rPr>
          <w:rFonts w:ascii="宋体"/>
          <w:b/>
          <w:sz w:val="24"/>
          <w:szCs w:val="20"/>
          <w:lang w:val="zh-CN"/>
        </w:rPr>
      </w:pPr>
      <w:r>
        <w:rPr>
          <w:rFonts w:hint="eastAsia" w:ascii="宋体" w:hAnsi="宋体"/>
          <w:b/>
          <w:sz w:val="24"/>
          <w:szCs w:val="20"/>
          <w:lang w:val="zh-CN"/>
        </w:rPr>
        <w:t>投标人应知其权益受到损害之日是指：</w:t>
      </w:r>
    </w:p>
    <w:p>
      <w:pPr>
        <w:numPr>
          <w:ilvl w:val="0"/>
          <w:numId w:val="34"/>
        </w:numPr>
        <w:spacing w:line="360" w:lineRule="auto"/>
        <w:ind w:left="616" w:hanging="616"/>
        <w:rPr>
          <w:rFonts w:ascii="宋体"/>
          <w:sz w:val="24"/>
          <w:szCs w:val="20"/>
          <w:lang w:val="zh-CN"/>
        </w:rPr>
      </w:pPr>
      <w:r>
        <w:rPr>
          <w:rFonts w:hint="eastAsia" w:ascii="宋体" w:hAnsi="宋体"/>
          <w:sz w:val="24"/>
          <w:szCs w:val="20"/>
          <w:lang w:val="zh-CN"/>
        </w:rPr>
        <w:t>对可以质疑的招标文件提出质疑的，为收到招标文件之日或者招标文件公告期限届满之日；</w:t>
      </w:r>
    </w:p>
    <w:p>
      <w:pPr>
        <w:numPr>
          <w:ilvl w:val="0"/>
          <w:numId w:val="34"/>
        </w:numPr>
        <w:spacing w:line="360" w:lineRule="auto"/>
        <w:ind w:left="616" w:hanging="616"/>
        <w:rPr>
          <w:rFonts w:ascii="宋体"/>
          <w:sz w:val="24"/>
          <w:szCs w:val="20"/>
          <w:lang w:val="zh-CN"/>
        </w:rPr>
      </w:pPr>
      <w:r>
        <w:rPr>
          <w:rFonts w:hint="eastAsia" w:ascii="宋体" w:hAnsi="宋体"/>
          <w:sz w:val="24"/>
          <w:szCs w:val="20"/>
          <w:lang w:val="zh-CN"/>
        </w:rPr>
        <w:t>对招标过程提出质疑的，为各招标程序环节结束之日；</w:t>
      </w:r>
    </w:p>
    <w:p>
      <w:pPr>
        <w:numPr>
          <w:ilvl w:val="0"/>
          <w:numId w:val="34"/>
        </w:numPr>
        <w:spacing w:line="360" w:lineRule="auto"/>
        <w:ind w:left="616" w:hanging="616"/>
        <w:rPr>
          <w:rFonts w:ascii="宋体"/>
          <w:sz w:val="24"/>
          <w:szCs w:val="20"/>
          <w:lang w:val="zh-CN"/>
        </w:rPr>
      </w:pPr>
      <w:r>
        <w:rPr>
          <w:rFonts w:hint="eastAsia" w:ascii="宋体" w:hAnsi="宋体"/>
          <w:sz w:val="24"/>
          <w:szCs w:val="20"/>
          <w:lang w:val="zh-CN"/>
        </w:rPr>
        <w:t>对中标结果提出质疑的，为中标公告期限届满之日。</w:t>
      </w:r>
    </w:p>
    <w:p>
      <w:pPr>
        <w:numPr>
          <w:ilvl w:val="0"/>
          <w:numId w:val="5"/>
        </w:numPr>
        <w:spacing w:line="360" w:lineRule="auto"/>
        <w:ind w:left="560" w:hanging="560"/>
        <w:rPr>
          <w:rFonts w:ascii="宋体"/>
          <w:b/>
          <w:sz w:val="24"/>
          <w:szCs w:val="20"/>
          <w:lang w:val="zh-CN"/>
        </w:rPr>
      </w:pPr>
      <w:r>
        <w:rPr>
          <w:rFonts w:hint="eastAsia" w:ascii="宋体" w:hAnsi="宋体"/>
          <w:b/>
          <w:sz w:val="24"/>
          <w:szCs w:val="20"/>
          <w:lang w:val="zh-CN"/>
        </w:rPr>
        <w:t>质疑书应当包括下列主要内容：</w:t>
      </w:r>
    </w:p>
    <w:p>
      <w:pPr>
        <w:numPr>
          <w:ilvl w:val="0"/>
          <w:numId w:val="35"/>
        </w:numPr>
        <w:spacing w:line="360" w:lineRule="auto"/>
        <w:ind w:left="616" w:hanging="616"/>
        <w:rPr>
          <w:rFonts w:ascii="宋体"/>
          <w:sz w:val="24"/>
          <w:szCs w:val="20"/>
          <w:lang w:val="zh-CN"/>
        </w:rPr>
      </w:pPr>
      <w:r>
        <w:rPr>
          <w:rFonts w:hint="eastAsia" w:ascii="宋体" w:hAnsi="宋体"/>
          <w:sz w:val="24"/>
          <w:szCs w:val="20"/>
          <w:lang w:val="zh-CN"/>
        </w:rPr>
        <w:t>质疑人的名称、地址、联系人及联系电话等；</w:t>
      </w:r>
    </w:p>
    <w:p>
      <w:pPr>
        <w:numPr>
          <w:ilvl w:val="0"/>
          <w:numId w:val="35"/>
        </w:numPr>
        <w:spacing w:line="360" w:lineRule="auto"/>
        <w:ind w:left="616" w:hanging="616"/>
        <w:rPr>
          <w:rFonts w:ascii="宋体"/>
          <w:sz w:val="24"/>
          <w:szCs w:val="20"/>
          <w:lang w:val="zh-CN"/>
        </w:rPr>
      </w:pPr>
      <w:r>
        <w:rPr>
          <w:rFonts w:hint="eastAsia" w:ascii="宋体" w:hAnsi="宋体"/>
          <w:sz w:val="24"/>
          <w:szCs w:val="20"/>
          <w:lang w:val="zh-CN"/>
        </w:rPr>
        <w:t>被质疑人的名称、地址、联系人及联系电话等；</w:t>
      </w:r>
    </w:p>
    <w:p>
      <w:pPr>
        <w:numPr>
          <w:ilvl w:val="0"/>
          <w:numId w:val="35"/>
        </w:numPr>
        <w:spacing w:line="360" w:lineRule="auto"/>
        <w:ind w:left="616" w:hanging="616"/>
        <w:rPr>
          <w:rFonts w:ascii="宋体"/>
          <w:sz w:val="24"/>
          <w:szCs w:val="20"/>
          <w:lang w:val="zh-CN"/>
        </w:rPr>
      </w:pPr>
      <w:r>
        <w:rPr>
          <w:rFonts w:hint="eastAsia" w:ascii="宋体" w:hAnsi="宋体"/>
          <w:sz w:val="24"/>
          <w:szCs w:val="20"/>
          <w:lang w:val="zh-CN"/>
        </w:rPr>
        <w:t>质疑项目名称及编号、质疑事项和明确的请求；</w:t>
      </w:r>
    </w:p>
    <w:p>
      <w:pPr>
        <w:numPr>
          <w:ilvl w:val="0"/>
          <w:numId w:val="35"/>
        </w:numPr>
        <w:spacing w:line="360" w:lineRule="auto"/>
        <w:ind w:left="616" w:hanging="616"/>
        <w:rPr>
          <w:rFonts w:ascii="宋体"/>
          <w:sz w:val="24"/>
          <w:szCs w:val="20"/>
          <w:lang w:val="zh-CN"/>
        </w:rPr>
      </w:pPr>
      <w:r>
        <w:rPr>
          <w:rFonts w:hint="eastAsia" w:ascii="宋体" w:hAnsi="宋体"/>
          <w:sz w:val="24"/>
          <w:szCs w:val="20"/>
          <w:lang w:val="zh-CN"/>
        </w:rPr>
        <w:t>质疑事项的事实根据、法律依据及其他必要的证明材料；</w:t>
      </w:r>
    </w:p>
    <w:p>
      <w:pPr>
        <w:numPr>
          <w:ilvl w:val="0"/>
          <w:numId w:val="35"/>
        </w:numPr>
        <w:spacing w:line="360" w:lineRule="auto"/>
        <w:ind w:left="616" w:hanging="616"/>
        <w:rPr>
          <w:rFonts w:ascii="宋体"/>
          <w:sz w:val="24"/>
          <w:szCs w:val="20"/>
          <w:lang w:val="zh-CN"/>
        </w:rPr>
      </w:pPr>
      <w:r>
        <w:rPr>
          <w:rFonts w:hint="eastAsia" w:ascii="宋体" w:hAnsi="宋体"/>
          <w:sz w:val="24"/>
          <w:szCs w:val="20"/>
          <w:lang w:val="zh-CN"/>
        </w:rPr>
        <w:t>提出质疑的日期；</w:t>
      </w:r>
    </w:p>
    <w:p>
      <w:pPr>
        <w:numPr>
          <w:ilvl w:val="0"/>
          <w:numId w:val="35"/>
        </w:numPr>
        <w:spacing w:line="360" w:lineRule="auto"/>
        <w:ind w:left="616" w:hanging="616"/>
        <w:rPr>
          <w:rFonts w:ascii="宋体"/>
          <w:sz w:val="24"/>
          <w:szCs w:val="20"/>
          <w:lang w:val="zh-CN"/>
        </w:rPr>
      </w:pPr>
      <w:r>
        <w:rPr>
          <w:rFonts w:hint="eastAsia" w:ascii="宋体" w:hAnsi="宋体"/>
          <w:sz w:val="24"/>
          <w:szCs w:val="20"/>
          <w:lang w:val="zh-CN"/>
        </w:rPr>
        <w:t>质疑人的署名及签章（质疑人为自然人的，应当由本人签字；质疑人为法人或者其他组织的，应当由法定代表人或者主要负责人签字盖章并加盖公章）；</w:t>
      </w:r>
    </w:p>
    <w:p>
      <w:pPr>
        <w:numPr>
          <w:ilvl w:val="0"/>
          <w:numId w:val="35"/>
        </w:numPr>
        <w:spacing w:line="360" w:lineRule="auto"/>
        <w:ind w:left="616" w:hanging="616"/>
        <w:rPr>
          <w:rFonts w:ascii="宋体"/>
          <w:sz w:val="24"/>
          <w:szCs w:val="20"/>
          <w:lang w:val="zh-CN"/>
        </w:rPr>
      </w:pPr>
      <w:r>
        <w:rPr>
          <w:rFonts w:hint="eastAsia" w:ascii="宋体" w:hAnsi="宋体"/>
          <w:sz w:val="24"/>
          <w:szCs w:val="20"/>
          <w:lang w:val="zh-CN"/>
        </w:rPr>
        <w:t>法人授权委托书（质疑人或法人委托代理人办理质疑事务的，应当提供授权委托书，授权委托书应当载明委托代理的具体权限和事项）。</w:t>
      </w:r>
    </w:p>
    <w:p>
      <w:pPr>
        <w:numPr>
          <w:ilvl w:val="0"/>
          <w:numId w:val="5"/>
        </w:numPr>
        <w:spacing w:line="360" w:lineRule="auto"/>
        <w:ind w:left="560" w:hanging="560"/>
        <w:rPr>
          <w:rFonts w:ascii="宋体"/>
          <w:b/>
          <w:sz w:val="24"/>
          <w:szCs w:val="20"/>
          <w:lang w:val="zh-CN"/>
        </w:rPr>
      </w:pPr>
      <w:r>
        <w:rPr>
          <w:rFonts w:hint="eastAsia" w:ascii="宋体" w:hAnsi="宋体"/>
          <w:b/>
          <w:sz w:val="24"/>
          <w:szCs w:val="20"/>
          <w:lang w:val="zh-CN"/>
        </w:rPr>
        <w:t>不予受理的情形</w:t>
      </w:r>
    </w:p>
    <w:p>
      <w:pPr>
        <w:spacing w:line="360" w:lineRule="auto"/>
        <w:ind w:firstLine="480" w:firstLineChars="200"/>
        <w:rPr>
          <w:rFonts w:ascii="宋体"/>
          <w:sz w:val="24"/>
          <w:szCs w:val="20"/>
          <w:lang w:val="zh-CN"/>
        </w:rPr>
      </w:pPr>
      <w:r>
        <w:rPr>
          <w:rFonts w:hint="eastAsia" w:ascii="宋体" w:hAnsi="宋体"/>
          <w:sz w:val="24"/>
          <w:szCs w:val="20"/>
          <w:lang w:val="zh-CN"/>
        </w:rPr>
        <w:t>投标人未按本章“质疑及提交”规定的时限、内容及方式进行质疑的，采购人</w:t>
      </w:r>
      <w:r>
        <w:rPr>
          <w:rFonts w:hint="eastAsia" w:ascii="宋体" w:hAnsi="宋体"/>
          <w:color w:val="FF0000"/>
          <w:sz w:val="24"/>
          <w:szCs w:val="20"/>
          <w:lang w:val="zh-CN"/>
        </w:rPr>
        <w:t>（</w:t>
      </w:r>
      <w:r>
        <w:rPr>
          <w:rFonts w:hint="eastAsia" w:ascii="宋体" w:hAnsi="宋体"/>
          <w:sz w:val="24"/>
          <w:szCs w:val="20"/>
          <w:lang w:val="zh-CN"/>
        </w:rPr>
        <w:t>或代理公司）不予受理。</w:t>
      </w:r>
    </w:p>
    <w:p>
      <w:pPr>
        <w:pStyle w:val="4"/>
        <w:numPr>
          <w:ilvl w:val="0"/>
          <w:numId w:val="4"/>
        </w:numPr>
        <w:spacing w:before="40" w:after="40" w:line="360" w:lineRule="auto"/>
        <w:ind w:left="658" w:hanging="658"/>
        <w:jc w:val="left"/>
        <w:rPr>
          <w:rFonts w:ascii="宋体"/>
          <w:bCs w:val="0"/>
          <w:lang w:val="zh-CN"/>
        </w:rPr>
      </w:pPr>
      <w:bookmarkStart w:id="28" w:name="_Toc106268607"/>
      <w:bookmarkStart w:id="29" w:name="_Toc494561947"/>
      <w:r>
        <w:rPr>
          <w:rFonts w:hint="eastAsia" w:ascii="宋体" w:hAnsi="宋体"/>
          <w:bCs w:val="0"/>
          <w:lang w:val="zh-CN"/>
        </w:rPr>
        <w:t>相关条文解读</w:t>
      </w:r>
      <w:bookmarkEnd w:id="28"/>
      <w:bookmarkEnd w:id="29"/>
    </w:p>
    <w:p>
      <w:pPr>
        <w:numPr>
          <w:ilvl w:val="0"/>
          <w:numId w:val="5"/>
        </w:numPr>
        <w:spacing w:line="360" w:lineRule="auto"/>
        <w:ind w:left="560" w:hanging="560"/>
        <w:rPr>
          <w:rFonts w:ascii="宋体"/>
          <w:sz w:val="24"/>
          <w:szCs w:val="20"/>
          <w:lang w:val="zh-CN"/>
        </w:rPr>
      </w:pPr>
      <w:r>
        <w:rPr>
          <w:rFonts w:hint="eastAsia" w:ascii="宋体" w:hAnsi="宋体"/>
          <w:sz w:val="24"/>
          <w:szCs w:val="20"/>
          <w:lang w:val="zh-CN"/>
        </w:rPr>
        <w:t>法第二十二条第一款第五项所称重大违法记录，是指供应商因违法经营受到刑事处罚或者责令停产停业、吊销许可证或者执照、较大数额罚款等行政处罚。</w:t>
      </w:r>
    </w:p>
    <w:p>
      <w:pPr>
        <w:numPr>
          <w:ilvl w:val="0"/>
          <w:numId w:val="5"/>
        </w:numPr>
        <w:spacing w:line="360" w:lineRule="auto"/>
        <w:ind w:left="560" w:hanging="560"/>
        <w:rPr>
          <w:rFonts w:ascii="宋体"/>
          <w:sz w:val="24"/>
          <w:szCs w:val="20"/>
          <w:lang w:val="zh-CN"/>
        </w:rPr>
      </w:pPr>
      <w:r>
        <w:rPr>
          <w:rFonts w:hint="eastAsia" w:ascii="宋体" w:hAnsi="宋体"/>
          <w:sz w:val="24"/>
          <w:szCs w:val="20"/>
          <w:lang w:val="zh-CN"/>
        </w:rPr>
        <w:t>按照财政部《关于规范行政处罚有关问题的通知》的规定，各级人民政府财政部门依法对参加活动的供应商作出的禁止参加活动等行政处罚决定在全国范围内生效。</w:t>
      </w:r>
    </w:p>
    <w:p>
      <w:pPr>
        <w:numPr>
          <w:ilvl w:val="0"/>
          <w:numId w:val="5"/>
        </w:numPr>
        <w:spacing w:line="360" w:lineRule="auto"/>
        <w:ind w:left="560" w:hanging="560"/>
        <w:rPr>
          <w:rFonts w:ascii="宋体"/>
          <w:sz w:val="24"/>
          <w:szCs w:val="20"/>
          <w:lang w:val="zh-CN"/>
        </w:rPr>
      </w:pPr>
      <w:r>
        <w:rPr>
          <w:rFonts w:hint="eastAsia" w:ascii="宋体" w:hAnsi="宋体"/>
          <w:sz w:val="24"/>
          <w:szCs w:val="20"/>
          <w:lang w:val="zh-CN"/>
        </w:rPr>
        <w:t>供应商在参加活动前</w:t>
      </w:r>
      <w:r>
        <w:rPr>
          <w:rFonts w:ascii="宋体" w:hAnsi="宋体"/>
          <w:sz w:val="24"/>
          <w:szCs w:val="20"/>
          <w:lang w:val="zh-CN"/>
        </w:rPr>
        <w:t>3</w:t>
      </w:r>
      <w:r>
        <w:rPr>
          <w:rFonts w:hint="eastAsia" w:ascii="宋体" w:hAnsi="宋体"/>
          <w:sz w:val="24"/>
          <w:szCs w:val="20"/>
          <w:lang w:val="zh-CN"/>
        </w:rPr>
        <w:t>年内因违法经营被禁止在一定期限内参加活动，期限届满的，可以参加活动。</w:t>
      </w:r>
    </w:p>
    <w:p>
      <w:pPr>
        <w:numPr>
          <w:ilvl w:val="0"/>
          <w:numId w:val="5"/>
        </w:numPr>
        <w:spacing w:line="360" w:lineRule="auto"/>
        <w:ind w:left="560" w:hanging="560"/>
        <w:rPr>
          <w:rFonts w:ascii="宋体"/>
          <w:sz w:val="24"/>
          <w:szCs w:val="20"/>
          <w:lang w:val="zh-CN"/>
        </w:rPr>
      </w:pPr>
      <w:r>
        <w:rPr>
          <w:rFonts w:hint="eastAsia" w:ascii="宋体" w:hAnsi="宋体"/>
          <w:sz w:val="24"/>
          <w:szCs w:val="20"/>
          <w:lang w:val="zh-CN"/>
        </w:rPr>
        <w:t>根据财政部《法实施条例》释义中关于供应商资格条件的解释，对于银行、保险、石油石化、电力、电信等有行业特殊情况的，采购人和集中采购机构允许其分支机构参与投标。</w:t>
      </w:r>
    </w:p>
    <w:p>
      <w:pPr>
        <w:pStyle w:val="4"/>
        <w:numPr>
          <w:ilvl w:val="0"/>
          <w:numId w:val="4"/>
        </w:numPr>
        <w:spacing w:before="40" w:after="40" w:line="360" w:lineRule="auto"/>
        <w:ind w:left="658" w:hanging="658"/>
        <w:jc w:val="left"/>
        <w:rPr>
          <w:rFonts w:ascii="宋体"/>
          <w:bCs w:val="0"/>
          <w:lang w:val="zh-CN"/>
        </w:rPr>
      </w:pPr>
      <w:bookmarkStart w:id="30" w:name="_Toc494561948"/>
      <w:bookmarkStart w:id="31" w:name="_Toc106268608"/>
      <w:r>
        <w:rPr>
          <w:rFonts w:hint="eastAsia" w:ascii="宋体" w:hAnsi="宋体"/>
          <w:bCs w:val="0"/>
          <w:lang w:val="zh-CN"/>
        </w:rPr>
        <w:t>其他注意事项</w:t>
      </w:r>
      <w:bookmarkEnd w:id="30"/>
      <w:bookmarkEnd w:id="31"/>
    </w:p>
    <w:p>
      <w:pPr>
        <w:numPr>
          <w:ilvl w:val="0"/>
          <w:numId w:val="5"/>
        </w:numPr>
        <w:spacing w:line="360" w:lineRule="auto"/>
        <w:ind w:left="560" w:hanging="560"/>
        <w:rPr>
          <w:rFonts w:ascii="宋体"/>
          <w:sz w:val="24"/>
          <w:szCs w:val="20"/>
          <w:lang w:val="zh-CN"/>
        </w:rPr>
      </w:pPr>
      <w:r>
        <w:rPr>
          <w:rFonts w:hint="eastAsia" w:ascii="宋体" w:hAnsi="宋体"/>
          <w:sz w:val="24"/>
          <w:szCs w:val="20"/>
          <w:lang w:val="zh-CN"/>
        </w:rPr>
        <w:t>单位负责人为同一人或者存在直接控股、管理关系的不同供应商，不得参加同一合同项下的活动。</w:t>
      </w:r>
    </w:p>
    <w:p>
      <w:pPr>
        <w:numPr>
          <w:ilvl w:val="0"/>
          <w:numId w:val="5"/>
        </w:numPr>
        <w:spacing w:line="360" w:lineRule="auto"/>
        <w:ind w:left="560" w:hanging="560"/>
        <w:rPr>
          <w:rFonts w:ascii="宋体"/>
          <w:sz w:val="24"/>
          <w:szCs w:val="20"/>
          <w:lang w:val="zh-CN"/>
        </w:rPr>
      </w:pPr>
      <w:r>
        <w:rPr>
          <w:rFonts w:hint="eastAsia" w:ascii="宋体" w:hAnsi="宋体"/>
          <w:sz w:val="24"/>
          <w:szCs w:val="20"/>
          <w:lang w:val="zh-CN"/>
        </w:rPr>
        <w:t>除单一来源采购项目外，为采购项目提供整体设计、规范编制或者项目管理、监理、检测等服务的供应商，不得再参加该采购项目的其他采购活动。</w:t>
      </w:r>
    </w:p>
    <w:p>
      <w:pPr>
        <w:pStyle w:val="4"/>
        <w:numPr>
          <w:ilvl w:val="0"/>
          <w:numId w:val="4"/>
        </w:numPr>
        <w:spacing w:before="40" w:after="40" w:line="360" w:lineRule="auto"/>
        <w:ind w:left="966" w:hanging="966"/>
        <w:jc w:val="left"/>
        <w:rPr>
          <w:rFonts w:ascii="宋体"/>
          <w:bCs w:val="0"/>
          <w:lang w:val="zh-CN"/>
        </w:rPr>
      </w:pPr>
      <w:bookmarkStart w:id="32" w:name="_Toc278891598"/>
      <w:bookmarkStart w:id="33" w:name="_Toc272247701"/>
      <w:bookmarkStart w:id="34" w:name="_Toc106268609"/>
      <w:bookmarkStart w:id="35" w:name="_Toc494561949"/>
      <w:r>
        <w:rPr>
          <w:rFonts w:hint="eastAsia" w:ascii="宋体" w:hAnsi="宋体"/>
          <w:bCs w:val="0"/>
          <w:lang w:val="zh-CN"/>
        </w:rPr>
        <w:t>适用法律</w:t>
      </w:r>
      <w:bookmarkEnd w:id="32"/>
      <w:bookmarkEnd w:id="33"/>
      <w:bookmarkEnd w:id="34"/>
      <w:bookmarkEnd w:id="35"/>
    </w:p>
    <w:p>
      <w:pPr>
        <w:numPr>
          <w:ilvl w:val="0"/>
          <w:numId w:val="5"/>
        </w:numPr>
        <w:spacing w:line="360" w:lineRule="auto"/>
        <w:ind w:left="560" w:hanging="560"/>
        <w:rPr>
          <w:rFonts w:ascii="宋体"/>
          <w:sz w:val="24"/>
          <w:szCs w:val="20"/>
          <w:lang w:val="zh-CN"/>
        </w:rPr>
      </w:pPr>
      <w:r>
        <w:rPr>
          <w:rFonts w:hint="eastAsia" w:ascii="宋体" w:hAnsi="宋体"/>
          <w:sz w:val="24"/>
          <w:szCs w:val="20"/>
          <w:lang w:val="zh-CN"/>
        </w:rPr>
        <w:t>采购人、采购代理机构及投标人的一切招标投标活动均适用《法》、《法实施条例》、《货物和服务招标投标管理办法》及相关法律法规。</w:t>
      </w:r>
    </w:p>
    <w:p>
      <w:pPr>
        <w:numPr>
          <w:ilvl w:val="0"/>
          <w:numId w:val="5"/>
        </w:numPr>
        <w:spacing w:line="360" w:lineRule="auto"/>
        <w:ind w:left="560" w:hanging="560"/>
        <w:rPr>
          <w:rFonts w:ascii="宋体"/>
          <w:sz w:val="24"/>
          <w:szCs w:val="20"/>
          <w:lang w:val="zh-CN"/>
        </w:rPr>
      </w:pPr>
      <w:r>
        <w:rPr>
          <w:rFonts w:hint="eastAsia" w:ascii="Helvetica" w:hAnsi="Helvetica" w:cs="Helvetica"/>
          <w:kern w:val="0"/>
          <w:sz w:val="24"/>
          <w:szCs w:val="24"/>
          <w:lang w:val="zh-CN"/>
        </w:rPr>
        <w:t>合同的履行、违约责任和解决争议的方法等适用《合同法》。</w:t>
      </w:r>
    </w:p>
    <w:p>
      <w:pPr>
        <w:pStyle w:val="4"/>
        <w:numPr>
          <w:ilvl w:val="0"/>
          <w:numId w:val="4"/>
        </w:numPr>
        <w:spacing w:before="40" w:after="40" w:line="360" w:lineRule="auto"/>
        <w:ind w:left="966" w:hanging="966"/>
        <w:jc w:val="left"/>
        <w:rPr>
          <w:rFonts w:ascii="宋体"/>
          <w:bCs w:val="0"/>
          <w:lang w:val="zh-CN"/>
        </w:rPr>
      </w:pPr>
      <w:bookmarkStart w:id="36" w:name="_Toc106268610"/>
      <w:bookmarkStart w:id="37" w:name="_Toc272247702"/>
      <w:bookmarkStart w:id="38" w:name="_Toc494561950"/>
      <w:bookmarkStart w:id="39" w:name="_Toc278891599"/>
      <w:r>
        <w:rPr>
          <w:rFonts w:hint="eastAsia" w:ascii="宋体" w:hAnsi="宋体"/>
          <w:bCs w:val="0"/>
          <w:lang w:val="zh-CN"/>
        </w:rPr>
        <w:t>招标文件的解释权</w:t>
      </w:r>
      <w:bookmarkEnd w:id="36"/>
      <w:bookmarkEnd w:id="37"/>
      <w:bookmarkEnd w:id="38"/>
      <w:bookmarkEnd w:id="39"/>
    </w:p>
    <w:p>
      <w:pPr>
        <w:numPr>
          <w:ilvl w:val="0"/>
          <w:numId w:val="5"/>
        </w:numPr>
        <w:spacing w:line="360" w:lineRule="auto"/>
        <w:ind w:left="560" w:hanging="560"/>
        <w:rPr>
          <w:color w:val="FF0000"/>
        </w:rPr>
      </w:pPr>
      <w:r>
        <w:rPr>
          <w:rFonts w:hint="eastAsia" w:ascii="宋体" w:hAnsi="宋体"/>
          <w:sz w:val="24"/>
          <w:szCs w:val="20"/>
          <w:lang w:val="zh-CN"/>
        </w:rPr>
        <w:t>招标文件的最终解释权为采购人、采购代理机构所有。</w:t>
      </w:r>
      <w:r>
        <w:rPr>
          <w:color w:val="FF0000"/>
        </w:rPr>
        <w:br w:type="page"/>
      </w:r>
    </w:p>
    <w:p>
      <w:pPr>
        <w:pStyle w:val="3"/>
        <w:jc w:val="center"/>
      </w:pPr>
      <w:bookmarkStart w:id="40" w:name="_Toc106268611"/>
      <w:bookmarkStart w:id="41" w:name="_Toc338065594"/>
      <w:bookmarkStart w:id="42" w:name="_Toc339378680"/>
      <w:r>
        <w:rPr>
          <w:rFonts w:hint="eastAsia"/>
        </w:rPr>
        <w:t>第三章</w:t>
      </w:r>
      <w:r>
        <w:t>项目技术、服务及商务要求</w:t>
      </w:r>
      <w:bookmarkEnd w:id="40"/>
    </w:p>
    <w:p>
      <w:pPr>
        <w:pStyle w:val="4"/>
        <w:numPr>
          <w:ilvl w:val="0"/>
          <w:numId w:val="36"/>
        </w:numPr>
        <w:spacing w:line="320" w:lineRule="exact"/>
      </w:pPr>
      <w:bookmarkStart w:id="43" w:name="_Toc106268612"/>
      <w:r>
        <w:rPr>
          <w:rFonts w:hint="eastAsia"/>
        </w:rPr>
        <w:t>项目概况</w:t>
      </w:r>
      <w:bookmarkEnd w:id="43"/>
    </w:p>
    <w:p>
      <w:pPr>
        <w:spacing w:line="320" w:lineRule="exact"/>
        <w:rPr>
          <w:b/>
          <w:sz w:val="28"/>
          <w:szCs w:val="28"/>
        </w:rPr>
      </w:pPr>
      <w:r>
        <w:rPr>
          <w:rFonts w:hint="eastAsia"/>
          <w:b/>
          <w:sz w:val="28"/>
          <w:szCs w:val="28"/>
        </w:rPr>
        <w:t>一标段：</w:t>
      </w:r>
    </w:p>
    <w:p>
      <w:pPr>
        <w:spacing w:line="360" w:lineRule="auto"/>
        <w:ind w:firstLine="240" w:firstLineChars="100"/>
        <w:rPr>
          <w:rFonts w:ascii="Helvetica" w:hAnsi="Helvetica" w:cs="Helvetica"/>
          <w:kern w:val="0"/>
          <w:sz w:val="24"/>
          <w:szCs w:val="24"/>
          <w:lang w:val="zh-CN"/>
        </w:rPr>
      </w:pPr>
      <w:r>
        <w:rPr>
          <w:rFonts w:hint="eastAsia" w:ascii="Helvetica" w:hAnsi="Helvetica" w:cs="Helvetica"/>
          <w:kern w:val="0"/>
          <w:sz w:val="24"/>
          <w:szCs w:val="24"/>
        </w:rPr>
        <w:t>1、对城东新区阳新大道3处（</w:t>
      </w:r>
      <w:r>
        <w:rPr>
          <w:rFonts w:hint="eastAsia" w:ascii="Helvetica" w:hAnsi="Helvetica" w:cs="Helvetica"/>
          <w:kern w:val="0"/>
          <w:sz w:val="24"/>
          <w:szCs w:val="24"/>
          <w:lang w:val="zh-CN"/>
        </w:rPr>
        <w:t>阳新大道与彭山</w:t>
      </w:r>
      <w:r>
        <w:rPr>
          <w:rFonts w:hint="eastAsia" w:ascii="Helvetica" w:hAnsi="Helvetica" w:cs="Helvetica"/>
          <w:kern w:val="0"/>
          <w:sz w:val="24"/>
          <w:szCs w:val="24"/>
        </w:rPr>
        <w:t>大道路口</w:t>
      </w:r>
      <w:r>
        <w:rPr>
          <w:rFonts w:hint="eastAsia" w:ascii="Helvetica" w:hAnsi="Helvetica" w:cs="Helvetica"/>
          <w:kern w:val="0"/>
          <w:sz w:val="24"/>
          <w:szCs w:val="24"/>
          <w:lang w:val="zh-CN"/>
        </w:rPr>
        <w:t>、阳新大道与环湖东路</w:t>
      </w:r>
      <w:r>
        <w:rPr>
          <w:rFonts w:hint="eastAsia" w:ascii="Helvetica" w:hAnsi="Helvetica" w:cs="Helvetica"/>
          <w:kern w:val="0"/>
          <w:sz w:val="24"/>
          <w:szCs w:val="24"/>
        </w:rPr>
        <w:t>路口</w:t>
      </w:r>
      <w:r>
        <w:rPr>
          <w:rFonts w:hint="eastAsia" w:ascii="Helvetica" w:hAnsi="Helvetica" w:cs="Helvetica"/>
          <w:kern w:val="0"/>
          <w:sz w:val="24"/>
          <w:szCs w:val="24"/>
          <w:lang w:val="zh-CN"/>
        </w:rPr>
        <w:t>、阳新</w:t>
      </w:r>
      <w:r>
        <w:rPr>
          <w:rFonts w:hint="eastAsia" w:ascii="Helvetica" w:hAnsi="Helvetica" w:cs="Helvetica"/>
          <w:kern w:val="0"/>
          <w:sz w:val="24"/>
          <w:szCs w:val="24"/>
        </w:rPr>
        <w:t>大道</w:t>
      </w:r>
      <w:r>
        <w:rPr>
          <w:rFonts w:hint="eastAsia" w:ascii="Helvetica" w:hAnsi="Helvetica" w:cs="Helvetica"/>
          <w:kern w:val="0"/>
          <w:sz w:val="24"/>
          <w:szCs w:val="24"/>
          <w:lang w:val="zh-CN"/>
        </w:rPr>
        <w:t>与西山路</w:t>
      </w:r>
      <w:r>
        <w:rPr>
          <w:rFonts w:hint="eastAsia" w:ascii="Helvetica" w:hAnsi="Helvetica" w:cs="Helvetica"/>
          <w:kern w:val="0"/>
          <w:sz w:val="24"/>
          <w:szCs w:val="24"/>
        </w:rPr>
        <w:t>路口）电路毁坏及增加支路后的路口进行交通设施改造。</w:t>
      </w:r>
    </w:p>
    <w:p>
      <w:pPr>
        <w:spacing w:line="360" w:lineRule="auto"/>
        <w:ind w:firstLine="240" w:firstLineChars="100"/>
        <w:rPr>
          <w:rFonts w:ascii="Helvetica" w:hAnsi="Helvetica" w:cs="Helvetica"/>
          <w:kern w:val="0"/>
          <w:sz w:val="24"/>
          <w:szCs w:val="24"/>
        </w:rPr>
      </w:pPr>
      <w:r>
        <w:rPr>
          <w:rFonts w:hint="eastAsia" w:ascii="Helvetica" w:hAnsi="Helvetica" w:cs="Helvetica"/>
          <w:kern w:val="0"/>
          <w:sz w:val="24"/>
          <w:szCs w:val="24"/>
        </w:rPr>
        <w:t>2、对城东新区5个路口（新湖路与铁铺路丁字路口、兴富大道与下吴丁字路口、下雉大道与双港大道丁字路口、下雉大道与综合大道丁字路口以及下雉大道与铁辅路丁字路口）智能交通雷视预警建设。</w:t>
      </w:r>
    </w:p>
    <w:p>
      <w:pPr>
        <w:spacing w:line="360" w:lineRule="auto"/>
        <w:ind w:firstLine="240" w:firstLineChars="100"/>
        <w:rPr>
          <w:rFonts w:ascii="Helvetica" w:hAnsi="Helvetica" w:cs="Helvetica"/>
          <w:kern w:val="0"/>
          <w:sz w:val="24"/>
          <w:szCs w:val="24"/>
        </w:rPr>
      </w:pPr>
      <w:r>
        <w:rPr>
          <w:rFonts w:hint="eastAsia" w:ascii="Helvetica" w:hAnsi="Helvetica" w:cs="Helvetica"/>
          <w:kern w:val="0"/>
          <w:sz w:val="24"/>
          <w:szCs w:val="24"/>
        </w:rPr>
        <w:t>3、对阳新老城区4处（中百菜场路口、老检察院路口、李家湾路口、老一中路口）人流、车流量比较大的路口进行安装“路口智能行人闯红灯语音提示系统”。</w:t>
      </w:r>
    </w:p>
    <w:p>
      <w:pPr>
        <w:spacing w:line="360" w:lineRule="auto"/>
        <w:ind w:firstLine="240" w:firstLineChars="100"/>
        <w:rPr>
          <w:rFonts w:ascii="Helvetica" w:hAnsi="Helvetica" w:cs="Helvetica"/>
          <w:kern w:val="0"/>
          <w:sz w:val="24"/>
          <w:szCs w:val="24"/>
        </w:rPr>
      </w:pPr>
      <w:r>
        <w:rPr>
          <w:rFonts w:hint="eastAsia" w:ascii="Helvetica" w:hAnsi="Helvetica" w:cs="Helvetica"/>
          <w:kern w:val="0"/>
          <w:sz w:val="24"/>
          <w:szCs w:val="24"/>
        </w:rPr>
        <w:t>4、对阳新老城区及城东13处（国贸路口、中百菜场路口、老检察院路口、李家湾路口、白杨转盘路口、国际路口、老一中路口、火车站路口、鄂东南商贸城路口、俞家湾与钟家湾路口、俞家湾与阳新大道路口、杨家湾与钟家湾路口、杨家湾与阳新大道路口）车流量较大的主干道，建设交通诱导屏发布系统，以实现有力的交通干预作用。</w:t>
      </w:r>
    </w:p>
    <w:p>
      <w:pPr>
        <w:spacing w:line="360" w:lineRule="auto"/>
        <w:ind w:firstLine="240" w:firstLineChars="100"/>
        <w:rPr>
          <w:rFonts w:ascii="Helvetica" w:hAnsi="Helvetica" w:cs="Helvetica"/>
          <w:kern w:val="0"/>
          <w:sz w:val="24"/>
          <w:szCs w:val="24"/>
        </w:rPr>
      </w:pPr>
      <w:r>
        <w:rPr>
          <w:rFonts w:hint="eastAsia" w:ascii="Helvetica" w:hAnsi="Helvetica" w:cs="Helvetica"/>
          <w:kern w:val="0"/>
          <w:sz w:val="24"/>
          <w:szCs w:val="24"/>
        </w:rPr>
        <w:t>5、实现阳新高清监控与标清监控的融合、视频监控与智能视频分析的统一融合和管理，补充、完善冲红灯监控缺位的信号灯路口的电子警察建设，提高电子警察覆盖率，同时提高干道路口安全监控能力和水平。在阳新城东5个路口（新湖路与综合大道路口、 新湖路与双港大道路口、铁铺路与新华路路口、铁铺路与经二十一路路口、铁铺路与彭山大道路口）建设信号灯、电子警察等智慧交通设施。</w:t>
      </w:r>
    </w:p>
    <w:p>
      <w:pPr>
        <w:spacing w:line="360" w:lineRule="auto"/>
        <w:ind w:firstLine="240" w:firstLineChars="100"/>
        <w:rPr>
          <w:rFonts w:ascii="Helvetica" w:hAnsi="Helvetica" w:cs="Helvetica"/>
          <w:kern w:val="0"/>
          <w:sz w:val="24"/>
          <w:szCs w:val="24"/>
        </w:rPr>
      </w:pPr>
      <w:r>
        <w:rPr>
          <w:rFonts w:hint="eastAsia" w:ascii="Helvetica" w:hAnsi="Helvetica" w:cs="Helvetica"/>
          <w:kern w:val="0"/>
          <w:sz w:val="24"/>
          <w:szCs w:val="24"/>
        </w:rPr>
        <w:t>6、实现阳新高清监控与标清监控的融合、视频监控与智能视频分析的统一融合和管理，补充、完善冲红灯监控缺位的信号灯路口的电子警察建设，提高电子警察覆盖率，同时提高干道路口安全监控能力和水平。在阳新城东6处路口（阳新大道俞家湾路路口、阳新大道杨家湾路路口、俞家湾路与钟家湾路路口、杨家湾路与钟家湾路路口、俞家湾路湖滨路路口、杨家湾路湖滨路路口）建设信号灯、黄闪灯、电子警察等智慧交通设施。</w:t>
      </w:r>
    </w:p>
    <w:p>
      <w:pPr>
        <w:pStyle w:val="2"/>
        <w:rPr>
          <w:b/>
          <w:sz w:val="28"/>
          <w:szCs w:val="28"/>
        </w:rPr>
      </w:pPr>
      <w:r>
        <w:rPr>
          <w:rFonts w:hint="eastAsia"/>
          <w:b/>
          <w:sz w:val="28"/>
          <w:szCs w:val="28"/>
        </w:rPr>
        <w:t>二标段：</w:t>
      </w:r>
    </w:p>
    <w:p>
      <w:pPr>
        <w:pStyle w:val="2"/>
        <w:rPr>
          <w:sz w:val="24"/>
          <w:szCs w:val="24"/>
        </w:rPr>
      </w:pPr>
      <w:r>
        <w:rPr>
          <w:rFonts w:hint="eastAsia"/>
          <w:sz w:val="24"/>
          <w:szCs w:val="24"/>
        </w:rPr>
        <w:t xml:space="preserve">    对城东新区兴富大道、综合大道、园林路、彭山大道、双港大道、下雉大道，六条主次大道标线进行复划。</w:t>
      </w:r>
    </w:p>
    <w:p>
      <w:pPr>
        <w:spacing w:line="360" w:lineRule="auto"/>
        <w:ind w:firstLine="480" w:firstLineChars="200"/>
        <w:rPr>
          <w:sz w:val="24"/>
        </w:rPr>
      </w:pPr>
    </w:p>
    <w:p>
      <w:pPr>
        <w:spacing w:line="360" w:lineRule="auto"/>
        <w:ind w:firstLine="420" w:firstLineChars="200"/>
      </w:pPr>
    </w:p>
    <w:p>
      <w:pPr>
        <w:pStyle w:val="4"/>
        <w:spacing w:line="320" w:lineRule="exact"/>
      </w:pPr>
      <w:bookmarkStart w:id="44" w:name="_Toc106268613"/>
      <w:r>
        <w:rPr>
          <w:rFonts w:hint="eastAsia"/>
        </w:rPr>
        <w:t>二、</w:t>
      </w:r>
      <w:r>
        <w:t>采购清单</w:t>
      </w:r>
      <w:bookmarkEnd w:id="44"/>
    </w:p>
    <w:p>
      <w:pPr>
        <w:spacing w:before="309" w:line="261" w:lineRule="auto"/>
        <w:ind w:left="29" w:firstLine="1"/>
        <w:rPr>
          <w:rFonts w:ascii="宋体" w:hAnsi="宋体" w:cs="宋体"/>
          <w:sz w:val="24"/>
          <w:szCs w:val="24"/>
        </w:rPr>
      </w:pPr>
      <w:r>
        <w:rPr>
          <w:rFonts w:ascii="宋体" w:hAnsi="宋体" w:cs="宋体"/>
          <w:spacing w:val="-6"/>
          <w:sz w:val="24"/>
          <w:szCs w:val="24"/>
        </w:rPr>
        <w:t>说明：本章标“</w:t>
      </w:r>
      <w:r>
        <w:rPr>
          <w:rFonts w:hint="eastAsia" w:ascii="宋体" w:hAnsi="宋体" w:cs="宋体"/>
          <w:spacing w:val="-6"/>
          <w:sz w:val="24"/>
          <w:szCs w:val="24"/>
        </w:rPr>
        <w:t>★</w:t>
      </w:r>
      <w:r>
        <w:rPr>
          <w:rFonts w:ascii="宋体" w:hAnsi="宋体" w:cs="宋体"/>
          <w:spacing w:val="-6"/>
          <w:sz w:val="24"/>
          <w:szCs w:val="24"/>
        </w:rPr>
        <w:t>”号的条款为实质性条款要求，任意一项不响应的将作为无效投标处理；</w:t>
      </w:r>
      <w:r>
        <w:rPr>
          <w:rFonts w:ascii="宋体" w:hAnsi="宋体" w:cs="宋体"/>
          <w:sz w:val="24"/>
          <w:szCs w:val="24"/>
        </w:rPr>
        <w:t>标“▲”号的条款为“评分标准表”中的评分内容。</w:t>
      </w:r>
    </w:p>
    <w:p>
      <w:pPr>
        <w:rPr>
          <w:rFonts w:ascii="宋体" w:hAnsi="宋体" w:cs="宋体"/>
          <w:sz w:val="24"/>
          <w:szCs w:val="24"/>
        </w:rPr>
      </w:pP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2"/>
        <w:gridCol w:w="2324"/>
        <w:gridCol w:w="3125"/>
        <w:gridCol w:w="512"/>
        <w:gridCol w:w="557"/>
        <w:gridCol w:w="1533"/>
        <w:gridCol w:w="11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5000" w:type="pct"/>
            <w:gridSpan w:val="7"/>
            <w:shd w:val="clear" w:color="auto" w:fill="auto"/>
          </w:tcPr>
          <w:p>
            <w:pPr>
              <w:widowControl/>
              <w:jc w:val="center"/>
              <w:textAlignment w:val="top"/>
              <w:rPr>
                <w:rFonts w:ascii="宋体" w:hAnsi="宋体" w:cs="宋体"/>
                <w:b/>
                <w:bCs/>
                <w:color w:val="000000"/>
                <w:sz w:val="36"/>
                <w:szCs w:val="36"/>
              </w:rPr>
            </w:pPr>
            <w:r>
              <w:rPr>
                <w:rFonts w:hint="eastAsia" w:ascii="宋体" w:hAnsi="宋体" w:cs="宋体"/>
                <w:b/>
                <w:bCs/>
                <w:color w:val="000000"/>
                <w:kern w:val="0"/>
                <w:sz w:val="36"/>
                <w:szCs w:val="36"/>
              </w:rPr>
              <w:t>一标段清单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宋体" w:hAnsi="宋体" w:cs="宋体"/>
                <w:b/>
                <w:bCs/>
                <w:color w:val="000000"/>
                <w:sz w:val="18"/>
                <w:szCs w:val="18"/>
              </w:rPr>
            </w:pPr>
            <w:r>
              <w:rPr>
                <w:rFonts w:hint="eastAsia" w:ascii="宋体" w:hAnsi="宋体" w:cs="宋体"/>
                <w:b/>
                <w:bCs/>
                <w:color w:val="000000"/>
                <w:kern w:val="0"/>
                <w:sz w:val="18"/>
                <w:szCs w:val="18"/>
              </w:rPr>
              <w:t>序号</w:t>
            </w:r>
          </w:p>
        </w:tc>
        <w:tc>
          <w:tcPr>
            <w:tcW w:w="1193" w:type="pct"/>
            <w:shd w:val="clear" w:color="auto" w:fill="auto"/>
            <w:vAlign w:val="center"/>
          </w:tcPr>
          <w:p>
            <w:pPr>
              <w:widowControl/>
              <w:jc w:val="center"/>
              <w:textAlignment w:val="center"/>
              <w:rPr>
                <w:rFonts w:ascii="宋体" w:hAnsi="宋体" w:cs="宋体"/>
                <w:b/>
                <w:bCs/>
                <w:color w:val="000000"/>
                <w:sz w:val="18"/>
                <w:szCs w:val="18"/>
              </w:rPr>
            </w:pPr>
            <w:r>
              <w:rPr>
                <w:rFonts w:hint="eastAsia" w:ascii="宋体" w:hAnsi="宋体" w:cs="宋体"/>
                <w:b/>
                <w:bCs/>
                <w:color w:val="000000"/>
                <w:kern w:val="0"/>
                <w:sz w:val="18"/>
                <w:szCs w:val="18"/>
              </w:rPr>
              <w:t>设备名称</w:t>
            </w:r>
          </w:p>
        </w:tc>
        <w:tc>
          <w:tcPr>
            <w:tcW w:w="1604" w:type="pct"/>
            <w:shd w:val="clear" w:color="auto" w:fill="auto"/>
            <w:vAlign w:val="center"/>
          </w:tcPr>
          <w:p>
            <w:pPr>
              <w:widowControl/>
              <w:jc w:val="center"/>
              <w:textAlignment w:val="center"/>
              <w:rPr>
                <w:rFonts w:ascii="宋体" w:hAnsi="宋体" w:cs="宋体"/>
                <w:b/>
                <w:bCs/>
                <w:color w:val="000000"/>
                <w:sz w:val="18"/>
                <w:szCs w:val="18"/>
              </w:rPr>
            </w:pPr>
            <w:r>
              <w:rPr>
                <w:rFonts w:hint="eastAsia" w:ascii="宋体" w:hAnsi="宋体" w:cs="宋体"/>
                <w:b/>
                <w:bCs/>
                <w:color w:val="000000"/>
                <w:kern w:val="0"/>
                <w:sz w:val="18"/>
                <w:szCs w:val="18"/>
              </w:rPr>
              <w:t>参数要求</w:t>
            </w:r>
          </w:p>
        </w:tc>
        <w:tc>
          <w:tcPr>
            <w:tcW w:w="263" w:type="pct"/>
            <w:shd w:val="clear" w:color="auto" w:fill="auto"/>
            <w:vAlign w:val="center"/>
          </w:tcPr>
          <w:p>
            <w:pPr>
              <w:widowControl/>
              <w:jc w:val="center"/>
              <w:textAlignment w:val="center"/>
              <w:rPr>
                <w:rFonts w:ascii="宋体" w:hAnsi="宋体" w:cs="宋体"/>
                <w:b/>
                <w:bCs/>
                <w:color w:val="000000"/>
                <w:sz w:val="18"/>
                <w:szCs w:val="18"/>
              </w:rPr>
            </w:pPr>
            <w:r>
              <w:rPr>
                <w:rFonts w:hint="eastAsia" w:ascii="宋体" w:hAnsi="宋体" w:cs="宋体"/>
                <w:b/>
                <w:bCs/>
                <w:color w:val="000000"/>
                <w:kern w:val="0"/>
                <w:sz w:val="18"/>
                <w:szCs w:val="18"/>
              </w:rPr>
              <w:t>单位</w:t>
            </w:r>
          </w:p>
        </w:tc>
        <w:tc>
          <w:tcPr>
            <w:tcW w:w="284" w:type="pct"/>
            <w:shd w:val="clear" w:color="auto" w:fill="auto"/>
            <w:vAlign w:val="center"/>
          </w:tcPr>
          <w:p>
            <w:pPr>
              <w:widowControl/>
              <w:jc w:val="center"/>
              <w:textAlignment w:val="center"/>
              <w:rPr>
                <w:rFonts w:ascii="宋体" w:hAnsi="宋体" w:cs="宋体"/>
                <w:b/>
                <w:bCs/>
                <w:color w:val="000000"/>
                <w:sz w:val="18"/>
                <w:szCs w:val="18"/>
              </w:rPr>
            </w:pPr>
            <w:r>
              <w:rPr>
                <w:rFonts w:hint="eastAsia" w:ascii="宋体" w:hAnsi="宋体" w:cs="宋体"/>
                <w:b/>
                <w:bCs/>
                <w:color w:val="000000"/>
                <w:kern w:val="0"/>
                <w:sz w:val="18"/>
                <w:szCs w:val="18"/>
              </w:rPr>
              <w:t>数量</w:t>
            </w:r>
          </w:p>
        </w:tc>
        <w:tc>
          <w:tcPr>
            <w:tcW w:w="787" w:type="pct"/>
            <w:shd w:val="clear" w:color="auto" w:fill="auto"/>
            <w:vAlign w:val="center"/>
          </w:tcPr>
          <w:p>
            <w:pPr>
              <w:widowControl/>
              <w:jc w:val="center"/>
              <w:textAlignment w:val="center"/>
              <w:rPr>
                <w:rFonts w:ascii="宋体" w:hAnsi="宋体" w:cs="宋体"/>
                <w:b/>
                <w:bCs/>
                <w:color w:val="000000"/>
                <w:sz w:val="18"/>
                <w:szCs w:val="18"/>
              </w:rPr>
            </w:pPr>
            <w:r>
              <w:rPr>
                <w:rFonts w:hint="eastAsia" w:ascii="宋体" w:hAnsi="宋体" w:cs="宋体"/>
                <w:b/>
                <w:bCs/>
                <w:color w:val="000000"/>
                <w:kern w:val="0"/>
                <w:sz w:val="18"/>
                <w:szCs w:val="18"/>
              </w:rPr>
              <w:t>备注</w:t>
            </w:r>
          </w:p>
        </w:tc>
        <w:tc>
          <w:tcPr>
            <w:tcW w:w="602" w:type="pct"/>
            <w:shd w:val="clear" w:color="auto" w:fill="auto"/>
            <w:noWrap/>
            <w:vAlign w:val="center"/>
          </w:tcPr>
          <w:p>
            <w:pPr>
              <w:widowControl/>
              <w:jc w:val="left"/>
              <w:textAlignment w:val="center"/>
              <w:rPr>
                <w:rFonts w:ascii="宋体" w:hAnsi="宋体" w:cs="宋体"/>
                <w:color w:val="000000"/>
                <w:szCs w:val="21"/>
              </w:rPr>
            </w:pPr>
            <w:r>
              <w:rPr>
                <w:rFonts w:hint="eastAsia" w:ascii="宋体" w:hAnsi="宋体" w:cs="宋体"/>
                <w:color w:val="000000"/>
                <w:kern w:val="0"/>
                <w:szCs w:val="21"/>
              </w:rPr>
              <w:t>所属行业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609" w:type="pct"/>
            <w:gridSpan w:val="5"/>
            <w:shd w:val="clear" w:color="auto" w:fill="auto"/>
            <w:vAlign w:val="center"/>
          </w:tcPr>
          <w:p>
            <w:pPr>
              <w:widowControl/>
              <w:jc w:val="center"/>
              <w:textAlignment w:val="center"/>
              <w:rPr>
                <w:rFonts w:ascii="黑体" w:hAnsi="宋体" w:eastAsia="黑体" w:cs="黑体"/>
                <w:color w:val="000000"/>
                <w:szCs w:val="21"/>
              </w:rPr>
            </w:pPr>
            <w:r>
              <w:rPr>
                <w:rFonts w:hint="eastAsia" w:ascii="黑体" w:hAnsi="宋体" w:eastAsia="黑体" w:cs="黑体"/>
                <w:color w:val="000000"/>
                <w:kern w:val="0"/>
                <w:szCs w:val="21"/>
              </w:rPr>
              <w:t>一、交通信号灯设备</w:t>
            </w:r>
          </w:p>
        </w:tc>
        <w:tc>
          <w:tcPr>
            <w:tcW w:w="787" w:type="pct"/>
            <w:shd w:val="clear" w:color="auto" w:fill="auto"/>
            <w:noWrap/>
          </w:tcPr>
          <w:p>
            <w:pPr>
              <w:jc w:val="center"/>
              <w:rPr>
                <w:rFonts w:ascii="宋体" w:hAnsi="宋体" w:cs="宋体"/>
                <w:color w:val="000000"/>
                <w:sz w:val="18"/>
                <w:szCs w:val="18"/>
              </w:rPr>
            </w:pP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集中协调式交通信号机</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台</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11</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一体车行信号灯灯盘</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套</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8</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3</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人行横道信号灯</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98</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4</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一体人行信号灯灯盘</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套</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8</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5</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机动车信号灯</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76</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6</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倒计时器</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71</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7</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警示灯</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6</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8</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3m人行灯立柱杆</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4</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专门面向</w:t>
            </w:r>
          </w:p>
        </w:tc>
        <w:tc>
          <w:tcPr>
            <w:tcW w:w="602"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9</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4m人行灯立柱杆</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54</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专门面向</w:t>
            </w:r>
          </w:p>
        </w:tc>
        <w:tc>
          <w:tcPr>
            <w:tcW w:w="602"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10</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5m车行灯立柱杆</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8</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专门面向</w:t>
            </w:r>
          </w:p>
        </w:tc>
        <w:tc>
          <w:tcPr>
            <w:tcW w:w="602"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4"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11</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6.5*8米长悬臂车行信号灯杆</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16</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专门面向</w:t>
            </w:r>
          </w:p>
        </w:tc>
        <w:tc>
          <w:tcPr>
            <w:tcW w:w="602"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12</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7米长悬臂车行信号灯杆</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28</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专门面向</w:t>
            </w:r>
          </w:p>
        </w:tc>
        <w:tc>
          <w:tcPr>
            <w:tcW w:w="602"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4"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13</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9米长悬臂车行信号灯杆</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专门面向</w:t>
            </w:r>
          </w:p>
        </w:tc>
        <w:tc>
          <w:tcPr>
            <w:tcW w:w="602"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14</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10米长悬臂车行信号灯杆</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8</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专门面向</w:t>
            </w:r>
          </w:p>
        </w:tc>
        <w:tc>
          <w:tcPr>
            <w:tcW w:w="602"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609" w:type="pct"/>
            <w:gridSpan w:val="5"/>
            <w:shd w:val="clear" w:color="auto" w:fill="auto"/>
            <w:vAlign w:val="center"/>
          </w:tcPr>
          <w:p>
            <w:pPr>
              <w:widowControl/>
              <w:jc w:val="center"/>
              <w:textAlignment w:val="center"/>
              <w:rPr>
                <w:rFonts w:ascii="等线" w:hAnsi="等线" w:eastAsia="等线" w:cs="等线"/>
                <w:color w:val="000000"/>
                <w:szCs w:val="21"/>
              </w:rPr>
            </w:pPr>
            <w:r>
              <w:rPr>
                <w:rFonts w:hint="eastAsia" w:ascii="等线" w:hAnsi="等线" w:eastAsia="等线" w:cs="等线"/>
                <w:color w:val="000000"/>
                <w:kern w:val="0"/>
                <w:szCs w:val="21"/>
              </w:rPr>
              <w:t>二、电子警察设备</w:t>
            </w:r>
          </w:p>
        </w:tc>
        <w:tc>
          <w:tcPr>
            <w:tcW w:w="787" w:type="pct"/>
            <w:shd w:val="clear" w:color="auto" w:fill="auto"/>
            <w:noWrap/>
          </w:tcPr>
          <w:p>
            <w:pPr>
              <w:jc w:val="center"/>
              <w:rPr>
                <w:rFonts w:ascii="等线" w:hAnsi="等线" w:eastAsia="等线" w:cs="等线"/>
                <w:color w:val="000000"/>
                <w:sz w:val="18"/>
                <w:szCs w:val="18"/>
              </w:rPr>
            </w:pP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600万电子警察摄像单元</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套</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75</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600万卡口摄像单元</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套</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67</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3</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300万电子警察摄像单元</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套</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5</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4</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300万卡口摄像单元</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套</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5</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5</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智能交通终端管理设备</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套</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13</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6</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硬盘4T</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块</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4</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7</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嵌入式抓拍软件</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套</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120</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8</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爆闪补光灯</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113</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6"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9</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LED频闪补光灯</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234</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10</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工业级交换机</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台</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28</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11</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光纤收发器</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台</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45</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12</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红灯检测器</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9</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13</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室外落地机柜</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台</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9</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专门面向</w:t>
            </w:r>
          </w:p>
        </w:tc>
        <w:tc>
          <w:tcPr>
            <w:tcW w:w="602"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14</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7米L型电警杆</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12</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专门面向</w:t>
            </w:r>
          </w:p>
        </w:tc>
        <w:tc>
          <w:tcPr>
            <w:tcW w:w="602"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6"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15</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8米L型电警杆</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专门面向</w:t>
            </w:r>
          </w:p>
        </w:tc>
        <w:tc>
          <w:tcPr>
            <w:tcW w:w="602"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16</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9米L型电警杆</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专门面向</w:t>
            </w:r>
          </w:p>
        </w:tc>
        <w:tc>
          <w:tcPr>
            <w:tcW w:w="602"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17</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10米L型电警杆</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10</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专门面向</w:t>
            </w:r>
          </w:p>
        </w:tc>
        <w:tc>
          <w:tcPr>
            <w:tcW w:w="602"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6"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18</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11米L型电警杆</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专门面向</w:t>
            </w:r>
          </w:p>
        </w:tc>
        <w:tc>
          <w:tcPr>
            <w:tcW w:w="602"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6"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19</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12米L型电警杆</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个</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专门面向</w:t>
            </w:r>
          </w:p>
        </w:tc>
        <w:tc>
          <w:tcPr>
            <w:tcW w:w="602"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trPr>
        <w:tc>
          <w:tcPr>
            <w:tcW w:w="3609" w:type="pct"/>
            <w:gridSpan w:val="5"/>
            <w:shd w:val="clear" w:color="auto" w:fill="auto"/>
            <w:vAlign w:val="center"/>
          </w:tcPr>
          <w:p>
            <w:pPr>
              <w:widowControl/>
              <w:jc w:val="center"/>
              <w:textAlignment w:val="center"/>
              <w:rPr>
                <w:rFonts w:ascii="等线" w:hAnsi="等线" w:eastAsia="等线" w:cs="等线"/>
                <w:color w:val="000000"/>
                <w:szCs w:val="21"/>
              </w:rPr>
            </w:pPr>
            <w:r>
              <w:rPr>
                <w:rFonts w:hint="eastAsia" w:ascii="等线" w:hAnsi="等线" w:eastAsia="等线" w:cs="等线"/>
                <w:color w:val="000000"/>
                <w:kern w:val="0"/>
                <w:szCs w:val="21"/>
              </w:rPr>
              <w:t>三、雷视道路安全预警系统</w:t>
            </w:r>
          </w:p>
        </w:tc>
        <w:tc>
          <w:tcPr>
            <w:tcW w:w="787" w:type="pct"/>
            <w:shd w:val="clear" w:color="auto" w:fill="auto"/>
            <w:noWrap/>
          </w:tcPr>
          <w:p>
            <w:pPr>
              <w:jc w:val="center"/>
              <w:rPr>
                <w:rFonts w:ascii="等线" w:hAnsi="等线" w:eastAsia="等线" w:cs="等线"/>
                <w:color w:val="000000"/>
                <w:sz w:val="18"/>
                <w:szCs w:val="18"/>
              </w:rPr>
            </w:pP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雷视道路安全预警一体机</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台</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10</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太阳能电池</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组</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20</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3</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无线网桥(单边)</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台</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20</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4</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LED显示屏</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套</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10</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6"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5</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雷视道路预警软件</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套</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609" w:type="pct"/>
            <w:gridSpan w:val="5"/>
            <w:shd w:val="clear" w:color="auto" w:fill="auto"/>
            <w:vAlign w:val="center"/>
          </w:tcPr>
          <w:p>
            <w:pPr>
              <w:widowControl/>
              <w:jc w:val="center"/>
              <w:textAlignment w:val="center"/>
              <w:rPr>
                <w:rFonts w:ascii="等线" w:hAnsi="等线" w:eastAsia="等线" w:cs="等线"/>
                <w:color w:val="000000"/>
                <w:szCs w:val="21"/>
              </w:rPr>
            </w:pPr>
            <w:r>
              <w:rPr>
                <w:rFonts w:hint="eastAsia" w:ascii="等线" w:hAnsi="等线" w:eastAsia="等线" w:cs="等线"/>
                <w:color w:val="000000"/>
                <w:kern w:val="0"/>
                <w:szCs w:val="21"/>
              </w:rPr>
              <w:t>四、人行灯智能红外线语音提示设备</w:t>
            </w:r>
          </w:p>
        </w:tc>
        <w:tc>
          <w:tcPr>
            <w:tcW w:w="787" w:type="pct"/>
            <w:shd w:val="clear" w:color="auto" w:fill="auto"/>
            <w:noWrap/>
          </w:tcPr>
          <w:p>
            <w:pPr>
              <w:jc w:val="center"/>
              <w:rPr>
                <w:rFonts w:ascii="等线" w:hAnsi="等线" w:eastAsia="等线" w:cs="等线"/>
                <w:color w:val="000000"/>
                <w:sz w:val="18"/>
                <w:szCs w:val="18"/>
              </w:rPr>
            </w:pP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w:t>
            </w:r>
          </w:p>
        </w:tc>
        <w:tc>
          <w:tcPr>
            <w:tcW w:w="1193" w:type="pct"/>
            <w:shd w:val="clear" w:color="auto" w:fill="auto"/>
            <w:vAlign w:val="center"/>
          </w:tcPr>
          <w:p>
            <w:pPr>
              <w:widowControl/>
              <w:jc w:val="left"/>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智能红外线语音提示器(固字）</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台</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64</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trPr>
        <w:tc>
          <w:tcPr>
            <w:tcW w:w="3609" w:type="pct"/>
            <w:gridSpan w:val="5"/>
            <w:shd w:val="clear" w:color="auto" w:fill="auto"/>
            <w:vAlign w:val="center"/>
          </w:tcPr>
          <w:p>
            <w:pPr>
              <w:widowControl/>
              <w:jc w:val="center"/>
              <w:textAlignment w:val="center"/>
              <w:rPr>
                <w:rFonts w:ascii="等线" w:hAnsi="等线" w:eastAsia="等线" w:cs="等线"/>
                <w:color w:val="000000"/>
                <w:szCs w:val="21"/>
              </w:rPr>
            </w:pPr>
            <w:r>
              <w:rPr>
                <w:rFonts w:hint="eastAsia" w:ascii="等线" w:hAnsi="等线" w:eastAsia="等线" w:cs="等线"/>
                <w:color w:val="000000"/>
                <w:kern w:val="0"/>
                <w:szCs w:val="21"/>
              </w:rPr>
              <w:t>五、信息诱导发布系统</w:t>
            </w:r>
          </w:p>
        </w:tc>
        <w:tc>
          <w:tcPr>
            <w:tcW w:w="787" w:type="pct"/>
            <w:shd w:val="clear" w:color="auto" w:fill="auto"/>
            <w:noWrap/>
          </w:tcPr>
          <w:p>
            <w:pPr>
              <w:jc w:val="center"/>
              <w:rPr>
                <w:rFonts w:ascii="等线" w:hAnsi="等线" w:eastAsia="等线" w:cs="等线"/>
                <w:color w:val="000000"/>
                <w:sz w:val="18"/>
                <w:szCs w:val="18"/>
              </w:rPr>
            </w:pP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电子显示屏</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套</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43</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LED多媒体播放器</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台</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52</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3</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终端授权的License</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套</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52</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4</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信息发布管理服务器</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台</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w:t>
            </w:r>
          </w:p>
        </w:tc>
        <w:tc>
          <w:tcPr>
            <w:tcW w:w="787"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trPr>
        <w:tc>
          <w:tcPr>
            <w:tcW w:w="3609" w:type="pct"/>
            <w:gridSpan w:val="5"/>
            <w:shd w:val="clear" w:color="auto" w:fill="auto"/>
            <w:vAlign w:val="center"/>
          </w:tcPr>
          <w:p>
            <w:pPr>
              <w:widowControl/>
              <w:jc w:val="center"/>
              <w:textAlignment w:val="center"/>
              <w:rPr>
                <w:rFonts w:ascii="等线" w:hAnsi="等线" w:eastAsia="等线" w:cs="等线"/>
                <w:color w:val="000000"/>
                <w:szCs w:val="21"/>
              </w:rPr>
            </w:pPr>
            <w:r>
              <w:rPr>
                <w:rFonts w:hint="eastAsia" w:ascii="等线" w:hAnsi="等线" w:eastAsia="等线" w:cs="等线"/>
                <w:color w:val="000000"/>
                <w:kern w:val="0"/>
                <w:szCs w:val="21"/>
              </w:rPr>
              <w:t>六、后台部分</w:t>
            </w:r>
          </w:p>
        </w:tc>
        <w:tc>
          <w:tcPr>
            <w:tcW w:w="787" w:type="pct"/>
            <w:shd w:val="clear" w:color="auto" w:fill="auto"/>
            <w:noWrap/>
          </w:tcPr>
          <w:p>
            <w:pPr>
              <w:jc w:val="center"/>
              <w:rPr>
                <w:rFonts w:ascii="等线" w:hAnsi="等线" w:eastAsia="等线" w:cs="等线"/>
                <w:color w:val="000000"/>
                <w:sz w:val="18"/>
                <w:szCs w:val="18"/>
              </w:rPr>
            </w:pP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接入服务器</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台</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3</w:t>
            </w:r>
          </w:p>
        </w:tc>
        <w:tc>
          <w:tcPr>
            <w:tcW w:w="787" w:type="pct"/>
            <w:shd w:val="clear" w:color="auto" w:fill="auto"/>
            <w:noWrap/>
          </w:tcPr>
          <w:p>
            <w:pPr>
              <w:widowControl/>
              <w:jc w:val="center"/>
              <w:textAlignment w:val="top"/>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图片转发服务器</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台</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7</w:t>
            </w:r>
          </w:p>
        </w:tc>
        <w:tc>
          <w:tcPr>
            <w:tcW w:w="787" w:type="pct"/>
            <w:shd w:val="clear" w:color="auto" w:fill="auto"/>
            <w:noWrap/>
          </w:tcPr>
          <w:p>
            <w:pPr>
              <w:widowControl/>
              <w:jc w:val="center"/>
              <w:textAlignment w:val="top"/>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3</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存储节点</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台</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10</w:t>
            </w:r>
          </w:p>
        </w:tc>
        <w:tc>
          <w:tcPr>
            <w:tcW w:w="787" w:type="pct"/>
            <w:shd w:val="clear" w:color="auto" w:fill="auto"/>
            <w:noWrap/>
          </w:tcPr>
          <w:p>
            <w:pPr>
              <w:widowControl/>
              <w:jc w:val="center"/>
              <w:textAlignment w:val="top"/>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4</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硬盘4T</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块</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480</w:t>
            </w:r>
          </w:p>
        </w:tc>
        <w:tc>
          <w:tcPr>
            <w:tcW w:w="787" w:type="pct"/>
            <w:shd w:val="clear" w:color="auto" w:fill="auto"/>
            <w:noWrap/>
          </w:tcPr>
          <w:p>
            <w:pPr>
              <w:widowControl/>
              <w:jc w:val="center"/>
              <w:textAlignment w:val="top"/>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5</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前端摄像机接入授权</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含160路前端摄像机接入License</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套</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w:t>
            </w:r>
          </w:p>
        </w:tc>
        <w:tc>
          <w:tcPr>
            <w:tcW w:w="787" w:type="pct"/>
            <w:shd w:val="clear" w:color="auto" w:fill="auto"/>
            <w:noWrap/>
          </w:tcPr>
          <w:p>
            <w:pPr>
              <w:widowControl/>
              <w:jc w:val="center"/>
              <w:textAlignment w:val="top"/>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6</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存储节点接入授权</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含10台存储节点接入License</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套</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w:t>
            </w:r>
          </w:p>
        </w:tc>
        <w:tc>
          <w:tcPr>
            <w:tcW w:w="787" w:type="pct"/>
            <w:shd w:val="clear" w:color="auto" w:fill="auto"/>
            <w:noWrap/>
          </w:tcPr>
          <w:p>
            <w:pPr>
              <w:widowControl/>
              <w:jc w:val="center"/>
              <w:textAlignment w:val="top"/>
              <w:rPr>
                <w:rFonts w:ascii="等线" w:hAnsi="等线" w:eastAsia="等线" w:cs="等线"/>
                <w:color w:val="000000"/>
                <w:sz w:val="18"/>
                <w:szCs w:val="18"/>
              </w:rPr>
            </w:pPr>
            <w:r>
              <w:rPr>
                <w:rFonts w:hint="eastAsia" w:ascii="等线" w:hAnsi="等线" w:eastAsia="等线" w:cs="等线"/>
                <w:color w:val="000000"/>
                <w:kern w:val="0"/>
                <w:sz w:val="18"/>
                <w:szCs w:val="18"/>
              </w:rPr>
              <w:t>非专门面向</w:t>
            </w: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609" w:type="pct"/>
            <w:gridSpan w:val="5"/>
            <w:shd w:val="clear" w:color="auto" w:fill="auto"/>
            <w:vAlign w:val="center"/>
          </w:tcPr>
          <w:p>
            <w:pPr>
              <w:widowControl/>
              <w:jc w:val="center"/>
              <w:textAlignment w:val="center"/>
              <w:rPr>
                <w:rFonts w:ascii="等线" w:hAnsi="等线" w:eastAsia="等线" w:cs="等线"/>
                <w:color w:val="000000"/>
                <w:szCs w:val="21"/>
              </w:rPr>
            </w:pPr>
            <w:r>
              <w:rPr>
                <w:rFonts w:hint="eastAsia" w:ascii="等线" w:hAnsi="等线" w:eastAsia="等线" w:cs="等线"/>
                <w:color w:val="000000"/>
                <w:kern w:val="0"/>
                <w:szCs w:val="21"/>
              </w:rPr>
              <w:t>七、网路、电路报装</w:t>
            </w:r>
          </w:p>
        </w:tc>
        <w:tc>
          <w:tcPr>
            <w:tcW w:w="787" w:type="pct"/>
            <w:shd w:val="clear" w:color="auto" w:fill="auto"/>
            <w:noWrap/>
          </w:tcPr>
          <w:p>
            <w:pPr>
              <w:jc w:val="center"/>
              <w:rPr>
                <w:rFonts w:ascii="等线" w:hAnsi="等线" w:eastAsia="等线" w:cs="等线"/>
                <w:color w:val="000000"/>
                <w:sz w:val="18"/>
                <w:szCs w:val="18"/>
              </w:rPr>
            </w:pP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供电报装</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项</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11</w:t>
            </w:r>
          </w:p>
        </w:tc>
        <w:tc>
          <w:tcPr>
            <w:tcW w:w="787" w:type="pct"/>
            <w:shd w:val="clear" w:color="auto" w:fill="auto"/>
            <w:noWrap/>
          </w:tcPr>
          <w:p>
            <w:pPr>
              <w:jc w:val="center"/>
              <w:rPr>
                <w:rFonts w:ascii="等线" w:hAnsi="等线" w:eastAsia="等线" w:cs="等线"/>
                <w:color w:val="000000"/>
                <w:sz w:val="18"/>
                <w:szCs w:val="18"/>
              </w:rPr>
            </w:pP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通讯报装</w:t>
            </w:r>
          </w:p>
        </w:tc>
        <w:tc>
          <w:tcPr>
            <w:tcW w:w="1604" w:type="pct"/>
            <w:shd w:val="clear" w:color="auto" w:fill="auto"/>
            <w:noWrap/>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详见技术参数及要求</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项</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14</w:t>
            </w:r>
          </w:p>
        </w:tc>
        <w:tc>
          <w:tcPr>
            <w:tcW w:w="787" w:type="pct"/>
            <w:shd w:val="clear" w:color="auto" w:fill="auto"/>
            <w:noWrap/>
          </w:tcPr>
          <w:p>
            <w:pPr>
              <w:jc w:val="center"/>
              <w:rPr>
                <w:rFonts w:ascii="等线" w:hAnsi="等线" w:eastAsia="等线" w:cs="等线"/>
                <w:color w:val="000000"/>
                <w:sz w:val="18"/>
                <w:szCs w:val="18"/>
              </w:rPr>
            </w:pP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trPr>
        <w:tc>
          <w:tcPr>
            <w:tcW w:w="3609" w:type="pct"/>
            <w:gridSpan w:val="5"/>
            <w:shd w:val="clear" w:color="auto" w:fill="auto"/>
            <w:vAlign w:val="center"/>
          </w:tcPr>
          <w:p>
            <w:pPr>
              <w:widowControl/>
              <w:jc w:val="center"/>
              <w:textAlignment w:val="center"/>
              <w:rPr>
                <w:rFonts w:ascii="等线" w:hAnsi="等线" w:eastAsia="等线" w:cs="等线"/>
                <w:b/>
                <w:bCs/>
                <w:color w:val="000000"/>
                <w:szCs w:val="21"/>
              </w:rPr>
            </w:pPr>
            <w:r>
              <w:rPr>
                <w:rFonts w:hint="eastAsia" w:ascii="等线" w:hAnsi="等线" w:eastAsia="等线" w:cs="等线"/>
                <w:b/>
                <w:bCs/>
                <w:color w:val="000000"/>
                <w:kern w:val="0"/>
                <w:szCs w:val="21"/>
              </w:rPr>
              <w:t>八 、暂列金额</w:t>
            </w:r>
          </w:p>
        </w:tc>
        <w:tc>
          <w:tcPr>
            <w:tcW w:w="787" w:type="pct"/>
            <w:shd w:val="clear" w:color="auto" w:fill="auto"/>
            <w:vAlign w:val="center"/>
          </w:tcPr>
          <w:p>
            <w:pPr>
              <w:jc w:val="center"/>
              <w:rPr>
                <w:rFonts w:cs="Calibri"/>
                <w:color w:val="000000"/>
                <w:szCs w:val="21"/>
              </w:rPr>
            </w:pPr>
          </w:p>
        </w:tc>
        <w:tc>
          <w:tcPr>
            <w:tcW w:w="602" w:type="pct"/>
            <w:shd w:val="clear" w:color="auto" w:fill="auto"/>
            <w:noWrap/>
            <w:vAlign w:val="center"/>
          </w:tcPr>
          <w:p>
            <w:pPr>
              <w:rPr>
                <w:rFonts w:ascii="宋体" w:hAnsi="宋体" w:cs="宋体"/>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8" w:hRule="atLeast"/>
        </w:trPr>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w:t>
            </w:r>
          </w:p>
        </w:tc>
        <w:tc>
          <w:tcPr>
            <w:tcW w:w="119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暂列金额</w:t>
            </w:r>
          </w:p>
        </w:tc>
        <w:tc>
          <w:tcPr>
            <w:tcW w:w="160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98.8万元</w:t>
            </w:r>
          </w:p>
        </w:tc>
        <w:tc>
          <w:tcPr>
            <w:tcW w:w="263"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项</w:t>
            </w:r>
          </w:p>
        </w:tc>
        <w:tc>
          <w:tcPr>
            <w:tcW w:w="284" w:type="pct"/>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w:t>
            </w:r>
          </w:p>
        </w:tc>
        <w:tc>
          <w:tcPr>
            <w:tcW w:w="787" w:type="pct"/>
            <w:shd w:val="clear" w:color="auto" w:fill="auto"/>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rPr>
              <w:t>备注：暂列金额用于合签订时尚未确定或者不可预见所需材料、设备、服务的采购，投标人报价时必须按98.8万元填报。</w:t>
            </w:r>
          </w:p>
        </w:tc>
        <w:tc>
          <w:tcPr>
            <w:tcW w:w="602" w:type="pct"/>
            <w:shd w:val="clear" w:color="auto" w:fill="auto"/>
            <w:noWrap/>
            <w:vAlign w:val="center"/>
          </w:tcPr>
          <w:p>
            <w:pPr>
              <w:rPr>
                <w:rFonts w:ascii="宋体" w:hAnsi="宋体" w:cs="宋体"/>
                <w:color w:val="000000"/>
                <w:sz w:val="22"/>
              </w:rPr>
            </w:pPr>
          </w:p>
        </w:tc>
      </w:tr>
    </w:tbl>
    <w:p>
      <w:pPr>
        <w:rPr>
          <w:rFonts w:ascii="宋体" w:hAnsi="宋体" w:cs="宋体"/>
          <w:sz w:val="24"/>
          <w:szCs w:val="24"/>
        </w:rPr>
      </w:pPr>
    </w:p>
    <w:p>
      <w:pPr>
        <w:pStyle w:val="2"/>
      </w:pPr>
    </w:p>
    <w:p>
      <w:pPr>
        <w:spacing w:line="60" w:lineRule="exact"/>
        <w:rPr>
          <w:rFonts w:ascii="黑体" w:hAnsi="黑体" w:eastAsia="黑体" w:cs="黑体"/>
          <w:spacing w:val="-1"/>
          <w:sz w:val="28"/>
          <w:szCs w:val="28"/>
        </w:rPr>
      </w:pPr>
    </w:p>
    <w:tbl>
      <w:tblPr>
        <w:tblStyle w:val="28"/>
        <w:tblW w:w="5000" w:type="pct"/>
        <w:tblInd w:w="0" w:type="dxa"/>
        <w:tblLayout w:type="autofit"/>
        <w:tblCellMar>
          <w:top w:w="0" w:type="dxa"/>
          <w:left w:w="108" w:type="dxa"/>
          <w:bottom w:w="0" w:type="dxa"/>
          <w:right w:w="108" w:type="dxa"/>
        </w:tblCellMar>
      </w:tblPr>
      <w:tblGrid>
        <w:gridCol w:w="1348"/>
        <w:gridCol w:w="1362"/>
        <w:gridCol w:w="1350"/>
        <w:gridCol w:w="1350"/>
        <w:gridCol w:w="1371"/>
        <w:gridCol w:w="1362"/>
        <w:gridCol w:w="1597"/>
      </w:tblGrid>
      <w:tr>
        <w:tblPrEx>
          <w:tblCellMar>
            <w:top w:w="0" w:type="dxa"/>
            <w:left w:w="108" w:type="dxa"/>
            <w:bottom w:w="0" w:type="dxa"/>
            <w:right w:w="108" w:type="dxa"/>
          </w:tblCellMar>
        </w:tblPrEx>
        <w:trPr>
          <w:trHeight w:val="474" w:hRule="atLeast"/>
        </w:trPr>
        <w:tc>
          <w:tcPr>
            <w:tcW w:w="5000" w:type="pct"/>
            <w:gridSpan w:val="7"/>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36"/>
                <w:szCs w:val="36"/>
              </w:rPr>
            </w:pPr>
            <w:bookmarkStart w:id="45" w:name="_Toc106268614"/>
            <w:bookmarkEnd w:id="45"/>
            <w:r>
              <w:rPr>
                <w:rFonts w:hint="eastAsia" w:ascii="宋体" w:hAnsi="宋体" w:cs="宋体"/>
                <w:b/>
                <w:bCs/>
                <w:color w:val="000000"/>
                <w:kern w:val="0"/>
                <w:sz w:val="36"/>
                <w:szCs w:val="36"/>
              </w:rPr>
              <w:t>二标段清单</w:t>
            </w:r>
          </w:p>
        </w:tc>
      </w:tr>
      <w:tr>
        <w:tblPrEx>
          <w:tblCellMar>
            <w:top w:w="0" w:type="dxa"/>
            <w:left w:w="108" w:type="dxa"/>
            <w:bottom w:w="0" w:type="dxa"/>
            <w:right w:w="108" w:type="dxa"/>
          </w:tblCellMar>
        </w:tblPrEx>
        <w:trPr>
          <w:trHeight w:val="288" w:hRule="atLeast"/>
        </w:trPr>
        <w:tc>
          <w:tcPr>
            <w:tcW w:w="6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18"/>
                <w:szCs w:val="18"/>
              </w:rPr>
            </w:pPr>
            <w:r>
              <w:rPr>
                <w:rFonts w:hint="eastAsia" w:ascii="宋体" w:hAnsi="宋体" w:cs="宋体"/>
                <w:b/>
                <w:bCs/>
                <w:color w:val="000000"/>
                <w:kern w:val="0"/>
                <w:sz w:val="18"/>
                <w:szCs w:val="18"/>
              </w:rPr>
              <w:t>序号</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18"/>
                <w:szCs w:val="18"/>
              </w:rPr>
            </w:pPr>
            <w:r>
              <w:rPr>
                <w:rFonts w:hint="eastAsia" w:ascii="宋体" w:hAnsi="宋体" w:cs="宋体"/>
                <w:b/>
                <w:bCs/>
                <w:color w:val="000000"/>
                <w:kern w:val="0"/>
                <w:sz w:val="18"/>
                <w:szCs w:val="18"/>
              </w:rPr>
              <w:t>设备名称</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18"/>
                <w:szCs w:val="18"/>
              </w:rPr>
            </w:pPr>
            <w:r>
              <w:rPr>
                <w:rFonts w:hint="eastAsia" w:ascii="宋体" w:hAnsi="宋体" w:cs="宋体"/>
                <w:b/>
                <w:bCs/>
                <w:color w:val="000000"/>
                <w:kern w:val="0"/>
                <w:sz w:val="18"/>
                <w:szCs w:val="18"/>
              </w:rPr>
              <w:t>参数要求</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18"/>
                <w:szCs w:val="18"/>
              </w:rPr>
            </w:pPr>
            <w:r>
              <w:rPr>
                <w:rFonts w:hint="eastAsia" w:ascii="宋体" w:hAnsi="宋体" w:cs="宋体"/>
                <w:b/>
                <w:bCs/>
                <w:color w:val="000000"/>
                <w:kern w:val="0"/>
                <w:sz w:val="18"/>
                <w:szCs w:val="18"/>
              </w:rPr>
              <w:t>计量单位</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18"/>
                <w:szCs w:val="18"/>
              </w:rPr>
            </w:pPr>
            <w:r>
              <w:rPr>
                <w:rFonts w:hint="eastAsia" w:ascii="宋体" w:hAnsi="宋体" w:cs="宋体"/>
                <w:b/>
                <w:bCs/>
                <w:color w:val="000000"/>
                <w:kern w:val="0"/>
                <w:sz w:val="18"/>
                <w:szCs w:val="18"/>
              </w:rPr>
              <w:t>工程量</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18"/>
                <w:szCs w:val="18"/>
              </w:rPr>
            </w:pPr>
            <w:r>
              <w:rPr>
                <w:rFonts w:hint="eastAsia" w:ascii="宋体" w:hAnsi="宋体" w:cs="宋体"/>
                <w:b/>
                <w:bCs/>
                <w:color w:val="000000"/>
                <w:kern w:val="0"/>
                <w:sz w:val="18"/>
                <w:szCs w:val="18"/>
              </w:rPr>
              <w:t>备注</w:t>
            </w:r>
          </w:p>
        </w:tc>
        <w:tc>
          <w:tcPr>
            <w:tcW w:w="8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000000"/>
                <w:sz w:val="22"/>
              </w:rPr>
            </w:pPr>
            <w:r>
              <w:rPr>
                <w:rFonts w:hint="eastAsia" w:ascii="宋体" w:hAnsi="宋体" w:cs="宋体"/>
                <w:color w:val="000000"/>
                <w:kern w:val="0"/>
                <w:sz w:val="22"/>
              </w:rPr>
              <w:t>所属行业</w:t>
            </w:r>
          </w:p>
        </w:tc>
      </w:tr>
      <w:tr>
        <w:tblPrEx>
          <w:tblCellMar>
            <w:top w:w="0" w:type="dxa"/>
            <w:left w:w="108" w:type="dxa"/>
            <w:bottom w:w="0" w:type="dxa"/>
            <w:right w:w="108" w:type="dxa"/>
          </w:tblCellMar>
        </w:tblPrEx>
        <w:trPr>
          <w:trHeight w:val="456" w:hRule="atLeast"/>
        </w:trPr>
        <w:tc>
          <w:tcPr>
            <w:tcW w:w="6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清除标线（水除线）</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工艺详见图纸</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22546</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kern w:val="0"/>
                <w:sz w:val="18"/>
                <w:szCs w:val="18"/>
              </w:rPr>
            </w:pPr>
            <w:r>
              <w:rPr>
                <w:rFonts w:hint="eastAsia" w:ascii="等线" w:hAnsi="等线" w:eastAsia="等线" w:cs="等线"/>
                <w:color w:val="000000"/>
                <w:kern w:val="0"/>
                <w:sz w:val="18"/>
                <w:szCs w:val="18"/>
              </w:rPr>
              <w:t>专门面向</w:t>
            </w:r>
          </w:p>
        </w:tc>
        <w:tc>
          <w:tcPr>
            <w:tcW w:w="8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等线" w:hAnsi="等线" w:eastAsia="等线" w:cs="等线"/>
                <w:color w:val="000000"/>
                <w:kern w:val="0"/>
                <w:sz w:val="18"/>
                <w:szCs w:val="18"/>
              </w:rPr>
            </w:pPr>
            <w:r>
              <w:rPr>
                <w:rFonts w:hint="eastAsia" w:ascii="等线" w:hAnsi="等线" w:eastAsia="等线" w:cs="等线"/>
                <w:color w:val="000000"/>
                <w:kern w:val="0"/>
                <w:sz w:val="18"/>
                <w:szCs w:val="18"/>
              </w:rPr>
              <w:t>建筑业</w:t>
            </w:r>
          </w:p>
        </w:tc>
      </w:tr>
      <w:tr>
        <w:tblPrEx>
          <w:tblCellMar>
            <w:top w:w="0" w:type="dxa"/>
            <w:left w:w="108" w:type="dxa"/>
            <w:bottom w:w="0" w:type="dxa"/>
            <w:right w:w="108" w:type="dxa"/>
          </w:tblCellMar>
        </w:tblPrEx>
        <w:trPr>
          <w:trHeight w:val="456" w:hRule="atLeast"/>
        </w:trPr>
        <w:tc>
          <w:tcPr>
            <w:tcW w:w="6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纵向标线</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工艺详见图纸</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23012</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kern w:val="0"/>
                <w:sz w:val="18"/>
                <w:szCs w:val="18"/>
              </w:rPr>
            </w:pPr>
            <w:r>
              <w:rPr>
                <w:rFonts w:hint="eastAsia" w:ascii="等线" w:hAnsi="等线" w:eastAsia="等线" w:cs="等线"/>
                <w:color w:val="000000"/>
                <w:kern w:val="0"/>
                <w:sz w:val="18"/>
                <w:szCs w:val="18"/>
              </w:rPr>
              <w:t>专门面向</w:t>
            </w:r>
          </w:p>
        </w:tc>
        <w:tc>
          <w:tcPr>
            <w:tcW w:w="8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等线" w:hAnsi="等线" w:eastAsia="等线" w:cs="等线"/>
                <w:color w:val="000000"/>
                <w:kern w:val="0"/>
                <w:sz w:val="18"/>
                <w:szCs w:val="18"/>
              </w:rPr>
            </w:pPr>
            <w:r>
              <w:rPr>
                <w:rFonts w:hint="eastAsia" w:ascii="等线" w:hAnsi="等线" w:eastAsia="等线" w:cs="等线"/>
                <w:color w:val="000000"/>
                <w:kern w:val="0"/>
                <w:sz w:val="18"/>
                <w:szCs w:val="18"/>
              </w:rPr>
              <w:t>建筑业</w:t>
            </w:r>
          </w:p>
        </w:tc>
      </w:tr>
      <w:tr>
        <w:tblPrEx>
          <w:tblCellMar>
            <w:top w:w="0" w:type="dxa"/>
            <w:left w:w="108" w:type="dxa"/>
            <w:bottom w:w="0" w:type="dxa"/>
            <w:right w:w="108" w:type="dxa"/>
          </w:tblCellMar>
        </w:tblPrEx>
        <w:trPr>
          <w:trHeight w:val="456" w:hRule="atLeast"/>
        </w:trPr>
        <w:tc>
          <w:tcPr>
            <w:tcW w:w="6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3</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横道线</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工艺详见图纸</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13448</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kern w:val="0"/>
                <w:sz w:val="18"/>
                <w:szCs w:val="18"/>
              </w:rPr>
            </w:pPr>
            <w:r>
              <w:rPr>
                <w:rFonts w:hint="eastAsia" w:ascii="等线" w:hAnsi="等线" w:eastAsia="等线" w:cs="等线"/>
                <w:color w:val="000000"/>
                <w:kern w:val="0"/>
                <w:sz w:val="18"/>
                <w:szCs w:val="18"/>
              </w:rPr>
              <w:t>专门面向</w:t>
            </w:r>
          </w:p>
        </w:tc>
        <w:tc>
          <w:tcPr>
            <w:tcW w:w="8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等线" w:hAnsi="等线" w:eastAsia="等线" w:cs="等线"/>
                <w:color w:val="000000"/>
                <w:kern w:val="0"/>
                <w:sz w:val="18"/>
                <w:szCs w:val="18"/>
              </w:rPr>
            </w:pPr>
            <w:r>
              <w:rPr>
                <w:rFonts w:hint="eastAsia" w:ascii="等线" w:hAnsi="等线" w:eastAsia="等线" w:cs="等线"/>
                <w:color w:val="000000"/>
                <w:kern w:val="0"/>
                <w:sz w:val="18"/>
                <w:szCs w:val="18"/>
              </w:rPr>
              <w:t>建筑业</w:t>
            </w:r>
          </w:p>
        </w:tc>
      </w:tr>
      <w:tr>
        <w:tblPrEx>
          <w:tblCellMar>
            <w:top w:w="0" w:type="dxa"/>
            <w:left w:w="108" w:type="dxa"/>
            <w:bottom w:w="0" w:type="dxa"/>
            <w:right w:w="108" w:type="dxa"/>
          </w:tblCellMar>
        </w:tblPrEx>
        <w:trPr>
          <w:trHeight w:val="456" w:hRule="atLeast"/>
        </w:trPr>
        <w:tc>
          <w:tcPr>
            <w:tcW w:w="6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4</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地面标记</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工艺详见图纸</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3390</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kern w:val="0"/>
                <w:sz w:val="18"/>
                <w:szCs w:val="18"/>
              </w:rPr>
            </w:pPr>
            <w:r>
              <w:rPr>
                <w:rFonts w:hint="eastAsia" w:ascii="等线" w:hAnsi="等线" w:eastAsia="等线" w:cs="等线"/>
                <w:color w:val="000000"/>
                <w:kern w:val="0"/>
                <w:sz w:val="18"/>
                <w:szCs w:val="18"/>
              </w:rPr>
              <w:t>专门面向</w:t>
            </w:r>
          </w:p>
        </w:tc>
        <w:tc>
          <w:tcPr>
            <w:tcW w:w="8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等线" w:hAnsi="等线" w:eastAsia="等线" w:cs="等线"/>
                <w:color w:val="000000"/>
                <w:kern w:val="0"/>
                <w:sz w:val="18"/>
                <w:szCs w:val="18"/>
              </w:rPr>
            </w:pPr>
            <w:r>
              <w:rPr>
                <w:rFonts w:hint="eastAsia" w:ascii="等线" w:hAnsi="等线" w:eastAsia="等线" w:cs="等线"/>
                <w:color w:val="000000"/>
                <w:kern w:val="0"/>
                <w:sz w:val="18"/>
                <w:szCs w:val="18"/>
              </w:rPr>
              <w:t>建筑业</w:t>
            </w:r>
          </w:p>
        </w:tc>
      </w:tr>
      <w:tr>
        <w:tblPrEx>
          <w:tblCellMar>
            <w:top w:w="0" w:type="dxa"/>
            <w:left w:w="108" w:type="dxa"/>
            <w:bottom w:w="0" w:type="dxa"/>
            <w:right w:w="108" w:type="dxa"/>
          </w:tblCellMar>
        </w:tblPrEx>
        <w:trPr>
          <w:trHeight w:val="1183" w:hRule="atLeast"/>
        </w:trPr>
        <w:tc>
          <w:tcPr>
            <w:tcW w:w="6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cs="Calibri"/>
                <w:color w:val="000000"/>
                <w:szCs w:val="21"/>
              </w:rPr>
            </w:pPr>
            <w:r>
              <w:rPr>
                <w:rFonts w:cs="Calibri"/>
                <w:color w:val="000000"/>
                <w:kern w:val="0"/>
                <w:szCs w:val="21"/>
              </w:rPr>
              <w:t>5</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暂列金额</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26万元</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项</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sz w:val="18"/>
                <w:szCs w:val="18"/>
              </w:rPr>
            </w:pPr>
            <w:r>
              <w:rPr>
                <w:rFonts w:hint="eastAsia" w:ascii="等线" w:hAnsi="等线" w:eastAsia="等线" w:cs="等线"/>
                <w:color w:val="000000"/>
                <w:kern w:val="0"/>
                <w:sz w:val="18"/>
                <w:szCs w:val="18"/>
              </w:rPr>
              <w:t>1</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等线" w:hAnsi="等线" w:eastAsia="等线" w:cs="等线"/>
                <w:color w:val="000000"/>
                <w:kern w:val="0"/>
                <w:sz w:val="18"/>
                <w:szCs w:val="18"/>
              </w:rPr>
            </w:pPr>
            <w:r>
              <w:rPr>
                <w:rFonts w:hint="eastAsia" w:ascii="等线" w:hAnsi="等线" w:eastAsia="等线" w:cs="等线"/>
                <w:color w:val="000000"/>
                <w:kern w:val="0"/>
                <w:sz w:val="18"/>
                <w:szCs w:val="18"/>
              </w:rPr>
              <w:t>备注：暂列金额用于合签订时尚未确定或者不可预见所需材料、设备、服务的采购，投标人报价时必须按26万元填报。</w:t>
            </w:r>
          </w:p>
        </w:tc>
        <w:tc>
          <w:tcPr>
            <w:tcW w:w="8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等线" w:hAnsi="等线" w:eastAsia="等线" w:cs="等线"/>
                <w:color w:val="000000"/>
                <w:kern w:val="0"/>
                <w:sz w:val="18"/>
                <w:szCs w:val="18"/>
              </w:rPr>
            </w:pPr>
          </w:p>
        </w:tc>
      </w:tr>
    </w:tbl>
    <w:p/>
    <w:p/>
    <w:p>
      <w:pPr>
        <w:pStyle w:val="2"/>
      </w:pPr>
    </w:p>
    <w:p>
      <w:pPr>
        <w:pStyle w:val="2"/>
      </w:pPr>
    </w:p>
    <w:p>
      <w:pPr>
        <w:pStyle w:val="2"/>
      </w:pPr>
    </w:p>
    <w:p>
      <w:pPr>
        <w:pStyle w:val="4"/>
        <w:spacing w:line="320" w:lineRule="exact"/>
      </w:pPr>
      <w:r>
        <w:rPr>
          <w:rFonts w:hint="eastAsia"/>
        </w:rPr>
        <w:t>三、技术参数及要求</w:t>
      </w:r>
    </w:p>
    <w:p>
      <w:pPr>
        <w:spacing w:line="300" w:lineRule="exact"/>
        <w:rPr>
          <w:b/>
          <w:sz w:val="28"/>
          <w:szCs w:val="28"/>
        </w:rPr>
      </w:pPr>
      <w:r>
        <w:rPr>
          <w:rFonts w:hint="eastAsia"/>
          <w:b/>
          <w:sz w:val="28"/>
          <w:szCs w:val="28"/>
        </w:rPr>
        <w:t>一标段：</w:t>
      </w:r>
    </w:p>
    <w:tbl>
      <w:tblPr>
        <w:tblStyle w:val="28"/>
        <w:tblW w:w="4998" w:type="pct"/>
        <w:tblInd w:w="0" w:type="dxa"/>
        <w:tblLayout w:type="autofit"/>
        <w:tblCellMar>
          <w:top w:w="0" w:type="dxa"/>
          <w:left w:w="108" w:type="dxa"/>
          <w:bottom w:w="0" w:type="dxa"/>
          <w:right w:w="108" w:type="dxa"/>
        </w:tblCellMar>
      </w:tblPr>
      <w:tblGrid>
        <w:gridCol w:w="397"/>
        <w:gridCol w:w="987"/>
        <w:gridCol w:w="6809"/>
        <w:gridCol w:w="401"/>
        <w:gridCol w:w="498"/>
        <w:gridCol w:w="644"/>
      </w:tblGrid>
      <w:tr>
        <w:tblPrEx>
          <w:tblCellMar>
            <w:top w:w="0" w:type="dxa"/>
            <w:left w:w="108" w:type="dxa"/>
            <w:bottom w:w="0" w:type="dxa"/>
            <w:right w:w="108" w:type="dxa"/>
          </w:tblCellMar>
        </w:tblPrEx>
        <w:trPr>
          <w:trHeight w:val="660" w:hRule="atLeast"/>
        </w:trPr>
        <w:tc>
          <w:tcPr>
            <w:tcW w:w="204"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b/>
                <w:bCs/>
                <w:sz w:val="18"/>
                <w:szCs w:val="18"/>
              </w:rPr>
            </w:pPr>
            <w:r>
              <w:rPr>
                <w:rFonts w:hint="eastAsia" w:ascii="宋体" w:hAnsi="宋体" w:cs="宋体"/>
                <w:b/>
                <w:bCs/>
                <w:kern w:val="0"/>
                <w:sz w:val="18"/>
                <w:szCs w:val="18"/>
              </w:rPr>
              <w:t>序号</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b/>
                <w:bCs/>
                <w:sz w:val="18"/>
                <w:szCs w:val="18"/>
              </w:rPr>
            </w:pPr>
            <w:r>
              <w:rPr>
                <w:rFonts w:hint="eastAsia" w:ascii="宋体" w:hAnsi="宋体" w:cs="宋体"/>
                <w:b/>
                <w:bCs/>
                <w:kern w:val="0"/>
                <w:sz w:val="18"/>
                <w:szCs w:val="18"/>
              </w:rPr>
              <w:t>设备名称</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b/>
                <w:bCs/>
                <w:sz w:val="18"/>
                <w:szCs w:val="18"/>
              </w:rPr>
            </w:pPr>
            <w:r>
              <w:rPr>
                <w:rFonts w:hint="eastAsia" w:ascii="宋体" w:hAnsi="宋体" w:cs="宋体"/>
                <w:b/>
                <w:bCs/>
                <w:kern w:val="0"/>
                <w:sz w:val="18"/>
                <w:szCs w:val="18"/>
              </w:rPr>
              <w:t>参数要求</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b/>
                <w:bCs/>
                <w:sz w:val="18"/>
                <w:szCs w:val="18"/>
              </w:rPr>
            </w:pPr>
            <w:r>
              <w:rPr>
                <w:rFonts w:hint="eastAsia" w:ascii="宋体" w:hAnsi="宋体" w:cs="宋体"/>
                <w:b/>
                <w:bCs/>
                <w:kern w:val="0"/>
                <w:sz w:val="18"/>
                <w:szCs w:val="18"/>
              </w:rPr>
              <w:t>单位</w:t>
            </w:r>
          </w:p>
        </w:tc>
        <w:tc>
          <w:tcPr>
            <w:tcW w:w="25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b/>
                <w:bCs/>
                <w:sz w:val="18"/>
                <w:szCs w:val="18"/>
              </w:rPr>
            </w:pPr>
            <w:r>
              <w:rPr>
                <w:rFonts w:hint="eastAsia" w:ascii="宋体" w:hAnsi="宋体" w:cs="宋体"/>
                <w:b/>
                <w:bCs/>
                <w:kern w:val="0"/>
                <w:sz w:val="18"/>
                <w:szCs w:val="18"/>
              </w:rPr>
              <w:t>数量</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b/>
                <w:bCs/>
                <w:sz w:val="18"/>
                <w:szCs w:val="18"/>
              </w:rPr>
            </w:pPr>
            <w:r>
              <w:rPr>
                <w:rFonts w:hint="eastAsia" w:ascii="宋体" w:hAnsi="宋体" w:cs="宋体"/>
                <w:b/>
                <w:bCs/>
                <w:kern w:val="0"/>
                <w:sz w:val="18"/>
                <w:szCs w:val="18"/>
              </w:rPr>
              <w:t>备注</w:t>
            </w:r>
          </w:p>
        </w:tc>
      </w:tr>
      <w:tr>
        <w:tblPrEx>
          <w:tblCellMar>
            <w:top w:w="0" w:type="dxa"/>
            <w:left w:w="108" w:type="dxa"/>
            <w:bottom w:w="0" w:type="dxa"/>
            <w:right w:w="108" w:type="dxa"/>
          </w:tblCellMar>
        </w:tblPrEx>
        <w:trPr>
          <w:trHeight w:val="500" w:hRule="atLeast"/>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sz w:val="18"/>
                <w:szCs w:val="18"/>
              </w:rPr>
            </w:pPr>
            <w:r>
              <w:rPr>
                <w:rFonts w:hint="eastAsia" w:ascii="宋体" w:hAnsi="宋体" w:cs="宋体"/>
                <w:kern w:val="0"/>
                <w:sz w:val="18"/>
                <w:szCs w:val="18"/>
              </w:rPr>
              <w:t>一、交通信号灯设备</w:t>
            </w:r>
          </w:p>
        </w:tc>
      </w:tr>
      <w:tr>
        <w:tblPrEx>
          <w:tblCellMar>
            <w:top w:w="0" w:type="dxa"/>
            <w:left w:w="108" w:type="dxa"/>
            <w:bottom w:w="0" w:type="dxa"/>
            <w:right w:w="108" w:type="dxa"/>
          </w:tblCellMar>
        </w:tblPrEx>
        <w:trPr>
          <w:trHeight w:val="818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集中协调式交通信号机</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sz w:val="18"/>
                <w:szCs w:val="18"/>
              </w:rPr>
            </w:pPr>
            <w:r>
              <w:rPr>
                <w:rFonts w:hint="eastAsia" w:ascii="宋体" w:hAnsi="宋体" w:cs="宋体"/>
                <w:kern w:val="0"/>
                <w:sz w:val="18"/>
                <w:szCs w:val="18"/>
              </w:rPr>
              <w:t>1、功能要求</w:t>
            </w:r>
            <w:r>
              <w:rPr>
                <w:rFonts w:hint="eastAsia" w:ascii="宋体" w:hAnsi="宋体" w:cs="宋体"/>
                <w:kern w:val="0"/>
                <w:sz w:val="18"/>
                <w:szCs w:val="18"/>
              </w:rPr>
              <w:br w:type="textWrapping"/>
            </w:r>
            <w:r>
              <w:rPr>
                <w:rFonts w:hint="eastAsia" w:ascii="宋体" w:hAnsi="宋体" w:cs="宋体"/>
                <w:kern w:val="0"/>
                <w:sz w:val="18"/>
                <w:szCs w:val="18"/>
              </w:rPr>
              <w:t>（1）联网远程控制：可实现有线，接收中心远程优化控制，可在线修改配时参数，在线显示各相位状态、故障状态；</w:t>
            </w:r>
            <w:r>
              <w:rPr>
                <w:rFonts w:hint="eastAsia" w:ascii="宋体" w:hAnsi="宋体" w:cs="宋体"/>
                <w:kern w:val="0"/>
                <w:sz w:val="18"/>
                <w:szCs w:val="18"/>
              </w:rPr>
              <w:br w:type="textWrapping"/>
            </w:r>
            <w:r>
              <w:rPr>
                <w:rFonts w:hint="eastAsia" w:ascii="宋体" w:hAnsi="宋体" w:cs="宋体"/>
                <w:kern w:val="0"/>
                <w:sz w:val="18"/>
                <w:szCs w:val="18"/>
              </w:rPr>
              <w:t>（2）无电缆绿波线控：同一主干道上的多个信号机以指定的某一路口信号机为基准，通过配置周期与相位差，利用GPS 或联网授时，协调时间，实现线协调控制；</w:t>
            </w:r>
            <w:r>
              <w:rPr>
                <w:rFonts w:hint="eastAsia" w:ascii="宋体" w:hAnsi="宋体" w:cs="宋体"/>
                <w:kern w:val="0"/>
                <w:sz w:val="18"/>
                <w:szCs w:val="18"/>
              </w:rPr>
              <w:br w:type="textWrapping"/>
            </w:r>
            <w:r>
              <w:rPr>
                <w:rFonts w:hint="eastAsia" w:ascii="宋体" w:hAnsi="宋体" w:cs="宋体"/>
                <w:kern w:val="0"/>
                <w:sz w:val="18"/>
                <w:szCs w:val="18"/>
              </w:rPr>
              <w:t>（3）多时段控制：根据不同时间段的车流量大小将一天分为若干个时间段，并配以不同的控制方式及配时方案。一般时段的划分可通过交通调查分析或经验获得。设置内容包括事件、控制模式、控制方案、节假日方案等；</w:t>
            </w:r>
            <w:r>
              <w:rPr>
                <w:rFonts w:hint="eastAsia" w:ascii="宋体" w:hAnsi="宋体" w:cs="宋体"/>
                <w:kern w:val="0"/>
                <w:sz w:val="18"/>
                <w:szCs w:val="18"/>
              </w:rPr>
              <w:br w:type="textWrapping"/>
            </w:r>
            <w:r>
              <w:rPr>
                <w:rFonts w:hint="eastAsia" w:ascii="宋体" w:hAnsi="宋体" w:cs="宋体"/>
                <w:kern w:val="0"/>
                <w:sz w:val="18"/>
                <w:szCs w:val="18"/>
              </w:rPr>
              <w:t>（4）自适应控制：通过车辆检测器检测进入路口的车流量状态，根据预置的预测算法规则，实时自动地调整周期、绿信比等参数以适应交通流变化。当运行到该相位时，如果车辆突然减少，则提前结束当前相位；若超过设定最大车辆间隔，则向下一相位预支一段时间，以获得路口车辆的最高放行效率，实现单交叉口的自适应控制；</w:t>
            </w:r>
            <w:r>
              <w:rPr>
                <w:rFonts w:hint="eastAsia" w:ascii="宋体" w:hAnsi="宋体" w:cs="宋体"/>
                <w:kern w:val="0"/>
                <w:sz w:val="18"/>
                <w:szCs w:val="18"/>
              </w:rPr>
              <w:br w:type="textWrapping"/>
            </w:r>
            <w:r>
              <w:rPr>
                <w:rFonts w:hint="eastAsia" w:ascii="宋体" w:hAnsi="宋体" w:cs="宋体"/>
                <w:kern w:val="0"/>
                <w:sz w:val="18"/>
                <w:szCs w:val="18"/>
              </w:rPr>
              <w:t xml:space="preserve">（5）感应控制：根据相位对应车道检测器的实施车辆信息，控制相位放行，当车辆间隔大于设定值或浪费时间大于设定值或相位长大于设定值则结束当前相位。感应控制包括半感应、全感应控制，可设置感应控制参数，具备线协调感应控制功能； </w:t>
            </w:r>
            <w:r>
              <w:rPr>
                <w:rFonts w:hint="eastAsia" w:ascii="宋体" w:hAnsi="宋体" w:cs="宋体"/>
                <w:kern w:val="0"/>
                <w:sz w:val="18"/>
                <w:szCs w:val="18"/>
              </w:rPr>
              <w:br w:type="textWrapping"/>
            </w:r>
            <w:r>
              <w:rPr>
                <w:rFonts w:hint="eastAsia" w:ascii="宋体" w:hAnsi="宋体" w:cs="宋体"/>
                <w:kern w:val="0"/>
                <w:sz w:val="18"/>
                <w:szCs w:val="18"/>
              </w:rPr>
              <w:t>（6）手动控制：按动手动按钮，控制相位的递进，在机箱侧门有手动控制按钮，实现手动控制；</w:t>
            </w:r>
            <w:r>
              <w:rPr>
                <w:rFonts w:hint="eastAsia" w:ascii="宋体" w:hAnsi="宋体" w:cs="宋体"/>
                <w:kern w:val="0"/>
                <w:sz w:val="18"/>
                <w:szCs w:val="18"/>
              </w:rPr>
              <w:br w:type="textWrapping"/>
            </w:r>
            <w:r>
              <w:rPr>
                <w:rFonts w:hint="eastAsia" w:ascii="宋体" w:hAnsi="宋体" w:cs="宋体"/>
                <w:kern w:val="0"/>
                <w:sz w:val="18"/>
                <w:szCs w:val="18"/>
              </w:rPr>
              <w:t>（7）黄闪控制：黄灯按一定的频率闪烁。有软件黄闪和独立黄闪。软件黄闪为正常的工作方式，一般用于深夜车辆稀少的时段。独立黄闪为硬件控制的黄闪，将切断灯驱动模块的输出，一般用于故障、维护；</w:t>
            </w:r>
            <w:r>
              <w:rPr>
                <w:rFonts w:hint="eastAsia" w:ascii="宋体" w:hAnsi="宋体" w:cs="宋体"/>
                <w:kern w:val="0"/>
                <w:sz w:val="18"/>
                <w:szCs w:val="18"/>
              </w:rPr>
              <w:br w:type="textWrapping"/>
            </w:r>
            <w:r>
              <w:rPr>
                <w:rFonts w:hint="eastAsia" w:ascii="宋体" w:hAnsi="宋体" w:cs="宋体"/>
                <w:kern w:val="0"/>
                <w:sz w:val="18"/>
                <w:szCs w:val="18"/>
              </w:rPr>
              <w:t>（8）关灯控制：熄灭所有的信号灯输出。</w:t>
            </w:r>
            <w:r>
              <w:rPr>
                <w:rFonts w:hint="eastAsia" w:ascii="宋体" w:hAnsi="宋体" w:cs="宋体"/>
                <w:kern w:val="0"/>
                <w:sz w:val="18"/>
                <w:szCs w:val="18"/>
              </w:rPr>
              <w:br w:type="textWrapping"/>
            </w:r>
            <w:r>
              <w:rPr>
                <w:rFonts w:hint="eastAsia" w:ascii="宋体" w:hAnsi="宋体" w:cs="宋体"/>
                <w:kern w:val="0"/>
                <w:sz w:val="18"/>
                <w:szCs w:val="18"/>
              </w:rPr>
              <w:t>（9）全红控制：所有灯组全红，用于疏导交通。</w:t>
            </w:r>
            <w:r>
              <w:rPr>
                <w:rFonts w:hint="eastAsia" w:ascii="宋体" w:hAnsi="宋体" w:cs="宋体"/>
                <w:kern w:val="0"/>
                <w:sz w:val="18"/>
                <w:szCs w:val="18"/>
              </w:rPr>
              <w:br w:type="textWrapping"/>
            </w:r>
            <w:r>
              <w:rPr>
                <w:rFonts w:hint="eastAsia" w:ascii="宋体" w:hAnsi="宋体" w:cs="宋体"/>
                <w:kern w:val="0"/>
                <w:sz w:val="18"/>
                <w:szCs w:val="18"/>
              </w:rPr>
              <w:t>（10）行人过街控制：平时按照设置正常运行，有人按行人按钮后，平滑切换到行人放行，按照设置的行人放行时间执行结束后，自动恢复到正常运行。</w:t>
            </w:r>
            <w:r>
              <w:rPr>
                <w:rFonts w:hint="eastAsia" w:ascii="宋体" w:hAnsi="宋体" w:cs="宋体"/>
                <w:kern w:val="0"/>
                <w:sz w:val="18"/>
                <w:szCs w:val="18"/>
              </w:rPr>
              <w:br w:type="textWrapping"/>
            </w:r>
            <w:r>
              <w:rPr>
                <w:rFonts w:hint="eastAsia" w:ascii="宋体" w:hAnsi="宋体" w:cs="宋体"/>
                <w:kern w:val="0"/>
                <w:sz w:val="18"/>
                <w:szCs w:val="18"/>
              </w:rPr>
              <w:t>（11）交通信号控制机必须具备防止网络风暴功能，在网络风暴环境下能够正常运行，交通信号控制机在网络风暴环境（网络环路状态）下，能够正常运行，不黄闪；</w:t>
            </w:r>
            <w:r>
              <w:rPr>
                <w:rFonts w:hint="eastAsia" w:ascii="宋体" w:hAnsi="宋体" w:cs="宋体"/>
                <w:kern w:val="0"/>
                <w:sz w:val="18"/>
                <w:szCs w:val="18"/>
              </w:rPr>
              <w:br w:type="textWrapping"/>
            </w:r>
            <w:r>
              <w:rPr>
                <w:rFonts w:hint="eastAsia" w:ascii="宋体" w:hAnsi="宋体" w:cs="宋体"/>
                <w:kern w:val="0"/>
                <w:sz w:val="18"/>
                <w:szCs w:val="18"/>
              </w:rPr>
              <w:t>（12）信号机支持板载程序的远程升级及现场维护升级。</w:t>
            </w:r>
            <w:r>
              <w:rPr>
                <w:rFonts w:hint="eastAsia" w:ascii="宋体" w:hAnsi="宋体" w:cs="宋体"/>
                <w:kern w:val="0"/>
                <w:sz w:val="18"/>
                <w:szCs w:val="18"/>
              </w:rPr>
              <w:br w:type="textWrapping"/>
            </w:r>
            <w:r>
              <w:rPr>
                <w:rFonts w:hint="eastAsia" w:ascii="宋体" w:hAnsi="宋体" w:cs="宋体"/>
                <w:kern w:val="0"/>
                <w:sz w:val="18"/>
                <w:szCs w:val="18"/>
              </w:rPr>
              <w:t>（13）侧门支持特勤控制，具有密码解锁功能、全红、关灯、黄闪、东放行、东西直右放行、南放行、南北直右放行、西放行、东西左转放行、北放行、南北左放行等特勤功能。</w:t>
            </w:r>
            <w:r>
              <w:rPr>
                <w:rFonts w:hint="eastAsia" w:ascii="宋体" w:hAnsi="宋体" w:cs="宋体"/>
                <w:kern w:val="0"/>
                <w:sz w:val="18"/>
                <w:szCs w:val="18"/>
              </w:rPr>
              <w:br w:type="textWrapping"/>
            </w:r>
            <w:r>
              <w:rPr>
                <w:rFonts w:hint="eastAsia" w:ascii="宋体" w:hAnsi="宋体" w:cs="宋体"/>
                <w:kern w:val="0"/>
                <w:sz w:val="18"/>
                <w:szCs w:val="18"/>
              </w:rPr>
              <w:t>（14）信号机提供应急电源输入接口，在市电异常断电情况下，可手动切换备用电源。</w:t>
            </w:r>
            <w:r>
              <w:rPr>
                <w:rFonts w:hint="eastAsia" w:ascii="宋体" w:hAnsi="宋体" w:cs="宋体"/>
                <w:kern w:val="0"/>
                <w:sz w:val="18"/>
                <w:szCs w:val="18"/>
              </w:rPr>
              <w:br w:type="textWrapping"/>
            </w:r>
            <w:r>
              <w:rPr>
                <w:rFonts w:hint="eastAsia" w:ascii="宋体" w:hAnsi="宋体" w:cs="宋体"/>
                <w:kern w:val="0"/>
                <w:sz w:val="18"/>
                <w:szCs w:val="18"/>
              </w:rPr>
              <w:t>（15）信号机支持学习型倒计时，脉冲倒计时，通讯型倒计时。</w:t>
            </w:r>
            <w:r>
              <w:rPr>
                <w:rFonts w:hint="eastAsia" w:ascii="宋体" w:hAnsi="宋体" w:cs="宋体"/>
                <w:kern w:val="0"/>
                <w:sz w:val="18"/>
                <w:szCs w:val="18"/>
              </w:rPr>
              <w:br w:type="textWrapping"/>
            </w:r>
            <w:r>
              <w:rPr>
                <w:rFonts w:hint="eastAsia" w:ascii="宋体" w:hAnsi="宋体" w:cs="宋体"/>
                <w:kern w:val="0"/>
                <w:sz w:val="18"/>
                <w:szCs w:val="18"/>
              </w:rPr>
              <w:t>（16）日志记录：记录信号机运行参数、检测器故障、信号灯故障、绿冲突故障，支持远程查询和数据导出。</w:t>
            </w:r>
            <w:r>
              <w:rPr>
                <w:rFonts w:hint="eastAsia" w:ascii="宋体" w:hAnsi="宋体" w:cs="宋体"/>
                <w:kern w:val="0"/>
                <w:sz w:val="18"/>
                <w:szCs w:val="18"/>
              </w:rPr>
              <w:br w:type="textWrapping"/>
            </w:r>
            <w:r>
              <w:rPr>
                <w:rFonts w:hint="eastAsia" w:ascii="宋体" w:hAnsi="宋体" w:cs="宋体"/>
                <w:kern w:val="0"/>
                <w:sz w:val="18"/>
                <w:szCs w:val="18"/>
              </w:rPr>
              <w:t>（17）在区域联控状态下，信号机完全听命于区域控制机的指令工作。在信号机－通信－区域机三者之一出现故障时，信号机自动退出联网控制恢复到设定的控制方式运行，以保证路口的正常运行，避免因通信故障导致的交通失控。</w:t>
            </w:r>
            <w:r>
              <w:rPr>
                <w:rFonts w:hint="eastAsia" w:ascii="宋体" w:hAnsi="宋体" w:cs="宋体"/>
                <w:kern w:val="0"/>
                <w:sz w:val="18"/>
                <w:szCs w:val="18"/>
              </w:rPr>
              <w:br w:type="textWrapping"/>
            </w:r>
            <w:r>
              <w:rPr>
                <w:rFonts w:hint="eastAsia" w:ascii="宋体" w:hAnsi="宋体" w:cs="宋体"/>
                <w:kern w:val="0"/>
                <w:sz w:val="18"/>
                <w:szCs w:val="18"/>
              </w:rPr>
              <w:t>（18）在联网方式下，控制管理人员可通过中心计算机的系统软件，以系统自适应优化控制、预置多段式固定配时、人工直接干预控制等多种方式，直接控制路口的信号配时。同时控制管理人员可通过图形界面，配置路口的特征参数、控制参数，直接下载至路口信号控制机，更新路口数据，大大方便系统的运行维护。</w:t>
            </w:r>
            <w:r>
              <w:rPr>
                <w:rFonts w:hint="eastAsia" w:ascii="宋体" w:hAnsi="宋体" w:cs="宋体"/>
                <w:kern w:val="0"/>
                <w:sz w:val="18"/>
                <w:szCs w:val="18"/>
              </w:rPr>
              <w:br w:type="textWrapping"/>
            </w:r>
            <w:r>
              <w:rPr>
                <w:rFonts w:hint="eastAsia" w:ascii="宋体" w:hAnsi="宋体" w:cs="宋体"/>
                <w:kern w:val="0"/>
                <w:sz w:val="18"/>
                <w:szCs w:val="18"/>
              </w:rPr>
              <w:t>（19）信号机具有绿冲突检测和红绿冲突检测功能，对检测到的冲突可上传中心报警；</w:t>
            </w:r>
            <w:r>
              <w:rPr>
                <w:rFonts w:hint="eastAsia" w:ascii="宋体" w:hAnsi="宋体" w:cs="宋体"/>
                <w:kern w:val="0"/>
                <w:sz w:val="18"/>
                <w:szCs w:val="18"/>
              </w:rPr>
              <w:br w:type="textWrapping"/>
            </w:r>
            <w:r>
              <w:rPr>
                <w:rFonts w:hint="eastAsia" w:ascii="宋体" w:hAnsi="宋体" w:cs="宋体"/>
                <w:kern w:val="0"/>
                <w:sz w:val="18"/>
                <w:szCs w:val="18"/>
              </w:rPr>
              <w:t>2、技术参数规格</w:t>
            </w:r>
            <w:r>
              <w:rPr>
                <w:rFonts w:hint="eastAsia" w:ascii="宋体" w:hAnsi="宋体" w:cs="宋体"/>
                <w:kern w:val="0"/>
                <w:sz w:val="18"/>
                <w:szCs w:val="18"/>
              </w:rPr>
              <w:br w:type="textWrapping"/>
            </w:r>
            <w:r>
              <w:rPr>
                <w:rFonts w:hint="eastAsia" w:ascii="宋体" w:hAnsi="宋体" w:cs="宋体"/>
                <w:kern w:val="0"/>
                <w:sz w:val="18"/>
                <w:szCs w:val="18"/>
              </w:rPr>
              <w:t>（1）至少支持16相位，最多可扩展支持24相位，支持接入线圈、地磁、视频、微波等检测器，最大可支持接入24路车检输入。</w:t>
            </w:r>
            <w:r>
              <w:rPr>
                <w:rFonts w:hint="eastAsia" w:ascii="宋体" w:hAnsi="宋体" w:cs="宋体"/>
                <w:kern w:val="0"/>
                <w:sz w:val="18"/>
                <w:szCs w:val="18"/>
              </w:rPr>
              <w:br w:type="textWrapping"/>
            </w:r>
            <w:r>
              <w:rPr>
                <w:rFonts w:hint="eastAsia" w:ascii="宋体" w:hAnsi="宋体" w:cs="宋体"/>
                <w:kern w:val="0"/>
                <w:sz w:val="18"/>
                <w:szCs w:val="18"/>
              </w:rPr>
              <w:t>（2）信号机含配置屏幕，可通过人机交互进行方案的配置，并直观查看路口红绿灯的放行状态。</w:t>
            </w:r>
            <w:r>
              <w:rPr>
                <w:rFonts w:hint="eastAsia" w:ascii="宋体" w:hAnsi="宋体" w:cs="宋体"/>
                <w:kern w:val="0"/>
                <w:sz w:val="18"/>
                <w:szCs w:val="18"/>
              </w:rPr>
              <w:br w:type="textWrapping"/>
            </w:r>
            <w:r>
              <w:rPr>
                <w:rFonts w:hint="eastAsia" w:ascii="宋体" w:hAnsi="宋体" w:cs="宋体"/>
                <w:kern w:val="0"/>
                <w:sz w:val="18"/>
                <w:szCs w:val="18"/>
              </w:rPr>
              <w:t>（3）电气性能指标：32位处理器，采用插拔式模块化结构设计，最大驱动功率800W（AC220V）；交流输入：220±44VAC，50±2Hz；整机功耗：小于100W；相对湿度：0～95%（不结露）；防护等级：IP54;绝缘电阻：大于500MΩ；</w:t>
            </w:r>
            <w:r>
              <w:rPr>
                <w:rFonts w:hint="eastAsia" w:ascii="宋体" w:hAnsi="宋体" w:cs="宋体"/>
                <w:kern w:val="0"/>
                <w:sz w:val="18"/>
                <w:szCs w:val="18"/>
              </w:rPr>
              <w:br w:type="textWrapping"/>
            </w:r>
            <w:r>
              <w:rPr>
                <w:rFonts w:hint="eastAsia" w:ascii="宋体" w:hAnsi="宋体" w:cs="宋体"/>
                <w:kern w:val="0"/>
                <w:sz w:val="18"/>
                <w:szCs w:val="18"/>
              </w:rPr>
              <w:t>（4）交通信号控制机至少具备1个RS232接口，1个485接口， 1个10/100Base-T Ethernet以太网通讯接口；支持4个行人请求按钮及4个二次过街按钮，可扩展48个行人请求。</w:t>
            </w:r>
            <w:r>
              <w:rPr>
                <w:rFonts w:hint="eastAsia" w:ascii="宋体" w:hAnsi="宋体" w:cs="宋体"/>
                <w:kern w:val="0"/>
                <w:sz w:val="18"/>
                <w:szCs w:val="18"/>
              </w:rPr>
              <w:br w:type="textWrapping"/>
            </w:r>
            <w:r>
              <w:rPr>
                <w:rFonts w:hint="eastAsia" w:ascii="宋体" w:hAnsi="宋体" w:cs="宋体"/>
                <w:kern w:val="0"/>
                <w:sz w:val="18"/>
                <w:szCs w:val="18"/>
              </w:rPr>
              <w:t>（5）基本标准配置不少于独立48灯控端子输出，具备扩充到独立72路以上输出的能力；</w:t>
            </w:r>
            <w:r>
              <w:rPr>
                <w:rFonts w:hint="eastAsia" w:ascii="宋体" w:hAnsi="宋体" w:cs="宋体"/>
                <w:kern w:val="0"/>
                <w:sz w:val="18"/>
                <w:szCs w:val="18"/>
              </w:rPr>
              <w:br w:type="textWrapping"/>
            </w:r>
            <w:r>
              <w:rPr>
                <w:rFonts w:hint="eastAsia" w:ascii="宋体" w:hAnsi="宋体" w:cs="宋体"/>
                <w:kern w:val="0"/>
                <w:sz w:val="18"/>
                <w:szCs w:val="18"/>
              </w:rPr>
              <w:t>（6）至少有 “星期”和“普通日”三种控制模式，交通信号控制机支持配置不小于32个时段32个调度表，32种配时方案，满足路口配置需求；</w:t>
            </w:r>
            <w:r>
              <w:rPr>
                <w:rFonts w:hint="eastAsia" w:ascii="宋体" w:hAnsi="宋体" w:cs="宋体"/>
                <w:kern w:val="0"/>
                <w:sz w:val="18"/>
                <w:szCs w:val="18"/>
              </w:rPr>
              <w:br w:type="textWrapping"/>
            </w:r>
            <w:r>
              <w:rPr>
                <w:rFonts w:hint="eastAsia" w:ascii="宋体" w:hAnsi="宋体" w:cs="宋体"/>
                <w:kern w:val="0"/>
                <w:sz w:val="18"/>
                <w:szCs w:val="18"/>
              </w:rPr>
              <w:t>（7）时钟精度：时钟精度在24小时内为±2秒；在控制模式转换、配时方案变化时，信号应实现平滑过渡；时钟校正需求接收并执行中心校时命令，具备GPS校时；</w:t>
            </w:r>
            <w:r>
              <w:rPr>
                <w:rFonts w:hint="eastAsia" w:ascii="宋体" w:hAnsi="宋体" w:cs="宋体"/>
                <w:kern w:val="0"/>
                <w:sz w:val="18"/>
                <w:szCs w:val="18"/>
              </w:rPr>
              <w:br w:type="textWrapping"/>
            </w:r>
            <w:r>
              <w:rPr>
                <w:rFonts w:hint="eastAsia" w:ascii="宋体" w:hAnsi="宋体" w:cs="宋体"/>
                <w:kern w:val="0"/>
                <w:sz w:val="18"/>
                <w:szCs w:val="18"/>
              </w:rPr>
              <w:t>（8）具备电磁兼容性保护、过载过压保护，通过CE认证；</w:t>
            </w:r>
            <w:r>
              <w:rPr>
                <w:rFonts w:hint="eastAsia" w:ascii="宋体" w:hAnsi="宋体" w:cs="宋体"/>
                <w:kern w:val="0"/>
                <w:sz w:val="18"/>
                <w:szCs w:val="18"/>
              </w:rPr>
              <w:br w:type="textWrapping"/>
            </w:r>
            <w:r>
              <w:rPr>
                <w:rFonts w:hint="eastAsia" w:ascii="宋体" w:hAnsi="宋体" w:cs="宋体"/>
                <w:kern w:val="0"/>
                <w:sz w:val="18"/>
                <w:szCs w:val="18"/>
              </w:rPr>
              <w:t>（9）启动时序当信号机通电开始运行时信号机应先进行自检，在正常情况下，按正常时序启动；</w:t>
            </w:r>
            <w:r>
              <w:rPr>
                <w:rFonts w:hint="eastAsia" w:ascii="宋体" w:hAnsi="宋体" w:cs="宋体"/>
                <w:kern w:val="0"/>
                <w:sz w:val="18"/>
                <w:szCs w:val="18"/>
              </w:rPr>
              <w:br w:type="textWrapping"/>
            </w:r>
            <w:r>
              <w:rPr>
                <w:rFonts w:hint="eastAsia" w:ascii="宋体" w:hAnsi="宋体" w:cs="宋体"/>
                <w:kern w:val="0"/>
                <w:sz w:val="18"/>
                <w:szCs w:val="18"/>
              </w:rPr>
              <w:t>（10）具备断电情况下的数据保存功能，实现无电池供电情况下可保存十年；</w:t>
            </w:r>
            <w:r>
              <w:rPr>
                <w:rFonts w:hint="eastAsia" w:ascii="宋体" w:hAnsi="宋体" w:cs="宋体"/>
                <w:kern w:val="0"/>
                <w:sz w:val="18"/>
                <w:szCs w:val="18"/>
              </w:rPr>
              <w:br w:type="textWrapping"/>
            </w:r>
            <w:r>
              <w:rPr>
                <w:rFonts w:hint="eastAsia" w:ascii="宋体" w:hAnsi="宋体" w:cs="宋体"/>
                <w:kern w:val="0"/>
                <w:sz w:val="18"/>
                <w:szCs w:val="18"/>
              </w:rPr>
              <w:t>（11）机柜材料采用防腐防锈的镀锌材质，机柜门采用防撬铰链，门锁采用杆栓连动装置，前后门开门角度可达180度。主体外表面无任何突起，周边缝隙小，机柜内部应设有内部照明装置，印刷电路板材料及部件应进行防潮、防腐、防盐雾的处理；</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台</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11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132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2</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一体车行信号灯灯盘</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sz w:val="18"/>
                <w:szCs w:val="18"/>
              </w:rPr>
            </w:pPr>
            <w:r>
              <w:rPr>
                <w:rFonts w:hint="eastAsia" w:ascii="宋体" w:hAnsi="宋体" w:cs="宋体"/>
                <w:kern w:val="0"/>
                <w:sz w:val="18"/>
                <w:szCs w:val="18"/>
              </w:rPr>
              <w:t>道路交通信号灯单灯必须符合国家标准GB14887-2011《道路交通信号灯》全部技术规定，并通过公安部交通安全产品质量监督检测中心的检测。</w:t>
            </w:r>
            <w:r>
              <w:rPr>
                <w:rFonts w:hint="eastAsia" w:ascii="宋体" w:hAnsi="宋体" w:cs="宋体"/>
                <w:kern w:val="0"/>
                <w:sz w:val="18"/>
                <w:szCs w:val="18"/>
              </w:rPr>
              <w:br w:type="textWrapping"/>
            </w:r>
            <w:r>
              <w:rPr>
                <w:rFonts w:hint="eastAsia" w:ascii="宋体" w:hAnsi="宋体" w:cs="宋体"/>
                <w:kern w:val="0"/>
                <w:sz w:val="18"/>
                <w:szCs w:val="18"/>
              </w:rPr>
              <w:t>道路交通信号灯光源必须采用户外型超亮度发光二极管（LED），使用寿命不少于50000小时。</w:t>
            </w:r>
            <w:r>
              <w:rPr>
                <w:rFonts w:hint="eastAsia" w:ascii="宋体" w:hAnsi="宋体" w:cs="宋体"/>
                <w:kern w:val="0"/>
                <w:sz w:val="18"/>
                <w:szCs w:val="18"/>
              </w:rPr>
              <w:br w:type="textWrapping"/>
            </w:r>
            <w:r>
              <w:rPr>
                <w:rFonts w:hint="eastAsia" w:ascii="宋体" w:hAnsi="宋体" w:cs="宋体"/>
                <w:kern w:val="0"/>
                <w:sz w:val="18"/>
                <w:szCs w:val="18"/>
              </w:rPr>
              <w:t>信号灯灯具材质为铝质金属材料。灯芯透镜尺寸采用￠300mm或￠400mm规格，相同规格的灯芯可以互换。</w:t>
            </w:r>
            <w:r>
              <w:rPr>
                <w:rFonts w:hint="eastAsia" w:ascii="宋体" w:hAnsi="宋体" w:cs="宋体"/>
                <w:kern w:val="0"/>
                <w:sz w:val="18"/>
                <w:szCs w:val="18"/>
              </w:rPr>
              <w:br w:type="textWrapping"/>
            </w:r>
            <w:r>
              <w:rPr>
                <w:rFonts w:hint="eastAsia" w:ascii="宋体" w:hAnsi="宋体" w:cs="宋体"/>
                <w:kern w:val="0"/>
                <w:sz w:val="18"/>
                <w:szCs w:val="18"/>
              </w:rPr>
              <w:t>信号灯需采用恒流供电电路，单体信号灯功率￠400mm规格不超过20VA；￠300mm规格不超过15VA。</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套</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8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9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3</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人行横道信号灯</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sz w:val="18"/>
                <w:szCs w:val="18"/>
              </w:rPr>
            </w:pPr>
            <w:r>
              <w:rPr>
                <w:rFonts w:hint="eastAsia" w:ascii="宋体" w:hAnsi="宋体" w:cs="宋体"/>
                <w:kern w:val="0"/>
                <w:sz w:val="18"/>
                <w:szCs w:val="18"/>
              </w:rPr>
              <w:t>道路交通信号灯单灯必须符合国家标准GB14887-2011《道路交通信号灯》全部技术规定，并通过公安部交通安全产品质量监督检测中心的检测。</w:t>
            </w:r>
            <w:r>
              <w:rPr>
                <w:rFonts w:hint="eastAsia" w:ascii="宋体" w:hAnsi="宋体" w:cs="宋体"/>
                <w:kern w:val="0"/>
                <w:sz w:val="18"/>
                <w:szCs w:val="18"/>
              </w:rPr>
              <w:br w:type="textWrapping"/>
            </w:r>
            <w:r>
              <w:rPr>
                <w:rFonts w:hint="eastAsia" w:ascii="宋体" w:hAnsi="宋体" w:cs="宋体"/>
                <w:kern w:val="0"/>
                <w:sz w:val="18"/>
                <w:szCs w:val="18"/>
              </w:rPr>
              <w:t>道路交通信号灯光源必须采用户外型超亮度发光二极管（LED），使用寿命不少于50000小时。</w:t>
            </w:r>
            <w:r>
              <w:rPr>
                <w:rFonts w:hint="eastAsia" w:ascii="宋体" w:hAnsi="宋体" w:cs="宋体"/>
                <w:kern w:val="0"/>
                <w:sz w:val="18"/>
                <w:szCs w:val="18"/>
              </w:rPr>
              <w:br w:type="textWrapping"/>
            </w:r>
            <w:r>
              <w:rPr>
                <w:rFonts w:hint="eastAsia" w:ascii="宋体" w:hAnsi="宋体" w:cs="宋体"/>
                <w:kern w:val="0"/>
                <w:sz w:val="18"/>
                <w:szCs w:val="18"/>
              </w:rPr>
              <w:t>信号灯灯具材质为铝质金属材料。灯芯透镜尺寸采用￠300mm或￠400mm规格，相同规格的灯芯可以互换。</w:t>
            </w:r>
            <w:r>
              <w:rPr>
                <w:rFonts w:hint="eastAsia" w:ascii="宋体" w:hAnsi="宋体" w:cs="宋体"/>
                <w:kern w:val="0"/>
                <w:sz w:val="18"/>
                <w:szCs w:val="18"/>
              </w:rPr>
              <w:br w:type="textWrapping"/>
            </w:r>
            <w:r>
              <w:rPr>
                <w:rFonts w:hint="eastAsia" w:ascii="宋体" w:hAnsi="宋体" w:cs="宋体"/>
                <w:kern w:val="0"/>
                <w:sz w:val="18"/>
                <w:szCs w:val="18"/>
              </w:rPr>
              <w:t>信号灯需采用恒流供电电路，单体信号灯功率￠400mm规格不超过20VA；￠300mm规格不超过15VA。</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98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158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4</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一体人行信号灯灯盘</w:t>
            </w:r>
          </w:p>
        </w:tc>
        <w:tc>
          <w:tcPr>
            <w:tcW w:w="34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sz w:val="18"/>
                <w:szCs w:val="18"/>
              </w:rPr>
            </w:pPr>
            <w:r>
              <w:rPr>
                <w:rFonts w:hint="eastAsia" w:ascii="宋体" w:hAnsi="宋体" w:cs="宋体"/>
                <w:kern w:val="0"/>
                <w:sz w:val="18"/>
                <w:szCs w:val="18"/>
              </w:rPr>
              <w:t>道路交通信号灯单灯必须符合国家标准GB14887-2011《道路交通信号灯》全部技术规定，并通过公安部交通安全产品质量监督检测中心的检测。</w:t>
            </w:r>
            <w:r>
              <w:rPr>
                <w:rFonts w:hint="eastAsia" w:ascii="宋体" w:hAnsi="宋体" w:cs="宋体"/>
                <w:kern w:val="0"/>
                <w:sz w:val="18"/>
                <w:szCs w:val="18"/>
              </w:rPr>
              <w:br w:type="textWrapping"/>
            </w:r>
            <w:r>
              <w:rPr>
                <w:rFonts w:hint="eastAsia" w:ascii="宋体" w:hAnsi="宋体" w:cs="宋体"/>
                <w:kern w:val="0"/>
                <w:sz w:val="18"/>
                <w:szCs w:val="18"/>
              </w:rPr>
              <w:t>道路交通信号灯光源必须采用户外型超亮度发光二极管（LED），使用寿命不少于50000小时。</w:t>
            </w:r>
            <w:r>
              <w:rPr>
                <w:rFonts w:hint="eastAsia" w:ascii="宋体" w:hAnsi="宋体" w:cs="宋体"/>
                <w:kern w:val="0"/>
                <w:sz w:val="18"/>
                <w:szCs w:val="18"/>
              </w:rPr>
              <w:br w:type="textWrapping"/>
            </w:r>
            <w:r>
              <w:rPr>
                <w:rFonts w:hint="eastAsia" w:ascii="宋体" w:hAnsi="宋体" w:cs="宋体"/>
                <w:kern w:val="0"/>
                <w:sz w:val="18"/>
                <w:szCs w:val="18"/>
              </w:rPr>
              <w:t>信号灯灯具材质为铝质金属材料。灯芯透镜尺寸采用￠300mm或￠400mm规格，相同规格的灯芯可以互换。</w:t>
            </w:r>
            <w:r>
              <w:rPr>
                <w:rFonts w:hint="eastAsia" w:ascii="宋体" w:hAnsi="宋体" w:cs="宋体"/>
                <w:kern w:val="0"/>
                <w:sz w:val="18"/>
                <w:szCs w:val="18"/>
              </w:rPr>
              <w:br w:type="textWrapping"/>
            </w:r>
            <w:r>
              <w:rPr>
                <w:rFonts w:hint="eastAsia" w:ascii="宋体" w:hAnsi="宋体" w:cs="宋体"/>
                <w:kern w:val="0"/>
                <w:sz w:val="18"/>
                <w:szCs w:val="18"/>
              </w:rPr>
              <w:t>信号灯需采用恒流供电电路，单体信号灯功率￠400mm规格不超过20VA；￠300mm规格不超过15VA。</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套</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8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158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5</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机动车信号灯</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sz w:val="18"/>
                <w:szCs w:val="18"/>
              </w:rPr>
            </w:pPr>
            <w:r>
              <w:rPr>
                <w:rFonts w:hint="eastAsia" w:ascii="宋体" w:hAnsi="宋体" w:cs="宋体"/>
                <w:kern w:val="0"/>
                <w:sz w:val="18"/>
                <w:szCs w:val="18"/>
              </w:rPr>
              <w:t>道路交通信号灯单灯必须符合国家标准GB14887-2011《道路交通信号灯》全部技术规定，并通过公安部交通安全产品质量监督检测中心的检测。                     道路交通信号灯光源必须采用户外型超亮度发光二极管（LED），使用寿命不少于50000小时。</w:t>
            </w:r>
            <w:r>
              <w:rPr>
                <w:rFonts w:hint="eastAsia" w:ascii="宋体" w:hAnsi="宋体" w:cs="宋体"/>
                <w:kern w:val="0"/>
                <w:sz w:val="18"/>
                <w:szCs w:val="18"/>
              </w:rPr>
              <w:br w:type="textWrapping"/>
            </w:r>
            <w:r>
              <w:rPr>
                <w:rFonts w:hint="eastAsia" w:ascii="宋体" w:hAnsi="宋体" w:cs="宋体"/>
                <w:kern w:val="0"/>
                <w:sz w:val="18"/>
                <w:szCs w:val="18"/>
              </w:rPr>
              <w:t>信号灯灯具材质为铝质金属材料。灯芯透镜尺寸采用￠300mm或￠400mm规格，相同规格的灯芯可以互换。</w:t>
            </w:r>
            <w:r>
              <w:rPr>
                <w:rFonts w:hint="eastAsia" w:ascii="宋体" w:hAnsi="宋体" w:cs="宋体"/>
                <w:kern w:val="0"/>
                <w:sz w:val="18"/>
                <w:szCs w:val="18"/>
              </w:rPr>
              <w:br w:type="textWrapping"/>
            </w:r>
            <w:r>
              <w:rPr>
                <w:rFonts w:hint="eastAsia" w:ascii="宋体" w:hAnsi="宋体" w:cs="宋体"/>
                <w:kern w:val="0"/>
                <w:sz w:val="18"/>
                <w:szCs w:val="18"/>
              </w:rPr>
              <w:t>信号灯需采用恒流供电电路，单体信号灯功率￠400mm规格不超过20VA；￠300mm规格不超过15VA。</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76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158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6</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倒计时器</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sz w:val="18"/>
                <w:szCs w:val="18"/>
              </w:rPr>
            </w:pPr>
            <w:r>
              <w:rPr>
                <w:rFonts w:hint="eastAsia" w:ascii="宋体" w:hAnsi="宋体" w:cs="宋体"/>
                <w:kern w:val="0"/>
                <w:sz w:val="18"/>
                <w:szCs w:val="18"/>
              </w:rPr>
              <w:t>道路交通信号倒计时器安装在信号灯的上方或右方，机动车信号灯显示器规格为800mm×600mm，2位数码显示倒九秒提示，人行信号灯倒计时显示器透光面为Φ300mm或300mm×300mm。倒计时显示器的光学性能、工作条件、机械强度、电气性能均符合国家安全行业标准GA/T508-2014《道路交通信号倒计时显示器》的全部技术规定。</w:t>
            </w:r>
            <w:r>
              <w:rPr>
                <w:rFonts w:hint="eastAsia" w:ascii="宋体" w:hAnsi="宋体" w:cs="宋体"/>
                <w:kern w:val="0"/>
                <w:sz w:val="18"/>
                <w:szCs w:val="18"/>
              </w:rPr>
              <w:br w:type="textWrapping"/>
            </w:r>
            <w:r>
              <w:rPr>
                <w:rFonts w:hint="eastAsia" w:ascii="宋体" w:hAnsi="宋体" w:cs="宋体"/>
                <w:kern w:val="0"/>
                <w:sz w:val="18"/>
                <w:szCs w:val="18"/>
              </w:rPr>
              <w:t>倒计时器运行中遇到电磁、静电、电网等干扰时不能有死机现象。</w:t>
            </w:r>
            <w:r>
              <w:rPr>
                <w:rFonts w:hint="eastAsia" w:ascii="宋体" w:hAnsi="宋体" w:cs="宋体"/>
                <w:kern w:val="0"/>
                <w:sz w:val="18"/>
                <w:szCs w:val="18"/>
              </w:rPr>
              <w:br w:type="textWrapping"/>
            </w:r>
            <w:r>
              <w:rPr>
                <w:rFonts w:hint="eastAsia" w:ascii="宋体" w:hAnsi="宋体" w:cs="宋体"/>
                <w:kern w:val="0"/>
                <w:sz w:val="18"/>
                <w:szCs w:val="18"/>
              </w:rPr>
              <w:t>倒计时器必须经过过电压、过电流测试，具有防雷击功能。</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71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105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7</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警示灯</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sz w:val="18"/>
                <w:szCs w:val="18"/>
              </w:rPr>
            </w:pPr>
            <w:r>
              <w:rPr>
                <w:rFonts w:hint="eastAsia" w:ascii="宋体" w:hAnsi="宋体" w:cs="宋体"/>
                <w:kern w:val="0"/>
                <w:sz w:val="18"/>
                <w:szCs w:val="18"/>
              </w:rPr>
              <w:t>道路交通信号灯单灯必须符合国家标准GB14887-2011《道路交通信号灯》全部技术规定，并通过公安部交通安全产品质量监督检测中心的检测。                     道路交通信号灯光源必须采用户外型超亮度发光二极管（LED），使用寿命不少于50000小时。</w:t>
            </w:r>
            <w:r>
              <w:rPr>
                <w:rFonts w:hint="eastAsia" w:ascii="宋体" w:hAnsi="宋体" w:cs="宋体"/>
                <w:kern w:val="0"/>
                <w:sz w:val="18"/>
                <w:szCs w:val="18"/>
              </w:rPr>
              <w:br w:type="textWrapping"/>
            </w:r>
            <w:r>
              <w:rPr>
                <w:rFonts w:hint="eastAsia" w:ascii="宋体" w:hAnsi="宋体" w:cs="宋体"/>
                <w:kern w:val="0"/>
                <w:sz w:val="18"/>
                <w:szCs w:val="18"/>
              </w:rPr>
              <w:t>信号灯灯具材质为铝质金属材料。灯芯透镜尺寸采用￠300mm或￠400mm规格，相同规格的灯芯可以互换。</w:t>
            </w:r>
            <w:r>
              <w:rPr>
                <w:rFonts w:hint="eastAsia" w:ascii="宋体" w:hAnsi="宋体" w:cs="宋体"/>
                <w:kern w:val="0"/>
                <w:sz w:val="18"/>
                <w:szCs w:val="18"/>
              </w:rPr>
              <w:br w:type="textWrapping"/>
            </w:r>
            <w:r>
              <w:rPr>
                <w:rFonts w:hint="eastAsia" w:ascii="宋体" w:hAnsi="宋体" w:cs="宋体"/>
                <w:kern w:val="0"/>
                <w:sz w:val="18"/>
                <w:szCs w:val="18"/>
              </w:rPr>
              <w:t>信号灯需采用恒流供电电路，单体信号灯功率￠400mm规格不超过20VA；￠300mm规格不超过15VA。</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6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41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8</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3m人行灯立柱杆</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sz w:val="18"/>
                <w:szCs w:val="18"/>
              </w:rPr>
            </w:pPr>
            <w:r>
              <w:rPr>
                <w:rFonts w:hint="eastAsia" w:ascii="宋体" w:hAnsi="宋体" w:cs="宋体"/>
                <w:kern w:val="0"/>
                <w:sz w:val="18"/>
                <w:szCs w:val="18"/>
              </w:rPr>
              <w:t>信号灯杆应采用圆形或多棱形经热镀锌处理的钢管制造；悬臂式灯杆悬臂杆与支撑杆使用圆形或多棱形的变截面型材制作，悬臂与灯杆连接端宜焊接固定法兰盘，悬臂下应留有进出线孔。</w:t>
            </w:r>
            <w:r>
              <w:rPr>
                <w:rFonts w:hint="eastAsia" w:ascii="宋体" w:hAnsi="宋体" w:cs="宋体"/>
                <w:kern w:val="0"/>
                <w:sz w:val="18"/>
                <w:szCs w:val="18"/>
              </w:rPr>
              <w:br w:type="textWrapping"/>
            </w:r>
            <w:r>
              <w:rPr>
                <w:rFonts w:hint="eastAsia" w:ascii="宋体" w:hAnsi="宋体" w:cs="宋体"/>
                <w:kern w:val="0"/>
                <w:sz w:val="18"/>
                <w:szCs w:val="18"/>
              </w:rPr>
              <w:t>信号灯杆制作后须经过防锈处理，底层喷涂富锌防锈底漆，外层喷涂银灰色瓷漆。</w:t>
            </w:r>
            <w:r>
              <w:rPr>
                <w:rFonts w:hint="eastAsia" w:ascii="宋体" w:hAnsi="宋体" w:cs="宋体"/>
                <w:kern w:val="0"/>
                <w:sz w:val="18"/>
                <w:szCs w:val="18"/>
              </w:rPr>
              <w:br w:type="textWrapping"/>
            </w:r>
            <w:r>
              <w:rPr>
                <w:rFonts w:hint="eastAsia" w:ascii="宋体" w:hAnsi="宋体" w:cs="宋体"/>
                <w:kern w:val="0"/>
                <w:sz w:val="18"/>
                <w:szCs w:val="18"/>
              </w:rPr>
              <w:t>信号灯灯杆距路面约300-350mm处留有拉线孔和拉线孔门。</w:t>
            </w:r>
            <w:r>
              <w:rPr>
                <w:rFonts w:hint="eastAsia" w:ascii="宋体" w:hAnsi="宋体" w:cs="宋体"/>
                <w:kern w:val="0"/>
                <w:sz w:val="18"/>
                <w:szCs w:val="18"/>
              </w:rPr>
              <w:br w:type="textWrapping"/>
            </w:r>
            <w:r>
              <w:rPr>
                <w:rFonts w:hint="eastAsia" w:ascii="宋体" w:hAnsi="宋体" w:cs="宋体"/>
                <w:kern w:val="0"/>
                <w:sz w:val="18"/>
                <w:szCs w:val="18"/>
              </w:rPr>
              <w:t>孔门盖应设有防盗措施，孔内设置接地端子座，并与接地线可靠接驳。</w:t>
            </w:r>
            <w:r>
              <w:rPr>
                <w:rFonts w:hint="eastAsia" w:ascii="宋体" w:hAnsi="宋体" w:cs="宋体"/>
                <w:kern w:val="0"/>
                <w:sz w:val="18"/>
                <w:szCs w:val="18"/>
              </w:rPr>
              <w:br w:type="textWrapping"/>
            </w:r>
            <w:r>
              <w:rPr>
                <w:rFonts w:hint="eastAsia" w:ascii="宋体" w:hAnsi="宋体" w:cs="宋体"/>
                <w:kern w:val="0"/>
                <w:sz w:val="18"/>
                <w:szCs w:val="18"/>
              </w:rPr>
              <w:t>立柱式灯杆顶部安装灯具处应留有出线孔，并配备橡胶护套、电缆线回水弯挂钩，灯杆顶部应安装塑料或经防腐处理的内套式金属防水管帽。</w:t>
            </w:r>
            <w:r>
              <w:rPr>
                <w:rFonts w:hint="eastAsia" w:ascii="宋体" w:hAnsi="宋体" w:cs="宋体"/>
                <w:kern w:val="0"/>
                <w:sz w:val="18"/>
                <w:szCs w:val="18"/>
              </w:rPr>
              <w:br w:type="textWrapping"/>
            </w:r>
            <w:r>
              <w:rPr>
                <w:rFonts w:hint="eastAsia" w:ascii="宋体" w:hAnsi="宋体" w:cs="宋体"/>
                <w:kern w:val="0"/>
                <w:sz w:val="18"/>
                <w:szCs w:val="18"/>
              </w:rPr>
              <w:t>悬臂式灯杆拉杆宜使用圆钢制作，一端配有可调距离的螺旋扣，直径和长度根据悬臂长度确定。</w:t>
            </w:r>
            <w:r>
              <w:rPr>
                <w:rFonts w:hint="eastAsia" w:ascii="宋体" w:hAnsi="宋体" w:cs="宋体"/>
                <w:kern w:val="0"/>
                <w:sz w:val="18"/>
                <w:szCs w:val="18"/>
              </w:rPr>
              <w:br w:type="textWrapping"/>
            </w:r>
            <w:r>
              <w:rPr>
                <w:rFonts w:hint="eastAsia" w:ascii="宋体" w:hAnsi="宋体" w:cs="宋体"/>
                <w:kern w:val="0"/>
                <w:sz w:val="18"/>
                <w:szCs w:val="18"/>
              </w:rPr>
              <w:t>信号灯杆杆体底部应焊接固定法兰盘，法兰盘与杆体之间应均匀焊接加强筋。</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4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290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9</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4m人行灯立柱杆</w:t>
            </w:r>
          </w:p>
        </w:tc>
        <w:tc>
          <w:tcPr>
            <w:tcW w:w="3497" w:type="pct"/>
            <w:tcBorders>
              <w:top w:val="single" w:color="000000" w:sz="4" w:space="0"/>
              <w:left w:val="single" w:color="000000" w:sz="4" w:space="0"/>
              <w:bottom w:val="single" w:color="000000" w:sz="4" w:space="0"/>
              <w:right w:val="single" w:color="000000" w:sz="4" w:space="0"/>
            </w:tcBorders>
            <w:shd w:val="clear" w:color="auto" w:fill="FFFFFF"/>
          </w:tcPr>
          <w:p>
            <w:pPr>
              <w:widowControl/>
              <w:jc w:val="left"/>
              <w:textAlignment w:val="top"/>
              <w:rPr>
                <w:rFonts w:ascii="宋体" w:hAnsi="宋体" w:cs="宋体"/>
                <w:sz w:val="18"/>
                <w:szCs w:val="18"/>
              </w:rPr>
            </w:pPr>
            <w:r>
              <w:rPr>
                <w:rFonts w:hint="eastAsia" w:ascii="宋体" w:hAnsi="宋体" w:cs="宋体"/>
                <w:kern w:val="0"/>
                <w:sz w:val="18"/>
                <w:szCs w:val="18"/>
              </w:rPr>
              <w:t>信号灯杆应采用圆形或多棱形经热镀锌处理的钢管制造；悬臂式灯杆悬臂杆与支撑杆使用圆形或多棱形的变截面型材制作，悬臂与灯杆连接端宜焊接固定法兰盘，悬臂下应留有进出线孔。</w:t>
            </w:r>
            <w:r>
              <w:rPr>
                <w:rFonts w:hint="eastAsia" w:ascii="宋体" w:hAnsi="宋体" w:cs="宋体"/>
                <w:kern w:val="0"/>
                <w:sz w:val="18"/>
                <w:szCs w:val="18"/>
              </w:rPr>
              <w:br w:type="textWrapping"/>
            </w:r>
            <w:r>
              <w:rPr>
                <w:rFonts w:hint="eastAsia" w:ascii="宋体" w:hAnsi="宋体" w:cs="宋体"/>
                <w:kern w:val="0"/>
                <w:sz w:val="18"/>
                <w:szCs w:val="18"/>
              </w:rPr>
              <w:t>信号灯杆制作后须经过防锈处理，底层喷涂富锌防锈底漆，外层喷涂银灰色瓷漆。</w:t>
            </w:r>
            <w:r>
              <w:rPr>
                <w:rFonts w:hint="eastAsia" w:ascii="宋体" w:hAnsi="宋体" w:cs="宋体"/>
                <w:kern w:val="0"/>
                <w:sz w:val="18"/>
                <w:szCs w:val="18"/>
              </w:rPr>
              <w:br w:type="textWrapping"/>
            </w:r>
            <w:r>
              <w:rPr>
                <w:rFonts w:hint="eastAsia" w:ascii="宋体" w:hAnsi="宋体" w:cs="宋体"/>
                <w:kern w:val="0"/>
                <w:sz w:val="18"/>
                <w:szCs w:val="18"/>
              </w:rPr>
              <w:t>信号灯灯杆距路面约300-350mm处留有拉线孔和拉线孔门。</w:t>
            </w:r>
            <w:r>
              <w:rPr>
                <w:rFonts w:hint="eastAsia" w:ascii="宋体" w:hAnsi="宋体" w:cs="宋体"/>
                <w:kern w:val="0"/>
                <w:sz w:val="18"/>
                <w:szCs w:val="18"/>
              </w:rPr>
              <w:br w:type="textWrapping"/>
            </w:r>
            <w:r>
              <w:rPr>
                <w:rFonts w:hint="eastAsia" w:ascii="宋体" w:hAnsi="宋体" w:cs="宋体"/>
                <w:kern w:val="0"/>
                <w:sz w:val="18"/>
                <w:szCs w:val="18"/>
              </w:rPr>
              <w:t>孔门盖应设有防盗措施，孔内设置接地端子座，并与接地线可靠接驳。</w:t>
            </w:r>
            <w:r>
              <w:rPr>
                <w:rFonts w:hint="eastAsia" w:ascii="宋体" w:hAnsi="宋体" w:cs="宋体"/>
                <w:kern w:val="0"/>
                <w:sz w:val="18"/>
                <w:szCs w:val="18"/>
              </w:rPr>
              <w:br w:type="textWrapping"/>
            </w:r>
            <w:r>
              <w:rPr>
                <w:rFonts w:hint="eastAsia" w:ascii="宋体" w:hAnsi="宋体" w:cs="宋体"/>
                <w:kern w:val="0"/>
                <w:sz w:val="18"/>
                <w:szCs w:val="18"/>
              </w:rPr>
              <w:t>立柱式灯杆顶部安装灯具处应留有出线孔，并配备橡胶护套、电缆线回水弯挂钩，灯杆顶部应安装塑料或经防腐处理的内套式金属防水管帽。</w:t>
            </w:r>
            <w:r>
              <w:rPr>
                <w:rFonts w:hint="eastAsia" w:ascii="宋体" w:hAnsi="宋体" w:cs="宋体"/>
                <w:kern w:val="0"/>
                <w:sz w:val="18"/>
                <w:szCs w:val="18"/>
              </w:rPr>
              <w:br w:type="textWrapping"/>
            </w:r>
            <w:r>
              <w:rPr>
                <w:rFonts w:hint="eastAsia" w:ascii="宋体" w:hAnsi="宋体" w:cs="宋体"/>
                <w:kern w:val="0"/>
                <w:sz w:val="18"/>
                <w:szCs w:val="18"/>
              </w:rPr>
              <w:t>悬臂式灯杆拉杆宜使用圆钢制作，一端配有可调距离的螺旋扣，直径和长度根据悬臂长度确定。</w:t>
            </w:r>
            <w:r>
              <w:rPr>
                <w:rFonts w:hint="eastAsia" w:ascii="宋体" w:hAnsi="宋体" w:cs="宋体"/>
                <w:kern w:val="0"/>
                <w:sz w:val="18"/>
                <w:szCs w:val="18"/>
              </w:rPr>
              <w:br w:type="textWrapping"/>
            </w:r>
            <w:r>
              <w:rPr>
                <w:rFonts w:hint="eastAsia" w:ascii="宋体" w:hAnsi="宋体" w:cs="宋体"/>
                <w:kern w:val="0"/>
                <w:sz w:val="18"/>
                <w:szCs w:val="18"/>
              </w:rPr>
              <w:t>信号灯杆杆体底部应焊接固定法兰盘，法兰盘与杆体之间应均匀焊接加强筋。</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54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264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10</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5m车行灯立柱杆</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sz w:val="18"/>
                <w:szCs w:val="18"/>
              </w:rPr>
            </w:pPr>
            <w:r>
              <w:rPr>
                <w:rFonts w:hint="eastAsia" w:ascii="宋体" w:hAnsi="宋体" w:cs="宋体"/>
                <w:kern w:val="0"/>
                <w:sz w:val="18"/>
                <w:szCs w:val="18"/>
              </w:rPr>
              <w:t>1.名称：5m车行灯立柱杆</w:t>
            </w:r>
            <w:r>
              <w:rPr>
                <w:rFonts w:hint="eastAsia" w:ascii="宋体" w:hAnsi="宋体" w:cs="宋体"/>
                <w:kern w:val="0"/>
                <w:sz w:val="18"/>
                <w:szCs w:val="18"/>
              </w:rPr>
              <w:br w:type="textWrapping"/>
            </w:r>
            <w:r>
              <w:rPr>
                <w:rFonts w:hint="eastAsia" w:ascii="宋体" w:hAnsi="宋体" w:cs="宋体"/>
                <w:kern w:val="0"/>
                <w:sz w:val="18"/>
                <w:szCs w:val="18"/>
              </w:rPr>
              <w:t>2.信号灯杆应采用圆形或多棱形经热镀锌处理的钢管制造；悬臂式灯杆悬臂杆与支撑杆使用圆形或多棱形的变截面型材制作，悬臂与灯杆连接端宜焊接固定法兰盘，悬臂下应留有进出线孔。</w:t>
            </w:r>
            <w:r>
              <w:rPr>
                <w:rFonts w:hint="eastAsia" w:ascii="宋体" w:hAnsi="宋体" w:cs="宋体"/>
                <w:kern w:val="0"/>
                <w:sz w:val="18"/>
                <w:szCs w:val="18"/>
              </w:rPr>
              <w:br w:type="textWrapping"/>
            </w:r>
            <w:r>
              <w:rPr>
                <w:rFonts w:hint="eastAsia" w:ascii="宋体" w:hAnsi="宋体" w:cs="宋体"/>
                <w:kern w:val="0"/>
                <w:sz w:val="18"/>
                <w:szCs w:val="18"/>
              </w:rPr>
              <w:t>3.信号灯杆制作后须经过防锈处理，底层喷涂富锌防锈底漆，外层喷涂银灰色瓷漆。</w:t>
            </w:r>
            <w:r>
              <w:rPr>
                <w:rFonts w:hint="eastAsia" w:ascii="宋体" w:hAnsi="宋体" w:cs="宋体"/>
                <w:kern w:val="0"/>
                <w:sz w:val="18"/>
                <w:szCs w:val="18"/>
              </w:rPr>
              <w:br w:type="textWrapping"/>
            </w:r>
            <w:r>
              <w:rPr>
                <w:rFonts w:hint="eastAsia" w:ascii="宋体" w:hAnsi="宋体" w:cs="宋体"/>
                <w:kern w:val="0"/>
                <w:sz w:val="18"/>
                <w:szCs w:val="18"/>
              </w:rPr>
              <w:t>4.信号灯灯杆距路面约300-350mm处留有拉线孔和拉线孔门。</w:t>
            </w:r>
            <w:r>
              <w:rPr>
                <w:rFonts w:hint="eastAsia" w:ascii="宋体" w:hAnsi="宋体" w:cs="宋体"/>
                <w:kern w:val="0"/>
                <w:sz w:val="18"/>
                <w:szCs w:val="18"/>
              </w:rPr>
              <w:br w:type="textWrapping"/>
            </w:r>
            <w:r>
              <w:rPr>
                <w:rFonts w:hint="eastAsia" w:ascii="宋体" w:hAnsi="宋体" w:cs="宋体"/>
                <w:kern w:val="0"/>
                <w:sz w:val="18"/>
                <w:szCs w:val="18"/>
              </w:rPr>
              <w:t>5.孔门盖应设有防盗措施，孔内设置接地端子座，并与接地线可靠接驳。</w:t>
            </w:r>
            <w:r>
              <w:rPr>
                <w:rFonts w:hint="eastAsia" w:ascii="宋体" w:hAnsi="宋体" w:cs="宋体"/>
                <w:kern w:val="0"/>
                <w:sz w:val="18"/>
                <w:szCs w:val="18"/>
              </w:rPr>
              <w:br w:type="textWrapping"/>
            </w:r>
            <w:r>
              <w:rPr>
                <w:rFonts w:hint="eastAsia" w:ascii="宋体" w:hAnsi="宋体" w:cs="宋体"/>
                <w:kern w:val="0"/>
                <w:sz w:val="18"/>
                <w:szCs w:val="18"/>
              </w:rPr>
              <w:t>6.立柱式灯杆顶部安装灯具处应留有出线孔，并配备橡胶护套、电缆线回水弯挂钩，灯杆顶部应安装塑料或经防腐处理的内套式金属防水管帽。</w:t>
            </w:r>
            <w:r>
              <w:rPr>
                <w:rFonts w:hint="eastAsia" w:ascii="宋体" w:hAnsi="宋体" w:cs="宋体"/>
                <w:kern w:val="0"/>
                <w:sz w:val="18"/>
                <w:szCs w:val="18"/>
              </w:rPr>
              <w:br w:type="textWrapping"/>
            </w:r>
            <w:r>
              <w:rPr>
                <w:rFonts w:hint="eastAsia" w:ascii="宋体" w:hAnsi="宋体" w:cs="宋体"/>
                <w:kern w:val="0"/>
                <w:sz w:val="18"/>
                <w:szCs w:val="18"/>
              </w:rPr>
              <w:t>7.悬臂式灯杆拉杆宜使用圆钢制作，一端配有可调距离的螺旋扣，直径和长度根据悬臂长度确定。</w:t>
            </w:r>
            <w:r>
              <w:rPr>
                <w:rFonts w:hint="eastAsia" w:ascii="宋体" w:hAnsi="宋体" w:cs="宋体"/>
                <w:kern w:val="0"/>
                <w:sz w:val="18"/>
                <w:szCs w:val="18"/>
              </w:rPr>
              <w:br w:type="textWrapping"/>
            </w:r>
            <w:r>
              <w:rPr>
                <w:rFonts w:hint="eastAsia" w:ascii="宋体" w:hAnsi="宋体" w:cs="宋体"/>
                <w:kern w:val="0"/>
                <w:sz w:val="18"/>
                <w:szCs w:val="18"/>
              </w:rPr>
              <w:t>8.信号灯杆杆体底部应焊接固定法兰盘，法兰盘与杆体之间</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8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9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11</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6.5*8米长悬臂车行信号灯杆</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sz w:val="18"/>
                <w:szCs w:val="18"/>
              </w:rPr>
            </w:pPr>
            <w:r>
              <w:rPr>
                <w:rFonts w:hint="eastAsia" w:ascii="宋体" w:hAnsi="宋体" w:cs="宋体"/>
                <w:kern w:val="0"/>
                <w:sz w:val="18"/>
                <w:szCs w:val="18"/>
              </w:rPr>
              <w:t>信号灯杆应采用圆形或多棱形经热镀锌处理的钢管制造；悬臂式灯杆悬臂杆与支撑杆使用圆形或多棱形的变截面型材制作，悬臂与灯杆连接端宜焊接固定法兰盘，悬臂下应留有进出线孔。</w:t>
            </w:r>
            <w:r>
              <w:rPr>
                <w:rFonts w:hint="eastAsia" w:ascii="宋体" w:hAnsi="宋体" w:cs="宋体"/>
                <w:kern w:val="0"/>
                <w:sz w:val="18"/>
                <w:szCs w:val="18"/>
              </w:rPr>
              <w:br w:type="textWrapping"/>
            </w:r>
            <w:r>
              <w:rPr>
                <w:rFonts w:hint="eastAsia" w:ascii="宋体" w:hAnsi="宋体" w:cs="宋体"/>
                <w:kern w:val="0"/>
                <w:sz w:val="18"/>
                <w:szCs w:val="18"/>
              </w:rPr>
              <w:t>信号灯杆制作后须经过防锈处理，底层喷涂富锌防锈底漆，外层喷涂银灰色瓷漆。</w:t>
            </w:r>
            <w:r>
              <w:rPr>
                <w:rFonts w:hint="eastAsia" w:ascii="宋体" w:hAnsi="宋体" w:cs="宋体"/>
                <w:kern w:val="0"/>
                <w:sz w:val="18"/>
                <w:szCs w:val="18"/>
              </w:rPr>
              <w:br w:type="textWrapping"/>
            </w:r>
            <w:r>
              <w:rPr>
                <w:rFonts w:hint="eastAsia" w:ascii="宋体" w:hAnsi="宋体" w:cs="宋体"/>
                <w:kern w:val="0"/>
                <w:sz w:val="18"/>
                <w:szCs w:val="18"/>
              </w:rPr>
              <w:t>信号灯灯杆距路面约300-350mm处留有拉线孔和拉线孔门。</w:t>
            </w:r>
            <w:r>
              <w:rPr>
                <w:rFonts w:hint="eastAsia" w:ascii="宋体" w:hAnsi="宋体" w:cs="宋体"/>
                <w:kern w:val="0"/>
                <w:sz w:val="18"/>
                <w:szCs w:val="18"/>
              </w:rPr>
              <w:br w:type="textWrapping"/>
            </w:r>
            <w:r>
              <w:rPr>
                <w:rFonts w:hint="eastAsia" w:ascii="宋体" w:hAnsi="宋体" w:cs="宋体"/>
                <w:kern w:val="0"/>
                <w:sz w:val="18"/>
                <w:szCs w:val="18"/>
              </w:rPr>
              <w:t>孔门盖应设有防盗措施，孔内设置接地端子座，并与接地线可靠接驳。</w:t>
            </w:r>
            <w:r>
              <w:rPr>
                <w:rFonts w:hint="eastAsia" w:ascii="宋体" w:hAnsi="宋体" w:cs="宋体"/>
                <w:kern w:val="0"/>
                <w:sz w:val="18"/>
                <w:szCs w:val="18"/>
              </w:rPr>
              <w:br w:type="textWrapping"/>
            </w:r>
            <w:r>
              <w:rPr>
                <w:rFonts w:hint="eastAsia" w:ascii="宋体" w:hAnsi="宋体" w:cs="宋体"/>
                <w:kern w:val="0"/>
                <w:sz w:val="18"/>
                <w:szCs w:val="18"/>
              </w:rPr>
              <w:t>立柱式灯杆顶部安装灯具处应留有出线孔，并配备橡胶护套、电缆线回水弯挂钩，灯杆顶部应安装塑料或经防腐处理的内套式金属防水管帽。</w:t>
            </w:r>
            <w:r>
              <w:rPr>
                <w:rFonts w:hint="eastAsia" w:ascii="宋体" w:hAnsi="宋体" w:cs="宋体"/>
                <w:kern w:val="0"/>
                <w:sz w:val="18"/>
                <w:szCs w:val="18"/>
              </w:rPr>
              <w:br w:type="textWrapping"/>
            </w:r>
            <w:r>
              <w:rPr>
                <w:rFonts w:hint="eastAsia" w:ascii="宋体" w:hAnsi="宋体" w:cs="宋体"/>
                <w:kern w:val="0"/>
                <w:sz w:val="18"/>
                <w:szCs w:val="18"/>
              </w:rPr>
              <w:t>悬臂式灯杆拉杆宜使用圆钢制作，一端配有可调距离的螺旋扣，直径和长度根据悬臂长度确定。</w:t>
            </w:r>
            <w:r>
              <w:rPr>
                <w:rFonts w:hint="eastAsia" w:ascii="宋体" w:hAnsi="宋体" w:cs="宋体"/>
                <w:kern w:val="0"/>
                <w:sz w:val="18"/>
                <w:szCs w:val="18"/>
              </w:rPr>
              <w:br w:type="textWrapping"/>
            </w:r>
            <w:r>
              <w:rPr>
                <w:rFonts w:hint="eastAsia" w:ascii="宋体" w:hAnsi="宋体" w:cs="宋体"/>
                <w:kern w:val="0"/>
                <w:sz w:val="18"/>
                <w:szCs w:val="18"/>
              </w:rPr>
              <w:t>信号灯杆杆体底部应焊接固定法兰盘，法兰盘与杆体之间应均匀焊接加强筋。</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16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9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12</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7米长悬臂车行信号灯杆</w:t>
            </w:r>
          </w:p>
        </w:tc>
        <w:tc>
          <w:tcPr>
            <w:tcW w:w="3497" w:type="pct"/>
            <w:tcBorders>
              <w:top w:val="single" w:color="000000" w:sz="4" w:space="0"/>
              <w:left w:val="single" w:color="000000" w:sz="4" w:space="0"/>
              <w:bottom w:val="single" w:color="000000" w:sz="4" w:space="0"/>
              <w:right w:val="single" w:color="000000" w:sz="4" w:space="0"/>
            </w:tcBorders>
            <w:shd w:val="clear" w:color="auto" w:fill="FFFFFF"/>
          </w:tcPr>
          <w:p>
            <w:pPr>
              <w:widowControl/>
              <w:jc w:val="left"/>
              <w:textAlignment w:val="top"/>
              <w:rPr>
                <w:rFonts w:ascii="宋体" w:hAnsi="宋体" w:cs="宋体"/>
                <w:sz w:val="18"/>
                <w:szCs w:val="18"/>
              </w:rPr>
            </w:pPr>
            <w:r>
              <w:rPr>
                <w:rFonts w:hint="eastAsia" w:ascii="宋体" w:hAnsi="宋体" w:cs="宋体"/>
                <w:kern w:val="0"/>
                <w:sz w:val="18"/>
                <w:szCs w:val="18"/>
              </w:rPr>
              <w:t>信号灯杆应采用圆形或多棱形经热镀锌处理的钢管制造；悬臂式灯杆悬臂杆与支撑杆使用圆形或多棱形的变截面型材制作，悬臂与灯杆连接端宜焊接固定法兰盘，悬臂下应留有进出线孔。</w:t>
            </w:r>
            <w:r>
              <w:rPr>
                <w:rFonts w:hint="eastAsia" w:ascii="宋体" w:hAnsi="宋体" w:cs="宋体"/>
                <w:kern w:val="0"/>
                <w:sz w:val="18"/>
                <w:szCs w:val="18"/>
              </w:rPr>
              <w:br w:type="textWrapping"/>
            </w:r>
            <w:r>
              <w:rPr>
                <w:rFonts w:hint="eastAsia" w:ascii="宋体" w:hAnsi="宋体" w:cs="宋体"/>
                <w:kern w:val="0"/>
                <w:sz w:val="18"/>
                <w:szCs w:val="18"/>
              </w:rPr>
              <w:t>信号灯杆制作后须经过防锈处理，底层喷涂富锌防锈底漆，外层喷涂银灰色瓷漆。</w:t>
            </w:r>
            <w:r>
              <w:rPr>
                <w:rFonts w:hint="eastAsia" w:ascii="宋体" w:hAnsi="宋体" w:cs="宋体"/>
                <w:kern w:val="0"/>
                <w:sz w:val="18"/>
                <w:szCs w:val="18"/>
              </w:rPr>
              <w:br w:type="textWrapping"/>
            </w:r>
            <w:r>
              <w:rPr>
                <w:rFonts w:hint="eastAsia" w:ascii="宋体" w:hAnsi="宋体" w:cs="宋体"/>
                <w:kern w:val="0"/>
                <w:sz w:val="18"/>
                <w:szCs w:val="18"/>
              </w:rPr>
              <w:t>信号灯灯杆距路面约300-350mm处留有拉线孔和拉线孔门。</w:t>
            </w:r>
            <w:r>
              <w:rPr>
                <w:rFonts w:hint="eastAsia" w:ascii="宋体" w:hAnsi="宋体" w:cs="宋体"/>
                <w:kern w:val="0"/>
                <w:sz w:val="18"/>
                <w:szCs w:val="18"/>
              </w:rPr>
              <w:br w:type="textWrapping"/>
            </w:r>
            <w:r>
              <w:rPr>
                <w:rFonts w:hint="eastAsia" w:ascii="宋体" w:hAnsi="宋体" w:cs="宋体"/>
                <w:kern w:val="0"/>
                <w:sz w:val="18"/>
                <w:szCs w:val="18"/>
              </w:rPr>
              <w:t>孔门盖应设有防盗措施，孔内设置接地端子座，并与接地线可靠接驳。</w:t>
            </w:r>
            <w:r>
              <w:rPr>
                <w:rFonts w:hint="eastAsia" w:ascii="宋体" w:hAnsi="宋体" w:cs="宋体"/>
                <w:kern w:val="0"/>
                <w:sz w:val="18"/>
                <w:szCs w:val="18"/>
              </w:rPr>
              <w:br w:type="textWrapping"/>
            </w:r>
            <w:r>
              <w:rPr>
                <w:rFonts w:hint="eastAsia" w:ascii="宋体" w:hAnsi="宋体" w:cs="宋体"/>
                <w:kern w:val="0"/>
                <w:sz w:val="18"/>
                <w:szCs w:val="18"/>
              </w:rPr>
              <w:t>立柱式灯杆顶部安装灯具处应留有出线孔，并配备橡胶护套、电缆线回水弯挂钩，灯杆顶部应安装塑料或经防腐处理的内套式金属防水管帽。</w:t>
            </w:r>
            <w:r>
              <w:rPr>
                <w:rFonts w:hint="eastAsia" w:ascii="宋体" w:hAnsi="宋体" w:cs="宋体"/>
                <w:kern w:val="0"/>
                <w:sz w:val="18"/>
                <w:szCs w:val="18"/>
              </w:rPr>
              <w:br w:type="textWrapping"/>
            </w:r>
            <w:r>
              <w:rPr>
                <w:rFonts w:hint="eastAsia" w:ascii="宋体" w:hAnsi="宋体" w:cs="宋体"/>
                <w:kern w:val="0"/>
                <w:sz w:val="18"/>
                <w:szCs w:val="18"/>
              </w:rPr>
              <w:t>悬臂式灯杆拉杆宜使用圆钢制作，一端配有可调距离的螺旋扣，直径和长度根据悬臂长度确定。</w:t>
            </w:r>
            <w:r>
              <w:rPr>
                <w:rFonts w:hint="eastAsia" w:ascii="宋体" w:hAnsi="宋体" w:cs="宋体"/>
                <w:kern w:val="0"/>
                <w:sz w:val="18"/>
                <w:szCs w:val="18"/>
              </w:rPr>
              <w:br w:type="textWrapping"/>
            </w:r>
            <w:r>
              <w:rPr>
                <w:rFonts w:hint="eastAsia" w:ascii="宋体" w:hAnsi="宋体" w:cs="宋体"/>
                <w:kern w:val="0"/>
                <w:sz w:val="18"/>
                <w:szCs w:val="18"/>
              </w:rPr>
              <w:t>信号灯杆杆体底部应焊接固定法兰盘，法兰盘与杆体之间应均匀焊接加强筋。</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28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50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13</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9米长悬臂车行信号灯杆</w:t>
            </w:r>
          </w:p>
        </w:tc>
        <w:tc>
          <w:tcPr>
            <w:tcW w:w="3497" w:type="pct"/>
            <w:tcBorders>
              <w:top w:val="single" w:color="000000" w:sz="4" w:space="0"/>
              <w:left w:val="single" w:color="000000" w:sz="4" w:space="0"/>
              <w:bottom w:val="single" w:color="000000" w:sz="4" w:space="0"/>
              <w:right w:val="single" w:color="000000" w:sz="4" w:space="0"/>
            </w:tcBorders>
            <w:shd w:val="clear" w:color="auto" w:fill="FFFFFF"/>
          </w:tcPr>
          <w:p>
            <w:pPr>
              <w:widowControl/>
              <w:jc w:val="left"/>
              <w:textAlignment w:val="top"/>
              <w:rPr>
                <w:rFonts w:ascii="宋体" w:hAnsi="宋体" w:cs="宋体"/>
                <w:sz w:val="18"/>
                <w:szCs w:val="18"/>
              </w:rPr>
            </w:pPr>
            <w:r>
              <w:rPr>
                <w:rFonts w:hint="eastAsia" w:ascii="宋体" w:hAnsi="宋体" w:cs="宋体"/>
                <w:kern w:val="0"/>
                <w:sz w:val="18"/>
                <w:szCs w:val="18"/>
              </w:rPr>
              <w:t>信号灯杆应采用圆形或多棱形经热镀锌处理的钢管制造；悬臂式灯杆悬臂杆与支撑杆使用圆形或多棱形的变截面型材制作，悬臂与灯杆连接端宜焊接固定法兰盘，悬臂下应留有进出线孔。</w:t>
            </w:r>
            <w:r>
              <w:rPr>
                <w:rFonts w:hint="eastAsia" w:ascii="宋体" w:hAnsi="宋体" w:cs="宋体"/>
                <w:kern w:val="0"/>
                <w:sz w:val="18"/>
                <w:szCs w:val="18"/>
              </w:rPr>
              <w:br w:type="textWrapping"/>
            </w:r>
            <w:r>
              <w:rPr>
                <w:rFonts w:hint="eastAsia" w:ascii="宋体" w:hAnsi="宋体" w:cs="宋体"/>
                <w:kern w:val="0"/>
                <w:sz w:val="18"/>
                <w:szCs w:val="18"/>
              </w:rPr>
              <w:t>信号灯杆制作后须经过防锈处理，底层喷涂富锌防锈底漆，外层喷涂银灰色瓷漆。</w:t>
            </w:r>
            <w:r>
              <w:rPr>
                <w:rFonts w:hint="eastAsia" w:ascii="宋体" w:hAnsi="宋体" w:cs="宋体"/>
                <w:kern w:val="0"/>
                <w:sz w:val="18"/>
                <w:szCs w:val="18"/>
              </w:rPr>
              <w:br w:type="textWrapping"/>
            </w:r>
            <w:r>
              <w:rPr>
                <w:rFonts w:hint="eastAsia" w:ascii="宋体" w:hAnsi="宋体" w:cs="宋体"/>
                <w:kern w:val="0"/>
                <w:sz w:val="18"/>
                <w:szCs w:val="18"/>
              </w:rPr>
              <w:t>信号灯灯杆距路面约300-350mm处留有拉线孔和拉线孔门。</w:t>
            </w:r>
            <w:r>
              <w:rPr>
                <w:rFonts w:hint="eastAsia" w:ascii="宋体" w:hAnsi="宋体" w:cs="宋体"/>
                <w:kern w:val="0"/>
                <w:sz w:val="18"/>
                <w:szCs w:val="18"/>
              </w:rPr>
              <w:br w:type="textWrapping"/>
            </w:r>
            <w:r>
              <w:rPr>
                <w:rFonts w:hint="eastAsia" w:ascii="宋体" w:hAnsi="宋体" w:cs="宋体"/>
                <w:kern w:val="0"/>
                <w:sz w:val="18"/>
                <w:szCs w:val="18"/>
              </w:rPr>
              <w:t>孔门盖应设有防盗措施，孔内设置接地端子座，并与接地线可靠接驳。</w:t>
            </w:r>
            <w:r>
              <w:rPr>
                <w:rFonts w:hint="eastAsia" w:ascii="宋体" w:hAnsi="宋体" w:cs="宋体"/>
                <w:kern w:val="0"/>
                <w:sz w:val="18"/>
                <w:szCs w:val="18"/>
              </w:rPr>
              <w:br w:type="textWrapping"/>
            </w:r>
            <w:r>
              <w:rPr>
                <w:rFonts w:hint="eastAsia" w:ascii="宋体" w:hAnsi="宋体" w:cs="宋体"/>
                <w:kern w:val="0"/>
                <w:sz w:val="18"/>
                <w:szCs w:val="18"/>
              </w:rPr>
              <w:t>立柱式灯杆顶部安装灯具处应留有出线孔，并配备橡胶护套、电缆线回水弯挂钩，灯杆顶部应安装塑料或经防腐处理的内套式金属防水管帽。</w:t>
            </w:r>
            <w:r>
              <w:rPr>
                <w:rFonts w:hint="eastAsia" w:ascii="宋体" w:hAnsi="宋体" w:cs="宋体"/>
                <w:kern w:val="0"/>
                <w:sz w:val="18"/>
                <w:szCs w:val="18"/>
              </w:rPr>
              <w:br w:type="textWrapping"/>
            </w:r>
            <w:r>
              <w:rPr>
                <w:rFonts w:hint="eastAsia" w:ascii="宋体" w:hAnsi="宋体" w:cs="宋体"/>
                <w:kern w:val="0"/>
                <w:sz w:val="18"/>
                <w:szCs w:val="18"/>
              </w:rPr>
              <w:t>悬臂式灯杆拉杆宜使用圆钢制作，一端配有可调距离的螺旋扣，直径和长度根据悬臂长度确定。</w:t>
            </w:r>
            <w:r>
              <w:rPr>
                <w:rFonts w:hint="eastAsia" w:ascii="宋体" w:hAnsi="宋体" w:cs="宋体"/>
                <w:kern w:val="0"/>
                <w:sz w:val="18"/>
                <w:szCs w:val="18"/>
              </w:rPr>
              <w:br w:type="textWrapping"/>
            </w:r>
            <w:r>
              <w:rPr>
                <w:rFonts w:hint="eastAsia" w:ascii="宋体" w:hAnsi="宋体" w:cs="宋体"/>
                <w:kern w:val="0"/>
                <w:sz w:val="18"/>
                <w:szCs w:val="18"/>
              </w:rPr>
              <w:t>信号灯杆杆体底部应焊接固定法兰盘，法兰盘与杆体之间应均匀焊接加强筋。</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2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58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14</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10米长悬臂车行信号灯杆</w:t>
            </w:r>
          </w:p>
        </w:tc>
        <w:tc>
          <w:tcPr>
            <w:tcW w:w="3497" w:type="pct"/>
            <w:tcBorders>
              <w:top w:val="single" w:color="000000" w:sz="4" w:space="0"/>
              <w:left w:val="single" w:color="000000" w:sz="4" w:space="0"/>
              <w:bottom w:val="single" w:color="000000" w:sz="4" w:space="0"/>
              <w:right w:val="single" w:color="000000" w:sz="4" w:space="0"/>
            </w:tcBorders>
            <w:shd w:val="clear" w:color="auto" w:fill="FFFFFF"/>
          </w:tcPr>
          <w:p>
            <w:pPr>
              <w:widowControl/>
              <w:jc w:val="left"/>
              <w:textAlignment w:val="top"/>
              <w:rPr>
                <w:rFonts w:ascii="宋体" w:hAnsi="宋体" w:cs="宋体"/>
                <w:sz w:val="18"/>
                <w:szCs w:val="18"/>
              </w:rPr>
            </w:pPr>
            <w:r>
              <w:rPr>
                <w:rFonts w:hint="eastAsia" w:ascii="宋体" w:hAnsi="宋体" w:cs="宋体"/>
                <w:kern w:val="0"/>
                <w:sz w:val="18"/>
                <w:szCs w:val="18"/>
              </w:rPr>
              <w:t>信号灯杆应采用圆形或多棱形经热镀锌处理的钢管制造；悬臂式灯杆悬臂杆与支撑杆使用圆形或多棱形的变截面型材制作，悬臂与灯杆连接端宜焊接固定法兰盘，悬臂下应留有进出线孔。</w:t>
            </w:r>
            <w:r>
              <w:rPr>
                <w:rFonts w:hint="eastAsia" w:ascii="宋体" w:hAnsi="宋体" w:cs="宋体"/>
                <w:kern w:val="0"/>
                <w:sz w:val="18"/>
                <w:szCs w:val="18"/>
              </w:rPr>
              <w:br w:type="textWrapping"/>
            </w:r>
            <w:r>
              <w:rPr>
                <w:rFonts w:hint="eastAsia" w:ascii="宋体" w:hAnsi="宋体" w:cs="宋体"/>
                <w:kern w:val="0"/>
                <w:sz w:val="18"/>
                <w:szCs w:val="18"/>
              </w:rPr>
              <w:t>信号灯杆制作后须经过防锈处理，底层喷涂富锌防锈底漆，外层喷涂银灰色瓷漆。</w:t>
            </w:r>
            <w:r>
              <w:rPr>
                <w:rFonts w:hint="eastAsia" w:ascii="宋体" w:hAnsi="宋体" w:cs="宋体"/>
                <w:kern w:val="0"/>
                <w:sz w:val="18"/>
                <w:szCs w:val="18"/>
              </w:rPr>
              <w:br w:type="textWrapping"/>
            </w:r>
            <w:r>
              <w:rPr>
                <w:rFonts w:hint="eastAsia" w:ascii="宋体" w:hAnsi="宋体" w:cs="宋体"/>
                <w:kern w:val="0"/>
                <w:sz w:val="18"/>
                <w:szCs w:val="18"/>
              </w:rPr>
              <w:t>信号灯灯杆距路面约300-350mm处留有拉线孔和拉线孔门。</w:t>
            </w:r>
            <w:r>
              <w:rPr>
                <w:rFonts w:hint="eastAsia" w:ascii="宋体" w:hAnsi="宋体" w:cs="宋体"/>
                <w:kern w:val="0"/>
                <w:sz w:val="18"/>
                <w:szCs w:val="18"/>
              </w:rPr>
              <w:br w:type="textWrapping"/>
            </w:r>
            <w:r>
              <w:rPr>
                <w:rFonts w:hint="eastAsia" w:ascii="宋体" w:hAnsi="宋体" w:cs="宋体"/>
                <w:kern w:val="0"/>
                <w:sz w:val="18"/>
                <w:szCs w:val="18"/>
              </w:rPr>
              <w:t>孔门盖应设有防盗措施，孔内设置接地端子座，并与接地线可靠接驳。</w:t>
            </w:r>
            <w:r>
              <w:rPr>
                <w:rFonts w:hint="eastAsia" w:ascii="宋体" w:hAnsi="宋体" w:cs="宋体"/>
                <w:kern w:val="0"/>
                <w:sz w:val="18"/>
                <w:szCs w:val="18"/>
              </w:rPr>
              <w:br w:type="textWrapping"/>
            </w:r>
            <w:r>
              <w:rPr>
                <w:rFonts w:hint="eastAsia" w:ascii="宋体" w:hAnsi="宋体" w:cs="宋体"/>
                <w:kern w:val="0"/>
                <w:sz w:val="18"/>
                <w:szCs w:val="18"/>
              </w:rPr>
              <w:t>立柱式灯杆顶部安装灯具处应留有出线孔，并配备橡胶护套、电缆线回水弯挂钩，灯杆顶部应安装塑料或经防腐处理的内套式金属防水管帽。</w:t>
            </w:r>
            <w:r>
              <w:rPr>
                <w:rFonts w:hint="eastAsia" w:ascii="宋体" w:hAnsi="宋体" w:cs="宋体"/>
                <w:kern w:val="0"/>
                <w:sz w:val="18"/>
                <w:szCs w:val="18"/>
              </w:rPr>
              <w:br w:type="textWrapping"/>
            </w:r>
            <w:r>
              <w:rPr>
                <w:rFonts w:hint="eastAsia" w:ascii="宋体" w:hAnsi="宋体" w:cs="宋体"/>
                <w:kern w:val="0"/>
                <w:sz w:val="18"/>
                <w:szCs w:val="18"/>
              </w:rPr>
              <w:t>悬臂式灯杆拉杆宜使用圆钢制作，一端配有可调距离的螺旋扣，直径和长度根据悬臂长度确定。</w:t>
            </w:r>
            <w:r>
              <w:rPr>
                <w:rFonts w:hint="eastAsia" w:ascii="宋体" w:hAnsi="宋体" w:cs="宋体"/>
                <w:kern w:val="0"/>
                <w:sz w:val="18"/>
                <w:szCs w:val="18"/>
              </w:rPr>
              <w:br w:type="textWrapping"/>
            </w:r>
            <w:r>
              <w:rPr>
                <w:rFonts w:hint="eastAsia" w:ascii="宋体" w:hAnsi="宋体" w:cs="宋体"/>
                <w:kern w:val="0"/>
                <w:sz w:val="18"/>
                <w:szCs w:val="18"/>
              </w:rPr>
              <w:t>信号灯杆杆体底部应焊接固定法兰盘，法兰盘与杆体之间应均匀焊接加强筋。</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8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500" w:hRule="atLeast"/>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sz w:val="18"/>
                <w:szCs w:val="18"/>
              </w:rPr>
            </w:pPr>
            <w:r>
              <w:rPr>
                <w:rFonts w:hint="eastAsia" w:ascii="宋体" w:hAnsi="宋体" w:cs="宋体"/>
                <w:kern w:val="0"/>
                <w:sz w:val="18"/>
                <w:szCs w:val="18"/>
              </w:rPr>
              <w:t>二、电子警察设备</w:t>
            </w:r>
          </w:p>
        </w:tc>
      </w:tr>
      <w:tr>
        <w:tblPrEx>
          <w:tblCellMar>
            <w:top w:w="0" w:type="dxa"/>
            <w:left w:w="108" w:type="dxa"/>
            <w:bottom w:w="0" w:type="dxa"/>
            <w:right w:w="108" w:type="dxa"/>
          </w:tblCellMar>
        </w:tblPrEx>
        <w:trPr>
          <w:trHeight w:val="38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600万电子警察摄像单元</w:t>
            </w:r>
          </w:p>
        </w:tc>
        <w:tc>
          <w:tcPr>
            <w:tcW w:w="3497" w:type="pct"/>
            <w:tcBorders>
              <w:top w:val="single" w:color="000000" w:sz="4" w:space="0"/>
              <w:left w:val="single" w:color="000000" w:sz="4" w:space="0"/>
              <w:bottom w:val="single" w:color="000000" w:sz="4" w:space="0"/>
              <w:right w:val="single" w:color="000000" w:sz="4" w:space="0"/>
            </w:tcBorders>
            <w:shd w:val="clear" w:color="auto" w:fill="FFFFFF"/>
          </w:tcPr>
          <w:p>
            <w:pPr>
              <w:widowControl/>
              <w:jc w:val="left"/>
              <w:textAlignment w:val="top"/>
              <w:rPr>
                <w:rFonts w:ascii="宋体" w:hAnsi="宋体" w:cs="宋体"/>
                <w:sz w:val="18"/>
                <w:szCs w:val="18"/>
              </w:rPr>
            </w:pPr>
            <w:r>
              <w:rPr>
                <w:rFonts w:hint="eastAsia" w:ascii="宋体" w:hAnsi="宋体" w:cs="宋体"/>
                <w:kern w:val="0"/>
                <w:sz w:val="18"/>
                <w:szCs w:val="18"/>
              </w:rPr>
              <w:t>1) ★600万像素图像传感器，靶面尺寸≥4/3英寸，图像分辨率≥2752×2208，彩色分辨力≥1800TVL，帧率1-50帧可调；</w:t>
            </w:r>
            <w:r>
              <w:rPr>
                <w:rFonts w:hint="eastAsia" w:ascii="宋体" w:hAnsi="宋体" w:cs="宋体"/>
                <w:kern w:val="0"/>
                <w:sz w:val="18"/>
                <w:szCs w:val="18"/>
              </w:rPr>
              <w:br w:type="textWrapping"/>
            </w:r>
            <w:r>
              <w:rPr>
                <w:rFonts w:hint="eastAsia" w:ascii="宋体" w:hAnsi="宋体" w:cs="宋体"/>
                <w:kern w:val="0"/>
                <w:sz w:val="18"/>
                <w:szCs w:val="18"/>
              </w:rPr>
              <w:t>2) ▲最低照度，彩色不低于0.005Lx，黑白不低于0.0008Lx，</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3) 设备支持视频、地感线圈、雷达触发方式中的一种或多种触发方式，同时支持视频与雷达、线圈检测自动切换功能。各种触发方式下，白天和晚上的捕获率均不小于99% ，</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4) 车辆号牌白天、晚上识别准确率不小于99% ，</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5) 支持4000种车辆子品牌识别，白天、晚上识别准确率不小于95％，</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6) 支持行人识别捕获功能，白天、晚上捕获率不小于98％，准确率不小于97％，</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7) 支持非机动车识别捕获功能，白天、晚上捕获率不小于98％，准确率不小于98％，</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8) 设备具有蓝、黄、黑、白、绿、红、黄绿双色和渐变绿色等13种车身颜色识别功能，白天、晚上识别准确率不小于95%，</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9) 设备识别不小于250种车辆品牌，白天、晚上识别准确率不小于95%，</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10) ▲支持视频检测信号灯功能：支持接入网口红绿灯信号机检测器采集信号灯，通过网络传输信号灯状态，支持走也信号灯强化功能，可对设定区域内的红色信号灯进行显示色彩校正，维持信号灯成像效果，</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11) 相机支持对斑马线不礼让行人抓拍、违法倒车行为进行抓拍、左转不让直行抓怕、大弯小转抓怕、加塞检测违法抓拍、闯绿灯抓拍违法抓拍等；</w:t>
            </w:r>
            <w:r>
              <w:rPr>
                <w:rFonts w:hint="eastAsia" w:ascii="宋体" w:hAnsi="宋体" w:cs="宋体"/>
                <w:kern w:val="0"/>
                <w:sz w:val="18"/>
                <w:szCs w:val="18"/>
              </w:rPr>
              <w:br w:type="textWrapping"/>
            </w:r>
            <w:r>
              <w:rPr>
                <w:rFonts w:hint="eastAsia" w:ascii="宋体" w:hAnsi="宋体" w:cs="宋体"/>
                <w:kern w:val="0"/>
                <w:sz w:val="18"/>
                <w:szCs w:val="18"/>
              </w:rPr>
              <w:t>12) 闯红灯违法、不按车道行驶、越线变道、压线、逆行抓拍、绿灯停车、占用非机动车道等违法行为全天抓拍准确率不小于99％；</w:t>
            </w:r>
            <w:r>
              <w:rPr>
                <w:rFonts w:hint="eastAsia" w:ascii="宋体" w:hAnsi="宋体" w:cs="宋体"/>
                <w:kern w:val="0"/>
                <w:sz w:val="18"/>
                <w:szCs w:val="18"/>
              </w:rPr>
              <w:br w:type="textWrapping"/>
            </w:r>
            <w:r>
              <w:rPr>
                <w:rFonts w:hint="eastAsia" w:ascii="宋体" w:hAnsi="宋体" w:cs="宋体"/>
                <w:kern w:val="0"/>
                <w:sz w:val="18"/>
                <w:szCs w:val="18"/>
              </w:rPr>
              <w:t>13) ▲可通过IE浏览器添加网关的MAC地址，在使用之前的网关MAC地址时，可被其他网段的客户端访问，当使用错误网关的MAC地址时，只能被同网段的客户端访问，</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14) ▲可通过WEB界面在视频上叠加时间、日期、时间+日期及用户自定义等信息，实况OSD不少于透明、空心、描边、背景和反色5种效果，</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15) 支持对使馆、农用、泥头车、民航、武钢、湛钢和新能源等特殊车牌识别，</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16) ▲当网络断开时，可将码流及图片存储于emmc存储中，网络恢复时，可自动上传对应时间点码流及图片至原后台存储，</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17) 防护等级不小于IP67，设备工作温度范围不小于-45℃~+85℃。</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套</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75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1372"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2</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600万卡口摄像单元</w:t>
            </w:r>
          </w:p>
        </w:tc>
        <w:tc>
          <w:tcPr>
            <w:tcW w:w="3497" w:type="pct"/>
            <w:tcBorders>
              <w:top w:val="single" w:color="000000" w:sz="4" w:space="0"/>
              <w:left w:val="single" w:color="000000" w:sz="4" w:space="0"/>
              <w:bottom w:val="single" w:color="000000" w:sz="4" w:space="0"/>
              <w:right w:val="single" w:color="000000" w:sz="4" w:space="0"/>
            </w:tcBorders>
            <w:shd w:val="clear" w:color="auto" w:fill="FFFFFF"/>
          </w:tcPr>
          <w:p>
            <w:pPr>
              <w:widowControl/>
              <w:jc w:val="left"/>
              <w:textAlignment w:val="top"/>
              <w:rPr>
                <w:rFonts w:ascii="宋体" w:hAnsi="宋体" w:cs="宋体"/>
                <w:sz w:val="18"/>
                <w:szCs w:val="18"/>
              </w:rPr>
            </w:pPr>
            <w:r>
              <w:rPr>
                <w:rFonts w:hint="eastAsia" w:ascii="宋体" w:hAnsi="宋体" w:cs="宋体"/>
                <w:kern w:val="0"/>
                <w:sz w:val="18"/>
                <w:szCs w:val="18"/>
              </w:rPr>
              <w:t>1) ★600万像素图像传感器，靶面尺寸≥4/3英寸，图像分辨率≥2752×2208，彩色分辨力≥1800TVL，帧率1-50帧可调；</w:t>
            </w:r>
            <w:r>
              <w:rPr>
                <w:rFonts w:hint="eastAsia" w:ascii="宋体" w:hAnsi="宋体" w:cs="宋体"/>
                <w:kern w:val="0"/>
                <w:sz w:val="18"/>
                <w:szCs w:val="18"/>
              </w:rPr>
              <w:br w:type="textWrapping"/>
            </w:r>
            <w:r>
              <w:rPr>
                <w:rFonts w:hint="eastAsia" w:ascii="宋体" w:hAnsi="宋体" w:cs="宋体"/>
                <w:kern w:val="0"/>
                <w:sz w:val="18"/>
                <w:szCs w:val="18"/>
              </w:rPr>
              <w:t>2) ▲最低照度，彩色不低于0.005Lx，黑白不低于0.0008Lx，</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3) ▲可通过WEB界面在视频上叠加时间、日期、时间+日期及用户自定义等信息，实况OSD不少于透明、空心、描边、背景和反色5种效果，</w:t>
            </w:r>
            <w:r>
              <w:rPr>
                <w:rFonts w:hint="eastAsia" w:ascii="宋体" w:hAnsi="宋体" w:cs="宋体"/>
                <w:b/>
                <w:kern w:val="0"/>
                <w:sz w:val="18"/>
                <w:szCs w:val="18"/>
              </w:rPr>
              <w:t>提供公安部检测报告复印件并加盖公章 ；</w:t>
            </w:r>
            <w:r>
              <w:rPr>
                <w:rFonts w:hint="eastAsia" w:ascii="宋体" w:hAnsi="宋体" w:cs="宋体"/>
                <w:b/>
                <w:kern w:val="0"/>
                <w:sz w:val="18"/>
                <w:szCs w:val="18"/>
              </w:rPr>
              <w:br w:type="textWrapping"/>
            </w:r>
            <w:r>
              <w:rPr>
                <w:rFonts w:hint="eastAsia" w:ascii="宋体" w:hAnsi="宋体" w:cs="宋体"/>
                <w:kern w:val="0"/>
                <w:sz w:val="18"/>
                <w:szCs w:val="18"/>
              </w:rPr>
              <w:t>4) 设备支持视频、地感线圈、雷达触发方式中的一种或多种触发方式，同时支持视频与雷达、线圈检测自动切换功能。各种触发方式下，白天和晚上的捕获率均不小于99%，</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t>；</w:t>
            </w:r>
            <w:r>
              <w:rPr>
                <w:rFonts w:hint="eastAsia" w:ascii="宋体" w:hAnsi="宋体" w:cs="宋体"/>
                <w:kern w:val="0"/>
                <w:sz w:val="18"/>
                <w:szCs w:val="18"/>
              </w:rPr>
              <w:br w:type="textWrapping"/>
            </w:r>
            <w:r>
              <w:rPr>
                <w:rFonts w:hint="eastAsia" w:ascii="宋体" w:hAnsi="宋体" w:cs="宋体"/>
                <w:kern w:val="0"/>
                <w:sz w:val="18"/>
                <w:szCs w:val="18"/>
              </w:rPr>
              <w:t>5) 车辆号牌白天、晚上识别准确率不小于99%，</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6) 支持4000种车辆子品牌识别，白天、晚上识别准确率不小于95％，</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7) 支持行人识别捕获功能，白天、晚上捕获率不小于98％，准确率不小于97％，</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8) 支持非机动车识别捕获功能，白天、晚上捕获率不小于98％，准确率不小于98％，</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9) 设备具有蓝、黄、黑、白、绿、红、黄绿双色和渐变绿色等13种车身颜色识别功能，白天、晚上识别准确率不小于95%，</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10) 设备识别不小于250种车辆品牌，白天、晚上识别准确率不小于95%，</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11) 不按车道行驶、越线变道、压线、逆行抓拍、占用非机动车道等违法行为全天抓拍准确率不小于99％；</w:t>
            </w:r>
            <w:r>
              <w:rPr>
                <w:rFonts w:hint="eastAsia" w:ascii="宋体" w:hAnsi="宋体" w:cs="宋体"/>
                <w:kern w:val="0"/>
                <w:sz w:val="18"/>
                <w:szCs w:val="18"/>
              </w:rPr>
              <w:br w:type="textWrapping"/>
            </w:r>
            <w:r>
              <w:rPr>
                <w:rFonts w:hint="eastAsia" w:ascii="宋体" w:hAnsi="宋体" w:cs="宋体"/>
                <w:kern w:val="0"/>
                <w:sz w:val="18"/>
                <w:szCs w:val="18"/>
              </w:rPr>
              <w:t>12) 相机支持对斑马线不礼让行人抓拍、违法倒车行为进行抓拍、左转不让直行抓怕、大弯小转抓怕、加塞检测违法抓拍等，</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13) ▲可通过IE浏览器添加网关的MAC地址，在使用之前的网关MAC地址时，可被其他网段的客户端访问，当使用错误网关的MAC地址时，只能被同网段的客户端访问，</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14) ▲当网络断开时，可将码流及图片存储于emmc存储中，网络恢复时，可自动上传对应时间点码流及图片至原后台存储，</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15) 支持车窗内挂饰识别检测、年检贴检测、危险品车辆检测、未系安全带检测、遮阳板状态识别检测、开车打电话检测等，</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16) 支持对使馆、农用、泥头车、民航、武钢、湛钢和新能源等特殊车牌识别，</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17) 防护等级不小于IP67，设备工作温度范围不小于-45℃~+85℃。</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套</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67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61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3</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300万电子警察摄像单元</w:t>
            </w:r>
          </w:p>
        </w:tc>
        <w:tc>
          <w:tcPr>
            <w:tcW w:w="34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sz w:val="18"/>
                <w:szCs w:val="18"/>
              </w:rPr>
            </w:pPr>
            <w:r>
              <w:rPr>
                <w:rFonts w:hint="eastAsia" w:ascii="宋体" w:hAnsi="宋体" w:cs="宋体"/>
                <w:kern w:val="0"/>
                <w:sz w:val="18"/>
                <w:szCs w:val="18"/>
              </w:rPr>
              <w:t>1) ★300万像素图像传感器，靶面尺寸≥1/1.8英寸，图像分辨率≥2048×1536，彩色分辨力≥1500TVL，帧率1-50帧可调；</w:t>
            </w:r>
            <w:r>
              <w:rPr>
                <w:rFonts w:hint="eastAsia" w:ascii="宋体" w:hAnsi="宋体" w:cs="宋体"/>
                <w:kern w:val="0"/>
                <w:sz w:val="18"/>
                <w:szCs w:val="18"/>
              </w:rPr>
              <w:br w:type="textWrapping"/>
            </w:r>
            <w:r>
              <w:rPr>
                <w:rFonts w:hint="eastAsia" w:ascii="宋体" w:hAnsi="宋体" w:cs="宋体"/>
                <w:kern w:val="0"/>
                <w:sz w:val="18"/>
                <w:szCs w:val="18"/>
              </w:rPr>
              <w:t>2) ▲最低照度，彩色不低于0.003Lx，黑白不低于0.0005Lx，</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3) 设备支持视频、地感线圈、雷达触发方式中的一种或多种触发方式，同时支持视频与雷达、线圈检测自动切换功能。各种触发方式下，白天和晚上的捕获率均不小于99%，</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t>；</w:t>
            </w:r>
            <w:r>
              <w:rPr>
                <w:rFonts w:hint="eastAsia" w:ascii="宋体" w:hAnsi="宋体" w:cs="宋体"/>
                <w:kern w:val="0"/>
                <w:sz w:val="18"/>
                <w:szCs w:val="18"/>
              </w:rPr>
              <w:br w:type="textWrapping"/>
            </w:r>
            <w:r>
              <w:rPr>
                <w:rFonts w:hint="eastAsia" w:ascii="宋体" w:hAnsi="宋体" w:cs="宋体"/>
                <w:kern w:val="0"/>
                <w:sz w:val="18"/>
                <w:szCs w:val="18"/>
              </w:rPr>
              <w:t>4) 车辆号牌白天、晚上识别准确率不小于99%，</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5) 支持4000种车辆子品牌识别，白天、晚上识别准确率不小于95％，</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6) 支持行人识别捕获功能，白天、晚上捕获率不小于98％，准确率不小于97％，</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7) 支持非机动车识别捕获功能，白天、晚上捕获率不小于98％，准确率不小于98％，</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8) 设备具有蓝、黄、黑、白、绿、红、黄绿双色和渐变绿色等13种车身颜色识别功能，白天、晚上识别准确率不小于95%，</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9) 设备识别不小于250种车辆品牌，白天、晚上识别准确率不小于95%，</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10) ▲支持视频检测信号灯功能：支持接入网口红绿灯信号机检测器采集信号灯，通过网络传输信号灯状态，支持走也信号灯强化功能，可对设定区域内的红色信号灯进行显示色彩校正，维持信号灯成像效果，</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11) 相机支持对斑马线不礼让行人抓拍、违法倒车行为进行抓拍、左转不让直行抓怕、大弯小转抓怕、加塞检测违法抓拍、闯绿灯抓拍违法抓拍等；</w:t>
            </w:r>
            <w:r>
              <w:rPr>
                <w:rFonts w:hint="eastAsia" w:ascii="宋体" w:hAnsi="宋体" w:cs="宋体"/>
                <w:kern w:val="0"/>
                <w:sz w:val="18"/>
                <w:szCs w:val="18"/>
              </w:rPr>
              <w:br w:type="textWrapping"/>
            </w:r>
            <w:r>
              <w:rPr>
                <w:rFonts w:hint="eastAsia" w:ascii="宋体" w:hAnsi="宋体" w:cs="宋体"/>
                <w:kern w:val="0"/>
                <w:sz w:val="18"/>
                <w:szCs w:val="18"/>
              </w:rPr>
              <w:t>12) 闯红灯违法、不按车道行驶、越线变道、压线、逆行抓拍、绿灯停车、占用非机动车道等违法行为全天抓拍准确率不小于99％；</w:t>
            </w:r>
            <w:r>
              <w:rPr>
                <w:rFonts w:hint="eastAsia" w:ascii="宋体" w:hAnsi="宋体" w:cs="宋体"/>
                <w:kern w:val="0"/>
                <w:sz w:val="18"/>
                <w:szCs w:val="18"/>
              </w:rPr>
              <w:br w:type="textWrapping"/>
            </w:r>
            <w:r>
              <w:rPr>
                <w:rFonts w:hint="eastAsia" w:ascii="宋体" w:hAnsi="宋体" w:cs="宋体"/>
                <w:kern w:val="0"/>
                <w:sz w:val="18"/>
                <w:szCs w:val="18"/>
              </w:rPr>
              <w:t>13) ▲可通过IE浏览器添加网关的MAC地址，在使用之前的网关MAC地址时，可被其他网段的客户端访问，当使用错误网关的MAC地址时，只能被同网段的客户端访问，</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14) ▲可通过WEB界面在视频上叠加时间、日期、时间+日期及用户自定义等信息，实况OSD不少于透明、空心、描边、背景和反色5种效果，</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15) 支持对使馆、农用、泥头车、民航、武钢、湛钢和新能源等特殊车牌识别，</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16) ▲当网络断开时，可将码流及图片存储于emmc存储中，网络恢复时，可自动上传对应时间点码流及图片至原后台存储，</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17) ▲设备WEB界面可设置多个违法的优先级，实现生成所有违法类型与仅生成最高优先级违法两者可选，</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t>；</w:t>
            </w:r>
            <w:r>
              <w:rPr>
                <w:rFonts w:hint="eastAsia" w:ascii="宋体" w:hAnsi="宋体" w:cs="宋体"/>
                <w:kern w:val="0"/>
                <w:sz w:val="18"/>
                <w:szCs w:val="18"/>
              </w:rPr>
              <w:br w:type="textWrapping"/>
            </w:r>
            <w:r>
              <w:rPr>
                <w:rFonts w:hint="eastAsia" w:ascii="宋体" w:hAnsi="宋体" w:cs="宋体"/>
                <w:kern w:val="0"/>
                <w:sz w:val="18"/>
                <w:szCs w:val="18"/>
              </w:rPr>
              <w:t xml:space="preserve">18) 防护等级不小于IP67，设备工作温度范围不小于-45℃~+85℃。 </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套</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5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765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4</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300万卡口摄像单元</w:t>
            </w:r>
          </w:p>
        </w:tc>
        <w:tc>
          <w:tcPr>
            <w:tcW w:w="34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sz w:val="18"/>
                <w:szCs w:val="18"/>
              </w:rPr>
            </w:pPr>
            <w:r>
              <w:rPr>
                <w:rFonts w:hint="eastAsia" w:ascii="宋体" w:hAnsi="宋体" w:cs="宋体"/>
                <w:kern w:val="0"/>
                <w:sz w:val="18"/>
                <w:szCs w:val="18"/>
              </w:rPr>
              <w:t>1) ★300万像素图像传感器，靶面尺寸≥1/1.8英寸，图像分辨率≥2048×1536，彩色分辨力≥1500TVL，帧率1-50帧可调；</w:t>
            </w:r>
            <w:r>
              <w:rPr>
                <w:rFonts w:hint="eastAsia" w:ascii="宋体" w:hAnsi="宋体" w:cs="宋体"/>
                <w:kern w:val="0"/>
                <w:sz w:val="18"/>
                <w:szCs w:val="18"/>
              </w:rPr>
              <w:br w:type="textWrapping"/>
            </w:r>
            <w:r>
              <w:rPr>
                <w:rFonts w:hint="eastAsia" w:ascii="宋体" w:hAnsi="宋体" w:cs="宋体"/>
                <w:kern w:val="0"/>
                <w:sz w:val="18"/>
                <w:szCs w:val="18"/>
              </w:rPr>
              <w:t>2) ▲最低照度，彩色不低于0.003Lx，黑白不低于0.0005Lx，</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3) ▲前端抓拍设备支持电口或者SFP口接入网络，支持网络设备串接，设备数据的网络交换功能，</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4) 设备支持视频、地感线圈、雷达触发方式中的一种或多种触发方式，同时支持视频与雷达、线圈检测自动切换功能。各种触发方式下，白天和晚上的捕获率均不小于99%，</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t>；</w:t>
            </w:r>
            <w:r>
              <w:rPr>
                <w:rFonts w:hint="eastAsia" w:ascii="宋体" w:hAnsi="宋体" w:cs="宋体"/>
                <w:kern w:val="0"/>
                <w:sz w:val="18"/>
                <w:szCs w:val="18"/>
              </w:rPr>
              <w:br w:type="textWrapping"/>
            </w:r>
            <w:r>
              <w:rPr>
                <w:rFonts w:hint="eastAsia" w:ascii="宋体" w:hAnsi="宋体" w:cs="宋体"/>
                <w:kern w:val="0"/>
                <w:sz w:val="18"/>
                <w:szCs w:val="18"/>
              </w:rPr>
              <w:t>5) 车辆号牌白天、晚上识别准确率不小于99% ，</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6) 支持4000种车辆子品牌识别，白天、晚上识别准确率不小于95％，</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t>；</w:t>
            </w:r>
            <w:r>
              <w:rPr>
                <w:rFonts w:hint="eastAsia" w:ascii="宋体" w:hAnsi="宋体" w:cs="宋体"/>
                <w:kern w:val="0"/>
                <w:sz w:val="18"/>
                <w:szCs w:val="18"/>
              </w:rPr>
              <w:br w:type="textWrapping"/>
            </w:r>
            <w:r>
              <w:rPr>
                <w:rFonts w:hint="eastAsia" w:ascii="宋体" w:hAnsi="宋体" w:cs="宋体"/>
                <w:kern w:val="0"/>
                <w:sz w:val="18"/>
                <w:szCs w:val="18"/>
              </w:rPr>
              <w:t>7) 支持行人识别捕获功能，白天、晚上捕获率不小于98％，准确率不小于97％，</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8) 支持非机动车识别捕获功能，白天、晚上捕获率不小于98％，准确率不小于98％，</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t>；</w:t>
            </w:r>
            <w:r>
              <w:rPr>
                <w:rFonts w:hint="eastAsia" w:ascii="宋体" w:hAnsi="宋体" w:cs="宋体"/>
                <w:kern w:val="0"/>
                <w:sz w:val="18"/>
                <w:szCs w:val="18"/>
              </w:rPr>
              <w:br w:type="textWrapping"/>
            </w:r>
            <w:r>
              <w:rPr>
                <w:rFonts w:hint="eastAsia" w:ascii="宋体" w:hAnsi="宋体" w:cs="宋体"/>
                <w:kern w:val="0"/>
                <w:sz w:val="18"/>
                <w:szCs w:val="18"/>
              </w:rPr>
              <w:t>9) 设备具有蓝、黄、黑、白、绿、红、黄绿双色和渐变绿色等13种车身颜色识别功能，白天、晚上识别准确率不小于95%，</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10) 设备识别不小于250种车辆品牌，白天、晚上识别准确率不小于95%，</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11) ▲可通过IE浏览器添加网关的MAC地址，在使用之前的网关MAC地址时，可被其他网段的客户端访问，当使用错误网关的MAC地址时，只能被同网段的客户端访问，</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12) ▲当网络断开时，可将码流及图片存储于emmc存储中，网络恢复时，可自动上传对应时间点码流及图片至原后台存储，</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13) 相机支持对斑马线不礼让行人抓拍、违法倒车行为进行抓拍、左转不让直行抓怕、大弯小转抓怕、加塞检测违法抓拍等，</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14) 支持车窗内挂饰识别检测、年检贴检测、危险品车辆检测、未系安全带检测、遮阳板状态识别检测、开车打电话检测等，</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15) 不按车道行驶、越线变道、压线、逆行抓拍、占用非机动车道等违法行为全天抓拍准确率不小于99％，</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t>；</w:t>
            </w:r>
            <w:r>
              <w:rPr>
                <w:rFonts w:hint="eastAsia" w:ascii="宋体" w:hAnsi="宋体" w:cs="宋体"/>
                <w:kern w:val="0"/>
                <w:sz w:val="18"/>
                <w:szCs w:val="18"/>
              </w:rPr>
              <w:br w:type="textWrapping"/>
            </w:r>
            <w:r>
              <w:rPr>
                <w:rFonts w:hint="eastAsia" w:ascii="宋体" w:hAnsi="宋体" w:cs="宋体"/>
                <w:kern w:val="0"/>
                <w:sz w:val="18"/>
                <w:szCs w:val="18"/>
              </w:rPr>
              <w:t>16) ▲支持多帧识别功能、自定义路由功能、双网隔离功能，</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17) 支持对使馆、农用、泥头车、民航、武钢、湛钢和新能源等特殊车牌识别，</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18) ▲设备WEB界面可设置多个违法的优先级，实现生成所有违法类型与仅生成最高优先级违法两者可选，</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19) 防护等级不小于IP67，设备工作温度范围不小于-45℃~+85℃。</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套</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5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501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5</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智能交通终端管理设备</w:t>
            </w:r>
          </w:p>
        </w:tc>
        <w:tc>
          <w:tcPr>
            <w:tcW w:w="34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b/>
                <w:kern w:val="0"/>
                <w:sz w:val="18"/>
                <w:szCs w:val="18"/>
              </w:rPr>
            </w:pPr>
            <w:r>
              <w:rPr>
                <w:rFonts w:hint="eastAsia" w:ascii="宋体" w:hAnsi="宋体" w:cs="宋体"/>
                <w:kern w:val="0"/>
                <w:sz w:val="18"/>
                <w:szCs w:val="18"/>
              </w:rPr>
              <w:t>1) 采用嵌入式Linux操作系统，支持7×24小时稳定运行，并且不易受到黑客、病毒的入侵和攻击；</w:t>
            </w:r>
            <w:r>
              <w:rPr>
                <w:rFonts w:hint="eastAsia" w:ascii="宋体" w:hAnsi="宋体" w:cs="宋体"/>
                <w:kern w:val="0"/>
                <w:sz w:val="18"/>
                <w:szCs w:val="18"/>
              </w:rPr>
              <w:br w:type="textWrapping"/>
            </w:r>
            <w:r>
              <w:rPr>
                <w:rFonts w:hint="eastAsia" w:ascii="宋体" w:hAnsi="宋体" w:cs="宋体"/>
                <w:kern w:val="0"/>
                <w:sz w:val="18"/>
                <w:szCs w:val="18"/>
              </w:rPr>
              <w:t>2) ▲具备≥5个以太网光口、≥6个以太网电口、≥3个RS-232接口、≥4个RS-485接口、≥2个USB接口、≥8路告警输入接口、≥4路告警输出接口，可同时接入16路高清网络摄像机，</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3)支持图片合成功能，可将摄像机上传的2张或3张或4张或6张图片合成一张，并可配置图片合成顺序，</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4) 支持NTP校时功能，可自定义NTP服务器IP地址、端口及更新时间间隔等信息，</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5) 面板应具有显示主机工作状态的灯光指示，可显示电口、光口、硬盘、报警、运行、加热、U</w:t>
            </w:r>
            <w:r>
              <w:rPr>
                <w:rFonts w:ascii="宋体" w:hAnsi="宋体" w:cs="宋体"/>
                <w:kern w:val="0"/>
                <w:sz w:val="18"/>
                <w:szCs w:val="18"/>
              </w:rPr>
              <w:t>SB指示灯</w:t>
            </w:r>
            <w:r>
              <w:rPr>
                <w:rFonts w:hint="eastAsia" w:ascii="宋体" w:hAnsi="宋体" w:cs="宋体"/>
                <w:kern w:val="0"/>
                <w:sz w:val="18"/>
                <w:szCs w:val="18"/>
              </w:rPr>
              <w:t>，</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6) 支持接入≥16路分辨率≥4096×2160的网络摄像机，提供公安部权威机构检测报告为证。支持通过IE进行访问和设置，具备画面分割显示功能，最大支持16画面分割显示，</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t>；</w:t>
            </w:r>
            <w:r>
              <w:rPr>
                <w:rFonts w:hint="eastAsia" w:ascii="宋体" w:hAnsi="宋体" w:cs="宋体"/>
                <w:kern w:val="0"/>
                <w:sz w:val="18"/>
                <w:szCs w:val="18"/>
              </w:rPr>
              <w:br w:type="textWrapping"/>
            </w:r>
            <w:r>
              <w:rPr>
                <w:rFonts w:hint="eastAsia" w:ascii="宋体" w:hAnsi="宋体" w:cs="宋体"/>
                <w:kern w:val="0"/>
                <w:sz w:val="18"/>
                <w:szCs w:val="18"/>
              </w:rPr>
              <w:t>7) 支持图片检索功能，可按卡口、时间、车速、车牌号码、车牌颜色、车身颜色、车辆类型、好牌类型、行驶方向、上传状态、无牌车等进行图片检索查询，</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t>；</w:t>
            </w:r>
            <w:r>
              <w:rPr>
                <w:rFonts w:hint="eastAsia" w:ascii="宋体" w:hAnsi="宋体" w:cs="宋体"/>
                <w:kern w:val="0"/>
                <w:sz w:val="18"/>
                <w:szCs w:val="18"/>
              </w:rPr>
              <w:br w:type="textWrapping"/>
            </w:r>
            <w:r>
              <w:rPr>
                <w:rFonts w:hint="eastAsia" w:ascii="宋体" w:hAnsi="宋体" w:cs="宋体"/>
                <w:kern w:val="0"/>
                <w:sz w:val="18"/>
                <w:szCs w:val="18"/>
              </w:rPr>
              <w:t xml:space="preserve">8) ▲支持4个硬盘槽位，支持硬盘S.M.A.R.T检测、坏道检测功能，支持RAID0、RAID1、RAID5等磁盘阵列，支持手动录像、定时录像、计划录像，支持图像质量检测功能，提供公安部权威机构检测报告为证9) </w:t>
            </w:r>
            <w:r>
              <w:rPr>
                <w:rFonts w:ascii="宋体" w:hAnsi="宋体" w:cs="宋体"/>
                <w:kern w:val="0"/>
                <w:sz w:val="18"/>
                <w:szCs w:val="18"/>
              </w:rPr>
              <w:t>支持</w:t>
            </w:r>
            <w:r>
              <w:rPr>
                <w:rFonts w:hint="eastAsia" w:ascii="宋体" w:hAnsi="宋体" w:cs="宋体"/>
                <w:kern w:val="0"/>
                <w:sz w:val="18"/>
                <w:szCs w:val="18"/>
              </w:rPr>
              <w:t>UNP通信，可通过虚拟IP地址登录并进行操作，提</w:t>
            </w:r>
            <w:r>
              <w:rPr>
                <w:rFonts w:hint="eastAsia" w:ascii="宋体" w:hAnsi="宋体" w:cs="宋体"/>
                <w:b/>
                <w:kern w:val="0"/>
                <w:sz w:val="18"/>
                <w:szCs w:val="18"/>
              </w:rPr>
              <w:t>供公安部检测报告复印件并加盖公章</w:t>
            </w:r>
            <w:r>
              <w:rPr>
                <w:rFonts w:hint="eastAsia" w:ascii="宋体" w:hAnsi="宋体" w:cs="宋体"/>
                <w:kern w:val="0"/>
                <w:sz w:val="18"/>
                <w:szCs w:val="18"/>
              </w:rPr>
              <w:t>；</w:t>
            </w:r>
            <w:r>
              <w:rPr>
                <w:rFonts w:hint="eastAsia" w:ascii="宋体" w:hAnsi="宋体" w:cs="宋体"/>
                <w:kern w:val="0"/>
                <w:sz w:val="18"/>
                <w:szCs w:val="18"/>
              </w:rPr>
              <w:br w:type="textWrapping"/>
            </w:r>
            <w:r>
              <w:rPr>
                <w:rFonts w:hint="eastAsia" w:ascii="宋体" w:hAnsi="宋体" w:cs="宋体"/>
                <w:kern w:val="0"/>
                <w:sz w:val="18"/>
                <w:szCs w:val="18"/>
              </w:rPr>
              <w:t>10)具备数据直存功能，支持视频流直接写入存储；</w:t>
            </w:r>
            <w:r>
              <w:rPr>
                <w:rFonts w:hint="eastAsia" w:ascii="宋体" w:hAnsi="宋体" w:cs="宋体"/>
                <w:kern w:val="0"/>
                <w:sz w:val="18"/>
                <w:szCs w:val="18"/>
              </w:rPr>
              <w:br w:type="textWrapping"/>
            </w:r>
            <w:r>
              <w:rPr>
                <w:rFonts w:hint="eastAsia" w:ascii="宋体" w:hAnsi="宋体" w:cs="宋体"/>
                <w:kern w:val="0"/>
                <w:sz w:val="18"/>
                <w:szCs w:val="18"/>
              </w:rPr>
              <w:t>11) 支持在图片上叠加车牌、车道、时间、地点等字符信息；</w:t>
            </w:r>
            <w:r>
              <w:rPr>
                <w:rFonts w:hint="eastAsia" w:ascii="宋体" w:hAnsi="宋体" w:cs="宋体"/>
                <w:kern w:val="0"/>
                <w:sz w:val="18"/>
                <w:szCs w:val="18"/>
              </w:rPr>
              <w:br w:type="textWrapping"/>
            </w:r>
            <w:r>
              <w:rPr>
                <w:rFonts w:hint="eastAsia" w:ascii="宋体" w:hAnsi="宋体" w:cs="宋体"/>
                <w:kern w:val="0"/>
                <w:sz w:val="18"/>
                <w:szCs w:val="18"/>
              </w:rPr>
              <w:t xml:space="preserve">12) </w:t>
            </w:r>
            <w:r>
              <w:rPr>
                <w:rFonts w:ascii="宋体" w:hAnsi="宋体" w:cs="宋体"/>
                <w:kern w:val="0"/>
                <w:sz w:val="18"/>
                <w:szCs w:val="18"/>
              </w:rPr>
              <w:t>支持双网卡</w:t>
            </w:r>
            <w:r>
              <w:rPr>
                <w:rFonts w:hint="eastAsia" w:ascii="宋体" w:hAnsi="宋体" w:cs="宋体"/>
                <w:kern w:val="0"/>
                <w:sz w:val="18"/>
                <w:szCs w:val="18"/>
              </w:rPr>
              <w:t>，</w:t>
            </w:r>
            <w:r>
              <w:rPr>
                <w:rFonts w:ascii="宋体" w:hAnsi="宋体" w:cs="宋体"/>
                <w:kern w:val="0"/>
                <w:sz w:val="18"/>
                <w:szCs w:val="18"/>
              </w:rPr>
              <w:t>可配置双</w:t>
            </w:r>
            <w:r>
              <w:rPr>
                <w:rFonts w:hint="eastAsia" w:ascii="宋体" w:hAnsi="宋体" w:cs="宋体"/>
                <w:kern w:val="0"/>
                <w:sz w:val="18"/>
                <w:szCs w:val="18"/>
              </w:rPr>
              <w:t>IP进行双网隔离，支持IPv6组网配置，</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13) ▲支持区间测速功能、断网续传功能、管理录像功能，</w:t>
            </w:r>
            <w:r>
              <w:rPr>
                <w:rFonts w:hint="eastAsia" w:ascii="宋体" w:hAnsi="宋体" w:cs="宋体"/>
                <w:b/>
                <w:kern w:val="0"/>
                <w:sz w:val="18"/>
                <w:szCs w:val="18"/>
              </w:rPr>
              <w:t>提供公安部检测报告复印件并加盖公章；</w:t>
            </w:r>
          </w:p>
          <w:p>
            <w:pPr>
              <w:widowControl/>
              <w:jc w:val="left"/>
              <w:textAlignment w:val="center"/>
              <w:rPr>
                <w:rFonts w:ascii="宋体" w:hAnsi="宋体" w:cs="宋体"/>
                <w:sz w:val="18"/>
                <w:szCs w:val="18"/>
              </w:rPr>
            </w:pPr>
            <w:r>
              <w:rPr>
                <w:rFonts w:hint="eastAsia" w:ascii="宋体" w:hAnsi="宋体" w:cs="宋体"/>
                <w:kern w:val="0"/>
                <w:sz w:val="18"/>
                <w:szCs w:val="18"/>
              </w:rPr>
              <w:t>14) ▲工作温度</w:t>
            </w:r>
            <w:r>
              <w:rPr>
                <w:rFonts w:ascii="宋体" w:hAnsi="宋体" w:cs="宋体"/>
                <w:kern w:val="0"/>
                <w:sz w:val="18"/>
                <w:szCs w:val="18"/>
              </w:rPr>
              <w:t>-</w:t>
            </w:r>
            <w:r>
              <w:rPr>
                <w:rFonts w:hint="eastAsia" w:ascii="宋体" w:hAnsi="宋体" w:cs="宋体"/>
                <w:kern w:val="0"/>
                <w:sz w:val="18"/>
                <w:szCs w:val="18"/>
              </w:rPr>
              <w:t>4</w:t>
            </w:r>
            <w:r>
              <w:rPr>
                <w:rFonts w:ascii="宋体" w:hAnsi="宋体" w:cs="宋体"/>
                <w:kern w:val="0"/>
                <w:sz w:val="18"/>
                <w:szCs w:val="18"/>
              </w:rPr>
              <w:t>0</w:t>
            </w:r>
            <w:r>
              <w:rPr>
                <w:rFonts w:hint="eastAsia" w:ascii="宋体" w:hAnsi="宋体" w:cs="宋体"/>
                <w:kern w:val="0"/>
                <w:sz w:val="18"/>
                <w:szCs w:val="18"/>
              </w:rPr>
              <w:t>℃～</w:t>
            </w:r>
            <w:r>
              <w:rPr>
                <w:rFonts w:ascii="宋体" w:hAnsi="宋体" w:cs="宋体"/>
                <w:kern w:val="0"/>
                <w:sz w:val="18"/>
                <w:szCs w:val="18"/>
              </w:rPr>
              <w:t>70</w:t>
            </w:r>
            <w:r>
              <w:rPr>
                <w:rFonts w:hint="eastAsia" w:ascii="宋体" w:hAnsi="宋体" w:cs="宋体"/>
                <w:kern w:val="0"/>
                <w:sz w:val="18"/>
                <w:szCs w:val="18"/>
              </w:rPr>
              <w:t>℃，最大功耗低于80W，支持DC12V电源输出功能，</w:t>
            </w:r>
            <w:r>
              <w:rPr>
                <w:rFonts w:hint="eastAsia" w:ascii="宋体" w:hAnsi="宋体" w:cs="宋体"/>
                <w:b/>
                <w:kern w:val="0"/>
                <w:sz w:val="18"/>
                <w:szCs w:val="18"/>
              </w:rPr>
              <w:t>提供公安部检测报告复印件并加盖公章。</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套</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13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52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6</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硬盘4T</w:t>
            </w:r>
          </w:p>
        </w:tc>
        <w:tc>
          <w:tcPr>
            <w:tcW w:w="34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sz w:val="18"/>
                <w:szCs w:val="18"/>
              </w:rPr>
            </w:pPr>
            <w:r>
              <w:rPr>
                <w:rFonts w:hint="eastAsia" w:ascii="宋体" w:hAnsi="宋体" w:cs="宋体"/>
                <w:kern w:val="0"/>
                <w:sz w:val="18"/>
                <w:szCs w:val="18"/>
              </w:rPr>
              <w:t>硬盘</w:t>
            </w:r>
            <w:r>
              <w:rPr>
                <w:rFonts w:hint="eastAsia" w:ascii="宋体" w:hAnsi="宋体" w:cs="宋体"/>
                <w:kern w:val="0"/>
                <w:sz w:val="18"/>
                <w:szCs w:val="18"/>
              </w:rPr>
              <w:br w:type="textWrapping"/>
            </w:r>
            <w:r>
              <w:rPr>
                <w:rFonts w:hint="eastAsia" w:ascii="宋体" w:hAnsi="宋体" w:cs="宋体"/>
                <w:kern w:val="0"/>
                <w:sz w:val="18"/>
                <w:szCs w:val="18"/>
              </w:rPr>
              <w:t>后台存储4T（路口主机用）</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块</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4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9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7</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嵌入式抓拍软件</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sz w:val="18"/>
                <w:szCs w:val="18"/>
              </w:rPr>
            </w:pPr>
            <w:r>
              <w:rPr>
                <w:rFonts w:hint="eastAsia" w:ascii="宋体" w:hAnsi="宋体" w:cs="宋体"/>
                <w:kern w:val="0"/>
                <w:sz w:val="18"/>
                <w:szCs w:val="18"/>
              </w:rPr>
              <w:t>采用嵌入式Linux操作系统，支持7×24小时稳定运行，并且不易受到黑客、病毒的入侵和攻击。</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套</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120</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2112"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8</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爆闪补光灯</w:t>
            </w:r>
          </w:p>
        </w:tc>
        <w:tc>
          <w:tcPr>
            <w:tcW w:w="34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sz w:val="18"/>
                <w:szCs w:val="18"/>
              </w:rPr>
            </w:pPr>
            <w:r>
              <w:rPr>
                <w:rFonts w:hint="eastAsia" w:ascii="宋体" w:hAnsi="宋体" w:cs="宋体"/>
                <w:kern w:val="0"/>
                <w:sz w:val="18"/>
                <w:szCs w:val="18"/>
              </w:rPr>
              <w:t>1) 闪光持续时间≤1/6000s；</w:t>
            </w:r>
            <w:r>
              <w:rPr>
                <w:rFonts w:hint="eastAsia" w:ascii="宋体" w:hAnsi="宋体" w:cs="宋体"/>
                <w:kern w:val="0"/>
                <w:sz w:val="18"/>
                <w:szCs w:val="18"/>
              </w:rPr>
              <w:br w:type="textWrapping"/>
            </w:r>
            <w:r>
              <w:rPr>
                <w:rFonts w:hint="eastAsia" w:ascii="宋体" w:hAnsi="宋体" w:cs="宋体"/>
                <w:kern w:val="0"/>
                <w:sz w:val="18"/>
                <w:szCs w:val="18"/>
              </w:rPr>
              <w:t>2) 有效补光距离18-30米；</w:t>
            </w:r>
            <w:r>
              <w:rPr>
                <w:rFonts w:hint="eastAsia" w:ascii="宋体" w:hAnsi="宋体" w:cs="宋体"/>
                <w:kern w:val="0"/>
                <w:sz w:val="18"/>
                <w:szCs w:val="18"/>
              </w:rPr>
              <w:br w:type="textWrapping"/>
            </w:r>
            <w:r>
              <w:rPr>
                <w:rFonts w:hint="eastAsia" w:ascii="宋体" w:hAnsi="宋体" w:cs="宋体"/>
                <w:kern w:val="0"/>
                <w:sz w:val="18"/>
                <w:szCs w:val="18"/>
              </w:rPr>
              <w:t>3) 开光量触发；</w:t>
            </w:r>
            <w:r>
              <w:rPr>
                <w:rFonts w:hint="eastAsia" w:ascii="宋体" w:hAnsi="宋体" w:cs="宋体"/>
                <w:kern w:val="0"/>
                <w:sz w:val="18"/>
                <w:szCs w:val="18"/>
              </w:rPr>
              <w:br w:type="textWrapping"/>
            </w:r>
            <w:r>
              <w:rPr>
                <w:rFonts w:hint="eastAsia" w:ascii="宋体" w:hAnsi="宋体" w:cs="宋体"/>
                <w:kern w:val="0"/>
                <w:sz w:val="18"/>
                <w:szCs w:val="18"/>
              </w:rPr>
              <w:t>4) 支持卡口抓拍进行同步补光；</w:t>
            </w:r>
            <w:r>
              <w:rPr>
                <w:rFonts w:hint="eastAsia" w:ascii="宋体" w:hAnsi="宋体" w:cs="宋体"/>
                <w:kern w:val="0"/>
                <w:sz w:val="18"/>
                <w:szCs w:val="18"/>
              </w:rPr>
              <w:br w:type="textWrapping"/>
            </w:r>
            <w:r>
              <w:rPr>
                <w:rFonts w:hint="eastAsia" w:ascii="宋体" w:hAnsi="宋体" w:cs="宋体"/>
                <w:kern w:val="0"/>
                <w:sz w:val="18"/>
                <w:szCs w:val="18"/>
              </w:rPr>
              <w:t>5) ▲支持通过开关量接口进行8档亮度调节。</w:t>
            </w:r>
            <w:r>
              <w:rPr>
                <w:rFonts w:hint="eastAsia" w:ascii="宋体" w:hAnsi="宋体" w:cs="宋体"/>
                <w:b/>
                <w:kern w:val="0"/>
                <w:sz w:val="18"/>
                <w:szCs w:val="18"/>
              </w:rPr>
              <w:t>提供公安部权威机构检测报告并加盖公章为证；</w:t>
            </w:r>
            <w:r>
              <w:rPr>
                <w:rFonts w:hint="eastAsia" w:ascii="宋体" w:hAnsi="宋体" w:cs="宋体"/>
                <w:b/>
                <w:kern w:val="0"/>
                <w:sz w:val="18"/>
                <w:szCs w:val="18"/>
              </w:rPr>
              <w:br w:type="textWrapping"/>
            </w:r>
            <w:r>
              <w:rPr>
                <w:rFonts w:hint="eastAsia" w:ascii="宋体" w:hAnsi="宋体" w:cs="宋体"/>
                <w:kern w:val="0"/>
                <w:sz w:val="18"/>
                <w:szCs w:val="18"/>
              </w:rPr>
              <w:t>6) ▲连续两次补光之间最小间隔≤40ms。</w:t>
            </w:r>
            <w:r>
              <w:rPr>
                <w:rFonts w:hint="eastAsia" w:ascii="宋体" w:hAnsi="宋体" w:cs="宋体"/>
                <w:b/>
                <w:kern w:val="0"/>
                <w:sz w:val="18"/>
                <w:szCs w:val="18"/>
              </w:rPr>
              <w:t>提供公安部权威机构检测报告为证；</w:t>
            </w:r>
            <w:r>
              <w:rPr>
                <w:rFonts w:hint="eastAsia" w:ascii="宋体" w:hAnsi="宋体" w:cs="宋体"/>
                <w:kern w:val="0"/>
                <w:sz w:val="18"/>
                <w:szCs w:val="18"/>
              </w:rPr>
              <w:br w:type="textWrapping"/>
            </w:r>
            <w:r>
              <w:rPr>
                <w:rFonts w:hint="eastAsia" w:ascii="宋体" w:hAnsi="宋体" w:cs="宋体"/>
                <w:kern w:val="0"/>
                <w:sz w:val="18"/>
                <w:szCs w:val="18"/>
              </w:rPr>
              <w:t>7) ▲防护等级≥IP68。</w:t>
            </w:r>
            <w:r>
              <w:rPr>
                <w:rFonts w:hint="eastAsia" w:ascii="宋体" w:hAnsi="宋体" w:cs="宋体"/>
                <w:b/>
                <w:kern w:val="0"/>
                <w:sz w:val="18"/>
                <w:szCs w:val="18"/>
              </w:rPr>
              <w:t>提供公安部权威机构检测报告并加盖公章为证；</w:t>
            </w:r>
            <w:r>
              <w:rPr>
                <w:rFonts w:hint="eastAsia" w:ascii="宋体" w:hAnsi="宋体" w:cs="宋体"/>
                <w:kern w:val="0"/>
                <w:sz w:val="18"/>
                <w:szCs w:val="18"/>
              </w:rPr>
              <w:br w:type="textWrapping"/>
            </w:r>
            <w:r>
              <w:rPr>
                <w:rFonts w:hint="eastAsia" w:ascii="宋体" w:hAnsi="宋体" w:cs="宋体"/>
                <w:kern w:val="0"/>
                <w:sz w:val="18"/>
                <w:szCs w:val="18"/>
              </w:rPr>
              <w:t>8) ▲可在-40～80℃温度环境正常工作。</w:t>
            </w:r>
            <w:r>
              <w:rPr>
                <w:rFonts w:hint="eastAsia" w:ascii="宋体" w:hAnsi="宋体" w:cs="宋体"/>
                <w:b/>
                <w:kern w:val="0"/>
                <w:sz w:val="18"/>
                <w:szCs w:val="18"/>
              </w:rPr>
              <w:t>提供公安部权威机构检测报告并加盖公章为证。</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113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396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9</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LED频闪补光灯</w:t>
            </w:r>
          </w:p>
        </w:tc>
        <w:tc>
          <w:tcPr>
            <w:tcW w:w="34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sz w:val="18"/>
                <w:szCs w:val="18"/>
              </w:rPr>
            </w:pPr>
            <w:r>
              <w:rPr>
                <w:rFonts w:hint="eastAsia" w:ascii="宋体" w:hAnsi="宋体" w:cs="宋体"/>
                <w:kern w:val="0"/>
                <w:sz w:val="18"/>
                <w:szCs w:val="18"/>
              </w:rPr>
              <w:t>1) 高品质LED灯珠，数量≥16颗；</w:t>
            </w:r>
            <w:r>
              <w:rPr>
                <w:rFonts w:hint="eastAsia" w:ascii="宋体" w:hAnsi="宋体" w:cs="宋体"/>
                <w:kern w:val="0"/>
                <w:sz w:val="18"/>
                <w:szCs w:val="18"/>
              </w:rPr>
              <w:br w:type="textWrapping"/>
            </w:r>
            <w:r>
              <w:rPr>
                <w:rFonts w:hint="eastAsia" w:ascii="宋体" w:hAnsi="宋体" w:cs="宋体"/>
                <w:kern w:val="0"/>
                <w:sz w:val="18"/>
                <w:szCs w:val="18"/>
              </w:rPr>
              <w:t>2) 色温≤3500k；</w:t>
            </w:r>
            <w:r>
              <w:rPr>
                <w:rFonts w:hint="eastAsia" w:ascii="宋体" w:hAnsi="宋体" w:cs="宋体"/>
                <w:kern w:val="0"/>
                <w:sz w:val="18"/>
                <w:szCs w:val="18"/>
              </w:rPr>
              <w:br w:type="textWrapping"/>
            </w:r>
            <w:r>
              <w:rPr>
                <w:rFonts w:hint="eastAsia" w:ascii="宋体" w:hAnsi="宋体" w:cs="宋体"/>
                <w:kern w:val="0"/>
                <w:sz w:val="18"/>
                <w:szCs w:val="18"/>
              </w:rPr>
              <w:t>3) 光通量≥1400lm；</w:t>
            </w:r>
            <w:r>
              <w:rPr>
                <w:rFonts w:hint="eastAsia" w:ascii="宋体" w:hAnsi="宋体" w:cs="宋体"/>
                <w:kern w:val="0"/>
                <w:sz w:val="18"/>
                <w:szCs w:val="18"/>
              </w:rPr>
              <w:br w:type="textWrapping"/>
            </w:r>
            <w:r>
              <w:rPr>
                <w:rFonts w:hint="eastAsia" w:ascii="宋体" w:hAnsi="宋体" w:cs="宋体"/>
                <w:kern w:val="0"/>
                <w:sz w:val="18"/>
                <w:szCs w:val="18"/>
              </w:rPr>
              <w:t>4) 最佳补光距离16-26米；</w:t>
            </w:r>
            <w:r>
              <w:rPr>
                <w:rFonts w:hint="eastAsia" w:ascii="宋体" w:hAnsi="宋体" w:cs="宋体"/>
                <w:kern w:val="0"/>
                <w:sz w:val="18"/>
                <w:szCs w:val="18"/>
              </w:rPr>
              <w:br w:type="textWrapping"/>
            </w:r>
            <w:r>
              <w:rPr>
                <w:rFonts w:hint="eastAsia" w:ascii="宋体" w:hAnsi="宋体" w:cs="宋体"/>
                <w:kern w:val="0"/>
                <w:sz w:val="18"/>
                <w:szCs w:val="18"/>
              </w:rPr>
              <w:t>5) 补光功率＜30W；</w:t>
            </w:r>
            <w:r>
              <w:rPr>
                <w:rFonts w:hint="eastAsia" w:ascii="宋体" w:hAnsi="宋体" w:cs="宋体"/>
                <w:kern w:val="0"/>
                <w:sz w:val="18"/>
                <w:szCs w:val="18"/>
              </w:rPr>
              <w:br w:type="textWrapping"/>
            </w:r>
            <w:r>
              <w:rPr>
                <w:rFonts w:hint="eastAsia" w:ascii="宋体" w:hAnsi="宋体" w:cs="宋体"/>
                <w:kern w:val="0"/>
                <w:sz w:val="18"/>
                <w:szCs w:val="18"/>
              </w:rPr>
              <w:t>6) 触发方式：电平量触发；</w:t>
            </w:r>
            <w:r>
              <w:rPr>
                <w:rFonts w:hint="eastAsia" w:ascii="宋体" w:hAnsi="宋体" w:cs="宋体"/>
                <w:kern w:val="0"/>
                <w:sz w:val="18"/>
                <w:szCs w:val="18"/>
              </w:rPr>
              <w:br w:type="textWrapping"/>
            </w:r>
            <w:r>
              <w:rPr>
                <w:rFonts w:hint="eastAsia" w:ascii="宋体" w:hAnsi="宋体" w:cs="宋体"/>
                <w:kern w:val="0"/>
                <w:sz w:val="18"/>
                <w:szCs w:val="18"/>
              </w:rPr>
              <w:t>7) 电源范围AC220±20%；</w:t>
            </w:r>
            <w:r>
              <w:rPr>
                <w:rFonts w:hint="eastAsia" w:ascii="宋体" w:hAnsi="宋体" w:cs="宋体"/>
                <w:kern w:val="0"/>
                <w:sz w:val="18"/>
                <w:szCs w:val="18"/>
              </w:rPr>
              <w:br w:type="textWrapping"/>
            </w:r>
            <w:r>
              <w:rPr>
                <w:rFonts w:hint="eastAsia" w:ascii="宋体" w:hAnsi="宋体" w:cs="宋体"/>
                <w:kern w:val="0"/>
                <w:sz w:val="18"/>
                <w:szCs w:val="18"/>
              </w:rPr>
              <w:t>8) 可在-40～70℃温度环境正常工作；</w:t>
            </w:r>
            <w:r>
              <w:rPr>
                <w:rFonts w:hint="eastAsia" w:ascii="宋体" w:hAnsi="宋体" w:cs="宋体"/>
                <w:kern w:val="0"/>
                <w:sz w:val="18"/>
                <w:szCs w:val="18"/>
              </w:rPr>
              <w:br w:type="textWrapping"/>
            </w:r>
            <w:r>
              <w:rPr>
                <w:rFonts w:hint="eastAsia" w:ascii="宋体" w:hAnsi="宋体" w:cs="宋体"/>
                <w:kern w:val="0"/>
                <w:sz w:val="18"/>
                <w:szCs w:val="18"/>
              </w:rPr>
              <w:t>9) 防护等级达到IP67；</w:t>
            </w:r>
            <w:r>
              <w:rPr>
                <w:rFonts w:hint="eastAsia" w:ascii="宋体" w:hAnsi="宋体" w:cs="宋体"/>
                <w:kern w:val="0"/>
                <w:sz w:val="18"/>
                <w:szCs w:val="18"/>
              </w:rPr>
              <w:br w:type="textWrapping"/>
            </w:r>
            <w:r>
              <w:rPr>
                <w:rFonts w:hint="eastAsia" w:ascii="宋体" w:hAnsi="宋体" w:cs="宋体"/>
                <w:kern w:val="0"/>
                <w:sz w:val="18"/>
                <w:szCs w:val="18"/>
              </w:rPr>
              <w:t>10) 寿命≥50000小时；</w:t>
            </w:r>
            <w:r>
              <w:rPr>
                <w:rFonts w:hint="eastAsia" w:ascii="宋体" w:hAnsi="宋体" w:cs="宋体"/>
                <w:kern w:val="0"/>
                <w:sz w:val="18"/>
                <w:szCs w:val="18"/>
              </w:rPr>
              <w:br w:type="textWrapping"/>
            </w:r>
            <w:r>
              <w:rPr>
                <w:rFonts w:hint="eastAsia" w:ascii="宋体" w:hAnsi="宋体" w:cs="宋体"/>
                <w:kern w:val="0"/>
                <w:sz w:val="18"/>
                <w:szCs w:val="18"/>
              </w:rPr>
              <w:t>11) ▲基准轴上的峰值光照度≤300lx，平均光照度≤50lx；在制造商标称的补光区域内，峰值光照度≥基准轴上峰值光照度的50%。</w:t>
            </w:r>
            <w:r>
              <w:rPr>
                <w:rFonts w:hint="eastAsia" w:ascii="宋体" w:hAnsi="宋体" w:cs="宋体"/>
                <w:b/>
                <w:kern w:val="0"/>
                <w:sz w:val="18"/>
                <w:szCs w:val="18"/>
              </w:rPr>
              <w:t>提供公安部权威机构检测报告为证并加盖公章；</w:t>
            </w:r>
            <w:r>
              <w:rPr>
                <w:rFonts w:hint="eastAsia" w:ascii="宋体" w:hAnsi="宋体" w:cs="宋体"/>
                <w:b/>
                <w:kern w:val="0"/>
                <w:sz w:val="18"/>
                <w:szCs w:val="18"/>
              </w:rPr>
              <w:br w:type="textWrapping"/>
            </w:r>
            <w:r>
              <w:rPr>
                <w:rFonts w:hint="eastAsia" w:ascii="宋体" w:hAnsi="宋体" w:cs="宋体"/>
                <w:kern w:val="0"/>
                <w:sz w:val="18"/>
                <w:szCs w:val="18"/>
              </w:rPr>
              <w:t>12) ▲具有GA/T1202-2014《交通技术监控成像补光装置通用技术条件》公安部交通安全产品质量监督检测中心的系统检测报告</w:t>
            </w:r>
            <w:r>
              <w:rPr>
                <w:rFonts w:hint="eastAsia" w:ascii="宋体" w:hAnsi="宋体" w:cs="宋体"/>
                <w:b/>
                <w:kern w:val="0"/>
                <w:sz w:val="18"/>
                <w:szCs w:val="18"/>
              </w:rPr>
              <w:t>并加盖公章</w:t>
            </w:r>
            <w:r>
              <w:rPr>
                <w:rFonts w:hint="eastAsia" w:ascii="宋体" w:hAnsi="宋体" w:cs="宋体"/>
                <w:kern w:val="0"/>
                <w:sz w:val="18"/>
                <w:szCs w:val="18"/>
              </w:rPr>
              <w:t>。</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234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52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10</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工业级交换机</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sz w:val="18"/>
                <w:szCs w:val="18"/>
              </w:rPr>
            </w:pPr>
            <w:r>
              <w:rPr>
                <w:rFonts w:hint="eastAsia" w:ascii="宋体" w:hAnsi="宋体" w:cs="宋体"/>
                <w:kern w:val="0"/>
                <w:sz w:val="18"/>
                <w:szCs w:val="18"/>
              </w:rPr>
              <w:t>工业级交换机</w:t>
            </w:r>
            <w:r>
              <w:rPr>
                <w:rFonts w:hint="eastAsia" w:ascii="宋体" w:hAnsi="宋体" w:cs="宋体"/>
                <w:kern w:val="0"/>
                <w:sz w:val="18"/>
                <w:szCs w:val="18"/>
              </w:rPr>
              <w:br w:type="textWrapping"/>
            </w:r>
            <w:r>
              <w:rPr>
                <w:rFonts w:hint="eastAsia" w:ascii="宋体" w:hAnsi="宋体" w:cs="宋体"/>
                <w:kern w:val="0"/>
                <w:sz w:val="18"/>
                <w:szCs w:val="18"/>
              </w:rPr>
              <w:t>8口百兆工业级网络交换机</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台</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28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52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11</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光纤收发器</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sz w:val="18"/>
                <w:szCs w:val="18"/>
              </w:rPr>
            </w:pPr>
            <w:r>
              <w:rPr>
                <w:rFonts w:hint="eastAsia" w:ascii="宋体" w:hAnsi="宋体" w:cs="宋体"/>
                <w:kern w:val="0"/>
                <w:sz w:val="18"/>
                <w:szCs w:val="18"/>
              </w:rPr>
              <w:t>光纤收发器</w:t>
            </w:r>
            <w:r>
              <w:rPr>
                <w:rFonts w:hint="eastAsia" w:ascii="宋体" w:hAnsi="宋体" w:cs="宋体"/>
                <w:kern w:val="0"/>
                <w:sz w:val="18"/>
                <w:szCs w:val="18"/>
              </w:rPr>
              <w:br w:type="textWrapping"/>
            </w:r>
            <w:r>
              <w:rPr>
                <w:rFonts w:hint="eastAsia" w:ascii="宋体" w:hAnsi="宋体" w:cs="宋体"/>
                <w:kern w:val="0"/>
                <w:sz w:val="18"/>
                <w:szCs w:val="18"/>
              </w:rPr>
              <w:t>10M/100M自适应</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台</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45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216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12</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红灯检测器</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sz w:val="18"/>
                <w:szCs w:val="18"/>
              </w:rPr>
            </w:pPr>
            <w:r>
              <w:rPr>
                <w:rFonts w:hint="eastAsia" w:ascii="宋体" w:hAnsi="宋体" w:cs="宋体"/>
                <w:kern w:val="0"/>
                <w:sz w:val="18"/>
                <w:szCs w:val="18"/>
              </w:rPr>
              <w:t>1) 可接收信号灯状态信息，并可将实时状态上报至联动的网络摄像机，可同时检测≥16路信号灯，检测时间：＜1ms，检测准确率为100%；</w:t>
            </w:r>
            <w:r>
              <w:rPr>
                <w:rFonts w:hint="eastAsia" w:ascii="宋体" w:hAnsi="宋体" w:cs="宋体"/>
                <w:kern w:val="0"/>
                <w:sz w:val="18"/>
                <w:szCs w:val="18"/>
              </w:rPr>
              <w:br w:type="textWrapping"/>
            </w:r>
            <w:r>
              <w:rPr>
                <w:rFonts w:hint="eastAsia" w:ascii="宋体" w:hAnsi="宋体" w:cs="宋体"/>
                <w:kern w:val="0"/>
                <w:sz w:val="18"/>
                <w:szCs w:val="18"/>
              </w:rPr>
              <w:t>2) ▲具备1个RJ45网口、1个RS485接口，支持网络RJ45接口传输，</w:t>
            </w:r>
            <w:r>
              <w:rPr>
                <w:rFonts w:hint="eastAsia" w:ascii="宋体" w:hAnsi="宋体" w:cs="宋体"/>
                <w:b/>
                <w:kern w:val="0"/>
                <w:sz w:val="18"/>
                <w:szCs w:val="18"/>
              </w:rPr>
              <w:t>提供公安部检测报告复印件并加盖公章；</w:t>
            </w:r>
            <w:r>
              <w:rPr>
                <w:rFonts w:hint="eastAsia" w:ascii="宋体" w:hAnsi="宋体" w:cs="宋体"/>
                <w:b/>
                <w:kern w:val="0"/>
                <w:sz w:val="18"/>
                <w:szCs w:val="18"/>
              </w:rPr>
              <w:br w:type="textWrapping"/>
            </w:r>
            <w:r>
              <w:rPr>
                <w:rFonts w:hint="eastAsia" w:ascii="宋体" w:hAnsi="宋体" w:cs="宋体"/>
                <w:kern w:val="0"/>
                <w:sz w:val="18"/>
                <w:szCs w:val="18"/>
              </w:rPr>
              <w:t>3) 支持通过Web登陆访问；</w:t>
            </w:r>
            <w:r>
              <w:rPr>
                <w:rFonts w:hint="eastAsia" w:ascii="宋体" w:hAnsi="宋体" w:cs="宋体"/>
                <w:kern w:val="0"/>
                <w:sz w:val="18"/>
                <w:szCs w:val="18"/>
              </w:rPr>
              <w:br w:type="textWrapping"/>
            </w:r>
            <w:r>
              <w:rPr>
                <w:rFonts w:hint="eastAsia" w:ascii="宋体" w:hAnsi="宋体" w:cs="宋体"/>
                <w:kern w:val="0"/>
                <w:sz w:val="18"/>
                <w:szCs w:val="18"/>
              </w:rPr>
              <w:t>4) ▲信号灯信号检测器可接收红绿灯状态信息，并将实时状态上报至联动网络摄像机，</w:t>
            </w:r>
            <w:r>
              <w:rPr>
                <w:rFonts w:hint="eastAsia" w:ascii="宋体" w:hAnsi="宋体" w:cs="宋体"/>
                <w:b/>
                <w:kern w:val="0"/>
                <w:sz w:val="18"/>
                <w:szCs w:val="18"/>
              </w:rPr>
              <w:t>提供公安部检测报告复印件并加盖公章；</w:t>
            </w:r>
            <w:r>
              <w:rPr>
                <w:rFonts w:hint="eastAsia" w:ascii="宋体" w:hAnsi="宋体" w:cs="宋体"/>
                <w:kern w:val="0"/>
                <w:sz w:val="18"/>
                <w:szCs w:val="18"/>
              </w:rPr>
              <w:br w:type="textWrapping"/>
            </w:r>
            <w:r>
              <w:rPr>
                <w:rFonts w:hint="eastAsia" w:ascii="宋体" w:hAnsi="宋体" w:cs="宋体"/>
                <w:kern w:val="0"/>
                <w:sz w:val="18"/>
                <w:szCs w:val="18"/>
              </w:rPr>
              <w:t>5) 支持设备在线升级、恢复默认配置、密码修改等；</w:t>
            </w:r>
            <w:r>
              <w:rPr>
                <w:rFonts w:hint="eastAsia" w:ascii="宋体" w:hAnsi="宋体" w:cs="宋体"/>
                <w:kern w:val="0"/>
                <w:sz w:val="18"/>
                <w:szCs w:val="18"/>
              </w:rPr>
              <w:br w:type="textWrapping"/>
            </w:r>
            <w:r>
              <w:rPr>
                <w:rFonts w:hint="eastAsia" w:ascii="宋体" w:hAnsi="宋体" w:cs="宋体"/>
                <w:kern w:val="0"/>
                <w:sz w:val="18"/>
                <w:szCs w:val="18"/>
              </w:rPr>
              <w:t>6) 具备16路信号灯检测状态指示灯，当信号灯状态变化时，对应接入检测器的指示灯有亮暗变化；</w:t>
            </w:r>
            <w:r>
              <w:rPr>
                <w:rFonts w:hint="eastAsia" w:ascii="宋体" w:hAnsi="宋体" w:cs="宋体"/>
                <w:kern w:val="0"/>
                <w:sz w:val="18"/>
                <w:szCs w:val="18"/>
              </w:rPr>
              <w:br w:type="textWrapping"/>
            </w:r>
            <w:r>
              <w:rPr>
                <w:rFonts w:hint="eastAsia" w:ascii="宋体" w:hAnsi="宋体" w:cs="宋体"/>
                <w:kern w:val="0"/>
                <w:sz w:val="18"/>
                <w:szCs w:val="18"/>
              </w:rPr>
              <w:t>7) 功耗：≤1W；</w:t>
            </w:r>
            <w:r>
              <w:rPr>
                <w:rFonts w:hint="eastAsia" w:ascii="宋体" w:hAnsi="宋体" w:cs="宋体"/>
                <w:kern w:val="0"/>
                <w:sz w:val="18"/>
                <w:szCs w:val="18"/>
              </w:rPr>
              <w:br w:type="textWrapping"/>
            </w:r>
            <w:r>
              <w:rPr>
                <w:rFonts w:hint="eastAsia" w:ascii="宋体" w:hAnsi="宋体" w:cs="宋体"/>
                <w:kern w:val="0"/>
                <w:sz w:val="18"/>
                <w:szCs w:val="18"/>
              </w:rPr>
              <w:t>8) 工作环境：-30～70℃。</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9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44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13</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室外落地机柜</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sz w:val="18"/>
                <w:szCs w:val="18"/>
              </w:rPr>
            </w:pPr>
            <w:r>
              <w:rPr>
                <w:rFonts w:hint="eastAsia" w:ascii="宋体" w:hAnsi="宋体" w:cs="宋体"/>
                <w:kern w:val="0"/>
                <w:sz w:val="18"/>
                <w:szCs w:val="18"/>
              </w:rPr>
              <w:t xml:space="preserve">   室外落地机柜</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台</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9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290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14</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7米L型电警杆</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sz w:val="18"/>
                <w:szCs w:val="18"/>
              </w:rPr>
            </w:pPr>
            <w:r>
              <w:rPr>
                <w:rFonts w:hint="eastAsia" w:ascii="宋体" w:hAnsi="宋体" w:cs="宋体"/>
                <w:kern w:val="0"/>
                <w:sz w:val="18"/>
                <w:szCs w:val="18"/>
              </w:rPr>
              <w:t>信号灯杆应采用圆形或多棱形经热镀锌处理的钢管制造；悬臂式灯杆悬臂杆与支撑杆使用圆形或多棱形的变截面型材制作，悬臂与灯杆连接端宜焊接固定法兰盘，悬臂下应留有进出线孔。</w:t>
            </w:r>
            <w:r>
              <w:rPr>
                <w:rFonts w:hint="eastAsia" w:ascii="宋体" w:hAnsi="宋体" w:cs="宋体"/>
                <w:kern w:val="0"/>
                <w:sz w:val="18"/>
                <w:szCs w:val="18"/>
              </w:rPr>
              <w:br w:type="textWrapping"/>
            </w:r>
            <w:r>
              <w:rPr>
                <w:rFonts w:hint="eastAsia" w:ascii="宋体" w:hAnsi="宋体" w:cs="宋体"/>
                <w:kern w:val="0"/>
                <w:sz w:val="18"/>
                <w:szCs w:val="18"/>
              </w:rPr>
              <w:t>信号灯杆制作后须经过防锈处理，底层喷涂富锌防锈底漆，外层喷涂银灰色瓷漆。</w:t>
            </w:r>
            <w:r>
              <w:rPr>
                <w:rFonts w:hint="eastAsia" w:ascii="宋体" w:hAnsi="宋体" w:cs="宋体"/>
                <w:kern w:val="0"/>
                <w:sz w:val="18"/>
                <w:szCs w:val="18"/>
              </w:rPr>
              <w:br w:type="textWrapping"/>
            </w:r>
            <w:r>
              <w:rPr>
                <w:rFonts w:hint="eastAsia" w:ascii="宋体" w:hAnsi="宋体" w:cs="宋体"/>
                <w:kern w:val="0"/>
                <w:sz w:val="18"/>
                <w:szCs w:val="18"/>
              </w:rPr>
              <w:t>信号灯灯杆距路面约300-350mm处留有拉线孔和拉线孔门。</w:t>
            </w:r>
            <w:r>
              <w:rPr>
                <w:rFonts w:hint="eastAsia" w:ascii="宋体" w:hAnsi="宋体" w:cs="宋体"/>
                <w:kern w:val="0"/>
                <w:sz w:val="18"/>
                <w:szCs w:val="18"/>
              </w:rPr>
              <w:br w:type="textWrapping"/>
            </w:r>
            <w:r>
              <w:rPr>
                <w:rFonts w:hint="eastAsia" w:ascii="宋体" w:hAnsi="宋体" w:cs="宋体"/>
                <w:kern w:val="0"/>
                <w:sz w:val="18"/>
                <w:szCs w:val="18"/>
              </w:rPr>
              <w:t>孔门盖应设有防盗措施，孔内设置接地端子座，并与接地线可靠接驳。</w:t>
            </w:r>
            <w:r>
              <w:rPr>
                <w:rFonts w:hint="eastAsia" w:ascii="宋体" w:hAnsi="宋体" w:cs="宋体"/>
                <w:kern w:val="0"/>
                <w:sz w:val="18"/>
                <w:szCs w:val="18"/>
              </w:rPr>
              <w:br w:type="textWrapping"/>
            </w:r>
            <w:r>
              <w:rPr>
                <w:rFonts w:hint="eastAsia" w:ascii="宋体" w:hAnsi="宋体" w:cs="宋体"/>
                <w:kern w:val="0"/>
                <w:sz w:val="18"/>
                <w:szCs w:val="18"/>
              </w:rPr>
              <w:t>立柱式灯杆顶部安装灯具处应留有出线孔，并配备橡胶护套、电缆线回水弯挂钩，灯杆顶部应安装塑料或经防腐处理的内套式金属防水管帽。</w:t>
            </w:r>
            <w:r>
              <w:rPr>
                <w:rFonts w:hint="eastAsia" w:ascii="宋体" w:hAnsi="宋体" w:cs="宋体"/>
                <w:kern w:val="0"/>
                <w:sz w:val="18"/>
                <w:szCs w:val="18"/>
              </w:rPr>
              <w:br w:type="textWrapping"/>
            </w:r>
            <w:r>
              <w:rPr>
                <w:rFonts w:hint="eastAsia" w:ascii="宋体" w:hAnsi="宋体" w:cs="宋体"/>
                <w:kern w:val="0"/>
                <w:sz w:val="18"/>
                <w:szCs w:val="18"/>
              </w:rPr>
              <w:t>悬臂式灯杆拉杆宜使用圆钢制作，一端配有可调距离的螺旋扣，直径和长度根据悬臂长度确定。</w:t>
            </w:r>
            <w:r>
              <w:rPr>
                <w:rFonts w:hint="eastAsia" w:ascii="宋体" w:hAnsi="宋体" w:cs="宋体"/>
                <w:kern w:val="0"/>
                <w:sz w:val="18"/>
                <w:szCs w:val="18"/>
              </w:rPr>
              <w:br w:type="textWrapping"/>
            </w:r>
            <w:r>
              <w:rPr>
                <w:rFonts w:hint="eastAsia" w:ascii="宋体" w:hAnsi="宋体" w:cs="宋体"/>
                <w:kern w:val="0"/>
                <w:sz w:val="18"/>
                <w:szCs w:val="18"/>
              </w:rPr>
              <w:t>信号灯杆杆体底部应焊接固定法兰盘，法兰盘与杆体之间应均匀焊接加强筋。</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12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237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15</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8米L型电警杆</w:t>
            </w:r>
          </w:p>
        </w:tc>
        <w:tc>
          <w:tcPr>
            <w:tcW w:w="34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sz w:val="18"/>
                <w:szCs w:val="18"/>
              </w:rPr>
            </w:pPr>
            <w:r>
              <w:rPr>
                <w:rFonts w:hint="eastAsia" w:ascii="宋体" w:hAnsi="宋体" w:cs="宋体"/>
                <w:kern w:val="0"/>
                <w:sz w:val="18"/>
                <w:szCs w:val="18"/>
              </w:rPr>
              <w:t>信号灯杆应采用圆形或多棱形经热镀锌处理的钢管制造；悬臂式灯杆悬臂杆与支撑杆使用圆形或多棱形的变截面型材制作，悬臂与灯杆连接端宜焊接固定法兰盘，悬臂下应留有进出线孔。</w:t>
            </w:r>
            <w:r>
              <w:rPr>
                <w:rFonts w:hint="eastAsia" w:ascii="宋体" w:hAnsi="宋体" w:cs="宋体"/>
                <w:kern w:val="0"/>
                <w:sz w:val="18"/>
                <w:szCs w:val="18"/>
              </w:rPr>
              <w:br w:type="textWrapping"/>
            </w:r>
            <w:r>
              <w:rPr>
                <w:rFonts w:hint="eastAsia" w:ascii="宋体" w:hAnsi="宋体" w:cs="宋体"/>
                <w:kern w:val="0"/>
                <w:sz w:val="18"/>
                <w:szCs w:val="18"/>
              </w:rPr>
              <w:t>信号灯杆制作后须经过防锈处理，底层喷涂富锌防锈底漆，外层喷涂银灰色瓷漆。</w:t>
            </w:r>
            <w:r>
              <w:rPr>
                <w:rFonts w:hint="eastAsia" w:ascii="宋体" w:hAnsi="宋体" w:cs="宋体"/>
                <w:kern w:val="0"/>
                <w:sz w:val="18"/>
                <w:szCs w:val="18"/>
              </w:rPr>
              <w:br w:type="textWrapping"/>
            </w:r>
            <w:r>
              <w:rPr>
                <w:rFonts w:hint="eastAsia" w:ascii="宋体" w:hAnsi="宋体" w:cs="宋体"/>
                <w:kern w:val="0"/>
                <w:sz w:val="18"/>
                <w:szCs w:val="18"/>
              </w:rPr>
              <w:t>信号灯灯杆距路面约300-350mm处留有拉线孔和拉线孔门。</w:t>
            </w:r>
            <w:r>
              <w:rPr>
                <w:rFonts w:hint="eastAsia" w:ascii="宋体" w:hAnsi="宋体" w:cs="宋体"/>
                <w:kern w:val="0"/>
                <w:sz w:val="18"/>
                <w:szCs w:val="18"/>
              </w:rPr>
              <w:br w:type="textWrapping"/>
            </w:r>
            <w:r>
              <w:rPr>
                <w:rFonts w:hint="eastAsia" w:ascii="宋体" w:hAnsi="宋体" w:cs="宋体"/>
                <w:kern w:val="0"/>
                <w:sz w:val="18"/>
                <w:szCs w:val="18"/>
              </w:rPr>
              <w:t>孔门盖应设有防盗措施，孔内设置接地端子座，并与接地线可靠接驳。</w:t>
            </w:r>
            <w:r>
              <w:rPr>
                <w:rFonts w:hint="eastAsia" w:ascii="宋体" w:hAnsi="宋体" w:cs="宋体"/>
                <w:kern w:val="0"/>
                <w:sz w:val="18"/>
                <w:szCs w:val="18"/>
              </w:rPr>
              <w:br w:type="textWrapping"/>
            </w:r>
            <w:r>
              <w:rPr>
                <w:rFonts w:hint="eastAsia" w:ascii="宋体" w:hAnsi="宋体" w:cs="宋体"/>
                <w:kern w:val="0"/>
                <w:sz w:val="18"/>
                <w:szCs w:val="18"/>
              </w:rPr>
              <w:t>立柱式灯杆顶部安装灯具处应留有出线孔，并配备橡胶护套、电缆线回水弯挂钩，灯杆顶部应安装塑料或经防腐处理的内套式金属防水管帽。</w:t>
            </w:r>
            <w:r>
              <w:rPr>
                <w:rFonts w:hint="eastAsia" w:ascii="宋体" w:hAnsi="宋体" w:cs="宋体"/>
                <w:kern w:val="0"/>
                <w:sz w:val="18"/>
                <w:szCs w:val="18"/>
              </w:rPr>
              <w:br w:type="textWrapping"/>
            </w:r>
            <w:r>
              <w:rPr>
                <w:rFonts w:hint="eastAsia" w:ascii="宋体" w:hAnsi="宋体" w:cs="宋体"/>
                <w:kern w:val="0"/>
                <w:sz w:val="18"/>
                <w:szCs w:val="18"/>
              </w:rPr>
              <w:t>悬臂式灯杆拉杆宜使用圆钢制作，一端配有可调距离的螺旋扣，直径和长度根据悬臂长度确定。</w:t>
            </w:r>
            <w:r>
              <w:rPr>
                <w:rFonts w:hint="eastAsia" w:ascii="宋体" w:hAnsi="宋体" w:cs="宋体"/>
                <w:kern w:val="0"/>
                <w:sz w:val="18"/>
                <w:szCs w:val="18"/>
              </w:rPr>
              <w:br w:type="textWrapping"/>
            </w:r>
            <w:r>
              <w:rPr>
                <w:rFonts w:hint="eastAsia" w:ascii="宋体" w:hAnsi="宋体" w:cs="宋体"/>
                <w:kern w:val="0"/>
                <w:sz w:val="18"/>
                <w:szCs w:val="18"/>
              </w:rPr>
              <w:t>信号灯杆杆体底部应焊接固定法兰盘，法兰盘与杆体之间应均匀焊接加强筋。</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2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290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16</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9米L型电警杆</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sz w:val="18"/>
                <w:szCs w:val="18"/>
              </w:rPr>
            </w:pPr>
            <w:r>
              <w:rPr>
                <w:rFonts w:hint="eastAsia" w:ascii="宋体" w:hAnsi="宋体" w:cs="宋体"/>
                <w:kern w:val="0"/>
                <w:sz w:val="18"/>
                <w:szCs w:val="18"/>
              </w:rPr>
              <w:t>信号灯杆应采用圆形或多棱形经热镀锌处理的钢管制造；悬臂式灯杆悬臂杆与支撑杆使用圆形或多棱形的变截面型材制作，悬臂与灯杆连接端宜焊接固定法兰盘，悬臂下应留有进出线孔。</w:t>
            </w:r>
            <w:r>
              <w:rPr>
                <w:rFonts w:hint="eastAsia" w:ascii="宋体" w:hAnsi="宋体" w:cs="宋体"/>
                <w:kern w:val="0"/>
                <w:sz w:val="18"/>
                <w:szCs w:val="18"/>
              </w:rPr>
              <w:br w:type="textWrapping"/>
            </w:r>
            <w:r>
              <w:rPr>
                <w:rFonts w:hint="eastAsia" w:ascii="宋体" w:hAnsi="宋体" w:cs="宋体"/>
                <w:kern w:val="0"/>
                <w:sz w:val="18"/>
                <w:szCs w:val="18"/>
              </w:rPr>
              <w:t>信号灯杆制作后须经过防锈处理，底层喷涂富锌防锈底漆，外层喷涂银灰色瓷漆。</w:t>
            </w:r>
            <w:r>
              <w:rPr>
                <w:rFonts w:hint="eastAsia" w:ascii="宋体" w:hAnsi="宋体" w:cs="宋体"/>
                <w:kern w:val="0"/>
                <w:sz w:val="18"/>
                <w:szCs w:val="18"/>
              </w:rPr>
              <w:br w:type="textWrapping"/>
            </w:r>
            <w:r>
              <w:rPr>
                <w:rFonts w:hint="eastAsia" w:ascii="宋体" w:hAnsi="宋体" w:cs="宋体"/>
                <w:kern w:val="0"/>
                <w:sz w:val="18"/>
                <w:szCs w:val="18"/>
              </w:rPr>
              <w:t>信号灯灯杆距路面约300-350mm处留有拉线孔和拉线孔门。</w:t>
            </w:r>
            <w:r>
              <w:rPr>
                <w:rFonts w:hint="eastAsia" w:ascii="宋体" w:hAnsi="宋体" w:cs="宋体"/>
                <w:kern w:val="0"/>
                <w:sz w:val="18"/>
                <w:szCs w:val="18"/>
              </w:rPr>
              <w:br w:type="textWrapping"/>
            </w:r>
            <w:r>
              <w:rPr>
                <w:rFonts w:hint="eastAsia" w:ascii="宋体" w:hAnsi="宋体" w:cs="宋体"/>
                <w:kern w:val="0"/>
                <w:sz w:val="18"/>
                <w:szCs w:val="18"/>
              </w:rPr>
              <w:t>孔门盖应设有防盗措施，孔内设置接地端子座，并与接地线可靠接驳。</w:t>
            </w:r>
            <w:r>
              <w:rPr>
                <w:rFonts w:hint="eastAsia" w:ascii="宋体" w:hAnsi="宋体" w:cs="宋体"/>
                <w:kern w:val="0"/>
                <w:sz w:val="18"/>
                <w:szCs w:val="18"/>
              </w:rPr>
              <w:br w:type="textWrapping"/>
            </w:r>
            <w:r>
              <w:rPr>
                <w:rFonts w:hint="eastAsia" w:ascii="宋体" w:hAnsi="宋体" w:cs="宋体"/>
                <w:kern w:val="0"/>
                <w:sz w:val="18"/>
                <w:szCs w:val="18"/>
              </w:rPr>
              <w:t>立柱式灯杆顶部安装灯具处应留有出线孔，并配备橡胶护套、电缆线回水弯挂钩，灯杆顶部应安装塑料或经防腐处理的内套式金属防水管帽。</w:t>
            </w:r>
            <w:r>
              <w:rPr>
                <w:rFonts w:hint="eastAsia" w:ascii="宋体" w:hAnsi="宋体" w:cs="宋体"/>
                <w:kern w:val="0"/>
                <w:sz w:val="18"/>
                <w:szCs w:val="18"/>
              </w:rPr>
              <w:br w:type="textWrapping"/>
            </w:r>
            <w:r>
              <w:rPr>
                <w:rFonts w:hint="eastAsia" w:ascii="宋体" w:hAnsi="宋体" w:cs="宋体"/>
                <w:kern w:val="0"/>
                <w:sz w:val="18"/>
                <w:szCs w:val="18"/>
              </w:rPr>
              <w:t>悬臂式灯杆拉杆宜使用圆钢制作，一端配有可调距离的螺旋扣，直径和长度根据悬臂长度确定。</w:t>
            </w:r>
            <w:r>
              <w:rPr>
                <w:rFonts w:hint="eastAsia" w:ascii="宋体" w:hAnsi="宋体" w:cs="宋体"/>
                <w:kern w:val="0"/>
                <w:sz w:val="18"/>
                <w:szCs w:val="18"/>
              </w:rPr>
              <w:br w:type="textWrapping"/>
            </w:r>
            <w:r>
              <w:rPr>
                <w:rFonts w:hint="eastAsia" w:ascii="宋体" w:hAnsi="宋体" w:cs="宋体"/>
                <w:kern w:val="0"/>
                <w:sz w:val="18"/>
                <w:szCs w:val="18"/>
              </w:rPr>
              <w:t>信号灯杆杆体底部应焊接固定法兰盘，法兰盘与杆体之间应均匀焊接加强筋。</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2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237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17</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10米L型电警杆</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sz w:val="18"/>
                <w:szCs w:val="18"/>
              </w:rPr>
            </w:pPr>
            <w:r>
              <w:rPr>
                <w:rFonts w:hint="eastAsia" w:ascii="宋体" w:hAnsi="宋体" w:cs="宋体"/>
                <w:kern w:val="0"/>
                <w:sz w:val="18"/>
                <w:szCs w:val="18"/>
              </w:rPr>
              <w:t>信号灯杆应采用圆形或多棱形经热镀锌处理的钢管制造；悬臂式灯杆悬臂杆与支撑杆使用圆形或多棱形的变截面型材制作，悬臂与灯杆连接端宜焊接固定法兰盘，悬臂下应留有进出线孔。</w:t>
            </w:r>
            <w:r>
              <w:rPr>
                <w:rFonts w:hint="eastAsia" w:ascii="宋体" w:hAnsi="宋体" w:cs="宋体"/>
                <w:kern w:val="0"/>
                <w:sz w:val="18"/>
                <w:szCs w:val="18"/>
              </w:rPr>
              <w:br w:type="textWrapping"/>
            </w:r>
            <w:r>
              <w:rPr>
                <w:rFonts w:hint="eastAsia" w:ascii="宋体" w:hAnsi="宋体" w:cs="宋体"/>
                <w:kern w:val="0"/>
                <w:sz w:val="18"/>
                <w:szCs w:val="18"/>
              </w:rPr>
              <w:t>信号灯杆制作后须经过防锈处理，底层喷涂富锌防锈底漆，外层喷涂银灰色瓷漆。</w:t>
            </w:r>
            <w:r>
              <w:rPr>
                <w:rFonts w:hint="eastAsia" w:ascii="宋体" w:hAnsi="宋体" w:cs="宋体"/>
                <w:kern w:val="0"/>
                <w:sz w:val="18"/>
                <w:szCs w:val="18"/>
              </w:rPr>
              <w:br w:type="textWrapping"/>
            </w:r>
            <w:r>
              <w:rPr>
                <w:rFonts w:hint="eastAsia" w:ascii="宋体" w:hAnsi="宋体" w:cs="宋体"/>
                <w:kern w:val="0"/>
                <w:sz w:val="18"/>
                <w:szCs w:val="18"/>
              </w:rPr>
              <w:t>信号灯灯杆距路面约300-350mm处留有拉线孔和拉线孔门。</w:t>
            </w:r>
            <w:r>
              <w:rPr>
                <w:rFonts w:hint="eastAsia" w:ascii="宋体" w:hAnsi="宋体" w:cs="宋体"/>
                <w:kern w:val="0"/>
                <w:sz w:val="18"/>
                <w:szCs w:val="18"/>
              </w:rPr>
              <w:br w:type="textWrapping"/>
            </w:r>
            <w:r>
              <w:rPr>
                <w:rFonts w:hint="eastAsia" w:ascii="宋体" w:hAnsi="宋体" w:cs="宋体"/>
                <w:kern w:val="0"/>
                <w:sz w:val="18"/>
                <w:szCs w:val="18"/>
              </w:rPr>
              <w:t>孔门盖应设有防盗措施，孔内设置接地端子座，并与接地线可靠接驳。</w:t>
            </w:r>
            <w:r>
              <w:rPr>
                <w:rFonts w:hint="eastAsia" w:ascii="宋体" w:hAnsi="宋体" w:cs="宋体"/>
                <w:kern w:val="0"/>
                <w:sz w:val="18"/>
                <w:szCs w:val="18"/>
              </w:rPr>
              <w:br w:type="textWrapping"/>
            </w:r>
            <w:r>
              <w:rPr>
                <w:rFonts w:hint="eastAsia" w:ascii="宋体" w:hAnsi="宋体" w:cs="宋体"/>
                <w:kern w:val="0"/>
                <w:sz w:val="18"/>
                <w:szCs w:val="18"/>
              </w:rPr>
              <w:t>立柱式灯杆顶部安装灯具处应留有出线孔，并配备橡胶护套、电缆线回水弯挂钩，灯杆顶部应安装塑料或经防腐处理的内套式金属防水管帽。</w:t>
            </w:r>
            <w:r>
              <w:rPr>
                <w:rFonts w:hint="eastAsia" w:ascii="宋体" w:hAnsi="宋体" w:cs="宋体"/>
                <w:kern w:val="0"/>
                <w:sz w:val="18"/>
                <w:szCs w:val="18"/>
              </w:rPr>
              <w:br w:type="textWrapping"/>
            </w:r>
            <w:r>
              <w:rPr>
                <w:rFonts w:hint="eastAsia" w:ascii="宋体" w:hAnsi="宋体" w:cs="宋体"/>
                <w:kern w:val="0"/>
                <w:sz w:val="18"/>
                <w:szCs w:val="18"/>
              </w:rPr>
              <w:t>悬臂式灯杆拉杆宜使用圆钢制作，一端配有可调距离的螺旋扣，直径和长度根据悬臂长度确定。</w:t>
            </w:r>
            <w:r>
              <w:rPr>
                <w:rFonts w:hint="eastAsia" w:ascii="宋体" w:hAnsi="宋体" w:cs="宋体"/>
                <w:kern w:val="0"/>
                <w:sz w:val="18"/>
                <w:szCs w:val="18"/>
              </w:rPr>
              <w:br w:type="textWrapping"/>
            </w:r>
            <w:r>
              <w:rPr>
                <w:rFonts w:hint="eastAsia" w:ascii="宋体" w:hAnsi="宋体" w:cs="宋体"/>
                <w:kern w:val="0"/>
                <w:sz w:val="18"/>
                <w:szCs w:val="18"/>
              </w:rPr>
              <w:t>信号灯杆杆体底部应焊接固定法兰盘，法兰盘与杆体之间应均匀焊接加强筋。</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10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98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18</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11米L型电警杆</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sz w:val="18"/>
                <w:szCs w:val="18"/>
              </w:rPr>
            </w:pPr>
            <w:r>
              <w:rPr>
                <w:rFonts w:hint="eastAsia" w:ascii="宋体" w:hAnsi="宋体" w:cs="宋体"/>
                <w:kern w:val="0"/>
                <w:sz w:val="18"/>
                <w:szCs w:val="18"/>
              </w:rPr>
              <w:t>信号灯杆应采用圆形或多棱形经热镀锌处理的钢管制造；悬臂式灯杆悬臂杆与支撑杆使用圆形或多棱形的变截面型材制作，悬臂与灯杆连接端宜焊接固定法兰盘，悬臂下应留有进出线孔。</w:t>
            </w:r>
            <w:r>
              <w:rPr>
                <w:rFonts w:hint="eastAsia" w:ascii="宋体" w:hAnsi="宋体" w:cs="宋体"/>
                <w:kern w:val="0"/>
                <w:sz w:val="18"/>
                <w:szCs w:val="18"/>
              </w:rPr>
              <w:br w:type="textWrapping"/>
            </w:r>
            <w:r>
              <w:rPr>
                <w:rFonts w:hint="eastAsia" w:ascii="宋体" w:hAnsi="宋体" w:cs="宋体"/>
                <w:kern w:val="0"/>
                <w:sz w:val="18"/>
                <w:szCs w:val="18"/>
              </w:rPr>
              <w:t>信号灯杆制作后须经过防锈处理，底层喷涂富锌防锈底漆，外层喷涂银灰色瓷漆。</w:t>
            </w:r>
            <w:r>
              <w:rPr>
                <w:rFonts w:hint="eastAsia" w:ascii="宋体" w:hAnsi="宋体" w:cs="宋体"/>
                <w:kern w:val="0"/>
                <w:sz w:val="18"/>
                <w:szCs w:val="18"/>
              </w:rPr>
              <w:br w:type="textWrapping"/>
            </w:r>
            <w:r>
              <w:rPr>
                <w:rFonts w:hint="eastAsia" w:ascii="宋体" w:hAnsi="宋体" w:cs="宋体"/>
                <w:kern w:val="0"/>
                <w:sz w:val="18"/>
                <w:szCs w:val="18"/>
              </w:rPr>
              <w:t>信号灯灯杆距路面约300-350mm处留有拉线孔和拉线孔门。</w:t>
            </w:r>
            <w:r>
              <w:rPr>
                <w:rFonts w:hint="eastAsia" w:ascii="宋体" w:hAnsi="宋体" w:cs="宋体"/>
                <w:kern w:val="0"/>
                <w:sz w:val="18"/>
                <w:szCs w:val="18"/>
              </w:rPr>
              <w:br w:type="textWrapping"/>
            </w:r>
            <w:r>
              <w:rPr>
                <w:rFonts w:hint="eastAsia" w:ascii="宋体" w:hAnsi="宋体" w:cs="宋体"/>
                <w:kern w:val="0"/>
                <w:sz w:val="18"/>
                <w:szCs w:val="18"/>
              </w:rPr>
              <w:t>孔门盖应设有防盗措施，孔内设置接地端子座，并与接地线可靠接驳。</w:t>
            </w:r>
            <w:r>
              <w:rPr>
                <w:rFonts w:hint="eastAsia" w:ascii="宋体" w:hAnsi="宋体" w:cs="宋体"/>
                <w:kern w:val="0"/>
                <w:sz w:val="18"/>
                <w:szCs w:val="18"/>
              </w:rPr>
              <w:br w:type="textWrapping"/>
            </w:r>
            <w:r>
              <w:rPr>
                <w:rFonts w:hint="eastAsia" w:ascii="宋体" w:hAnsi="宋体" w:cs="宋体"/>
                <w:kern w:val="0"/>
                <w:sz w:val="18"/>
                <w:szCs w:val="18"/>
              </w:rPr>
              <w:t>立柱式灯杆顶部安装灯具处应留有出线孔，并配备橡胶护套、电缆线回水弯挂钩，灯杆顶部应安装塑料或经防腐处理的内套式金属防水管帽。</w:t>
            </w:r>
            <w:r>
              <w:rPr>
                <w:rFonts w:hint="eastAsia" w:ascii="宋体" w:hAnsi="宋体" w:cs="宋体"/>
                <w:kern w:val="0"/>
                <w:sz w:val="18"/>
                <w:szCs w:val="18"/>
              </w:rPr>
              <w:br w:type="textWrapping"/>
            </w:r>
            <w:r>
              <w:rPr>
                <w:rFonts w:hint="eastAsia" w:ascii="宋体" w:hAnsi="宋体" w:cs="宋体"/>
                <w:kern w:val="0"/>
                <w:sz w:val="18"/>
                <w:szCs w:val="18"/>
              </w:rPr>
              <w:t>悬臂式灯杆拉杆宜使用圆钢制作，一端配有可调距离的螺旋扣，直径和长度根据悬臂长度确定。</w:t>
            </w:r>
            <w:r>
              <w:rPr>
                <w:rFonts w:hint="eastAsia" w:ascii="宋体" w:hAnsi="宋体" w:cs="宋体"/>
                <w:kern w:val="0"/>
                <w:sz w:val="18"/>
                <w:szCs w:val="18"/>
              </w:rPr>
              <w:br w:type="textWrapping"/>
            </w:r>
            <w:r>
              <w:rPr>
                <w:rFonts w:hint="eastAsia" w:ascii="宋体" w:hAnsi="宋体" w:cs="宋体"/>
                <w:kern w:val="0"/>
                <w:sz w:val="18"/>
                <w:szCs w:val="18"/>
              </w:rPr>
              <w:t>信号灯杆杆体底部应焊接固定法兰盘，法兰盘与杆体之间应均匀焊接加强筋。</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2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237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19</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12米L型电警杆</w:t>
            </w:r>
          </w:p>
        </w:tc>
        <w:tc>
          <w:tcPr>
            <w:tcW w:w="34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sz w:val="18"/>
                <w:szCs w:val="18"/>
              </w:rPr>
            </w:pPr>
            <w:r>
              <w:rPr>
                <w:rFonts w:hint="eastAsia" w:ascii="宋体" w:hAnsi="宋体" w:cs="宋体"/>
                <w:kern w:val="0"/>
                <w:sz w:val="18"/>
                <w:szCs w:val="18"/>
              </w:rPr>
              <w:t>信号灯杆应采用圆形或多棱形经热镀锌处理的钢管制造；悬臂式灯杆悬臂杆与支撑杆使用圆形或多棱形的变截面型材制作，悬臂与灯杆连接端宜焊接固定法兰盘，悬臂下应留有进出线孔。</w:t>
            </w:r>
            <w:r>
              <w:rPr>
                <w:rFonts w:hint="eastAsia" w:ascii="宋体" w:hAnsi="宋体" w:cs="宋体"/>
                <w:kern w:val="0"/>
                <w:sz w:val="18"/>
                <w:szCs w:val="18"/>
              </w:rPr>
              <w:br w:type="textWrapping"/>
            </w:r>
            <w:r>
              <w:rPr>
                <w:rFonts w:hint="eastAsia" w:ascii="宋体" w:hAnsi="宋体" w:cs="宋体"/>
                <w:kern w:val="0"/>
                <w:sz w:val="18"/>
                <w:szCs w:val="18"/>
              </w:rPr>
              <w:t>信号灯杆制作后须经过防锈处理，底层喷涂富锌防锈底漆，外层喷涂银灰色瓷漆。</w:t>
            </w:r>
            <w:r>
              <w:rPr>
                <w:rFonts w:hint="eastAsia" w:ascii="宋体" w:hAnsi="宋体" w:cs="宋体"/>
                <w:kern w:val="0"/>
                <w:sz w:val="18"/>
                <w:szCs w:val="18"/>
              </w:rPr>
              <w:br w:type="textWrapping"/>
            </w:r>
            <w:r>
              <w:rPr>
                <w:rFonts w:hint="eastAsia" w:ascii="宋体" w:hAnsi="宋体" w:cs="宋体"/>
                <w:kern w:val="0"/>
                <w:sz w:val="18"/>
                <w:szCs w:val="18"/>
              </w:rPr>
              <w:t>信号灯灯杆距路面约300-350mm处留有拉线孔和拉线孔门。</w:t>
            </w:r>
            <w:r>
              <w:rPr>
                <w:rFonts w:hint="eastAsia" w:ascii="宋体" w:hAnsi="宋体" w:cs="宋体"/>
                <w:kern w:val="0"/>
                <w:sz w:val="18"/>
                <w:szCs w:val="18"/>
              </w:rPr>
              <w:br w:type="textWrapping"/>
            </w:r>
            <w:r>
              <w:rPr>
                <w:rFonts w:hint="eastAsia" w:ascii="宋体" w:hAnsi="宋体" w:cs="宋体"/>
                <w:kern w:val="0"/>
                <w:sz w:val="18"/>
                <w:szCs w:val="18"/>
              </w:rPr>
              <w:t>孔门盖应设有防盗措施，孔内设置接地端子座，并与接地线可靠接驳。</w:t>
            </w:r>
            <w:r>
              <w:rPr>
                <w:rFonts w:hint="eastAsia" w:ascii="宋体" w:hAnsi="宋体" w:cs="宋体"/>
                <w:kern w:val="0"/>
                <w:sz w:val="18"/>
                <w:szCs w:val="18"/>
              </w:rPr>
              <w:br w:type="textWrapping"/>
            </w:r>
            <w:r>
              <w:rPr>
                <w:rFonts w:hint="eastAsia" w:ascii="宋体" w:hAnsi="宋体" w:cs="宋体"/>
                <w:kern w:val="0"/>
                <w:sz w:val="18"/>
                <w:szCs w:val="18"/>
              </w:rPr>
              <w:t>立柱式灯杆顶部安装灯具处应留有出线孔，并配备橡胶护套、电缆线回水弯挂钩，灯杆顶部应安装塑料或经防腐处理的内套式金属防水管帽。</w:t>
            </w:r>
            <w:r>
              <w:rPr>
                <w:rFonts w:hint="eastAsia" w:ascii="宋体" w:hAnsi="宋体" w:cs="宋体"/>
                <w:kern w:val="0"/>
                <w:sz w:val="18"/>
                <w:szCs w:val="18"/>
              </w:rPr>
              <w:br w:type="textWrapping"/>
            </w:r>
            <w:r>
              <w:rPr>
                <w:rFonts w:hint="eastAsia" w:ascii="宋体" w:hAnsi="宋体" w:cs="宋体"/>
                <w:kern w:val="0"/>
                <w:sz w:val="18"/>
                <w:szCs w:val="18"/>
              </w:rPr>
              <w:t>悬臂式灯杆拉杆宜使用圆钢制作，一端配有可调距离的螺旋扣，直径和长度根据悬臂长度确定。</w:t>
            </w:r>
            <w:r>
              <w:rPr>
                <w:rFonts w:hint="eastAsia" w:ascii="宋体" w:hAnsi="宋体" w:cs="宋体"/>
                <w:kern w:val="0"/>
                <w:sz w:val="18"/>
                <w:szCs w:val="18"/>
              </w:rPr>
              <w:br w:type="textWrapping"/>
            </w:r>
            <w:r>
              <w:rPr>
                <w:rFonts w:hint="eastAsia" w:ascii="宋体" w:hAnsi="宋体" w:cs="宋体"/>
                <w:kern w:val="0"/>
                <w:sz w:val="18"/>
                <w:szCs w:val="18"/>
              </w:rPr>
              <w:t>信号灯杆杆体底部应焊接固定法兰盘，法兰盘与杆体之间应均匀焊接加强筋。</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个</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2 </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500" w:hRule="atLeast"/>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sz w:val="18"/>
                <w:szCs w:val="18"/>
              </w:rPr>
            </w:pPr>
            <w:r>
              <w:rPr>
                <w:rFonts w:hint="eastAsia" w:ascii="宋体" w:hAnsi="宋体" w:cs="宋体"/>
                <w:kern w:val="0"/>
                <w:sz w:val="18"/>
                <w:szCs w:val="18"/>
              </w:rPr>
              <w:t>三、雷视道路安全预警设备</w:t>
            </w:r>
          </w:p>
        </w:tc>
      </w:tr>
      <w:tr>
        <w:tblPrEx>
          <w:tblCellMar>
            <w:top w:w="0" w:type="dxa"/>
            <w:left w:w="108" w:type="dxa"/>
            <w:bottom w:w="0" w:type="dxa"/>
            <w:right w:w="108" w:type="dxa"/>
          </w:tblCellMar>
        </w:tblPrEx>
        <w:trPr>
          <w:trHeight w:val="554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1</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雷视道路安全预警一体机</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kern w:val="0"/>
                <w:sz w:val="18"/>
                <w:szCs w:val="18"/>
              </w:rPr>
            </w:pPr>
            <w:r>
              <w:rPr>
                <w:rFonts w:hint="eastAsia" w:ascii="宋体" w:hAnsi="宋体" w:cs="宋体"/>
                <w:kern w:val="0"/>
                <w:sz w:val="18"/>
                <w:szCs w:val="18"/>
              </w:rPr>
              <w:t>1. 采用77GHz毫米波雷达+400万像素高清低照度视频摄像机一体机设计，摄像机采用≥1/1.8″400万CMOS传感器、12mm定焦镜头，支持120db宽动态，内置8GB eMMC存储，支持≥1个100M电口，≥1个RS485接口。</w:t>
            </w:r>
          </w:p>
          <w:p>
            <w:pPr>
              <w:widowControl/>
              <w:jc w:val="left"/>
              <w:textAlignment w:val="top"/>
              <w:rPr>
                <w:rFonts w:ascii="宋体" w:hAnsi="宋体" w:cs="宋体"/>
                <w:kern w:val="0"/>
                <w:sz w:val="18"/>
                <w:szCs w:val="18"/>
              </w:rPr>
            </w:pPr>
            <w:r>
              <w:rPr>
                <w:rFonts w:hint="eastAsia" w:ascii="宋体" w:hAnsi="宋体" w:cs="宋体"/>
                <w:kern w:val="0"/>
                <w:sz w:val="18"/>
                <w:szCs w:val="18"/>
              </w:rPr>
              <w:t>2. 最低照度彩色0.005Lux、黑白0.0001Lux。</w:t>
            </w:r>
          </w:p>
          <w:p>
            <w:pPr>
              <w:widowControl/>
              <w:jc w:val="left"/>
              <w:textAlignment w:val="top"/>
              <w:rPr>
                <w:rFonts w:ascii="宋体" w:hAnsi="宋体" w:cs="宋体"/>
                <w:kern w:val="0"/>
                <w:sz w:val="18"/>
                <w:szCs w:val="18"/>
              </w:rPr>
            </w:pPr>
            <w:r>
              <w:rPr>
                <w:rFonts w:hint="eastAsia" w:ascii="宋体" w:hAnsi="宋体" w:cs="宋体"/>
                <w:kern w:val="0"/>
                <w:sz w:val="18"/>
                <w:szCs w:val="18"/>
              </w:rPr>
              <w:t>3. 支持输出最大分辨率2560X1440的图片，支持三码流。</w:t>
            </w:r>
          </w:p>
          <w:p>
            <w:pPr>
              <w:widowControl/>
              <w:jc w:val="left"/>
              <w:textAlignment w:val="top"/>
              <w:rPr>
                <w:rFonts w:ascii="宋体" w:hAnsi="宋体" w:cs="宋体"/>
                <w:kern w:val="0"/>
                <w:sz w:val="18"/>
                <w:szCs w:val="18"/>
              </w:rPr>
            </w:pPr>
            <w:r>
              <w:rPr>
                <w:rFonts w:hint="eastAsia" w:ascii="宋体" w:hAnsi="宋体" w:cs="宋体"/>
                <w:kern w:val="0"/>
                <w:sz w:val="18"/>
                <w:szCs w:val="18"/>
              </w:rPr>
              <w:t>4. 支持宽动态自动切换功能，在环境亮度变化时，可自动在宽动态关闭和开启进行切换。</w:t>
            </w:r>
          </w:p>
          <w:p>
            <w:pPr>
              <w:widowControl/>
              <w:jc w:val="left"/>
              <w:textAlignment w:val="top"/>
              <w:rPr>
                <w:rFonts w:ascii="宋体" w:hAnsi="宋体" w:cs="宋体"/>
                <w:kern w:val="0"/>
                <w:sz w:val="18"/>
                <w:szCs w:val="18"/>
              </w:rPr>
            </w:pPr>
            <w:r>
              <w:rPr>
                <w:rFonts w:hint="eastAsia" w:ascii="宋体" w:hAnsi="宋体" w:cs="宋体"/>
                <w:kern w:val="0"/>
                <w:sz w:val="18"/>
                <w:szCs w:val="18"/>
              </w:rPr>
              <w:t>5. 支持在丢包率为20%的网络环境下，可正常显示监视画面。</w:t>
            </w:r>
          </w:p>
          <w:p>
            <w:pPr>
              <w:widowControl/>
              <w:jc w:val="left"/>
              <w:textAlignment w:val="top"/>
              <w:rPr>
                <w:rFonts w:ascii="宋体" w:hAnsi="宋体" w:cs="宋体"/>
                <w:kern w:val="0"/>
                <w:sz w:val="18"/>
                <w:szCs w:val="18"/>
              </w:rPr>
            </w:pPr>
            <w:r>
              <w:rPr>
                <w:rFonts w:hint="eastAsia" w:ascii="宋体" w:hAnsi="宋体" w:cs="宋体"/>
                <w:kern w:val="0"/>
                <w:sz w:val="18"/>
                <w:szCs w:val="18"/>
              </w:rPr>
              <w:t>6. 支持机动车、非机动车、行人目标分类检测，机动车最大检测距离250m，目标同时跟踪≥128个，支持设置检测8车道；</w:t>
            </w:r>
          </w:p>
          <w:p>
            <w:pPr>
              <w:widowControl/>
              <w:jc w:val="left"/>
              <w:textAlignment w:val="top"/>
              <w:rPr>
                <w:rFonts w:ascii="宋体" w:hAnsi="宋体" w:cs="宋体"/>
                <w:kern w:val="0"/>
                <w:sz w:val="18"/>
                <w:szCs w:val="18"/>
              </w:rPr>
            </w:pPr>
            <w:r>
              <w:rPr>
                <w:rFonts w:hint="eastAsia" w:ascii="宋体" w:hAnsi="宋体" w:cs="宋体"/>
                <w:kern w:val="0"/>
                <w:sz w:val="18"/>
                <w:szCs w:val="18"/>
              </w:rPr>
              <w:t>7. 支持按大车、中车、小车分类统计车流量。</w:t>
            </w:r>
          </w:p>
          <w:p>
            <w:pPr>
              <w:widowControl/>
              <w:jc w:val="left"/>
              <w:textAlignment w:val="top"/>
              <w:rPr>
                <w:rFonts w:ascii="宋体" w:hAnsi="宋体" w:cs="宋体"/>
                <w:kern w:val="0"/>
                <w:sz w:val="18"/>
                <w:szCs w:val="18"/>
              </w:rPr>
            </w:pPr>
            <w:r>
              <w:rPr>
                <w:rFonts w:hint="eastAsia" w:ascii="宋体" w:hAnsi="宋体" w:cs="宋体"/>
                <w:kern w:val="0"/>
                <w:sz w:val="18"/>
                <w:szCs w:val="18"/>
              </w:rPr>
              <w:t>8. 支持切换车道事件、异常停车事件、道路拥堵、车辆逆行、超速报警、低速报警、排队溢出等事件检出。支持多个区域设置不同事件检测。</w:t>
            </w:r>
          </w:p>
          <w:p>
            <w:pPr>
              <w:widowControl/>
              <w:jc w:val="left"/>
              <w:textAlignment w:val="top"/>
              <w:rPr>
                <w:rFonts w:ascii="宋体" w:hAnsi="宋体" w:cs="宋体"/>
                <w:kern w:val="0"/>
                <w:sz w:val="18"/>
                <w:szCs w:val="18"/>
              </w:rPr>
            </w:pPr>
            <w:r>
              <w:rPr>
                <w:rFonts w:hint="eastAsia" w:ascii="宋体" w:hAnsi="宋体" w:cs="宋体"/>
                <w:kern w:val="0"/>
                <w:sz w:val="18"/>
                <w:szCs w:val="18"/>
              </w:rPr>
              <w:t>9. 支持车辆排队长度、车流量、平均车速、车头时距、车道时间占有率、车道空间占有率等交通流量检测上报，支持配置0.5-1500分钟统计周期时长并上报。</w:t>
            </w:r>
          </w:p>
          <w:p>
            <w:pPr>
              <w:widowControl/>
              <w:jc w:val="left"/>
              <w:textAlignment w:val="top"/>
              <w:rPr>
                <w:rFonts w:ascii="宋体" w:hAnsi="宋体" w:cs="宋体"/>
                <w:kern w:val="0"/>
                <w:sz w:val="18"/>
                <w:szCs w:val="18"/>
              </w:rPr>
            </w:pPr>
            <w:r>
              <w:rPr>
                <w:rFonts w:hint="eastAsia" w:ascii="宋体" w:hAnsi="宋体" w:cs="宋体"/>
                <w:kern w:val="0"/>
                <w:sz w:val="18"/>
                <w:szCs w:val="18"/>
              </w:rPr>
              <w:t>10. 支持检出目标二维坐标显示。</w:t>
            </w:r>
          </w:p>
          <w:p>
            <w:pPr>
              <w:widowControl/>
              <w:jc w:val="left"/>
              <w:textAlignment w:val="top"/>
              <w:rPr>
                <w:rFonts w:ascii="宋体" w:hAnsi="宋体" w:cs="宋体"/>
                <w:kern w:val="0"/>
                <w:sz w:val="18"/>
                <w:szCs w:val="18"/>
              </w:rPr>
            </w:pPr>
            <w:r>
              <w:rPr>
                <w:rFonts w:hint="eastAsia" w:ascii="宋体" w:hAnsi="宋体" w:cs="宋体"/>
                <w:kern w:val="0"/>
                <w:sz w:val="18"/>
                <w:szCs w:val="18"/>
              </w:rPr>
              <w:t>11. 电源电压在DC24V±25%范围内变化时，设备能正常工作。</w:t>
            </w:r>
          </w:p>
          <w:p>
            <w:pPr>
              <w:widowControl/>
              <w:jc w:val="left"/>
              <w:textAlignment w:val="top"/>
              <w:rPr>
                <w:rFonts w:ascii="宋体" w:hAnsi="宋体" w:cs="宋体"/>
                <w:b/>
                <w:kern w:val="0"/>
                <w:sz w:val="18"/>
                <w:szCs w:val="18"/>
              </w:rPr>
            </w:pPr>
            <w:r>
              <w:rPr>
                <w:rFonts w:hint="eastAsia" w:ascii="宋体" w:hAnsi="宋体" w:cs="宋体"/>
                <w:kern w:val="0"/>
                <w:sz w:val="18"/>
                <w:szCs w:val="18"/>
              </w:rPr>
              <w:t>12. ▲视频和雷达组成的一体化设计，雷达和视频模块采用一个IP进行数据上传，</w:t>
            </w:r>
            <w:r>
              <w:rPr>
                <w:rFonts w:hint="eastAsia" w:ascii="宋体" w:hAnsi="宋体" w:cs="宋体"/>
                <w:b/>
                <w:kern w:val="0"/>
                <w:sz w:val="18"/>
                <w:szCs w:val="18"/>
              </w:rPr>
              <w:t>提供公安部权威机构检测报告为证。</w:t>
            </w:r>
          </w:p>
          <w:p>
            <w:pPr>
              <w:widowControl/>
              <w:jc w:val="left"/>
              <w:textAlignment w:val="top"/>
              <w:rPr>
                <w:rFonts w:ascii="宋体" w:hAnsi="宋体" w:cs="宋体"/>
                <w:kern w:val="0"/>
                <w:sz w:val="18"/>
                <w:szCs w:val="18"/>
              </w:rPr>
            </w:pPr>
            <w:r>
              <w:rPr>
                <w:rFonts w:hint="eastAsia" w:ascii="宋体" w:hAnsi="宋体" w:cs="宋体"/>
                <w:kern w:val="0"/>
                <w:sz w:val="18"/>
                <w:szCs w:val="18"/>
              </w:rPr>
              <w:t>13. ▲支持识别交通状态并上报，包括：通畅、拥堵、缓行，</w:t>
            </w:r>
            <w:r>
              <w:rPr>
                <w:rFonts w:hint="eastAsia" w:ascii="宋体" w:hAnsi="宋体" w:cs="宋体"/>
                <w:b/>
                <w:kern w:val="0"/>
                <w:sz w:val="18"/>
                <w:szCs w:val="18"/>
              </w:rPr>
              <w:t>提供公安部权威机构检测报告为证</w:t>
            </w:r>
            <w:r>
              <w:rPr>
                <w:rFonts w:hint="eastAsia" w:ascii="宋体" w:hAnsi="宋体" w:cs="宋体"/>
                <w:kern w:val="0"/>
                <w:sz w:val="18"/>
                <w:szCs w:val="18"/>
              </w:rPr>
              <w:t>。</w:t>
            </w:r>
          </w:p>
          <w:p>
            <w:pPr>
              <w:widowControl/>
              <w:jc w:val="left"/>
              <w:textAlignment w:val="top"/>
              <w:rPr>
                <w:rFonts w:ascii="宋体" w:hAnsi="宋体" w:cs="宋体"/>
                <w:b/>
                <w:kern w:val="0"/>
                <w:sz w:val="18"/>
                <w:szCs w:val="18"/>
              </w:rPr>
            </w:pPr>
            <w:r>
              <w:rPr>
                <w:rFonts w:hint="eastAsia" w:ascii="宋体" w:hAnsi="宋体" w:cs="宋体"/>
                <w:kern w:val="0"/>
                <w:sz w:val="18"/>
                <w:szCs w:val="18"/>
              </w:rPr>
              <w:t>14. ▲目标车辆距离20-40m条件下，检测车辆距离误差不超过±0.4m，</w:t>
            </w:r>
            <w:r>
              <w:rPr>
                <w:rFonts w:hint="eastAsia" w:ascii="宋体" w:hAnsi="宋体" w:cs="宋体"/>
                <w:b/>
                <w:kern w:val="0"/>
                <w:sz w:val="18"/>
                <w:szCs w:val="18"/>
              </w:rPr>
              <w:t>提供公安部权威机构检测报告为证。</w:t>
            </w:r>
          </w:p>
          <w:p>
            <w:pPr>
              <w:widowControl/>
              <w:jc w:val="left"/>
              <w:textAlignment w:val="top"/>
              <w:rPr>
                <w:rFonts w:ascii="宋体" w:hAnsi="宋体" w:cs="宋体"/>
                <w:kern w:val="0"/>
                <w:sz w:val="18"/>
                <w:szCs w:val="18"/>
              </w:rPr>
            </w:pPr>
            <w:r>
              <w:rPr>
                <w:rFonts w:hint="eastAsia" w:ascii="宋体" w:hAnsi="宋体" w:cs="宋体"/>
                <w:kern w:val="0"/>
                <w:sz w:val="18"/>
                <w:szCs w:val="18"/>
              </w:rPr>
              <w:t>15. ▲支持Onvif、GB/T28181、GA/T1400、智慧物联协议、802.1x、IPV4\IPV6等网络协议设置，</w:t>
            </w:r>
            <w:r>
              <w:rPr>
                <w:rFonts w:hint="eastAsia" w:ascii="宋体" w:hAnsi="宋体" w:cs="宋体"/>
                <w:b/>
                <w:kern w:val="0"/>
                <w:sz w:val="18"/>
                <w:szCs w:val="18"/>
              </w:rPr>
              <w:t>提供公安部权威机构检测报告为证。</w:t>
            </w:r>
          </w:p>
          <w:p>
            <w:pPr>
              <w:widowControl/>
              <w:jc w:val="left"/>
              <w:textAlignment w:val="top"/>
              <w:rPr>
                <w:rFonts w:ascii="宋体" w:hAnsi="宋体" w:cs="宋体"/>
                <w:sz w:val="18"/>
                <w:szCs w:val="18"/>
              </w:rPr>
            </w:pPr>
            <w:r>
              <w:rPr>
                <w:rFonts w:hint="eastAsia" w:ascii="宋体" w:hAnsi="宋体" w:cs="宋体"/>
                <w:kern w:val="0"/>
                <w:sz w:val="18"/>
                <w:szCs w:val="18"/>
              </w:rPr>
              <w:t>16. 防护等级IP66，工作环境温度-40℃～+85℃。</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台</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10 </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62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2</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太阳能电池</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sz w:val="18"/>
                <w:szCs w:val="18"/>
              </w:rPr>
            </w:pPr>
            <w:r>
              <w:rPr>
                <w:rFonts w:hint="eastAsia" w:ascii="宋体" w:hAnsi="宋体" w:cs="宋体"/>
                <w:kern w:val="0"/>
                <w:sz w:val="18"/>
                <w:szCs w:val="18"/>
              </w:rPr>
              <w:t>1.支持DC12V/24V稳压，功耗≤30W；</w:t>
            </w:r>
            <w:r>
              <w:rPr>
                <w:rFonts w:hint="eastAsia" w:ascii="宋体" w:hAnsi="宋体" w:cs="宋体"/>
                <w:kern w:val="0"/>
                <w:sz w:val="18"/>
                <w:szCs w:val="18"/>
              </w:rPr>
              <w:br w:type="textWrapping"/>
            </w:r>
            <w:r>
              <w:rPr>
                <w:rFonts w:hint="eastAsia" w:ascii="宋体" w:hAnsi="宋体" w:cs="宋体"/>
                <w:kern w:val="0"/>
                <w:sz w:val="18"/>
                <w:szCs w:val="18"/>
              </w:rPr>
              <w:t>2.电池容量为2400wh磷酸铁锂；</w:t>
            </w:r>
            <w:r>
              <w:rPr>
                <w:rFonts w:hint="eastAsia" w:ascii="宋体" w:hAnsi="宋体" w:cs="宋体"/>
                <w:kern w:val="0"/>
                <w:sz w:val="18"/>
                <w:szCs w:val="18"/>
              </w:rPr>
              <w:br w:type="textWrapping"/>
            </w:r>
            <w:r>
              <w:rPr>
                <w:rFonts w:hint="eastAsia" w:ascii="宋体" w:hAnsi="宋体" w:cs="宋体"/>
                <w:kern w:val="0"/>
                <w:sz w:val="18"/>
                <w:szCs w:val="18"/>
              </w:rPr>
              <w:t>3.支持≥2000次电池循环次数；</w:t>
            </w:r>
            <w:r>
              <w:rPr>
                <w:rFonts w:hint="eastAsia" w:ascii="宋体" w:hAnsi="宋体" w:cs="宋体"/>
                <w:kern w:val="0"/>
                <w:sz w:val="18"/>
                <w:szCs w:val="18"/>
              </w:rPr>
              <w:br w:type="textWrapping"/>
            </w:r>
            <w:r>
              <w:rPr>
                <w:rFonts w:hint="eastAsia" w:ascii="宋体" w:hAnsi="宋体" w:cs="宋体"/>
                <w:kern w:val="0"/>
                <w:sz w:val="18"/>
                <w:szCs w:val="18"/>
              </w:rPr>
              <w:t>4.最大放电电流2.5A；</w:t>
            </w:r>
            <w:r>
              <w:rPr>
                <w:rFonts w:hint="eastAsia" w:ascii="宋体" w:hAnsi="宋体" w:cs="宋体"/>
                <w:kern w:val="0"/>
                <w:sz w:val="18"/>
                <w:szCs w:val="18"/>
              </w:rPr>
              <w:br w:type="textWrapping"/>
            </w:r>
            <w:r>
              <w:rPr>
                <w:rFonts w:hint="eastAsia" w:ascii="宋体" w:hAnsi="宋体" w:cs="宋体"/>
                <w:kern w:val="0"/>
                <w:sz w:val="18"/>
                <w:szCs w:val="18"/>
              </w:rPr>
              <w:t>5.工作时间3支持0W负载可以连续工作3个阴雨天；</w:t>
            </w:r>
            <w:r>
              <w:rPr>
                <w:rFonts w:hint="eastAsia" w:ascii="宋体" w:hAnsi="宋体" w:cs="宋体"/>
                <w:kern w:val="0"/>
                <w:sz w:val="18"/>
                <w:szCs w:val="18"/>
              </w:rPr>
              <w:br w:type="textWrapping"/>
            </w:r>
            <w:r>
              <w:rPr>
                <w:rFonts w:hint="eastAsia" w:ascii="宋体" w:hAnsi="宋体" w:cs="宋体"/>
                <w:kern w:val="0"/>
                <w:sz w:val="18"/>
                <w:szCs w:val="18"/>
              </w:rPr>
              <w:t>6.具有蓄电池超温保护功能，外部蓄电池温度超过设定值会关闭充放电，以免温度过高损坏设备；</w:t>
            </w:r>
            <w:r>
              <w:rPr>
                <w:rFonts w:hint="eastAsia" w:ascii="宋体" w:hAnsi="宋体" w:cs="宋体"/>
                <w:kern w:val="0"/>
                <w:sz w:val="18"/>
                <w:szCs w:val="18"/>
              </w:rPr>
              <w:br w:type="textWrapping"/>
            </w:r>
            <w:r>
              <w:rPr>
                <w:rFonts w:hint="eastAsia" w:ascii="宋体" w:hAnsi="宋体" w:cs="宋体"/>
                <w:kern w:val="0"/>
                <w:sz w:val="18"/>
                <w:szCs w:val="18"/>
              </w:rPr>
              <w:t>7.内置过温保护机制，当温度超过设备设定值时充电电流随温度线性下降、放电关闭，从而减小控制器的温升，避免控制器高温损坏；</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组</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20 </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105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3</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无线网桥(单边)</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sz w:val="18"/>
                <w:szCs w:val="18"/>
              </w:rPr>
            </w:pPr>
            <w:r>
              <w:rPr>
                <w:rFonts w:hint="eastAsia" w:ascii="宋体" w:hAnsi="宋体" w:cs="宋体"/>
                <w:kern w:val="0"/>
                <w:sz w:val="18"/>
                <w:szCs w:val="18"/>
              </w:rPr>
              <w:t>1.5.8G网桥，802.11ac制式；</w:t>
            </w:r>
            <w:r>
              <w:rPr>
                <w:rFonts w:hint="eastAsia" w:ascii="宋体" w:hAnsi="宋体" w:cs="宋体"/>
                <w:kern w:val="0"/>
                <w:sz w:val="18"/>
                <w:szCs w:val="18"/>
              </w:rPr>
              <w:br w:type="textWrapping"/>
            </w:r>
            <w:r>
              <w:rPr>
                <w:rFonts w:hint="eastAsia" w:ascii="宋体" w:hAnsi="宋体" w:cs="宋体"/>
                <w:kern w:val="0"/>
                <w:sz w:val="18"/>
                <w:szCs w:val="18"/>
              </w:rPr>
              <w:t>2.传输距离≥1公里；</w:t>
            </w:r>
            <w:r>
              <w:rPr>
                <w:rFonts w:hint="eastAsia" w:ascii="宋体" w:hAnsi="宋体" w:cs="宋体"/>
                <w:kern w:val="0"/>
                <w:sz w:val="18"/>
                <w:szCs w:val="18"/>
              </w:rPr>
              <w:br w:type="textWrapping"/>
            </w:r>
            <w:r>
              <w:rPr>
                <w:rFonts w:hint="eastAsia" w:ascii="宋体" w:hAnsi="宋体" w:cs="宋体"/>
                <w:kern w:val="0"/>
                <w:sz w:val="18"/>
                <w:szCs w:val="18"/>
              </w:rPr>
              <w:t>3.支持点对点，点对点多点，最多支持一对四，一个中心端带4路2M码流IPC；</w:t>
            </w:r>
            <w:r>
              <w:rPr>
                <w:rFonts w:hint="eastAsia" w:ascii="宋体" w:hAnsi="宋体" w:cs="宋体"/>
                <w:kern w:val="0"/>
                <w:sz w:val="18"/>
                <w:szCs w:val="18"/>
              </w:rPr>
              <w:br w:type="textWrapping"/>
            </w:r>
            <w:r>
              <w:rPr>
                <w:rFonts w:hint="eastAsia" w:ascii="宋体" w:hAnsi="宋体" w:cs="宋体"/>
                <w:kern w:val="0"/>
                <w:sz w:val="18"/>
                <w:szCs w:val="18"/>
              </w:rPr>
              <w:t>4.采用定向天线；</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台</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20 </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264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4</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LED多功能多文字显示屏</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sz w:val="18"/>
                <w:szCs w:val="18"/>
              </w:rPr>
            </w:pPr>
            <w:r>
              <w:rPr>
                <w:rFonts w:hint="eastAsia" w:ascii="宋体" w:hAnsi="宋体" w:cs="宋体"/>
                <w:kern w:val="0"/>
                <w:sz w:val="18"/>
                <w:szCs w:val="18"/>
              </w:rPr>
              <w:t>1) 像素点距：10mm，对比度为5000:1，箱体平整度系数＜1mm。高防护等级，屏体正面防水、防尘级可达IP65；</w:t>
            </w:r>
            <w:r>
              <w:rPr>
                <w:rFonts w:hint="eastAsia" w:ascii="宋体" w:hAnsi="宋体" w:cs="宋体"/>
                <w:kern w:val="0"/>
                <w:sz w:val="18"/>
                <w:szCs w:val="18"/>
              </w:rPr>
              <w:br w:type="textWrapping"/>
            </w:r>
            <w:r>
              <w:rPr>
                <w:rFonts w:hint="eastAsia" w:ascii="宋体" w:hAnsi="宋体" w:cs="宋体"/>
                <w:kern w:val="0"/>
                <w:sz w:val="18"/>
                <w:szCs w:val="18"/>
              </w:rPr>
              <w:t>2) 像素组成:1R1G1B；</w:t>
            </w:r>
            <w:r>
              <w:rPr>
                <w:rFonts w:hint="eastAsia" w:ascii="宋体" w:hAnsi="宋体" w:cs="宋体"/>
                <w:kern w:val="0"/>
                <w:sz w:val="18"/>
                <w:szCs w:val="18"/>
              </w:rPr>
              <w:br w:type="textWrapping"/>
            </w:r>
            <w:r>
              <w:rPr>
                <w:rFonts w:hint="eastAsia" w:ascii="宋体" w:hAnsi="宋体" w:cs="宋体"/>
                <w:kern w:val="0"/>
                <w:sz w:val="18"/>
                <w:szCs w:val="18"/>
              </w:rPr>
              <w:t>3) 模组分辨率：32×16；模组尺寸(mm)：320×160</w:t>
            </w:r>
            <w:r>
              <w:rPr>
                <w:rFonts w:hint="eastAsia" w:ascii="宋体" w:hAnsi="宋体" w:cs="宋体"/>
                <w:kern w:val="0"/>
                <w:sz w:val="18"/>
                <w:szCs w:val="18"/>
              </w:rPr>
              <w:br w:type="textWrapping"/>
            </w:r>
            <w:r>
              <w:rPr>
                <w:rFonts w:hint="eastAsia" w:ascii="宋体" w:hAnsi="宋体" w:cs="宋体"/>
                <w:kern w:val="0"/>
                <w:sz w:val="18"/>
                <w:szCs w:val="18"/>
              </w:rPr>
              <w:t>4) 亮度：≥7000cd/㎡，LED显示单元亮度在7000～12000cd/㎡可调；</w:t>
            </w:r>
            <w:r>
              <w:rPr>
                <w:rFonts w:hint="eastAsia" w:ascii="宋体" w:hAnsi="宋体" w:cs="宋体"/>
                <w:kern w:val="0"/>
                <w:sz w:val="18"/>
                <w:szCs w:val="18"/>
              </w:rPr>
              <w:br w:type="textWrapping"/>
            </w:r>
            <w:r>
              <w:rPr>
                <w:rFonts w:hint="eastAsia" w:ascii="宋体" w:hAnsi="宋体" w:cs="宋体"/>
                <w:kern w:val="0"/>
                <w:sz w:val="18"/>
                <w:szCs w:val="18"/>
              </w:rPr>
              <w:t>5) ：模组组成(W×H)：4×4，箱体分辨率(W×H)：128×64；箱体尺寸(mm)：1280×640×139；</w:t>
            </w:r>
            <w:r>
              <w:rPr>
                <w:rFonts w:hint="eastAsia" w:ascii="宋体" w:hAnsi="宋体" w:cs="宋体"/>
                <w:kern w:val="0"/>
                <w:sz w:val="18"/>
                <w:szCs w:val="18"/>
              </w:rPr>
              <w:br w:type="textWrapping"/>
            </w:r>
            <w:r>
              <w:rPr>
                <w:rFonts w:hint="eastAsia" w:ascii="宋体" w:hAnsi="宋体" w:cs="宋体"/>
                <w:kern w:val="0"/>
                <w:sz w:val="18"/>
                <w:szCs w:val="18"/>
              </w:rPr>
              <w:t>6) 箱体重量≤55Kg/㎡；</w:t>
            </w:r>
            <w:r>
              <w:rPr>
                <w:rFonts w:hint="eastAsia" w:ascii="宋体" w:hAnsi="宋体" w:cs="宋体"/>
                <w:kern w:val="0"/>
                <w:sz w:val="18"/>
                <w:szCs w:val="18"/>
              </w:rPr>
              <w:br w:type="textWrapping"/>
            </w:r>
            <w:r>
              <w:rPr>
                <w:rFonts w:hint="eastAsia" w:ascii="宋体" w:hAnsi="宋体" w:cs="宋体"/>
                <w:kern w:val="0"/>
                <w:sz w:val="18"/>
                <w:szCs w:val="18"/>
              </w:rPr>
              <w:t>7) 平均功耗≤325W/㎡；最大功耗≤800W/㎡；</w:t>
            </w:r>
            <w:r>
              <w:rPr>
                <w:rFonts w:hint="eastAsia" w:ascii="宋体" w:hAnsi="宋体" w:cs="宋体"/>
                <w:kern w:val="0"/>
                <w:sz w:val="18"/>
                <w:szCs w:val="18"/>
              </w:rPr>
              <w:br w:type="textWrapping"/>
            </w:r>
            <w:r>
              <w:rPr>
                <w:rFonts w:hint="eastAsia" w:ascii="宋体" w:hAnsi="宋体" w:cs="宋体"/>
                <w:kern w:val="0"/>
                <w:sz w:val="18"/>
                <w:szCs w:val="18"/>
              </w:rPr>
              <w:t>8) 工作电压：AC200～240V；</w:t>
            </w:r>
            <w:r>
              <w:rPr>
                <w:rFonts w:hint="eastAsia" w:ascii="宋体" w:hAnsi="宋体" w:cs="宋体"/>
                <w:kern w:val="0"/>
                <w:sz w:val="18"/>
                <w:szCs w:val="18"/>
              </w:rPr>
              <w:br w:type="textWrapping"/>
            </w:r>
            <w:r>
              <w:rPr>
                <w:rFonts w:hint="eastAsia" w:ascii="宋体" w:hAnsi="宋体" w:cs="宋体"/>
                <w:kern w:val="0"/>
                <w:sz w:val="18"/>
                <w:szCs w:val="18"/>
              </w:rPr>
              <w:t>9) 工作温度：-25～+65℃；工作湿度20～90%（无冷凝）；</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套</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10 </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132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5</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雷视道路预警软件</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sz w:val="18"/>
                <w:szCs w:val="18"/>
              </w:rPr>
            </w:pPr>
            <w:r>
              <w:rPr>
                <w:rFonts w:hint="eastAsia" w:ascii="宋体" w:hAnsi="宋体" w:cs="宋体"/>
                <w:kern w:val="0"/>
                <w:sz w:val="18"/>
                <w:szCs w:val="18"/>
              </w:rPr>
              <w:t>1.支持查看雷视预警状态</w:t>
            </w:r>
            <w:r>
              <w:rPr>
                <w:rFonts w:hint="eastAsia" w:ascii="宋体" w:hAnsi="宋体" w:cs="宋体"/>
                <w:kern w:val="0"/>
                <w:sz w:val="18"/>
                <w:szCs w:val="18"/>
              </w:rPr>
              <w:br w:type="textWrapping"/>
            </w:r>
            <w:r>
              <w:rPr>
                <w:rFonts w:hint="eastAsia" w:ascii="宋体" w:hAnsi="宋体" w:cs="宋体"/>
                <w:kern w:val="0"/>
                <w:sz w:val="18"/>
                <w:szCs w:val="18"/>
              </w:rPr>
              <w:t>2.支持有效预警数据分析及展示</w:t>
            </w:r>
            <w:r>
              <w:rPr>
                <w:rFonts w:hint="eastAsia" w:ascii="宋体" w:hAnsi="宋体" w:cs="宋体"/>
                <w:kern w:val="0"/>
                <w:sz w:val="18"/>
                <w:szCs w:val="18"/>
              </w:rPr>
              <w:br w:type="textWrapping"/>
            </w:r>
            <w:r>
              <w:rPr>
                <w:rFonts w:hint="eastAsia" w:ascii="宋体" w:hAnsi="宋体" w:cs="宋体"/>
                <w:kern w:val="0"/>
                <w:sz w:val="18"/>
                <w:szCs w:val="18"/>
              </w:rPr>
              <w:t>3.支持减速/超速车辆统计分析及展示</w:t>
            </w:r>
            <w:r>
              <w:rPr>
                <w:rFonts w:hint="eastAsia" w:ascii="宋体" w:hAnsi="宋体" w:cs="宋体"/>
                <w:kern w:val="0"/>
                <w:sz w:val="18"/>
                <w:szCs w:val="18"/>
              </w:rPr>
              <w:br w:type="textWrapping"/>
            </w:r>
            <w:r>
              <w:rPr>
                <w:rFonts w:hint="eastAsia" w:ascii="宋体" w:hAnsi="宋体" w:cs="宋体"/>
                <w:kern w:val="0"/>
                <w:sz w:val="18"/>
                <w:szCs w:val="18"/>
              </w:rPr>
              <w:t>4.支持机动车/非机动车流量统计和速度统计</w:t>
            </w:r>
            <w:r>
              <w:rPr>
                <w:rFonts w:hint="eastAsia" w:ascii="宋体" w:hAnsi="宋体" w:cs="宋体"/>
                <w:kern w:val="0"/>
                <w:sz w:val="18"/>
                <w:szCs w:val="18"/>
              </w:rPr>
              <w:br w:type="textWrapping"/>
            </w:r>
            <w:r>
              <w:rPr>
                <w:rFonts w:hint="eastAsia" w:ascii="宋体" w:hAnsi="宋体" w:cs="宋体"/>
                <w:kern w:val="0"/>
                <w:sz w:val="18"/>
                <w:szCs w:val="18"/>
              </w:rPr>
              <w:t>5.支持设备管理、地图配置等功能</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套</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sz w:val="18"/>
                <w:szCs w:val="18"/>
              </w:rPr>
            </w:pPr>
            <w:r>
              <w:rPr>
                <w:rFonts w:hint="eastAsia" w:ascii="宋体" w:hAnsi="宋体" w:cs="宋体"/>
                <w:kern w:val="0"/>
                <w:sz w:val="18"/>
                <w:szCs w:val="18"/>
              </w:rPr>
              <w:t xml:space="preserve">1 </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jc w:val="center"/>
              <w:rPr>
                <w:rFonts w:ascii="宋体" w:hAnsi="宋体" w:cs="宋体"/>
                <w:sz w:val="18"/>
                <w:szCs w:val="18"/>
              </w:rPr>
            </w:pPr>
          </w:p>
        </w:tc>
      </w:tr>
      <w:tr>
        <w:tblPrEx>
          <w:tblCellMar>
            <w:top w:w="0" w:type="dxa"/>
            <w:left w:w="108" w:type="dxa"/>
            <w:bottom w:w="0" w:type="dxa"/>
            <w:right w:w="108" w:type="dxa"/>
          </w:tblCellMar>
        </w:tblPrEx>
        <w:trPr>
          <w:trHeight w:val="500" w:hRule="atLeast"/>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sz w:val="18"/>
                <w:szCs w:val="18"/>
              </w:rPr>
            </w:pPr>
            <w:r>
              <w:rPr>
                <w:rFonts w:hint="eastAsia" w:ascii="宋体" w:hAnsi="宋体" w:cs="宋体"/>
                <w:kern w:val="0"/>
                <w:sz w:val="18"/>
                <w:szCs w:val="18"/>
              </w:rPr>
              <w:t>四、人行灯智能红外线语音提示设备</w:t>
            </w:r>
          </w:p>
        </w:tc>
      </w:tr>
      <w:tr>
        <w:tblPrEx>
          <w:tblCellMar>
            <w:top w:w="0" w:type="dxa"/>
            <w:left w:w="108" w:type="dxa"/>
            <w:bottom w:w="0" w:type="dxa"/>
            <w:right w:w="108" w:type="dxa"/>
          </w:tblCellMar>
        </w:tblPrEx>
        <w:trPr>
          <w:trHeight w:val="307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1</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智能红外线语音提示器(固定字）</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kern w:val="0"/>
                <w:sz w:val="18"/>
                <w:szCs w:val="18"/>
              </w:rPr>
            </w:pPr>
            <w:r>
              <w:rPr>
                <w:rFonts w:hint="eastAsia" w:ascii="宋体" w:hAnsi="宋体" w:cs="宋体"/>
                <w:kern w:val="0"/>
                <w:sz w:val="18"/>
                <w:szCs w:val="18"/>
              </w:rPr>
              <w:t>1.名称：智能红外线语音提示器(固定字）</w:t>
            </w:r>
            <w:r>
              <w:rPr>
                <w:rFonts w:hint="eastAsia" w:ascii="宋体" w:hAnsi="宋体" w:cs="宋体"/>
                <w:kern w:val="0"/>
                <w:sz w:val="18"/>
                <w:szCs w:val="18"/>
              </w:rPr>
              <w:br w:type="textWrapping"/>
            </w:r>
            <w:r>
              <w:rPr>
                <w:rFonts w:hint="eastAsia" w:ascii="宋体" w:hAnsi="宋体" w:cs="宋体"/>
                <w:kern w:val="0"/>
                <w:sz w:val="18"/>
                <w:szCs w:val="18"/>
              </w:rPr>
              <w:t>2.规格尺寸：200*140*1200mm</w:t>
            </w:r>
            <w:r>
              <w:rPr>
                <w:rFonts w:hint="eastAsia" w:ascii="宋体" w:hAnsi="宋体" w:cs="宋体"/>
                <w:kern w:val="0"/>
                <w:sz w:val="18"/>
                <w:szCs w:val="18"/>
              </w:rPr>
              <w:br w:type="textWrapping"/>
            </w:r>
            <w:r>
              <w:rPr>
                <w:rFonts w:hint="eastAsia" w:ascii="宋体" w:hAnsi="宋体" w:cs="宋体"/>
                <w:kern w:val="0"/>
                <w:sz w:val="18"/>
                <w:szCs w:val="18"/>
              </w:rPr>
              <w:t>3.红叉：57个LED，单颗亮度：3100～6300mcd，波长：625±5nm，左右上下视角：30°，功耗≤6W；</w:t>
            </w:r>
            <w:r>
              <w:rPr>
                <w:rFonts w:hint="eastAsia" w:ascii="宋体" w:hAnsi="宋体" w:cs="宋体"/>
                <w:kern w:val="0"/>
                <w:sz w:val="18"/>
                <w:szCs w:val="18"/>
              </w:rPr>
              <w:br w:type="textWrapping"/>
            </w:r>
            <w:r>
              <w:rPr>
                <w:rFonts w:hint="eastAsia" w:ascii="宋体" w:hAnsi="宋体" w:cs="宋体"/>
                <w:kern w:val="0"/>
                <w:sz w:val="18"/>
                <w:szCs w:val="18"/>
              </w:rPr>
              <w:t>绿箭头：51个LED，单颗亮度：61000～11000mcd，波长：505±5nm；左右上下视角：30°，功耗≤6W；</w:t>
            </w:r>
            <w:r>
              <w:rPr>
                <w:rFonts w:hint="eastAsia" w:ascii="宋体" w:hAnsi="宋体" w:cs="宋体"/>
                <w:kern w:val="0"/>
                <w:sz w:val="18"/>
                <w:szCs w:val="18"/>
              </w:rPr>
              <w:br w:type="textWrapping"/>
            </w:r>
            <w:r>
              <w:rPr>
                <w:rFonts w:hint="eastAsia" w:ascii="宋体" w:hAnsi="宋体" w:cs="宋体"/>
                <w:kern w:val="0"/>
                <w:sz w:val="18"/>
                <w:szCs w:val="18"/>
              </w:rPr>
              <w:t>4.发光单元使用的固定字灯板，红灯波长:620-650nm,绿灯波长500-506nm；</w:t>
            </w:r>
            <w:r>
              <w:rPr>
                <w:rFonts w:hint="eastAsia" w:ascii="宋体" w:hAnsi="宋体" w:cs="宋体"/>
                <w:kern w:val="0"/>
                <w:sz w:val="18"/>
                <w:szCs w:val="18"/>
              </w:rPr>
              <w:br w:type="textWrapping"/>
            </w:r>
            <w:r>
              <w:rPr>
                <w:rFonts w:hint="eastAsia" w:ascii="宋体" w:hAnsi="宋体" w:cs="宋体"/>
                <w:kern w:val="0"/>
                <w:sz w:val="18"/>
                <w:szCs w:val="18"/>
              </w:rPr>
              <w:t>5.工作电压：AC220V±20%、50Hz±2Hz；</w:t>
            </w:r>
            <w:r>
              <w:rPr>
                <w:rFonts w:hint="eastAsia" w:ascii="宋体" w:hAnsi="宋体" w:cs="宋体"/>
                <w:kern w:val="0"/>
                <w:sz w:val="18"/>
                <w:szCs w:val="18"/>
              </w:rPr>
              <w:br w:type="textWrapping"/>
            </w:r>
            <w:r>
              <w:rPr>
                <w:rFonts w:hint="eastAsia" w:ascii="宋体" w:hAnsi="宋体" w:cs="宋体"/>
                <w:kern w:val="0"/>
                <w:sz w:val="18"/>
                <w:szCs w:val="18"/>
              </w:rPr>
              <w:t>工作温度：-20℃～+70℃；</w:t>
            </w:r>
            <w:r>
              <w:rPr>
                <w:rFonts w:hint="eastAsia" w:ascii="宋体" w:hAnsi="宋体" w:cs="宋体"/>
                <w:kern w:val="0"/>
                <w:sz w:val="18"/>
                <w:szCs w:val="18"/>
              </w:rPr>
              <w:br w:type="textWrapping"/>
            </w:r>
            <w:r>
              <w:rPr>
                <w:rFonts w:hint="eastAsia" w:ascii="宋体" w:hAnsi="宋体" w:cs="宋体"/>
                <w:kern w:val="0"/>
                <w:sz w:val="18"/>
                <w:szCs w:val="18"/>
              </w:rPr>
              <w:t>工作湿度：＜97%rh；外壳防护等级：IP55；</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台</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64</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widowControl/>
              <w:jc w:val="left"/>
              <w:textAlignment w:val="top"/>
              <w:rPr>
                <w:rFonts w:ascii="宋体" w:hAnsi="宋体" w:cs="宋体"/>
                <w:kern w:val="0"/>
                <w:sz w:val="18"/>
                <w:szCs w:val="18"/>
              </w:rPr>
            </w:pPr>
          </w:p>
        </w:tc>
      </w:tr>
      <w:tr>
        <w:tblPrEx>
          <w:tblCellMar>
            <w:top w:w="0" w:type="dxa"/>
            <w:left w:w="108" w:type="dxa"/>
            <w:bottom w:w="0" w:type="dxa"/>
            <w:right w:w="108" w:type="dxa"/>
          </w:tblCellMar>
        </w:tblPrEx>
        <w:trPr>
          <w:trHeight w:val="500" w:hRule="atLeast"/>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top"/>
              <w:rPr>
                <w:rFonts w:ascii="宋体" w:hAnsi="宋体" w:cs="宋体"/>
                <w:kern w:val="0"/>
                <w:sz w:val="18"/>
                <w:szCs w:val="18"/>
              </w:rPr>
            </w:pPr>
            <w:r>
              <w:rPr>
                <w:rFonts w:hint="eastAsia" w:ascii="宋体" w:hAnsi="宋体" w:cs="宋体"/>
                <w:kern w:val="0"/>
                <w:sz w:val="18"/>
                <w:szCs w:val="18"/>
              </w:rPr>
              <w:t>五、信息诱导发布系统</w:t>
            </w:r>
          </w:p>
        </w:tc>
      </w:tr>
      <w:tr>
        <w:tblPrEx>
          <w:tblCellMar>
            <w:top w:w="0" w:type="dxa"/>
            <w:left w:w="108" w:type="dxa"/>
            <w:bottom w:w="0" w:type="dxa"/>
            <w:right w:w="108" w:type="dxa"/>
          </w:tblCellMar>
        </w:tblPrEx>
        <w:trPr>
          <w:trHeight w:val="51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1</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b/>
                <w:kern w:val="0"/>
                <w:sz w:val="18"/>
                <w:szCs w:val="18"/>
              </w:rPr>
            </w:pPr>
            <w:r>
              <w:rPr>
                <w:rFonts w:hint="eastAsia" w:ascii="宋体" w:hAnsi="宋体" w:cs="宋体"/>
                <w:bCs/>
                <w:kern w:val="0"/>
                <w:sz w:val="18"/>
                <w:szCs w:val="18"/>
              </w:rPr>
              <w:t>电子显示屏</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bCs/>
                <w:kern w:val="0"/>
                <w:sz w:val="18"/>
                <w:szCs w:val="18"/>
              </w:rPr>
            </w:pPr>
            <w:r>
              <w:rPr>
                <w:rFonts w:ascii="宋体" w:hAnsi="宋体" w:cs="宋体"/>
                <w:bCs/>
                <w:kern w:val="0"/>
                <w:sz w:val="18"/>
                <w:szCs w:val="18"/>
              </w:rPr>
              <w:t xml:space="preserve">1) </w:t>
            </w:r>
            <w:r>
              <w:rPr>
                <w:rFonts w:hint="eastAsia" w:ascii="宋体" w:hAnsi="宋体" w:cs="宋体"/>
                <w:bCs/>
                <w:kern w:val="0"/>
                <w:sz w:val="18"/>
                <w:szCs w:val="18"/>
              </w:rPr>
              <w:t>像素点距：</w:t>
            </w:r>
            <w:r>
              <w:rPr>
                <w:rFonts w:ascii="宋体" w:hAnsi="宋体" w:cs="宋体"/>
                <w:bCs/>
                <w:kern w:val="0"/>
                <w:sz w:val="18"/>
                <w:szCs w:val="18"/>
              </w:rPr>
              <w:t>10mm，对比度为3000:1，箱体平整度系数＜1mm。高防护等级，屏体正面防水、防尘级可达IP65；</w:t>
            </w:r>
            <w:r>
              <w:rPr>
                <w:rFonts w:ascii="宋体" w:hAnsi="宋体" w:cs="宋体"/>
                <w:bCs/>
                <w:kern w:val="0"/>
                <w:sz w:val="18"/>
                <w:szCs w:val="18"/>
              </w:rPr>
              <w:br w:type="textWrapping"/>
            </w:r>
            <w:r>
              <w:rPr>
                <w:rFonts w:ascii="宋体" w:hAnsi="宋体" w:cs="宋体"/>
                <w:bCs/>
                <w:kern w:val="0"/>
                <w:sz w:val="18"/>
                <w:szCs w:val="18"/>
              </w:rPr>
              <w:t xml:space="preserve">2) </w:t>
            </w:r>
            <w:r>
              <w:rPr>
                <w:rFonts w:hint="eastAsia" w:ascii="宋体" w:hAnsi="宋体" w:cs="宋体"/>
                <w:bCs/>
                <w:kern w:val="0"/>
                <w:sz w:val="18"/>
                <w:szCs w:val="18"/>
              </w:rPr>
              <w:t>像素组成</w:t>
            </w:r>
            <w:r>
              <w:rPr>
                <w:rFonts w:ascii="宋体" w:hAnsi="宋体" w:cs="宋体"/>
                <w:bCs/>
                <w:kern w:val="0"/>
                <w:sz w:val="18"/>
                <w:szCs w:val="18"/>
              </w:rPr>
              <w:t>:1R1G1B；</w:t>
            </w:r>
            <w:r>
              <w:rPr>
                <w:rFonts w:ascii="宋体" w:hAnsi="宋体" w:cs="宋体"/>
                <w:bCs/>
                <w:kern w:val="0"/>
                <w:sz w:val="18"/>
                <w:szCs w:val="18"/>
              </w:rPr>
              <w:br w:type="textWrapping"/>
            </w:r>
            <w:r>
              <w:rPr>
                <w:rFonts w:ascii="宋体" w:hAnsi="宋体" w:cs="宋体"/>
                <w:bCs/>
                <w:kern w:val="0"/>
                <w:sz w:val="18"/>
                <w:szCs w:val="18"/>
              </w:rPr>
              <w:t xml:space="preserve">3) </w:t>
            </w:r>
            <w:r>
              <w:rPr>
                <w:rFonts w:hint="eastAsia" w:ascii="宋体" w:hAnsi="宋体" w:cs="宋体"/>
                <w:bCs/>
                <w:kern w:val="0"/>
                <w:sz w:val="18"/>
                <w:szCs w:val="18"/>
              </w:rPr>
              <w:t>模组分辨率：</w:t>
            </w:r>
            <w:r>
              <w:rPr>
                <w:rFonts w:ascii="宋体" w:hAnsi="宋体" w:cs="宋体"/>
                <w:bCs/>
                <w:kern w:val="0"/>
                <w:sz w:val="18"/>
                <w:szCs w:val="18"/>
              </w:rPr>
              <w:t>16×16；模组尺寸(mm)：160×160</w:t>
            </w:r>
            <w:r>
              <w:rPr>
                <w:rFonts w:ascii="宋体" w:hAnsi="宋体" w:cs="宋体"/>
                <w:bCs/>
                <w:kern w:val="0"/>
                <w:sz w:val="18"/>
                <w:szCs w:val="18"/>
              </w:rPr>
              <w:br w:type="textWrapping"/>
            </w:r>
            <w:r>
              <w:rPr>
                <w:rFonts w:ascii="宋体" w:hAnsi="宋体" w:cs="宋体"/>
                <w:bCs/>
                <w:kern w:val="0"/>
                <w:sz w:val="18"/>
                <w:szCs w:val="18"/>
              </w:rPr>
              <w:t xml:space="preserve">4) </w:t>
            </w:r>
            <w:r>
              <w:rPr>
                <w:rFonts w:hint="eastAsia" w:ascii="宋体" w:hAnsi="宋体" w:cs="宋体"/>
                <w:bCs/>
                <w:kern w:val="0"/>
                <w:sz w:val="18"/>
                <w:szCs w:val="18"/>
              </w:rPr>
              <w:t>亮度：≥</w:t>
            </w:r>
            <w:r>
              <w:rPr>
                <w:rFonts w:ascii="宋体" w:hAnsi="宋体" w:cs="宋体"/>
                <w:bCs/>
                <w:kern w:val="0"/>
                <w:sz w:val="18"/>
                <w:szCs w:val="18"/>
              </w:rPr>
              <w:t>7000cd/㎡，LED显示单元亮度在7000～12000cd/㎡可调；</w:t>
            </w:r>
            <w:r>
              <w:rPr>
                <w:rFonts w:ascii="宋体" w:hAnsi="宋体" w:cs="宋体"/>
                <w:bCs/>
                <w:kern w:val="0"/>
                <w:sz w:val="18"/>
                <w:szCs w:val="18"/>
              </w:rPr>
              <w:br w:type="textWrapping"/>
            </w:r>
            <w:r>
              <w:rPr>
                <w:rFonts w:ascii="宋体" w:hAnsi="宋体" w:cs="宋体"/>
                <w:bCs/>
                <w:kern w:val="0"/>
                <w:sz w:val="18"/>
                <w:szCs w:val="18"/>
              </w:rPr>
              <w:t xml:space="preserve">5) </w:t>
            </w:r>
            <w:r>
              <w:rPr>
                <w:rFonts w:hint="eastAsia" w:ascii="宋体" w:hAnsi="宋体" w:cs="宋体"/>
                <w:bCs/>
                <w:kern w:val="0"/>
                <w:sz w:val="18"/>
                <w:szCs w:val="18"/>
              </w:rPr>
              <w:t>平均功耗≤</w:t>
            </w:r>
            <w:r>
              <w:rPr>
                <w:rFonts w:ascii="宋体" w:hAnsi="宋体" w:cs="宋体"/>
                <w:bCs/>
                <w:kern w:val="0"/>
                <w:sz w:val="18"/>
                <w:szCs w:val="18"/>
              </w:rPr>
              <w:t>195W/㎡；最大功耗≤480W/㎡；</w:t>
            </w:r>
            <w:r>
              <w:rPr>
                <w:rFonts w:ascii="宋体" w:hAnsi="宋体" w:cs="宋体"/>
                <w:bCs/>
                <w:kern w:val="0"/>
                <w:sz w:val="18"/>
                <w:szCs w:val="18"/>
              </w:rPr>
              <w:br w:type="textWrapping"/>
            </w:r>
            <w:r>
              <w:rPr>
                <w:rFonts w:ascii="宋体" w:hAnsi="宋体" w:cs="宋体"/>
                <w:bCs/>
                <w:kern w:val="0"/>
                <w:sz w:val="18"/>
                <w:szCs w:val="18"/>
              </w:rPr>
              <w:t xml:space="preserve">6) </w:t>
            </w:r>
            <w:r>
              <w:rPr>
                <w:rFonts w:hint="eastAsia" w:ascii="宋体" w:hAnsi="宋体" w:cs="宋体"/>
                <w:bCs/>
                <w:kern w:val="0"/>
                <w:sz w:val="18"/>
                <w:szCs w:val="18"/>
              </w:rPr>
              <w:t>工作电压：</w:t>
            </w:r>
            <w:r>
              <w:rPr>
                <w:rFonts w:ascii="宋体" w:hAnsi="宋体" w:cs="宋体"/>
                <w:bCs/>
                <w:kern w:val="0"/>
                <w:sz w:val="18"/>
                <w:szCs w:val="18"/>
              </w:rPr>
              <w:t>AC200～240V；</w:t>
            </w:r>
            <w:r>
              <w:rPr>
                <w:rFonts w:ascii="宋体" w:hAnsi="宋体" w:cs="宋体"/>
                <w:bCs/>
                <w:kern w:val="0"/>
                <w:sz w:val="18"/>
                <w:szCs w:val="18"/>
              </w:rPr>
              <w:br w:type="textWrapping"/>
            </w:r>
            <w:r>
              <w:rPr>
                <w:rFonts w:ascii="宋体" w:hAnsi="宋体" w:cs="宋体"/>
                <w:bCs/>
                <w:kern w:val="0"/>
                <w:sz w:val="18"/>
                <w:szCs w:val="18"/>
              </w:rPr>
              <w:t xml:space="preserve">7) </w:t>
            </w:r>
            <w:r>
              <w:rPr>
                <w:rFonts w:hint="eastAsia" w:ascii="宋体" w:hAnsi="宋体" w:cs="宋体"/>
                <w:bCs/>
                <w:kern w:val="0"/>
                <w:sz w:val="18"/>
                <w:szCs w:val="18"/>
              </w:rPr>
              <w:t>工作温度：</w:t>
            </w:r>
            <w:r>
              <w:rPr>
                <w:rFonts w:ascii="宋体" w:hAnsi="宋体" w:cs="宋体"/>
                <w:bCs/>
                <w:kern w:val="0"/>
                <w:sz w:val="18"/>
                <w:szCs w:val="18"/>
              </w:rPr>
              <w:t>-25～+65℃；工作湿度20～90%（无冷凝）；</w:t>
            </w:r>
            <w:r>
              <w:rPr>
                <w:rFonts w:ascii="宋体" w:hAnsi="宋体" w:cs="宋体"/>
                <w:bCs/>
                <w:kern w:val="0"/>
                <w:sz w:val="18"/>
                <w:szCs w:val="18"/>
              </w:rPr>
              <w:br w:type="textWrapping"/>
            </w:r>
            <w:r>
              <w:rPr>
                <w:rFonts w:ascii="宋体" w:hAnsi="宋体" w:cs="宋体"/>
                <w:bCs/>
                <w:kern w:val="0"/>
                <w:sz w:val="18"/>
                <w:szCs w:val="18"/>
              </w:rPr>
              <w:t>8) LED显示单元防雷等级≥4级；</w:t>
            </w:r>
            <w:r>
              <w:rPr>
                <w:rFonts w:ascii="宋体" w:hAnsi="宋体" w:cs="宋体"/>
                <w:bCs/>
                <w:kern w:val="0"/>
                <w:sz w:val="18"/>
                <w:szCs w:val="18"/>
              </w:rPr>
              <w:br w:type="textWrapping"/>
            </w:r>
            <w:r>
              <w:rPr>
                <w:rFonts w:ascii="宋体" w:hAnsi="宋体" w:cs="宋体"/>
                <w:bCs/>
                <w:kern w:val="0"/>
                <w:sz w:val="18"/>
                <w:szCs w:val="18"/>
              </w:rPr>
              <w:t xml:space="preserve">9) </w:t>
            </w:r>
            <w:r>
              <w:rPr>
                <w:rFonts w:hint="eastAsia" w:ascii="宋体" w:hAnsi="宋体" w:cs="宋体"/>
                <w:bCs/>
                <w:kern w:val="0"/>
                <w:sz w:val="18"/>
                <w:szCs w:val="18"/>
              </w:rPr>
              <w:t>▲为了保证信息发布功能完整性及联动一致性，电子显示屏与信息发布管理服务器为同一品牌；</w:t>
            </w:r>
            <w:r>
              <w:rPr>
                <w:rFonts w:ascii="宋体" w:hAnsi="宋体" w:cs="宋体"/>
                <w:bCs/>
                <w:kern w:val="0"/>
                <w:sz w:val="18"/>
                <w:szCs w:val="18"/>
              </w:rPr>
              <w:br w:type="textWrapping"/>
            </w:r>
            <w:r>
              <w:rPr>
                <w:rFonts w:ascii="宋体" w:hAnsi="宋体" w:cs="宋体"/>
                <w:bCs/>
                <w:kern w:val="0"/>
                <w:sz w:val="18"/>
                <w:szCs w:val="18"/>
              </w:rPr>
              <w:t xml:space="preserve">12) </w:t>
            </w:r>
            <w:r>
              <w:rPr>
                <w:rFonts w:hint="eastAsia" w:ascii="宋体" w:hAnsi="宋体" w:cs="宋体"/>
                <w:bCs/>
                <w:kern w:val="0"/>
                <w:sz w:val="18"/>
                <w:szCs w:val="18"/>
              </w:rPr>
              <w:t>▲所投厂家具备《信息发布管理服务器软件》，</w:t>
            </w:r>
            <w:r>
              <w:rPr>
                <w:rFonts w:hint="eastAsia" w:ascii="宋体" w:hAnsi="宋体" w:cs="宋体"/>
                <w:b/>
                <w:bCs/>
                <w:kern w:val="0"/>
                <w:sz w:val="18"/>
                <w:szCs w:val="18"/>
              </w:rPr>
              <w:t>并提供计算机软件著作权登记证书。</w:t>
            </w:r>
            <w:r>
              <w:rPr>
                <w:rFonts w:ascii="宋体" w:hAnsi="宋体" w:cs="宋体"/>
                <w:b/>
                <w:bCs/>
                <w:kern w:val="0"/>
                <w:sz w:val="18"/>
                <w:szCs w:val="18"/>
              </w:rPr>
              <w:br w:type="textWrapping"/>
            </w:r>
            <w:r>
              <w:rPr>
                <w:rFonts w:hint="eastAsia" w:ascii="宋体" w:hAnsi="宋体" w:cs="宋体"/>
                <w:bCs/>
                <w:kern w:val="0"/>
                <w:sz w:val="18"/>
                <w:szCs w:val="18"/>
              </w:rPr>
              <w:t>对比度</w:t>
            </w:r>
            <w:r>
              <w:rPr>
                <w:rFonts w:ascii="宋体" w:hAnsi="宋体" w:cs="宋体"/>
                <w:bCs/>
                <w:kern w:val="0"/>
                <w:sz w:val="18"/>
                <w:szCs w:val="18"/>
              </w:rPr>
              <w:t xml:space="preserve">   3000:1</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bCs/>
                <w:kern w:val="0"/>
                <w:sz w:val="18"/>
                <w:szCs w:val="18"/>
              </w:rPr>
            </w:pPr>
            <w:r>
              <w:rPr>
                <w:rFonts w:hint="eastAsia" w:ascii="宋体" w:hAnsi="宋体" w:cs="宋体"/>
                <w:bCs/>
                <w:kern w:val="0"/>
                <w:sz w:val="18"/>
                <w:szCs w:val="18"/>
              </w:rPr>
              <w:t>平方</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bCs/>
                <w:kern w:val="0"/>
                <w:sz w:val="18"/>
                <w:szCs w:val="18"/>
              </w:rPr>
            </w:pPr>
            <w:r>
              <w:rPr>
                <w:rFonts w:ascii="宋体" w:hAnsi="宋体" w:cs="宋体"/>
                <w:bCs/>
                <w:kern w:val="0"/>
                <w:sz w:val="18"/>
                <w:szCs w:val="18"/>
              </w:rPr>
              <w:t>43</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widowControl/>
              <w:jc w:val="left"/>
              <w:textAlignment w:val="top"/>
              <w:rPr>
                <w:rFonts w:ascii="宋体" w:hAnsi="宋体" w:cs="宋体"/>
                <w:kern w:val="0"/>
                <w:sz w:val="18"/>
                <w:szCs w:val="18"/>
              </w:rPr>
            </w:pPr>
          </w:p>
        </w:tc>
      </w:tr>
      <w:tr>
        <w:tblPrEx>
          <w:tblCellMar>
            <w:top w:w="0" w:type="dxa"/>
            <w:left w:w="108" w:type="dxa"/>
            <w:bottom w:w="0" w:type="dxa"/>
            <w:right w:w="108" w:type="dxa"/>
          </w:tblCellMar>
        </w:tblPrEx>
        <w:trPr>
          <w:trHeight w:val="2112"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2</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LED多媒体播放器</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kern w:val="0"/>
                <w:sz w:val="18"/>
                <w:szCs w:val="18"/>
              </w:rPr>
            </w:pPr>
            <w:r>
              <w:rPr>
                <w:rFonts w:hint="eastAsia" w:ascii="宋体" w:hAnsi="宋体" w:cs="宋体"/>
                <w:kern w:val="0"/>
                <w:sz w:val="18"/>
                <w:szCs w:val="18"/>
              </w:rPr>
              <w:t>1) 支持最大带载面积65万点。最宽4096像素，最高1536像素，尺寸可灵活设置；</w:t>
            </w:r>
            <w:r>
              <w:rPr>
                <w:rFonts w:hint="eastAsia" w:ascii="宋体" w:hAnsi="宋体" w:cs="宋体"/>
                <w:kern w:val="0"/>
                <w:sz w:val="18"/>
                <w:szCs w:val="18"/>
              </w:rPr>
              <w:br w:type="textWrapping"/>
            </w:r>
            <w:r>
              <w:rPr>
                <w:rFonts w:hint="eastAsia" w:ascii="宋体" w:hAnsi="宋体" w:cs="宋体"/>
                <w:kern w:val="0"/>
                <w:sz w:val="18"/>
                <w:szCs w:val="18"/>
              </w:rPr>
              <w:t>2) 支持自带8G内存，用户可用5G存储容量，支持USB播放；</w:t>
            </w:r>
            <w:r>
              <w:rPr>
                <w:rFonts w:hint="eastAsia" w:ascii="宋体" w:hAnsi="宋体" w:cs="宋体"/>
                <w:kern w:val="0"/>
                <w:sz w:val="18"/>
                <w:szCs w:val="18"/>
              </w:rPr>
              <w:br w:type="textWrapping"/>
            </w:r>
            <w:r>
              <w:rPr>
                <w:rFonts w:hint="eastAsia" w:ascii="宋体" w:hAnsi="宋体" w:cs="宋体"/>
                <w:kern w:val="0"/>
                <w:sz w:val="18"/>
                <w:szCs w:val="18"/>
              </w:rPr>
              <w:t>3) 支持系统权限认证，数据通道加密；</w:t>
            </w:r>
            <w:r>
              <w:rPr>
                <w:rFonts w:hint="eastAsia" w:ascii="宋体" w:hAnsi="宋体" w:cs="宋体"/>
                <w:kern w:val="0"/>
                <w:sz w:val="18"/>
                <w:szCs w:val="18"/>
              </w:rPr>
              <w:br w:type="textWrapping"/>
            </w:r>
            <w:r>
              <w:rPr>
                <w:rFonts w:hint="eastAsia" w:ascii="宋体" w:hAnsi="宋体" w:cs="宋体"/>
                <w:kern w:val="0"/>
                <w:sz w:val="18"/>
                <w:szCs w:val="18"/>
              </w:rPr>
              <w:t>4) 支持播放内容实时监测，运行状态及时反馈；</w:t>
            </w:r>
            <w:r>
              <w:rPr>
                <w:rFonts w:hint="eastAsia" w:ascii="宋体" w:hAnsi="宋体" w:cs="宋体"/>
                <w:kern w:val="0"/>
                <w:sz w:val="18"/>
                <w:szCs w:val="18"/>
              </w:rPr>
              <w:br w:type="textWrapping"/>
            </w:r>
            <w:r>
              <w:rPr>
                <w:rFonts w:hint="eastAsia" w:ascii="宋体" w:hAnsi="宋体" w:cs="宋体"/>
                <w:kern w:val="0"/>
                <w:sz w:val="18"/>
                <w:szCs w:val="18"/>
              </w:rPr>
              <w:t>5) 可配置为WiFi热点，支持PC、手机、Pad等智能终端进行管理；</w:t>
            </w:r>
            <w:r>
              <w:rPr>
                <w:rFonts w:hint="eastAsia" w:ascii="宋体" w:hAnsi="宋体" w:cs="宋体"/>
                <w:kern w:val="0"/>
                <w:sz w:val="18"/>
                <w:szCs w:val="18"/>
              </w:rPr>
              <w:br w:type="textWrapping"/>
            </w:r>
            <w:r>
              <w:rPr>
                <w:rFonts w:hint="eastAsia" w:ascii="宋体" w:hAnsi="宋体" w:cs="宋体"/>
                <w:kern w:val="0"/>
                <w:sz w:val="18"/>
                <w:szCs w:val="18"/>
              </w:rPr>
              <w:t>6) 支持运行环境温度、湿度、亮度等参数监测，自动调节显示屏亮度；</w:t>
            </w:r>
            <w:r>
              <w:rPr>
                <w:rFonts w:hint="eastAsia" w:ascii="宋体" w:hAnsi="宋体" w:cs="宋体"/>
                <w:kern w:val="0"/>
                <w:sz w:val="18"/>
                <w:szCs w:val="18"/>
              </w:rPr>
              <w:br w:type="textWrapping"/>
            </w:r>
            <w:r>
              <w:rPr>
                <w:rFonts w:hint="eastAsia" w:ascii="宋体" w:hAnsi="宋体" w:cs="宋体"/>
                <w:kern w:val="0"/>
                <w:sz w:val="18"/>
                <w:szCs w:val="18"/>
              </w:rPr>
              <w:t>7) 支持多窗口，可自由设定窗口大小和位置，并支持窗口叠加；</w:t>
            </w:r>
            <w:r>
              <w:rPr>
                <w:rFonts w:hint="eastAsia" w:ascii="宋体" w:hAnsi="宋体" w:cs="宋体"/>
                <w:kern w:val="0"/>
                <w:sz w:val="18"/>
                <w:szCs w:val="18"/>
              </w:rPr>
              <w:br w:type="textWrapping"/>
            </w:r>
            <w:r>
              <w:rPr>
                <w:rFonts w:hint="eastAsia" w:ascii="宋体" w:hAnsi="宋体" w:cs="宋体"/>
                <w:kern w:val="0"/>
                <w:sz w:val="18"/>
                <w:szCs w:val="18"/>
              </w:rPr>
              <w:t>8) 支持丰富的媒体素材，如图片、视频、文本、时钟等。</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台</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 xml:space="preserve">52 </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widowControl/>
              <w:jc w:val="left"/>
              <w:textAlignment w:val="top"/>
              <w:rPr>
                <w:rFonts w:ascii="宋体" w:hAnsi="宋体" w:cs="宋体"/>
                <w:kern w:val="0"/>
                <w:sz w:val="18"/>
                <w:szCs w:val="18"/>
              </w:rPr>
            </w:pPr>
          </w:p>
        </w:tc>
      </w:tr>
      <w:tr>
        <w:tblPrEx>
          <w:tblCellMar>
            <w:top w:w="0" w:type="dxa"/>
            <w:left w:w="108" w:type="dxa"/>
            <w:bottom w:w="0" w:type="dxa"/>
            <w:right w:w="108" w:type="dxa"/>
          </w:tblCellMar>
        </w:tblPrEx>
        <w:trPr>
          <w:trHeight w:val="105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3</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终端授权的License</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kern w:val="0"/>
                <w:sz w:val="18"/>
                <w:szCs w:val="18"/>
              </w:rPr>
            </w:pPr>
            <w:r>
              <w:rPr>
                <w:rFonts w:hint="eastAsia" w:ascii="宋体" w:hAnsi="宋体" w:cs="宋体"/>
                <w:kern w:val="0"/>
                <w:sz w:val="18"/>
                <w:szCs w:val="18"/>
              </w:rPr>
              <w:t xml:space="preserve">1.基于正版稳定系统开发的信息发布软件，实现LED信息发布屏的稳定对接和运维管理，可快速接入诱导屏设备。 </w:t>
            </w:r>
            <w:r>
              <w:rPr>
                <w:rFonts w:hint="eastAsia" w:ascii="宋体" w:hAnsi="宋体" w:cs="宋体"/>
                <w:kern w:val="0"/>
                <w:sz w:val="18"/>
                <w:szCs w:val="18"/>
              </w:rPr>
              <w:br w:type="textWrapping"/>
            </w:r>
            <w:r>
              <w:rPr>
                <w:rFonts w:hint="eastAsia" w:ascii="宋体" w:hAnsi="宋体" w:cs="宋体"/>
                <w:kern w:val="0"/>
                <w:sz w:val="18"/>
                <w:szCs w:val="18"/>
              </w:rPr>
              <w:t>2.支持手动发布自定义文字内容、违停预警信息、违法数据、布控限行数据、路网拥堵信息，并支持固定模板内容快捷发布。</w:t>
            </w:r>
            <w:r>
              <w:rPr>
                <w:rFonts w:hint="eastAsia" w:ascii="宋体" w:hAnsi="宋体" w:cs="宋体"/>
                <w:kern w:val="0"/>
                <w:sz w:val="18"/>
                <w:szCs w:val="18"/>
              </w:rPr>
              <w:br w:type="textWrapping"/>
            </w:r>
            <w:r>
              <w:rPr>
                <w:rFonts w:hint="eastAsia" w:ascii="宋体" w:hAnsi="宋体" w:cs="宋体"/>
                <w:kern w:val="0"/>
                <w:sz w:val="18"/>
                <w:szCs w:val="18"/>
              </w:rPr>
              <w:t>3.支持自动诱导发布预案任务，出现违法、布控、交通事件、天气恶劣等情况自动联动发布任务。</w:t>
            </w:r>
            <w:r>
              <w:rPr>
                <w:rFonts w:hint="eastAsia" w:ascii="宋体" w:hAnsi="宋体" w:cs="宋体"/>
                <w:kern w:val="0"/>
                <w:sz w:val="18"/>
                <w:szCs w:val="18"/>
              </w:rPr>
              <w:br w:type="textWrapping"/>
            </w:r>
            <w:r>
              <w:rPr>
                <w:rFonts w:hint="eastAsia" w:ascii="宋体" w:hAnsi="宋体" w:cs="宋体"/>
                <w:kern w:val="0"/>
                <w:sz w:val="18"/>
                <w:szCs w:val="18"/>
              </w:rPr>
              <w:t>4.支持对单屏配置的开/关屏计划、亮度调节计划应用至其他LED信息发布屏, 支持过车信息、告警、事件等信息列表式滚动发布</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套</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 xml:space="preserve">52 </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widowControl/>
              <w:jc w:val="left"/>
              <w:textAlignment w:val="top"/>
              <w:rPr>
                <w:rFonts w:ascii="宋体" w:hAnsi="宋体" w:cs="宋体"/>
                <w:kern w:val="0"/>
                <w:sz w:val="18"/>
                <w:szCs w:val="18"/>
              </w:rPr>
            </w:pPr>
          </w:p>
        </w:tc>
      </w:tr>
      <w:tr>
        <w:tblPrEx>
          <w:tblCellMar>
            <w:top w:w="0" w:type="dxa"/>
            <w:left w:w="108" w:type="dxa"/>
            <w:bottom w:w="0" w:type="dxa"/>
            <w:right w:w="108" w:type="dxa"/>
          </w:tblCellMar>
        </w:tblPrEx>
        <w:trPr>
          <w:trHeight w:val="4752"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4</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信息发布管理服务器</w:t>
            </w:r>
          </w:p>
        </w:tc>
        <w:tc>
          <w:tcPr>
            <w:tcW w:w="3497" w:type="pct"/>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kern w:val="0"/>
                <w:sz w:val="18"/>
                <w:szCs w:val="18"/>
              </w:rPr>
            </w:pPr>
            <w:r>
              <w:rPr>
                <w:rFonts w:hint="eastAsia" w:ascii="宋体" w:hAnsi="宋体" w:cs="宋体"/>
                <w:kern w:val="0"/>
                <w:sz w:val="18"/>
                <w:szCs w:val="18"/>
              </w:rPr>
              <w:t>1) 支持远程实时监控终端的运行状态与设备控制命令下发。</w:t>
            </w:r>
            <w:r>
              <w:rPr>
                <w:rFonts w:hint="eastAsia" w:ascii="宋体" w:hAnsi="宋体" w:cs="宋体"/>
                <w:kern w:val="0"/>
                <w:sz w:val="18"/>
                <w:szCs w:val="18"/>
              </w:rPr>
              <w:br w:type="textWrapping"/>
            </w:r>
            <w:r>
              <w:rPr>
                <w:rFonts w:hint="eastAsia" w:ascii="宋体" w:hAnsi="宋体" w:cs="宋体"/>
                <w:kern w:val="0"/>
                <w:sz w:val="18"/>
                <w:szCs w:val="18"/>
              </w:rPr>
              <w:t>2) 支持内部媒体库管理功能，在线编辑节目，操作简单方便。</w:t>
            </w:r>
            <w:r>
              <w:rPr>
                <w:rFonts w:hint="eastAsia" w:ascii="宋体" w:hAnsi="宋体" w:cs="宋体"/>
                <w:kern w:val="0"/>
                <w:sz w:val="18"/>
                <w:szCs w:val="18"/>
              </w:rPr>
              <w:br w:type="textWrapping"/>
            </w:r>
            <w:r>
              <w:rPr>
                <w:rFonts w:hint="eastAsia" w:ascii="宋体" w:hAnsi="宋体" w:cs="宋体"/>
                <w:kern w:val="0"/>
                <w:sz w:val="18"/>
                <w:szCs w:val="18"/>
              </w:rPr>
              <w:t>3) 终端采用Linux嵌入式系统。</w:t>
            </w:r>
            <w:r>
              <w:rPr>
                <w:rFonts w:hint="eastAsia" w:ascii="宋体" w:hAnsi="宋体" w:cs="宋体"/>
                <w:kern w:val="0"/>
                <w:sz w:val="18"/>
                <w:szCs w:val="18"/>
              </w:rPr>
              <w:br w:type="textWrapping"/>
            </w:r>
            <w:r>
              <w:rPr>
                <w:rFonts w:hint="eastAsia" w:ascii="宋体" w:hAnsi="宋体" w:cs="宋体"/>
                <w:kern w:val="0"/>
                <w:sz w:val="18"/>
                <w:szCs w:val="18"/>
              </w:rPr>
              <w:t>4) 支持视频、图像播放、Word文件、Excel文件、PPT文件、TXT文件文件播放。</w:t>
            </w:r>
            <w:r>
              <w:rPr>
                <w:rFonts w:hint="eastAsia" w:ascii="宋体" w:hAnsi="宋体" w:cs="宋体"/>
                <w:kern w:val="0"/>
                <w:sz w:val="18"/>
                <w:szCs w:val="18"/>
              </w:rPr>
              <w:br w:type="textWrapping"/>
            </w:r>
            <w:r>
              <w:rPr>
                <w:rFonts w:hint="eastAsia" w:ascii="宋体" w:hAnsi="宋体" w:cs="宋体"/>
                <w:kern w:val="0"/>
                <w:sz w:val="18"/>
                <w:szCs w:val="18"/>
              </w:rPr>
              <w:t>5) 支持wmv、3pg、mp4、avi、flv、mkv视频格式，支持jpg、png图片格式。</w:t>
            </w:r>
            <w:r>
              <w:rPr>
                <w:rFonts w:hint="eastAsia" w:ascii="宋体" w:hAnsi="宋体" w:cs="宋体"/>
                <w:kern w:val="0"/>
                <w:sz w:val="18"/>
                <w:szCs w:val="18"/>
              </w:rPr>
              <w:br w:type="textWrapping"/>
            </w:r>
            <w:r>
              <w:rPr>
                <w:rFonts w:hint="eastAsia" w:ascii="宋体" w:hAnsi="宋体" w:cs="宋体"/>
                <w:kern w:val="0"/>
                <w:sz w:val="18"/>
                <w:szCs w:val="18"/>
              </w:rPr>
              <w:t>6) 支持VGA、HDMI视频输出，USB2.0*4个，可外接U盘或通讯设备。</w:t>
            </w:r>
            <w:r>
              <w:rPr>
                <w:rFonts w:hint="eastAsia" w:ascii="宋体" w:hAnsi="宋体" w:cs="宋体"/>
                <w:kern w:val="0"/>
                <w:sz w:val="18"/>
                <w:szCs w:val="18"/>
              </w:rPr>
              <w:br w:type="textWrapping"/>
            </w:r>
            <w:r>
              <w:rPr>
                <w:rFonts w:hint="eastAsia" w:ascii="宋体" w:hAnsi="宋体" w:cs="宋体"/>
                <w:kern w:val="0"/>
                <w:sz w:val="18"/>
                <w:szCs w:val="18"/>
              </w:rPr>
              <w:t>7) GE网口：10/100/1000Mbit/s自适应以太网口*2；FE网口：10/100Mbit/s自适应以太网口*1。</w:t>
            </w:r>
            <w:r>
              <w:rPr>
                <w:rFonts w:hint="eastAsia" w:ascii="宋体" w:hAnsi="宋体" w:cs="宋体"/>
                <w:kern w:val="0"/>
                <w:sz w:val="18"/>
                <w:szCs w:val="18"/>
              </w:rPr>
              <w:br w:type="textWrapping"/>
            </w:r>
            <w:r>
              <w:rPr>
                <w:rFonts w:hint="eastAsia" w:ascii="宋体" w:hAnsi="宋体" w:cs="宋体"/>
                <w:kern w:val="0"/>
                <w:sz w:val="18"/>
                <w:szCs w:val="18"/>
              </w:rPr>
              <w:t>8) 对常用节目样式支持保存为模板，为差异化小的节目编辑提供便捷操作。</w:t>
            </w:r>
            <w:r>
              <w:rPr>
                <w:rFonts w:hint="eastAsia" w:ascii="宋体" w:hAnsi="宋体" w:cs="宋体"/>
                <w:kern w:val="0"/>
                <w:sz w:val="18"/>
                <w:szCs w:val="18"/>
              </w:rPr>
              <w:br w:type="textWrapping"/>
            </w:r>
            <w:r>
              <w:rPr>
                <w:rFonts w:hint="eastAsia" w:ascii="宋体" w:hAnsi="宋体" w:cs="宋体"/>
                <w:kern w:val="0"/>
                <w:sz w:val="18"/>
                <w:szCs w:val="18"/>
              </w:rPr>
              <w:t>9) 支持保存多媒体素材，不必局限于一台电脑操作节目。</w:t>
            </w:r>
            <w:r>
              <w:rPr>
                <w:rFonts w:hint="eastAsia" w:ascii="宋体" w:hAnsi="宋体" w:cs="宋体"/>
                <w:kern w:val="0"/>
                <w:sz w:val="18"/>
                <w:szCs w:val="18"/>
              </w:rPr>
              <w:br w:type="textWrapping"/>
            </w:r>
            <w:r>
              <w:rPr>
                <w:rFonts w:hint="eastAsia" w:ascii="宋体" w:hAnsi="宋体" w:cs="宋体"/>
                <w:kern w:val="0"/>
                <w:sz w:val="18"/>
                <w:szCs w:val="18"/>
              </w:rPr>
              <w:t>10) 支持定时发布特定信息，无需人为干预。</w:t>
            </w:r>
            <w:r>
              <w:rPr>
                <w:rFonts w:hint="eastAsia" w:ascii="宋体" w:hAnsi="宋体" w:cs="宋体"/>
                <w:kern w:val="0"/>
                <w:sz w:val="18"/>
                <w:szCs w:val="18"/>
              </w:rPr>
              <w:br w:type="textWrapping"/>
            </w:r>
            <w:r>
              <w:rPr>
                <w:rFonts w:hint="eastAsia" w:ascii="宋体" w:hAnsi="宋体" w:cs="宋体"/>
                <w:kern w:val="0"/>
                <w:sz w:val="18"/>
                <w:szCs w:val="18"/>
              </w:rPr>
              <w:t>11) 支持远程调整音量、亮度、色温，远程休眠、唤醒、重启播放盒。</w:t>
            </w:r>
            <w:r>
              <w:rPr>
                <w:rFonts w:hint="eastAsia" w:ascii="宋体" w:hAnsi="宋体" w:cs="宋体"/>
                <w:kern w:val="0"/>
                <w:sz w:val="18"/>
                <w:szCs w:val="18"/>
              </w:rPr>
              <w:br w:type="textWrapping"/>
            </w:r>
            <w:r>
              <w:rPr>
                <w:rFonts w:hint="eastAsia" w:ascii="宋体" w:hAnsi="宋体" w:cs="宋体"/>
                <w:kern w:val="0"/>
                <w:sz w:val="18"/>
                <w:szCs w:val="18"/>
              </w:rPr>
              <w:t>12) 支持批量操作LED多媒体播放器。</w:t>
            </w:r>
            <w:r>
              <w:rPr>
                <w:rFonts w:hint="eastAsia" w:ascii="宋体" w:hAnsi="宋体" w:cs="宋体"/>
                <w:kern w:val="0"/>
                <w:sz w:val="18"/>
                <w:szCs w:val="18"/>
              </w:rPr>
              <w:br w:type="textWrapping"/>
            </w:r>
            <w:r>
              <w:rPr>
                <w:rFonts w:hint="eastAsia" w:ascii="宋体" w:hAnsi="宋体" w:cs="宋体"/>
                <w:kern w:val="0"/>
                <w:sz w:val="18"/>
                <w:szCs w:val="18"/>
              </w:rPr>
              <w:t>13) 支持权限管理、节目审核等，保证显示节目准确与安全。</w:t>
            </w:r>
            <w:r>
              <w:rPr>
                <w:rFonts w:hint="eastAsia" w:ascii="宋体" w:hAnsi="宋体" w:cs="宋体"/>
                <w:kern w:val="0"/>
                <w:sz w:val="18"/>
                <w:szCs w:val="18"/>
              </w:rPr>
              <w:br w:type="textWrapping"/>
            </w:r>
            <w:r>
              <w:rPr>
                <w:rFonts w:hint="eastAsia" w:ascii="宋体" w:hAnsi="宋体" w:cs="宋体"/>
                <w:kern w:val="0"/>
                <w:sz w:val="18"/>
                <w:szCs w:val="18"/>
              </w:rPr>
              <w:t>14) 支持实时截取并回传正在播放内容。</w:t>
            </w:r>
            <w:r>
              <w:rPr>
                <w:rFonts w:hint="eastAsia" w:ascii="宋体" w:hAnsi="宋体" w:cs="宋体"/>
                <w:kern w:val="0"/>
                <w:sz w:val="18"/>
                <w:szCs w:val="18"/>
              </w:rPr>
              <w:br w:type="textWrapping"/>
            </w:r>
            <w:r>
              <w:rPr>
                <w:rFonts w:hint="eastAsia" w:ascii="宋体" w:hAnsi="宋体" w:cs="宋体"/>
                <w:kern w:val="0"/>
                <w:sz w:val="18"/>
                <w:szCs w:val="18"/>
              </w:rPr>
              <w:t>15)  支持节目排程，并有插播、轮播、垫播模式选择。</w:t>
            </w:r>
            <w:r>
              <w:rPr>
                <w:rFonts w:hint="eastAsia" w:ascii="宋体" w:hAnsi="宋体" w:cs="宋体"/>
                <w:kern w:val="0"/>
                <w:sz w:val="18"/>
                <w:szCs w:val="18"/>
              </w:rPr>
              <w:br w:type="textWrapping"/>
            </w:r>
            <w:r>
              <w:rPr>
                <w:rFonts w:hint="eastAsia" w:ascii="宋体" w:hAnsi="宋体" w:cs="宋体"/>
                <w:kern w:val="0"/>
                <w:sz w:val="18"/>
                <w:szCs w:val="18"/>
              </w:rPr>
              <w:t>16) 完备的日志记录，并支持日志Excel导出，保障可完整溯源。</w:t>
            </w:r>
          </w:p>
        </w:tc>
        <w:tc>
          <w:tcPr>
            <w:tcW w:w="20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台</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1</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widowControl/>
              <w:jc w:val="left"/>
              <w:textAlignment w:val="top"/>
              <w:rPr>
                <w:rFonts w:ascii="宋体" w:hAnsi="宋体" w:cs="宋体"/>
                <w:kern w:val="0"/>
                <w:sz w:val="18"/>
                <w:szCs w:val="18"/>
              </w:rPr>
            </w:pPr>
          </w:p>
        </w:tc>
      </w:tr>
      <w:tr>
        <w:tblPrEx>
          <w:tblCellMar>
            <w:top w:w="0" w:type="dxa"/>
            <w:left w:w="108" w:type="dxa"/>
            <w:bottom w:w="0" w:type="dxa"/>
            <w:right w:w="108" w:type="dxa"/>
          </w:tblCellMar>
        </w:tblPrEx>
        <w:trPr>
          <w:trHeight w:val="500" w:hRule="atLeast"/>
        </w:trPr>
        <w:tc>
          <w:tcPr>
            <w:tcW w:w="4670" w:type="pct"/>
            <w:gridSpan w:val="5"/>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top"/>
              <w:rPr>
                <w:rFonts w:ascii="宋体" w:hAnsi="宋体" w:cs="宋体"/>
                <w:kern w:val="0"/>
                <w:sz w:val="18"/>
                <w:szCs w:val="18"/>
              </w:rPr>
            </w:pPr>
            <w:r>
              <w:rPr>
                <w:rFonts w:hint="eastAsia" w:ascii="宋体" w:hAnsi="宋体" w:cs="宋体"/>
                <w:kern w:val="0"/>
                <w:sz w:val="18"/>
                <w:szCs w:val="18"/>
              </w:rPr>
              <w:t>六、后台部分</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widowControl/>
              <w:jc w:val="left"/>
              <w:textAlignment w:val="top"/>
              <w:rPr>
                <w:rFonts w:ascii="宋体" w:hAnsi="宋体" w:cs="宋体"/>
                <w:kern w:val="0"/>
                <w:sz w:val="18"/>
                <w:szCs w:val="18"/>
              </w:rPr>
            </w:pPr>
          </w:p>
        </w:tc>
      </w:tr>
      <w:tr>
        <w:tblPrEx>
          <w:tblCellMar>
            <w:top w:w="0" w:type="dxa"/>
            <w:left w:w="108" w:type="dxa"/>
            <w:bottom w:w="0" w:type="dxa"/>
            <w:right w:w="108" w:type="dxa"/>
          </w:tblCellMar>
        </w:tblPrEx>
        <w:trPr>
          <w:trHeight w:val="182" w:hRule="atLeast"/>
        </w:trPr>
        <w:tc>
          <w:tcPr>
            <w:tcW w:w="204"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1</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接入服务器</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1) 支持接入第三方卡口、电警相机或平台，并转发图片及数据给本域平台，支持根据需求进行定制开发。</w:t>
            </w:r>
            <w:r>
              <w:rPr>
                <w:rFonts w:hint="eastAsia" w:ascii="宋体" w:hAnsi="宋体" w:cs="宋体"/>
                <w:kern w:val="0"/>
                <w:sz w:val="18"/>
                <w:szCs w:val="18"/>
              </w:rPr>
              <w:br w:type="textWrapping"/>
            </w:r>
            <w:r>
              <w:rPr>
                <w:rFonts w:hint="eastAsia" w:ascii="宋体" w:hAnsi="宋体" w:cs="宋体"/>
                <w:kern w:val="0"/>
                <w:sz w:val="18"/>
                <w:szCs w:val="18"/>
              </w:rPr>
              <w:t>2) 支持将本域平台中的图片、数据上传至第三方平台，支持根据需求进行定制开发。</w:t>
            </w:r>
            <w:r>
              <w:rPr>
                <w:rFonts w:hint="eastAsia" w:ascii="宋体" w:hAnsi="宋体" w:cs="宋体"/>
                <w:kern w:val="0"/>
                <w:sz w:val="18"/>
                <w:szCs w:val="18"/>
              </w:rPr>
              <w:br w:type="textWrapping"/>
            </w:r>
            <w:r>
              <w:rPr>
                <w:rFonts w:hint="eastAsia" w:ascii="宋体" w:hAnsi="宋体" w:cs="宋体"/>
                <w:kern w:val="0"/>
                <w:sz w:val="18"/>
                <w:szCs w:val="18"/>
              </w:rPr>
              <w:t>3) 支持对接交通集成指挥平台或交警六合一平台，上传过车图片、过车数据、违法图片、违法数据等信息。</w:t>
            </w:r>
            <w:r>
              <w:rPr>
                <w:rFonts w:hint="eastAsia" w:ascii="宋体" w:hAnsi="宋体" w:cs="宋体"/>
                <w:kern w:val="0"/>
                <w:sz w:val="18"/>
                <w:szCs w:val="18"/>
              </w:rPr>
              <w:br w:type="textWrapping"/>
            </w:r>
            <w:r>
              <w:rPr>
                <w:rFonts w:hint="eastAsia" w:ascii="宋体" w:hAnsi="宋体" w:cs="宋体"/>
                <w:kern w:val="0"/>
                <w:sz w:val="18"/>
                <w:szCs w:val="18"/>
              </w:rPr>
              <w:t>4) 单设备支持接入第三方卡口、电警数量≥150个。</w:t>
            </w:r>
            <w:r>
              <w:rPr>
                <w:rFonts w:hint="eastAsia" w:ascii="宋体" w:hAnsi="宋体" w:cs="宋体"/>
                <w:kern w:val="0"/>
                <w:sz w:val="18"/>
                <w:szCs w:val="18"/>
              </w:rPr>
              <w:br w:type="textWrapping"/>
            </w:r>
            <w:r>
              <w:rPr>
                <w:rFonts w:hint="eastAsia" w:ascii="宋体" w:hAnsi="宋体" w:cs="宋体"/>
                <w:kern w:val="0"/>
                <w:sz w:val="18"/>
                <w:szCs w:val="18"/>
              </w:rPr>
              <w:t>5) 接入数据规格≥200条/秒（不含图片），或≥50条/秒（含图片，分辨率≤900W像素）。</w:t>
            </w:r>
            <w:r>
              <w:rPr>
                <w:rFonts w:hint="eastAsia" w:ascii="宋体" w:hAnsi="宋体" w:cs="宋体"/>
                <w:kern w:val="0"/>
                <w:sz w:val="18"/>
                <w:szCs w:val="18"/>
              </w:rPr>
              <w:br w:type="textWrapping"/>
            </w:r>
            <w:r>
              <w:rPr>
                <w:rFonts w:hint="eastAsia" w:ascii="宋体" w:hAnsi="宋体" w:cs="宋体"/>
                <w:kern w:val="0"/>
                <w:sz w:val="18"/>
                <w:szCs w:val="18"/>
              </w:rPr>
              <w:t>6) 内存≥16GB，硬盘≥2T，网口≥GE*2，USB接口≥2个，HDMI视频输出接口≥1个，VGA视频输出接口≥1个，高度2U。</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台</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 xml:space="preserve">3 </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widowControl/>
              <w:jc w:val="left"/>
              <w:textAlignment w:val="top"/>
              <w:rPr>
                <w:rFonts w:ascii="宋体" w:hAnsi="宋体" w:cs="宋体"/>
                <w:kern w:val="0"/>
                <w:sz w:val="18"/>
                <w:szCs w:val="18"/>
              </w:rPr>
            </w:pPr>
          </w:p>
        </w:tc>
      </w:tr>
      <w:tr>
        <w:tblPrEx>
          <w:tblCellMar>
            <w:top w:w="0" w:type="dxa"/>
            <w:left w:w="108" w:type="dxa"/>
            <w:bottom w:w="0" w:type="dxa"/>
            <w:right w:w="108" w:type="dxa"/>
          </w:tblCellMar>
        </w:tblPrEx>
        <w:trPr>
          <w:trHeight w:val="1848" w:hRule="atLeast"/>
        </w:trPr>
        <w:tc>
          <w:tcPr>
            <w:tcW w:w="204"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2</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图片转发服务器</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1) 采用Linux操作系统，支持7×24小时稳定运行，并且不易受到黑客、病毒的入侵和攻击；</w:t>
            </w:r>
            <w:r>
              <w:rPr>
                <w:rFonts w:hint="eastAsia" w:ascii="宋体" w:hAnsi="宋体" w:cs="宋体"/>
                <w:kern w:val="0"/>
                <w:sz w:val="18"/>
                <w:szCs w:val="18"/>
              </w:rPr>
              <w:br w:type="textWrapping"/>
            </w:r>
            <w:r>
              <w:rPr>
                <w:rFonts w:hint="eastAsia" w:ascii="宋体" w:hAnsi="宋体" w:cs="宋体"/>
                <w:kern w:val="0"/>
                <w:sz w:val="18"/>
                <w:szCs w:val="18"/>
              </w:rPr>
              <w:t>2) ▲交通媒体服务系统软件应具有自主知识产权，</w:t>
            </w:r>
            <w:r>
              <w:rPr>
                <w:rFonts w:hint="eastAsia" w:ascii="宋体" w:hAnsi="宋体" w:cs="宋体"/>
                <w:b/>
                <w:kern w:val="0"/>
                <w:sz w:val="18"/>
                <w:szCs w:val="18"/>
              </w:rPr>
              <w:t>提供交通媒体服务相关软件著作权登记证书为证；</w:t>
            </w:r>
            <w:r>
              <w:rPr>
                <w:rFonts w:hint="eastAsia" w:ascii="宋体" w:hAnsi="宋体" w:cs="宋体"/>
                <w:b/>
                <w:kern w:val="0"/>
                <w:sz w:val="18"/>
                <w:szCs w:val="18"/>
              </w:rPr>
              <w:br w:type="textWrapping"/>
            </w:r>
            <w:r>
              <w:rPr>
                <w:rFonts w:hint="eastAsia" w:ascii="宋体" w:hAnsi="宋体" w:cs="宋体"/>
                <w:kern w:val="0"/>
                <w:sz w:val="18"/>
                <w:szCs w:val="18"/>
              </w:rPr>
              <w:t>3) 支持图片存储、车辆信息存储，能对车辆进行精确或模糊布控；</w:t>
            </w:r>
            <w:r>
              <w:rPr>
                <w:rFonts w:hint="eastAsia" w:ascii="宋体" w:hAnsi="宋体" w:cs="宋体"/>
                <w:kern w:val="0"/>
                <w:sz w:val="18"/>
                <w:szCs w:val="18"/>
              </w:rPr>
              <w:br w:type="textWrapping"/>
            </w:r>
            <w:r>
              <w:rPr>
                <w:rFonts w:hint="eastAsia" w:ascii="宋体" w:hAnsi="宋体" w:cs="宋体"/>
                <w:kern w:val="0"/>
                <w:sz w:val="18"/>
                <w:szCs w:val="18"/>
              </w:rPr>
              <w:t>4) 支持并发多条车辆信息、照片信息；支持卡口、电警、违停球违章图片合成；车道并发转发接入能力：600万卡口/电警120个车道；</w:t>
            </w:r>
            <w:r>
              <w:rPr>
                <w:rFonts w:hint="eastAsia" w:ascii="宋体" w:hAnsi="宋体" w:cs="宋体"/>
                <w:kern w:val="0"/>
                <w:sz w:val="18"/>
                <w:szCs w:val="18"/>
              </w:rPr>
              <w:br w:type="textWrapping"/>
            </w:r>
            <w:r>
              <w:rPr>
                <w:rFonts w:hint="eastAsia" w:ascii="宋体" w:hAnsi="宋体" w:cs="宋体"/>
                <w:kern w:val="0"/>
                <w:sz w:val="18"/>
                <w:szCs w:val="18"/>
              </w:rPr>
              <w:t>5) 处理器：≥2颗至强CPU或更高；内存：≥32GB；内置硬盘容量：≥ 2T*2；标配≥2个GE电口，可扩展4个GE电口或者2个10GESFP+接口；支持双电源冗余；</w:t>
            </w:r>
            <w:r>
              <w:rPr>
                <w:rFonts w:hint="eastAsia" w:ascii="宋体" w:hAnsi="宋体" w:cs="宋体"/>
                <w:kern w:val="0"/>
                <w:sz w:val="18"/>
                <w:szCs w:val="18"/>
              </w:rPr>
              <w:br w:type="textWrapping"/>
            </w:r>
            <w:r>
              <w:rPr>
                <w:rFonts w:hint="eastAsia" w:ascii="宋体" w:hAnsi="宋体" w:cs="宋体"/>
                <w:kern w:val="0"/>
                <w:sz w:val="18"/>
                <w:szCs w:val="18"/>
              </w:rPr>
              <w:t>6) ▲通过中国质量认证中心的3C强制性产品认证</w:t>
            </w:r>
            <w:r>
              <w:rPr>
                <w:rFonts w:hint="eastAsia" w:ascii="宋体" w:hAnsi="宋体" w:cs="宋体"/>
                <w:b/>
                <w:kern w:val="0"/>
                <w:sz w:val="18"/>
                <w:szCs w:val="18"/>
              </w:rPr>
              <w:t>（提供3C认证证书为证）。</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台</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 xml:space="preserve">7 </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widowControl/>
              <w:jc w:val="left"/>
              <w:textAlignment w:val="top"/>
              <w:rPr>
                <w:rFonts w:ascii="宋体" w:hAnsi="宋体" w:cs="宋体"/>
                <w:kern w:val="0"/>
                <w:sz w:val="18"/>
                <w:szCs w:val="18"/>
              </w:rPr>
            </w:pPr>
          </w:p>
        </w:tc>
      </w:tr>
      <w:tr>
        <w:tblPrEx>
          <w:tblCellMar>
            <w:top w:w="0" w:type="dxa"/>
            <w:left w:w="108" w:type="dxa"/>
            <w:bottom w:w="0" w:type="dxa"/>
            <w:right w:w="108" w:type="dxa"/>
          </w:tblCellMar>
        </w:tblPrEx>
        <w:trPr>
          <w:trHeight w:val="542" w:hRule="atLeast"/>
        </w:trPr>
        <w:tc>
          <w:tcPr>
            <w:tcW w:w="204"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3</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存储节点</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1) ≤4U 高度，≥48盘位，可接入SATA硬盘（1/2/3/4/5/6TB）、SAS硬盘。</w:t>
            </w:r>
            <w:r>
              <w:rPr>
                <w:rFonts w:hint="eastAsia" w:ascii="宋体" w:hAnsi="宋体" w:cs="宋体"/>
                <w:kern w:val="0"/>
                <w:sz w:val="18"/>
                <w:szCs w:val="18"/>
              </w:rPr>
              <w:br w:type="textWrapping"/>
            </w:r>
            <w:r>
              <w:rPr>
                <w:rFonts w:hint="eastAsia" w:ascii="宋体" w:hAnsi="宋体" w:cs="宋体"/>
                <w:kern w:val="0"/>
                <w:sz w:val="18"/>
                <w:szCs w:val="18"/>
              </w:rPr>
              <w:t>2) 支持扩展柜，支持≥9级扩展柜；</w:t>
            </w:r>
            <w:r>
              <w:rPr>
                <w:rFonts w:hint="eastAsia" w:ascii="宋体" w:hAnsi="宋体" w:cs="宋体"/>
                <w:kern w:val="0"/>
                <w:sz w:val="18"/>
                <w:szCs w:val="18"/>
              </w:rPr>
              <w:br w:type="textWrapping"/>
            </w:r>
            <w:r>
              <w:rPr>
                <w:rFonts w:hint="eastAsia" w:ascii="宋体" w:hAnsi="宋体" w:cs="宋体"/>
                <w:kern w:val="0"/>
                <w:sz w:val="18"/>
                <w:szCs w:val="18"/>
              </w:rPr>
              <w:t>3) ▲具有PCIE插槽，可接入4端口万兆以太网卡或4端口千兆以太网卡或2端口SAS3.0卡，</w:t>
            </w:r>
            <w:r>
              <w:rPr>
                <w:rFonts w:hint="eastAsia" w:ascii="宋体" w:hAnsi="宋体" w:cs="宋体"/>
                <w:b/>
                <w:kern w:val="0"/>
                <w:sz w:val="18"/>
                <w:szCs w:val="18"/>
              </w:rPr>
              <w:t>提供公安部型式检验报告并加盖公章为证；</w:t>
            </w:r>
            <w:r>
              <w:rPr>
                <w:rFonts w:hint="eastAsia" w:ascii="宋体" w:hAnsi="宋体" w:cs="宋体"/>
                <w:kern w:val="0"/>
                <w:sz w:val="18"/>
                <w:szCs w:val="18"/>
              </w:rPr>
              <w:br w:type="textWrapping"/>
            </w:r>
            <w:r>
              <w:rPr>
                <w:rFonts w:hint="eastAsia" w:ascii="宋体" w:hAnsi="宋体" w:cs="宋体"/>
                <w:kern w:val="0"/>
                <w:sz w:val="18"/>
                <w:szCs w:val="18"/>
              </w:rPr>
              <w:t>4) 存储性能可在写入384路4Mbps视频流的同时，读取384路4Mbps视频流。</w:t>
            </w:r>
            <w:r>
              <w:rPr>
                <w:rFonts w:hint="eastAsia" w:ascii="宋体" w:hAnsi="宋体" w:cs="宋体"/>
                <w:kern w:val="0"/>
                <w:sz w:val="18"/>
                <w:szCs w:val="18"/>
              </w:rPr>
              <w:br w:type="textWrapping"/>
            </w:r>
            <w:r>
              <w:rPr>
                <w:rFonts w:hint="eastAsia" w:ascii="宋体" w:hAnsi="宋体" w:cs="宋体"/>
                <w:kern w:val="0"/>
                <w:sz w:val="18"/>
                <w:szCs w:val="18"/>
              </w:rPr>
              <w:t>5) 支持JBOD、RAID 0、5、6，即插即用，无需等待。支持自动空白盘全局热备、专有热备等多种热备方式。</w:t>
            </w:r>
            <w:r>
              <w:rPr>
                <w:rFonts w:hint="eastAsia" w:ascii="宋体" w:hAnsi="宋体" w:cs="宋体"/>
                <w:kern w:val="0"/>
                <w:sz w:val="18"/>
                <w:szCs w:val="18"/>
              </w:rPr>
              <w:br w:type="textWrapping"/>
            </w:r>
            <w:r>
              <w:rPr>
                <w:rFonts w:hint="eastAsia" w:ascii="宋体" w:hAnsi="宋体" w:cs="宋体"/>
                <w:kern w:val="0"/>
                <w:sz w:val="18"/>
                <w:szCs w:val="18"/>
              </w:rPr>
              <w:t>6) 具备图形化管理方式和命令行管理方式及多设备集中监控管理工具对设备进行管理。</w:t>
            </w:r>
            <w:r>
              <w:rPr>
                <w:rFonts w:hint="eastAsia" w:ascii="宋体" w:hAnsi="宋体" w:cs="宋体"/>
                <w:kern w:val="0"/>
                <w:sz w:val="18"/>
                <w:szCs w:val="18"/>
              </w:rPr>
              <w:br w:type="textWrapping"/>
            </w:r>
            <w:r>
              <w:rPr>
                <w:rFonts w:hint="eastAsia" w:ascii="宋体" w:hAnsi="宋体" w:cs="宋体"/>
                <w:kern w:val="0"/>
                <w:sz w:val="18"/>
                <w:szCs w:val="18"/>
              </w:rPr>
              <w:t>7) 提供双电源，双风扇，双BIOS模块冗余，支持电源、风扇、电池的热插拔。</w:t>
            </w:r>
            <w:r>
              <w:rPr>
                <w:rFonts w:hint="eastAsia" w:ascii="宋体" w:hAnsi="宋体" w:cs="宋体"/>
                <w:kern w:val="0"/>
                <w:sz w:val="18"/>
                <w:szCs w:val="18"/>
              </w:rPr>
              <w:br w:type="textWrapping"/>
            </w:r>
            <w:r>
              <w:rPr>
                <w:rFonts w:hint="eastAsia" w:ascii="宋体" w:hAnsi="宋体" w:cs="宋体"/>
                <w:kern w:val="0"/>
                <w:sz w:val="18"/>
                <w:szCs w:val="18"/>
              </w:rPr>
              <w:t>8) 支持NFS、CIFS、FTP和HTTP接口方式。</w:t>
            </w:r>
            <w:r>
              <w:rPr>
                <w:rFonts w:hint="eastAsia" w:ascii="宋体" w:hAnsi="宋体" w:cs="宋体"/>
                <w:kern w:val="0"/>
                <w:sz w:val="18"/>
                <w:szCs w:val="18"/>
              </w:rPr>
              <w:br w:type="textWrapping"/>
            </w:r>
            <w:r>
              <w:rPr>
                <w:rFonts w:hint="eastAsia" w:ascii="宋体" w:hAnsi="宋体" w:cs="宋体"/>
                <w:kern w:val="0"/>
                <w:sz w:val="18"/>
                <w:szCs w:val="18"/>
              </w:rPr>
              <w:t>9) ▲具备数据直存功能，无流媒体服务器，可将视频流直接写入存储，</w:t>
            </w:r>
            <w:r>
              <w:rPr>
                <w:rFonts w:hint="eastAsia" w:ascii="宋体" w:hAnsi="宋体" w:cs="宋体"/>
                <w:b/>
                <w:kern w:val="0"/>
                <w:sz w:val="18"/>
                <w:szCs w:val="18"/>
              </w:rPr>
              <w:t>提供公安部型式检验报告并加盖公章为证。</w:t>
            </w:r>
            <w:r>
              <w:rPr>
                <w:rFonts w:hint="eastAsia" w:ascii="宋体" w:hAnsi="宋体" w:cs="宋体"/>
                <w:b/>
                <w:kern w:val="0"/>
                <w:sz w:val="18"/>
                <w:szCs w:val="18"/>
              </w:rPr>
              <w:br w:type="textWrapping"/>
            </w:r>
            <w:r>
              <w:rPr>
                <w:rFonts w:hint="eastAsia" w:ascii="宋体" w:hAnsi="宋体" w:cs="宋体"/>
                <w:kern w:val="0"/>
                <w:sz w:val="18"/>
                <w:szCs w:val="18"/>
              </w:rPr>
              <w:t>10) ▲具备数据保护功能，异常掉电后存储在缓存中的数据应不丢失，可通过数码管显示缓存数据的保存进度，可查看断电前1s的视频录像，</w:t>
            </w:r>
            <w:r>
              <w:rPr>
                <w:rFonts w:hint="eastAsia" w:ascii="宋体" w:hAnsi="宋体" w:cs="宋体"/>
                <w:b/>
                <w:kern w:val="0"/>
                <w:sz w:val="18"/>
                <w:szCs w:val="18"/>
              </w:rPr>
              <w:t>提供公安部型式检验报告并加盖公章为证。</w:t>
            </w:r>
            <w:r>
              <w:rPr>
                <w:rFonts w:hint="eastAsia" w:ascii="宋体" w:hAnsi="宋体" w:cs="宋体"/>
                <w:b/>
                <w:kern w:val="0"/>
                <w:sz w:val="18"/>
                <w:szCs w:val="18"/>
              </w:rPr>
              <w:br w:type="textWrapping"/>
            </w:r>
            <w:r>
              <w:rPr>
                <w:rFonts w:hint="eastAsia" w:ascii="宋体" w:hAnsi="宋体" w:cs="宋体"/>
                <w:kern w:val="0"/>
                <w:sz w:val="18"/>
                <w:szCs w:val="18"/>
              </w:rPr>
              <w:t>11) 支持JBOD、RAID0、1、10、5、6、50。</w:t>
            </w:r>
            <w:r>
              <w:rPr>
                <w:rFonts w:hint="eastAsia" w:ascii="宋体" w:hAnsi="宋体" w:cs="宋体"/>
                <w:kern w:val="0"/>
                <w:sz w:val="18"/>
                <w:szCs w:val="18"/>
              </w:rPr>
              <w:br w:type="textWrapping"/>
            </w:r>
            <w:r>
              <w:rPr>
                <w:rFonts w:hint="eastAsia" w:ascii="宋体" w:hAnsi="宋体" w:cs="宋体"/>
                <w:kern w:val="0"/>
                <w:sz w:val="18"/>
                <w:szCs w:val="18"/>
              </w:rPr>
              <w:t>12) 当RAID阵列出现故障失效时，RAID阵列中的录像可进行回放。</w:t>
            </w:r>
            <w:r>
              <w:rPr>
                <w:rFonts w:hint="eastAsia" w:ascii="宋体" w:hAnsi="宋体" w:cs="宋体"/>
                <w:kern w:val="0"/>
                <w:sz w:val="18"/>
                <w:szCs w:val="18"/>
              </w:rPr>
              <w:br w:type="textWrapping"/>
            </w:r>
            <w:r>
              <w:rPr>
                <w:rFonts w:hint="eastAsia" w:ascii="宋体" w:hAnsi="宋体" w:cs="宋体"/>
                <w:kern w:val="0"/>
                <w:sz w:val="18"/>
                <w:szCs w:val="18"/>
              </w:rPr>
              <w:t>13) ▲可通过客户端管理软件图形化显示磁盘状态、RAID状态、RAID容量使用状态、系统CPU、内存、每网口带宽使用率、当前系统中LV（逻辑卷）资源的读写流量信息、CPU/主板温度、CPU风扇状态、BBU电池状态、电源状态、系统风扇状态、系统指示灯、告警指示灯、数码管、PCIE插槽状态、持BBU电池使用时间、系统风扇转速等。</w:t>
            </w:r>
            <w:r>
              <w:rPr>
                <w:rFonts w:hint="eastAsia" w:ascii="宋体" w:hAnsi="宋体" w:cs="宋体"/>
                <w:b/>
                <w:kern w:val="0"/>
                <w:sz w:val="18"/>
                <w:szCs w:val="18"/>
              </w:rPr>
              <w:t>提供公安部型式检验报告并加盖公章为证。</w:t>
            </w:r>
            <w:r>
              <w:rPr>
                <w:rFonts w:hint="eastAsia" w:ascii="宋体" w:hAnsi="宋体" w:cs="宋体"/>
                <w:b/>
                <w:kern w:val="0"/>
                <w:sz w:val="18"/>
                <w:szCs w:val="18"/>
              </w:rPr>
              <w:br w:type="textWrapping"/>
            </w:r>
            <w:r>
              <w:rPr>
                <w:rFonts w:hint="eastAsia" w:ascii="宋体" w:hAnsi="宋体" w:cs="宋体"/>
                <w:kern w:val="0"/>
                <w:sz w:val="18"/>
                <w:szCs w:val="18"/>
              </w:rPr>
              <w:t>14) ▲具备数码管、指示灯、蜂鸣器告警、邮件告警、SNMP Trap、短信等告警方式对IP冲突、网口降速、电源故障、风扇故障、电池故障及RAID故障、磁盘故障、降级RAID无热备盘进行告警。</w:t>
            </w:r>
            <w:r>
              <w:rPr>
                <w:rFonts w:hint="eastAsia" w:ascii="宋体" w:hAnsi="宋体" w:cs="宋体"/>
                <w:b/>
                <w:kern w:val="0"/>
                <w:sz w:val="18"/>
                <w:szCs w:val="18"/>
              </w:rPr>
              <w:t>提供公安部型式检验报告并加盖公章为证。</w:t>
            </w:r>
            <w:r>
              <w:rPr>
                <w:rFonts w:hint="eastAsia" w:ascii="宋体" w:hAnsi="宋体" w:cs="宋体"/>
                <w:b/>
                <w:kern w:val="0"/>
                <w:sz w:val="18"/>
                <w:szCs w:val="18"/>
              </w:rPr>
              <w:br w:type="textWrapping"/>
            </w:r>
            <w:r>
              <w:rPr>
                <w:rFonts w:hint="eastAsia" w:ascii="宋体" w:hAnsi="宋体" w:cs="宋体"/>
                <w:kern w:val="0"/>
                <w:sz w:val="18"/>
                <w:szCs w:val="18"/>
              </w:rPr>
              <w:t>15) ▲具备N+M集群管理功能，某台主机发生故障时，备用主机可替换记录录像，故障恢复后，可将录像回传。</w:t>
            </w:r>
            <w:r>
              <w:rPr>
                <w:rFonts w:hint="eastAsia" w:ascii="宋体" w:hAnsi="宋体" w:cs="宋体"/>
                <w:b/>
                <w:kern w:val="0"/>
                <w:sz w:val="18"/>
                <w:szCs w:val="18"/>
              </w:rPr>
              <w:t>提供公安部型式检验报告并加盖公章为证。</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台</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 xml:space="preserve">10 </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widowControl/>
              <w:jc w:val="left"/>
              <w:textAlignment w:val="top"/>
              <w:rPr>
                <w:rFonts w:ascii="宋体" w:hAnsi="宋体" w:cs="宋体"/>
                <w:kern w:val="0"/>
                <w:sz w:val="18"/>
                <w:szCs w:val="18"/>
              </w:rPr>
            </w:pPr>
          </w:p>
        </w:tc>
      </w:tr>
      <w:tr>
        <w:tblPrEx>
          <w:tblCellMar>
            <w:top w:w="0" w:type="dxa"/>
            <w:left w:w="108" w:type="dxa"/>
            <w:bottom w:w="0" w:type="dxa"/>
            <w:right w:w="108" w:type="dxa"/>
          </w:tblCellMar>
        </w:tblPrEx>
        <w:trPr>
          <w:trHeight w:val="528" w:hRule="atLeast"/>
        </w:trPr>
        <w:tc>
          <w:tcPr>
            <w:tcW w:w="204"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4</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硬盘4T</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1.高端云存储企业级硬盘4TB,</w:t>
            </w:r>
            <w:r>
              <w:rPr>
                <w:rFonts w:hint="eastAsia" w:ascii="宋体" w:hAnsi="宋体" w:cs="宋体"/>
                <w:kern w:val="0"/>
                <w:sz w:val="18"/>
                <w:szCs w:val="18"/>
              </w:rPr>
              <w:br w:type="textWrapping"/>
            </w:r>
            <w:r>
              <w:rPr>
                <w:rFonts w:hint="eastAsia" w:ascii="宋体" w:hAnsi="宋体" w:cs="宋体"/>
                <w:kern w:val="0"/>
                <w:sz w:val="18"/>
                <w:szCs w:val="18"/>
              </w:rPr>
              <w:t>2.具备硬盘防硫化和防腐蚀保护技术，硬盘防震保护技术，每2块硬盘为一托架</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块</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 xml:space="preserve">480 </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widowControl/>
              <w:jc w:val="left"/>
              <w:textAlignment w:val="top"/>
              <w:rPr>
                <w:rFonts w:ascii="宋体" w:hAnsi="宋体" w:cs="宋体"/>
                <w:kern w:val="0"/>
                <w:sz w:val="18"/>
                <w:szCs w:val="18"/>
              </w:rPr>
            </w:pPr>
          </w:p>
        </w:tc>
      </w:tr>
      <w:tr>
        <w:tblPrEx>
          <w:tblCellMar>
            <w:top w:w="0" w:type="dxa"/>
            <w:left w:w="108" w:type="dxa"/>
            <w:bottom w:w="0" w:type="dxa"/>
            <w:right w:w="108" w:type="dxa"/>
          </w:tblCellMar>
        </w:tblPrEx>
        <w:trPr>
          <w:trHeight w:val="528" w:hRule="atLeast"/>
        </w:trPr>
        <w:tc>
          <w:tcPr>
            <w:tcW w:w="204"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5</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前端摄像机接入授权</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含160路前端摄像机接入License</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套</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1</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widowControl/>
              <w:jc w:val="left"/>
              <w:textAlignment w:val="top"/>
              <w:rPr>
                <w:rFonts w:ascii="宋体" w:hAnsi="宋体" w:cs="宋体"/>
                <w:kern w:val="0"/>
                <w:sz w:val="18"/>
                <w:szCs w:val="18"/>
              </w:rPr>
            </w:pPr>
          </w:p>
        </w:tc>
      </w:tr>
      <w:tr>
        <w:tblPrEx>
          <w:tblCellMar>
            <w:top w:w="0" w:type="dxa"/>
            <w:left w:w="108" w:type="dxa"/>
            <w:bottom w:w="0" w:type="dxa"/>
            <w:right w:w="108" w:type="dxa"/>
          </w:tblCellMar>
        </w:tblPrEx>
        <w:trPr>
          <w:trHeight w:val="528" w:hRule="atLeast"/>
        </w:trPr>
        <w:tc>
          <w:tcPr>
            <w:tcW w:w="204"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6</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存储节点接入授权</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含10台存储节点接入License</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套</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1</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widowControl/>
              <w:jc w:val="left"/>
              <w:textAlignment w:val="top"/>
              <w:rPr>
                <w:rFonts w:ascii="宋体" w:hAnsi="宋体" w:cs="宋体"/>
                <w:kern w:val="0"/>
                <w:sz w:val="18"/>
                <w:szCs w:val="18"/>
              </w:rPr>
            </w:pPr>
          </w:p>
        </w:tc>
      </w:tr>
      <w:tr>
        <w:tblPrEx>
          <w:tblCellMar>
            <w:top w:w="0" w:type="dxa"/>
            <w:left w:w="108" w:type="dxa"/>
            <w:bottom w:w="0" w:type="dxa"/>
            <w:right w:w="108" w:type="dxa"/>
          </w:tblCellMar>
        </w:tblPrEx>
        <w:trPr>
          <w:trHeight w:val="400" w:hRule="atLeast"/>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top"/>
              <w:rPr>
                <w:rFonts w:ascii="宋体" w:hAnsi="宋体" w:cs="宋体"/>
                <w:kern w:val="0"/>
                <w:sz w:val="18"/>
                <w:szCs w:val="18"/>
              </w:rPr>
            </w:pPr>
            <w:r>
              <w:rPr>
                <w:rFonts w:hint="eastAsia" w:ascii="宋体" w:hAnsi="宋体" w:cs="宋体"/>
                <w:kern w:val="0"/>
                <w:sz w:val="18"/>
                <w:szCs w:val="18"/>
              </w:rPr>
              <w:t>七、网路、电路报装</w:t>
            </w:r>
          </w:p>
        </w:tc>
      </w:tr>
      <w:tr>
        <w:tblPrEx>
          <w:tblCellMar>
            <w:top w:w="0" w:type="dxa"/>
            <w:left w:w="108" w:type="dxa"/>
            <w:bottom w:w="0" w:type="dxa"/>
            <w:right w:w="108" w:type="dxa"/>
          </w:tblCellMar>
        </w:tblPrEx>
        <w:trPr>
          <w:trHeight w:val="264" w:hRule="atLeast"/>
        </w:trPr>
        <w:tc>
          <w:tcPr>
            <w:tcW w:w="204"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1</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供电报装</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1.供电报装费用</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项</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 xml:space="preserve">11 </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widowControl/>
              <w:jc w:val="left"/>
              <w:textAlignment w:val="top"/>
              <w:rPr>
                <w:rFonts w:ascii="宋体" w:hAnsi="宋体" w:cs="宋体"/>
                <w:kern w:val="0"/>
                <w:sz w:val="18"/>
                <w:szCs w:val="18"/>
              </w:rPr>
            </w:pPr>
          </w:p>
        </w:tc>
      </w:tr>
      <w:tr>
        <w:tblPrEx>
          <w:tblCellMar>
            <w:top w:w="0" w:type="dxa"/>
            <w:left w:w="108" w:type="dxa"/>
            <w:bottom w:w="0" w:type="dxa"/>
            <w:right w:w="108" w:type="dxa"/>
          </w:tblCellMar>
        </w:tblPrEx>
        <w:trPr>
          <w:trHeight w:val="264" w:hRule="atLeast"/>
        </w:trPr>
        <w:tc>
          <w:tcPr>
            <w:tcW w:w="204"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2</w:t>
            </w:r>
          </w:p>
        </w:tc>
        <w:tc>
          <w:tcPr>
            <w:tcW w:w="50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通讯报装</w:t>
            </w:r>
          </w:p>
        </w:tc>
        <w:tc>
          <w:tcPr>
            <w:tcW w:w="3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1.通讯报装费用</w:t>
            </w:r>
          </w:p>
        </w:tc>
        <w:tc>
          <w:tcPr>
            <w:tcW w:w="2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项</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top"/>
              <w:rPr>
                <w:rFonts w:ascii="宋体" w:hAnsi="宋体" w:cs="宋体"/>
                <w:kern w:val="0"/>
                <w:sz w:val="18"/>
                <w:szCs w:val="18"/>
              </w:rPr>
            </w:pPr>
            <w:r>
              <w:rPr>
                <w:rFonts w:hint="eastAsia" w:ascii="宋体" w:hAnsi="宋体" w:cs="宋体"/>
                <w:kern w:val="0"/>
                <w:sz w:val="18"/>
                <w:szCs w:val="18"/>
              </w:rPr>
              <w:t xml:space="preserve">14 </w:t>
            </w:r>
          </w:p>
        </w:tc>
        <w:tc>
          <w:tcPr>
            <w:tcW w:w="330" w:type="pct"/>
            <w:tcBorders>
              <w:top w:val="single" w:color="000000" w:sz="4" w:space="0"/>
              <w:left w:val="single" w:color="000000" w:sz="4" w:space="0"/>
              <w:bottom w:val="single" w:color="000000" w:sz="4" w:space="0"/>
              <w:right w:val="single" w:color="000000" w:sz="4" w:space="0"/>
            </w:tcBorders>
            <w:shd w:val="clear" w:color="auto" w:fill="FFFFFF"/>
            <w:vAlign w:val="bottom"/>
          </w:tcPr>
          <w:p>
            <w:pPr>
              <w:widowControl/>
              <w:jc w:val="left"/>
              <w:textAlignment w:val="top"/>
              <w:rPr>
                <w:rFonts w:ascii="宋体" w:hAnsi="宋体" w:cs="宋体"/>
                <w:kern w:val="0"/>
                <w:sz w:val="18"/>
                <w:szCs w:val="18"/>
              </w:rPr>
            </w:pPr>
          </w:p>
        </w:tc>
      </w:tr>
    </w:tbl>
    <w:p>
      <w:pPr>
        <w:rPr>
          <w:b/>
          <w:sz w:val="24"/>
          <w:szCs w:val="24"/>
        </w:rPr>
      </w:pPr>
      <w:bookmarkStart w:id="46" w:name="_Toc106268615"/>
    </w:p>
    <w:p>
      <w:pPr>
        <w:rPr>
          <w:b/>
          <w:sz w:val="24"/>
          <w:szCs w:val="24"/>
        </w:rPr>
      </w:pPr>
      <w:r>
        <w:rPr>
          <w:rFonts w:hint="eastAsia"/>
          <w:b/>
          <w:sz w:val="24"/>
          <w:szCs w:val="24"/>
        </w:rPr>
        <w:t>二标段：</w:t>
      </w:r>
    </w:p>
    <w:p>
      <w:pPr>
        <w:pStyle w:val="2"/>
      </w:pPr>
      <w:r>
        <w:object>
          <v:shape id="_x0000_i1025" o:spt="75" type="#_x0000_t75" style="height:29.45pt;width:147.15pt;" o:ole="t" filled="f" o:preferrelative="t" stroked="f" coordsize="21600,21600">
            <v:path/>
            <v:fill on="f" focussize="0,0"/>
            <v:stroke on="f" joinstyle="miter"/>
            <v:imagedata r:id="rId8" o:title=""/>
            <o:lock v:ext="edit" aspectratio="t"/>
            <w10:wrap type="none"/>
            <w10:anchorlock/>
          </v:shape>
          <o:OLEObject Type="Embed" ProgID="Package" ShapeID="_x0000_i1025" DrawAspect="Content" ObjectID="_1468075725" r:id="rId7">
            <o:LockedField>false</o:LockedField>
          </o:OLEObject>
        </w:object>
      </w:r>
    </w:p>
    <w:p>
      <w:pPr>
        <w:pStyle w:val="4"/>
        <w:spacing w:line="220" w:lineRule="exact"/>
      </w:pPr>
      <w:r>
        <w:rPr>
          <w:rFonts w:hint="eastAsia"/>
        </w:rPr>
        <w:t>四、商务要求</w:t>
      </w:r>
      <w:bookmarkEnd w:id="46"/>
    </w:p>
    <w:p>
      <w:pPr>
        <w:rPr>
          <w:b/>
          <w:sz w:val="24"/>
          <w:szCs w:val="24"/>
        </w:rPr>
      </w:pPr>
      <w:r>
        <w:rPr>
          <w:rFonts w:hint="eastAsia"/>
          <w:b/>
          <w:sz w:val="24"/>
          <w:szCs w:val="24"/>
        </w:rPr>
        <w:t>一标段：</w:t>
      </w:r>
    </w:p>
    <w:p>
      <w:pPr>
        <w:spacing w:line="360" w:lineRule="auto"/>
        <w:ind w:firstLine="420"/>
        <w:rPr>
          <w:rFonts w:ascii="宋体" w:hAnsi="宋体"/>
          <w:bCs/>
          <w:color w:val="0D0D0D"/>
          <w:sz w:val="24"/>
          <w:szCs w:val="20"/>
          <w:lang w:val="zh-CN"/>
        </w:rPr>
      </w:pPr>
      <w:r>
        <w:rPr>
          <w:rFonts w:ascii="宋体" w:hAnsi="宋体"/>
          <w:bCs/>
          <w:color w:val="0D0D0D"/>
          <w:sz w:val="24"/>
          <w:szCs w:val="20"/>
          <w:lang w:val="zh-CN"/>
        </w:rPr>
        <w:t xml:space="preserve">1 </w:t>
      </w:r>
      <w:r>
        <w:rPr>
          <w:rFonts w:hint="eastAsia" w:ascii="宋体" w:hAnsi="宋体"/>
          <w:bCs/>
          <w:color w:val="0D0D0D"/>
          <w:sz w:val="24"/>
          <w:szCs w:val="20"/>
          <w:lang w:val="zh-CN"/>
        </w:rPr>
        <w:t>、交货期：</w:t>
      </w:r>
      <w:r>
        <w:rPr>
          <w:rFonts w:hint="eastAsia" w:ascii="宋体" w:hAnsi="宋体"/>
          <w:bCs/>
          <w:color w:val="0000FF"/>
          <w:sz w:val="24"/>
          <w:szCs w:val="20"/>
          <w:lang w:val="zh-CN"/>
        </w:rPr>
        <w:t>合同签订后</w:t>
      </w:r>
      <w:r>
        <w:rPr>
          <w:rFonts w:hint="eastAsia" w:ascii="宋体" w:hAnsi="宋体"/>
          <w:bCs/>
          <w:color w:val="0000FF"/>
          <w:sz w:val="24"/>
          <w:szCs w:val="20"/>
        </w:rPr>
        <w:t>180</w:t>
      </w:r>
      <w:r>
        <w:rPr>
          <w:rFonts w:ascii="宋体" w:hAnsi="宋体"/>
          <w:bCs/>
          <w:color w:val="0000FF"/>
          <w:sz w:val="24"/>
          <w:szCs w:val="20"/>
          <w:lang w:val="zh-CN"/>
        </w:rPr>
        <w:t xml:space="preserve"> 日内调试验收</w:t>
      </w:r>
    </w:p>
    <w:p>
      <w:pPr>
        <w:spacing w:line="360" w:lineRule="auto"/>
        <w:ind w:firstLine="420"/>
        <w:rPr>
          <w:rFonts w:ascii="宋体" w:hAnsi="宋体"/>
          <w:bCs/>
          <w:color w:val="0D0D0D"/>
          <w:sz w:val="24"/>
          <w:szCs w:val="20"/>
          <w:lang w:val="zh-CN"/>
        </w:rPr>
      </w:pPr>
      <w:r>
        <w:rPr>
          <w:rFonts w:ascii="宋体" w:hAnsi="宋体"/>
          <w:bCs/>
          <w:color w:val="0D0D0D"/>
          <w:sz w:val="24"/>
          <w:szCs w:val="20"/>
          <w:lang w:val="zh-CN"/>
        </w:rPr>
        <w:t xml:space="preserve">2 </w:t>
      </w:r>
      <w:r>
        <w:rPr>
          <w:rFonts w:hint="eastAsia" w:ascii="宋体" w:hAnsi="宋体"/>
          <w:bCs/>
          <w:color w:val="0D0D0D"/>
          <w:sz w:val="24"/>
          <w:szCs w:val="20"/>
          <w:lang w:val="zh-CN"/>
        </w:rPr>
        <w:t>、交货地点：</w:t>
      </w:r>
      <w:r>
        <w:rPr>
          <w:rFonts w:hint="eastAsia" w:ascii="宋体" w:hAnsi="宋体"/>
          <w:bCs/>
          <w:color w:val="0000FF"/>
          <w:sz w:val="24"/>
          <w:szCs w:val="20"/>
          <w:lang w:val="zh-CN"/>
        </w:rPr>
        <w:t>阳新县公安局交通警察大队。</w:t>
      </w:r>
    </w:p>
    <w:p>
      <w:pPr>
        <w:spacing w:line="360" w:lineRule="auto"/>
        <w:ind w:firstLine="420"/>
        <w:rPr>
          <w:rFonts w:ascii="宋体" w:hAnsi="宋体"/>
          <w:bCs/>
          <w:color w:val="0D0D0D"/>
          <w:sz w:val="24"/>
          <w:szCs w:val="20"/>
          <w:lang w:val="zh-CN"/>
        </w:rPr>
      </w:pPr>
      <w:r>
        <w:rPr>
          <w:rFonts w:ascii="宋体" w:hAnsi="宋体"/>
          <w:bCs/>
          <w:color w:val="0D0D0D"/>
          <w:sz w:val="24"/>
          <w:szCs w:val="20"/>
          <w:lang w:val="zh-CN"/>
        </w:rPr>
        <w:t xml:space="preserve">3 </w:t>
      </w:r>
      <w:r>
        <w:rPr>
          <w:rFonts w:hint="eastAsia" w:ascii="宋体" w:hAnsi="宋体"/>
          <w:bCs/>
          <w:color w:val="0D0D0D"/>
          <w:sz w:val="24"/>
          <w:szCs w:val="20"/>
          <w:lang w:val="zh-CN"/>
        </w:rPr>
        <w:t>、质保期：</w:t>
      </w:r>
      <w:r>
        <w:rPr>
          <w:rFonts w:ascii="宋体" w:hAnsi="宋体"/>
          <w:bCs/>
          <w:color w:val="0D0D0D"/>
          <w:sz w:val="24"/>
          <w:szCs w:val="20"/>
          <w:lang w:val="zh-CN"/>
        </w:rPr>
        <w:t xml:space="preserve"> 3 </w:t>
      </w:r>
      <w:r>
        <w:rPr>
          <w:rFonts w:hint="eastAsia" w:ascii="宋体" w:hAnsi="宋体"/>
          <w:bCs/>
          <w:color w:val="0D0D0D"/>
          <w:sz w:val="24"/>
          <w:szCs w:val="20"/>
          <w:lang w:val="zh-CN"/>
        </w:rPr>
        <w:t>年</w:t>
      </w:r>
    </w:p>
    <w:p>
      <w:pPr>
        <w:spacing w:line="360" w:lineRule="auto"/>
        <w:ind w:firstLine="420"/>
        <w:rPr>
          <w:rFonts w:ascii="宋体" w:hAnsi="宋体"/>
          <w:bCs/>
          <w:color w:val="0D0D0D"/>
          <w:sz w:val="24"/>
          <w:szCs w:val="20"/>
          <w:lang w:val="zh-CN"/>
        </w:rPr>
      </w:pPr>
      <w:r>
        <w:rPr>
          <w:rFonts w:ascii="宋体" w:hAnsi="宋体"/>
          <w:bCs/>
          <w:color w:val="0D0D0D"/>
          <w:sz w:val="24"/>
          <w:szCs w:val="20"/>
          <w:lang w:val="zh-CN"/>
        </w:rPr>
        <w:t>4 、</w:t>
      </w:r>
      <w:r>
        <w:rPr>
          <w:rFonts w:hint="eastAsia" w:ascii="宋体" w:hAnsi="宋体"/>
          <w:bCs/>
          <w:color w:val="0D0D0D"/>
          <w:sz w:val="24"/>
          <w:szCs w:val="20"/>
          <w:lang w:val="zh-CN"/>
        </w:rPr>
        <w:t>投标人自</w:t>
      </w:r>
      <w:r>
        <w:rPr>
          <w:rFonts w:hint="eastAsia" w:ascii="宋体" w:hAnsi="宋体"/>
          <w:bCs/>
          <w:color w:val="0D0D0D"/>
          <w:sz w:val="24"/>
          <w:szCs w:val="20"/>
        </w:rPr>
        <w:t>行</w:t>
      </w:r>
      <w:r>
        <w:rPr>
          <w:rFonts w:hint="eastAsia" w:ascii="宋体" w:hAnsi="宋体"/>
          <w:bCs/>
          <w:color w:val="0D0D0D"/>
          <w:sz w:val="24"/>
          <w:szCs w:val="20"/>
          <w:lang w:val="zh-CN"/>
        </w:rPr>
        <w:t>踏勘现场，费用自理。投标人负责设计、制作投标方案、安装调试方案。</w:t>
      </w:r>
    </w:p>
    <w:p>
      <w:pPr>
        <w:spacing w:line="360" w:lineRule="auto"/>
        <w:ind w:firstLine="420"/>
        <w:rPr>
          <w:rFonts w:ascii="宋体" w:hAnsi="宋体"/>
          <w:bCs/>
          <w:color w:val="0D0D0D"/>
          <w:sz w:val="24"/>
          <w:szCs w:val="20"/>
          <w:lang w:val="zh-CN"/>
        </w:rPr>
      </w:pPr>
      <w:r>
        <w:rPr>
          <w:rFonts w:hint="eastAsia" w:ascii="宋体" w:hAnsi="宋体"/>
          <w:bCs/>
          <w:color w:val="0D0D0D"/>
          <w:sz w:val="24"/>
          <w:szCs w:val="20"/>
        </w:rPr>
        <w:t>5、</w:t>
      </w:r>
      <w:r>
        <w:rPr>
          <w:rFonts w:hint="eastAsia" w:ascii="宋体" w:hAnsi="宋体"/>
          <w:bCs/>
          <w:color w:val="0D0D0D"/>
          <w:sz w:val="24"/>
          <w:szCs w:val="20"/>
          <w:lang w:val="zh-CN"/>
        </w:rPr>
        <w:t>售后服务及培训方案： 质保期内，产品出现任何故障，成交供应商应在 30分钟内响应，1个小时内到达现场，2 个小时</w:t>
      </w:r>
      <w:r>
        <w:rPr>
          <w:rFonts w:hint="eastAsia" w:ascii="宋体" w:hAnsi="宋体"/>
          <w:bCs/>
          <w:color w:val="0D0D0D"/>
          <w:sz w:val="24"/>
          <w:szCs w:val="20"/>
        </w:rPr>
        <w:t>内</w:t>
      </w:r>
      <w:r>
        <w:rPr>
          <w:rFonts w:hint="eastAsia" w:ascii="宋体" w:hAnsi="宋体"/>
          <w:bCs/>
          <w:color w:val="0D0D0D"/>
          <w:sz w:val="24"/>
          <w:szCs w:val="20"/>
          <w:lang w:val="zh-CN"/>
        </w:rPr>
        <w:t>维修到位，若不能及时排除故障时必须提供备用设备，需提供售后服务方案书。</w:t>
      </w:r>
    </w:p>
    <w:p>
      <w:pPr>
        <w:spacing w:line="360" w:lineRule="auto"/>
        <w:ind w:firstLine="420"/>
        <w:rPr>
          <w:rFonts w:ascii="宋体" w:hAnsi="宋体"/>
          <w:bCs/>
          <w:color w:val="0D0D0D"/>
          <w:sz w:val="24"/>
          <w:szCs w:val="20"/>
          <w:lang w:val="zh-CN"/>
        </w:rPr>
      </w:pPr>
      <w:r>
        <w:rPr>
          <w:rFonts w:hint="eastAsia" w:ascii="宋体" w:hAnsi="宋体"/>
          <w:bCs/>
          <w:color w:val="0D0D0D"/>
          <w:sz w:val="24"/>
          <w:szCs w:val="20"/>
        </w:rPr>
        <w:t>6</w:t>
      </w:r>
      <w:r>
        <w:rPr>
          <w:rFonts w:ascii="宋体" w:hAnsi="宋体"/>
          <w:bCs/>
          <w:color w:val="0D0D0D"/>
          <w:sz w:val="24"/>
          <w:szCs w:val="20"/>
          <w:lang w:val="zh-CN"/>
        </w:rPr>
        <w:t>、付款方式：</w:t>
      </w:r>
      <w:r>
        <w:rPr>
          <w:rFonts w:hint="eastAsia" w:ascii="宋体" w:hAnsi="宋体"/>
          <w:bCs/>
          <w:color w:val="0D0D0D"/>
          <w:sz w:val="24"/>
          <w:szCs w:val="20"/>
          <w:lang w:val="zh-CN"/>
        </w:rPr>
        <w:t>详见合同，以具体条款为准</w:t>
      </w:r>
    </w:p>
    <w:p>
      <w:pPr>
        <w:spacing w:line="360" w:lineRule="auto"/>
        <w:ind w:firstLine="420"/>
        <w:rPr>
          <w:rFonts w:ascii="宋体" w:hAnsi="宋体"/>
          <w:bCs/>
          <w:color w:val="0D0D0D"/>
          <w:sz w:val="24"/>
          <w:szCs w:val="20"/>
          <w:lang w:val="zh-CN"/>
        </w:rPr>
      </w:pPr>
      <w:r>
        <w:rPr>
          <w:rFonts w:hint="eastAsia" w:ascii="宋体" w:hAnsi="宋体"/>
          <w:bCs/>
          <w:color w:val="0D0D0D"/>
          <w:sz w:val="24"/>
          <w:szCs w:val="20"/>
        </w:rPr>
        <w:t>7</w:t>
      </w:r>
      <w:r>
        <w:rPr>
          <w:rFonts w:ascii="宋体" w:hAnsi="宋体"/>
          <w:bCs/>
          <w:color w:val="0D0D0D"/>
          <w:sz w:val="24"/>
          <w:szCs w:val="20"/>
          <w:lang w:val="zh-CN"/>
        </w:rPr>
        <w:t>、</w:t>
      </w:r>
      <w:r>
        <w:rPr>
          <w:rFonts w:hint="eastAsia" w:ascii="宋体" w:hAnsi="宋体"/>
          <w:bCs/>
          <w:color w:val="0D0D0D"/>
          <w:sz w:val="24"/>
          <w:szCs w:val="20"/>
          <w:lang w:val="zh-CN"/>
        </w:rPr>
        <w:t>投标人本次项目所投交通信号灯设备（集中协调式交通信号机）必须提供与阳新县交警大队交通信号远程控制平台无缝对接的书面承诺、所投电子警察产品（抓拍相机、后台扩容设备等产品）必须提供与阳新县交警大队智能交通管控平台无缝对接的书面承诺（</w:t>
      </w:r>
      <w:r>
        <w:rPr>
          <w:rFonts w:hint="eastAsia" w:ascii="宋体" w:hAnsi="宋体"/>
          <w:bCs/>
          <w:color w:val="0D0D0D"/>
          <w:sz w:val="24"/>
          <w:szCs w:val="20"/>
        </w:rPr>
        <w:t>且</w:t>
      </w:r>
      <w:r>
        <w:rPr>
          <w:rFonts w:hint="eastAsia" w:ascii="宋体" w:hAnsi="宋体"/>
          <w:bCs/>
          <w:color w:val="0D0D0D"/>
          <w:sz w:val="24"/>
          <w:szCs w:val="20"/>
          <w:lang w:val="zh-CN"/>
        </w:rPr>
        <w:t>中标后，在一周时间内到阳新县公安局交通警察大队进行对接演示，不能对接的取消中标资格），否则视为无效投标。</w:t>
      </w:r>
    </w:p>
    <w:p>
      <w:pPr>
        <w:pStyle w:val="60"/>
        <w:ind w:firstLine="0" w:firstLineChars="0"/>
        <w:rPr>
          <w:rFonts w:ascii="宋体" w:hAnsi="宋体" w:eastAsia="宋体"/>
          <w:b/>
          <w:sz w:val="24"/>
          <w:szCs w:val="24"/>
        </w:rPr>
      </w:pPr>
      <w:r>
        <w:rPr>
          <w:rFonts w:hint="eastAsia" w:ascii="宋体" w:hAnsi="宋体" w:eastAsia="宋体"/>
          <w:b/>
          <w:sz w:val="24"/>
          <w:szCs w:val="24"/>
        </w:rPr>
        <w:t>二标段：</w:t>
      </w:r>
    </w:p>
    <w:p>
      <w:pPr>
        <w:spacing w:line="360" w:lineRule="auto"/>
        <w:ind w:firstLine="420"/>
        <w:rPr>
          <w:rFonts w:ascii="宋体" w:hAnsi="宋体"/>
          <w:bCs/>
          <w:color w:val="0D0D0D"/>
          <w:sz w:val="24"/>
          <w:szCs w:val="20"/>
          <w:lang w:val="zh-CN"/>
        </w:rPr>
      </w:pPr>
      <w:r>
        <w:rPr>
          <w:rFonts w:ascii="宋体" w:hAnsi="宋体"/>
          <w:bCs/>
          <w:color w:val="0D0D0D"/>
          <w:sz w:val="24"/>
          <w:szCs w:val="20"/>
          <w:lang w:val="zh-CN"/>
        </w:rPr>
        <w:t xml:space="preserve">1 </w:t>
      </w:r>
      <w:r>
        <w:rPr>
          <w:rFonts w:hint="eastAsia" w:ascii="宋体" w:hAnsi="宋体"/>
          <w:bCs/>
          <w:color w:val="0D0D0D"/>
          <w:sz w:val="24"/>
          <w:szCs w:val="20"/>
          <w:lang w:val="zh-CN"/>
        </w:rPr>
        <w:t>、交货期：</w:t>
      </w:r>
      <w:r>
        <w:rPr>
          <w:rFonts w:hint="eastAsia" w:ascii="宋体" w:hAnsi="宋体"/>
          <w:bCs/>
          <w:color w:val="0000FF"/>
          <w:sz w:val="24"/>
          <w:szCs w:val="20"/>
          <w:lang w:val="zh-CN"/>
        </w:rPr>
        <w:t>合同签订后</w:t>
      </w:r>
      <w:r>
        <w:rPr>
          <w:rFonts w:hint="eastAsia" w:ascii="宋体" w:hAnsi="宋体"/>
          <w:bCs/>
          <w:color w:val="0000FF"/>
          <w:sz w:val="24"/>
          <w:szCs w:val="20"/>
        </w:rPr>
        <w:t>180</w:t>
      </w:r>
      <w:r>
        <w:rPr>
          <w:rFonts w:hint="eastAsia" w:ascii="宋体" w:hAnsi="宋体"/>
          <w:bCs/>
          <w:color w:val="0000FF"/>
          <w:sz w:val="24"/>
          <w:szCs w:val="20"/>
          <w:lang w:val="zh-CN"/>
        </w:rPr>
        <w:t>历</w:t>
      </w:r>
      <w:r>
        <w:rPr>
          <w:rFonts w:ascii="宋体" w:hAnsi="宋体"/>
          <w:bCs/>
          <w:color w:val="0000FF"/>
          <w:sz w:val="24"/>
          <w:szCs w:val="20"/>
          <w:lang w:val="zh-CN"/>
        </w:rPr>
        <w:t>日</w:t>
      </w:r>
      <w:r>
        <w:rPr>
          <w:rFonts w:hint="eastAsia" w:ascii="宋体" w:hAnsi="宋体"/>
          <w:bCs/>
          <w:color w:val="0000FF"/>
          <w:sz w:val="24"/>
          <w:szCs w:val="20"/>
          <w:lang w:val="zh-CN"/>
        </w:rPr>
        <w:t>天</w:t>
      </w:r>
      <w:r>
        <w:rPr>
          <w:rFonts w:ascii="宋体" w:hAnsi="宋体"/>
          <w:bCs/>
          <w:color w:val="0000FF"/>
          <w:sz w:val="24"/>
          <w:szCs w:val="20"/>
          <w:lang w:val="zh-CN"/>
        </w:rPr>
        <w:t>内</w:t>
      </w:r>
      <w:r>
        <w:rPr>
          <w:rFonts w:hint="eastAsia" w:ascii="宋体" w:hAnsi="宋体"/>
          <w:bCs/>
          <w:color w:val="0000FF"/>
          <w:sz w:val="24"/>
          <w:szCs w:val="20"/>
          <w:lang w:val="zh-CN"/>
        </w:rPr>
        <w:t>完工。</w:t>
      </w:r>
    </w:p>
    <w:p>
      <w:pPr>
        <w:spacing w:line="360" w:lineRule="auto"/>
        <w:ind w:firstLine="420"/>
        <w:rPr>
          <w:rFonts w:ascii="宋体" w:hAnsi="宋体"/>
          <w:bCs/>
          <w:color w:val="0D0D0D"/>
          <w:sz w:val="24"/>
          <w:szCs w:val="20"/>
          <w:lang w:val="zh-CN"/>
        </w:rPr>
      </w:pPr>
      <w:r>
        <w:rPr>
          <w:rFonts w:ascii="宋体" w:hAnsi="宋体"/>
          <w:bCs/>
          <w:color w:val="0D0D0D"/>
          <w:sz w:val="24"/>
          <w:szCs w:val="20"/>
          <w:lang w:val="zh-CN"/>
        </w:rPr>
        <w:t xml:space="preserve">2 </w:t>
      </w:r>
      <w:r>
        <w:rPr>
          <w:rFonts w:hint="eastAsia" w:ascii="宋体" w:hAnsi="宋体"/>
          <w:bCs/>
          <w:color w:val="0D0D0D"/>
          <w:sz w:val="24"/>
          <w:szCs w:val="20"/>
          <w:lang w:val="zh-CN"/>
        </w:rPr>
        <w:t>、交货地点：</w:t>
      </w:r>
      <w:r>
        <w:rPr>
          <w:rFonts w:hint="eastAsia" w:ascii="宋体" w:hAnsi="宋体"/>
          <w:bCs/>
          <w:color w:val="0000FF"/>
          <w:sz w:val="24"/>
          <w:szCs w:val="20"/>
          <w:lang w:val="zh-CN"/>
        </w:rPr>
        <w:t>阳新县公安局交通警察大队指定地点。</w:t>
      </w:r>
    </w:p>
    <w:p>
      <w:pPr>
        <w:spacing w:line="360" w:lineRule="auto"/>
        <w:ind w:firstLine="420"/>
        <w:rPr>
          <w:rFonts w:ascii="宋体" w:hAnsi="宋体"/>
          <w:bCs/>
          <w:color w:val="0D0D0D"/>
          <w:sz w:val="24"/>
          <w:szCs w:val="20"/>
          <w:lang w:val="zh-CN"/>
        </w:rPr>
      </w:pPr>
      <w:r>
        <w:rPr>
          <w:rFonts w:ascii="宋体" w:hAnsi="宋体"/>
          <w:bCs/>
          <w:color w:val="0D0D0D"/>
          <w:sz w:val="24"/>
          <w:szCs w:val="20"/>
          <w:lang w:val="zh-CN"/>
        </w:rPr>
        <w:t xml:space="preserve">3 </w:t>
      </w:r>
      <w:r>
        <w:rPr>
          <w:rFonts w:hint="eastAsia" w:ascii="宋体" w:hAnsi="宋体"/>
          <w:bCs/>
          <w:color w:val="0D0D0D"/>
          <w:sz w:val="24"/>
          <w:szCs w:val="20"/>
          <w:lang w:val="zh-CN"/>
        </w:rPr>
        <w:t>、质保期：1年</w:t>
      </w:r>
    </w:p>
    <w:p>
      <w:pPr>
        <w:spacing w:line="360" w:lineRule="auto"/>
        <w:ind w:firstLine="420"/>
        <w:rPr>
          <w:rFonts w:ascii="宋体" w:hAnsi="宋体"/>
          <w:bCs/>
          <w:color w:val="0D0D0D"/>
          <w:sz w:val="24"/>
          <w:szCs w:val="20"/>
          <w:lang w:val="zh-CN"/>
        </w:rPr>
      </w:pPr>
      <w:r>
        <w:rPr>
          <w:rFonts w:hint="eastAsia" w:ascii="宋体" w:hAnsi="宋体"/>
          <w:bCs/>
          <w:color w:val="0D0D0D"/>
          <w:sz w:val="24"/>
          <w:szCs w:val="20"/>
        </w:rPr>
        <w:t>4</w:t>
      </w:r>
      <w:r>
        <w:rPr>
          <w:rFonts w:ascii="宋体" w:hAnsi="宋体"/>
          <w:bCs/>
          <w:color w:val="0D0D0D"/>
          <w:sz w:val="24"/>
          <w:szCs w:val="20"/>
          <w:lang w:val="zh-CN"/>
        </w:rPr>
        <w:t>、付款方式：</w:t>
      </w:r>
      <w:r>
        <w:rPr>
          <w:rFonts w:hint="eastAsia" w:ascii="宋体" w:hAnsi="宋体"/>
          <w:bCs/>
          <w:color w:val="0D0D0D"/>
          <w:sz w:val="24"/>
          <w:szCs w:val="20"/>
          <w:lang w:val="zh-CN"/>
        </w:rPr>
        <w:t>详见合同，以具体条款为准。</w:t>
      </w:r>
    </w:p>
    <w:p>
      <w:pPr>
        <w:pStyle w:val="60"/>
        <w:ind w:firstLine="0" w:firstLineChars="0"/>
        <w:rPr>
          <w:rFonts w:ascii="宋体" w:hAnsi="宋体" w:eastAsia="宋体"/>
          <w:b/>
          <w:sz w:val="24"/>
          <w:szCs w:val="24"/>
        </w:rPr>
      </w:pPr>
    </w:p>
    <w:p>
      <w:pPr>
        <w:pStyle w:val="60"/>
        <w:ind w:firstLine="0" w:firstLineChars="0"/>
        <w:rPr>
          <w:rFonts w:ascii="宋体" w:hAnsi="宋体" w:eastAsia="宋体"/>
          <w:b/>
          <w:sz w:val="24"/>
          <w:szCs w:val="24"/>
        </w:rPr>
      </w:pPr>
    </w:p>
    <w:p>
      <w:pPr>
        <w:pStyle w:val="60"/>
        <w:ind w:firstLine="0" w:firstLineChars="0"/>
        <w:rPr>
          <w:rFonts w:ascii="宋体" w:hAnsi="宋体" w:eastAsia="宋体"/>
          <w:b/>
          <w:sz w:val="24"/>
          <w:szCs w:val="24"/>
        </w:rPr>
      </w:pPr>
    </w:p>
    <w:bookmarkEnd w:id="41"/>
    <w:bookmarkEnd w:id="42"/>
    <w:p>
      <w:pPr>
        <w:pStyle w:val="3"/>
        <w:numPr>
          <w:ilvl w:val="0"/>
          <w:numId w:val="37"/>
        </w:numPr>
        <w:jc w:val="center"/>
        <w:rPr>
          <w:rFonts w:ascii="黑体" w:hAnsi="黑体" w:eastAsia="黑体"/>
        </w:rPr>
      </w:pPr>
      <w:bookmarkStart w:id="47" w:name="_Toc106268616"/>
      <w:r>
        <w:rPr>
          <w:rFonts w:hint="eastAsia" w:ascii="黑体" w:hAnsi="黑体" w:eastAsia="黑体"/>
        </w:rPr>
        <w:t>资格审查方法及标准</w:t>
      </w:r>
      <w:bookmarkEnd w:id="47"/>
    </w:p>
    <w:p>
      <w:pPr>
        <w:spacing w:line="360" w:lineRule="auto"/>
        <w:ind w:firstLine="420"/>
        <w:rPr>
          <w:rFonts w:ascii="宋体"/>
          <w:bCs/>
          <w:color w:val="0D0D0D"/>
          <w:sz w:val="24"/>
          <w:szCs w:val="20"/>
          <w:lang w:val="zh-CN"/>
        </w:rPr>
      </w:pPr>
      <w:r>
        <w:rPr>
          <w:rFonts w:hint="eastAsia" w:ascii="宋体" w:hAnsi="宋体"/>
          <w:bCs/>
          <w:color w:val="0D0D0D"/>
          <w:sz w:val="24"/>
          <w:szCs w:val="20"/>
          <w:lang w:val="zh-CN"/>
        </w:rPr>
        <w:t>根据《法》、《法实施条例》、《货物和服务招标投标管理办法》等相关法律法规确定以下资格审查方法及标准。</w:t>
      </w:r>
    </w:p>
    <w:p>
      <w:pPr>
        <w:pStyle w:val="4"/>
        <w:numPr>
          <w:ilvl w:val="0"/>
          <w:numId w:val="38"/>
        </w:numPr>
        <w:spacing w:before="0" w:after="0" w:line="360" w:lineRule="auto"/>
        <w:ind w:left="616" w:hanging="616"/>
        <w:jc w:val="left"/>
        <w:rPr>
          <w:rFonts w:ascii="宋体"/>
          <w:bCs w:val="0"/>
          <w:sz w:val="30"/>
          <w:szCs w:val="30"/>
          <w:lang w:val="zh-CN"/>
        </w:rPr>
      </w:pPr>
      <w:bookmarkStart w:id="48" w:name="_Toc494561958"/>
      <w:bookmarkStart w:id="49" w:name="_Toc106268617"/>
      <w:r>
        <w:rPr>
          <w:rFonts w:hint="eastAsia" w:ascii="宋体" w:hAnsi="宋体"/>
          <w:bCs w:val="0"/>
          <w:sz w:val="30"/>
          <w:szCs w:val="30"/>
          <w:lang w:val="zh-CN"/>
        </w:rPr>
        <w:t>资格审查方法</w:t>
      </w:r>
      <w:bookmarkEnd w:id="48"/>
      <w:bookmarkEnd w:id="49"/>
    </w:p>
    <w:p>
      <w:pPr>
        <w:spacing w:line="360" w:lineRule="auto"/>
        <w:ind w:firstLine="420"/>
        <w:rPr>
          <w:rFonts w:ascii="宋体"/>
          <w:bCs/>
          <w:color w:val="0D0D0D"/>
          <w:sz w:val="24"/>
          <w:szCs w:val="20"/>
          <w:lang w:val="zh-CN"/>
        </w:rPr>
      </w:pPr>
      <w:r>
        <w:rPr>
          <w:rFonts w:hint="eastAsia" w:ascii="宋体" w:hAnsi="宋体"/>
          <w:bCs/>
          <w:color w:val="0D0D0D"/>
          <w:sz w:val="24"/>
          <w:szCs w:val="20"/>
          <w:lang w:val="zh-CN"/>
        </w:rPr>
        <w:t>公开招标采购项目开标结束后</w:t>
      </w:r>
      <w:r>
        <w:rPr>
          <w:rFonts w:hint="eastAsia" w:ascii="宋体" w:hAnsi="宋体"/>
          <w:bCs/>
          <w:sz w:val="24"/>
          <w:szCs w:val="20"/>
          <w:lang w:val="zh-CN"/>
        </w:rPr>
        <w:t>，采购人、采购代理机构</w:t>
      </w:r>
      <w:r>
        <w:rPr>
          <w:rFonts w:hint="eastAsia" w:ascii="宋体" w:hAnsi="宋体"/>
          <w:bCs/>
          <w:color w:val="0D0D0D"/>
          <w:sz w:val="24"/>
          <w:szCs w:val="20"/>
          <w:lang w:val="zh-CN"/>
        </w:rPr>
        <w:t>成立资格审查小组，依据法律、法规及招标文件的规定，对投标人的资格进行审查，以确定投标人资格是否合格。</w:t>
      </w:r>
    </w:p>
    <w:p>
      <w:pPr>
        <w:pStyle w:val="4"/>
        <w:numPr>
          <w:ilvl w:val="0"/>
          <w:numId w:val="38"/>
        </w:numPr>
        <w:spacing w:before="0" w:after="0" w:line="360" w:lineRule="auto"/>
        <w:ind w:left="616" w:hanging="616"/>
        <w:jc w:val="left"/>
        <w:rPr>
          <w:rFonts w:ascii="宋体"/>
          <w:bCs w:val="0"/>
          <w:sz w:val="30"/>
          <w:szCs w:val="30"/>
          <w:lang w:val="zh-CN"/>
        </w:rPr>
      </w:pPr>
      <w:bookmarkStart w:id="50" w:name="_Toc106268618"/>
      <w:bookmarkStart w:id="51" w:name="_Toc494561959"/>
      <w:r>
        <w:rPr>
          <w:rFonts w:hint="eastAsia" w:ascii="宋体" w:hAnsi="宋体"/>
          <w:bCs w:val="0"/>
          <w:sz w:val="30"/>
          <w:szCs w:val="30"/>
          <w:lang w:val="zh-CN"/>
        </w:rPr>
        <w:t>资格审查标准</w:t>
      </w:r>
      <w:bookmarkEnd w:id="50"/>
      <w:bookmarkEnd w:id="51"/>
    </w:p>
    <w:p>
      <w:pPr>
        <w:numPr>
          <w:ilvl w:val="0"/>
          <w:numId w:val="39"/>
        </w:numPr>
        <w:tabs>
          <w:tab w:val="left" w:pos="616"/>
        </w:tabs>
        <w:spacing w:line="360" w:lineRule="auto"/>
        <w:ind w:left="14" w:firstLine="238"/>
        <w:rPr>
          <w:rFonts w:ascii="宋体"/>
          <w:b/>
          <w:color w:val="0D0D0D"/>
          <w:sz w:val="24"/>
          <w:szCs w:val="24"/>
          <w:lang w:val="zh-CN"/>
        </w:rPr>
      </w:pPr>
      <w:r>
        <w:rPr>
          <w:rFonts w:hint="eastAsia" w:ascii="宋体" w:hAnsi="宋体"/>
          <w:b/>
          <w:color w:val="0D0D0D"/>
          <w:sz w:val="24"/>
          <w:szCs w:val="24"/>
          <w:lang w:val="zh-CN"/>
        </w:rPr>
        <w:t>资格证明文件审查</w:t>
      </w:r>
    </w:p>
    <w:p>
      <w:pPr>
        <w:tabs>
          <w:tab w:val="left" w:pos="616"/>
        </w:tabs>
        <w:spacing w:line="360" w:lineRule="auto"/>
        <w:ind w:firstLine="420"/>
        <w:rPr>
          <w:rFonts w:ascii="Helvetica" w:hAnsi="Helvetica" w:cs="Helvetica"/>
          <w:b/>
          <w:color w:val="0D0D0D"/>
          <w:kern w:val="0"/>
          <w:sz w:val="24"/>
          <w:szCs w:val="24"/>
          <w:lang w:val="zh-CN"/>
        </w:rPr>
      </w:pPr>
      <w:r>
        <w:rPr>
          <w:rFonts w:hint="eastAsia" w:ascii="Helvetica" w:hAnsi="Helvetica" w:cs="Helvetica"/>
          <w:color w:val="0D0D0D"/>
          <w:kern w:val="0"/>
          <w:sz w:val="24"/>
          <w:szCs w:val="24"/>
          <w:lang w:val="zh-CN"/>
        </w:rPr>
        <w:t>所递交的资格证明文件出现不符合下列情形之一或不足以证明其符合下列情形之一的，应视为资格审查不合格，并按照</w:t>
      </w:r>
      <w:r>
        <w:rPr>
          <w:rFonts w:hint="eastAsia" w:ascii="Helvetica" w:hAnsi="Helvetica" w:cs="Helvetica"/>
          <w:b/>
          <w:color w:val="0D0D0D"/>
          <w:kern w:val="0"/>
          <w:sz w:val="24"/>
          <w:szCs w:val="24"/>
          <w:lang w:val="zh-CN"/>
        </w:rPr>
        <w:t>无效投标处理：</w:t>
      </w:r>
    </w:p>
    <w:p>
      <w:pPr>
        <w:pStyle w:val="47"/>
        <w:numPr>
          <w:ilvl w:val="0"/>
          <w:numId w:val="40"/>
        </w:numPr>
        <w:tabs>
          <w:tab w:val="left" w:pos="840"/>
        </w:tabs>
        <w:spacing w:line="360" w:lineRule="auto"/>
        <w:ind w:hanging="602" w:firstLineChars="0"/>
        <w:rPr>
          <w:rFonts w:ascii="宋体"/>
          <w:sz w:val="24"/>
          <w:szCs w:val="24"/>
          <w:lang w:val="zh-CN"/>
        </w:rPr>
      </w:pPr>
      <w:r>
        <w:rPr>
          <w:rFonts w:hint="eastAsia" w:ascii="宋体" w:hAnsi="宋体"/>
          <w:sz w:val="24"/>
          <w:szCs w:val="24"/>
          <w:lang w:val="zh-CN"/>
        </w:rPr>
        <w:t>应具备《法》第二十二条第一款规定的条件，</w:t>
      </w:r>
      <w:r>
        <w:rPr>
          <w:rFonts w:hint="eastAsia" w:hAnsi="宋体"/>
          <w:sz w:val="24"/>
          <w:szCs w:val="24"/>
        </w:rPr>
        <w:t>提供下列材料</w:t>
      </w:r>
      <w:r>
        <w:rPr>
          <w:rFonts w:hint="eastAsia" w:ascii="宋体" w:hAnsi="宋体"/>
          <w:sz w:val="24"/>
          <w:szCs w:val="24"/>
          <w:lang w:val="zh-CN"/>
        </w:rPr>
        <w:t>：</w:t>
      </w:r>
    </w:p>
    <w:p>
      <w:pPr>
        <w:pStyle w:val="47"/>
        <w:numPr>
          <w:ilvl w:val="0"/>
          <w:numId w:val="41"/>
        </w:numPr>
        <w:tabs>
          <w:tab w:val="left" w:pos="1036"/>
        </w:tabs>
        <w:spacing w:line="360" w:lineRule="auto"/>
        <w:ind w:left="1036" w:hanging="616" w:firstLineChars="0"/>
        <w:rPr>
          <w:rFonts w:ascii="宋体"/>
          <w:sz w:val="24"/>
          <w:szCs w:val="24"/>
          <w:lang w:val="zh-CN"/>
        </w:rPr>
      </w:pPr>
      <w:r>
        <w:rPr>
          <w:rFonts w:hint="eastAsia" w:ascii="宋体" w:hAnsi="宋体"/>
          <w:sz w:val="24"/>
          <w:szCs w:val="24"/>
          <w:lang w:val="zh-CN"/>
        </w:rPr>
        <w:t>法人或者其他组织的营业执照等证明文件，自然人的身份证明；</w:t>
      </w:r>
    </w:p>
    <w:p>
      <w:pPr>
        <w:pStyle w:val="47"/>
        <w:numPr>
          <w:ilvl w:val="0"/>
          <w:numId w:val="41"/>
        </w:numPr>
        <w:tabs>
          <w:tab w:val="left" w:pos="1036"/>
        </w:tabs>
        <w:spacing w:line="360" w:lineRule="auto"/>
        <w:ind w:left="1036" w:hanging="616" w:firstLineChars="0"/>
        <w:rPr>
          <w:rFonts w:ascii="宋体"/>
          <w:sz w:val="24"/>
          <w:szCs w:val="24"/>
          <w:lang w:val="zh-CN"/>
        </w:rPr>
      </w:pPr>
      <w:r>
        <w:rPr>
          <w:rFonts w:hint="eastAsia" w:ascii="宋体" w:hAnsi="宋体"/>
          <w:sz w:val="24"/>
          <w:szCs w:val="24"/>
          <w:lang w:val="zh-CN"/>
        </w:rPr>
        <w:t>财务状况报告</w:t>
      </w:r>
      <w:r>
        <w:rPr>
          <w:rFonts w:hint="eastAsia" w:ascii="宋体" w:hAnsi="宋体"/>
          <w:kern w:val="0"/>
          <w:sz w:val="24"/>
          <w:szCs w:val="32"/>
        </w:rPr>
        <w:t>（</w:t>
      </w:r>
      <w:r>
        <w:rPr>
          <w:rFonts w:hint="eastAsia" w:ascii="宋体" w:hAnsi="宋体"/>
          <w:color w:val="000000"/>
          <w:sz w:val="24"/>
          <w:szCs w:val="24"/>
        </w:rPr>
        <w:t>没有财务报告的，可以提供银行出具的资信证明</w:t>
      </w:r>
      <w:r>
        <w:rPr>
          <w:rFonts w:hint="eastAsia" w:ascii="宋体" w:hAnsi="宋体"/>
          <w:kern w:val="0"/>
          <w:sz w:val="24"/>
          <w:szCs w:val="32"/>
        </w:rPr>
        <w:t>）</w:t>
      </w:r>
      <w:r>
        <w:rPr>
          <w:rFonts w:hint="eastAsia" w:ascii="宋体" w:hAnsi="宋体"/>
          <w:sz w:val="24"/>
          <w:szCs w:val="24"/>
          <w:lang w:val="zh-CN"/>
        </w:rPr>
        <w:t>，依法缴纳税收和社会保障资金的相关材料；</w:t>
      </w:r>
    </w:p>
    <w:p>
      <w:pPr>
        <w:pStyle w:val="47"/>
        <w:numPr>
          <w:ilvl w:val="0"/>
          <w:numId w:val="41"/>
        </w:numPr>
        <w:tabs>
          <w:tab w:val="left" w:pos="1036"/>
        </w:tabs>
        <w:spacing w:line="360" w:lineRule="auto"/>
        <w:ind w:left="1036" w:hanging="616" w:firstLineChars="0"/>
        <w:rPr>
          <w:rFonts w:ascii="宋体"/>
          <w:sz w:val="24"/>
          <w:szCs w:val="24"/>
          <w:lang w:val="zh-CN"/>
        </w:rPr>
      </w:pPr>
      <w:r>
        <w:rPr>
          <w:rFonts w:hint="eastAsia" w:ascii="宋体" w:hAnsi="宋体"/>
          <w:sz w:val="24"/>
          <w:szCs w:val="24"/>
          <w:lang w:val="zh-CN"/>
        </w:rPr>
        <w:t>具备履行合同所必需的设备和专业技术能力的证明材料；</w:t>
      </w:r>
    </w:p>
    <w:p>
      <w:pPr>
        <w:pStyle w:val="47"/>
        <w:numPr>
          <w:ilvl w:val="0"/>
          <w:numId w:val="41"/>
        </w:numPr>
        <w:tabs>
          <w:tab w:val="left" w:pos="1036"/>
        </w:tabs>
        <w:spacing w:line="360" w:lineRule="auto"/>
        <w:ind w:left="1036" w:hanging="616" w:firstLineChars="0"/>
        <w:rPr>
          <w:rFonts w:ascii="宋体"/>
          <w:sz w:val="24"/>
          <w:szCs w:val="24"/>
          <w:lang w:val="zh-CN"/>
        </w:rPr>
      </w:pPr>
      <w:r>
        <w:rPr>
          <w:rFonts w:hint="eastAsia" w:ascii="宋体" w:hAnsi="宋体"/>
          <w:sz w:val="24"/>
          <w:szCs w:val="24"/>
          <w:lang w:val="zh-CN"/>
        </w:rPr>
        <w:t>参加活动前</w:t>
      </w:r>
      <w:r>
        <w:rPr>
          <w:rFonts w:ascii="宋体" w:hAnsi="宋体"/>
          <w:sz w:val="24"/>
          <w:szCs w:val="24"/>
          <w:lang w:val="zh-CN"/>
        </w:rPr>
        <w:t>3</w:t>
      </w:r>
      <w:r>
        <w:rPr>
          <w:rFonts w:hint="eastAsia" w:ascii="宋体" w:hAnsi="宋体"/>
          <w:sz w:val="24"/>
          <w:szCs w:val="24"/>
          <w:lang w:val="zh-CN"/>
        </w:rPr>
        <w:t>年内在经营活动中没有重大违法记录的书面声明；</w:t>
      </w:r>
    </w:p>
    <w:p>
      <w:pPr>
        <w:pStyle w:val="47"/>
        <w:numPr>
          <w:ilvl w:val="0"/>
          <w:numId w:val="41"/>
        </w:numPr>
        <w:tabs>
          <w:tab w:val="left" w:pos="1036"/>
        </w:tabs>
        <w:spacing w:line="360" w:lineRule="auto"/>
        <w:ind w:left="1036" w:hanging="616" w:firstLineChars="0"/>
        <w:rPr>
          <w:rFonts w:ascii="宋体"/>
          <w:sz w:val="24"/>
          <w:szCs w:val="24"/>
          <w:lang w:val="zh-CN"/>
        </w:rPr>
      </w:pPr>
      <w:r>
        <w:rPr>
          <w:rFonts w:hint="eastAsia" w:ascii="宋体" w:hAnsi="宋体"/>
          <w:sz w:val="24"/>
          <w:szCs w:val="24"/>
          <w:lang w:val="zh-CN"/>
        </w:rPr>
        <w:t>具备法律、行政法规规定的其他条件的证明材料。</w:t>
      </w:r>
    </w:p>
    <w:p>
      <w:pPr>
        <w:pStyle w:val="47"/>
        <w:numPr>
          <w:ilvl w:val="0"/>
          <w:numId w:val="40"/>
        </w:numPr>
        <w:tabs>
          <w:tab w:val="left" w:pos="840"/>
        </w:tabs>
        <w:spacing w:line="360" w:lineRule="auto"/>
        <w:ind w:hanging="602" w:firstLineChars="0"/>
        <w:rPr>
          <w:rFonts w:ascii="宋体"/>
          <w:sz w:val="24"/>
          <w:szCs w:val="24"/>
          <w:lang w:val="zh-CN"/>
        </w:rPr>
      </w:pPr>
      <w:r>
        <w:rPr>
          <w:rFonts w:hint="eastAsia" w:ascii="宋体" w:hAnsi="宋体"/>
          <w:sz w:val="24"/>
          <w:szCs w:val="24"/>
          <w:lang w:val="zh-CN"/>
        </w:rPr>
        <w:t>应未被“信用中国”网站列入失信被执行人、</w:t>
      </w:r>
      <w:r>
        <w:rPr>
          <w:rFonts w:hint="eastAsia" w:ascii="宋体" w:hAnsi="宋体"/>
          <w:color w:val="000000" w:themeColor="text1"/>
          <w:sz w:val="24"/>
          <w:szCs w:val="24"/>
        </w:rPr>
        <w:t>税收违法黑名单</w:t>
      </w:r>
      <w:r>
        <w:rPr>
          <w:rFonts w:hint="eastAsia" w:ascii="宋体" w:hAnsi="宋体"/>
          <w:sz w:val="24"/>
          <w:szCs w:val="24"/>
          <w:lang w:val="zh-CN"/>
        </w:rPr>
        <w:t>；“中国网”严重违法失信行为记录名单。</w:t>
      </w:r>
    </w:p>
    <w:p>
      <w:pPr>
        <w:pStyle w:val="47"/>
        <w:numPr>
          <w:ilvl w:val="0"/>
          <w:numId w:val="40"/>
        </w:numPr>
        <w:tabs>
          <w:tab w:val="left" w:pos="840"/>
        </w:tabs>
        <w:spacing w:line="360" w:lineRule="auto"/>
        <w:ind w:hanging="602" w:firstLineChars="0"/>
        <w:rPr>
          <w:rFonts w:ascii="宋体"/>
          <w:sz w:val="24"/>
          <w:szCs w:val="24"/>
          <w:lang w:val="zh-CN"/>
        </w:rPr>
      </w:pPr>
      <w:r>
        <w:rPr>
          <w:rFonts w:hint="eastAsia" w:ascii="宋体" w:hAnsi="宋体"/>
          <w:sz w:val="24"/>
          <w:szCs w:val="24"/>
          <w:lang w:val="zh-CN"/>
        </w:rPr>
        <w:t>招标文件第一章“投标人资格要求”中有特殊要求的，投标人应提供其符合特殊要求的证明材料或者情况说明；</w:t>
      </w:r>
    </w:p>
    <w:p>
      <w:pPr>
        <w:pStyle w:val="47"/>
        <w:numPr>
          <w:ilvl w:val="0"/>
          <w:numId w:val="40"/>
        </w:numPr>
        <w:tabs>
          <w:tab w:val="left" w:pos="840"/>
        </w:tabs>
        <w:spacing w:line="360" w:lineRule="auto"/>
        <w:ind w:hanging="602" w:firstLineChars="0"/>
        <w:rPr>
          <w:rFonts w:ascii="宋体"/>
          <w:sz w:val="24"/>
          <w:szCs w:val="24"/>
          <w:lang w:val="zh-CN"/>
        </w:rPr>
      </w:pPr>
      <w:r>
        <w:rPr>
          <w:rFonts w:hint="eastAsia" w:ascii="宋体" w:hAnsi="宋体"/>
          <w:sz w:val="24"/>
          <w:szCs w:val="24"/>
          <w:lang w:val="zh-CN"/>
        </w:rPr>
        <w:t>投标人认为需提供的其它相关资格证明材料；</w:t>
      </w:r>
    </w:p>
    <w:p>
      <w:pPr>
        <w:pStyle w:val="47"/>
        <w:numPr>
          <w:ilvl w:val="0"/>
          <w:numId w:val="40"/>
        </w:numPr>
        <w:tabs>
          <w:tab w:val="left" w:pos="840"/>
        </w:tabs>
        <w:spacing w:line="360" w:lineRule="auto"/>
        <w:ind w:hanging="602" w:firstLineChars="0"/>
        <w:rPr>
          <w:rFonts w:ascii="宋体"/>
          <w:color w:val="0000CC"/>
          <w:sz w:val="24"/>
          <w:szCs w:val="24"/>
          <w:lang w:val="zh-CN"/>
        </w:rPr>
      </w:pPr>
      <w:r>
        <w:rPr>
          <w:rFonts w:hint="eastAsia" w:ascii="宋体" w:hAnsi="宋体"/>
          <w:color w:val="0000CC"/>
          <w:sz w:val="24"/>
          <w:szCs w:val="24"/>
          <w:lang w:val="zh-CN"/>
        </w:rPr>
        <w:t>资格证明文件正本应为清晰彩色影印件且加盖单位公章。</w:t>
      </w:r>
    </w:p>
    <w:p>
      <w:pPr>
        <w:numPr>
          <w:ilvl w:val="0"/>
          <w:numId w:val="39"/>
        </w:numPr>
        <w:tabs>
          <w:tab w:val="left" w:pos="616"/>
        </w:tabs>
        <w:spacing w:line="360" w:lineRule="auto"/>
        <w:ind w:left="14" w:firstLine="238"/>
        <w:rPr>
          <w:rFonts w:ascii="宋体"/>
          <w:b/>
          <w:sz w:val="24"/>
          <w:szCs w:val="24"/>
          <w:lang w:val="zh-CN"/>
        </w:rPr>
      </w:pPr>
      <w:r>
        <w:rPr>
          <w:rFonts w:hint="eastAsia" w:ascii="宋体" w:hAnsi="宋体"/>
          <w:b/>
          <w:sz w:val="24"/>
          <w:szCs w:val="24"/>
          <w:lang w:val="zh-CN"/>
        </w:rPr>
        <w:t>确定资格审查合格投标人</w:t>
      </w:r>
    </w:p>
    <w:p>
      <w:pPr>
        <w:pStyle w:val="47"/>
        <w:numPr>
          <w:ilvl w:val="0"/>
          <w:numId w:val="42"/>
        </w:numPr>
        <w:tabs>
          <w:tab w:val="left" w:pos="840"/>
        </w:tabs>
        <w:spacing w:line="360" w:lineRule="auto"/>
        <w:ind w:hanging="602" w:firstLineChars="0"/>
        <w:rPr>
          <w:rFonts w:ascii="宋体"/>
          <w:sz w:val="24"/>
          <w:szCs w:val="24"/>
          <w:lang w:val="zh-CN"/>
        </w:rPr>
      </w:pPr>
      <w:r>
        <w:rPr>
          <w:rFonts w:hint="eastAsia" w:ascii="宋体" w:hAnsi="宋体"/>
          <w:sz w:val="24"/>
          <w:szCs w:val="24"/>
          <w:lang w:val="zh-CN"/>
        </w:rPr>
        <w:t>资格审查小组按照本章“资格审查方法及标准”，对各投标人资格证明文件进行审查。资格审查小组依据对各投标人资格证明文件的审查结果，确定资格审查合格的投标人，并</w:t>
      </w:r>
      <w:r>
        <w:rPr>
          <w:rFonts w:hint="eastAsia" w:ascii="宋体" w:hAnsi="宋体"/>
          <w:b/>
          <w:sz w:val="24"/>
          <w:szCs w:val="24"/>
          <w:lang w:val="zh-CN"/>
        </w:rPr>
        <w:t>形成书面的资格审查报告。</w:t>
      </w:r>
    </w:p>
    <w:p>
      <w:pPr>
        <w:pStyle w:val="47"/>
        <w:numPr>
          <w:ilvl w:val="0"/>
          <w:numId w:val="42"/>
        </w:numPr>
        <w:tabs>
          <w:tab w:val="left" w:pos="840"/>
        </w:tabs>
        <w:spacing w:line="360" w:lineRule="auto"/>
        <w:ind w:hanging="602" w:firstLineChars="0"/>
        <w:rPr>
          <w:rFonts w:ascii="宋体"/>
          <w:sz w:val="24"/>
          <w:szCs w:val="24"/>
          <w:lang w:val="zh-CN"/>
        </w:rPr>
      </w:pPr>
      <w:r>
        <w:rPr>
          <w:rFonts w:hint="eastAsia" w:ascii="宋体" w:hAnsi="宋体"/>
          <w:sz w:val="24"/>
          <w:szCs w:val="24"/>
          <w:lang w:val="zh-CN"/>
        </w:rPr>
        <w:t>资格审查合格投标人不足</w:t>
      </w:r>
      <w:r>
        <w:rPr>
          <w:rFonts w:ascii="宋体" w:hAnsi="宋体"/>
          <w:sz w:val="24"/>
          <w:szCs w:val="24"/>
          <w:lang w:val="zh-CN"/>
        </w:rPr>
        <w:t>3</w:t>
      </w:r>
      <w:r>
        <w:rPr>
          <w:rFonts w:hint="eastAsia" w:ascii="宋体" w:hAnsi="宋体"/>
          <w:sz w:val="24"/>
          <w:szCs w:val="24"/>
          <w:lang w:val="zh-CN"/>
        </w:rPr>
        <w:t>家的，不进行评标。</w:t>
      </w:r>
    </w:p>
    <w:p>
      <w:pPr>
        <w:pStyle w:val="47"/>
        <w:numPr>
          <w:ilvl w:val="0"/>
          <w:numId w:val="42"/>
        </w:numPr>
        <w:tabs>
          <w:tab w:val="left" w:pos="840"/>
        </w:tabs>
        <w:spacing w:line="360" w:lineRule="auto"/>
        <w:ind w:hanging="602" w:firstLineChars="0"/>
        <w:rPr>
          <w:rFonts w:ascii="宋体"/>
          <w:sz w:val="24"/>
          <w:szCs w:val="24"/>
          <w:lang w:val="zh-CN"/>
        </w:rPr>
      </w:pPr>
      <w:r>
        <w:rPr>
          <w:rFonts w:hint="eastAsia" w:ascii="宋体" w:hAnsi="宋体"/>
          <w:sz w:val="24"/>
          <w:szCs w:val="24"/>
          <w:lang w:val="zh-CN"/>
        </w:rPr>
        <w:t>资格审查未通过的投标人可在结果公告质疑有效期内按公告中的联系方式获知本单位的资格审查情况。</w:t>
      </w:r>
    </w:p>
    <w:p>
      <w:pPr>
        <w:pStyle w:val="47"/>
        <w:numPr>
          <w:ilvl w:val="0"/>
          <w:numId w:val="42"/>
        </w:numPr>
        <w:tabs>
          <w:tab w:val="left" w:pos="840"/>
        </w:tabs>
        <w:spacing w:line="360" w:lineRule="auto"/>
        <w:ind w:hanging="602" w:firstLineChars="0"/>
        <w:rPr>
          <w:rFonts w:ascii="宋体"/>
          <w:sz w:val="24"/>
          <w:szCs w:val="24"/>
          <w:lang w:val="zh-CN"/>
        </w:rPr>
      </w:pPr>
      <w:r>
        <w:rPr>
          <w:rFonts w:hint="eastAsia" w:ascii="宋体" w:hAnsi="宋体"/>
          <w:sz w:val="24"/>
          <w:szCs w:val="24"/>
          <w:lang w:val="zh-CN"/>
        </w:rPr>
        <w:t>采购人已进行资格预审的，不再进行资格审查。未通过资格预审的投标人，采购人、采购代理机构</w:t>
      </w:r>
      <w:r>
        <w:rPr>
          <w:rFonts w:hint="eastAsia" w:ascii="宋体" w:hAnsi="宋体"/>
          <w:b/>
          <w:sz w:val="24"/>
          <w:szCs w:val="24"/>
          <w:lang w:val="zh-CN"/>
        </w:rPr>
        <w:t>拒绝</w:t>
      </w:r>
      <w:r>
        <w:rPr>
          <w:rFonts w:hint="eastAsia" w:ascii="宋体" w:hAnsi="宋体"/>
          <w:sz w:val="24"/>
          <w:szCs w:val="24"/>
          <w:lang w:val="zh-CN"/>
        </w:rPr>
        <w:t>其投标。</w:t>
      </w:r>
    </w:p>
    <w:p>
      <w:r>
        <w:br w:type="page"/>
      </w:r>
    </w:p>
    <w:p>
      <w:pPr>
        <w:pStyle w:val="3"/>
        <w:numPr>
          <w:ilvl w:val="0"/>
          <w:numId w:val="37"/>
        </w:numPr>
        <w:jc w:val="center"/>
        <w:rPr>
          <w:rFonts w:ascii="黑体" w:hAnsi="黑体" w:eastAsia="黑体"/>
        </w:rPr>
      </w:pPr>
      <w:bookmarkStart w:id="52" w:name="_Toc106268619"/>
      <w:r>
        <w:rPr>
          <w:rFonts w:hint="eastAsia" w:ascii="黑体" w:hAnsi="黑体" w:eastAsia="黑体"/>
        </w:rPr>
        <w:t>评标方法、程序及标准</w:t>
      </w:r>
      <w:bookmarkEnd w:id="52"/>
    </w:p>
    <w:p>
      <w:pPr>
        <w:spacing w:line="360" w:lineRule="auto"/>
        <w:ind w:firstLine="480" w:firstLineChars="200"/>
        <w:rPr>
          <w:rFonts w:ascii="宋体"/>
          <w:bCs/>
          <w:sz w:val="24"/>
          <w:szCs w:val="20"/>
          <w:lang w:val="zh-CN"/>
        </w:rPr>
      </w:pPr>
      <w:r>
        <w:rPr>
          <w:rFonts w:hint="eastAsia" w:ascii="宋体" w:hAnsi="宋体"/>
          <w:bCs/>
          <w:sz w:val="24"/>
          <w:szCs w:val="20"/>
          <w:lang w:val="zh-CN"/>
        </w:rPr>
        <w:t>根据《法》、《法实施条例》、《货物和服务招标投标管理办法》等相关法律法规确定以下评标办法、程序及标准。</w:t>
      </w:r>
    </w:p>
    <w:p>
      <w:pPr>
        <w:pStyle w:val="4"/>
        <w:numPr>
          <w:ilvl w:val="0"/>
          <w:numId w:val="43"/>
        </w:numPr>
        <w:spacing w:before="0" w:after="0" w:line="360" w:lineRule="auto"/>
        <w:ind w:left="616" w:hanging="616"/>
        <w:jc w:val="left"/>
        <w:rPr>
          <w:rFonts w:ascii="宋体"/>
          <w:bCs w:val="0"/>
          <w:sz w:val="30"/>
          <w:szCs w:val="30"/>
          <w:lang w:val="zh-CN"/>
        </w:rPr>
      </w:pPr>
      <w:bookmarkStart w:id="53" w:name="_Toc278891605"/>
      <w:bookmarkStart w:id="54" w:name="_Toc272247708"/>
      <w:bookmarkStart w:id="55" w:name="_Toc106268620"/>
      <w:bookmarkStart w:id="56" w:name="_Toc494561961"/>
      <w:r>
        <w:rPr>
          <w:rFonts w:hint="eastAsia" w:ascii="宋体" w:hAnsi="宋体"/>
          <w:bCs w:val="0"/>
          <w:sz w:val="30"/>
          <w:szCs w:val="30"/>
          <w:lang w:val="zh-CN"/>
        </w:rPr>
        <w:t>评标</w:t>
      </w:r>
      <w:bookmarkEnd w:id="53"/>
      <w:bookmarkEnd w:id="54"/>
      <w:r>
        <w:rPr>
          <w:rFonts w:hint="eastAsia" w:ascii="宋体" w:hAnsi="宋体"/>
          <w:bCs w:val="0"/>
          <w:sz w:val="30"/>
          <w:szCs w:val="30"/>
          <w:lang w:val="zh-CN"/>
        </w:rPr>
        <w:t>方法</w:t>
      </w:r>
      <w:bookmarkEnd w:id="55"/>
      <w:bookmarkEnd w:id="56"/>
    </w:p>
    <w:p>
      <w:pPr>
        <w:spacing w:line="360" w:lineRule="auto"/>
        <w:ind w:firstLine="480" w:firstLineChars="200"/>
        <w:rPr>
          <w:rFonts w:ascii="宋体"/>
          <w:bCs/>
          <w:sz w:val="24"/>
          <w:szCs w:val="20"/>
          <w:lang w:val="zh-CN"/>
        </w:rPr>
      </w:pPr>
      <w:r>
        <w:rPr>
          <w:rFonts w:hint="eastAsia" w:ascii="宋体" w:hAnsi="宋体"/>
          <w:bCs/>
          <w:sz w:val="24"/>
          <w:szCs w:val="20"/>
          <w:lang w:val="zh-CN"/>
        </w:rPr>
        <w:t>本项目评标采用综合评分法，是指投标文件满足招标文件全部实质性要求，且按照评审因素的量化指标评审得分最高的投标人为中标候选人的评标方法。</w:t>
      </w:r>
    </w:p>
    <w:p>
      <w:pPr>
        <w:pStyle w:val="4"/>
        <w:numPr>
          <w:ilvl w:val="0"/>
          <w:numId w:val="43"/>
        </w:numPr>
        <w:spacing w:before="0" w:after="0" w:line="360" w:lineRule="auto"/>
        <w:ind w:left="616" w:hanging="616"/>
        <w:jc w:val="left"/>
        <w:rPr>
          <w:rFonts w:ascii="宋体"/>
          <w:bCs w:val="0"/>
          <w:sz w:val="30"/>
          <w:szCs w:val="30"/>
          <w:lang w:val="zh-CN"/>
        </w:rPr>
      </w:pPr>
      <w:bookmarkStart w:id="57" w:name="_Toc278891606"/>
      <w:bookmarkStart w:id="58" w:name="_Toc272247709"/>
      <w:bookmarkStart w:id="59" w:name="_Toc106268621"/>
      <w:bookmarkStart w:id="60" w:name="_Toc494561962"/>
      <w:r>
        <w:rPr>
          <w:rFonts w:hint="eastAsia" w:ascii="宋体" w:hAnsi="宋体"/>
          <w:bCs w:val="0"/>
          <w:sz w:val="30"/>
          <w:szCs w:val="30"/>
          <w:lang w:val="zh-CN"/>
        </w:rPr>
        <w:t>评标程序</w:t>
      </w:r>
      <w:bookmarkEnd w:id="57"/>
      <w:bookmarkEnd w:id="58"/>
      <w:r>
        <w:rPr>
          <w:rFonts w:hint="eastAsia" w:ascii="宋体" w:hAnsi="宋体"/>
          <w:bCs w:val="0"/>
          <w:sz w:val="30"/>
          <w:szCs w:val="30"/>
          <w:lang w:val="zh-CN"/>
        </w:rPr>
        <w:t>及标准</w:t>
      </w:r>
      <w:bookmarkEnd w:id="59"/>
      <w:bookmarkEnd w:id="60"/>
    </w:p>
    <w:p>
      <w:pPr>
        <w:spacing w:line="360" w:lineRule="auto"/>
        <w:ind w:firstLine="480" w:firstLineChars="200"/>
        <w:rPr>
          <w:rFonts w:ascii="宋体"/>
          <w:bCs/>
          <w:sz w:val="24"/>
          <w:szCs w:val="20"/>
          <w:lang w:val="zh-CN"/>
        </w:rPr>
      </w:pPr>
      <w:r>
        <w:rPr>
          <w:rFonts w:hint="eastAsia" w:ascii="宋体" w:hAnsi="宋体"/>
          <w:bCs/>
          <w:sz w:val="24"/>
          <w:szCs w:val="20"/>
          <w:lang w:val="zh-CN"/>
        </w:rPr>
        <w:t>评标委员会按以下工作程序进行评标：</w:t>
      </w:r>
      <w:r>
        <w:rPr>
          <w:rFonts w:hint="eastAsia" w:ascii="宋体" w:hAnsi="宋体"/>
          <w:sz w:val="24"/>
          <w:szCs w:val="20"/>
          <w:lang w:val="zh-CN"/>
        </w:rPr>
        <w:t>符合性审查、澄清有关问题、综合比较和评价、确定中标候选人名单。</w:t>
      </w:r>
    </w:p>
    <w:p>
      <w:pPr>
        <w:numPr>
          <w:ilvl w:val="0"/>
          <w:numId w:val="44"/>
        </w:numPr>
        <w:ind w:left="1311" w:leftChars="154" w:hanging="988" w:hangingChars="353"/>
        <w:rPr>
          <w:rFonts w:ascii="宋体"/>
          <w:strike/>
          <w:sz w:val="28"/>
          <w:szCs w:val="28"/>
          <w:lang w:val="zh-CN"/>
        </w:rPr>
      </w:pPr>
      <w:r>
        <w:rPr>
          <w:rFonts w:hint="eastAsia" w:ascii="宋体" w:hAnsi="宋体"/>
          <w:b/>
          <w:sz w:val="28"/>
          <w:szCs w:val="28"/>
          <w:lang w:val="zh-CN"/>
        </w:rPr>
        <w:t>符合性审查</w:t>
      </w:r>
    </w:p>
    <w:p>
      <w:pPr>
        <w:spacing w:line="360" w:lineRule="auto"/>
        <w:ind w:firstLine="470" w:firstLineChars="196"/>
        <w:rPr>
          <w:rFonts w:ascii="宋体"/>
          <w:bCs/>
          <w:sz w:val="24"/>
          <w:szCs w:val="20"/>
          <w:lang w:val="zh-CN"/>
        </w:rPr>
      </w:pPr>
      <w:r>
        <w:rPr>
          <w:rFonts w:hint="eastAsia" w:ascii="Helvetica" w:hAnsi="Helvetica" w:cs="Helvetica"/>
          <w:kern w:val="0"/>
          <w:sz w:val="24"/>
          <w:szCs w:val="24"/>
          <w:lang w:val="zh-CN"/>
        </w:rPr>
        <w:t>评标委员会应当对符合资格的投标人的投标文件进行符合性审查，以确定其是否满足招标文件的实质性要求。</w:t>
      </w:r>
      <w:r>
        <w:rPr>
          <w:rFonts w:hint="eastAsia" w:ascii="宋体" w:hAnsi="宋体"/>
          <w:bCs/>
          <w:sz w:val="24"/>
          <w:szCs w:val="20"/>
          <w:lang w:val="zh-CN"/>
        </w:rPr>
        <w:t>符合性审查出现下列情形之一的投标按照</w:t>
      </w:r>
      <w:r>
        <w:rPr>
          <w:rFonts w:hint="eastAsia" w:ascii="宋体" w:hAnsi="宋体"/>
          <w:b/>
          <w:bCs/>
          <w:sz w:val="24"/>
          <w:szCs w:val="20"/>
          <w:lang w:val="zh-CN"/>
        </w:rPr>
        <w:t>无效投标处理</w:t>
      </w:r>
      <w:r>
        <w:rPr>
          <w:rFonts w:hint="eastAsia" w:ascii="宋体" w:hAnsi="宋体"/>
          <w:bCs/>
          <w:sz w:val="24"/>
          <w:szCs w:val="20"/>
          <w:lang w:val="zh-CN"/>
        </w:rPr>
        <w:t>：</w:t>
      </w:r>
    </w:p>
    <w:p>
      <w:pPr>
        <w:numPr>
          <w:ilvl w:val="0"/>
          <w:numId w:val="45"/>
        </w:numPr>
        <w:tabs>
          <w:tab w:val="left" w:pos="616"/>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投标总报价超过项目预算金额或最高限价的；</w:t>
      </w:r>
    </w:p>
    <w:p>
      <w:pPr>
        <w:numPr>
          <w:ilvl w:val="0"/>
          <w:numId w:val="45"/>
        </w:numPr>
        <w:tabs>
          <w:tab w:val="left" w:pos="616"/>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《投标书》、《法定代表人授权书》、《开标一览表》、《投标报价明细表》未提供或不符合招标文件要求的；</w:t>
      </w:r>
    </w:p>
    <w:p>
      <w:pPr>
        <w:numPr>
          <w:ilvl w:val="0"/>
          <w:numId w:val="45"/>
        </w:numPr>
        <w:tabs>
          <w:tab w:val="left" w:pos="616"/>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工期（交货期限）、质保期不符合招标文件要求的；</w:t>
      </w:r>
    </w:p>
    <w:p>
      <w:pPr>
        <w:numPr>
          <w:ilvl w:val="0"/>
          <w:numId w:val="45"/>
        </w:numPr>
        <w:tabs>
          <w:tab w:val="left" w:pos="616"/>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出现两个或两个以上不同报价的；</w:t>
      </w:r>
    </w:p>
    <w:p>
      <w:pPr>
        <w:numPr>
          <w:ilvl w:val="0"/>
          <w:numId w:val="45"/>
        </w:numPr>
        <w:tabs>
          <w:tab w:val="left" w:pos="616"/>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出现两个或两个以上投标方案的（招标文件中要求提供备选方案的除外）；</w:t>
      </w:r>
    </w:p>
    <w:p>
      <w:pPr>
        <w:numPr>
          <w:ilvl w:val="0"/>
          <w:numId w:val="45"/>
        </w:numPr>
        <w:tabs>
          <w:tab w:val="left" w:pos="616"/>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投标报价存在缺项、漏项的；</w:t>
      </w:r>
    </w:p>
    <w:p>
      <w:pPr>
        <w:numPr>
          <w:ilvl w:val="0"/>
          <w:numId w:val="45"/>
        </w:numPr>
        <w:tabs>
          <w:tab w:val="left" w:pos="616"/>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投标有效期不足的；</w:t>
      </w:r>
    </w:p>
    <w:p>
      <w:pPr>
        <w:numPr>
          <w:ilvl w:val="0"/>
          <w:numId w:val="45"/>
        </w:numPr>
        <w:tabs>
          <w:tab w:val="left" w:pos="616"/>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无法定代表人签字（签章）或签字（签章）人无法定代表人有效授权的；</w:t>
      </w:r>
    </w:p>
    <w:p>
      <w:pPr>
        <w:numPr>
          <w:ilvl w:val="0"/>
          <w:numId w:val="45"/>
        </w:numPr>
        <w:tabs>
          <w:tab w:val="left" w:pos="756"/>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正本未按要求提供加盖公章及签字（签章）原件的；</w:t>
      </w:r>
    </w:p>
    <w:p>
      <w:pPr>
        <w:numPr>
          <w:ilvl w:val="0"/>
          <w:numId w:val="45"/>
        </w:numPr>
        <w:tabs>
          <w:tab w:val="left" w:pos="742"/>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符合招标文件第二章“投标人须知”中</w:t>
      </w:r>
      <w:r>
        <w:rPr>
          <w:rFonts w:ascii="Times New Roman" w:hAnsi="宋体"/>
          <w:sz w:val="24"/>
          <w:szCs w:val="24"/>
          <w:lang w:val="zh-CN"/>
        </w:rPr>
        <w:t>40</w:t>
      </w:r>
      <w:r>
        <w:rPr>
          <w:rFonts w:hint="eastAsia" w:ascii="Times New Roman" w:hAnsi="宋体"/>
          <w:sz w:val="24"/>
          <w:szCs w:val="24"/>
          <w:lang w:val="zh-CN"/>
        </w:rPr>
        <w:t>条中规定情形，以分公司形式参与投标的，法定代表人授权书未由总公司法定代表人签字（盖章）并加盖公章的；</w:t>
      </w:r>
    </w:p>
    <w:p>
      <w:pPr>
        <w:numPr>
          <w:ilvl w:val="0"/>
          <w:numId w:val="45"/>
        </w:numPr>
        <w:tabs>
          <w:tab w:val="left" w:pos="742"/>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未按要求提供招标文件第二章“十其他注意事项”中规定的书面声明的；</w:t>
      </w:r>
    </w:p>
    <w:p>
      <w:pPr>
        <w:numPr>
          <w:ilvl w:val="0"/>
          <w:numId w:val="45"/>
        </w:numPr>
        <w:tabs>
          <w:tab w:val="left" w:pos="742"/>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招标文件中有节能产品强制要求的，投标人未按要求提供最新一期《节能产品清单》（正式稿）中的产品型号且未附该产品清单所在完整页面；若节能产品中有台式计算机的，未按要求提供最新一期《节能产品清单台式计算机性能参数》中产品性能参数的所在完整页面且所投型号和所列性能参数不一致的；</w:t>
      </w:r>
    </w:p>
    <w:p>
      <w:pPr>
        <w:numPr>
          <w:ilvl w:val="0"/>
          <w:numId w:val="45"/>
        </w:numPr>
        <w:tabs>
          <w:tab w:val="left" w:pos="742"/>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所投货物是通过中国海关报关验放进入中国境内且产自关境外的（招标文件中注明已办理进口产品核准的除外）；</w:t>
      </w:r>
    </w:p>
    <w:p>
      <w:pPr>
        <w:numPr>
          <w:ilvl w:val="0"/>
          <w:numId w:val="45"/>
        </w:numPr>
        <w:tabs>
          <w:tab w:val="left" w:pos="742"/>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未提供所投货物（工程或服务）的具体参数值或功能表述，或原文复制招标文件的技术规格相关部分内容作为其投标文件的一部分的；</w:t>
      </w:r>
    </w:p>
    <w:p>
      <w:pPr>
        <w:numPr>
          <w:ilvl w:val="0"/>
          <w:numId w:val="45"/>
        </w:numPr>
        <w:tabs>
          <w:tab w:val="left" w:pos="742"/>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不满足招标文件第三章“项目技术、服务和商务要求”中“★”号条款要求的；</w:t>
      </w:r>
    </w:p>
    <w:p>
      <w:pPr>
        <w:numPr>
          <w:ilvl w:val="0"/>
          <w:numId w:val="45"/>
        </w:numPr>
        <w:tabs>
          <w:tab w:val="left" w:pos="742"/>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含有采购人不能接受的附加条件的；</w:t>
      </w:r>
    </w:p>
    <w:p>
      <w:pPr>
        <w:numPr>
          <w:ilvl w:val="0"/>
          <w:numId w:val="45"/>
        </w:numPr>
        <w:tabs>
          <w:tab w:val="left" w:pos="742"/>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未按要求提供《符合性审查对照表》、《商务要求响应、偏离说明表》、《商务要求“★”号条款响应、偏离说明表》、《商务评议对照表》和《技术、服务要求响应、偏离说明表》、《技术、服务要求“★”号条款响应、偏离说明表》、《技术、服务评议对照表》的；</w:t>
      </w:r>
    </w:p>
    <w:p>
      <w:pPr>
        <w:numPr>
          <w:ilvl w:val="0"/>
          <w:numId w:val="45"/>
        </w:numPr>
        <w:tabs>
          <w:tab w:val="left" w:pos="742"/>
        </w:tabs>
        <w:spacing w:line="360" w:lineRule="auto"/>
        <w:ind w:left="10" w:leftChars="5" w:firstLine="237" w:firstLineChars="99"/>
        <w:rPr>
          <w:rFonts w:ascii="Times New Roman" w:hAnsi="宋体"/>
          <w:sz w:val="24"/>
          <w:szCs w:val="24"/>
          <w:lang w:val="zh-CN"/>
        </w:rPr>
      </w:pPr>
      <w:r>
        <w:rPr>
          <w:rFonts w:hint="eastAsia" w:ascii="Times New Roman" w:hAnsi="宋体"/>
          <w:sz w:val="24"/>
          <w:szCs w:val="24"/>
          <w:lang w:val="zh-CN"/>
        </w:rPr>
        <w:t>法律、法规和招标文件规定的其他无效投标情形。</w:t>
      </w:r>
    </w:p>
    <w:p>
      <w:pPr>
        <w:numPr>
          <w:ilvl w:val="0"/>
          <w:numId w:val="44"/>
        </w:numPr>
        <w:ind w:left="1311" w:leftChars="154" w:hanging="988" w:hangingChars="353"/>
        <w:rPr>
          <w:rFonts w:ascii="宋体"/>
          <w:b/>
          <w:sz w:val="28"/>
          <w:szCs w:val="28"/>
          <w:lang w:val="zh-CN"/>
        </w:rPr>
      </w:pPr>
      <w:r>
        <w:rPr>
          <w:rFonts w:hint="eastAsia" w:ascii="宋体" w:hAnsi="宋体"/>
          <w:b/>
          <w:sz w:val="28"/>
          <w:szCs w:val="28"/>
          <w:lang w:val="zh-CN"/>
        </w:rPr>
        <w:t>澄清有关问题</w:t>
      </w:r>
    </w:p>
    <w:p>
      <w:pPr>
        <w:numPr>
          <w:ilvl w:val="0"/>
          <w:numId w:val="46"/>
        </w:numPr>
        <w:tabs>
          <w:tab w:val="left" w:pos="616"/>
        </w:tabs>
        <w:spacing w:line="360" w:lineRule="auto"/>
        <w:ind w:left="10" w:leftChars="5" w:firstLine="237" w:firstLineChars="99"/>
        <w:rPr>
          <w:rFonts w:ascii="Helvetica" w:hAnsi="Helvetica" w:cs="Helvetica"/>
          <w:kern w:val="0"/>
          <w:sz w:val="24"/>
          <w:szCs w:val="24"/>
          <w:lang w:val="zh-CN"/>
        </w:rPr>
      </w:pPr>
      <w:r>
        <w:rPr>
          <w:rFonts w:hint="eastAsia" w:ascii="Helvetica" w:hAnsi="Helvetica" w:cs="Helvetica"/>
          <w:kern w:val="0"/>
          <w:sz w:val="24"/>
          <w:szCs w:val="24"/>
          <w:lang w:val="zh-CN"/>
        </w:rPr>
        <w:t>评标期间，对于投标文件中含义不明确、同类问题表述不一致或者有明显文字和计算错误的内容，评标委员会应当以书面形式要求投标人作出必要的澄清、说明或者补正。</w:t>
      </w:r>
    </w:p>
    <w:p>
      <w:pPr>
        <w:numPr>
          <w:ilvl w:val="0"/>
          <w:numId w:val="46"/>
        </w:numPr>
        <w:tabs>
          <w:tab w:val="left" w:pos="616"/>
        </w:tabs>
        <w:spacing w:line="360" w:lineRule="auto"/>
        <w:ind w:left="10" w:leftChars="5" w:firstLine="237" w:firstLineChars="99"/>
        <w:rPr>
          <w:rFonts w:ascii="宋体"/>
          <w:bCs/>
          <w:strike/>
          <w:sz w:val="24"/>
          <w:szCs w:val="20"/>
          <w:lang w:val="zh-CN"/>
        </w:rPr>
      </w:pPr>
      <w:r>
        <w:rPr>
          <w:rFonts w:hint="eastAsia" w:ascii="宋体" w:hAnsi="宋体"/>
          <w:bCs/>
          <w:sz w:val="24"/>
          <w:szCs w:val="20"/>
          <w:lang w:val="zh-CN"/>
        </w:rPr>
        <w:t>投标人应按照评标委员会要求的澄清内容在规定时间内做出澄清。</w:t>
      </w:r>
      <w:r>
        <w:rPr>
          <w:rFonts w:hint="eastAsia" w:ascii="宋体" w:hAnsi="宋体"/>
          <w:sz w:val="24"/>
          <w:szCs w:val="20"/>
          <w:lang w:val="zh-CN"/>
        </w:rPr>
        <w:t>投标文件报价出现前后不一致的，按照本节第</w:t>
      </w:r>
      <w:r>
        <w:rPr>
          <w:rFonts w:ascii="宋体" w:hAnsi="宋体"/>
          <w:sz w:val="24"/>
          <w:szCs w:val="20"/>
          <w:lang w:val="zh-CN"/>
        </w:rPr>
        <w:t>3</w:t>
      </w:r>
      <w:r>
        <w:rPr>
          <w:rFonts w:hint="eastAsia" w:ascii="宋体" w:hAnsi="宋体"/>
          <w:bCs/>
          <w:sz w:val="24"/>
          <w:szCs w:val="20"/>
          <w:lang w:val="zh-CN"/>
        </w:rPr>
        <w:t>条规定进行修正，</w:t>
      </w:r>
      <w:r>
        <w:rPr>
          <w:rFonts w:hint="eastAsia" w:ascii="Helvetica" w:hAnsi="Helvetica" w:cs="Helvetica"/>
          <w:kern w:val="0"/>
          <w:sz w:val="24"/>
          <w:szCs w:val="24"/>
          <w:lang w:val="zh-CN"/>
        </w:rPr>
        <w:t>投标人的澄清、说明或者补正不得超出投标文件的范围或者改变投标文件的实质性内容。</w:t>
      </w:r>
    </w:p>
    <w:p>
      <w:pPr>
        <w:numPr>
          <w:ilvl w:val="0"/>
          <w:numId w:val="46"/>
        </w:numPr>
        <w:tabs>
          <w:tab w:val="left" w:pos="616"/>
        </w:tabs>
        <w:spacing w:line="360" w:lineRule="auto"/>
        <w:ind w:left="10" w:leftChars="5" w:firstLine="237" w:firstLineChars="99"/>
        <w:rPr>
          <w:rFonts w:ascii="宋体"/>
          <w:bCs/>
          <w:sz w:val="24"/>
          <w:szCs w:val="20"/>
          <w:lang w:val="zh-CN"/>
        </w:rPr>
      </w:pPr>
      <w:r>
        <w:rPr>
          <w:rFonts w:hint="eastAsia" w:ascii="宋体" w:hAnsi="宋体"/>
          <w:bCs/>
          <w:sz w:val="24"/>
          <w:szCs w:val="20"/>
          <w:lang w:val="zh-CN"/>
        </w:rPr>
        <w:t>投标文件报价出现前后不一致的，按照下列规定修正：</w:t>
      </w:r>
    </w:p>
    <w:p>
      <w:pPr>
        <w:numPr>
          <w:ilvl w:val="0"/>
          <w:numId w:val="47"/>
        </w:numPr>
        <w:adjustRightInd w:val="0"/>
        <w:spacing w:line="360" w:lineRule="auto"/>
        <w:ind w:left="742" w:hanging="493"/>
        <w:rPr>
          <w:rFonts w:ascii="宋体"/>
          <w:color w:val="0D0D0D"/>
          <w:sz w:val="24"/>
          <w:szCs w:val="24"/>
          <w:lang w:val="zh-CN"/>
        </w:rPr>
      </w:pPr>
      <w:r>
        <w:rPr>
          <w:rFonts w:hint="eastAsia" w:ascii="宋体" w:hAnsi="宋体"/>
          <w:color w:val="0D0D0D"/>
          <w:sz w:val="24"/>
          <w:szCs w:val="24"/>
          <w:lang w:val="zh-CN"/>
        </w:rPr>
        <w:t>投标文件中开标一览表内容与投标文件中相应内容不一致的，以开标一览表为准。</w:t>
      </w:r>
    </w:p>
    <w:p>
      <w:pPr>
        <w:numPr>
          <w:ilvl w:val="0"/>
          <w:numId w:val="47"/>
        </w:numPr>
        <w:adjustRightInd w:val="0"/>
        <w:spacing w:line="360" w:lineRule="auto"/>
        <w:ind w:left="742" w:hanging="493"/>
        <w:rPr>
          <w:rFonts w:ascii="宋体"/>
          <w:color w:val="0D0D0D"/>
          <w:sz w:val="24"/>
          <w:szCs w:val="24"/>
          <w:lang w:val="zh-CN"/>
        </w:rPr>
      </w:pPr>
      <w:r>
        <w:rPr>
          <w:rFonts w:hint="eastAsia" w:ascii="宋体" w:hAnsi="宋体"/>
          <w:color w:val="0D0D0D"/>
          <w:sz w:val="24"/>
          <w:szCs w:val="24"/>
          <w:lang w:val="zh-CN"/>
        </w:rPr>
        <w:t>大写金额和小写金额不一致的，以大写金额为准。</w:t>
      </w:r>
    </w:p>
    <w:p>
      <w:pPr>
        <w:numPr>
          <w:ilvl w:val="0"/>
          <w:numId w:val="47"/>
        </w:numPr>
        <w:adjustRightInd w:val="0"/>
        <w:spacing w:line="360" w:lineRule="auto"/>
        <w:ind w:left="742" w:hanging="493"/>
        <w:rPr>
          <w:rFonts w:ascii="宋体"/>
          <w:color w:val="0D0D0D"/>
          <w:sz w:val="24"/>
          <w:szCs w:val="24"/>
          <w:lang w:val="zh-CN"/>
        </w:rPr>
      </w:pPr>
      <w:r>
        <w:rPr>
          <w:rFonts w:hint="eastAsia" w:ascii="宋体" w:hAnsi="宋体"/>
          <w:color w:val="0D0D0D"/>
          <w:sz w:val="24"/>
          <w:szCs w:val="24"/>
          <w:lang w:val="zh-CN"/>
        </w:rPr>
        <w:t>单价金额小数点或者百分比有明显错位的，以开标一览表的总价为准，并修改单价。</w:t>
      </w:r>
    </w:p>
    <w:p>
      <w:pPr>
        <w:numPr>
          <w:ilvl w:val="0"/>
          <w:numId w:val="47"/>
        </w:numPr>
        <w:adjustRightInd w:val="0"/>
        <w:spacing w:line="360" w:lineRule="auto"/>
        <w:ind w:left="742" w:hanging="493"/>
        <w:rPr>
          <w:rFonts w:ascii="宋体"/>
          <w:color w:val="0D0D0D"/>
          <w:sz w:val="24"/>
          <w:szCs w:val="24"/>
          <w:lang w:val="zh-CN"/>
        </w:rPr>
      </w:pPr>
      <w:r>
        <w:rPr>
          <w:rFonts w:hint="eastAsia" w:ascii="宋体" w:hAnsi="宋体"/>
          <w:color w:val="0D0D0D"/>
          <w:sz w:val="24"/>
          <w:szCs w:val="24"/>
          <w:lang w:val="zh-CN"/>
        </w:rPr>
        <w:t>总价金额与按单价汇总金额不一致的，以单价金额计算结果为准。</w:t>
      </w:r>
    </w:p>
    <w:p>
      <w:pPr>
        <w:numPr>
          <w:ilvl w:val="0"/>
          <w:numId w:val="47"/>
        </w:numPr>
        <w:adjustRightInd w:val="0"/>
        <w:spacing w:line="360" w:lineRule="auto"/>
        <w:ind w:left="742" w:hanging="493"/>
        <w:rPr>
          <w:rFonts w:ascii="宋体"/>
          <w:color w:val="0D0D0D"/>
          <w:sz w:val="24"/>
          <w:szCs w:val="24"/>
          <w:lang w:val="zh-CN"/>
        </w:rPr>
      </w:pPr>
      <w:r>
        <w:rPr>
          <w:rFonts w:hint="eastAsia" w:ascii="宋体" w:hAnsi="宋体"/>
          <w:color w:val="0D0D0D"/>
          <w:sz w:val="24"/>
          <w:szCs w:val="24"/>
          <w:lang w:val="zh-CN"/>
        </w:rPr>
        <w:t>同时出现两种以上不一致的，按照前款规定的顺序修正。</w:t>
      </w:r>
    </w:p>
    <w:p>
      <w:pPr>
        <w:numPr>
          <w:ilvl w:val="0"/>
          <w:numId w:val="47"/>
        </w:numPr>
        <w:adjustRightInd w:val="0"/>
        <w:spacing w:line="360" w:lineRule="auto"/>
        <w:ind w:left="742" w:hanging="493"/>
        <w:rPr>
          <w:rFonts w:ascii="宋体"/>
          <w:color w:val="0D0D0D"/>
          <w:sz w:val="24"/>
          <w:szCs w:val="24"/>
          <w:lang w:val="zh-CN"/>
        </w:rPr>
      </w:pPr>
      <w:r>
        <w:rPr>
          <w:rFonts w:hint="eastAsia" w:ascii="宋体" w:hAnsi="宋体"/>
          <w:color w:val="0D0D0D"/>
          <w:sz w:val="24"/>
          <w:szCs w:val="24"/>
          <w:lang w:val="zh-CN"/>
        </w:rPr>
        <w:t>修正后的报价按照本节第</w:t>
      </w:r>
      <w:r>
        <w:rPr>
          <w:rFonts w:ascii="宋体" w:hAnsi="宋体"/>
          <w:color w:val="0D0D0D"/>
          <w:sz w:val="24"/>
          <w:szCs w:val="24"/>
          <w:lang w:val="zh-CN"/>
        </w:rPr>
        <w:t>4</w:t>
      </w:r>
      <w:r>
        <w:rPr>
          <w:rFonts w:hint="eastAsia" w:ascii="宋体" w:hAnsi="宋体"/>
          <w:color w:val="0D0D0D"/>
          <w:sz w:val="24"/>
          <w:szCs w:val="24"/>
          <w:lang w:val="zh-CN"/>
        </w:rPr>
        <w:t>条规定经投标人确认后产生约束力，投标人不确认的，按照</w:t>
      </w:r>
      <w:r>
        <w:rPr>
          <w:rFonts w:hint="eastAsia" w:ascii="宋体" w:hAnsi="宋体"/>
          <w:b/>
          <w:color w:val="0D0D0D"/>
          <w:sz w:val="24"/>
          <w:szCs w:val="24"/>
          <w:lang w:val="zh-CN"/>
        </w:rPr>
        <w:t>无效投标处理</w:t>
      </w:r>
      <w:r>
        <w:rPr>
          <w:rFonts w:hint="eastAsia" w:ascii="宋体" w:hAnsi="宋体"/>
          <w:color w:val="0D0D0D"/>
          <w:sz w:val="24"/>
          <w:szCs w:val="24"/>
          <w:lang w:val="zh-CN"/>
        </w:rPr>
        <w:t>。</w:t>
      </w:r>
    </w:p>
    <w:p>
      <w:pPr>
        <w:numPr>
          <w:ilvl w:val="0"/>
          <w:numId w:val="46"/>
        </w:numPr>
        <w:tabs>
          <w:tab w:val="left" w:pos="616"/>
        </w:tabs>
        <w:spacing w:line="360" w:lineRule="auto"/>
        <w:ind w:left="10" w:leftChars="5" w:firstLine="237" w:firstLineChars="99"/>
        <w:rPr>
          <w:rFonts w:ascii="宋体"/>
          <w:sz w:val="24"/>
          <w:szCs w:val="20"/>
          <w:lang w:val="zh-CN"/>
        </w:rPr>
      </w:pPr>
      <w:r>
        <w:rPr>
          <w:rFonts w:hint="eastAsia" w:ascii="宋体" w:hAnsi="宋体"/>
          <w:sz w:val="24"/>
          <w:szCs w:val="20"/>
          <w:lang w:val="zh-CN"/>
        </w:rPr>
        <w:t>投标人的</w:t>
      </w:r>
      <w:r>
        <w:rPr>
          <w:rFonts w:hint="eastAsia" w:ascii="Helvetica" w:hAnsi="Helvetica" w:cs="Helvetica"/>
          <w:kern w:val="0"/>
          <w:sz w:val="24"/>
          <w:szCs w:val="24"/>
          <w:lang w:val="zh-CN"/>
        </w:rPr>
        <w:t>澄清、说明或者补正</w:t>
      </w:r>
      <w:r>
        <w:rPr>
          <w:rFonts w:hint="eastAsia" w:ascii="宋体" w:hAnsi="宋体"/>
          <w:sz w:val="24"/>
          <w:szCs w:val="20"/>
          <w:lang w:val="zh-CN"/>
        </w:rPr>
        <w:t>是其投标文件的有效组成部分。</w:t>
      </w:r>
      <w:r>
        <w:rPr>
          <w:rFonts w:hint="eastAsia" w:ascii="Helvetica" w:hAnsi="Helvetica" w:cs="Helvetica"/>
          <w:kern w:val="0"/>
          <w:sz w:val="24"/>
          <w:szCs w:val="24"/>
          <w:lang w:val="zh-CN"/>
        </w:rPr>
        <w:t>投标人的澄清、说明或者补正应当采用书面形式，并加盖公章，或者由法定代表人或其授权的代表签字。</w:t>
      </w:r>
    </w:p>
    <w:p>
      <w:pPr>
        <w:numPr>
          <w:ilvl w:val="0"/>
          <w:numId w:val="44"/>
        </w:numPr>
        <w:ind w:left="1311" w:leftChars="154" w:hanging="988" w:hangingChars="353"/>
        <w:rPr>
          <w:rFonts w:ascii="宋体"/>
          <w:b/>
          <w:sz w:val="28"/>
          <w:szCs w:val="28"/>
          <w:lang w:val="zh-CN"/>
        </w:rPr>
      </w:pPr>
      <w:r>
        <w:rPr>
          <w:rFonts w:hint="eastAsia" w:ascii="宋体" w:hAnsi="宋体"/>
          <w:b/>
          <w:sz w:val="28"/>
          <w:szCs w:val="28"/>
          <w:lang w:val="zh-CN"/>
        </w:rPr>
        <w:t>综合比较与评价</w:t>
      </w:r>
    </w:p>
    <w:p>
      <w:pPr>
        <w:spacing w:line="360" w:lineRule="auto"/>
        <w:ind w:firstLine="480" w:firstLineChars="200"/>
        <w:rPr>
          <w:rFonts w:ascii="宋体"/>
          <w:bCs/>
          <w:sz w:val="24"/>
          <w:szCs w:val="20"/>
          <w:lang w:val="zh-CN"/>
        </w:rPr>
      </w:pPr>
      <w:r>
        <w:rPr>
          <w:rFonts w:hint="eastAsia" w:ascii="宋体" w:hAnsi="宋体"/>
          <w:bCs/>
          <w:sz w:val="24"/>
          <w:szCs w:val="20"/>
          <w:lang w:val="zh-CN"/>
        </w:rPr>
        <w:t>评标委员会应当按照本章中规定的评标方法和标准，对符合性审查合格的投标文件进行商务和技术、服务评估，综合比较与评价。</w:t>
      </w:r>
    </w:p>
    <w:p>
      <w:pPr>
        <w:numPr>
          <w:ilvl w:val="0"/>
          <w:numId w:val="48"/>
        </w:numPr>
        <w:tabs>
          <w:tab w:val="left" w:pos="616"/>
        </w:tabs>
        <w:spacing w:line="360" w:lineRule="auto"/>
        <w:ind w:left="10" w:leftChars="5" w:firstLine="237" w:firstLineChars="99"/>
        <w:rPr>
          <w:rFonts w:ascii="宋体"/>
          <w:b/>
          <w:bCs/>
          <w:sz w:val="24"/>
          <w:szCs w:val="20"/>
          <w:lang w:val="zh-CN"/>
        </w:rPr>
      </w:pPr>
      <w:r>
        <w:rPr>
          <w:rFonts w:hint="eastAsia" w:ascii="宋体" w:hAnsi="宋体"/>
          <w:b/>
          <w:bCs/>
          <w:sz w:val="24"/>
          <w:szCs w:val="20"/>
          <w:lang w:val="zh-CN"/>
        </w:rPr>
        <w:t>商务评议</w:t>
      </w:r>
    </w:p>
    <w:p>
      <w:pPr>
        <w:spacing w:line="360" w:lineRule="auto"/>
        <w:ind w:firstLine="480" w:firstLineChars="200"/>
        <w:rPr>
          <w:rFonts w:ascii="宋体"/>
          <w:bCs/>
          <w:sz w:val="24"/>
          <w:szCs w:val="20"/>
          <w:lang w:val="zh-CN"/>
        </w:rPr>
      </w:pPr>
      <w:r>
        <w:rPr>
          <w:rFonts w:hint="eastAsia" w:ascii="宋体" w:hAnsi="宋体"/>
          <w:bCs/>
          <w:sz w:val="24"/>
          <w:szCs w:val="20"/>
          <w:lang w:val="zh-CN"/>
        </w:rPr>
        <w:t>评标委员会对符合性审查合格的投标文件进行评议，并依据本章“评审因素及评分标准”中的商务评议进行综合比较和评分。</w:t>
      </w:r>
    </w:p>
    <w:p>
      <w:pPr>
        <w:numPr>
          <w:ilvl w:val="0"/>
          <w:numId w:val="48"/>
        </w:numPr>
        <w:tabs>
          <w:tab w:val="left" w:pos="616"/>
        </w:tabs>
        <w:spacing w:line="360" w:lineRule="auto"/>
        <w:ind w:left="10" w:leftChars="5" w:firstLine="237" w:firstLineChars="99"/>
        <w:rPr>
          <w:rFonts w:ascii="宋体"/>
          <w:b/>
          <w:bCs/>
          <w:sz w:val="24"/>
          <w:szCs w:val="20"/>
          <w:lang w:val="zh-CN"/>
        </w:rPr>
      </w:pPr>
      <w:r>
        <w:rPr>
          <w:rFonts w:hint="eastAsia" w:ascii="宋体" w:hAnsi="宋体"/>
          <w:b/>
          <w:bCs/>
          <w:sz w:val="24"/>
          <w:szCs w:val="20"/>
          <w:lang w:val="zh-CN"/>
        </w:rPr>
        <w:t>技术、服务评议</w:t>
      </w:r>
    </w:p>
    <w:p>
      <w:pPr>
        <w:spacing w:line="360" w:lineRule="auto"/>
        <w:ind w:firstLine="480" w:firstLineChars="200"/>
        <w:rPr>
          <w:rFonts w:ascii="宋体"/>
          <w:kern w:val="0"/>
          <w:sz w:val="24"/>
          <w:szCs w:val="20"/>
          <w:lang w:val="zh-CN"/>
        </w:rPr>
      </w:pPr>
      <w:r>
        <w:rPr>
          <w:rFonts w:hint="eastAsia" w:ascii="宋体" w:hAnsi="宋体"/>
          <w:bCs/>
          <w:sz w:val="24"/>
          <w:szCs w:val="20"/>
          <w:lang w:val="zh-CN"/>
        </w:rPr>
        <w:t>评标委员会对符合性审查合格的投标文件进行评议，并依据本章“评审因素及评分标准”中的技术、服务评议进行综合比较和评分。</w:t>
      </w:r>
    </w:p>
    <w:p>
      <w:pPr>
        <w:numPr>
          <w:ilvl w:val="0"/>
          <w:numId w:val="48"/>
        </w:numPr>
        <w:tabs>
          <w:tab w:val="left" w:pos="616"/>
        </w:tabs>
        <w:spacing w:line="360" w:lineRule="auto"/>
        <w:ind w:left="10" w:leftChars="5" w:firstLine="237" w:firstLineChars="99"/>
        <w:rPr>
          <w:rFonts w:ascii="宋体"/>
          <w:b/>
          <w:bCs/>
          <w:sz w:val="24"/>
          <w:szCs w:val="20"/>
          <w:lang w:val="zh-CN"/>
        </w:rPr>
      </w:pPr>
      <w:r>
        <w:rPr>
          <w:rFonts w:hint="eastAsia" w:ascii="宋体" w:hAnsi="宋体"/>
          <w:b/>
          <w:bCs/>
          <w:sz w:val="24"/>
          <w:szCs w:val="20"/>
          <w:lang w:val="zh-CN"/>
        </w:rPr>
        <w:t>价格评议</w:t>
      </w:r>
    </w:p>
    <w:p>
      <w:pPr>
        <w:spacing w:line="360" w:lineRule="auto"/>
        <w:ind w:firstLine="480" w:firstLineChars="200"/>
        <w:rPr>
          <w:rFonts w:ascii="宋体"/>
          <w:bCs/>
          <w:sz w:val="24"/>
          <w:szCs w:val="24"/>
        </w:rPr>
      </w:pPr>
      <w:r>
        <w:rPr>
          <w:rFonts w:hint="eastAsia" w:ascii="宋体" w:hAnsi="宋体"/>
          <w:b/>
          <w:sz w:val="24"/>
          <w:szCs w:val="24"/>
        </w:rPr>
        <w:t>评标委员会对符合性审查合格的投标文件进行价格评议，报价分采用低价优先法计算，即满足招标文件要求且投标价格（落实政策进行价格调整的，以调整后的价格计算）最低的投标报价为评标基准价，其价格分为满分。其他投标人的价格分按照下列公式计算：报价得分</w:t>
      </w:r>
      <w:r>
        <w:rPr>
          <w:rFonts w:ascii="宋体" w:hAnsi="宋体"/>
          <w:b/>
          <w:sz w:val="24"/>
          <w:szCs w:val="24"/>
        </w:rPr>
        <w:t>=(</w:t>
      </w:r>
      <w:r>
        <w:rPr>
          <w:rFonts w:hint="eastAsia" w:ascii="宋体" w:hAnsi="宋体"/>
          <w:b/>
          <w:sz w:val="24"/>
          <w:szCs w:val="24"/>
        </w:rPr>
        <w:t>评标基准价／投标报价</w:t>
      </w:r>
      <w:r>
        <w:rPr>
          <w:rFonts w:ascii="宋体" w:hAnsi="宋体"/>
          <w:b/>
          <w:sz w:val="24"/>
          <w:szCs w:val="24"/>
        </w:rPr>
        <w:t>)</w:t>
      </w:r>
      <w:r>
        <w:rPr>
          <w:rFonts w:hint="eastAsia" w:ascii="宋体" w:hAnsi="宋体"/>
          <w:b/>
          <w:sz w:val="24"/>
          <w:szCs w:val="24"/>
        </w:rPr>
        <w:t>×价格分。</w:t>
      </w:r>
    </w:p>
    <w:p>
      <w:pPr>
        <w:spacing w:line="360" w:lineRule="auto"/>
        <w:ind w:firstLine="480" w:firstLineChars="200"/>
        <w:rPr>
          <w:rFonts w:ascii="宋体"/>
          <w:bCs/>
          <w:color w:val="FF0000"/>
          <w:sz w:val="24"/>
          <w:szCs w:val="21"/>
          <w:lang w:val="zh-CN"/>
        </w:rPr>
      </w:pPr>
      <w:r>
        <w:rPr>
          <w:rFonts w:hint="eastAsia" w:ascii="宋体" w:hAnsi="宋体"/>
          <w:b/>
          <w:sz w:val="24"/>
          <w:szCs w:val="24"/>
          <w:lang w:val="zh-CN"/>
        </w:rPr>
        <w:t>报价合理性说明：</w:t>
      </w:r>
      <w:r>
        <w:rPr>
          <w:rFonts w:hint="eastAsia" w:ascii="宋体" w:hAnsi="宋体" w:cs="Helvetica"/>
          <w:kern w:val="0"/>
          <w:sz w:val="24"/>
          <w:szCs w:val="24"/>
          <w:lang w:val="zh-CN"/>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应当将其作为</w:t>
      </w:r>
      <w:r>
        <w:rPr>
          <w:rFonts w:hint="eastAsia" w:ascii="宋体" w:hAnsi="宋体" w:cs="Helvetica"/>
          <w:b/>
          <w:kern w:val="0"/>
          <w:sz w:val="24"/>
          <w:szCs w:val="24"/>
          <w:lang w:val="zh-CN"/>
        </w:rPr>
        <w:t>无效投标处理</w:t>
      </w:r>
      <w:r>
        <w:rPr>
          <w:rFonts w:hint="eastAsia" w:ascii="宋体" w:hAnsi="宋体" w:cs="Helvetica"/>
          <w:kern w:val="0"/>
          <w:sz w:val="24"/>
          <w:szCs w:val="24"/>
          <w:lang w:val="zh-CN"/>
        </w:rPr>
        <w:t>。</w:t>
      </w:r>
    </w:p>
    <w:p>
      <w:pPr>
        <w:numPr>
          <w:ilvl w:val="0"/>
          <w:numId w:val="49"/>
        </w:numPr>
        <w:adjustRightInd w:val="0"/>
        <w:spacing w:line="360" w:lineRule="auto"/>
        <w:ind w:left="742" w:hanging="493"/>
        <w:rPr>
          <w:rFonts w:ascii="宋体"/>
          <w:b/>
          <w:sz w:val="24"/>
          <w:szCs w:val="24"/>
          <w:lang w:val="zh-CN"/>
        </w:rPr>
      </w:pPr>
      <w:r>
        <w:rPr>
          <w:rFonts w:hint="eastAsia" w:ascii="宋体" w:hAnsi="宋体"/>
          <w:b/>
          <w:sz w:val="24"/>
          <w:szCs w:val="24"/>
          <w:lang w:val="zh-CN"/>
        </w:rPr>
        <w:t>小型和微型企业、监狱企业、残疾人福利性单位价格扣除：</w:t>
      </w:r>
    </w:p>
    <w:p>
      <w:pPr>
        <w:numPr>
          <w:ilvl w:val="0"/>
          <w:numId w:val="50"/>
        </w:numPr>
        <w:spacing w:line="360" w:lineRule="auto"/>
        <w:ind w:left="1134" w:hanging="756"/>
        <w:rPr>
          <w:rFonts w:ascii="宋体"/>
          <w:bCs/>
          <w:sz w:val="24"/>
          <w:szCs w:val="20"/>
          <w:lang w:val="zh-CN"/>
        </w:rPr>
      </w:pPr>
      <w:r>
        <w:rPr>
          <w:rFonts w:hint="eastAsia" w:ascii="宋体" w:hAnsi="宋体"/>
          <w:bCs/>
          <w:sz w:val="24"/>
          <w:szCs w:val="20"/>
          <w:lang w:val="zh-CN"/>
        </w:rPr>
        <w:t>非专门面向中小企业的货物类采购项目，按招标文件中采购清单确定的货物，对小型和微型企业制造的货物价格给予</w:t>
      </w:r>
      <w:r>
        <w:rPr>
          <w:rFonts w:hint="eastAsia" w:ascii="宋体" w:hAnsi="宋体"/>
          <w:b/>
          <w:bCs/>
          <w:sz w:val="24"/>
          <w:szCs w:val="20"/>
          <w:lang w:val="zh-CN"/>
        </w:rPr>
        <w:t>20</w:t>
      </w:r>
      <w:r>
        <w:rPr>
          <w:rFonts w:ascii="宋体" w:hAnsi="宋体"/>
          <w:b/>
          <w:bCs/>
          <w:sz w:val="24"/>
          <w:szCs w:val="20"/>
          <w:lang w:val="zh-CN"/>
        </w:rPr>
        <w:t>%</w:t>
      </w:r>
      <w:r>
        <w:rPr>
          <w:rFonts w:hint="eastAsia" w:ascii="宋体" w:hAnsi="宋体"/>
          <w:bCs/>
          <w:sz w:val="24"/>
          <w:szCs w:val="20"/>
          <w:lang w:val="zh-CN"/>
        </w:rPr>
        <w:t>的扣除，用扣除后的价格参与评审。</w:t>
      </w:r>
    </w:p>
    <w:p>
      <w:pPr>
        <w:numPr>
          <w:ilvl w:val="0"/>
          <w:numId w:val="50"/>
        </w:numPr>
        <w:spacing w:line="360" w:lineRule="auto"/>
        <w:ind w:left="1134" w:hanging="756"/>
        <w:rPr>
          <w:rFonts w:ascii="宋体"/>
          <w:bCs/>
          <w:sz w:val="24"/>
          <w:szCs w:val="20"/>
          <w:lang w:val="zh-CN"/>
        </w:rPr>
      </w:pPr>
      <w:r>
        <w:rPr>
          <w:rFonts w:hint="eastAsia" w:ascii="宋体" w:hAnsi="宋体"/>
          <w:bCs/>
          <w:sz w:val="24"/>
          <w:szCs w:val="20"/>
          <w:lang w:val="zh-CN"/>
        </w:rPr>
        <w:t>非专门面向中小企业的工程、服务类采购项目，投标人是小型和微型企业的价格给予</w:t>
      </w:r>
      <w:r>
        <w:rPr>
          <w:rFonts w:hint="eastAsia" w:ascii="宋体" w:hAnsi="宋体"/>
          <w:b/>
          <w:bCs/>
          <w:sz w:val="24"/>
          <w:szCs w:val="20"/>
          <w:lang w:val="zh-CN"/>
        </w:rPr>
        <w:t>20</w:t>
      </w:r>
      <w:r>
        <w:rPr>
          <w:rFonts w:ascii="宋体" w:hAnsi="宋体"/>
          <w:b/>
          <w:bCs/>
          <w:sz w:val="24"/>
          <w:szCs w:val="20"/>
          <w:lang w:val="zh-CN"/>
        </w:rPr>
        <w:t>%</w:t>
      </w:r>
      <w:r>
        <w:rPr>
          <w:rFonts w:hint="eastAsia" w:ascii="宋体" w:hAnsi="宋体"/>
          <w:bCs/>
          <w:sz w:val="24"/>
          <w:szCs w:val="20"/>
          <w:lang w:val="zh-CN"/>
        </w:rPr>
        <w:t>的扣除，用扣除后的价格参与评审。</w:t>
      </w:r>
    </w:p>
    <w:p>
      <w:pPr>
        <w:numPr>
          <w:ilvl w:val="0"/>
          <w:numId w:val="50"/>
        </w:numPr>
        <w:spacing w:line="360" w:lineRule="auto"/>
        <w:ind w:left="1134" w:hanging="756"/>
        <w:rPr>
          <w:rFonts w:ascii="宋体"/>
          <w:bCs/>
          <w:sz w:val="24"/>
          <w:szCs w:val="20"/>
          <w:lang w:val="zh-CN"/>
        </w:rPr>
      </w:pPr>
      <w:r>
        <w:rPr>
          <w:rFonts w:hint="eastAsia" w:ascii="宋体" w:hAnsi="宋体"/>
          <w:bCs/>
          <w:sz w:val="24"/>
          <w:szCs w:val="20"/>
          <w:lang w:val="zh-CN"/>
        </w:rPr>
        <w:t>鼓励大中型企业和其他自然人</w:t>
      </w:r>
      <w:r>
        <w:rPr>
          <w:rFonts w:hint="eastAsia" w:ascii="宋体" w:hAnsi="宋体"/>
          <w:bCs/>
          <w:sz w:val="24"/>
          <w:szCs w:val="20"/>
        </w:rPr>
        <w:t>、法人或者其他组织与小型、微型企业组成联合体共同参加非专门面向中小企业的活动。联合协议中约定，小型、微型企业的协议合同金额占到联合体协议合同总金额</w:t>
      </w:r>
      <w:r>
        <w:rPr>
          <w:rFonts w:ascii="宋体" w:hAnsi="宋体"/>
          <w:b/>
          <w:bCs/>
          <w:sz w:val="24"/>
          <w:szCs w:val="20"/>
        </w:rPr>
        <w:t>30%</w:t>
      </w:r>
      <w:r>
        <w:rPr>
          <w:rFonts w:hint="eastAsia" w:ascii="宋体" w:hAnsi="宋体"/>
          <w:bCs/>
          <w:sz w:val="24"/>
          <w:szCs w:val="20"/>
        </w:rPr>
        <w:t>以上的，可给予联合体</w:t>
      </w:r>
      <w:r>
        <w:rPr>
          <w:rFonts w:ascii="宋体" w:hAnsi="宋体"/>
          <w:b/>
          <w:bCs/>
          <w:sz w:val="24"/>
          <w:szCs w:val="20"/>
          <w:lang w:val="zh-CN"/>
        </w:rPr>
        <w:t>3%</w:t>
      </w:r>
      <w:r>
        <w:rPr>
          <w:rFonts w:hint="eastAsia" w:ascii="宋体" w:hAnsi="宋体"/>
          <w:bCs/>
          <w:sz w:val="24"/>
          <w:szCs w:val="20"/>
        </w:rPr>
        <w:t>的价格扣除，</w:t>
      </w:r>
      <w:r>
        <w:rPr>
          <w:rFonts w:hint="eastAsia" w:ascii="宋体" w:hAnsi="宋体"/>
          <w:bCs/>
          <w:sz w:val="24"/>
          <w:szCs w:val="20"/>
          <w:lang w:val="zh-CN"/>
        </w:rPr>
        <w:t>不重复享受政策。</w:t>
      </w:r>
    </w:p>
    <w:p>
      <w:pPr>
        <w:numPr>
          <w:ilvl w:val="0"/>
          <w:numId w:val="50"/>
        </w:numPr>
        <w:spacing w:line="360" w:lineRule="auto"/>
        <w:ind w:left="1134" w:hanging="756"/>
        <w:rPr>
          <w:rFonts w:ascii="宋体"/>
          <w:bCs/>
          <w:sz w:val="24"/>
          <w:szCs w:val="20"/>
          <w:lang w:val="zh-CN"/>
        </w:rPr>
      </w:pPr>
      <w:r>
        <w:rPr>
          <w:rFonts w:hint="eastAsia" w:ascii="宋体" w:hAnsi="宋体"/>
          <w:bCs/>
          <w:sz w:val="24"/>
          <w:szCs w:val="20"/>
          <w:lang w:val="zh-CN"/>
        </w:rPr>
        <w:t>监狱企业、残疾人福利性单位视同小型、微型企业，享受预留份额、评审中价格扣除等促进中小企业发展的政策，残疾人福利性单位属于小型、微型企业的，不重复享受政策。</w:t>
      </w:r>
    </w:p>
    <w:p>
      <w:pPr>
        <w:numPr>
          <w:ilvl w:val="0"/>
          <w:numId w:val="50"/>
        </w:numPr>
        <w:spacing w:line="360" w:lineRule="auto"/>
        <w:ind w:left="1134" w:hanging="756"/>
        <w:rPr>
          <w:rFonts w:ascii="宋体"/>
          <w:bCs/>
          <w:sz w:val="24"/>
          <w:szCs w:val="20"/>
          <w:lang w:val="zh-CN"/>
        </w:rPr>
      </w:pPr>
      <w:r>
        <w:rPr>
          <w:rFonts w:hint="eastAsia" w:ascii="宋体" w:hAnsi="宋体"/>
          <w:bCs/>
          <w:sz w:val="24"/>
          <w:szCs w:val="20"/>
          <w:lang w:val="zh-CN"/>
        </w:rPr>
        <w:t>小型和微型企业应出具《声明函》（附件二、三）；监狱企业应提供由省级监狱局、戒毒局（含新疆生产建设兵团）出具的监狱企业的证明文件；残疾人福利性单位提供《声明函》（附件四）。</w:t>
      </w:r>
    </w:p>
    <w:p>
      <w:pPr>
        <w:numPr>
          <w:ilvl w:val="0"/>
          <w:numId w:val="48"/>
        </w:numPr>
        <w:tabs>
          <w:tab w:val="left" w:pos="616"/>
        </w:tabs>
        <w:spacing w:line="360" w:lineRule="auto"/>
        <w:ind w:left="10" w:leftChars="5" w:firstLine="237" w:firstLineChars="99"/>
        <w:rPr>
          <w:rFonts w:ascii="宋体"/>
          <w:b/>
          <w:bCs/>
          <w:sz w:val="24"/>
          <w:szCs w:val="20"/>
          <w:lang w:val="zh-CN"/>
        </w:rPr>
      </w:pPr>
      <w:r>
        <w:rPr>
          <w:rFonts w:hint="eastAsia" w:ascii="宋体" w:hAnsi="宋体"/>
          <w:b/>
          <w:bCs/>
          <w:sz w:val="24"/>
          <w:szCs w:val="20"/>
          <w:lang w:val="zh-CN"/>
        </w:rPr>
        <w:t>相同品牌处理原则</w:t>
      </w:r>
    </w:p>
    <w:p>
      <w:pPr>
        <w:numPr>
          <w:ilvl w:val="0"/>
          <w:numId w:val="51"/>
        </w:numPr>
        <w:adjustRightInd w:val="0"/>
        <w:spacing w:line="360" w:lineRule="auto"/>
        <w:ind w:left="756" w:hanging="507"/>
        <w:rPr>
          <w:rFonts w:ascii="Helvetica" w:hAnsi="Helvetica" w:cs="Helvetica"/>
          <w:color w:val="0D0D0D"/>
          <w:kern w:val="0"/>
          <w:sz w:val="24"/>
          <w:szCs w:val="24"/>
          <w:lang w:val="zh-CN"/>
        </w:rPr>
      </w:pPr>
      <w:r>
        <w:rPr>
          <w:rFonts w:hint="eastAsia" w:ascii="Helvetica" w:hAnsi="Helvetica" w:cs="Helvetica"/>
          <w:color w:val="0D0D0D"/>
          <w:kern w:val="0"/>
          <w:sz w:val="24"/>
          <w:szCs w:val="24"/>
          <w:lang w:val="zh-CN"/>
        </w:rPr>
        <w:t>提供相同品牌产品且通过资格审查、符合性审查的不同投标人参加同一合同项下投标的，按一家投标人计算，评审后得分最高的同品牌投标人获得中标人推荐资格；评审得分相同的，由采购人确定或者采购人委托评标委员会以投票方式确定一个投标人获得中标人推荐资格，其他同品牌投标人不作为中标候选人。</w:t>
      </w:r>
    </w:p>
    <w:p>
      <w:pPr>
        <w:numPr>
          <w:ilvl w:val="0"/>
          <w:numId w:val="51"/>
        </w:numPr>
        <w:adjustRightInd w:val="0"/>
        <w:spacing w:line="360" w:lineRule="auto"/>
        <w:ind w:left="756" w:hanging="507"/>
        <w:rPr>
          <w:rFonts w:ascii="Helvetica" w:hAnsi="Helvetica" w:cs="Helvetica"/>
          <w:color w:val="0D0D0D"/>
          <w:kern w:val="0"/>
          <w:sz w:val="24"/>
          <w:szCs w:val="24"/>
          <w:lang w:val="zh-CN"/>
        </w:rPr>
      </w:pPr>
      <w:r>
        <w:rPr>
          <w:rFonts w:hint="eastAsia" w:ascii="Helvetica" w:hAnsi="Helvetica" w:cs="Helvetica"/>
          <w:color w:val="0D0D0D"/>
          <w:kern w:val="0"/>
          <w:sz w:val="24"/>
          <w:szCs w:val="24"/>
          <w:lang w:val="zh-CN"/>
        </w:rPr>
        <w:t>非单一产品采购项目，采购人</w:t>
      </w:r>
      <w:r>
        <w:rPr>
          <w:rFonts w:hint="eastAsia" w:ascii="Helvetica" w:hAnsi="Helvetica" w:cs="Helvetica"/>
          <w:kern w:val="0"/>
          <w:sz w:val="24"/>
          <w:szCs w:val="24"/>
          <w:lang w:val="zh-CN"/>
        </w:rPr>
        <w:t>应当根据采购项目技术构成、产品价格比重等合理确定</w:t>
      </w:r>
      <w:r>
        <w:rPr>
          <w:rFonts w:hint="eastAsia" w:ascii="Helvetica" w:hAnsi="Helvetica" w:cs="Helvetica"/>
          <w:b/>
          <w:kern w:val="0"/>
          <w:sz w:val="24"/>
          <w:szCs w:val="24"/>
          <w:lang w:val="zh-CN"/>
        </w:rPr>
        <w:t>一个核心产品</w:t>
      </w:r>
      <w:r>
        <w:rPr>
          <w:rFonts w:hint="eastAsia" w:ascii="Helvetica" w:hAnsi="Helvetica" w:cs="Helvetica"/>
          <w:kern w:val="0"/>
          <w:sz w:val="24"/>
          <w:szCs w:val="24"/>
          <w:lang w:val="zh-CN"/>
        </w:rPr>
        <w:t>（</w:t>
      </w:r>
      <w:r>
        <w:rPr>
          <w:rFonts w:hint="eastAsia" w:ascii="Helvetica" w:hAnsi="Helvetica" w:cs="Helvetica"/>
          <w:color w:val="0D0D0D"/>
          <w:kern w:val="0"/>
          <w:sz w:val="24"/>
          <w:szCs w:val="24"/>
          <w:lang w:val="zh-CN"/>
        </w:rPr>
        <w:t>采购清单中作“相同〈或同一〉品牌”实质性要求的产品，视为一个核心产品</w:t>
      </w:r>
      <w:r>
        <w:rPr>
          <w:rFonts w:hint="eastAsia" w:ascii="Helvetica" w:hAnsi="Helvetica" w:cs="Helvetica"/>
          <w:kern w:val="0"/>
          <w:sz w:val="24"/>
          <w:szCs w:val="24"/>
          <w:lang w:val="zh-CN"/>
        </w:rPr>
        <w:t>）</w:t>
      </w:r>
      <w:r>
        <w:rPr>
          <w:rFonts w:hint="eastAsia" w:ascii="Helvetica" w:hAnsi="Helvetica" w:cs="Helvetica"/>
          <w:color w:val="0D0D0D"/>
          <w:kern w:val="0"/>
          <w:sz w:val="24"/>
          <w:szCs w:val="24"/>
          <w:lang w:val="zh-CN"/>
        </w:rPr>
        <w:t>，</w:t>
      </w:r>
      <w:r>
        <w:rPr>
          <w:rFonts w:hint="eastAsia" w:ascii="Helvetica" w:hAnsi="Helvetica" w:cs="Helvetica"/>
          <w:kern w:val="0"/>
          <w:sz w:val="24"/>
          <w:szCs w:val="24"/>
          <w:lang w:val="zh-CN"/>
        </w:rPr>
        <w:t>并以</w:t>
      </w:r>
      <w:r>
        <w:rPr>
          <w:rFonts w:hint="eastAsia" w:ascii="Helvetica" w:hAnsi="Helvetica" w:cs="Helvetica"/>
          <w:b/>
          <w:kern w:val="0"/>
          <w:sz w:val="24"/>
          <w:szCs w:val="24"/>
          <w:lang w:val="zh-CN"/>
        </w:rPr>
        <w:t>“</w:t>
      </w:r>
      <w:r>
        <w:rPr>
          <w:rFonts w:hint="eastAsia" w:ascii="MS Gothic" w:hAnsi="MS Gothic" w:cs="MS Gothic"/>
          <w:b/>
          <w:kern w:val="0"/>
          <w:sz w:val="24"/>
          <w:szCs w:val="24"/>
          <w:lang w:val="zh-CN"/>
        </w:rPr>
        <w:t>核心产品</w:t>
      </w:r>
      <w:r>
        <w:rPr>
          <w:rFonts w:hint="eastAsia" w:ascii="Helvetica" w:hAnsi="Helvetica" w:cs="Helvetica"/>
          <w:b/>
          <w:kern w:val="0"/>
          <w:sz w:val="24"/>
          <w:szCs w:val="24"/>
          <w:lang w:val="zh-CN"/>
        </w:rPr>
        <w:t>”</w:t>
      </w:r>
      <w:r>
        <w:rPr>
          <w:rFonts w:hint="eastAsia" w:ascii="Helvetica" w:hAnsi="Helvetica" w:cs="Helvetica"/>
          <w:kern w:val="0"/>
          <w:sz w:val="24"/>
          <w:szCs w:val="24"/>
          <w:lang w:val="zh-CN"/>
        </w:rPr>
        <w:t>在</w:t>
      </w:r>
      <w:r>
        <w:rPr>
          <w:rFonts w:hint="eastAsia" w:ascii="Helvetica" w:hAnsi="Helvetica" w:cs="Helvetica"/>
          <w:color w:val="0D0D0D"/>
          <w:kern w:val="0"/>
          <w:sz w:val="24"/>
          <w:szCs w:val="24"/>
          <w:lang w:val="zh-CN"/>
        </w:rPr>
        <w:t>招标文件中标注。</w:t>
      </w:r>
    </w:p>
    <w:p>
      <w:pPr>
        <w:numPr>
          <w:ilvl w:val="0"/>
          <w:numId w:val="48"/>
        </w:numPr>
        <w:tabs>
          <w:tab w:val="left" w:pos="616"/>
        </w:tabs>
        <w:spacing w:line="360" w:lineRule="auto"/>
        <w:ind w:left="10" w:leftChars="5" w:firstLine="237" w:firstLineChars="99"/>
        <w:rPr>
          <w:rFonts w:ascii="宋体"/>
          <w:b/>
          <w:bCs/>
          <w:sz w:val="24"/>
          <w:szCs w:val="20"/>
          <w:lang w:val="zh-CN"/>
        </w:rPr>
      </w:pPr>
      <w:r>
        <w:rPr>
          <w:rFonts w:hint="eastAsia" w:ascii="宋体" w:hAnsi="宋体"/>
          <w:b/>
          <w:bCs/>
          <w:sz w:val="24"/>
          <w:szCs w:val="20"/>
          <w:lang w:val="zh-CN"/>
        </w:rPr>
        <w:t>计分办法</w:t>
      </w:r>
    </w:p>
    <w:p>
      <w:pPr>
        <w:numPr>
          <w:ilvl w:val="0"/>
          <w:numId w:val="52"/>
        </w:numPr>
        <w:adjustRightInd w:val="0"/>
        <w:spacing w:line="360" w:lineRule="auto"/>
        <w:ind w:left="756" w:hanging="507"/>
        <w:rPr>
          <w:rFonts w:ascii="Helvetica" w:hAnsi="Helvetica" w:cs="Helvetica"/>
          <w:kern w:val="0"/>
          <w:sz w:val="24"/>
          <w:szCs w:val="24"/>
          <w:lang w:val="zh-CN"/>
        </w:rPr>
      </w:pPr>
      <w:r>
        <w:rPr>
          <w:rFonts w:hint="eastAsia" w:ascii="Helvetica" w:hAnsi="Helvetica" w:cs="Helvetica"/>
          <w:kern w:val="0"/>
          <w:sz w:val="24"/>
          <w:szCs w:val="24"/>
          <w:lang w:val="zh-CN"/>
        </w:rPr>
        <w:t>集中采购机构对各评委的总分进行复核。各项统计结果均精确到小数点后两位。</w:t>
      </w:r>
    </w:p>
    <w:p>
      <w:pPr>
        <w:numPr>
          <w:ilvl w:val="0"/>
          <w:numId w:val="52"/>
        </w:numPr>
        <w:adjustRightInd w:val="0"/>
        <w:spacing w:line="360" w:lineRule="auto"/>
        <w:ind w:left="756" w:hanging="507"/>
        <w:rPr>
          <w:rFonts w:ascii="Helvetica" w:hAnsi="Helvetica" w:cs="Helvetica"/>
          <w:kern w:val="0"/>
          <w:sz w:val="24"/>
          <w:szCs w:val="24"/>
          <w:lang w:val="zh-CN"/>
        </w:rPr>
      </w:pPr>
      <w:r>
        <w:rPr>
          <w:rFonts w:hint="eastAsia" w:ascii="Helvetica" w:hAnsi="Helvetica" w:cs="Helvetica"/>
          <w:kern w:val="0"/>
          <w:sz w:val="24"/>
          <w:szCs w:val="24"/>
          <w:lang w:val="zh-CN"/>
        </w:rPr>
        <w:t>各投标人的最终得分为评委所评定分数的算术平均值。</w:t>
      </w:r>
    </w:p>
    <w:p>
      <w:pPr>
        <w:numPr>
          <w:ilvl w:val="0"/>
          <w:numId w:val="44"/>
        </w:numPr>
        <w:ind w:left="1311" w:leftChars="154" w:hanging="988" w:hangingChars="353"/>
        <w:rPr>
          <w:rFonts w:ascii="宋体"/>
          <w:b/>
          <w:sz w:val="28"/>
          <w:szCs w:val="28"/>
          <w:lang w:val="zh-CN"/>
        </w:rPr>
      </w:pPr>
      <w:r>
        <w:rPr>
          <w:rFonts w:hint="eastAsia" w:ascii="宋体" w:hAnsi="宋体"/>
          <w:b/>
          <w:sz w:val="28"/>
          <w:szCs w:val="28"/>
          <w:lang w:val="zh-CN"/>
        </w:rPr>
        <w:t>推荐中标候选人名单或确定中标人</w:t>
      </w:r>
    </w:p>
    <w:p>
      <w:pPr>
        <w:numPr>
          <w:ilvl w:val="0"/>
          <w:numId w:val="53"/>
        </w:numPr>
        <w:tabs>
          <w:tab w:val="left" w:pos="616"/>
        </w:tabs>
        <w:spacing w:line="360" w:lineRule="auto"/>
        <w:ind w:left="10" w:leftChars="5" w:firstLine="237" w:firstLineChars="99"/>
        <w:rPr>
          <w:rFonts w:ascii="Helvetica" w:hAnsi="Helvetica" w:cs="Helvetica"/>
          <w:kern w:val="0"/>
          <w:sz w:val="24"/>
          <w:szCs w:val="24"/>
          <w:lang w:val="zh-CN"/>
        </w:rPr>
      </w:pPr>
      <w:r>
        <w:rPr>
          <w:rFonts w:hint="eastAsia" w:ascii="Helvetica" w:hAnsi="Helvetica" w:cs="Helvetica"/>
          <w:kern w:val="0"/>
          <w:sz w:val="24"/>
          <w:szCs w:val="24"/>
          <w:lang w:val="zh-CN"/>
        </w:rPr>
        <w:t>评标委员会按照招标文件确定的评标方法、程序及标准，对投标文件进行评审。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p>
    <w:p>
      <w:pPr>
        <w:numPr>
          <w:ilvl w:val="0"/>
          <w:numId w:val="53"/>
        </w:numPr>
        <w:tabs>
          <w:tab w:val="left" w:pos="616"/>
        </w:tabs>
        <w:spacing w:line="360" w:lineRule="auto"/>
        <w:ind w:left="10" w:leftChars="5" w:firstLine="237" w:firstLineChars="99"/>
        <w:rPr>
          <w:rFonts w:ascii="Helvetica" w:hAnsi="Helvetica" w:cs="Helvetica"/>
          <w:kern w:val="0"/>
          <w:sz w:val="24"/>
          <w:szCs w:val="24"/>
          <w:lang w:val="zh-CN"/>
        </w:rPr>
      </w:pPr>
      <w:r>
        <w:rPr>
          <w:rFonts w:hint="eastAsia" w:ascii="Helvetica" w:hAnsi="Helvetica" w:cs="Helvetica"/>
          <w:kern w:val="0"/>
          <w:sz w:val="24"/>
          <w:szCs w:val="24"/>
          <w:lang w:val="zh-CN"/>
        </w:rPr>
        <w:t>评标委员会依据评标结果，按各投标人的评审后得分由高到低的顺序向采购人推荐得分前三名的进入中标候选人名单，并形成书面的评标报告。</w:t>
      </w:r>
    </w:p>
    <w:p>
      <w:pPr>
        <w:numPr>
          <w:ilvl w:val="0"/>
          <w:numId w:val="53"/>
        </w:numPr>
        <w:tabs>
          <w:tab w:val="left" w:pos="616"/>
        </w:tabs>
        <w:spacing w:line="360" w:lineRule="auto"/>
        <w:ind w:left="10" w:leftChars="5" w:firstLine="237" w:firstLineChars="99"/>
        <w:rPr>
          <w:rFonts w:ascii="Helvetica" w:hAnsi="Helvetica" w:cs="Helvetica"/>
          <w:kern w:val="0"/>
          <w:sz w:val="24"/>
          <w:szCs w:val="24"/>
          <w:lang w:val="zh-CN"/>
        </w:rPr>
      </w:pPr>
      <w:r>
        <w:rPr>
          <w:rFonts w:hint="eastAsia" w:ascii="Helvetica" w:hAnsi="Helvetica" w:cs="Helvetica"/>
          <w:kern w:val="0"/>
          <w:sz w:val="24"/>
          <w:szCs w:val="24"/>
          <w:lang w:val="zh-CN"/>
        </w:rPr>
        <w:t>中标候选人并列的，由采购人确定或者采购人委托评标委员会以投票方式确定中标人。</w:t>
      </w:r>
    </w:p>
    <w:p>
      <w:pPr>
        <w:numPr>
          <w:ilvl w:val="0"/>
          <w:numId w:val="53"/>
        </w:numPr>
        <w:tabs>
          <w:tab w:val="left" w:pos="616"/>
        </w:tabs>
        <w:spacing w:line="360" w:lineRule="auto"/>
        <w:ind w:left="10" w:leftChars="5" w:firstLine="237" w:firstLineChars="99"/>
        <w:rPr>
          <w:rFonts w:ascii="Helvetica" w:hAnsi="Helvetica" w:cs="Helvetica"/>
          <w:kern w:val="0"/>
          <w:sz w:val="24"/>
          <w:szCs w:val="24"/>
          <w:lang w:val="zh-CN"/>
        </w:rPr>
      </w:pPr>
      <w:r>
        <w:rPr>
          <w:rFonts w:hint="eastAsia" w:ascii="Helvetica" w:hAnsi="Helvetica" w:cs="Helvetica"/>
          <w:kern w:val="0"/>
          <w:sz w:val="24"/>
          <w:szCs w:val="24"/>
          <w:lang w:val="zh-CN"/>
        </w:rPr>
        <w:t>评标委员会应当在评标报告上签字，对自己的评审意见承担法律责任。对评标报告有异议的，应当在评标报告上签署不同意见，并说明理由，否则视为同意评标报告。</w:t>
      </w:r>
    </w:p>
    <w:p>
      <w:pPr>
        <w:numPr>
          <w:ilvl w:val="0"/>
          <w:numId w:val="53"/>
        </w:numPr>
        <w:tabs>
          <w:tab w:val="left" w:pos="616"/>
        </w:tabs>
        <w:spacing w:line="360" w:lineRule="auto"/>
        <w:ind w:left="10" w:leftChars="5" w:firstLine="237" w:firstLineChars="99"/>
        <w:rPr>
          <w:rFonts w:ascii="Helvetica" w:hAnsi="Helvetica" w:cs="Helvetica"/>
          <w:kern w:val="0"/>
          <w:sz w:val="24"/>
          <w:szCs w:val="24"/>
          <w:lang w:val="zh-CN"/>
        </w:rPr>
      </w:pPr>
      <w:r>
        <w:rPr>
          <w:rFonts w:hint="eastAsia" w:ascii="Helvetica" w:hAnsi="Helvetica" w:cs="Helvetica"/>
          <w:kern w:val="0"/>
          <w:sz w:val="24"/>
          <w:szCs w:val="24"/>
          <w:lang w:val="zh-CN"/>
        </w:rPr>
        <w:t>中标人的数量有其他规定的，应在此处明确方法、中标比例等。</w:t>
      </w:r>
    </w:p>
    <w:p>
      <w:pPr>
        <w:widowControl/>
        <w:jc w:val="left"/>
        <w:rPr>
          <w:rFonts w:ascii="Helvetica" w:hAnsi="Helvetica" w:cs="Helvetica"/>
          <w:kern w:val="0"/>
          <w:sz w:val="24"/>
          <w:szCs w:val="24"/>
          <w:lang w:val="zh-CN"/>
        </w:rPr>
      </w:pPr>
      <w:r>
        <w:rPr>
          <w:rFonts w:ascii="Helvetica" w:hAnsi="Helvetica" w:cs="Helvetica"/>
          <w:kern w:val="0"/>
          <w:sz w:val="24"/>
          <w:szCs w:val="24"/>
          <w:lang w:val="zh-CN"/>
        </w:rPr>
        <w:br w:type="page"/>
      </w:r>
    </w:p>
    <w:p>
      <w:pPr>
        <w:pStyle w:val="4"/>
        <w:numPr>
          <w:ilvl w:val="0"/>
          <w:numId w:val="43"/>
        </w:numPr>
        <w:spacing w:before="0" w:after="0" w:line="360" w:lineRule="auto"/>
        <w:ind w:left="616" w:hanging="616"/>
        <w:jc w:val="left"/>
        <w:rPr>
          <w:rFonts w:ascii="宋体" w:hAnsi="宋体"/>
          <w:bCs w:val="0"/>
          <w:sz w:val="30"/>
          <w:szCs w:val="30"/>
          <w:lang w:val="zh-CN"/>
        </w:rPr>
      </w:pPr>
      <w:bookmarkStart w:id="61" w:name="_Toc106268622"/>
      <w:bookmarkStart w:id="62" w:name="_Toc494561963"/>
      <w:r>
        <w:rPr>
          <w:rFonts w:hint="eastAsia" w:ascii="宋体" w:hAnsi="宋体"/>
          <w:bCs w:val="0"/>
          <w:sz w:val="30"/>
          <w:szCs w:val="30"/>
          <w:lang w:val="zh-CN"/>
        </w:rPr>
        <w:t>评审因素及评分标准</w:t>
      </w:r>
      <w:bookmarkEnd w:id="61"/>
      <w:bookmarkEnd w:id="62"/>
    </w:p>
    <w:tbl>
      <w:tblPr>
        <w:tblStyle w:val="29"/>
        <w:tblW w:w="9745" w:type="dxa"/>
        <w:tblInd w:w="9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9"/>
        <w:gridCol w:w="740"/>
        <w:gridCol w:w="1510"/>
        <w:gridCol w:w="709"/>
        <w:gridCol w:w="60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5" w:type="dxa"/>
            <w:gridSpan w:val="5"/>
          </w:tcPr>
          <w:p>
            <w:pPr>
              <w:pStyle w:val="4"/>
              <w:spacing w:before="0" w:after="0" w:line="360" w:lineRule="auto"/>
              <w:ind w:left="616"/>
              <w:jc w:val="center"/>
              <w:outlineLvl w:val="1"/>
              <w:rPr>
                <w:rFonts w:ascii="宋体" w:hAnsi="宋体"/>
                <w:bCs w:val="0"/>
                <w:sz w:val="30"/>
                <w:szCs w:val="30"/>
                <w:lang w:val="zh-CN"/>
              </w:rPr>
            </w:pPr>
            <w:r>
              <w:rPr>
                <w:rFonts w:hint="eastAsia"/>
                <w:b w:val="0"/>
                <w:lang w:val="zh-CN"/>
              </w:rPr>
              <w:t>一标段</w:t>
            </w:r>
            <w:r>
              <w:rPr>
                <w:rFonts w:hint="eastAsia" w:ascii="宋体" w:hAnsi="宋体"/>
                <w:bCs w:val="0"/>
                <w:sz w:val="30"/>
                <w:szCs w:val="30"/>
                <w:lang w:val="zh-CN"/>
              </w:rPr>
              <w:t>评审因素及评分标准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739" w:type="dxa"/>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rPr>
              <w:t>类别</w:t>
            </w:r>
          </w:p>
        </w:tc>
        <w:tc>
          <w:tcPr>
            <w:tcW w:w="2250" w:type="dxa"/>
            <w:gridSpan w:val="2"/>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rPr>
              <w:t>评分项目</w:t>
            </w:r>
          </w:p>
        </w:tc>
        <w:tc>
          <w:tcPr>
            <w:tcW w:w="709" w:type="dxa"/>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rPr>
              <w:t>分值</w:t>
            </w:r>
          </w:p>
        </w:tc>
        <w:tc>
          <w:tcPr>
            <w:tcW w:w="6047" w:type="dxa"/>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rPr>
              <w:t>评分参考及范围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1" w:hRule="atLeast"/>
        </w:trPr>
        <w:tc>
          <w:tcPr>
            <w:tcW w:w="739" w:type="dxa"/>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rPr>
              <w:t>价格</w:t>
            </w:r>
            <w:r>
              <w:rPr>
                <w:rFonts w:ascii="宋体" w:hAnsi="宋体" w:cs="宋体"/>
                <w:color w:val="000000"/>
                <w:kern w:val="0"/>
                <w:sz w:val="18"/>
                <w:szCs w:val="18"/>
              </w:rPr>
              <w:t>30分</w:t>
            </w:r>
          </w:p>
        </w:tc>
        <w:tc>
          <w:tcPr>
            <w:tcW w:w="2250" w:type="dxa"/>
            <w:gridSpan w:val="2"/>
            <w:vAlign w:val="center"/>
          </w:tcPr>
          <w:p>
            <w:pPr>
              <w:widowControl/>
              <w:jc w:val="center"/>
              <w:textAlignment w:val="center"/>
              <w:rPr>
                <w:rFonts w:ascii="宋体" w:hAnsi="宋体" w:cs="宋体"/>
                <w:color w:val="000000"/>
                <w:sz w:val="18"/>
                <w:szCs w:val="18"/>
              </w:rPr>
            </w:pPr>
            <w:r>
              <w:rPr>
                <w:rFonts w:hint="eastAsia" w:ascii="宋体" w:hAnsi="宋体" w:cs="宋体"/>
                <w:color w:val="000000"/>
                <w:kern w:val="0"/>
                <w:sz w:val="18"/>
                <w:szCs w:val="18"/>
              </w:rPr>
              <w:t>投标总价</w:t>
            </w:r>
            <w:r>
              <w:rPr>
                <w:rFonts w:ascii="宋体" w:hAnsi="宋体" w:cs="宋体"/>
                <w:color w:val="000000"/>
                <w:kern w:val="0"/>
                <w:sz w:val="18"/>
                <w:szCs w:val="18"/>
              </w:rPr>
              <w:t>30分</w:t>
            </w:r>
          </w:p>
        </w:tc>
        <w:tc>
          <w:tcPr>
            <w:tcW w:w="709" w:type="dxa"/>
            <w:vAlign w:val="center"/>
          </w:tcPr>
          <w:p>
            <w:pPr>
              <w:widowControl/>
              <w:jc w:val="center"/>
              <w:textAlignment w:val="center"/>
              <w:rPr>
                <w:rFonts w:ascii="宋体" w:hAnsi="宋体" w:cs="宋体"/>
                <w:color w:val="000000"/>
                <w:sz w:val="18"/>
                <w:szCs w:val="18"/>
              </w:rPr>
            </w:pPr>
            <w:r>
              <w:rPr>
                <w:rFonts w:ascii="宋体" w:hAnsi="宋体" w:cs="宋体"/>
                <w:color w:val="000000"/>
                <w:kern w:val="0"/>
                <w:sz w:val="18"/>
                <w:szCs w:val="18"/>
              </w:rPr>
              <w:t>30</w:t>
            </w:r>
          </w:p>
        </w:tc>
        <w:tc>
          <w:tcPr>
            <w:tcW w:w="6047" w:type="dxa"/>
          </w:tcPr>
          <w:p>
            <w:pPr>
              <w:widowControl/>
              <w:textAlignment w:val="center"/>
              <w:rPr>
                <w:rFonts w:ascii="宋体" w:hAnsi="宋体" w:cs="宋体"/>
                <w:color w:val="000000"/>
                <w:sz w:val="18"/>
                <w:szCs w:val="18"/>
              </w:rPr>
            </w:pPr>
            <w:r>
              <w:rPr>
                <w:rStyle w:val="73"/>
                <w:rFonts w:hint="default"/>
                <w:sz w:val="18"/>
                <w:szCs w:val="18"/>
              </w:rPr>
              <w:t>本价格权值为30%。采用低价优先法计算，即满足招标文件要求且投标价格最低的投标报价为评标基准价，其价格分为满分。其他投标人的价格分统一按照下列公式计算：投标报价得分=（评标基准价/投标报价）×价格权值×100。计算时按四舍五入后保留小数点后两位小数。</w:t>
            </w:r>
            <w:r>
              <w:rPr>
                <w:rStyle w:val="74"/>
                <w:rFonts w:hint="default"/>
                <w:sz w:val="18"/>
                <w:szCs w:val="18"/>
              </w:rPr>
              <w:t>为保证产品质量，投标报价低于采购预算80%时，评标委员会将对其进行成本分析，评标委员会认为报价低于成本价时将否决其投标。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0" w:hRule="atLeast"/>
        </w:trPr>
        <w:tc>
          <w:tcPr>
            <w:tcW w:w="739" w:type="dxa"/>
            <w:vMerge w:val="restart"/>
            <w:vAlign w:val="center"/>
          </w:tcPr>
          <w:p>
            <w:pPr>
              <w:widowControl/>
              <w:jc w:val="center"/>
              <w:textAlignment w:val="center"/>
              <w:rPr>
                <w:rFonts w:ascii="宋体" w:hAnsi="宋体" w:cs="宋体"/>
                <w:color w:val="000000"/>
                <w:sz w:val="18"/>
                <w:szCs w:val="18"/>
              </w:rPr>
            </w:pPr>
            <w:r>
              <w:rPr>
                <w:rStyle w:val="73"/>
                <w:rFonts w:hint="default"/>
                <w:sz w:val="18"/>
                <w:szCs w:val="18"/>
              </w:rPr>
              <w:t>技术部分</w:t>
            </w:r>
            <w:r>
              <w:rPr>
                <w:rStyle w:val="75"/>
                <w:rFonts w:hint="default"/>
                <w:color w:val="000000" w:themeColor="text1"/>
                <w:sz w:val="18"/>
                <w:szCs w:val="18"/>
              </w:rPr>
              <w:t>55分</w:t>
            </w:r>
          </w:p>
        </w:tc>
        <w:tc>
          <w:tcPr>
            <w:tcW w:w="2250" w:type="dxa"/>
            <w:gridSpan w:val="2"/>
            <w:vAlign w:val="center"/>
          </w:tcPr>
          <w:p>
            <w:pPr>
              <w:widowControl/>
              <w:jc w:val="center"/>
              <w:textAlignment w:val="center"/>
              <w:rPr>
                <w:rFonts w:ascii="宋体" w:hAnsi="宋体" w:cs="宋体"/>
                <w:color w:val="000000"/>
                <w:kern w:val="0"/>
                <w:sz w:val="18"/>
                <w:szCs w:val="18"/>
              </w:rPr>
            </w:pPr>
            <w:r>
              <w:rPr>
                <w:rFonts w:hint="eastAsia" w:ascii="宋体" w:hAnsi="宋体" w:cs="宋体"/>
                <w:color w:val="000000"/>
                <w:kern w:val="0"/>
                <w:sz w:val="18"/>
                <w:szCs w:val="18"/>
              </w:rPr>
              <w:t>符合性</w:t>
            </w:r>
          </w:p>
        </w:tc>
        <w:tc>
          <w:tcPr>
            <w:tcW w:w="709" w:type="dxa"/>
            <w:vAlign w:val="center"/>
          </w:tcPr>
          <w:p>
            <w:pPr>
              <w:widowControl/>
              <w:jc w:val="center"/>
              <w:textAlignment w:val="center"/>
              <w:rPr>
                <w:rFonts w:ascii="宋体" w:hAnsi="宋体" w:cs="宋体"/>
                <w:color w:val="000000"/>
                <w:kern w:val="0"/>
                <w:sz w:val="18"/>
                <w:szCs w:val="18"/>
              </w:rPr>
            </w:pPr>
            <w:r>
              <w:rPr>
                <w:rFonts w:ascii="宋体" w:hAnsi="宋体" w:cs="宋体"/>
                <w:color w:val="000000"/>
                <w:kern w:val="0"/>
                <w:sz w:val="18"/>
                <w:szCs w:val="18"/>
              </w:rPr>
              <w:t>20</w:t>
            </w:r>
          </w:p>
        </w:tc>
        <w:tc>
          <w:tcPr>
            <w:tcW w:w="6047" w:type="dxa"/>
          </w:tcPr>
          <w:p>
            <w:pPr>
              <w:widowControl/>
              <w:textAlignment w:val="center"/>
              <w:rPr>
                <w:rFonts w:ascii="宋体" w:hAnsi="宋体" w:cs="宋体"/>
                <w:color w:val="000000"/>
                <w:kern w:val="0"/>
                <w:sz w:val="18"/>
                <w:szCs w:val="18"/>
              </w:rPr>
            </w:pPr>
            <w:r>
              <w:rPr>
                <w:rFonts w:hint="eastAsia" w:ascii="宋体" w:hAnsi="宋体" w:cs="宋体"/>
                <w:color w:val="000000"/>
                <w:kern w:val="0"/>
                <w:sz w:val="18"/>
                <w:szCs w:val="18"/>
              </w:rPr>
              <w:t>技术参数完全满足或正偏离的得</w:t>
            </w:r>
            <w:r>
              <w:rPr>
                <w:rFonts w:ascii="宋体" w:hAnsi="宋体" w:cs="宋体"/>
                <w:color w:val="000000"/>
                <w:kern w:val="0"/>
                <w:sz w:val="18"/>
                <w:szCs w:val="18"/>
              </w:rPr>
              <w:t>20分，产品技术参数中标记“▲”的参数任一项未达到招标参数要求每项扣2分；产品技术参数中未标记“▲”的参数任一项未达到招标参数要求的每项扣1分，扣完为止。（要求提供产品证明材料的，如投标文件中未提供，则该项视为负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2" w:hRule="atLeast"/>
        </w:trPr>
        <w:tc>
          <w:tcPr>
            <w:tcW w:w="739" w:type="dxa"/>
            <w:vMerge w:val="continue"/>
            <w:vAlign w:val="center"/>
          </w:tcPr>
          <w:p>
            <w:pPr>
              <w:keepNext/>
              <w:keepLines/>
              <w:numPr>
                <w:ilvl w:val="2"/>
                <w:numId w:val="0"/>
              </w:numPr>
              <w:spacing w:before="260" w:after="260" w:line="413" w:lineRule="auto"/>
              <w:jc w:val="center"/>
              <w:outlineLvl w:val="2"/>
              <w:rPr>
                <w:rFonts w:ascii="宋体" w:hAnsi="宋体" w:cs="宋体"/>
                <w:color w:val="000000"/>
                <w:sz w:val="18"/>
                <w:szCs w:val="18"/>
              </w:rPr>
            </w:pPr>
          </w:p>
        </w:tc>
        <w:tc>
          <w:tcPr>
            <w:tcW w:w="740" w:type="dxa"/>
            <w:vMerge w:val="restart"/>
            <w:vAlign w:val="center"/>
          </w:tcPr>
          <w:p>
            <w:pPr>
              <w:widowControl/>
              <w:jc w:val="center"/>
              <w:textAlignment w:val="center"/>
              <w:rPr>
                <w:rFonts w:ascii="宋体" w:hAnsi="宋体" w:cs="宋体"/>
                <w:color w:val="000000"/>
                <w:kern w:val="0"/>
                <w:sz w:val="18"/>
                <w:szCs w:val="18"/>
              </w:rPr>
            </w:pPr>
            <w:r>
              <w:rPr>
                <w:rFonts w:hint="eastAsia" w:ascii="宋体" w:hAnsi="宋体" w:cs="宋体"/>
                <w:color w:val="000000"/>
                <w:kern w:val="0"/>
                <w:sz w:val="18"/>
                <w:szCs w:val="18"/>
              </w:rPr>
              <w:t>交通信号灯</w:t>
            </w:r>
          </w:p>
        </w:tc>
        <w:tc>
          <w:tcPr>
            <w:tcW w:w="1510" w:type="dxa"/>
            <w:vMerge w:val="restart"/>
            <w:vAlign w:val="center"/>
          </w:tcPr>
          <w:p>
            <w:pPr>
              <w:widowControl/>
              <w:jc w:val="center"/>
              <w:textAlignment w:val="center"/>
              <w:rPr>
                <w:rFonts w:ascii="宋体" w:hAnsi="宋体" w:cs="宋体"/>
                <w:color w:val="000000"/>
                <w:kern w:val="0"/>
                <w:sz w:val="18"/>
                <w:szCs w:val="18"/>
              </w:rPr>
            </w:pPr>
            <w:r>
              <w:rPr>
                <w:rFonts w:hint="eastAsia" w:ascii="宋体" w:hAnsi="宋体" w:cs="宋体"/>
                <w:color w:val="000000"/>
                <w:kern w:val="0"/>
                <w:sz w:val="18"/>
                <w:szCs w:val="18"/>
              </w:rPr>
              <w:t>集中协调式交通信号机</w:t>
            </w:r>
          </w:p>
        </w:tc>
        <w:tc>
          <w:tcPr>
            <w:tcW w:w="709" w:type="dxa"/>
            <w:vMerge w:val="restart"/>
            <w:vAlign w:val="center"/>
          </w:tcPr>
          <w:p>
            <w:pPr>
              <w:widowControl/>
              <w:jc w:val="center"/>
              <w:textAlignment w:val="center"/>
              <w:rPr>
                <w:rFonts w:ascii="宋体" w:hAnsi="宋体" w:cs="宋体"/>
                <w:color w:val="000000"/>
                <w:kern w:val="0"/>
                <w:sz w:val="18"/>
                <w:szCs w:val="18"/>
              </w:rPr>
            </w:pPr>
            <w:r>
              <w:rPr>
                <w:rFonts w:ascii="宋体" w:hAnsi="宋体" w:cs="宋体"/>
                <w:color w:val="000000"/>
                <w:kern w:val="0"/>
                <w:sz w:val="18"/>
                <w:szCs w:val="18"/>
              </w:rPr>
              <w:t>6</w:t>
            </w:r>
          </w:p>
        </w:tc>
        <w:tc>
          <w:tcPr>
            <w:tcW w:w="6047" w:type="dxa"/>
          </w:tcPr>
          <w:p>
            <w:pPr>
              <w:widowControl/>
              <w:textAlignment w:val="center"/>
              <w:rPr>
                <w:rFonts w:ascii="宋体" w:hAnsi="宋体" w:cs="宋体"/>
                <w:color w:val="000000"/>
                <w:kern w:val="0"/>
                <w:sz w:val="18"/>
                <w:szCs w:val="18"/>
              </w:rPr>
            </w:pPr>
            <w:r>
              <w:rPr>
                <w:rFonts w:ascii="宋体" w:hAnsi="宋体" w:cs="宋体"/>
                <w:color w:val="000000"/>
                <w:kern w:val="0"/>
                <w:sz w:val="18"/>
                <w:szCs w:val="18"/>
              </w:rPr>
              <w:t xml:space="preserve">1）协调式信号机应符合《道路交通信号控制机》（GB25280-2016）C类A级耐温等级，且通过公安部交通安全产品质量监督检测中心检测。得3分，未提供得0分；（提供相关证明材料真彩扫描件加盖投标公章， </w:t>
            </w:r>
            <w:r>
              <w:rPr>
                <w:rFonts w:hint="eastAsia" w:ascii="宋体" w:hAnsi="宋体" w:cs="宋体"/>
                <w:color w:val="000000"/>
                <w:kern w:val="0"/>
                <w:sz w:val="18"/>
                <w:szCs w:val="18"/>
              </w:rPr>
              <w:t>模糊不清做无效处理）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739" w:type="dxa"/>
            <w:vMerge w:val="continue"/>
            <w:vAlign w:val="center"/>
          </w:tcPr>
          <w:p>
            <w:pPr>
              <w:keepNext/>
              <w:keepLines/>
              <w:numPr>
                <w:ilvl w:val="2"/>
                <w:numId w:val="0"/>
              </w:numPr>
              <w:spacing w:before="260" w:after="260" w:line="413" w:lineRule="auto"/>
              <w:jc w:val="center"/>
              <w:outlineLvl w:val="2"/>
              <w:rPr>
                <w:rFonts w:ascii="宋体" w:hAnsi="宋体" w:cs="宋体"/>
                <w:color w:val="000000"/>
                <w:sz w:val="18"/>
                <w:szCs w:val="18"/>
              </w:rPr>
            </w:pPr>
          </w:p>
        </w:tc>
        <w:tc>
          <w:tcPr>
            <w:tcW w:w="740" w:type="dxa"/>
            <w:vMerge w:val="continue"/>
            <w:vAlign w:val="center"/>
          </w:tcPr>
          <w:p>
            <w:pPr>
              <w:keepNext/>
              <w:keepLines/>
              <w:numPr>
                <w:ilvl w:val="2"/>
                <w:numId w:val="0"/>
              </w:numPr>
              <w:spacing w:before="260" w:after="260" w:line="413" w:lineRule="auto"/>
              <w:jc w:val="center"/>
              <w:outlineLvl w:val="2"/>
              <w:rPr>
                <w:rFonts w:ascii="宋体" w:hAnsi="宋体" w:cs="宋体"/>
                <w:color w:val="000000"/>
                <w:kern w:val="0"/>
                <w:sz w:val="18"/>
                <w:szCs w:val="18"/>
              </w:rPr>
            </w:pPr>
          </w:p>
        </w:tc>
        <w:tc>
          <w:tcPr>
            <w:tcW w:w="1510" w:type="dxa"/>
            <w:vMerge w:val="continue"/>
            <w:vAlign w:val="center"/>
          </w:tcPr>
          <w:p>
            <w:pPr>
              <w:keepNext/>
              <w:keepLines/>
              <w:numPr>
                <w:ilvl w:val="2"/>
                <w:numId w:val="0"/>
              </w:numPr>
              <w:spacing w:before="260" w:after="260" w:line="413" w:lineRule="auto"/>
              <w:jc w:val="center"/>
              <w:outlineLvl w:val="2"/>
              <w:rPr>
                <w:rFonts w:ascii="宋体" w:hAnsi="宋体" w:cs="宋体"/>
                <w:color w:val="000000"/>
                <w:kern w:val="0"/>
                <w:sz w:val="18"/>
                <w:szCs w:val="18"/>
              </w:rPr>
            </w:pPr>
          </w:p>
        </w:tc>
        <w:tc>
          <w:tcPr>
            <w:tcW w:w="709" w:type="dxa"/>
            <w:vMerge w:val="continue"/>
            <w:vAlign w:val="center"/>
          </w:tcPr>
          <w:p>
            <w:pPr>
              <w:keepNext/>
              <w:keepLines/>
              <w:numPr>
                <w:ilvl w:val="2"/>
                <w:numId w:val="0"/>
              </w:numPr>
              <w:spacing w:before="260" w:after="260" w:line="413" w:lineRule="auto"/>
              <w:jc w:val="center"/>
              <w:outlineLvl w:val="2"/>
              <w:rPr>
                <w:rFonts w:ascii="宋体" w:hAnsi="宋体" w:cs="宋体"/>
                <w:color w:val="000000"/>
                <w:kern w:val="0"/>
                <w:sz w:val="18"/>
                <w:szCs w:val="18"/>
              </w:rPr>
            </w:pPr>
          </w:p>
        </w:tc>
        <w:tc>
          <w:tcPr>
            <w:tcW w:w="6047" w:type="dxa"/>
          </w:tcPr>
          <w:p>
            <w:pPr>
              <w:widowControl/>
              <w:textAlignment w:val="center"/>
              <w:rPr>
                <w:rFonts w:ascii="宋体" w:hAnsi="宋体" w:cs="宋体"/>
                <w:color w:val="000000"/>
                <w:kern w:val="0"/>
                <w:sz w:val="18"/>
                <w:szCs w:val="18"/>
              </w:rPr>
            </w:pPr>
            <w:r>
              <w:rPr>
                <w:rFonts w:ascii="宋体" w:hAnsi="宋体" w:cs="宋体"/>
                <w:color w:val="000000"/>
                <w:kern w:val="0"/>
                <w:sz w:val="18"/>
                <w:szCs w:val="18"/>
              </w:rPr>
              <w:t xml:space="preserve">2）具备电磁兼容性保护、过载过压保护，通过CE认证。得3分,未提供得0分；（提供相关证明材料真彩扫描件加盖投标公章， </w:t>
            </w:r>
            <w:r>
              <w:rPr>
                <w:rFonts w:hint="eastAsia" w:ascii="宋体" w:hAnsi="宋体" w:cs="宋体"/>
                <w:color w:val="000000"/>
                <w:kern w:val="0"/>
                <w:sz w:val="18"/>
                <w:szCs w:val="18"/>
              </w:rPr>
              <w:t>模糊不清做无效处理）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4" w:hRule="atLeast"/>
        </w:trPr>
        <w:tc>
          <w:tcPr>
            <w:tcW w:w="739" w:type="dxa"/>
            <w:vMerge w:val="continue"/>
            <w:vAlign w:val="center"/>
          </w:tcPr>
          <w:p>
            <w:pPr>
              <w:keepNext/>
              <w:keepLines/>
              <w:numPr>
                <w:ilvl w:val="2"/>
                <w:numId w:val="0"/>
              </w:numPr>
              <w:spacing w:before="260" w:after="260" w:line="413" w:lineRule="auto"/>
              <w:jc w:val="center"/>
              <w:outlineLvl w:val="2"/>
              <w:rPr>
                <w:rFonts w:ascii="宋体" w:hAnsi="宋体" w:cs="宋体"/>
                <w:color w:val="000000"/>
                <w:sz w:val="18"/>
                <w:szCs w:val="18"/>
              </w:rPr>
            </w:pPr>
          </w:p>
        </w:tc>
        <w:tc>
          <w:tcPr>
            <w:tcW w:w="740" w:type="dxa"/>
            <w:vMerge w:val="restart"/>
            <w:vAlign w:val="center"/>
          </w:tcPr>
          <w:p>
            <w:pPr>
              <w:widowControl/>
              <w:jc w:val="center"/>
              <w:textAlignment w:val="center"/>
              <w:rPr>
                <w:rFonts w:ascii="宋体" w:hAnsi="宋体" w:cs="宋体"/>
                <w:color w:val="000000"/>
                <w:kern w:val="0"/>
                <w:sz w:val="18"/>
                <w:szCs w:val="18"/>
              </w:rPr>
            </w:pPr>
            <w:r>
              <w:rPr>
                <w:rFonts w:hint="eastAsia" w:ascii="宋体" w:hAnsi="宋体" w:cs="宋体"/>
                <w:color w:val="000000"/>
                <w:kern w:val="0"/>
                <w:sz w:val="18"/>
                <w:szCs w:val="18"/>
              </w:rPr>
              <w:t>电子警察</w:t>
            </w:r>
          </w:p>
        </w:tc>
        <w:tc>
          <w:tcPr>
            <w:tcW w:w="1510" w:type="dxa"/>
            <w:vAlign w:val="center"/>
          </w:tcPr>
          <w:p>
            <w:pPr>
              <w:widowControl/>
              <w:jc w:val="center"/>
              <w:textAlignment w:val="center"/>
              <w:rPr>
                <w:rFonts w:ascii="宋体" w:hAnsi="宋体" w:cs="宋体"/>
                <w:color w:val="000000"/>
                <w:kern w:val="0"/>
                <w:sz w:val="18"/>
                <w:szCs w:val="18"/>
              </w:rPr>
            </w:pPr>
            <w:r>
              <w:rPr>
                <w:rFonts w:hint="eastAsia" w:ascii="宋体" w:hAnsi="宋体" w:cs="宋体"/>
                <w:color w:val="000000"/>
                <w:kern w:val="0"/>
                <w:sz w:val="18"/>
                <w:szCs w:val="18"/>
              </w:rPr>
              <w:t>系统安全性</w:t>
            </w:r>
          </w:p>
        </w:tc>
        <w:tc>
          <w:tcPr>
            <w:tcW w:w="709" w:type="dxa"/>
            <w:vAlign w:val="center"/>
          </w:tcPr>
          <w:p>
            <w:pPr>
              <w:widowControl/>
              <w:jc w:val="center"/>
              <w:textAlignment w:val="center"/>
              <w:rPr>
                <w:rFonts w:ascii="宋体" w:hAnsi="宋体" w:cs="宋体"/>
                <w:color w:val="000000"/>
                <w:kern w:val="0"/>
                <w:sz w:val="18"/>
                <w:szCs w:val="18"/>
              </w:rPr>
            </w:pPr>
            <w:r>
              <w:rPr>
                <w:rFonts w:ascii="宋体" w:hAnsi="宋体" w:cs="宋体"/>
                <w:color w:val="000000"/>
                <w:kern w:val="0"/>
                <w:sz w:val="18"/>
                <w:szCs w:val="18"/>
              </w:rPr>
              <w:t>6</w:t>
            </w:r>
          </w:p>
        </w:tc>
        <w:tc>
          <w:tcPr>
            <w:tcW w:w="6047" w:type="dxa"/>
          </w:tcPr>
          <w:p>
            <w:pPr>
              <w:widowControl/>
              <w:textAlignment w:val="center"/>
              <w:rPr>
                <w:rFonts w:ascii="宋体" w:hAnsi="宋体" w:cs="宋体"/>
                <w:color w:val="000000"/>
                <w:kern w:val="0"/>
                <w:sz w:val="18"/>
                <w:szCs w:val="18"/>
              </w:rPr>
            </w:pPr>
            <w:r>
              <w:rPr>
                <w:rFonts w:hint="eastAsia" w:ascii="宋体" w:hAnsi="宋体" w:cs="宋体"/>
                <w:color w:val="000000"/>
                <w:kern w:val="0"/>
                <w:sz w:val="18"/>
                <w:szCs w:val="18"/>
              </w:rPr>
              <w:t>设备厂家提供的解决方案需有如下基于系统安全的功能：</w:t>
            </w:r>
            <w:r>
              <w:rPr>
                <w:rFonts w:ascii="宋体" w:hAnsi="宋体" w:cs="宋体"/>
                <w:color w:val="000000"/>
                <w:kern w:val="0"/>
                <w:sz w:val="18"/>
                <w:szCs w:val="18"/>
              </w:rPr>
              <w:br w:type="textWrapping"/>
            </w:r>
            <w:r>
              <w:rPr>
                <w:rFonts w:hint="eastAsia" w:ascii="宋体" w:hAnsi="宋体" w:cs="宋体"/>
                <w:color w:val="000000"/>
                <w:kern w:val="0"/>
                <w:sz w:val="18"/>
                <w:szCs w:val="18"/>
              </w:rPr>
              <w:t>（</w:t>
            </w:r>
            <w:r>
              <w:rPr>
                <w:rFonts w:ascii="宋体" w:hAnsi="宋体" w:cs="宋体"/>
                <w:color w:val="000000"/>
                <w:kern w:val="0"/>
                <w:sz w:val="18"/>
                <w:szCs w:val="18"/>
              </w:rPr>
              <w:t>1）支持监控设备应向视频管理服务器注册，未注册到视频管理服务器前，视频管理服务器仅开放指定通信端口，注册成功后视频管理服务器才开放视频业务端口；</w:t>
            </w:r>
            <w:r>
              <w:rPr>
                <w:rFonts w:ascii="宋体" w:hAnsi="宋体" w:cs="宋体"/>
                <w:color w:val="000000"/>
                <w:kern w:val="0"/>
                <w:sz w:val="18"/>
                <w:szCs w:val="18"/>
              </w:rPr>
              <w:br w:type="textWrapping"/>
            </w:r>
            <w:r>
              <w:rPr>
                <w:rFonts w:hint="eastAsia" w:ascii="宋体" w:hAnsi="宋体" w:cs="宋体"/>
                <w:color w:val="000000"/>
                <w:kern w:val="0"/>
                <w:sz w:val="18"/>
                <w:szCs w:val="18"/>
              </w:rPr>
              <w:t>（</w:t>
            </w:r>
            <w:r>
              <w:rPr>
                <w:rFonts w:ascii="宋体" w:hAnsi="宋体" w:cs="宋体"/>
                <w:color w:val="000000"/>
                <w:kern w:val="0"/>
                <w:sz w:val="18"/>
                <w:szCs w:val="18"/>
              </w:rPr>
              <w:t>2）支持基于MAC地址的黑名单控制；支持基于IP地址的黑名单控制，基于业务端口的报文过滤；</w:t>
            </w:r>
            <w:r>
              <w:rPr>
                <w:rFonts w:ascii="宋体" w:hAnsi="宋体" w:cs="宋体"/>
                <w:color w:val="000000"/>
                <w:kern w:val="0"/>
                <w:sz w:val="18"/>
                <w:szCs w:val="18"/>
              </w:rPr>
              <w:br w:type="textWrapping"/>
            </w:r>
            <w:r>
              <w:rPr>
                <w:rFonts w:hint="eastAsia" w:ascii="宋体" w:hAnsi="宋体" w:cs="宋体"/>
                <w:color w:val="000000"/>
                <w:kern w:val="0"/>
                <w:sz w:val="18"/>
                <w:szCs w:val="18"/>
              </w:rPr>
              <w:t>（</w:t>
            </w:r>
            <w:r>
              <w:rPr>
                <w:rFonts w:ascii="宋体" w:hAnsi="宋体" w:cs="宋体"/>
                <w:color w:val="000000"/>
                <w:kern w:val="0"/>
                <w:sz w:val="18"/>
                <w:szCs w:val="18"/>
              </w:rPr>
              <w:t>3）支持视频监控信令过滤，仅允许特定信令报文通过；支持视频监控码流过滤，仅允许特定码流报文通过；</w:t>
            </w:r>
            <w:r>
              <w:rPr>
                <w:rFonts w:ascii="宋体" w:hAnsi="宋体" w:cs="宋体"/>
                <w:color w:val="000000"/>
                <w:kern w:val="0"/>
                <w:sz w:val="18"/>
                <w:szCs w:val="18"/>
              </w:rPr>
              <w:br w:type="textWrapping"/>
            </w:r>
            <w:r>
              <w:rPr>
                <w:rFonts w:hint="eastAsia" w:ascii="宋体" w:hAnsi="宋体" w:cs="宋体"/>
                <w:color w:val="000000"/>
                <w:kern w:val="0"/>
                <w:sz w:val="18"/>
                <w:szCs w:val="18"/>
              </w:rPr>
              <w:t>（</w:t>
            </w:r>
            <w:r>
              <w:rPr>
                <w:rFonts w:ascii="宋体" w:hAnsi="宋体" w:cs="宋体"/>
                <w:color w:val="000000"/>
                <w:kern w:val="0"/>
                <w:sz w:val="18"/>
                <w:szCs w:val="18"/>
              </w:rPr>
              <w:t>4）可设置安全网段，并针对该网段的用户执行自定义的安全访问策略，安全网段可与监控设备处于不同网段。</w:t>
            </w:r>
            <w:r>
              <w:rPr>
                <w:rFonts w:ascii="宋体" w:hAnsi="宋体" w:cs="宋体"/>
                <w:color w:val="000000"/>
                <w:kern w:val="0"/>
                <w:sz w:val="18"/>
                <w:szCs w:val="18"/>
              </w:rPr>
              <w:br w:type="textWrapping"/>
            </w:r>
            <w:r>
              <w:rPr>
                <w:rFonts w:hint="eastAsia" w:ascii="宋体" w:hAnsi="宋体" w:cs="宋体"/>
                <w:color w:val="000000"/>
                <w:kern w:val="0"/>
                <w:sz w:val="18"/>
                <w:szCs w:val="18"/>
              </w:rPr>
              <w:t>视频监控系统具备完善的网络及安全解决方案设计，以上功能需提供公安部权威机构出具的安全测评报告复印件加盖原厂鲜章证明，全部满足得</w:t>
            </w:r>
            <w:r>
              <w:rPr>
                <w:rFonts w:ascii="宋体" w:hAnsi="宋体" w:cs="宋体"/>
                <w:color w:val="000000"/>
                <w:kern w:val="0"/>
                <w:sz w:val="18"/>
                <w:szCs w:val="18"/>
              </w:rPr>
              <w:t>6分，一项不满足不得分。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739" w:type="dxa"/>
            <w:vMerge w:val="continue"/>
            <w:vAlign w:val="center"/>
          </w:tcPr>
          <w:p>
            <w:pPr>
              <w:keepNext/>
              <w:keepLines/>
              <w:numPr>
                <w:ilvl w:val="2"/>
                <w:numId w:val="0"/>
              </w:numPr>
              <w:spacing w:before="260" w:after="260" w:line="413" w:lineRule="auto"/>
              <w:jc w:val="center"/>
              <w:outlineLvl w:val="2"/>
              <w:rPr>
                <w:rFonts w:ascii="宋体" w:hAnsi="宋体" w:cs="宋体"/>
                <w:color w:val="000000"/>
                <w:sz w:val="18"/>
                <w:szCs w:val="18"/>
              </w:rPr>
            </w:pPr>
          </w:p>
        </w:tc>
        <w:tc>
          <w:tcPr>
            <w:tcW w:w="740" w:type="dxa"/>
            <w:vMerge w:val="continue"/>
            <w:vAlign w:val="center"/>
          </w:tcPr>
          <w:p>
            <w:pPr>
              <w:keepNext/>
              <w:keepLines/>
              <w:numPr>
                <w:ilvl w:val="2"/>
                <w:numId w:val="0"/>
              </w:numPr>
              <w:spacing w:before="260" w:after="260" w:line="413" w:lineRule="auto"/>
              <w:jc w:val="center"/>
              <w:outlineLvl w:val="2"/>
              <w:rPr>
                <w:rFonts w:ascii="宋体" w:hAnsi="宋体" w:cs="宋体"/>
                <w:color w:val="000000"/>
                <w:kern w:val="0"/>
                <w:sz w:val="18"/>
                <w:szCs w:val="18"/>
              </w:rPr>
            </w:pPr>
          </w:p>
        </w:tc>
        <w:tc>
          <w:tcPr>
            <w:tcW w:w="1510" w:type="dxa"/>
            <w:vAlign w:val="center"/>
          </w:tcPr>
          <w:p>
            <w:pPr>
              <w:widowControl/>
              <w:jc w:val="left"/>
              <w:textAlignment w:val="center"/>
              <w:rPr>
                <w:rFonts w:ascii="宋体" w:hAnsi="宋体" w:cs="宋体"/>
                <w:color w:val="000000"/>
                <w:kern w:val="0"/>
                <w:sz w:val="18"/>
                <w:szCs w:val="18"/>
              </w:rPr>
            </w:pPr>
            <w:r>
              <w:rPr>
                <w:kern w:val="0"/>
              </w:rPr>
              <w:t>600万摄像单元</w:t>
            </w:r>
          </w:p>
        </w:tc>
        <w:tc>
          <w:tcPr>
            <w:tcW w:w="709" w:type="dxa"/>
            <w:vAlign w:val="center"/>
          </w:tcPr>
          <w:p>
            <w:pPr>
              <w:widowControl/>
              <w:jc w:val="center"/>
              <w:textAlignment w:val="center"/>
              <w:rPr>
                <w:rFonts w:ascii="宋体" w:hAnsi="宋体" w:cs="宋体"/>
                <w:color w:val="000000"/>
                <w:kern w:val="0"/>
                <w:sz w:val="18"/>
                <w:szCs w:val="18"/>
              </w:rPr>
            </w:pPr>
            <w:r>
              <w:rPr>
                <w:rFonts w:ascii="宋体" w:hAnsi="宋体" w:cs="宋体"/>
                <w:color w:val="000000"/>
                <w:kern w:val="0"/>
                <w:sz w:val="18"/>
                <w:szCs w:val="18"/>
              </w:rPr>
              <w:t>4</w:t>
            </w:r>
          </w:p>
        </w:tc>
        <w:tc>
          <w:tcPr>
            <w:tcW w:w="6047" w:type="dxa"/>
          </w:tcPr>
          <w:p>
            <w:pPr>
              <w:widowControl/>
              <w:jc w:val="left"/>
              <w:textAlignment w:val="center"/>
              <w:rPr>
                <w:rFonts w:ascii="宋体" w:hAnsi="宋体" w:cs="宋体"/>
                <w:color w:val="000000"/>
                <w:kern w:val="0"/>
                <w:sz w:val="18"/>
                <w:szCs w:val="18"/>
              </w:rPr>
            </w:pPr>
            <w:r>
              <w:rPr>
                <w:rFonts w:ascii="宋体" w:hAnsi="宋体" w:cs="宋体"/>
                <w:color w:val="000000"/>
                <w:kern w:val="0"/>
                <w:sz w:val="18"/>
                <w:szCs w:val="18"/>
              </w:rPr>
              <w:t>1）支持多帧识别功能、自定义路由功能、双网隔离功能</w:t>
            </w:r>
            <w:r>
              <w:rPr>
                <w:rFonts w:hint="eastAsia" w:ascii="宋体" w:hAnsi="宋体" w:cs="宋体"/>
                <w:color w:val="000000"/>
                <w:kern w:val="0"/>
                <w:sz w:val="18"/>
                <w:szCs w:val="18"/>
              </w:rPr>
              <w:t>，提供公安部权威机构检测报告为证并加盖公章为证。得</w:t>
            </w:r>
            <w:r>
              <w:rPr>
                <w:rFonts w:ascii="宋体" w:hAnsi="宋体" w:cs="宋体"/>
                <w:color w:val="000000"/>
                <w:kern w:val="0"/>
                <w:sz w:val="18"/>
                <w:szCs w:val="18"/>
              </w:rPr>
              <w:t>2</w:t>
            </w:r>
            <w:r>
              <w:rPr>
                <w:rFonts w:hint="eastAsia" w:ascii="宋体" w:hAnsi="宋体" w:cs="宋体"/>
                <w:color w:val="000000"/>
                <w:kern w:val="0"/>
                <w:sz w:val="18"/>
                <w:szCs w:val="18"/>
              </w:rPr>
              <w:t>分。</w:t>
            </w:r>
            <w:r>
              <w:rPr>
                <w:rFonts w:ascii="宋体" w:hAnsi="宋体" w:cs="宋体"/>
                <w:color w:val="000000"/>
                <w:kern w:val="0"/>
                <w:sz w:val="18"/>
                <w:szCs w:val="18"/>
              </w:rPr>
              <w:br w:type="textWrapping"/>
            </w:r>
            <w:r>
              <w:rPr>
                <w:rFonts w:ascii="宋体" w:hAnsi="宋体" w:cs="宋体"/>
                <w:color w:val="000000"/>
                <w:kern w:val="0"/>
                <w:sz w:val="18"/>
                <w:szCs w:val="18"/>
              </w:rPr>
              <w:t>2）设备WEB界面可设置多个违法的优先级，实现生成所有违法类型与仅生成最高优先级违法两者可选，提供公安部权威机构检测报告为证并加盖</w:t>
            </w:r>
            <w:r>
              <w:rPr>
                <w:rFonts w:hint="eastAsia" w:ascii="宋体" w:hAnsi="宋体" w:cs="宋体"/>
                <w:color w:val="000000"/>
                <w:kern w:val="0"/>
                <w:sz w:val="18"/>
                <w:szCs w:val="18"/>
              </w:rPr>
              <w:t>公章为证。得</w:t>
            </w:r>
            <w:r>
              <w:rPr>
                <w:rFonts w:ascii="宋体" w:hAnsi="宋体" w:cs="宋体"/>
                <w:color w:val="000000"/>
                <w:kern w:val="0"/>
                <w:sz w:val="18"/>
                <w:szCs w:val="18"/>
              </w:rPr>
              <w:t>2分。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739" w:type="dxa"/>
            <w:vMerge w:val="continue"/>
            <w:vAlign w:val="center"/>
          </w:tcPr>
          <w:p>
            <w:pPr>
              <w:jc w:val="center"/>
              <w:rPr>
                <w:rFonts w:ascii="宋体" w:hAnsi="宋体" w:cs="宋体"/>
                <w:color w:val="000000"/>
                <w:sz w:val="18"/>
                <w:szCs w:val="18"/>
              </w:rPr>
            </w:pPr>
          </w:p>
        </w:tc>
        <w:tc>
          <w:tcPr>
            <w:tcW w:w="740" w:type="dxa"/>
            <w:vMerge w:val="continue"/>
            <w:vAlign w:val="center"/>
          </w:tcPr>
          <w:p>
            <w:pPr>
              <w:jc w:val="center"/>
              <w:rPr>
                <w:rFonts w:ascii="宋体" w:hAnsi="宋体" w:cs="宋体"/>
                <w:color w:val="000000"/>
                <w:kern w:val="0"/>
                <w:sz w:val="18"/>
                <w:szCs w:val="18"/>
              </w:rPr>
            </w:pPr>
          </w:p>
        </w:tc>
        <w:tc>
          <w:tcPr>
            <w:tcW w:w="1510" w:type="dxa"/>
            <w:vAlign w:val="center"/>
          </w:tcPr>
          <w:p>
            <w:pPr>
              <w:widowControl/>
              <w:jc w:val="left"/>
              <w:textAlignment w:val="center"/>
              <w:rPr>
                <w:rFonts w:ascii="宋体" w:hAnsi="宋体" w:cs="宋体"/>
                <w:color w:val="000000"/>
                <w:kern w:val="0"/>
                <w:sz w:val="18"/>
                <w:szCs w:val="18"/>
              </w:rPr>
            </w:pPr>
            <w:r>
              <w:rPr>
                <w:kern w:val="0"/>
              </w:rPr>
              <w:t>300万摄像单元</w:t>
            </w:r>
          </w:p>
        </w:tc>
        <w:tc>
          <w:tcPr>
            <w:tcW w:w="709" w:type="dxa"/>
            <w:vAlign w:val="center"/>
          </w:tcPr>
          <w:p>
            <w:pPr>
              <w:widowControl/>
              <w:jc w:val="center"/>
              <w:textAlignment w:val="center"/>
              <w:rPr>
                <w:rFonts w:ascii="宋体" w:hAnsi="宋体" w:cs="宋体"/>
                <w:color w:val="000000"/>
                <w:kern w:val="0"/>
                <w:sz w:val="18"/>
                <w:szCs w:val="18"/>
              </w:rPr>
            </w:pPr>
            <w:r>
              <w:rPr>
                <w:rFonts w:ascii="宋体" w:hAnsi="宋体" w:cs="宋体"/>
                <w:color w:val="000000"/>
                <w:kern w:val="0"/>
                <w:sz w:val="18"/>
                <w:szCs w:val="18"/>
              </w:rPr>
              <w:t>4</w:t>
            </w:r>
          </w:p>
        </w:tc>
        <w:tc>
          <w:tcPr>
            <w:tcW w:w="6047" w:type="dxa"/>
          </w:tcPr>
          <w:p>
            <w:pPr>
              <w:widowControl/>
              <w:jc w:val="left"/>
              <w:textAlignment w:val="center"/>
              <w:rPr>
                <w:rFonts w:ascii="宋体" w:hAnsi="宋体" w:cs="宋体"/>
                <w:color w:val="000000"/>
                <w:kern w:val="0"/>
                <w:sz w:val="18"/>
                <w:szCs w:val="18"/>
              </w:rPr>
            </w:pPr>
            <w:r>
              <w:rPr>
                <w:rFonts w:ascii="宋体" w:hAnsi="宋体" w:cs="宋体"/>
                <w:color w:val="000000"/>
                <w:kern w:val="0"/>
                <w:sz w:val="18"/>
                <w:szCs w:val="18"/>
              </w:rPr>
              <w:t xml:space="preserve">1) </w:t>
            </w:r>
            <w:r>
              <w:rPr>
                <w:rFonts w:hint="eastAsia" w:ascii="宋体" w:hAnsi="宋体" w:cs="宋体"/>
                <w:color w:val="000000"/>
                <w:kern w:val="0"/>
                <w:sz w:val="18"/>
                <w:szCs w:val="18"/>
              </w:rPr>
              <w:t>支持调试</w:t>
            </w:r>
            <w:r>
              <w:rPr>
                <w:rFonts w:ascii="宋体" w:hAnsi="宋体" w:cs="宋体"/>
                <w:color w:val="000000"/>
                <w:kern w:val="0"/>
                <w:sz w:val="18"/>
                <w:szCs w:val="18"/>
              </w:rPr>
              <w:t>OSD、滚动OSD、独立OSD功能，提供公安部权威机构检测报告为证并加盖</w:t>
            </w:r>
            <w:r>
              <w:rPr>
                <w:rFonts w:hint="eastAsia" w:ascii="宋体" w:hAnsi="宋体" w:cs="宋体"/>
                <w:color w:val="000000"/>
                <w:kern w:val="0"/>
                <w:sz w:val="18"/>
                <w:szCs w:val="18"/>
              </w:rPr>
              <w:t>公章为证。得</w:t>
            </w:r>
            <w:r>
              <w:rPr>
                <w:rFonts w:ascii="宋体" w:hAnsi="宋体" w:cs="宋体"/>
                <w:color w:val="000000"/>
                <w:kern w:val="0"/>
                <w:sz w:val="18"/>
                <w:szCs w:val="18"/>
              </w:rPr>
              <w:t>2分。</w:t>
            </w:r>
            <w:r>
              <w:rPr>
                <w:rFonts w:ascii="宋体" w:hAnsi="宋体" w:cs="宋体"/>
                <w:color w:val="000000"/>
                <w:kern w:val="0"/>
                <w:sz w:val="18"/>
                <w:szCs w:val="18"/>
              </w:rPr>
              <w:br w:type="textWrapping"/>
            </w:r>
            <w:r>
              <w:rPr>
                <w:rFonts w:ascii="宋体" w:hAnsi="宋体" w:cs="宋体"/>
                <w:color w:val="000000"/>
                <w:kern w:val="0"/>
                <w:sz w:val="18"/>
                <w:szCs w:val="18"/>
              </w:rPr>
              <w:t>2）设备WEB界面可设置违法检测分时段、分车道，实现不同时间段、不同车道的违法判罚，提供公安部权威机构检测报告为证并加盖</w:t>
            </w:r>
            <w:r>
              <w:rPr>
                <w:rFonts w:hint="eastAsia" w:ascii="宋体" w:hAnsi="宋体" w:cs="宋体"/>
                <w:color w:val="000000"/>
                <w:kern w:val="0"/>
                <w:sz w:val="18"/>
                <w:szCs w:val="18"/>
              </w:rPr>
              <w:t>公章为证。得</w:t>
            </w:r>
            <w:r>
              <w:rPr>
                <w:rFonts w:ascii="宋体" w:hAnsi="宋体" w:cs="宋体"/>
                <w:color w:val="000000"/>
                <w:kern w:val="0"/>
                <w:sz w:val="18"/>
                <w:szCs w:val="18"/>
              </w:rPr>
              <w:t>2分。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0" w:hRule="atLeast"/>
        </w:trPr>
        <w:tc>
          <w:tcPr>
            <w:tcW w:w="739" w:type="dxa"/>
            <w:vMerge w:val="continue"/>
            <w:vAlign w:val="center"/>
          </w:tcPr>
          <w:p>
            <w:pPr>
              <w:jc w:val="center"/>
              <w:rPr>
                <w:rFonts w:ascii="宋体" w:hAnsi="宋体" w:cs="宋体"/>
                <w:color w:val="000000"/>
                <w:sz w:val="18"/>
                <w:szCs w:val="18"/>
              </w:rPr>
            </w:pPr>
          </w:p>
        </w:tc>
        <w:tc>
          <w:tcPr>
            <w:tcW w:w="740" w:type="dxa"/>
            <w:vMerge w:val="continue"/>
            <w:vAlign w:val="center"/>
          </w:tcPr>
          <w:p>
            <w:pPr>
              <w:jc w:val="center"/>
              <w:rPr>
                <w:rFonts w:ascii="宋体" w:hAnsi="宋体" w:cs="宋体"/>
                <w:color w:val="000000"/>
                <w:kern w:val="0"/>
                <w:sz w:val="18"/>
                <w:szCs w:val="18"/>
              </w:rPr>
            </w:pPr>
          </w:p>
        </w:tc>
        <w:tc>
          <w:tcPr>
            <w:tcW w:w="1510" w:type="dxa"/>
            <w:noWrap/>
            <w:vAlign w:val="center"/>
          </w:tcPr>
          <w:p>
            <w:pPr>
              <w:widowControl/>
              <w:textAlignment w:val="center"/>
              <w:rPr>
                <w:rFonts w:ascii="宋体" w:hAnsi="宋体" w:cs="宋体"/>
                <w:color w:val="000000"/>
                <w:kern w:val="0"/>
                <w:sz w:val="18"/>
                <w:szCs w:val="18"/>
              </w:rPr>
            </w:pPr>
            <w:r>
              <w:rPr>
                <w:rFonts w:hint="eastAsia" w:ascii="宋体" w:hAnsi="宋体" w:cs="宋体"/>
                <w:color w:val="000000"/>
                <w:kern w:val="0"/>
                <w:sz w:val="18"/>
                <w:szCs w:val="18"/>
              </w:rPr>
              <w:t>智能交通终端管理设备</w:t>
            </w:r>
          </w:p>
        </w:tc>
        <w:tc>
          <w:tcPr>
            <w:tcW w:w="709" w:type="dxa"/>
            <w:vAlign w:val="center"/>
          </w:tcPr>
          <w:p>
            <w:pPr>
              <w:widowControl/>
              <w:jc w:val="center"/>
              <w:textAlignment w:val="center"/>
              <w:rPr>
                <w:rFonts w:ascii="宋体" w:hAnsi="宋体" w:cs="宋体"/>
                <w:color w:val="000000"/>
                <w:kern w:val="0"/>
                <w:sz w:val="18"/>
                <w:szCs w:val="18"/>
              </w:rPr>
            </w:pPr>
            <w:r>
              <w:rPr>
                <w:rFonts w:hint="eastAsia" w:ascii="宋体" w:hAnsi="宋体" w:cs="宋体"/>
                <w:color w:val="000000"/>
                <w:kern w:val="0"/>
                <w:sz w:val="18"/>
                <w:szCs w:val="18"/>
              </w:rPr>
              <w:t>4</w:t>
            </w:r>
          </w:p>
        </w:tc>
        <w:tc>
          <w:tcPr>
            <w:tcW w:w="6047" w:type="dxa"/>
          </w:tcPr>
          <w:p>
            <w:pPr>
              <w:widowControl/>
              <w:textAlignment w:val="center"/>
              <w:rPr>
                <w:rFonts w:ascii="宋体" w:hAnsi="宋体" w:cs="宋体"/>
                <w:color w:val="000000"/>
                <w:kern w:val="0"/>
                <w:sz w:val="18"/>
                <w:szCs w:val="18"/>
              </w:rPr>
            </w:pPr>
            <w:r>
              <w:rPr>
                <w:rFonts w:ascii="宋体" w:hAnsi="宋体" w:cs="宋体"/>
                <w:color w:val="000000"/>
                <w:kern w:val="0"/>
                <w:sz w:val="18"/>
                <w:szCs w:val="18"/>
              </w:rPr>
              <w:t>1）</w:t>
            </w:r>
            <w:r>
              <w:rPr>
                <w:rFonts w:hint="eastAsia" w:ascii="宋体" w:hAnsi="宋体" w:cs="宋体"/>
                <w:color w:val="000000"/>
                <w:kern w:val="0"/>
                <w:sz w:val="18"/>
                <w:szCs w:val="18"/>
              </w:rPr>
              <w:t>支持网络延时诊断功能，可进行网络延时及丢包测试，并可设置测试地址和测试包大小；具有网络抓拍功能，并可根据</w:t>
            </w:r>
            <w:r>
              <w:rPr>
                <w:rFonts w:ascii="宋体" w:hAnsi="宋体" w:cs="宋体"/>
                <w:color w:val="000000"/>
                <w:kern w:val="0"/>
                <w:sz w:val="18"/>
                <w:szCs w:val="18"/>
              </w:rPr>
              <w:t>IP地址和端口对抓到的报文进行过滤，支持网络流量动态显示及查询功能</w:t>
            </w:r>
            <w:r>
              <w:rPr>
                <w:rFonts w:hint="eastAsia" w:ascii="宋体" w:hAnsi="宋体" w:cs="宋体"/>
                <w:color w:val="000000"/>
                <w:kern w:val="0"/>
                <w:sz w:val="18"/>
                <w:szCs w:val="18"/>
              </w:rPr>
              <w:t>，提供公安部权威机构检测报告为证并加盖公章为证。得</w:t>
            </w:r>
            <w:r>
              <w:rPr>
                <w:rFonts w:ascii="宋体" w:hAnsi="宋体" w:cs="宋体"/>
                <w:color w:val="000000"/>
                <w:kern w:val="0"/>
                <w:sz w:val="18"/>
                <w:szCs w:val="18"/>
              </w:rPr>
              <w:t>2分。</w:t>
            </w:r>
            <w:r>
              <w:rPr>
                <w:rFonts w:ascii="宋体" w:hAnsi="宋体" w:cs="宋体"/>
                <w:color w:val="000000"/>
                <w:kern w:val="0"/>
                <w:sz w:val="18"/>
                <w:szCs w:val="18"/>
              </w:rPr>
              <w:br w:type="textWrapping"/>
            </w:r>
            <w:r>
              <w:rPr>
                <w:rFonts w:ascii="宋体" w:hAnsi="宋体" w:cs="宋体"/>
                <w:color w:val="000000"/>
                <w:kern w:val="0"/>
                <w:sz w:val="18"/>
                <w:szCs w:val="18"/>
              </w:rPr>
              <w:t>2）</w:t>
            </w:r>
            <w:r>
              <w:rPr>
                <w:rFonts w:hint="eastAsia" w:ascii="宋体" w:hAnsi="宋体" w:cs="宋体"/>
                <w:color w:val="000000"/>
                <w:kern w:val="0"/>
                <w:sz w:val="18"/>
                <w:szCs w:val="18"/>
              </w:rPr>
              <w:t>支持</w:t>
            </w:r>
            <w:r>
              <w:rPr>
                <w:rFonts w:ascii="宋体" w:hAnsi="宋体" w:cs="宋体"/>
                <w:color w:val="000000"/>
                <w:kern w:val="0"/>
                <w:sz w:val="18"/>
                <w:szCs w:val="18"/>
              </w:rPr>
              <w:t>IP地址过滤、Telnet开关自定义、802.1x认证、ARP防攻击、视频水印等安全防护功能，具备强密码管理功能</w:t>
            </w:r>
            <w:r>
              <w:rPr>
                <w:rFonts w:hint="eastAsia" w:ascii="宋体" w:hAnsi="宋体" w:cs="宋体"/>
                <w:color w:val="000000"/>
                <w:kern w:val="0"/>
                <w:sz w:val="18"/>
                <w:szCs w:val="18"/>
              </w:rPr>
              <w:t>，提供公安部权威机构检测报告为证并加盖公章为证。得</w:t>
            </w:r>
            <w:r>
              <w:rPr>
                <w:rFonts w:ascii="宋体" w:hAnsi="宋体" w:cs="宋体"/>
                <w:color w:val="000000"/>
                <w:kern w:val="0"/>
                <w:sz w:val="18"/>
                <w:szCs w:val="18"/>
              </w:rPr>
              <w:t>2分。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1" w:hRule="atLeast"/>
        </w:trPr>
        <w:tc>
          <w:tcPr>
            <w:tcW w:w="739" w:type="dxa"/>
            <w:vMerge w:val="continue"/>
            <w:vAlign w:val="center"/>
          </w:tcPr>
          <w:p>
            <w:pPr>
              <w:keepNext/>
              <w:keepLines/>
              <w:numPr>
                <w:ilvl w:val="2"/>
                <w:numId w:val="0"/>
              </w:numPr>
              <w:spacing w:before="260" w:after="260" w:line="413" w:lineRule="auto"/>
              <w:jc w:val="center"/>
              <w:outlineLvl w:val="2"/>
              <w:rPr>
                <w:rFonts w:ascii="宋体" w:hAnsi="宋体" w:cs="宋体"/>
                <w:color w:val="000000"/>
                <w:sz w:val="18"/>
                <w:szCs w:val="18"/>
              </w:rPr>
            </w:pPr>
          </w:p>
        </w:tc>
        <w:tc>
          <w:tcPr>
            <w:tcW w:w="740" w:type="dxa"/>
            <w:vMerge w:val="continue"/>
            <w:vAlign w:val="center"/>
          </w:tcPr>
          <w:p>
            <w:pPr>
              <w:keepNext/>
              <w:keepLines/>
              <w:numPr>
                <w:ilvl w:val="2"/>
                <w:numId w:val="0"/>
              </w:numPr>
              <w:spacing w:before="260" w:after="260" w:line="413" w:lineRule="auto"/>
              <w:jc w:val="center"/>
              <w:outlineLvl w:val="2"/>
              <w:rPr>
                <w:rFonts w:ascii="宋体" w:hAnsi="宋体" w:cs="宋体"/>
                <w:color w:val="000000"/>
                <w:kern w:val="0"/>
                <w:sz w:val="18"/>
                <w:szCs w:val="18"/>
              </w:rPr>
            </w:pPr>
          </w:p>
        </w:tc>
        <w:tc>
          <w:tcPr>
            <w:tcW w:w="1510" w:type="dxa"/>
            <w:noWrap/>
            <w:vAlign w:val="center"/>
          </w:tcPr>
          <w:p>
            <w:pPr>
              <w:widowControl/>
              <w:textAlignment w:val="center"/>
              <w:rPr>
                <w:rFonts w:ascii="宋体" w:hAnsi="宋体" w:cs="宋体"/>
                <w:color w:val="000000"/>
                <w:kern w:val="0"/>
                <w:sz w:val="18"/>
                <w:szCs w:val="18"/>
              </w:rPr>
            </w:pPr>
            <w:r>
              <w:rPr>
                <w:rFonts w:hint="eastAsia" w:ascii="宋体" w:hAnsi="宋体" w:cs="宋体"/>
                <w:color w:val="000000"/>
                <w:kern w:val="0"/>
                <w:sz w:val="18"/>
                <w:szCs w:val="18"/>
              </w:rPr>
              <w:t>存储节点</w:t>
            </w:r>
          </w:p>
        </w:tc>
        <w:tc>
          <w:tcPr>
            <w:tcW w:w="709" w:type="dxa"/>
            <w:vAlign w:val="center"/>
          </w:tcPr>
          <w:p>
            <w:pPr>
              <w:widowControl/>
              <w:jc w:val="center"/>
              <w:textAlignment w:val="center"/>
              <w:rPr>
                <w:rFonts w:ascii="宋体" w:hAnsi="宋体" w:cs="宋体"/>
                <w:color w:val="000000"/>
                <w:kern w:val="0"/>
                <w:sz w:val="18"/>
                <w:szCs w:val="18"/>
              </w:rPr>
            </w:pPr>
            <w:r>
              <w:rPr>
                <w:rFonts w:hint="eastAsia" w:ascii="宋体" w:hAnsi="宋体" w:cs="宋体"/>
                <w:color w:val="000000"/>
                <w:kern w:val="0"/>
                <w:sz w:val="18"/>
                <w:szCs w:val="18"/>
              </w:rPr>
              <w:t>4</w:t>
            </w:r>
          </w:p>
        </w:tc>
        <w:tc>
          <w:tcPr>
            <w:tcW w:w="6047" w:type="dxa"/>
          </w:tcPr>
          <w:p>
            <w:pPr>
              <w:widowControl/>
              <w:textAlignment w:val="center"/>
              <w:rPr>
                <w:rFonts w:ascii="宋体" w:hAnsi="宋体" w:cs="宋体"/>
                <w:color w:val="000000"/>
                <w:kern w:val="0"/>
                <w:sz w:val="18"/>
                <w:szCs w:val="18"/>
              </w:rPr>
            </w:pPr>
            <w:r>
              <w:rPr>
                <w:rFonts w:ascii="宋体" w:hAnsi="宋体" w:cs="宋体"/>
                <w:color w:val="000000"/>
                <w:kern w:val="0"/>
                <w:sz w:val="18"/>
                <w:szCs w:val="18"/>
              </w:rPr>
              <w:t>1）支持网口聚合、负载均衡。支持多个网口设置同一IP地址，实现数据链路冗余，当其中一条链路失效，不影响数据存储，提供公安部权威机构检测报告为证并加盖</w:t>
            </w:r>
            <w:r>
              <w:rPr>
                <w:rFonts w:hint="eastAsia" w:ascii="宋体" w:hAnsi="宋体" w:cs="宋体"/>
                <w:color w:val="000000"/>
                <w:kern w:val="0"/>
                <w:sz w:val="18"/>
                <w:szCs w:val="18"/>
              </w:rPr>
              <w:t>公章为证。得</w:t>
            </w:r>
            <w:r>
              <w:rPr>
                <w:rFonts w:ascii="宋体" w:hAnsi="宋体" w:cs="宋体"/>
                <w:color w:val="000000"/>
                <w:kern w:val="0"/>
                <w:sz w:val="18"/>
                <w:szCs w:val="18"/>
              </w:rPr>
              <w:t>2分。</w:t>
            </w:r>
            <w:r>
              <w:rPr>
                <w:rFonts w:ascii="宋体" w:hAnsi="宋体" w:cs="宋体"/>
                <w:color w:val="000000"/>
                <w:kern w:val="0"/>
                <w:sz w:val="18"/>
                <w:szCs w:val="18"/>
              </w:rPr>
              <w:br w:type="textWrapping"/>
            </w:r>
            <w:r>
              <w:rPr>
                <w:rFonts w:ascii="宋体" w:hAnsi="宋体" w:cs="宋体"/>
                <w:color w:val="000000"/>
                <w:kern w:val="0"/>
                <w:sz w:val="18"/>
                <w:szCs w:val="18"/>
              </w:rPr>
              <w:t>2）支持CPU在不同业务压力下智能调频，支持风扇在不同温度下智能调速，提供公安部权威机构检测报告为证并加盖</w:t>
            </w:r>
            <w:r>
              <w:rPr>
                <w:rFonts w:hint="eastAsia" w:ascii="宋体" w:hAnsi="宋体" w:cs="宋体"/>
                <w:color w:val="000000"/>
                <w:kern w:val="0"/>
                <w:sz w:val="18"/>
                <w:szCs w:val="18"/>
              </w:rPr>
              <w:t>公章为证。得2</w:t>
            </w:r>
            <w:r>
              <w:rPr>
                <w:rFonts w:ascii="宋体" w:hAnsi="宋体" w:cs="宋体"/>
                <w:color w:val="000000"/>
                <w:kern w:val="0"/>
                <w:sz w:val="18"/>
                <w:szCs w:val="18"/>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2" w:hRule="atLeast"/>
        </w:trPr>
        <w:tc>
          <w:tcPr>
            <w:tcW w:w="739" w:type="dxa"/>
            <w:vMerge w:val="continue"/>
            <w:vAlign w:val="center"/>
          </w:tcPr>
          <w:p>
            <w:pPr>
              <w:keepNext/>
              <w:keepLines/>
              <w:numPr>
                <w:ilvl w:val="2"/>
                <w:numId w:val="0"/>
              </w:numPr>
              <w:spacing w:before="260" w:after="260" w:line="413" w:lineRule="auto"/>
              <w:jc w:val="center"/>
              <w:outlineLvl w:val="2"/>
              <w:rPr>
                <w:rFonts w:ascii="宋体" w:hAnsi="宋体" w:cs="宋体"/>
                <w:color w:val="000000"/>
                <w:sz w:val="18"/>
                <w:szCs w:val="18"/>
              </w:rPr>
            </w:pPr>
          </w:p>
        </w:tc>
        <w:tc>
          <w:tcPr>
            <w:tcW w:w="2250" w:type="dxa"/>
            <w:gridSpan w:val="2"/>
            <w:vAlign w:val="center"/>
          </w:tcPr>
          <w:p>
            <w:pPr>
              <w:widowControl/>
              <w:jc w:val="center"/>
              <w:textAlignment w:val="center"/>
              <w:rPr>
                <w:rFonts w:ascii="宋体" w:hAnsi="宋体" w:cs="宋体"/>
                <w:color w:val="000000"/>
                <w:kern w:val="0"/>
                <w:sz w:val="18"/>
                <w:szCs w:val="18"/>
              </w:rPr>
            </w:pPr>
            <w:r>
              <w:rPr>
                <w:rFonts w:hint="eastAsia" w:ascii="宋体" w:hAnsi="宋体" w:cs="宋体"/>
                <w:color w:val="000000"/>
                <w:kern w:val="0"/>
                <w:sz w:val="18"/>
                <w:szCs w:val="18"/>
              </w:rPr>
              <w:t>技术方案</w:t>
            </w:r>
          </w:p>
        </w:tc>
        <w:tc>
          <w:tcPr>
            <w:tcW w:w="709" w:type="dxa"/>
            <w:vAlign w:val="center"/>
          </w:tcPr>
          <w:p>
            <w:pPr>
              <w:widowControl/>
              <w:jc w:val="center"/>
              <w:textAlignment w:val="center"/>
              <w:rPr>
                <w:rFonts w:ascii="宋体" w:hAnsi="宋体" w:cs="宋体"/>
                <w:color w:val="000000"/>
                <w:kern w:val="0"/>
                <w:sz w:val="18"/>
                <w:szCs w:val="18"/>
              </w:rPr>
            </w:pPr>
            <w:r>
              <w:rPr>
                <w:rFonts w:ascii="宋体" w:hAnsi="宋体" w:cs="宋体"/>
                <w:color w:val="000000"/>
                <w:kern w:val="0"/>
                <w:sz w:val="18"/>
                <w:szCs w:val="18"/>
              </w:rPr>
              <w:t>4</w:t>
            </w:r>
          </w:p>
        </w:tc>
        <w:tc>
          <w:tcPr>
            <w:tcW w:w="6047" w:type="dxa"/>
          </w:tcPr>
          <w:p>
            <w:pPr>
              <w:widowControl/>
              <w:textAlignment w:val="center"/>
              <w:rPr>
                <w:rFonts w:ascii="宋体" w:hAnsi="宋体" w:cs="宋体"/>
                <w:color w:val="000000"/>
                <w:kern w:val="0"/>
                <w:sz w:val="18"/>
                <w:szCs w:val="18"/>
              </w:rPr>
            </w:pPr>
            <w:r>
              <w:rPr>
                <w:rFonts w:hint="eastAsia" w:ascii="宋体" w:hAnsi="宋体" w:cs="宋体"/>
                <w:color w:val="000000"/>
                <w:kern w:val="0"/>
                <w:sz w:val="18"/>
                <w:szCs w:val="18"/>
              </w:rPr>
              <w:t>提供详细的技术方案。依据各投标人所提供有关资料进行横向比较排名。依据各投标人所提供有关资料进行横向比较排名，</w:t>
            </w:r>
            <w:r>
              <w:rPr>
                <w:rFonts w:ascii="宋体" w:hAnsi="宋体" w:cs="宋体"/>
                <w:color w:val="000000"/>
                <w:kern w:val="0"/>
                <w:sz w:val="18"/>
                <w:szCs w:val="18"/>
              </w:rPr>
              <w:t>第一名得4分，第二名得2分，第三名得1分，其余不得分。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2" w:hRule="atLeast"/>
        </w:trPr>
        <w:tc>
          <w:tcPr>
            <w:tcW w:w="739" w:type="dxa"/>
            <w:vMerge w:val="continue"/>
            <w:vAlign w:val="center"/>
          </w:tcPr>
          <w:p>
            <w:pPr>
              <w:keepNext/>
              <w:keepLines/>
              <w:numPr>
                <w:ilvl w:val="2"/>
                <w:numId w:val="0"/>
              </w:numPr>
              <w:spacing w:before="260" w:after="260" w:line="413" w:lineRule="auto"/>
              <w:jc w:val="center"/>
              <w:outlineLvl w:val="2"/>
              <w:rPr>
                <w:rFonts w:ascii="宋体" w:hAnsi="宋体" w:cs="宋体"/>
                <w:color w:val="000000"/>
                <w:sz w:val="18"/>
                <w:szCs w:val="18"/>
              </w:rPr>
            </w:pPr>
          </w:p>
        </w:tc>
        <w:tc>
          <w:tcPr>
            <w:tcW w:w="2250" w:type="dxa"/>
            <w:gridSpan w:val="2"/>
            <w:vAlign w:val="center"/>
          </w:tcPr>
          <w:p>
            <w:pPr>
              <w:widowControl/>
              <w:jc w:val="center"/>
              <w:textAlignment w:val="center"/>
              <w:rPr>
                <w:rFonts w:ascii="宋体" w:hAnsi="宋体" w:cs="宋体"/>
                <w:color w:val="000000"/>
                <w:kern w:val="0"/>
                <w:sz w:val="18"/>
                <w:szCs w:val="18"/>
              </w:rPr>
            </w:pPr>
            <w:r>
              <w:rPr>
                <w:rFonts w:hint="eastAsia" w:ascii="宋体" w:hAnsi="宋体" w:cs="宋体"/>
                <w:color w:val="000000"/>
                <w:kern w:val="0"/>
                <w:sz w:val="18"/>
                <w:szCs w:val="18"/>
              </w:rPr>
              <w:t>施工方案</w:t>
            </w:r>
          </w:p>
        </w:tc>
        <w:tc>
          <w:tcPr>
            <w:tcW w:w="709" w:type="dxa"/>
            <w:vAlign w:val="center"/>
          </w:tcPr>
          <w:p>
            <w:pPr>
              <w:widowControl/>
              <w:jc w:val="center"/>
              <w:textAlignment w:val="center"/>
              <w:rPr>
                <w:rFonts w:ascii="宋体" w:hAnsi="宋体" w:cs="宋体"/>
                <w:color w:val="000000"/>
                <w:kern w:val="0"/>
                <w:sz w:val="18"/>
                <w:szCs w:val="18"/>
              </w:rPr>
            </w:pPr>
            <w:r>
              <w:rPr>
                <w:rFonts w:ascii="宋体" w:hAnsi="宋体" w:cs="宋体"/>
                <w:color w:val="000000"/>
                <w:kern w:val="0"/>
                <w:sz w:val="18"/>
                <w:szCs w:val="18"/>
              </w:rPr>
              <w:t>3</w:t>
            </w:r>
          </w:p>
        </w:tc>
        <w:tc>
          <w:tcPr>
            <w:tcW w:w="6047" w:type="dxa"/>
          </w:tcPr>
          <w:p>
            <w:pPr>
              <w:widowControl/>
              <w:textAlignment w:val="center"/>
              <w:rPr>
                <w:rFonts w:ascii="宋体" w:hAnsi="宋体" w:cs="宋体"/>
                <w:color w:val="000000"/>
                <w:kern w:val="0"/>
                <w:sz w:val="18"/>
                <w:szCs w:val="18"/>
              </w:rPr>
            </w:pPr>
            <w:r>
              <w:rPr>
                <w:rFonts w:hint="eastAsia" w:ascii="宋体" w:hAnsi="宋体" w:cs="宋体"/>
                <w:color w:val="000000"/>
                <w:kern w:val="0"/>
                <w:sz w:val="18"/>
                <w:szCs w:val="18"/>
              </w:rPr>
              <w:t>提供项目整体施工组织方案（含项目计划进度、安全施工和文明施工的措施），依据各投标人所提供有关资料进行横向比较排名。依据各投标人所提供有关资料进行横向比较排名，第一名得</w:t>
            </w:r>
            <w:r>
              <w:rPr>
                <w:rFonts w:ascii="宋体" w:hAnsi="宋体" w:cs="宋体"/>
                <w:color w:val="000000"/>
                <w:kern w:val="0"/>
                <w:sz w:val="18"/>
                <w:szCs w:val="18"/>
              </w:rPr>
              <w:t>3分，第二名得2分，第三名得1分。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739" w:type="dxa"/>
            <w:vMerge w:val="restart"/>
            <w:vAlign w:val="center"/>
          </w:tcPr>
          <w:p>
            <w:pPr>
              <w:widowControl/>
              <w:jc w:val="center"/>
              <w:textAlignment w:val="center"/>
              <w:rPr>
                <w:rFonts w:ascii="宋体" w:hAnsi="宋体" w:cs="宋体"/>
                <w:color w:val="000000"/>
                <w:sz w:val="18"/>
                <w:szCs w:val="18"/>
              </w:rPr>
            </w:pPr>
            <w:r>
              <w:rPr>
                <w:rFonts w:hint="eastAsia" w:ascii="宋体" w:hAnsi="宋体" w:cs="宋体"/>
                <w:kern w:val="0"/>
                <w:sz w:val="18"/>
                <w:szCs w:val="18"/>
              </w:rPr>
              <w:t>商务部分</w:t>
            </w:r>
            <w:r>
              <w:rPr>
                <w:rStyle w:val="75"/>
                <w:rFonts w:hint="default"/>
                <w:color w:val="000000" w:themeColor="text1"/>
                <w:sz w:val="18"/>
                <w:szCs w:val="18"/>
              </w:rPr>
              <w:t>15</w:t>
            </w:r>
            <w:r>
              <w:rPr>
                <w:rStyle w:val="74"/>
                <w:rFonts w:hint="default"/>
                <w:sz w:val="18"/>
                <w:szCs w:val="18"/>
              </w:rPr>
              <w:t>分</w:t>
            </w:r>
          </w:p>
        </w:tc>
        <w:tc>
          <w:tcPr>
            <w:tcW w:w="2250" w:type="dxa"/>
            <w:gridSpan w:val="2"/>
            <w:vMerge w:val="restart"/>
            <w:vAlign w:val="center"/>
          </w:tcPr>
          <w:p>
            <w:pPr>
              <w:widowControl/>
              <w:jc w:val="center"/>
              <w:textAlignment w:val="center"/>
              <w:rPr>
                <w:rFonts w:ascii="宋体" w:hAnsi="宋体" w:cs="宋体"/>
                <w:color w:val="000000"/>
                <w:kern w:val="0"/>
                <w:sz w:val="18"/>
                <w:szCs w:val="18"/>
              </w:rPr>
            </w:pPr>
            <w:r>
              <w:rPr>
                <w:rFonts w:hint="eastAsia" w:ascii="宋体" w:hAnsi="宋体" w:cs="宋体"/>
                <w:color w:val="000000"/>
                <w:kern w:val="0"/>
                <w:sz w:val="18"/>
                <w:szCs w:val="18"/>
              </w:rPr>
              <w:t>企业资质与实力</w:t>
            </w:r>
          </w:p>
        </w:tc>
        <w:tc>
          <w:tcPr>
            <w:tcW w:w="709" w:type="dxa"/>
            <w:vAlign w:val="center"/>
          </w:tcPr>
          <w:p>
            <w:pPr>
              <w:widowControl/>
              <w:jc w:val="center"/>
              <w:textAlignment w:val="center"/>
              <w:rPr>
                <w:rFonts w:ascii="宋体" w:hAnsi="宋体" w:cs="宋体"/>
                <w:color w:val="000000"/>
                <w:kern w:val="0"/>
                <w:sz w:val="18"/>
                <w:szCs w:val="18"/>
              </w:rPr>
            </w:pPr>
            <w:r>
              <w:rPr>
                <w:rFonts w:ascii="宋体" w:hAnsi="宋体" w:cs="宋体"/>
                <w:color w:val="000000"/>
                <w:kern w:val="0"/>
                <w:sz w:val="18"/>
                <w:szCs w:val="18"/>
              </w:rPr>
              <w:t>3</w:t>
            </w:r>
          </w:p>
        </w:tc>
        <w:tc>
          <w:tcPr>
            <w:tcW w:w="6047" w:type="dxa"/>
          </w:tcPr>
          <w:p>
            <w:pPr>
              <w:widowControl/>
              <w:jc w:val="left"/>
              <w:textAlignment w:val="center"/>
              <w:rPr>
                <w:rFonts w:ascii="宋体" w:hAnsi="宋体" w:cs="宋体"/>
                <w:color w:val="000000"/>
                <w:kern w:val="0"/>
                <w:sz w:val="18"/>
                <w:szCs w:val="18"/>
              </w:rPr>
            </w:pPr>
            <w:r>
              <w:rPr>
                <w:rFonts w:hint="eastAsia" w:ascii="宋体" w:hAnsi="宋体" w:cs="宋体"/>
                <w:color w:val="000000"/>
                <w:kern w:val="0"/>
                <w:sz w:val="18"/>
                <w:szCs w:val="18"/>
              </w:rPr>
              <w:t>1) 投标人所投视频监控设备制造厂商具有雄厚的技术实力，相关项目获得世界级或国家级“可持续交通奖”得3分；获得省级“可持续交通奖”得1.5分；其它情况不得分。（提供用户报告复印件并加盖公章）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0" w:hRule="atLeast"/>
        </w:trPr>
        <w:tc>
          <w:tcPr>
            <w:tcW w:w="739" w:type="dxa"/>
            <w:vMerge w:val="continue"/>
            <w:vAlign w:val="center"/>
          </w:tcPr>
          <w:p>
            <w:pPr>
              <w:jc w:val="center"/>
              <w:rPr>
                <w:rFonts w:ascii="宋体" w:hAnsi="宋体" w:cs="宋体"/>
                <w:color w:val="000000"/>
                <w:sz w:val="18"/>
                <w:szCs w:val="18"/>
              </w:rPr>
            </w:pPr>
          </w:p>
        </w:tc>
        <w:tc>
          <w:tcPr>
            <w:tcW w:w="2250" w:type="dxa"/>
            <w:gridSpan w:val="2"/>
            <w:vMerge w:val="continue"/>
            <w:vAlign w:val="center"/>
          </w:tcPr>
          <w:p>
            <w:pPr>
              <w:jc w:val="center"/>
              <w:rPr>
                <w:rFonts w:ascii="宋体" w:hAnsi="宋体" w:cs="宋体"/>
                <w:color w:val="000000"/>
                <w:kern w:val="0"/>
                <w:sz w:val="18"/>
                <w:szCs w:val="18"/>
              </w:rPr>
            </w:pPr>
          </w:p>
        </w:tc>
        <w:tc>
          <w:tcPr>
            <w:tcW w:w="709" w:type="dxa"/>
            <w:vAlign w:val="center"/>
          </w:tcPr>
          <w:p>
            <w:pPr>
              <w:widowControl/>
              <w:jc w:val="center"/>
              <w:textAlignment w:val="center"/>
              <w:rPr>
                <w:rFonts w:ascii="宋体" w:hAnsi="宋体" w:cs="宋体"/>
                <w:color w:val="000000"/>
                <w:kern w:val="0"/>
                <w:sz w:val="18"/>
                <w:szCs w:val="18"/>
              </w:rPr>
            </w:pPr>
            <w:r>
              <w:rPr>
                <w:rFonts w:ascii="宋体" w:hAnsi="宋体" w:cs="宋体"/>
                <w:color w:val="000000"/>
                <w:kern w:val="0"/>
                <w:sz w:val="18"/>
                <w:szCs w:val="18"/>
              </w:rPr>
              <w:t>3</w:t>
            </w:r>
          </w:p>
        </w:tc>
        <w:tc>
          <w:tcPr>
            <w:tcW w:w="6047" w:type="dxa"/>
          </w:tcPr>
          <w:p>
            <w:pPr>
              <w:widowControl/>
              <w:jc w:val="left"/>
              <w:textAlignment w:val="center"/>
              <w:rPr>
                <w:rFonts w:ascii="宋体" w:hAnsi="宋体" w:cs="宋体"/>
                <w:color w:val="000000"/>
                <w:kern w:val="0"/>
                <w:sz w:val="18"/>
                <w:szCs w:val="18"/>
              </w:rPr>
            </w:pPr>
            <w:r>
              <w:rPr>
                <w:rFonts w:hint="eastAsia" w:ascii="宋体" w:hAnsi="宋体" w:cs="宋体"/>
                <w:color w:val="000000"/>
                <w:kern w:val="0"/>
                <w:sz w:val="18"/>
                <w:szCs w:val="18"/>
              </w:rPr>
              <w:t>2) 投标人所投的安防视频监控设备制造厂商具备雄厚的技术实力，在确保监控视频传输的安全性上，提出的IP监控系统穿越公私网方案获得国家级奖项的得3分；获得省级奖项的得1.5分；没有不得分。（提供相关证明文件并加盖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8" w:hRule="atLeast"/>
        </w:trPr>
        <w:tc>
          <w:tcPr>
            <w:tcW w:w="739" w:type="dxa"/>
            <w:vMerge w:val="continue"/>
            <w:vAlign w:val="center"/>
          </w:tcPr>
          <w:p>
            <w:pPr>
              <w:jc w:val="center"/>
              <w:rPr>
                <w:rFonts w:ascii="宋体" w:hAnsi="宋体" w:cs="宋体"/>
                <w:color w:val="000000"/>
                <w:sz w:val="18"/>
                <w:szCs w:val="18"/>
              </w:rPr>
            </w:pPr>
          </w:p>
        </w:tc>
        <w:tc>
          <w:tcPr>
            <w:tcW w:w="2250" w:type="dxa"/>
            <w:gridSpan w:val="2"/>
            <w:vMerge w:val="continue"/>
            <w:vAlign w:val="center"/>
          </w:tcPr>
          <w:p>
            <w:pPr>
              <w:jc w:val="center"/>
              <w:rPr>
                <w:rFonts w:ascii="宋体" w:hAnsi="宋体" w:cs="宋体"/>
                <w:color w:val="000000"/>
                <w:kern w:val="0"/>
                <w:sz w:val="18"/>
                <w:szCs w:val="18"/>
              </w:rPr>
            </w:pPr>
          </w:p>
        </w:tc>
        <w:tc>
          <w:tcPr>
            <w:tcW w:w="709" w:type="dxa"/>
            <w:vAlign w:val="center"/>
          </w:tcPr>
          <w:p>
            <w:pPr>
              <w:widowControl/>
              <w:jc w:val="center"/>
              <w:textAlignment w:val="center"/>
              <w:rPr>
                <w:rFonts w:ascii="宋体" w:hAnsi="宋体" w:cs="宋体"/>
                <w:color w:val="000000"/>
                <w:kern w:val="0"/>
                <w:sz w:val="18"/>
                <w:szCs w:val="18"/>
              </w:rPr>
            </w:pPr>
            <w:r>
              <w:rPr>
                <w:rFonts w:ascii="宋体" w:hAnsi="宋体" w:cs="宋体"/>
                <w:color w:val="000000"/>
                <w:kern w:val="0"/>
                <w:sz w:val="18"/>
                <w:szCs w:val="18"/>
              </w:rPr>
              <w:t>3</w:t>
            </w:r>
          </w:p>
        </w:tc>
        <w:tc>
          <w:tcPr>
            <w:tcW w:w="6047" w:type="dxa"/>
          </w:tcPr>
          <w:p>
            <w:pPr>
              <w:widowControl/>
              <w:textAlignment w:val="center"/>
              <w:rPr>
                <w:rFonts w:ascii="宋体" w:hAnsi="宋体" w:cs="宋体"/>
                <w:color w:val="000000"/>
                <w:kern w:val="0"/>
                <w:sz w:val="18"/>
                <w:szCs w:val="18"/>
              </w:rPr>
            </w:pPr>
            <w:r>
              <w:rPr>
                <w:rFonts w:hint="eastAsia" w:ascii="宋体" w:hAnsi="宋体" w:cs="宋体"/>
                <w:color w:val="000000"/>
                <w:kern w:val="0"/>
                <w:sz w:val="18"/>
                <w:szCs w:val="18"/>
              </w:rPr>
              <w:t>3）为保障投标项目产品与原有平台系统的兼容性，更好适配不同厂商对接需求，减少资源重复建设，投标人或投标人所投安防视频监控产品设备制造商需参与视图库标准《公安视频图像信息应用系统》制定，作为执笔单位参与编写的得3分；作为参编单位参与编写的得1.5分；其它不得分。（提供相关证明文件并加盖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6" w:hRule="atLeast"/>
        </w:trPr>
        <w:tc>
          <w:tcPr>
            <w:tcW w:w="739" w:type="dxa"/>
            <w:vMerge w:val="continue"/>
            <w:vAlign w:val="center"/>
          </w:tcPr>
          <w:p>
            <w:pPr>
              <w:keepNext/>
              <w:keepLines/>
              <w:numPr>
                <w:ilvl w:val="2"/>
                <w:numId w:val="0"/>
              </w:numPr>
              <w:spacing w:before="260" w:after="260" w:line="413" w:lineRule="auto"/>
              <w:jc w:val="center"/>
              <w:outlineLvl w:val="2"/>
              <w:rPr>
                <w:rFonts w:ascii="宋体" w:hAnsi="宋体" w:cs="宋体"/>
                <w:color w:val="000000"/>
                <w:sz w:val="18"/>
                <w:szCs w:val="18"/>
              </w:rPr>
            </w:pPr>
          </w:p>
        </w:tc>
        <w:tc>
          <w:tcPr>
            <w:tcW w:w="2250" w:type="dxa"/>
            <w:gridSpan w:val="2"/>
            <w:vAlign w:val="center"/>
          </w:tcPr>
          <w:p>
            <w:pPr>
              <w:widowControl/>
              <w:jc w:val="center"/>
              <w:textAlignment w:val="center"/>
              <w:rPr>
                <w:rFonts w:ascii="宋体" w:hAnsi="宋体" w:cs="宋体"/>
                <w:color w:val="000000"/>
                <w:kern w:val="0"/>
                <w:sz w:val="18"/>
                <w:szCs w:val="18"/>
              </w:rPr>
            </w:pPr>
            <w:r>
              <w:rPr>
                <w:rFonts w:hint="eastAsia" w:ascii="宋体" w:hAnsi="宋体" w:cs="宋体"/>
                <w:color w:val="000000"/>
                <w:kern w:val="0"/>
                <w:sz w:val="18"/>
                <w:szCs w:val="18"/>
              </w:rPr>
              <w:t>售后服务</w:t>
            </w:r>
          </w:p>
        </w:tc>
        <w:tc>
          <w:tcPr>
            <w:tcW w:w="709" w:type="dxa"/>
            <w:vAlign w:val="center"/>
          </w:tcPr>
          <w:p>
            <w:pPr>
              <w:widowControl/>
              <w:jc w:val="center"/>
              <w:textAlignment w:val="center"/>
              <w:rPr>
                <w:rFonts w:ascii="宋体" w:hAnsi="宋体" w:cs="宋体"/>
                <w:color w:val="000000"/>
                <w:kern w:val="0"/>
                <w:sz w:val="18"/>
                <w:szCs w:val="18"/>
              </w:rPr>
            </w:pPr>
            <w:r>
              <w:rPr>
                <w:rFonts w:ascii="宋体" w:hAnsi="宋体" w:cs="宋体"/>
                <w:color w:val="000000"/>
                <w:kern w:val="0"/>
                <w:sz w:val="18"/>
                <w:szCs w:val="18"/>
              </w:rPr>
              <w:t>3</w:t>
            </w:r>
          </w:p>
        </w:tc>
        <w:tc>
          <w:tcPr>
            <w:tcW w:w="6047" w:type="dxa"/>
          </w:tcPr>
          <w:p>
            <w:pPr>
              <w:widowControl/>
              <w:textAlignment w:val="center"/>
              <w:rPr>
                <w:rFonts w:ascii="宋体" w:hAnsi="宋体" w:cs="宋体"/>
                <w:color w:val="000000"/>
                <w:kern w:val="0"/>
                <w:sz w:val="18"/>
                <w:szCs w:val="18"/>
              </w:rPr>
            </w:pPr>
            <w:r>
              <w:rPr>
                <w:rFonts w:hint="eastAsia" w:ascii="宋体" w:hAnsi="宋体" w:cs="宋体"/>
                <w:color w:val="000000"/>
                <w:kern w:val="0"/>
                <w:sz w:val="18"/>
                <w:szCs w:val="18"/>
              </w:rPr>
              <w:t>售后服务：有完整、合理的承诺体现，售后服务方案具有可行性、先进性、科学性，包括投标人针对本项目服务的措施，售后服务的内容、形式、问题的解决质量、响应时间，在科学合理、实事求是的原则下充分体现出满足用户需求的程度，并在投标文件中有具体体现的，科学、合理、针对性强的</w:t>
            </w:r>
            <w:r>
              <w:rPr>
                <w:rFonts w:ascii="宋体" w:hAnsi="宋体" w:cs="宋体"/>
                <w:color w:val="000000"/>
                <w:kern w:val="0"/>
                <w:sz w:val="18"/>
                <w:szCs w:val="18"/>
              </w:rPr>
              <w:t>3分，合理、可行得2分，欠合理、基本可行得1分，不可行、未提供的不得分。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2" w:hRule="atLeast"/>
        </w:trPr>
        <w:tc>
          <w:tcPr>
            <w:tcW w:w="739" w:type="dxa"/>
            <w:vMerge w:val="continue"/>
            <w:vAlign w:val="center"/>
          </w:tcPr>
          <w:p>
            <w:pPr>
              <w:keepNext/>
              <w:keepLines/>
              <w:numPr>
                <w:ilvl w:val="2"/>
                <w:numId w:val="0"/>
              </w:numPr>
              <w:spacing w:before="260" w:after="260" w:line="413" w:lineRule="auto"/>
              <w:jc w:val="center"/>
              <w:outlineLvl w:val="2"/>
              <w:rPr>
                <w:rFonts w:ascii="宋体" w:hAnsi="宋体" w:cs="宋体"/>
                <w:color w:val="000000"/>
                <w:sz w:val="18"/>
                <w:szCs w:val="18"/>
              </w:rPr>
            </w:pPr>
          </w:p>
        </w:tc>
        <w:tc>
          <w:tcPr>
            <w:tcW w:w="2250" w:type="dxa"/>
            <w:gridSpan w:val="2"/>
            <w:vAlign w:val="center"/>
          </w:tcPr>
          <w:p>
            <w:pPr>
              <w:widowControl/>
              <w:jc w:val="center"/>
              <w:textAlignment w:val="center"/>
              <w:rPr>
                <w:rFonts w:ascii="宋体" w:hAnsi="宋体" w:cs="宋体"/>
                <w:color w:val="000000"/>
                <w:kern w:val="0"/>
                <w:sz w:val="18"/>
                <w:szCs w:val="18"/>
              </w:rPr>
            </w:pPr>
            <w:r>
              <w:rPr>
                <w:rFonts w:hint="eastAsia" w:ascii="宋体" w:hAnsi="宋体" w:cs="宋体"/>
                <w:color w:val="000000"/>
                <w:kern w:val="0"/>
                <w:sz w:val="18"/>
                <w:szCs w:val="18"/>
              </w:rPr>
              <w:t>技术服务及培训</w:t>
            </w:r>
          </w:p>
        </w:tc>
        <w:tc>
          <w:tcPr>
            <w:tcW w:w="709" w:type="dxa"/>
            <w:vAlign w:val="center"/>
          </w:tcPr>
          <w:p>
            <w:pPr>
              <w:widowControl/>
              <w:jc w:val="center"/>
              <w:textAlignment w:val="center"/>
              <w:rPr>
                <w:rFonts w:ascii="宋体" w:hAnsi="宋体" w:cs="宋体"/>
                <w:color w:val="000000"/>
                <w:kern w:val="0"/>
                <w:sz w:val="18"/>
                <w:szCs w:val="18"/>
              </w:rPr>
            </w:pPr>
            <w:r>
              <w:rPr>
                <w:rFonts w:ascii="宋体" w:hAnsi="宋体" w:cs="宋体"/>
                <w:color w:val="000000"/>
                <w:kern w:val="0"/>
                <w:sz w:val="18"/>
                <w:szCs w:val="18"/>
              </w:rPr>
              <w:t>3</w:t>
            </w:r>
          </w:p>
        </w:tc>
        <w:tc>
          <w:tcPr>
            <w:tcW w:w="6047" w:type="dxa"/>
          </w:tcPr>
          <w:p>
            <w:pPr>
              <w:widowControl/>
              <w:textAlignment w:val="center"/>
              <w:rPr>
                <w:rFonts w:ascii="宋体" w:hAnsi="宋体" w:cs="宋体"/>
                <w:color w:val="000000"/>
                <w:kern w:val="0"/>
                <w:sz w:val="18"/>
                <w:szCs w:val="18"/>
              </w:rPr>
            </w:pPr>
            <w:r>
              <w:rPr>
                <w:rFonts w:hint="eastAsia" w:ascii="宋体" w:hAnsi="宋体" w:cs="宋体"/>
                <w:color w:val="000000"/>
                <w:kern w:val="0"/>
                <w:sz w:val="18"/>
                <w:szCs w:val="18"/>
              </w:rPr>
              <w:t>满足招标文件要求，提供的技术服务和培训计划完善可行性、合理性的培训方案，科学、合理、针对性强得</w:t>
            </w:r>
            <w:r>
              <w:rPr>
                <w:rFonts w:ascii="宋体" w:hAnsi="宋体" w:cs="宋体"/>
                <w:color w:val="000000"/>
                <w:kern w:val="0"/>
                <w:sz w:val="18"/>
                <w:szCs w:val="18"/>
              </w:rPr>
              <w:t>3分，合理、可行得2分，基本可行得1分，不可行、不能满足项目需要的不得分。</w:t>
            </w:r>
          </w:p>
        </w:tc>
      </w:tr>
    </w:tbl>
    <w:p>
      <w:pPr>
        <w:pStyle w:val="2"/>
      </w:pPr>
    </w:p>
    <w:p>
      <w:pPr>
        <w:pStyle w:val="2"/>
      </w:pPr>
    </w:p>
    <w:tbl>
      <w:tblPr>
        <w:tblStyle w:val="29"/>
        <w:tblW w:w="1000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6"/>
        <w:gridCol w:w="1559"/>
        <w:gridCol w:w="69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1" w:type="dxa"/>
            <w:gridSpan w:val="3"/>
          </w:tcPr>
          <w:p>
            <w:pPr>
              <w:pStyle w:val="4"/>
              <w:spacing w:before="0" w:after="0" w:line="360" w:lineRule="auto"/>
              <w:ind w:left="616"/>
              <w:jc w:val="center"/>
              <w:outlineLvl w:val="1"/>
              <w:rPr>
                <w:rFonts w:ascii="宋体" w:hAnsi="宋体"/>
                <w:bCs w:val="0"/>
                <w:sz w:val="30"/>
                <w:szCs w:val="30"/>
                <w:lang w:val="zh-CN"/>
              </w:rPr>
            </w:pPr>
            <w:r>
              <w:rPr>
                <w:rFonts w:hint="eastAsia"/>
              </w:rPr>
              <w:t>二标段</w:t>
            </w:r>
            <w:r>
              <w:rPr>
                <w:rFonts w:hint="eastAsia" w:ascii="宋体" w:hAnsi="宋体"/>
                <w:bCs w:val="0"/>
                <w:sz w:val="30"/>
                <w:szCs w:val="30"/>
                <w:lang w:val="zh-CN"/>
              </w:rPr>
              <w:t>评审因素及评分标准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26" w:type="dxa"/>
            <w:noWrap/>
          </w:tcPr>
          <w:p>
            <w:pPr>
              <w:widowControl/>
              <w:spacing w:line="500" w:lineRule="exact"/>
              <w:jc w:val="center"/>
              <w:rPr>
                <w:rFonts w:ascii="宋体" w:hAnsi="宋体" w:cs="宋体"/>
                <w:b/>
                <w:bCs/>
                <w:kern w:val="0"/>
                <w:sz w:val="22"/>
              </w:rPr>
            </w:pPr>
            <w:bookmarkStart w:id="63" w:name="_Toc106268623"/>
            <w:bookmarkStart w:id="64" w:name="_Toc494665943"/>
            <w:bookmarkStart w:id="65" w:name="_Toc494665546"/>
            <w:bookmarkStart w:id="66" w:name="_Toc494664993"/>
            <w:bookmarkStart w:id="67" w:name="_Toc494721093"/>
            <w:bookmarkStart w:id="68" w:name="_Toc494745310"/>
            <w:bookmarkStart w:id="69" w:name="_Toc494702263"/>
            <w:r>
              <w:rPr>
                <w:rFonts w:hint="eastAsia" w:ascii="宋体" w:hAnsi="宋体" w:cs="宋体"/>
                <w:b/>
                <w:bCs/>
                <w:kern w:val="0"/>
                <w:sz w:val="22"/>
              </w:rPr>
              <w:t>评分项目</w:t>
            </w:r>
          </w:p>
        </w:tc>
        <w:tc>
          <w:tcPr>
            <w:tcW w:w="1559" w:type="dxa"/>
            <w:noWrap/>
          </w:tcPr>
          <w:p>
            <w:pPr>
              <w:widowControl/>
              <w:spacing w:line="500" w:lineRule="exact"/>
              <w:jc w:val="left"/>
              <w:rPr>
                <w:rFonts w:ascii="宋体" w:cs="宋体"/>
                <w:b/>
                <w:bCs/>
                <w:sz w:val="22"/>
              </w:rPr>
            </w:pPr>
            <w:r>
              <w:rPr>
                <w:rFonts w:hint="eastAsia" w:ascii="宋体" w:hAnsi="宋体" w:cs="宋体"/>
                <w:b/>
                <w:bCs/>
                <w:kern w:val="0"/>
                <w:sz w:val="22"/>
              </w:rPr>
              <w:t>分数</w:t>
            </w:r>
          </w:p>
        </w:tc>
        <w:tc>
          <w:tcPr>
            <w:tcW w:w="6916" w:type="dxa"/>
            <w:noWrap/>
          </w:tcPr>
          <w:p>
            <w:pPr>
              <w:widowControl/>
              <w:spacing w:line="500" w:lineRule="exact"/>
              <w:jc w:val="center"/>
              <w:rPr>
                <w:rFonts w:ascii="宋体" w:cs="宋体"/>
                <w:b/>
                <w:bCs/>
                <w:sz w:val="22"/>
              </w:rPr>
            </w:pPr>
            <w:r>
              <w:rPr>
                <w:rFonts w:hint="eastAsia" w:ascii="宋体" w:hAnsi="宋体" w:cs="宋体"/>
                <w:b/>
                <w:bCs/>
                <w:kern w:val="0"/>
                <w:sz w:val="22"/>
              </w:rPr>
              <w:t>评分标准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3" w:hRule="atLeast"/>
        </w:trPr>
        <w:tc>
          <w:tcPr>
            <w:tcW w:w="1526" w:type="dxa"/>
            <w:vAlign w:val="center"/>
          </w:tcPr>
          <w:p>
            <w:pPr>
              <w:widowControl/>
              <w:spacing w:line="280" w:lineRule="exact"/>
              <w:jc w:val="center"/>
              <w:rPr>
                <w:color w:val="000000" w:themeColor="text1"/>
                <w:szCs w:val="21"/>
              </w:rPr>
            </w:pPr>
            <w:r>
              <w:rPr>
                <w:rFonts w:hint="eastAsia"/>
                <w:color w:val="000000" w:themeColor="text1"/>
                <w:szCs w:val="21"/>
              </w:rPr>
              <w:t>报价部分</w:t>
            </w:r>
          </w:p>
          <w:p>
            <w:pPr>
              <w:widowControl/>
              <w:spacing w:line="280" w:lineRule="exact"/>
              <w:jc w:val="center"/>
              <w:rPr>
                <w:color w:val="000000" w:themeColor="text1"/>
                <w:szCs w:val="21"/>
              </w:rPr>
            </w:pPr>
            <w:r>
              <w:rPr>
                <w:rFonts w:hint="eastAsia" w:hAnsi="宋体" w:cs="宋体"/>
                <w:color w:val="000000" w:themeColor="text1"/>
                <w:szCs w:val="21"/>
              </w:rPr>
              <w:t>30分</w:t>
            </w:r>
          </w:p>
        </w:tc>
        <w:tc>
          <w:tcPr>
            <w:tcW w:w="1559" w:type="dxa"/>
            <w:vAlign w:val="center"/>
          </w:tcPr>
          <w:p>
            <w:pPr>
              <w:widowControl/>
              <w:spacing w:line="280" w:lineRule="exact"/>
              <w:jc w:val="center"/>
              <w:rPr>
                <w:rFonts w:ascii="宋体" w:hAnsi="宋体" w:cs="宋体"/>
                <w:color w:val="000000" w:themeColor="text1"/>
                <w:szCs w:val="21"/>
              </w:rPr>
            </w:pPr>
            <w:r>
              <w:rPr>
                <w:rFonts w:hint="eastAsia" w:ascii="宋体" w:hAnsi="宋体" w:cs="宋体"/>
                <w:color w:val="000000" w:themeColor="text1"/>
                <w:kern w:val="0"/>
                <w:szCs w:val="21"/>
              </w:rPr>
              <w:t>30</w:t>
            </w:r>
            <w:r>
              <w:rPr>
                <w:rFonts w:hint="eastAsia" w:hAnsi="宋体" w:cs="宋体"/>
                <w:color w:val="000000" w:themeColor="text1"/>
                <w:kern w:val="0"/>
                <w:szCs w:val="21"/>
              </w:rPr>
              <w:t>分</w:t>
            </w:r>
          </w:p>
        </w:tc>
        <w:tc>
          <w:tcPr>
            <w:tcW w:w="6916" w:type="dxa"/>
          </w:tcPr>
          <w:p>
            <w:pPr>
              <w:widowControl/>
              <w:spacing w:line="280" w:lineRule="exact"/>
              <w:rPr>
                <w:rFonts w:ascii="宋体" w:hAnsi="宋体" w:cs="宋体"/>
                <w:color w:val="000000" w:themeColor="text1"/>
                <w:szCs w:val="21"/>
                <w:lang w:val="zh-TW"/>
              </w:rPr>
            </w:pPr>
            <w:r>
              <w:rPr>
                <w:color w:val="000000" w:themeColor="text1"/>
                <w:szCs w:val="21"/>
              </w:rPr>
              <w:t>本价格权值为30%。采用低价优先法计算，即满足招标文件要求且投标价格最低的投标报价为评标基准价，其价格分为满分。其他投标人的价格分统一按照下列公式计算：投标报价得分=（评标基准价/投标报价）×价格权值×100。计算时按四舍五入后保留小数点后两位小数。为保证产品质量，投标报价低于采购预算80%时，评标委员会将对其进行成本分析，评标委员会认为报价低于成本价时将否决其投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1526" w:type="dxa"/>
            <w:vMerge w:val="restart"/>
            <w:vAlign w:val="center"/>
          </w:tcPr>
          <w:p>
            <w:pPr>
              <w:pStyle w:val="12"/>
              <w:spacing w:line="360" w:lineRule="auto"/>
              <w:jc w:val="center"/>
              <w:rPr>
                <w:rFonts w:ascii="宋体" w:hAnsi="宋体" w:cs="宋体"/>
                <w:color w:val="000000" w:themeColor="text1"/>
                <w:szCs w:val="21"/>
                <w:lang w:val="zh-TW"/>
              </w:rPr>
            </w:pPr>
          </w:p>
          <w:p>
            <w:pPr>
              <w:jc w:val="center"/>
              <w:rPr>
                <w:rFonts w:ascii="宋体" w:hAnsi="宋体" w:cs="宋体"/>
                <w:color w:val="000000" w:themeColor="text1"/>
                <w:szCs w:val="21"/>
                <w:lang w:val="zh-TW"/>
              </w:rPr>
            </w:pPr>
          </w:p>
          <w:p>
            <w:pPr>
              <w:jc w:val="center"/>
              <w:rPr>
                <w:rFonts w:ascii="宋体" w:hAnsi="宋体" w:cs="宋体"/>
                <w:color w:val="000000" w:themeColor="text1"/>
                <w:szCs w:val="21"/>
                <w:lang w:val="zh-TW"/>
              </w:rPr>
            </w:pPr>
          </w:p>
          <w:p>
            <w:pPr>
              <w:jc w:val="center"/>
              <w:rPr>
                <w:rFonts w:ascii="宋体" w:hAnsi="宋体" w:cs="宋体"/>
                <w:color w:val="000000" w:themeColor="text1"/>
                <w:kern w:val="0"/>
                <w:szCs w:val="21"/>
              </w:rPr>
            </w:pPr>
            <w:r>
              <w:rPr>
                <w:rFonts w:hint="eastAsia" w:ascii="宋体" w:hAnsi="宋体" w:cs="宋体"/>
                <w:color w:val="000000" w:themeColor="text1"/>
                <w:kern w:val="0"/>
                <w:szCs w:val="21"/>
              </w:rPr>
              <w:t>技术</w:t>
            </w:r>
          </w:p>
          <w:p>
            <w:pPr>
              <w:jc w:val="center"/>
              <w:rPr>
                <w:rFonts w:ascii="宋体" w:hAnsi="宋体" w:cs="宋体"/>
                <w:color w:val="000000" w:themeColor="text1"/>
                <w:kern w:val="0"/>
                <w:szCs w:val="21"/>
              </w:rPr>
            </w:pPr>
            <w:r>
              <w:rPr>
                <w:rFonts w:hint="eastAsia" w:ascii="宋体" w:hAnsi="宋体" w:cs="宋体"/>
                <w:color w:val="000000" w:themeColor="text1"/>
                <w:kern w:val="0"/>
                <w:szCs w:val="21"/>
              </w:rPr>
              <w:t>部分</w:t>
            </w:r>
          </w:p>
          <w:p>
            <w:pPr>
              <w:widowControl/>
              <w:spacing w:line="280" w:lineRule="exact"/>
              <w:jc w:val="center"/>
              <w:rPr>
                <w:rFonts w:ascii="宋体" w:hAnsi="宋体" w:cs="宋体"/>
                <w:color w:val="FF0000"/>
                <w:szCs w:val="21"/>
                <w:lang w:val="zh-TW"/>
              </w:rPr>
            </w:pPr>
            <w:r>
              <w:rPr>
                <w:rFonts w:hint="eastAsia" w:ascii="宋体" w:hAnsi="宋体" w:cs="宋体"/>
                <w:color w:val="FF0000"/>
                <w:kern w:val="0"/>
                <w:szCs w:val="21"/>
              </w:rPr>
              <w:t>50分</w:t>
            </w:r>
          </w:p>
        </w:tc>
        <w:tc>
          <w:tcPr>
            <w:tcW w:w="1559" w:type="dxa"/>
            <w:vAlign w:val="center"/>
          </w:tcPr>
          <w:p>
            <w:pPr>
              <w:widowControl/>
              <w:spacing w:line="280" w:lineRule="exact"/>
              <w:jc w:val="center"/>
              <w:rPr>
                <w:rFonts w:ascii="宋体" w:hAnsi="宋体" w:cs="宋体"/>
                <w:color w:val="000000" w:themeColor="text1"/>
                <w:szCs w:val="21"/>
              </w:rPr>
            </w:pPr>
            <w:r>
              <w:rPr>
                <w:rFonts w:hint="eastAsia" w:ascii="宋体" w:hAnsi="宋体" w:cs="宋体"/>
                <w:color w:val="000000" w:themeColor="text1"/>
                <w:szCs w:val="21"/>
              </w:rPr>
              <w:t>产品性能</w:t>
            </w:r>
          </w:p>
          <w:p>
            <w:pPr>
              <w:widowControl/>
              <w:spacing w:line="280" w:lineRule="exact"/>
              <w:jc w:val="center"/>
              <w:rPr>
                <w:rFonts w:ascii="宋体" w:hAnsi="宋体" w:cs="宋体"/>
                <w:color w:val="000000" w:themeColor="text1"/>
                <w:szCs w:val="21"/>
              </w:rPr>
            </w:pPr>
            <w:r>
              <w:rPr>
                <w:rFonts w:hint="eastAsia" w:ascii="宋体" w:hAnsi="宋体" w:cs="宋体"/>
                <w:color w:val="000000" w:themeColor="text1"/>
                <w:szCs w:val="21"/>
              </w:rPr>
              <w:t>(5分)</w:t>
            </w:r>
          </w:p>
        </w:tc>
        <w:tc>
          <w:tcPr>
            <w:tcW w:w="6916" w:type="dxa"/>
          </w:tcPr>
          <w:p>
            <w:pPr>
              <w:adjustRightInd w:val="0"/>
              <w:snapToGrid w:val="0"/>
              <w:rPr>
                <w:rFonts w:ascii="宋体" w:hAnsi="宋体" w:cs="宋体"/>
                <w:color w:val="000000" w:themeColor="text1"/>
                <w:szCs w:val="21"/>
                <w:lang w:val="zh-TW"/>
              </w:rPr>
            </w:pPr>
            <w:r>
              <w:rPr>
                <w:rFonts w:hint="eastAsia" w:ascii="宋体" w:hAnsi="宋体" w:cs="宋体"/>
                <w:color w:val="000000" w:themeColor="text1"/>
                <w:szCs w:val="21"/>
                <w:lang w:val="zh-TW"/>
              </w:rPr>
              <w:t>所投涂料的技术参数满足招标文件要求的得 3 分，优于招标文件要求的得 5 分，不满足不得分。</w:t>
            </w:r>
          </w:p>
          <w:p>
            <w:pPr>
              <w:adjustRightInd w:val="0"/>
              <w:snapToGrid w:val="0"/>
              <w:rPr>
                <w:rFonts w:ascii="宋体" w:hAnsi="宋体" w:cs="宋体"/>
                <w:color w:val="000000" w:themeColor="text1"/>
                <w:szCs w:val="21"/>
                <w:lang w:val="zh-TW"/>
              </w:rPr>
            </w:pPr>
            <w:r>
              <w:rPr>
                <w:rFonts w:hint="eastAsia" w:ascii="宋体" w:hAnsi="宋体" w:cs="宋体"/>
                <w:color w:val="000000" w:themeColor="text1"/>
                <w:szCs w:val="21"/>
                <w:lang w:val="zh-TW"/>
              </w:rPr>
              <w:t>（证明材料：检测报告复印件或其他技术支持资料，不提供得 0 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526" w:type="dxa"/>
            <w:vMerge w:val="continue"/>
            <w:vAlign w:val="center"/>
          </w:tcPr>
          <w:p>
            <w:pPr>
              <w:widowControl/>
              <w:spacing w:line="280" w:lineRule="exact"/>
              <w:jc w:val="center"/>
              <w:rPr>
                <w:rFonts w:ascii="宋体" w:hAnsi="宋体" w:cs="宋体"/>
                <w:color w:val="000000" w:themeColor="text1"/>
                <w:szCs w:val="21"/>
                <w:lang w:val="zh-TW"/>
              </w:rPr>
            </w:pPr>
          </w:p>
        </w:tc>
        <w:tc>
          <w:tcPr>
            <w:tcW w:w="1559" w:type="dxa"/>
            <w:vMerge w:val="restart"/>
            <w:vAlign w:val="center"/>
          </w:tcPr>
          <w:p>
            <w:pPr>
              <w:widowControl/>
              <w:spacing w:line="280" w:lineRule="exact"/>
              <w:jc w:val="center"/>
              <w:rPr>
                <w:rFonts w:ascii="宋体" w:hAnsi="宋体" w:cs="宋体"/>
                <w:color w:val="FF0000"/>
                <w:szCs w:val="21"/>
              </w:rPr>
            </w:pPr>
            <w:r>
              <w:rPr>
                <w:rFonts w:hint="eastAsia" w:ascii="宋体" w:hAnsi="宋体" w:cs="宋体"/>
                <w:color w:val="FF0000"/>
                <w:szCs w:val="21"/>
              </w:rPr>
              <w:t>标线施划交付期保证措施（10分）</w:t>
            </w:r>
          </w:p>
        </w:tc>
        <w:tc>
          <w:tcPr>
            <w:tcW w:w="6916" w:type="dxa"/>
          </w:tcPr>
          <w:p>
            <w:pPr>
              <w:adjustRightInd w:val="0"/>
              <w:snapToGrid w:val="0"/>
              <w:rPr>
                <w:rFonts w:ascii="宋体" w:hAnsi="宋体" w:cs="宋体"/>
                <w:color w:val="FF0000"/>
                <w:szCs w:val="21"/>
                <w:lang w:val="zh-TW"/>
              </w:rPr>
            </w:pPr>
            <w:r>
              <w:rPr>
                <w:rFonts w:hint="eastAsia" w:ascii="宋体" w:hAnsi="宋体" w:cs="宋体"/>
                <w:color w:val="FF0000"/>
                <w:szCs w:val="21"/>
                <w:lang w:val="zh-TW"/>
              </w:rPr>
              <w:t xml:space="preserve">对标线施划进度计划进行逐级分解，通过阶段性目标的实现保证最终目标的完成的得 </w:t>
            </w:r>
            <w:r>
              <w:rPr>
                <w:rFonts w:hint="eastAsia" w:ascii="宋体" w:hAnsi="宋体" w:cs="宋体"/>
                <w:color w:val="FF0000"/>
                <w:szCs w:val="21"/>
              </w:rPr>
              <w:t>2</w:t>
            </w:r>
            <w:r>
              <w:rPr>
                <w:rFonts w:hint="eastAsia" w:ascii="宋体" w:hAnsi="宋体" w:cs="宋体"/>
                <w:color w:val="FF0000"/>
                <w:szCs w:val="21"/>
                <w:lang w:val="zh-TW"/>
              </w:rPr>
              <w:t xml:space="preserve"> 分；对标线施划进度计划进行逐级分解但存在缺陷缺漏的得 </w:t>
            </w:r>
            <w:r>
              <w:rPr>
                <w:rFonts w:hint="eastAsia" w:ascii="宋体" w:hAnsi="宋体" w:cs="宋体"/>
                <w:color w:val="FF0000"/>
                <w:szCs w:val="21"/>
              </w:rPr>
              <w:t>1</w:t>
            </w:r>
            <w:r>
              <w:rPr>
                <w:rFonts w:hint="eastAsia" w:ascii="宋体" w:hAnsi="宋体" w:cs="宋体"/>
                <w:color w:val="FF0000"/>
                <w:szCs w:val="21"/>
                <w:lang w:val="zh-TW"/>
              </w:rPr>
              <w:t xml:space="preserve"> 分，未提供进度计划说明不得分。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000000" w:themeColor="text1"/>
                <w:kern w:val="0"/>
                <w:szCs w:val="21"/>
              </w:rPr>
            </w:pPr>
          </w:p>
        </w:tc>
        <w:tc>
          <w:tcPr>
            <w:tcW w:w="6916" w:type="dxa"/>
          </w:tcPr>
          <w:p>
            <w:pPr>
              <w:adjustRightInd w:val="0"/>
              <w:snapToGrid w:val="0"/>
              <w:rPr>
                <w:rFonts w:ascii="宋体" w:hAnsi="宋体"/>
                <w:color w:val="000000" w:themeColor="text1"/>
                <w:szCs w:val="21"/>
              </w:rPr>
            </w:pPr>
            <w:r>
              <w:rPr>
                <w:rFonts w:hint="eastAsia" w:ascii="宋体" w:hAnsi="宋体"/>
                <w:color w:val="000000" w:themeColor="text1"/>
                <w:szCs w:val="21"/>
              </w:rPr>
              <w:t>建立标线施划进度管理的组织机构并明确职责，制定相应管理制度的得 2 分；制定了相应管理制度，但组织机构未能明确职责存在缺陷缺漏的得 1 分，未提供管理制度说明不得分。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FF0000"/>
                <w:kern w:val="0"/>
                <w:szCs w:val="21"/>
              </w:rPr>
            </w:pPr>
          </w:p>
        </w:tc>
        <w:tc>
          <w:tcPr>
            <w:tcW w:w="6916" w:type="dxa"/>
          </w:tcPr>
          <w:p>
            <w:pPr>
              <w:adjustRightInd w:val="0"/>
              <w:snapToGrid w:val="0"/>
              <w:rPr>
                <w:rFonts w:ascii="宋体" w:hAnsi="宋体" w:cs="宋体"/>
                <w:color w:val="FF0000"/>
                <w:kern w:val="0"/>
                <w:szCs w:val="21"/>
              </w:rPr>
            </w:pPr>
            <w:r>
              <w:rPr>
                <w:rFonts w:hint="eastAsia" w:ascii="宋体" w:hAnsi="宋体" w:cs="宋体"/>
                <w:color w:val="FF0000"/>
                <w:kern w:val="0"/>
                <w:szCs w:val="21"/>
              </w:rPr>
              <w:t>根据标线施划交通道路周边环境特点，制定相应的协调措施，减少外部因素对项目进度的影响的得 2 分；制定了相应的协调措施，但协调措施存在缺陷缺漏的得1分，未提供协调措施说明不得分。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000000" w:themeColor="text1"/>
                <w:kern w:val="0"/>
                <w:szCs w:val="21"/>
              </w:rPr>
            </w:pP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针对标线施划不同阶段的特点，制定进度管理的相应措施，包括项目组织措施、技术措施和合同措施等的得 2分；制定了进度管理的相应措施，但项目组织措施、技术措施和合同措施存在缺陷缺漏的得 1 分，未提供措施说明不得分。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000000" w:themeColor="text1"/>
                <w:kern w:val="0"/>
                <w:szCs w:val="21"/>
              </w:rPr>
            </w:pP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建立标线施划进度动态管理机制，及时纠正项目过程中的进度偏差，并制定特殊情况下的赶工措施的得 2 分；</w:t>
            </w:r>
          </w:p>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制定特殊情况下的赶工措施但措施存在缺陷缺漏的得 1 分，未提供措施说明不得分。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restart"/>
            <w:vAlign w:val="center"/>
          </w:tcPr>
          <w:p>
            <w:pPr>
              <w:widowControl/>
              <w:spacing w:line="280" w:lineRule="exact"/>
              <w:jc w:val="center"/>
              <w:rPr>
                <w:rFonts w:ascii="宋体" w:hAnsi="宋体" w:cs="宋体"/>
                <w:color w:val="000000" w:themeColor="text1"/>
                <w:kern w:val="0"/>
                <w:szCs w:val="21"/>
              </w:rPr>
            </w:pPr>
            <w:r>
              <w:rPr>
                <w:rFonts w:hint="eastAsia" w:ascii="宋体" w:hAnsi="宋体" w:cs="宋体"/>
                <w:color w:val="000000" w:themeColor="text1"/>
                <w:kern w:val="0"/>
                <w:szCs w:val="21"/>
              </w:rPr>
              <w:t>标线施划质量管理计划措施（4分）</w:t>
            </w: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按照标线施划具体要求确定质量目标并进行目标分解，质量指标应具有可测量性的得 1 分；存在缺陷缺漏的得0.5 分，未提供质量管理计划说明不得分。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000000" w:themeColor="text1"/>
                <w:kern w:val="0"/>
                <w:szCs w:val="21"/>
              </w:rPr>
            </w:pP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建立标线施划质量管理的组织机构并明确职责的得 1 分；制定了标线施划质量管理的组织机构但职责分工不够明确的得 0.5 分，未提供措施说明不得分。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000000" w:themeColor="text1"/>
                <w:kern w:val="0"/>
                <w:szCs w:val="21"/>
              </w:rPr>
            </w:pP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制定符合项目特点的技术保障和资源保障措施，通过可靠的预防控制措施，保证质量目标的实现的得 1 分；制定符合项目特点的技术保障和资源保障措施但保障措施存在缺陷缺漏的得 0.5 分，未提供保障措施说明不得分。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000000" w:themeColor="text1"/>
                <w:kern w:val="0"/>
                <w:szCs w:val="21"/>
              </w:rPr>
            </w:pP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建立质量过程检查制度，并对质量事故的处理做出相应的规定的得 1 分；建立质量过程检查制度但制度不完整有缺漏的得 0.5 分，未提检查制度施说明不得分。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Align w:val="center"/>
          </w:tcPr>
          <w:p>
            <w:pPr>
              <w:widowControl/>
              <w:spacing w:line="280" w:lineRule="exact"/>
              <w:jc w:val="center"/>
              <w:rPr>
                <w:rFonts w:ascii="宋体" w:hAnsi="宋体" w:cs="宋体"/>
                <w:color w:val="000000" w:themeColor="text1"/>
                <w:kern w:val="0"/>
                <w:szCs w:val="21"/>
              </w:rPr>
            </w:pPr>
            <w:r>
              <w:rPr>
                <w:rFonts w:hint="eastAsia" w:ascii="宋体" w:hAnsi="宋体" w:cs="宋体"/>
                <w:color w:val="000000" w:themeColor="text1"/>
                <w:kern w:val="0"/>
                <w:szCs w:val="21"/>
              </w:rPr>
              <w:t>文明施划保证措施（5分）</w:t>
            </w: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根据各投标人提供的文明施工保证措施综合对比，文明施工保证措施清晰，措施完整，可行性强的得 5 分，</w:t>
            </w:r>
          </w:p>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有文明施工保证措施，措施有缺陷，基本可行的得 3 分，</w:t>
            </w:r>
          </w:p>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有简要文明施工保证措施，基本可行的得 1 分，未提供不得分。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restart"/>
            <w:vAlign w:val="center"/>
          </w:tcPr>
          <w:p>
            <w:pPr>
              <w:widowControl/>
              <w:spacing w:line="280" w:lineRule="exact"/>
              <w:jc w:val="center"/>
              <w:rPr>
                <w:rFonts w:ascii="宋体" w:hAnsi="宋体" w:cs="宋体"/>
                <w:color w:val="000000" w:themeColor="text1"/>
                <w:kern w:val="0"/>
                <w:szCs w:val="21"/>
              </w:rPr>
            </w:pPr>
            <w:r>
              <w:rPr>
                <w:rFonts w:hint="eastAsia" w:ascii="宋体" w:hAnsi="宋体" w:cs="宋体"/>
                <w:color w:val="000000" w:themeColor="text1"/>
                <w:kern w:val="0"/>
                <w:szCs w:val="21"/>
              </w:rPr>
              <w:t>安全施划保证措施（6分）</w:t>
            </w: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针对本项目特点，确定项目重要危险源（道路交通安全等），制定项目职业健康安全管理目标的得 1 分；制定项目职业健康安全管理目标但存在缺陷缺漏的得 0.5 分，未提供安全管理目标的不得分。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000000" w:themeColor="text1"/>
                <w:kern w:val="0"/>
                <w:szCs w:val="21"/>
              </w:rPr>
            </w:pP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建立有管理层次的项目安全管理组织机构并明确职责的得 1 分；建立了安全管理组织机构但管理组织机构职责不够明确的得 0.5 分，未提供项目安全管理组织机构的不得分。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000000" w:themeColor="text1"/>
                <w:kern w:val="0"/>
                <w:szCs w:val="21"/>
              </w:rPr>
            </w:pP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根据项目特点，进行职业健康安全方面的资源配置的得 1 分；进行职业健康安全方面的资源配置但资源配置存在缺陷缺漏的得 0.5 分，未提供资源配置的不得分。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000000" w:themeColor="text1"/>
                <w:kern w:val="0"/>
                <w:szCs w:val="21"/>
              </w:rPr>
            </w:pP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建立具有针对性的安全生产管理制度和职工安全教育培训制度的得 1 分；建立了安全生产管理制度和职工安全教育培训制度，但制度存在缺陷缺漏的得 0.5 分，未提供安全生产管理制度和职工安全教育培训制度的不得分。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000000" w:themeColor="text1"/>
                <w:kern w:val="0"/>
                <w:szCs w:val="21"/>
              </w:rPr>
            </w:pP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根据季节、气候的变化，制定相应的季节性安全施工措施的得 1 分；制定了季节性安全施工措施但措施存在缺陷缺漏的得 0.5 分，未提供季节性安全施工措施的不得分。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000000" w:themeColor="text1"/>
                <w:kern w:val="0"/>
                <w:szCs w:val="21"/>
              </w:rPr>
            </w:pP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建立现场安全检查制度，并对安全事故的处理做出相应规定的得 1 分；建立现场安全检查制度但制度存在缺陷缺漏的得 0.5 分，未提供现场安全检查制度的不得分。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restart"/>
            <w:vAlign w:val="center"/>
          </w:tcPr>
          <w:p>
            <w:pPr>
              <w:widowControl/>
              <w:spacing w:line="280" w:lineRule="exact"/>
              <w:jc w:val="center"/>
              <w:rPr>
                <w:rFonts w:ascii="宋体" w:hAnsi="宋体" w:cs="宋体"/>
                <w:color w:val="000000" w:themeColor="text1"/>
                <w:kern w:val="0"/>
                <w:szCs w:val="21"/>
              </w:rPr>
            </w:pPr>
            <w:r>
              <w:rPr>
                <w:rFonts w:hint="eastAsia" w:ascii="宋体" w:hAnsi="宋体" w:cs="宋体"/>
                <w:color w:val="000000" w:themeColor="text1"/>
                <w:kern w:val="0"/>
                <w:szCs w:val="21"/>
              </w:rPr>
              <w:t>环境管理计划措施（5分）</w:t>
            </w: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确定项目重要环境因素，制定项目环境管理目标的得 1 分；制定项目环境管理目标但目标存在缺陷缺漏的得 0.5分，未提供环境管理目标的不得分。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000000" w:themeColor="text1"/>
                <w:kern w:val="0"/>
                <w:szCs w:val="21"/>
              </w:rPr>
            </w:pP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建立项目环境管理的组织机构并明确职责的得 1 分；建立项目环境管理的组织机构但职责不够明确的得 0.5 分，未提供环境管理的组织机构的不得分。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000000" w:themeColor="text1"/>
                <w:kern w:val="0"/>
                <w:szCs w:val="21"/>
              </w:rPr>
            </w:pP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根据项目特点，进行环境保护方面的资源配置的得 1 分；进行环境保护方面的资源配置但资源配置存在缺陷缺漏的得 0.5 分，未提供环境保护方面的资源配置的不得分。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000000" w:themeColor="text1"/>
                <w:kern w:val="0"/>
                <w:szCs w:val="21"/>
              </w:rPr>
            </w:pP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制定现场环境保护的控制措施的得 1 分；制定现场环境保护的控制措施但措施存在缺陷缺漏的得 0.5 分，扣完为止。未提供现场环境保护的控制措施的不得分。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000000" w:themeColor="text1"/>
                <w:kern w:val="0"/>
                <w:szCs w:val="21"/>
              </w:rPr>
            </w:pP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建立现场环境检查制度，并对环境事故的处理做出相应规定的得 1 分；建立了现场环境检查制度但制度存在缺陷缺漏的得 0.5 分，未提供现场环境检查制度的不得分。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8"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Align w:val="center"/>
          </w:tcPr>
          <w:p>
            <w:pPr>
              <w:widowControl/>
              <w:spacing w:line="280" w:lineRule="exact"/>
              <w:jc w:val="center"/>
              <w:rPr>
                <w:rFonts w:ascii="宋体" w:hAnsi="宋体" w:cs="宋体"/>
                <w:color w:val="000000" w:themeColor="text1"/>
                <w:kern w:val="0"/>
                <w:szCs w:val="21"/>
              </w:rPr>
            </w:pPr>
            <w:r>
              <w:rPr>
                <w:rFonts w:hint="eastAsia" w:ascii="宋体" w:hAnsi="宋体" w:cs="宋体"/>
                <w:color w:val="000000" w:themeColor="text1"/>
                <w:kern w:val="0"/>
                <w:szCs w:val="21"/>
              </w:rPr>
              <w:t>施工规划方案（10分）</w:t>
            </w: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根据各投标人提供的主要施工规划方案综合对比：</w:t>
            </w:r>
          </w:p>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施工规划方案（至少包括针对大型活动及节假日施工方案、分批次施工方案、除热熔标线等）内容全面详细，可行性强的得 10 分。</w:t>
            </w:r>
          </w:p>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施工规划方案（至少包括针对大型活动及节假日施工方案、分批次施工方案、除热熔标线等）内容有缺陷漏项，基本可行的得 7 分。</w:t>
            </w:r>
          </w:p>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施工规划方案（至少包括针对大型活动及节假日施工方案、分批次施工方案、除热熔标线等）内容较少，实施难度大的得3 分，未提供不得分。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3"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Align w:val="center"/>
          </w:tcPr>
          <w:p>
            <w:pPr>
              <w:widowControl/>
              <w:spacing w:line="280" w:lineRule="exact"/>
              <w:jc w:val="center"/>
              <w:rPr>
                <w:rFonts w:ascii="宋体" w:hAnsi="宋体" w:cs="宋体"/>
                <w:color w:val="000000" w:themeColor="text1"/>
                <w:kern w:val="0"/>
                <w:szCs w:val="21"/>
              </w:rPr>
            </w:pPr>
            <w:r>
              <w:rPr>
                <w:rFonts w:hint="eastAsia" w:ascii="宋体" w:hAnsi="宋体" w:cs="宋体"/>
                <w:color w:val="000000" w:themeColor="text1"/>
                <w:kern w:val="0"/>
                <w:szCs w:val="21"/>
              </w:rPr>
              <w:t>售后服务方案（5分）</w:t>
            </w: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根据投标人提供的售后服务措施（包括但不限于质保期、故障响应时间和培训措施），每个措施详尽，满足采</w:t>
            </w:r>
          </w:p>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购人要求的，可行性强的的得 3 分。</w:t>
            </w:r>
          </w:p>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售后服务措施（包括但不限于质保期、故障响应时间和培训措施）不够详尽，基本满足采购人要求的得 2 分。</w:t>
            </w:r>
          </w:p>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有售后服务措施，但措施针对性不强，基本可行的得 1 分，未提供不得分。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3" w:hRule="atLeast"/>
        </w:trPr>
        <w:tc>
          <w:tcPr>
            <w:tcW w:w="1526" w:type="dxa"/>
            <w:vMerge w:val="restart"/>
            <w:vAlign w:val="center"/>
          </w:tcPr>
          <w:p>
            <w:pPr>
              <w:widowControl/>
              <w:spacing w:line="280" w:lineRule="exact"/>
              <w:jc w:val="center"/>
            </w:pPr>
            <w:r>
              <w:rPr>
                <w:rFonts w:hint="eastAsia"/>
              </w:rPr>
              <w:t>商务部分</w:t>
            </w:r>
          </w:p>
          <w:p>
            <w:pPr>
              <w:pStyle w:val="62"/>
              <w:widowControl w:val="0"/>
              <w:ind w:firstLine="0" w:firstLineChars="0"/>
            </w:pPr>
            <w:r>
              <w:rPr>
                <w:rFonts w:hint="eastAsia" w:hAnsi="宋体" w:cs="宋体"/>
                <w:color w:val="000000" w:themeColor="text1"/>
                <w:szCs w:val="21"/>
              </w:rPr>
              <w:t xml:space="preserve">  （20分）</w:t>
            </w:r>
          </w:p>
        </w:tc>
        <w:tc>
          <w:tcPr>
            <w:tcW w:w="1559" w:type="dxa"/>
            <w:vMerge w:val="restart"/>
            <w:vAlign w:val="center"/>
          </w:tcPr>
          <w:p>
            <w:pPr>
              <w:widowControl/>
              <w:spacing w:line="280" w:lineRule="exact"/>
              <w:jc w:val="center"/>
              <w:rPr>
                <w:rFonts w:ascii="宋体" w:hAnsi="宋体" w:cs="宋体"/>
                <w:color w:val="000000" w:themeColor="text1"/>
                <w:kern w:val="0"/>
                <w:szCs w:val="21"/>
              </w:rPr>
            </w:pPr>
            <w:r>
              <w:rPr>
                <w:rFonts w:hint="eastAsia" w:ascii="宋体" w:hAnsi="宋体" w:cs="宋体"/>
                <w:color w:val="000000" w:themeColor="text1"/>
                <w:kern w:val="0"/>
                <w:szCs w:val="21"/>
              </w:rPr>
              <w:t>履约能力</w:t>
            </w:r>
          </w:p>
          <w:p>
            <w:pPr>
              <w:widowControl/>
              <w:spacing w:line="280" w:lineRule="exact"/>
              <w:jc w:val="center"/>
              <w:rPr>
                <w:rFonts w:ascii="宋体" w:hAnsi="宋体" w:cs="宋体"/>
                <w:color w:val="000000" w:themeColor="text1"/>
                <w:kern w:val="0"/>
                <w:szCs w:val="21"/>
              </w:rPr>
            </w:pPr>
            <w:r>
              <w:rPr>
                <w:rFonts w:hint="eastAsia" w:ascii="宋体" w:hAnsi="宋体" w:cs="宋体"/>
                <w:color w:val="000000" w:themeColor="text1"/>
                <w:kern w:val="0"/>
                <w:szCs w:val="21"/>
              </w:rPr>
              <w:t>（企业综合</w:t>
            </w:r>
          </w:p>
          <w:p>
            <w:pPr>
              <w:widowControl/>
              <w:spacing w:line="280" w:lineRule="exact"/>
              <w:jc w:val="center"/>
              <w:rPr>
                <w:rFonts w:ascii="宋体" w:hAnsi="宋体" w:cs="宋体"/>
                <w:color w:val="000000" w:themeColor="text1"/>
                <w:kern w:val="0"/>
                <w:szCs w:val="21"/>
              </w:rPr>
            </w:pPr>
            <w:r>
              <w:rPr>
                <w:rFonts w:hint="eastAsia" w:ascii="宋体" w:hAnsi="宋体" w:cs="宋体"/>
                <w:color w:val="000000" w:themeColor="text1"/>
                <w:kern w:val="0"/>
                <w:szCs w:val="21"/>
              </w:rPr>
              <w:t>实力）（5分）</w:t>
            </w: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1、投标人具有三级交通运输企业安全生产标准化建设等级证明的得 1 分，二级及以上交通运输企业安全生产标准化建设等级证明的得 2 分。提供等级证明复印件并加盖公章。</w:t>
            </w:r>
          </w:p>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2、投标人提供信用等级评定机构评定的信用等级证明材料，AAA（含 AAA 以上）得 2 分， AAA 以下得 1 分，未提供证明材料不得分。（提供证书复印件并加盖公章）。</w:t>
            </w:r>
          </w:p>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3、计分规则：两种等级证明材料可重复累积得分，最多得 2 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000000" w:themeColor="text1"/>
                <w:kern w:val="0"/>
                <w:szCs w:val="21"/>
              </w:rPr>
            </w:pP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投标人具有有效的质量管理体系认证证书的得 1 分；</w:t>
            </w:r>
          </w:p>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投标人具有有效的环境管理体系认证证书的得 1 分；</w:t>
            </w:r>
          </w:p>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投标人具有有效的职业健康安全管理体系认证证书的得 1 分。</w:t>
            </w:r>
          </w:p>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提供证书复印件并加盖公章。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restart"/>
            <w:vAlign w:val="center"/>
          </w:tcPr>
          <w:p>
            <w:pPr>
              <w:widowControl/>
              <w:spacing w:line="280" w:lineRule="exact"/>
              <w:jc w:val="center"/>
              <w:rPr>
                <w:rFonts w:ascii="宋体" w:hAnsi="宋体" w:cs="宋体"/>
                <w:color w:val="000000" w:themeColor="text1"/>
                <w:kern w:val="0"/>
                <w:szCs w:val="21"/>
              </w:rPr>
            </w:pPr>
            <w:r>
              <w:rPr>
                <w:rFonts w:hint="eastAsia" w:ascii="宋体" w:hAnsi="宋体" w:cs="宋体"/>
                <w:color w:val="000000" w:themeColor="text1"/>
                <w:kern w:val="0"/>
                <w:szCs w:val="21"/>
              </w:rPr>
              <w:t>拟投入人员和设备（10分）</w:t>
            </w:r>
          </w:p>
        </w:tc>
        <w:tc>
          <w:tcPr>
            <w:tcW w:w="6916" w:type="dxa"/>
          </w:tcPr>
          <w:p>
            <w:pPr>
              <w:adjustRightInd w:val="0"/>
              <w:snapToGrid w:val="0"/>
              <w:rPr>
                <w:rFonts w:ascii="宋体" w:hAnsi="宋体" w:cs="宋体"/>
                <w:color w:val="000000" w:themeColor="text1"/>
                <w:kern w:val="0"/>
                <w:szCs w:val="21"/>
              </w:rPr>
            </w:pPr>
            <w:r>
              <w:rPr>
                <w:rFonts w:ascii="宋体" w:hAnsi="宋体" w:cs="宋体"/>
                <w:color w:val="000000" w:themeColor="text1"/>
                <w:kern w:val="0"/>
                <w:szCs w:val="21"/>
              </w:rPr>
              <w:t>除拟派的项目负责人外，项目组成员具备公路工程或市政工程专业建造师贰级及以上注册证书的得2分，提供专职安全生产管理人员安全考核证书A证、B证、C证每个得1分，最多得5分，没有提供的不得分。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2"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Merge w:val="continue"/>
            <w:vAlign w:val="center"/>
          </w:tcPr>
          <w:p>
            <w:pPr>
              <w:widowControl/>
              <w:spacing w:line="280" w:lineRule="exact"/>
              <w:jc w:val="center"/>
              <w:rPr>
                <w:rFonts w:ascii="宋体" w:hAnsi="宋体" w:cs="宋体"/>
                <w:color w:val="000000" w:themeColor="text1"/>
                <w:kern w:val="0"/>
                <w:szCs w:val="21"/>
              </w:rPr>
            </w:pP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投标人拟投入所有机械、设备、车辆为投标人所有的，需提供车辆行驶证和购置发票复印件，证明其机械、设备、车辆属投标人所有。</w:t>
            </w:r>
          </w:p>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1、划线车不少于 2 台，得 2 分；</w:t>
            </w:r>
          </w:p>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2、机械、设备、车辆的配备科学、合理，有详细的使用分配方案的得 3 分，</w:t>
            </w:r>
          </w:p>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未配备或未提供证明材料不全或无法证明属投标人所有的不得分。</w:t>
            </w:r>
          </w:p>
          <w:p>
            <w:pPr>
              <w:adjustRightInd w:val="0"/>
              <w:snapToGrid w:val="0"/>
              <w:rPr>
                <w:rFonts w:ascii="宋体" w:hAnsi="宋体" w:cs="宋体"/>
                <w:color w:val="000000" w:themeColor="text1"/>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1" w:hRule="atLeast"/>
        </w:trPr>
        <w:tc>
          <w:tcPr>
            <w:tcW w:w="1526" w:type="dxa"/>
            <w:vMerge w:val="continue"/>
            <w:vAlign w:val="center"/>
          </w:tcPr>
          <w:p>
            <w:pPr>
              <w:widowControl/>
              <w:spacing w:line="280" w:lineRule="exact"/>
              <w:rPr>
                <w:rFonts w:ascii="宋体" w:hAnsi="宋体" w:cs="宋体"/>
                <w:color w:val="000000" w:themeColor="text1"/>
                <w:kern w:val="0"/>
                <w:szCs w:val="21"/>
              </w:rPr>
            </w:pPr>
          </w:p>
        </w:tc>
        <w:tc>
          <w:tcPr>
            <w:tcW w:w="1559" w:type="dxa"/>
            <w:vAlign w:val="center"/>
          </w:tcPr>
          <w:p>
            <w:pPr>
              <w:widowControl/>
              <w:spacing w:line="280" w:lineRule="exact"/>
              <w:jc w:val="center"/>
              <w:rPr>
                <w:rFonts w:ascii="宋体" w:hAnsi="宋体" w:cs="宋体"/>
                <w:color w:val="000000" w:themeColor="text1"/>
                <w:kern w:val="0"/>
                <w:szCs w:val="21"/>
              </w:rPr>
            </w:pPr>
            <w:r>
              <w:rPr>
                <w:rFonts w:hint="eastAsia" w:ascii="宋体" w:hAnsi="宋体" w:cs="宋体"/>
                <w:color w:val="000000" w:themeColor="text1"/>
                <w:kern w:val="0"/>
                <w:szCs w:val="21"/>
              </w:rPr>
              <w:t>类似业绩</w:t>
            </w:r>
          </w:p>
          <w:p>
            <w:pPr>
              <w:widowControl/>
              <w:spacing w:line="280" w:lineRule="exact"/>
              <w:jc w:val="center"/>
              <w:rPr>
                <w:rFonts w:ascii="宋体" w:hAnsi="宋体" w:cs="宋体"/>
                <w:color w:val="000000" w:themeColor="text1"/>
                <w:kern w:val="0"/>
                <w:szCs w:val="21"/>
              </w:rPr>
            </w:pPr>
            <w:r>
              <w:rPr>
                <w:rFonts w:hint="eastAsia" w:ascii="宋体" w:hAnsi="宋体" w:cs="宋体"/>
                <w:color w:val="000000" w:themeColor="text1"/>
                <w:kern w:val="0"/>
                <w:szCs w:val="21"/>
              </w:rPr>
              <w:t>（5分）</w:t>
            </w:r>
          </w:p>
        </w:tc>
        <w:tc>
          <w:tcPr>
            <w:tcW w:w="6916" w:type="dxa"/>
          </w:tcPr>
          <w:p>
            <w:pPr>
              <w:adjustRightInd w:val="0"/>
              <w:snapToGrid w:val="0"/>
              <w:rPr>
                <w:rFonts w:ascii="宋体" w:hAnsi="宋体" w:cs="宋体"/>
                <w:color w:val="000000" w:themeColor="text1"/>
                <w:kern w:val="0"/>
                <w:szCs w:val="21"/>
              </w:rPr>
            </w:pPr>
            <w:r>
              <w:rPr>
                <w:rFonts w:hint="eastAsia" w:ascii="宋体" w:hAnsi="宋体" w:cs="宋体"/>
                <w:color w:val="000000" w:themeColor="text1"/>
                <w:kern w:val="0"/>
                <w:szCs w:val="21"/>
              </w:rPr>
              <w:t>投标人</w:t>
            </w:r>
            <w:r>
              <w:rPr>
                <w:rFonts w:ascii="宋体" w:hAnsi="宋体" w:cs="宋体"/>
                <w:color w:val="000000" w:themeColor="text1"/>
                <w:kern w:val="0"/>
                <w:szCs w:val="21"/>
              </w:rPr>
              <w:t>近三年</w:t>
            </w:r>
            <w:r>
              <w:rPr>
                <w:rFonts w:hint="eastAsia" w:ascii="宋体" w:hAnsi="宋体" w:cs="宋体"/>
                <w:color w:val="000000" w:themeColor="text1"/>
                <w:kern w:val="0"/>
                <w:szCs w:val="21"/>
              </w:rPr>
              <w:t>至投标截止时间，完成过类似项目，每个项目得 1 分，满分 5 分。</w:t>
            </w:r>
          </w:p>
          <w:p>
            <w:pPr>
              <w:adjustRightInd w:val="0"/>
              <w:snapToGrid w:val="0"/>
              <w:rPr>
                <w:rFonts w:ascii="宋体" w:hAnsi="宋体" w:cs="宋体"/>
                <w:color w:val="000000" w:themeColor="text1"/>
                <w:kern w:val="0"/>
                <w:szCs w:val="21"/>
              </w:rPr>
            </w:pPr>
            <w:r>
              <w:rPr>
                <w:rFonts w:ascii="宋体" w:hAnsi="宋体" w:cs="宋体"/>
                <w:color w:val="000000" w:themeColor="text1"/>
                <w:kern w:val="0"/>
                <w:szCs w:val="21"/>
              </w:rPr>
              <w:t>（以提供中标通知书或合同为准）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1526" w:type="dxa"/>
            <w:vAlign w:val="center"/>
          </w:tcPr>
          <w:p>
            <w:pPr>
              <w:widowControl/>
              <w:spacing w:line="280" w:lineRule="exact"/>
              <w:jc w:val="center"/>
              <w:rPr>
                <w:rFonts w:ascii="宋体" w:hAnsi="宋体" w:cs="宋体"/>
                <w:color w:val="000000" w:themeColor="text1"/>
                <w:kern w:val="0"/>
                <w:szCs w:val="21"/>
              </w:rPr>
            </w:pPr>
            <w:r>
              <w:rPr>
                <w:rFonts w:hint="eastAsia" w:ascii="宋体" w:hAnsi="宋体" w:cs="宋体"/>
                <w:b/>
                <w:bCs/>
                <w:color w:val="000000" w:themeColor="text1"/>
                <w:kern w:val="0"/>
                <w:szCs w:val="21"/>
              </w:rPr>
              <w:t>合计</w:t>
            </w:r>
          </w:p>
        </w:tc>
        <w:tc>
          <w:tcPr>
            <w:tcW w:w="1559" w:type="dxa"/>
            <w:vAlign w:val="center"/>
          </w:tcPr>
          <w:p>
            <w:pPr>
              <w:widowControl/>
              <w:spacing w:line="280" w:lineRule="exact"/>
              <w:jc w:val="center"/>
              <w:rPr>
                <w:rFonts w:ascii="宋体" w:hAnsi="宋体" w:cs="宋体"/>
                <w:color w:val="000000" w:themeColor="text1"/>
                <w:kern w:val="0"/>
                <w:szCs w:val="21"/>
              </w:rPr>
            </w:pPr>
            <w:r>
              <w:rPr>
                <w:rFonts w:hint="eastAsia" w:ascii="宋体" w:hAnsi="宋体" w:cs="宋体"/>
                <w:b/>
                <w:bCs/>
                <w:color w:val="000000" w:themeColor="text1"/>
                <w:kern w:val="0"/>
                <w:szCs w:val="21"/>
              </w:rPr>
              <w:t>100</w:t>
            </w:r>
          </w:p>
        </w:tc>
        <w:tc>
          <w:tcPr>
            <w:tcW w:w="6916" w:type="dxa"/>
          </w:tcPr>
          <w:p>
            <w:pPr>
              <w:widowControl/>
              <w:spacing w:line="280" w:lineRule="exact"/>
              <w:rPr>
                <w:rFonts w:ascii="宋体" w:hAnsi="宋体" w:cs="宋体"/>
                <w:color w:val="000000" w:themeColor="text1"/>
                <w:kern w:val="0"/>
                <w:szCs w:val="21"/>
              </w:rPr>
            </w:pPr>
          </w:p>
        </w:tc>
      </w:tr>
    </w:tbl>
    <w:p/>
    <w:p/>
    <w:p/>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rPr>
          <w:rFonts w:ascii="黑体" w:hAnsi="黑体" w:eastAsia="黑体"/>
        </w:rPr>
      </w:pPr>
      <w:r>
        <w:rPr>
          <w:rFonts w:hint="eastAsia" w:ascii="黑体" w:hAnsi="黑体" w:eastAsia="黑体"/>
        </w:rPr>
        <w:br w:type="page"/>
      </w:r>
    </w:p>
    <w:p>
      <w:pPr>
        <w:pStyle w:val="3"/>
        <w:numPr>
          <w:ilvl w:val="0"/>
          <w:numId w:val="37"/>
        </w:numPr>
        <w:jc w:val="center"/>
        <w:rPr>
          <w:rFonts w:ascii="黑体" w:hAnsi="黑体" w:eastAsia="黑体"/>
        </w:rPr>
      </w:pPr>
      <w:r>
        <w:rPr>
          <w:rFonts w:hint="eastAsia" w:ascii="黑体" w:hAnsi="黑体" w:eastAsia="黑体"/>
        </w:rPr>
        <w:t>合同书格式（参考）</w:t>
      </w:r>
      <w:bookmarkEnd w:id="63"/>
      <w:bookmarkEnd w:id="64"/>
      <w:bookmarkEnd w:id="65"/>
      <w:bookmarkEnd w:id="66"/>
      <w:bookmarkEnd w:id="67"/>
      <w:bookmarkEnd w:id="68"/>
      <w:bookmarkEnd w:id="69"/>
    </w:p>
    <w:p>
      <w:pPr>
        <w:spacing w:line="360" w:lineRule="auto"/>
        <w:ind w:firstLine="480" w:firstLineChars="200"/>
        <w:rPr>
          <w:sz w:val="24"/>
          <w:szCs w:val="24"/>
        </w:rPr>
      </w:pPr>
      <w:r>
        <w:rPr>
          <w:rFonts w:hint="eastAsia"/>
          <w:sz w:val="24"/>
          <w:szCs w:val="24"/>
        </w:rPr>
        <w:t>（根据《法》和《合同法》相关规定，采购人和中标人之间的权利和义务，应当按照平等、自愿的原则以合同方式约定。此合同书仅作为签订正式合同时的参考，正式合同书应包括本参考格式之内容。）</w:t>
      </w:r>
    </w:p>
    <w:p>
      <w:pPr>
        <w:autoSpaceDE w:val="0"/>
        <w:autoSpaceDN w:val="0"/>
        <w:jc w:val="center"/>
        <w:rPr>
          <w:rFonts w:ascii="宋体"/>
          <w:b/>
          <w:kern w:val="0"/>
          <w:sz w:val="36"/>
          <w:szCs w:val="36"/>
        </w:rPr>
      </w:pPr>
      <w:r>
        <w:rPr>
          <w:rFonts w:hint="eastAsia" w:ascii="宋体" w:hAnsi="宋体"/>
          <w:b/>
          <w:kern w:val="0"/>
          <w:sz w:val="36"/>
          <w:szCs w:val="36"/>
        </w:rPr>
        <w:t>合同书</w:t>
      </w:r>
    </w:p>
    <w:p>
      <w:pPr>
        <w:spacing w:beforeLines="25" w:line="360" w:lineRule="auto"/>
        <w:ind w:firstLine="480" w:firstLineChars="200"/>
        <w:rPr>
          <w:rFonts w:ascii="Helvetica" w:hAnsi="Helvetica" w:cs="Helvetica"/>
          <w:b/>
          <w:kern w:val="0"/>
          <w:sz w:val="24"/>
          <w:szCs w:val="24"/>
          <w:lang w:val="zh-CN"/>
        </w:rPr>
      </w:pPr>
      <w:r>
        <w:rPr>
          <w:rFonts w:hint="eastAsia" w:ascii="Helvetica" w:hAnsi="Helvetica" w:cs="Helvetica"/>
          <w:b/>
          <w:kern w:val="0"/>
          <w:sz w:val="24"/>
          <w:szCs w:val="24"/>
          <w:lang w:val="zh-CN"/>
        </w:rPr>
        <w:t>项目名称：</w:t>
      </w:r>
    </w:p>
    <w:p>
      <w:pPr>
        <w:spacing w:beforeLines="25" w:line="360" w:lineRule="auto"/>
        <w:ind w:firstLine="480" w:firstLineChars="200"/>
        <w:rPr>
          <w:rFonts w:ascii="Helvetica" w:hAnsi="Helvetica" w:cs="Helvetica"/>
          <w:b/>
          <w:kern w:val="0"/>
          <w:sz w:val="24"/>
          <w:szCs w:val="24"/>
          <w:lang w:val="zh-CN"/>
        </w:rPr>
      </w:pPr>
      <w:r>
        <w:rPr>
          <w:rFonts w:hint="eastAsia" w:ascii="Helvetica" w:hAnsi="Helvetica" w:cs="Helvetica"/>
          <w:b/>
          <w:kern w:val="0"/>
          <w:sz w:val="24"/>
          <w:szCs w:val="24"/>
          <w:lang w:val="zh-CN"/>
        </w:rPr>
        <w:t>合同编号：</w:t>
      </w:r>
    </w:p>
    <w:p>
      <w:pPr>
        <w:spacing w:beforeLines="25" w:line="360" w:lineRule="auto"/>
        <w:ind w:firstLine="480" w:firstLineChars="200"/>
        <w:rPr>
          <w:rFonts w:ascii="Helvetica" w:hAnsi="Helvetica" w:cs="Helvetica"/>
          <w:b/>
          <w:kern w:val="0"/>
          <w:sz w:val="24"/>
          <w:szCs w:val="24"/>
          <w:lang w:val="zh-CN"/>
        </w:rPr>
      </w:pPr>
      <w:r>
        <w:rPr>
          <w:rFonts w:hint="eastAsia" w:ascii="Helvetica" w:hAnsi="Helvetica" w:cs="Helvetica"/>
          <w:b/>
          <w:kern w:val="0"/>
          <w:sz w:val="24"/>
          <w:szCs w:val="24"/>
          <w:lang w:val="zh-CN"/>
        </w:rPr>
        <w:t>签订日期：</w:t>
      </w:r>
    </w:p>
    <w:p>
      <w:pPr>
        <w:spacing w:beforeLines="25" w:line="360" w:lineRule="auto"/>
        <w:ind w:firstLine="480" w:firstLineChars="200"/>
        <w:rPr>
          <w:rFonts w:ascii="Helvetica" w:hAnsi="Helvetica" w:cs="Helvetica"/>
          <w:b/>
          <w:kern w:val="0"/>
          <w:sz w:val="24"/>
          <w:szCs w:val="24"/>
          <w:lang w:val="zh-CN"/>
        </w:rPr>
      </w:pPr>
      <w:r>
        <w:rPr>
          <w:rFonts w:hint="eastAsia" w:ascii="Helvetica" w:hAnsi="Helvetica" w:cs="Helvetica"/>
          <w:b/>
          <w:kern w:val="0"/>
          <w:sz w:val="24"/>
          <w:szCs w:val="24"/>
          <w:lang w:val="zh-CN"/>
        </w:rPr>
        <w:t>签订合同地点：</w:t>
      </w:r>
    </w:p>
    <w:p>
      <w:pPr>
        <w:spacing w:beforeLines="25" w:line="360" w:lineRule="auto"/>
        <w:ind w:firstLine="480" w:firstLineChars="200"/>
        <w:rPr>
          <w:rFonts w:ascii="Helvetica" w:hAnsi="Helvetica" w:cs="Helvetica"/>
          <w:kern w:val="0"/>
          <w:sz w:val="24"/>
          <w:szCs w:val="24"/>
          <w:lang w:val="zh-CN"/>
        </w:rPr>
      </w:pPr>
      <w:r>
        <w:rPr>
          <w:rFonts w:hint="eastAsia" w:ascii="Helvetica" w:hAnsi="Helvetica" w:cs="Helvetica"/>
          <w:kern w:val="0"/>
          <w:sz w:val="24"/>
          <w:szCs w:val="24"/>
          <w:lang w:val="zh-CN"/>
        </w:rPr>
        <w:t>本合同由</w:t>
      </w:r>
      <w:r>
        <w:rPr>
          <w:rFonts w:hint="eastAsia" w:ascii="Helvetica" w:hAnsi="Helvetica" w:cs="Helvetica"/>
          <w:kern w:val="0"/>
          <w:sz w:val="24"/>
          <w:szCs w:val="24"/>
          <w:u w:val="single"/>
          <w:lang w:val="zh-CN"/>
        </w:rPr>
        <w:t>（采购人）</w:t>
      </w:r>
      <w:r>
        <w:rPr>
          <w:rFonts w:hint="eastAsia" w:ascii="Helvetica" w:hAnsi="Helvetica" w:cs="Helvetica"/>
          <w:kern w:val="0"/>
          <w:sz w:val="24"/>
          <w:szCs w:val="24"/>
          <w:lang w:val="zh-CN"/>
        </w:rPr>
        <w:t>（以下简称“甲方”）与</w:t>
      </w:r>
      <w:r>
        <w:rPr>
          <w:rFonts w:hint="eastAsia" w:ascii="Helvetica" w:hAnsi="Helvetica" w:cs="Helvetica"/>
          <w:kern w:val="0"/>
          <w:sz w:val="24"/>
          <w:szCs w:val="24"/>
          <w:u w:val="single"/>
          <w:lang w:val="zh-CN"/>
        </w:rPr>
        <w:t>（中标人）</w:t>
      </w:r>
      <w:r>
        <w:rPr>
          <w:rFonts w:hint="eastAsia" w:ascii="Helvetica" w:hAnsi="Helvetica" w:cs="Helvetica"/>
          <w:kern w:val="0"/>
          <w:sz w:val="24"/>
          <w:szCs w:val="24"/>
          <w:lang w:val="zh-CN"/>
        </w:rPr>
        <w:t>（以下简称“乙方”）签订。乙方以总金额万元人民币（用大写数字书写）向甲方提供如下货物（工程或服务）：</w:t>
      </w:r>
    </w:p>
    <w:p>
      <w:pPr>
        <w:spacing w:beforeLines="25" w:line="360" w:lineRule="auto"/>
        <w:ind w:firstLine="489" w:firstLineChars="204"/>
        <w:contextualSpacing/>
        <w:rPr>
          <w:rFonts w:ascii="宋体"/>
          <w:b/>
          <w:kern w:val="0"/>
          <w:sz w:val="24"/>
          <w:szCs w:val="20"/>
        </w:rPr>
      </w:pPr>
      <w:r>
        <w:rPr>
          <w:rFonts w:hint="eastAsia" w:ascii="Helvetica" w:hAnsi="Helvetica" w:cs="Helvetica"/>
          <w:b/>
          <w:kern w:val="0"/>
          <w:sz w:val="24"/>
          <w:szCs w:val="24"/>
          <w:lang w:val="zh-CN"/>
        </w:rPr>
        <w:t>经双方协商，同意按下列条文执行：</w:t>
      </w:r>
    </w:p>
    <w:p>
      <w:pPr>
        <w:numPr>
          <w:ilvl w:val="3"/>
          <w:numId w:val="54"/>
        </w:numPr>
        <w:tabs>
          <w:tab w:val="left" w:pos="854"/>
        </w:tabs>
        <w:autoSpaceDE w:val="0"/>
        <w:autoSpaceDN w:val="0"/>
        <w:spacing w:beforeLines="25" w:line="360" w:lineRule="auto"/>
        <w:ind w:left="11" w:firstLine="477" w:firstLineChars="199"/>
        <w:contextualSpacing/>
        <w:rPr>
          <w:rFonts w:ascii="宋体"/>
          <w:kern w:val="0"/>
          <w:sz w:val="24"/>
          <w:szCs w:val="20"/>
        </w:rPr>
      </w:pPr>
      <w:r>
        <w:rPr>
          <w:rFonts w:hint="eastAsia" w:ascii="宋体" w:hAnsi="宋体"/>
          <w:kern w:val="0"/>
          <w:sz w:val="24"/>
          <w:szCs w:val="20"/>
        </w:rPr>
        <w:t>本合同甲、乙双方应遵守国家颁布的《中华人民共和国合同法》、《中华人民共和国法》，并各自履行应负的全部责任和义务。</w:t>
      </w:r>
    </w:p>
    <w:p>
      <w:pPr>
        <w:numPr>
          <w:ilvl w:val="3"/>
          <w:numId w:val="54"/>
        </w:numPr>
        <w:tabs>
          <w:tab w:val="left" w:pos="854"/>
        </w:tabs>
        <w:autoSpaceDE w:val="0"/>
        <w:autoSpaceDN w:val="0"/>
        <w:spacing w:beforeLines="25" w:line="360" w:lineRule="auto"/>
        <w:ind w:left="11" w:firstLine="477" w:firstLineChars="199"/>
        <w:contextualSpacing/>
        <w:rPr>
          <w:rFonts w:ascii="宋体"/>
          <w:kern w:val="0"/>
          <w:sz w:val="24"/>
          <w:szCs w:val="20"/>
        </w:rPr>
      </w:pPr>
      <w:r>
        <w:rPr>
          <w:rFonts w:hint="eastAsia" w:ascii="宋体" w:hAnsi="宋体"/>
          <w:kern w:val="0"/>
          <w:sz w:val="24"/>
          <w:szCs w:val="20"/>
        </w:rPr>
        <w:t>甲方保证按合同条款规定的时间和方式付给乙方到期应付的合同款，并承担应负的责任和义务。</w:t>
      </w:r>
    </w:p>
    <w:p>
      <w:pPr>
        <w:numPr>
          <w:ilvl w:val="3"/>
          <w:numId w:val="54"/>
        </w:numPr>
        <w:tabs>
          <w:tab w:val="left" w:pos="854"/>
        </w:tabs>
        <w:autoSpaceDE w:val="0"/>
        <w:autoSpaceDN w:val="0"/>
        <w:spacing w:beforeLines="25" w:line="360" w:lineRule="auto"/>
        <w:ind w:left="11" w:firstLine="477" w:firstLineChars="199"/>
        <w:contextualSpacing/>
        <w:rPr>
          <w:rFonts w:ascii="宋体"/>
          <w:kern w:val="0"/>
          <w:sz w:val="24"/>
          <w:szCs w:val="20"/>
        </w:rPr>
      </w:pPr>
      <w:r>
        <w:rPr>
          <w:rFonts w:hint="eastAsia" w:ascii="宋体" w:hAnsi="宋体"/>
          <w:kern w:val="0"/>
          <w:sz w:val="24"/>
          <w:szCs w:val="20"/>
        </w:rPr>
        <w:t>乙方保证按合同条款规定的内容和工期（服务期限）向甲方提供合格的货物（工程或服务），并承担应负的责任和义务。</w:t>
      </w:r>
    </w:p>
    <w:p>
      <w:pPr>
        <w:numPr>
          <w:ilvl w:val="3"/>
          <w:numId w:val="54"/>
        </w:numPr>
        <w:tabs>
          <w:tab w:val="left" w:pos="854"/>
        </w:tabs>
        <w:autoSpaceDE w:val="0"/>
        <w:autoSpaceDN w:val="0"/>
        <w:spacing w:beforeLines="25" w:line="360" w:lineRule="auto"/>
        <w:ind w:left="11" w:firstLine="477" w:firstLineChars="199"/>
        <w:contextualSpacing/>
        <w:rPr>
          <w:rFonts w:ascii="宋体"/>
          <w:kern w:val="0"/>
          <w:sz w:val="24"/>
          <w:szCs w:val="20"/>
        </w:rPr>
      </w:pPr>
      <w:r>
        <w:rPr>
          <w:rFonts w:hint="eastAsia" w:ascii="宋体" w:hAnsi="宋体"/>
          <w:kern w:val="0"/>
          <w:sz w:val="24"/>
          <w:szCs w:val="20"/>
        </w:rPr>
        <w:t>合同文件。下列文件为本合同不可分割的部分：</w:t>
      </w:r>
    </w:p>
    <w:p>
      <w:pPr>
        <w:numPr>
          <w:ilvl w:val="0"/>
          <w:numId w:val="55"/>
        </w:numPr>
        <w:adjustRightInd w:val="0"/>
        <w:spacing w:beforeLines="25" w:line="360" w:lineRule="auto"/>
        <w:ind w:left="1090" w:leftChars="227" w:hanging="614" w:hangingChars="256"/>
        <w:rPr>
          <w:rFonts w:ascii="宋体"/>
          <w:kern w:val="0"/>
          <w:sz w:val="24"/>
          <w:szCs w:val="20"/>
          <w:lang w:val="zh-CN"/>
        </w:rPr>
      </w:pPr>
      <w:r>
        <w:rPr>
          <w:rFonts w:hint="eastAsia" w:ascii="宋体" w:hAnsi="宋体"/>
          <w:kern w:val="0"/>
          <w:sz w:val="24"/>
          <w:szCs w:val="20"/>
          <w:lang w:val="zh-CN"/>
        </w:rPr>
        <w:t>招标文件（项目编号：</w:t>
      </w:r>
      <w:r>
        <w:rPr>
          <w:rFonts w:hint="eastAsia" w:ascii="宋体" w:hAnsi="宋体"/>
          <w:kern w:val="0"/>
          <w:sz w:val="24"/>
          <w:szCs w:val="20"/>
          <w:u w:val="single"/>
          <w:lang w:val="zh-CN"/>
        </w:rPr>
        <w:t>　　　</w:t>
      </w:r>
      <w:r>
        <w:rPr>
          <w:rFonts w:hint="eastAsia" w:ascii="宋体" w:hAnsi="宋体"/>
          <w:kern w:val="0"/>
          <w:sz w:val="24"/>
          <w:szCs w:val="20"/>
          <w:lang w:val="zh-CN"/>
        </w:rPr>
        <w:t>）；</w:t>
      </w:r>
    </w:p>
    <w:p>
      <w:pPr>
        <w:numPr>
          <w:ilvl w:val="0"/>
          <w:numId w:val="55"/>
        </w:numPr>
        <w:adjustRightInd w:val="0"/>
        <w:spacing w:beforeLines="25" w:line="360" w:lineRule="auto"/>
        <w:ind w:left="1090" w:leftChars="227" w:hanging="614" w:hangingChars="256"/>
        <w:rPr>
          <w:rFonts w:ascii="宋体"/>
          <w:kern w:val="0"/>
          <w:sz w:val="24"/>
          <w:szCs w:val="20"/>
          <w:lang w:val="zh-CN"/>
        </w:rPr>
      </w:pPr>
      <w:r>
        <w:rPr>
          <w:rFonts w:hint="eastAsia" w:ascii="宋体" w:hAnsi="宋体"/>
          <w:kern w:val="0"/>
          <w:sz w:val="24"/>
          <w:szCs w:val="20"/>
          <w:lang w:val="zh-CN"/>
        </w:rPr>
        <w:t>中标的投标文件；</w:t>
      </w:r>
    </w:p>
    <w:p>
      <w:pPr>
        <w:numPr>
          <w:ilvl w:val="0"/>
          <w:numId w:val="55"/>
        </w:numPr>
        <w:adjustRightInd w:val="0"/>
        <w:spacing w:beforeLines="25" w:line="360" w:lineRule="auto"/>
        <w:ind w:left="1090" w:leftChars="227" w:hanging="614" w:hangingChars="256"/>
        <w:rPr>
          <w:rFonts w:ascii="宋体"/>
          <w:kern w:val="0"/>
          <w:sz w:val="24"/>
          <w:szCs w:val="20"/>
          <w:lang w:val="zh-CN"/>
        </w:rPr>
      </w:pPr>
      <w:r>
        <w:rPr>
          <w:rFonts w:hint="eastAsia" w:ascii="宋体" w:hAnsi="宋体"/>
          <w:kern w:val="0"/>
          <w:sz w:val="24"/>
          <w:szCs w:val="20"/>
          <w:lang w:val="zh-CN"/>
        </w:rPr>
        <w:t>合同书；</w:t>
      </w:r>
    </w:p>
    <w:p>
      <w:pPr>
        <w:numPr>
          <w:ilvl w:val="0"/>
          <w:numId w:val="55"/>
        </w:numPr>
        <w:adjustRightInd w:val="0"/>
        <w:spacing w:beforeLines="25" w:line="360" w:lineRule="auto"/>
        <w:ind w:left="1090" w:leftChars="227" w:hanging="614" w:hangingChars="256"/>
        <w:rPr>
          <w:rFonts w:ascii="宋体"/>
          <w:kern w:val="0"/>
          <w:sz w:val="24"/>
          <w:szCs w:val="20"/>
          <w:lang w:val="zh-CN"/>
        </w:rPr>
      </w:pPr>
      <w:r>
        <w:rPr>
          <w:rFonts w:hint="eastAsia" w:ascii="宋体" w:hAnsi="宋体"/>
          <w:kern w:val="0"/>
          <w:sz w:val="24"/>
          <w:szCs w:val="20"/>
          <w:lang w:val="zh-CN"/>
        </w:rPr>
        <w:t>合同条款；</w:t>
      </w:r>
    </w:p>
    <w:p>
      <w:pPr>
        <w:numPr>
          <w:ilvl w:val="0"/>
          <w:numId w:val="55"/>
        </w:numPr>
        <w:adjustRightInd w:val="0"/>
        <w:spacing w:beforeLines="25" w:line="360" w:lineRule="auto"/>
        <w:ind w:left="1090" w:leftChars="227" w:hanging="614" w:hangingChars="256"/>
        <w:rPr>
          <w:rFonts w:ascii="宋体"/>
          <w:kern w:val="0"/>
          <w:sz w:val="24"/>
          <w:szCs w:val="20"/>
          <w:lang w:val="zh-CN"/>
        </w:rPr>
      </w:pPr>
      <w:r>
        <w:rPr>
          <w:rFonts w:hint="eastAsia" w:ascii="宋体" w:hAnsi="宋体"/>
          <w:kern w:val="0"/>
          <w:sz w:val="24"/>
          <w:szCs w:val="20"/>
          <w:lang w:val="zh-CN"/>
        </w:rPr>
        <w:t>集中采购机构发出的中标通知书；</w:t>
      </w:r>
    </w:p>
    <w:p>
      <w:pPr>
        <w:numPr>
          <w:ilvl w:val="0"/>
          <w:numId w:val="55"/>
        </w:numPr>
        <w:adjustRightInd w:val="0"/>
        <w:spacing w:beforeLines="25" w:line="360" w:lineRule="auto"/>
        <w:ind w:left="1090" w:leftChars="227" w:hanging="614" w:hangingChars="256"/>
        <w:rPr>
          <w:rFonts w:ascii="宋体"/>
          <w:kern w:val="0"/>
          <w:sz w:val="24"/>
          <w:szCs w:val="20"/>
          <w:lang w:val="zh-CN"/>
        </w:rPr>
      </w:pPr>
      <w:r>
        <w:rPr>
          <w:rFonts w:hint="eastAsia" w:ascii="宋体" w:hAnsi="宋体"/>
          <w:kern w:val="0"/>
          <w:sz w:val="24"/>
          <w:szCs w:val="20"/>
          <w:lang w:val="zh-CN"/>
        </w:rPr>
        <w:t>附件；</w:t>
      </w:r>
    </w:p>
    <w:p>
      <w:pPr>
        <w:numPr>
          <w:ilvl w:val="0"/>
          <w:numId w:val="56"/>
        </w:numPr>
        <w:spacing w:beforeLines="25" w:line="360" w:lineRule="auto"/>
        <w:ind w:left="1358" w:hanging="724"/>
        <w:rPr>
          <w:rFonts w:ascii="宋体"/>
          <w:sz w:val="24"/>
          <w:szCs w:val="20"/>
          <w:lang w:val="zh-CN"/>
        </w:rPr>
      </w:pPr>
      <w:r>
        <w:rPr>
          <w:rFonts w:hint="eastAsia" w:ascii="宋体" w:hAnsi="宋体"/>
          <w:kern w:val="0"/>
          <w:sz w:val="24"/>
          <w:szCs w:val="20"/>
          <w:lang w:val="zh-CN"/>
        </w:rPr>
        <w:t>甲方</w:t>
      </w:r>
      <w:r>
        <w:rPr>
          <w:rFonts w:hint="eastAsia" w:ascii="宋体" w:hAnsi="宋体"/>
          <w:sz w:val="24"/>
          <w:szCs w:val="20"/>
          <w:lang w:val="zh-CN"/>
        </w:rPr>
        <w:t>在招标期间发布的所有补充通知；</w:t>
      </w:r>
    </w:p>
    <w:p>
      <w:pPr>
        <w:numPr>
          <w:ilvl w:val="0"/>
          <w:numId w:val="56"/>
        </w:numPr>
        <w:spacing w:beforeLines="25" w:line="360" w:lineRule="auto"/>
        <w:ind w:left="1358" w:hanging="724"/>
        <w:rPr>
          <w:rFonts w:ascii="宋体"/>
          <w:kern w:val="0"/>
          <w:sz w:val="24"/>
          <w:szCs w:val="20"/>
          <w:lang w:val="zh-CN"/>
        </w:rPr>
      </w:pPr>
      <w:r>
        <w:rPr>
          <w:rFonts w:hint="eastAsia" w:ascii="宋体" w:hAnsi="宋体"/>
          <w:kern w:val="0"/>
          <w:sz w:val="24"/>
          <w:szCs w:val="20"/>
          <w:lang w:val="zh-CN"/>
        </w:rPr>
        <w:t>乙方在投标期内补充的所有书面文件；</w:t>
      </w:r>
    </w:p>
    <w:p>
      <w:pPr>
        <w:numPr>
          <w:ilvl w:val="0"/>
          <w:numId w:val="56"/>
        </w:numPr>
        <w:spacing w:beforeLines="25" w:line="360" w:lineRule="auto"/>
        <w:ind w:left="1358" w:hanging="724"/>
        <w:rPr>
          <w:rFonts w:ascii="宋体"/>
          <w:kern w:val="0"/>
          <w:sz w:val="24"/>
          <w:szCs w:val="20"/>
          <w:lang w:val="zh-CN"/>
        </w:rPr>
      </w:pPr>
      <w:r>
        <w:rPr>
          <w:rFonts w:hint="eastAsia" w:ascii="宋体" w:hAnsi="宋体"/>
          <w:kern w:val="0"/>
          <w:sz w:val="24"/>
          <w:szCs w:val="20"/>
          <w:lang w:val="zh-CN"/>
        </w:rPr>
        <w:t>乙方在投标时随同投标文件一起递送的资料及附图；</w:t>
      </w:r>
    </w:p>
    <w:p>
      <w:pPr>
        <w:numPr>
          <w:ilvl w:val="0"/>
          <w:numId w:val="56"/>
        </w:numPr>
        <w:spacing w:beforeLines="25" w:line="360" w:lineRule="auto"/>
        <w:ind w:left="1358" w:hanging="724"/>
        <w:rPr>
          <w:rFonts w:ascii="宋体"/>
          <w:kern w:val="0"/>
          <w:sz w:val="24"/>
          <w:szCs w:val="20"/>
          <w:lang w:val="zh-CN"/>
        </w:rPr>
      </w:pPr>
      <w:r>
        <w:rPr>
          <w:rFonts w:hint="eastAsia" w:ascii="宋体" w:hAnsi="宋体"/>
          <w:kern w:val="0"/>
          <w:sz w:val="24"/>
          <w:szCs w:val="20"/>
          <w:lang w:val="zh-CN"/>
        </w:rPr>
        <w:t>在商洽本合同时，双方澄清、确认并共同签字的补充文件、技术协议。</w:t>
      </w:r>
    </w:p>
    <w:p>
      <w:pPr>
        <w:numPr>
          <w:ilvl w:val="3"/>
          <w:numId w:val="54"/>
        </w:numPr>
        <w:tabs>
          <w:tab w:val="left" w:pos="854"/>
        </w:tabs>
        <w:autoSpaceDE w:val="0"/>
        <w:autoSpaceDN w:val="0"/>
        <w:spacing w:beforeLines="25" w:line="360" w:lineRule="auto"/>
        <w:ind w:left="11" w:firstLine="477" w:firstLineChars="199"/>
        <w:contextualSpacing/>
        <w:rPr>
          <w:rFonts w:ascii="宋体"/>
          <w:kern w:val="0"/>
          <w:sz w:val="24"/>
          <w:szCs w:val="20"/>
        </w:rPr>
      </w:pPr>
      <w:r>
        <w:rPr>
          <w:rFonts w:hint="eastAsia" w:ascii="宋体" w:hAnsi="宋体"/>
          <w:kern w:val="0"/>
          <w:sz w:val="24"/>
          <w:szCs w:val="20"/>
        </w:rPr>
        <w:t>合同范围和条件。本合同的范围和条件应与上述规定的合同文件内容相一致。</w:t>
      </w:r>
    </w:p>
    <w:p>
      <w:pPr>
        <w:numPr>
          <w:ilvl w:val="3"/>
          <w:numId w:val="54"/>
        </w:numPr>
        <w:tabs>
          <w:tab w:val="left" w:pos="854"/>
        </w:tabs>
        <w:autoSpaceDE w:val="0"/>
        <w:autoSpaceDN w:val="0"/>
        <w:spacing w:beforeLines="25" w:line="360" w:lineRule="auto"/>
        <w:ind w:left="11" w:firstLine="477" w:firstLineChars="199"/>
        <w:contextualSpacing/>
        <w:rPr>
          <w:rFonts w:ascii="宋体"/>
          <w:kern w:val="0"/>
          <w:sz w:val="24"/>
          <w:szCs w:val="20"/>
        </w:rPr>
      </w:pPr>
      <w:r>
        <w:rPr>
          <w:rFonts w:hint="eastAsia" w:ascii="宋体" w:hAnsi="宋体"/>
          <w:kern w:val="0"/>
          <w:sz w:val="24"/>
          <w:szCs w:val="20"/>
        </w:rPr>
        <w:t>货物（工程或服务）及数量。本合同所提供的货物（工程或服务）及数量详见招标文件的要求及乙方投标文件中的承诺。</w:t>
      </w:r>
    </w:p>
    <w:p>
      <w:pPr>
        <w:numPr>
          <w:ilvl w:val="3"/>
          <w:numId w:val="54"/>
        </w:numPr>
        <w:tabs>
          <w:tab w:val="left" w:pos="854"/>
        </w:tabs>
        <w:autoSpaceDE w:val="0"/>
        <w:autoSpaceDN w:val="0"/>
        <w:spacing w:beforeLines="25" w:line="360" w:lineRule="auto"/>
        <w:ind w:left="11" w:firstLine="477" w:firstLineChars="199"/>
        <w:contextualSpacing/>
        <w:rPr>
          <w:rFonts w:ascii="宋体"/>
          <w:kern w:val="0"/>
          <w:sz w:val="24"/>
          <w:szCs w:val="20"/>
        </w:rPr>
      </w:pPr>
      <w:r>
        <w:rPr>
          <w:rFonts w:hint="eastAsia" w:ascii="宋体" w:hAnsi="宋体"/>
          <w:kern w:val="0"/>
          <w:sz w:val="24"/>
          <w:szCs w:val="20"/>
        </w:rPr>
        <w:t>付款条件。本合同的付款条件按招标文件规定执行。</w:t>
      </w:r>
    </w:p>
    <w:p>
      <w:pPr>
        <w:numPr>
          <w:ilvl w:val="3"/>
          <w:numId w:val="54"/>
        </w:numPr>
        <w:tabs>
          <w:tab w:val="left" w:pos="854"/>
        </w:tabs>
        <w:autoSpaceDE w:val="0"/>
        <w:autoSpaceDN w:val="0"/>
        <w:spacing w:beforeLines="25" w:line="360" w:lineRule="auto"/>
        <w:ind w:left="11" w:firstLine="477" w:firstLineChars="199"/>
        <w:contextualSpacing/>
        <w:rPr>
          <w:rFonts w:ascii="宋体"/>
          <w:kern w:val="0"/>
          <w:sz w:val="24"/>
          <w:szCs w:val="20"/>
        </w:rPr>
      </w:pPr>
      <w:r>
        <w:rPr>
          <w:rFonts w:hint="eastAsia" w:ascii="宋体" w:hAnsi="宋体"/>
          <w:kern w:val="0"/>
          <w:sz w:val="24"/>
          <w:szCs w:val="20"/>
        </w:rPr>
        <w:t>合同金额。合同总金额见合同书，分项价格在乙方的投标报价表中有明确规定。</w:t>
      </w:r>
    </w:p>
    <w:p>
      <w:pPr>
        <w:numPr>
          <w:ilvl w:val="3"/>
          <w:numId w:val="54"/>
        </w:numPr>
        <w:tabs>
          <w:tab w:val="left" w:pos="854"/>
        </w:tabs>
        <w:autoSpaceDE w:val="0"/>
        <w:autoSpaceDN w:val="0"/>
        <w:spacing w:beforeLines="25" w:line="360" w:lineRule="auto"/>
        <w:ind w:left="11" w:firstLine="477" w:firstLineChars="199"/>
        <w:contextualSpacing/>
        <w:rPr>
          <w:rFonts w:ascii="宋体"/>
          <w:kern w:val="0"/>
          <w:sz w:val="24"/>
          <w:szCs w:val="20"/>
        </w:rPr>
      </w:pPr>
      <w:r>
        <w:rPr>
          <w:rFonts w:hint="eastAsia" w:ascii="宋体" w:hAnsi="宋体"/>
          <w:kern w:val="0"/>
          <w:sz w:val="24"/>
          <w:szCs w:val="20"/>
        </w:rPr>
        <w:t>工期和交货（服务）地点。本合同中货物（工程或服务）的工期、交货（服务）地点在招标文件中有明确规定。</w:t>
      </w:r>
    </w:p>
    <w:p>
      <w:pPr>
        <w:numPr>
          <w:ilvl w:val="3"/>
          <w:numId w:val="54"/>
        </w:numPr>
        <w:tabs>
          <w:tab w:val="left" w:pos="980"/>
        </w:tabs>
        <w:autoSpaceDE w:val="0"/>
        <w:autoSpaceDN w:val="0"/>
        <w:spacing w:beforeLines="25" w:line="360" w:lineRule="auto"/>
        <w:ind w:left="11" w:firstLine="477" w:firstLineChars="199"/>
        <w:contextualSpacing/>
        <w:rPr>
          <w:rFonts w:ascii="宋体"/>
          <w:kern w:val="0"/>
          <w:sz w:val="24"/>
          <w:szCs w:val="20"/>
        </w:rPr>
      </w:pPr>
      <w:r>
        <w:rPr>
          <w:rFonts w:hint="eastAsia" w:ascii="宋体" w:hAnsi="宋体"/>
          <w:kern w:val="0"/>
          <w:sz w:val="24"/>
          <w:szCs w:val="20"/>
        </w:rPr>
        <w:t>合同生效。本合同经甲、乙双方授权代表签字和加盖公章（或合同专用章）后生效。如招标申请公证的，合同需经公证机构公证后生效。</w:t>
      </w:r>
    </w:p>
    <w:p>
      <w:pPr>
        <w:numPr>
          <w:ilvl w:val="3"/>
          <w:numId w:val="54"/>
        </w:numPr>
        <w:tabs>
          <w:tab w:val="left" w:pos="980"/>
        </w:tabs>
        <w:autoSpaceDE w:val="0"/>
        <w:autoSpaceDN w:val="0"/>
        <w:spacing w:beforeLines="25" w:line="360" w:lineRule="auto"/>
        <w:ind w:left="11" w:firstLine="477" w:firstLineChars="199"/>
        <w:contextualSpacing/>
        <w:rPr>
          <w:rFonts w:ascii="宋体"/>
          <w:kern w:val="0"/>
          <w:sz w:val="24"/>
          <w:szCs w:val="20"/>
        </w:rPr>
      </w:pPr>
      <w:r>
        <w:rPr>
          <w:rFonts w:hint="eastAsia" w:ascii="宋体" w:hAnsi="宋体"/>
          <w:kern w:val="0"/>
          <w:sz w:val="24"/>
          <w:szCs w:val="20"/>
        </w:rPr>
        <w:t>合同的份数。本合同正本一式</w:t>
      </w:r>
      <w:r>
        <w:rPr>
          <w:rFonts w:hint="eastAsia" w:ascii="宋体" w:hAnsi="宋体"/>
          <w:kern w:val="0"/>
          <w:sz w:val="24"/>
          <w:szCs w:val="20"/>
          <w:u w:val="single"/>
        </w:rPr>
        <w:t>　</w:t>
      </w:r>
      <w:r>
        <w:rPr>
          <w:rFonts w:hint="eastAsia" w:ascii="宋体" w:hAnsi="宋体"/>
          <w:kern w:val="0"/>
          <w:sz w:val="24"/>
          <w:szCs w:val="20"/>
        </w:rPr>
        <w:t>份，甲方执</w:t>
      </w:r>
      <w:r>
        <w:rPr>
          <w:rFonts w:hint="eastAsia" w:ascii="宋体" w:hAnsi="宋体"/>
          <w:kern w:val="0"/>
          <w:sz w:val="24"/>
          <w:szCs w:val="20"/>
          <w:u w:val="single"/>
        </w:rPr>
        <w:t>　</w:t>
      </w:r>
      <w:r>
        <w:rPr>
          <w:rFonts w:hint="eastAsia" w:ascii="宋体" w:hAnsi="宋体"/>
          <w:kern w:val="0"/>
          <w:sz w:val="24"/>
          <w:szCs w:val="20"/>
        </w:rPr>
        <w:t>份，乙方执</w:t>
      </w:r>
      <w:r>
        <w:rPr>
          <w:rFonts w:hint="eastAsia" w:ascii="宋体" w:hAnsi="宋体"/>
          <w:kern w:val="0"/>
          <w:sz w:val="24"/>
          <w:szCs w:val="20"/>
          <w:u w:val="single"/>
        </w:rPr>
        <w:t>　</w:t>
      </w:r>
      <w:r>
        <w:rPr>
          <w:rFonts w:hint="eastAsia" w:ascii="宋体" w:hAnsi="宋体"/>
          <w:kern w:val="0"/>
          <w:sz w:val="24"/>
          <w:szCs w:val="20"/>
        </w:rPr>
        <w:t>份；副本一式</w:t>
      </w:r>
      <w:r>
        <w:rPr>
          <w:rFonts w:hint="eastAsia" w:ascii="宋体" w:hAnsi="宋体"/>
          <w:kern w:val="0"/>
          <w:sz w:val="24"/>
          <w:szCs w:val="20"/>
          <w:u w:val="single"/>
        </w:rPr>
        <w:t>　</w:t>
      </w:r>
      <w:r>
        <w:rPr>
          <w:rFonts w:hint="eastAsia" w:ascii="宋体" w:hAnsi="宋体"/>
          <w:kern w:val="0"/>
          <w:sz w:val="24"/>
          <w:szCs w:val="20"/>
        </w:rPr>
        <w:t>份，甲方执</w:t>
      </w:r>
      <w:r>
        <w:rPr>
          <w:rFonts w:hint="eastAsia" w:ascii="宋体" w:hAnsi="宋体"/>
          <w:kern w:val="0"/>
          <w:sz w:val="24"/>
          <w:szCs w:val="20"/>
          <w:u w:val="single"/>
        </w:rPr>
        <w:t>　</w:t>
      </w:r>
      <w:r>
        <w:rPr>
          <w:rFonts w:hint="eastAsia" w:ascii="宋体" w:hAnsi="宋体"/>
          <w:kern w:val="0"/>
          <w:sz w:val="24"/>
          <w:szCs w:val="20"/>
        </w:rPr>
        <w:t>份，乙方执</w:t>
      </w:r>
      <w:r>
        <w:rPr>
          <w:rFonts w:hint="eastAsia" w:ascii="宋体" w:hAnsi="宋体"/>
          <w:kern w:val="0"/>
          <w:sz w:val="24"/>
          <w:szCs w:val="20"/>
          <w:u w:val="single"/>
        </w:rPr>
        <w:t>　</w:t>
      </w:r>
      <w:r>
        <w:rPr>
          <w:rFonts w:hint="eastAsia" w:ascii="宋体" w:hAnsi="宋体"/>
          <w:kern w:val="0"/>
          <w:sz w:val="24"/>
          <w:szCs w:val="20"/>
        </w:rPr>
        <w:t>份。</w:t>
      </w:r>
    </w:p>
    <w:p>
      <w:pPr>
        <w:numPr>
          <w:ilvl w:val="3"/>
          <w:numId w:val="54"/>
        </w:numPr>
        <w:tabs>
          <w:tab w:val="left" w:pos="980"/>
        </w:tabs>
        <w:autoSpaceDE w:val="0"/>
        <w:autoSpaceDN w:val="0"/>
        <w:spacing w:beforeLines="25" w:line="360" w:lineRule="auto"/>
        <w:ind w:left="11" w:firstLine="477" w:firstLineChars="199"/>
        <w:contextualSpacing/>
        <w:rPr>
          <w:rFonts w:ascii="宋体"/>
          <w:kern w:val="0"/>
          <w:sz w:val="24"/>
          <w:szCs w:val="20"/>
        </w:rPr>
      </w:pPr>
      <w:r>
        <w:rPr>
          <w:rFonts w:hint="eastAsia" w:ascii="宋体" w:hAnsi="宋体"/>
          <w:kern w:val="0"/>
          <w:sz w:val="24"/>
          <w:szCs w:val="20"/>
        </w:rPr>
        <w:t>合同的失效。本合同在合同价款全部结清后失效。</w:t>
      </w:r>
    </w:p>
    <w:p>
      <w:pPr>
        <w:spacing w:beforeLines="25" w:line="360" w:lineRule="auto"/>
        <w:ind w:firstLine="489" w:firstLineChars="204"/>
        <w:contextualSpacing/>
        <w:jc w:val="left"/>
        <w:rPr>
          <w:rFonts w:ascii="宋体"/>
          <w:kern w:val="0"/>
          <w:sz w:val="24"/>
          <w:szCs w:val="20"/>
        </w:rPr>
      </w:pPr>
      <w:r>
        <w:rPr>
          <w:rFonts w:hint="eastAsia" w:ascii="宋体" w:hAnsi="宋体"/>
          <w:kern w:val="0"/>
          <w:sz w:val="24"/>
          <w:szCs w:val="20"/>
        </w:rPr>
        <w:t>甲　　方：</w:t>
      </w:r>
      <w:r>
        <w:rPr>
          <w:rFonts w:ascii="宋体"/>
          <w:kern w:val="0"/>
          <w:sz w:val="24"/>
          <w:szCs w:val="20"/>
        </w:rPr>
        <w:tab/>
      </w:r>
      <w:r>
        <w:rPr>
          <w:rFonts w:hint="eastAsia" w:ascii="宋体" w:hAnsi="宋体"/>
          <w:kern w:val="0"/>
          <w:sz w:val="24"/>
          <w:szCs w:val="20"/>
        </w:rPr>
        <w:t>乙　　方：</w:t>
      </w:r>
    </w:p>
    <w:p>
      <w:pPr>
        <w:spacing w:beforeLines="25" w:line="360" w:lineRule="auto"/>
        <w:ind w:firstLine="489" w:firstLineChars="204"/>
        <w:contextualSpacing/>
        <w:jc w:val="left"/>
        <w:rPr>
          <w:rFonts w:ascii="宋体"/>
          <w:kern w:val="0"/>
          <w:sz w:val="24"/>
          <w:szCs w:val="20"/>
        </w:rPr>
      </w:pPr>
      <w:r>
        <w:rPr>
          <w:rFonts w:hint="eastAsia" w:ascii="宋体" w:hAnsi="宋体"/>
          <w:kern w:val="0"/>
          <w:sz w:val="24"/>
          <w:szCs w:val="20"/>
        </w:rPr>
        <w:t>单位名称（盖章）：</w:t>
      </w:r>
      <w:r>
        <w:rPr>
          <w:rFonts w:ascii="宋体"/>
          <w:kern w:val="0"/>
          <w:sz w:val="24"/>
          <w:szCs w:val="20"/>
        </w:rPr>
        <w:tab/>
      </w:r>
      <w:r>
        <w:rPr>
          <w:rFonts w:hint="eastAsia" w:ascii="宋体" w:hAnsi="宋体"/>
          <w:kern w:val="0"/>
          <w:sz w:val="24"/>
          <w:szCs w:val="20"/>
        </w:rPr>
        <w:t>单位名称（盖章）：</w:t>
      </w:r>
    </w:p>
    <w:p>
      <w:pPr>
        <w:spacing w:beforeLines="25" w:line="360" w:lineRule="auto"/>
        <w:ind w:firstLine="489" w:firstLineChars="204"/>
        <w:contextualSpacing/>
        <w:jc w:val="left"/>
        <w:rPr>
          <w:rFonts w:ascii="宋体"/>
          <w:kern w:val="0"/>
          <w:sz w:val="24"/>
          <w:szCs w:val="20"/>
        </w:rPr>
      </w:pPr>
      <w:r>
        <w:rPr>
          <w:rFonts w:hint="eastAsia" w:ascii="宋体" w:hAnsi="宋体"/>
          <w:kern w:val="0"/>
          <w:sz w:val="24"/>
          <w:szCs w:val="20"/>
        </w:rPr>
        <w:t>单位地址：</w:t>
      </w:r>
      <w:r>
        <w:rPr>
          <w:rFonts w:ascii="宋体"/>
          <w:kern w:val="0"/>
          <w:sz w:val="24"/>
          <w:szCs w:val="20"/>
        </w:rPr>
        <w:tab/>
      </w:r>
      <w:r>
        <w:rPr>
          <w:rFonts w:hint="eastAsia" w:ascii="宋体" w:hAnsi="宋体"/>
          <w:kern w:val="0"/>
          <w:sz w:val="24"/>
          <w:szCs w:val="20"/>
        </w:rPr>
        <w:t>单位地址：</w:t>
      </w:r>
    </w:p>
    <w:p>
      <w:pPr>
        <w:spacing w:beforeLines="25" w:line="360" w:lineRule="auto"/>
        <w:ind w:firstLine="489" w:firstLineChars="204"/>
        <w:contextualSpacing/>
        <w:jc w:val="left"/>
        <w:rPr>
          <w:rFonts w:ascii="宋体"/>
          <w:kern w:val="0"/>
          <w:sz w:val="24"/>
          <w:szCs w:val="20"/>
        </w:rPr>
      </w:pPr>
      <w:r>
        <w:rPr>
          <w:rFonts w:hint="eastAsia" w:ascii="宋体" w:hAnsi="宋体"/>
          <w:kern w:val="0"/>
          <w:sz w:val="24"/>
          <w:szCs w:val="20"/>
        </w:rPr>
        <w:t>法人代表授权人</w:t>
      </w:r>
      <w:r>
        <w:rPr>
          <w:rFonts w:ascii="宋体" w:hAnsi="宋体"/>
          <w:kern w:val="0"/>
          <w:sz w:val="24"/>
          <w:szCs w:val="20"/>
        </w:rPr>
        <w:t>(</w:t>
      </w:r>
      <w:r>
        <w:rPr>
          <w:rFonts w:hint="eastAsia" w:ascii="宋体" w:hAnsi="宋体"/>
          <w:kern w:val="0"/>
          <w:sz w:val="24"/>
          <w:szCs w:val="20"/>
        </w:rPr>
        <w:t>签字</w:t>
      </w:r>
      <w:r>
        <w:rPr>
          <w:rFonts w:ascii="宋体" w:hAnsi="宋体"/>
          <w:kern w:val="0"/>
          <w:sz w:val="24"/>
          <w:szCs w:val="20"/>
        </w:rPr>
        <w:t>)</w:t>
      </w:r>
      <w:r>
        <w:rPr>
          <w:rFonts w:hint="eastAsia" w:ascii="宋体" w:hAnsi="宋体"/>
          <w:kern w:val="0"/>
          <w:sz w:val="24"/>
          <w:szCs w:val="20"/>
        </w:rPr>
        <w:t>：</w:t>
      </w:r>
      <w:r>
        <w:rPr>
          <w:rFonts w:ascii="宋体" w:hAnsi="宋体"/>
          <w:kern w:val="0"/>
          <w:sz w:val="24"/>
          <w:szCs w:val="20"/>
        </w:rPr>
        <w:tab/>
      </w:r>
      <w:r>
        <w:rPr>
          <w:rFonts w:hint="eastAsia" w:ascii="宋体" w:hAnsi="宋体"/>
          <w:kern w:val="0"/>
          <w:sz w:val="24"/>
          <w:szCs w:val="20"/>
        </w:rPr>
        <w:t>法人代表授权人</w:t>
      </w:r>
      <w:r>
        <w:rPr>
          <w:rFonts w:ascii="宋体" w:hAnsi="宋体"/>
          <w:kern w:val="0"/>
          <w:sz w:val="24"/>
          <w:szCs w:val="20"/>
        </w:rPr>
        <w:t>(</w:t>
      </w:r>
      <w:r>
        <w:rPr>
          <w:rFonts w:hint="eastAsia" w:ascii="宋体" w:hAnsi="宋体"/>
          <w:kern w:val="0"/>
          <w:sz w:val="24"/>
          <w:szCs w:val="20"/>
        </w:rPr>
        <w:t>签字</w:t>
      </w:r>
      <w:r>
        <w:rPr>
          <w:rFonts w:ascii="宋体" w:hAnsi="宋体"/>
          <w:kern w:val="0"/>
          <w:sz w:val="24"/>
          <w:szCs w:val="20"/>
        </w:rPr>
        <w:t>)</w:t>
      </w:r>
      <w:r>
        <w:rPr>
          <w:rFonts w:hint="eastAsia" w:ascii="宋体" w:hAnsi="宋体"/>
          <w:kern w:val="0"/>
          <w:sz w:val="24"/>
          <w:szCs w:val="20"/>
        </w:rPr>
        <w:t>：</w:t>
      </w:r>
    </w:p>
    <w:p>
      <w:pPr>
        <w:spacing w:beforeLines="25" w:line="360" w:lineRule="auto"/>
        <w:ind w:firstLine="489" w:firstLineChars="204"/>
        <w:contextualSpacing/>
        <w:jc w:val="left"/>
        <w:rPr>
          <w:rFonts w:ascii="宋体"/>
          <w:kern w:val="0"/>
          <w:sz w:val="24"/>
          <w:szCs w:val="20"/>
        </w:rPr>
      </w:pPr>
      <w:r>
        <w:rPr>
          <w:rFonts w:hint="eastAsia" w:ascii="宋体" w:hAnsi="宋体"/>
          <w:kern w:val="0"/>
          <w:sz w:val="24"/>
          <w:szCs w:val="20"/>
        </w:rPr>
        <w:t>联系人：</w:t>
      </w:r>
      <w:r>
        <w:rPr>
          <w:rFonts w:ascii="宋体"/>
          <w:kern w:val="0"/>
          <w:sz w:val="24"/>
          <w:szCs w:val="20"/>
        </w:rPr>
        <w:tab/>
      </w:r>
      <w:r>
        <w:rPr>
          <w:rFonts w:hint="eastAsia" w:ascii="宋体" w:hAnsi="宋体"/>
          <w:kern w:val="0"/>
          <w:sz w:val="24"/>
          <w:szCs w:val="20"/>
        </w:rPr>
        <w:t>联系人：</w:t>
      </w:r>
    </w:p>
    <w:p>
      <w:pPr>
        <w:spacing w:beforeLines="25" w:line="360" w:lineRule="auto"/>
        <w:ind w:firstLine="489" w:firstLineChars="204"/>
        <w:contextualSpacing/>
        <w:jc w:val="left"/>
        <w:rPr>
          <w:rFonts w:ascii="宋体"/>
          <w:kern w:val="0"/>
          <w:sz w:val="24"/>
          <w:szCs w:val="20"/>
        </w:rPr>
      </w:pPr>
      <w:r>
        <w:rPr>
          <w:rFonts w:hint="eastAsia" w:ascii="宋体" w:hAnsi="宋体"/>
          <w:kern w:val="0"/>
          <w:sz w:val="24"/>
          <w:szCs w:val="20"/>
        </w:rPr>
        <w:t>电　　话：</w:t>
      </w:r>
      <w:r>
        <w:rPr>
          <w:rFonts w:ascii="宋体" w:hAnsi="宋体"/>
          <w:kern w:val="0"/>
          <w:sz w:val="24"/>
          <w:szCs w:val="20"/>
        </w:rPr>
        <w:tab/>
      </w:r>
      <w:r>
        <w:rPr>
          <w:rFonts w:hint="eastAsia" w:ascii="宋体" w:hAnsi="宋体"/>
          <w:kern w:val="0"/>
          <w:sz w:val="24"/>
          <w:szCs w:val="20"/>
        </w:rPr>
        <w:t>电　　话：</w:t>
      </w:r>
    </w:p>
    <w:p>
      <w:pPr>
        <w:spacing w:beforeLines="25" w:line="360" w:lineRule="auto"/>
        <w:ind w:firstLine="489" w:firstLineChars="204"/>
        <w:contextualSpacing/>
        <w:jc w:val="left"/>
        <w:rPr>
          <w:rFonts w:ascii="宋体"/>
          <w:kern w:val="0"/>
          <w:sz w:val="24"/>
          <w:szCs w:val="20"/>
        </w:rPr>
      </w:pPr>
      <w:r>
        <w:rPr>
          <w:rFonts w:hint="eastAsia" w:ascii="宋体" w:hAnsi="宋体"/>
          <w:kern w:val="0"/>
          <w:sz w:val="24"/>
          <w:szCs w:val="20"/>
        </w:rPr>
        <w:t>传　　真：</w:t>
      </w:r>
      <w:r>
        <w:rPr>
          <w:rFonts w:ascii="宋体" w:hAnsi="宋体"/>
          <w:kern w:val="0"/>
          <w:sz w:val="24"/>
          <w:szCs w:val="20"/>
        </w:rPr>
        <w:tab/>
      </w:r>
      <w:r>
        <w:rPr>
          <w:rFonts w:hint="eastAsia" w:ascii="宋体" w:hAnsi="宋体"/>
          <w:kern w:val="0"/>
          <w:sz w:val="24"/>
          <w:szCs w:val="20"/>
        </w:rPr>
        <w:t>传　　真：</w:t>
      </w:r>
    </w:p>
    <w:p>
      <w:pPr>
        <w:spacing w:beforeLines="25" w:line="360" w:lineRule="auto"/>
        <w:ind w:firstLine="489" w:firstLineChars="204"/>
        <w:contextualSpacing/>
        <w:jc w:val="left"/>
        <w:rPr>
          <w:rFonts w:ascii="宋体"/>
          <w:kern w:val="0"/>
          <w:sz w:val="24"/>
          <w:szCs w:val="20"/>
        </w:rPr>
      </w:pPr>
      <w:r>
        <w:rPr>
          <w:rFonts w:hint="eastAsia" w:ascii="宋体" w:hAnsi="宋体"/>
          <w:kern w:val="0"/>
          <w:sz w:val="24"/>
          <w:szCs w:val="20"/>
        </w:rPr>
        <w:t>邮政编码：</w:t>
      </w:r>
      <w:r>
        <w:rPr>
          <w:rFonts w:ascii="宋体" w:hAnsi="宋体"/>
          <w:kern w:val="0"/>
          <w:sz w:val="24"/>
          <w:szCs w:val="20"/>
        </w:rPr>
        <w:tab/>
      </w:r>
      <w:r>
        <w:rPr>
          <w:rFonts w:hint="eastAsia" w:ascii="宋体" w:hAnsi="宋体"/>
          <w:kern w:val="0"/>
          <w:sz w:val="24"/>
          <w:szCs w:val="20"/>
        </w:rPr>
        <w:t>邮政编码：</w:t>
      </w:r>
    </w:p>
    <w:p>
      <w:pPr>
        <w:spacing w:beforeLines="25" w:line="360" w:lineRule="auto"/>
        <w:ind w:firstLine="489" w:firstLineChars="204"/>
        <w:contextualSpacing/>
        <w:jc w:val="left"/>
        <w:rPr>
          <w:rFonts w:ascii="宋体"/>
          <w:kern w:val="0"/>
          <w:sz w:val="24"/>
          <w:szCs w:val="20"/>
        </w:rPr>
      </w:pPr>
      <w:r>
        <w:rPr>
          <w:rFonts w:hint="eastAsia" w:ascii="宋体" w:hAnsi="宋体"/>
          <w:kern w:val="0"/>
          <w:sz w:val="24"/>
          <w:szCs w:val="20"/>
        </w:rPr>
        <w:t>开户银行：</w:t>
      </w:r>
      <w:r>
        <w:rPr>
          <w:rFonts w:ascii="宋体" w:hAnsi="宋体"/>
          <w:kern w:val="0"/>
          <w:sz w:val="24"/>
          <w:szCs w:val="20"/>
        </w:rPr>
        <w:tab/>
      </w:r>
      <w:r>
        <w:rPr>
          <w:rFonts w:hint="eastAsia" w:ascii="宋体" w:hAnsi="宋体"/>
          <w:kern w:val="0"/>
          <w:sz w:val="24"/>
          <w:szCs w:val="20"/>
        </w:rPr>
        <w:t>开户银行：</w:t>
      </w:r>
    </w:p>
    <w:p>
      <w:pPr>
        <w:spacing w:beforeLines="25" w:line="360" w:lineRule="auto"/>
        <w:ind w:firstLine="489" w:firstLineChars="204"/>
        <w:contextualSpacing/>
        <w:jc w:val="left"/>
        <w:rPr>
          <w:rFonts w:ascii="宋体"/>
          <w:kern w:val="0"/>
          <w:sz w:val="24"/>
          <w:szCs w:val="20"/>
        </w:rPr>
      </w:pPr>
      <w:r>
        <w:rPr>
          <w:rFonts w:hint="eastAsia" w:ascii="宋体" w:hAnsi="宋体"/>
          <w:kern w:val="0"/>
          <w:sz w:val="24"/>
          <w:szCs w:val="20"/>
        </w:rPr>
        <w:t>帐　　号：</w:t>
      </w:r>
      <w:r>
        <w:rPr>
          <w:rFonts w:ascii="宋体" w:hAnsi="宋体"/>
          <w:kern w:val="0"/>
          <w:sz w:val="24"/>
          <w:szCs w:val="20"/>
        </w:rPr>
        <w:tab/>
      </w:r>
      <w:r>
        <w:rPr>
          <w:rFonts w:hint="eastAsia" w:ascii="宋体" w:hAnsi="宋体"/>
          <w:kern w:val="0"/>
          <w:sz w:val="24"/>
          <w:szCs w:val="20"/>
        </w:rPr>
        <w:t>帐　　号：</w:t>
      </w:r>
    </w:p>
    <w:p>
      <w:pPr>
        <w:spacing w:beforeLines="25" w:line="360" w:lineRule="auto"/>
        <w:ind w:firstLine="489" w:firstLineChars="204"/>
        <w:contextualSpacing/>
        <w:jc w:val="left"/>
        <w:rPr>
          <w:rFonts w:ascii="宋体"/>
          <w:kern w:val="0"/>
          <w:sz w:val="24"/>
          <w:szCs w:val="20"/>
        </w:rPr>
      </w:pPr>
      <w:r>
        <w:rPr>
          <w:rFonts w:hint="eastAsia" w:ascii="宋体" w:hAnsi="宋体"/>
          <w:kern w:val="0"/>
          <w:sz w:val="24"/>
          <w:szCs w:val="20"/>
        </w:rPr>
        <w:t>税　　号：</w:t>
      </w:r>
      <w:r>
        <w:rPr>
          <w:rFonts w:ascii="宋体" w:hAnsi="宋体"/>
          <w:kern w:val="0"/>
          <w:sz w:val="24"/>
          <w:szCs w:val="20"/>
        </w:rPr>
        <w:tab/>
      </w:r>
      <w:r>
        <w:rPr>
          <w:rFonts w:hint="eastAsia" w:ascii="宋体" w:hAnsi="宋体"/>
          <w:kern w:val="0"/>
          <w:sz w:val="24"/>
          <w:szCs w:val="20"/>
        </w:rPr>
        <w:t>税　　号：</w:t>
      </w:r>
    </w:p>
    <w:p>
      <w:pPr>
        <w:spacing w:beforeLines="25" w:line="360" w:lineRule="auto"/>
        <w:ind w:firstLine="489" w:firstLineChars="204"/>
        <w:contextualSpacing/>
        <w:jc w:val="left"/>
        <w:rPr>
          <w:rFonts w:ascii="宋体"/>
          <w:kern w:val="0"/>
          <w:sz w:val="24"/>
          <w:szCs w:val="20"/>
        </w:rPr>
      </w:pPr>
    </w:p>
    <w:p>
      <w:pPr>
        <w:spacing w:beforeLines="25" w:line="360" w:lineRule="auto"/>
        <w:ind w:firstLine="489" w:firstLineChars="204"/>
        <w:contextualSpacing/>
        <w:jc w:val="left"/>
        <w:rPr>
          <w:rFonts w:ascii="宋体"/>
          <w:kern w:val="0"/>
          <w:sz w:val="24"/>
          <w:szCs w:val="20"/>
        </w:rPr>
      </w:pPr>
    </w:p>
    <w:p>
      <w:pPr>
        <w:spacing w:beforeLines="25" w:line="360" w:lineRule="auto"/>
        <w:ind w:firstLine="489" w:firstLineChars="204"/>
        <w:contextualSpacing/>
        <w:jc w:val="left"/>
        <w:rPr>
          <w:rFonts w:ascii="宋体"/>
          <w:kern w:val="0"/>
          <w:sz w:val="24"/>
          <w:szCs w:val="20"/>
        </w:rPr>
      </w:pPr>
    </w:p>
    <w:p>
      <w:pPr>
        <w:pStyle w:val="3"/>
        <w:numPr>
          <w:ilvl w:val="0"/>
          <w:numId w:val="37"/>
        </w:numPr>
        <w:jc w:val="center"/>
        <w:rPr>
          <w:rFonts w:ascii="黑体" w:hAnsi="黑体" w:eastAsia="黑体"/>
        </w:rPr>
      </w:pPr>
      <w:bookmarkStart w:id="70" w:name="_Toc494745311"/>
      <w:bookmarkStart w:id="71" w:name="_Toc494702264"/>
      <w:bookmarkStart w:id="72" w:name="_Toc494665547"/>
      <w:bookmarkStart w:id="73" w:name="_Toc494665944"/>
      <w:bookmarkStart w:id="74" w:name="_Toc494664994"/>
      <w:bookmarkStart w:id="75" w:name="_Toc494721094"/>
      <w:bookmarkStart w:id="76" w:name="_Toc106268624"/>
      <w:r>
        <w:rPr>
          <w:rFonts w:hint="eastAsia" w:ascii="黑体" w:hAnsi="黑体" w:eastAsia="黑体"/>
        </w:rPr>
        <w:t>投标文件格式（参考）</w:t>
      </w:r>
      <w:bookmarkEnd w:id="70"/>
      <w:bookmarkEnd w:id="71"/>
      <w:bookmarkEnd w:id="72"/>
      <w:bookmarkEnd w:id="73"/>
      <w:bookmarkEnd w:id="74"/>
      <w:bookmarkEnd w:id="75"/>
      <w:bookmarkEnd w:id="76"/>
    </w:p>
    <w:p>
      <w:pPr>
        <w:spacing w:afterLines="250"/>
        <w:jc w:val="center"/>
        <w:rPr>
          <w:rFonts w:ascii="黑体" w:hAnsi="黑体" w:eastAsia="黑体"/>
          <w:b/>
          <w:sz w:val="56"/>
          <w:szCs w:val="56"/>
        </w:rPr>
      </w:pPr>
      <w:r>
        <w:rPr>
          <w:rFonts w:hint="eastAsia" w:ascii="黑体" w:hAnsi="黑体" w:eastAsia="黑体"/>
          <w:b/>
          <w:sz w:val="56"/>
          <w:szCs w:val="56"/>
        </w:rPr>
        <w:t>阳新县县级</w:t>
      </w:r>
    </w:p>
    <w:p>
      <w:pPr>
        <w:spacing w:afterLines="200"/>
        <w:jc w:val="center"/>
        <w:rPr>
          <w:rFonts w:ascii="黑体" w:hAnsi="黑体" w:eastAsia="黑体"/>
          <w:b/>
          <w:sz w:val="144"/>
          <w:szCs w:val="144"/>
        </w:rPr>
      </w:pPr>
      <w:r>
        <w:rPr>
          <w:rFonts w:hint="eastAsia" w:ascii="黑体" w:hAnsi="黑体" w:eastAsia="黑体"/>
          <w:b/>
          <w:sz w:val="144"/>
          <w:szCs w:val="144"/>
        </w:rPr>
        <w:t xml:space="preserve">投标文件 </w:t>
      </w:r>
    </w:p>
    <w:p>
      <w:pPr>
        <w:pStyle w:val="4"/>
        <w:spacing w:before="340" w:after="480" w:line="360" w:lineRule="auto"/>
        <w:jc w:val="center"/>
        <w:rPr>
          <w:rFonts w:ascii="宋体"/>
          <w:bCs w:val="0"/>
          <w:sz w:val="44"/>
          <w:szCs w:val="44"/>
          <w:lang w:val="zh-CN"/>
        </w:rPr>
      </w:pPr>
      <w:bookmarkStart w:id="77" w:name="_Toc494721095"/>
      <w:bookmarkStart w:id="78" w:name="_Toc494702265"/>
      <w:bookmarkStart w:id="79" w:name="_Toc494664995"/>
      <w:bookmarkStart w:id="80" w:name="_Toc494665945"/>
      <w:bookmarkStart w:id="81" w:name="_Toc494665548"/>
      <w:bookmarkStart w:id="82" w:name="_Toc494745312"/>
      <w:bookmarkStart w:id="83" w:name="_Toc106268625"/>
      <w:r>
        <w:rPr>
          <w:rFonts w:hint="eastAsia" w:ascii="宋体" w:hAnsi="宋体"/>
          <w:bCs w:val="0"/>
          <w:sz w:val="44"/>
          <w:szCs w:val="44"/>
          <w:lang w:val="zh-CN"/>
        </w:rPr>
        <w:t>第一部分资格证明文件</w:t>
      </w:r>
      <w:bookmarkEnd w:id="77"/>
      <w:bookmarkEnd w:id="78"/>
      <w:bookmarkEnd w:id="79"/>
      <w:bookmarkEnd w:id="80"/>
      <w:bookmarkEnd w:id="81"/>
      <w:bookmarkEnd w:id="82"/>
      <w:bookmarkEnd w:id="83"/>
    </w:p>
    <w:p>
      <w:pPr>
        <w:spacing w:line="360" w:lineRule="auto"/>
        <w:ind w:left="2051" w:leftChars="619" w:right="1299" w:rightChars="619" w:hanging="752" w:hangingChars="209"/>
        <w:rPr>
          <w:rFonts w:ascii="宋体"/>
          <w:bCs/>
          <w:sz w:val="36"/>
          <w:szCs w:val="24"/>
        </w:rPr>
      </w:pPr>
      <w:r>
        <w:rPr>
          <w:rFonts w:hint="eastAsia" w:ascii="宋体" w:hAnsi="宋体"/>
          <w:b/>
          <w:bCs/>
          <w:sz w:val="36"/>
          <w:szCs w:val="24"/>
        </w:rPr>
        <w:t>项目编号：</w:t>
      </w:r>
    </w:p>
    <w:p>
      <w:pPr>
        <w:spacing w:line="360" w:lineRule="auto"/>
        <w:ind w:left="2051" w:leftChars="619" w:right="1299" w:rightChars="619" w:hanging="752" w:hangingChars="209"/>
        <w:rPr>
          <w:rFonts w:ascii="宋体"/>
          <w:b/>
          <w:bCs/>
          <w:sz w:val="36"/>
          <w:szCs w:val="24"/>
        </w:rPr>
      </w:pPr>
      <w:r>
        <w:rPr>
          <w:rFonts w:hint="eastAsia" w:ascii="宋体" w:hAnsi="宋体"/>
          <w:b/>
          <w:bCs/>
          <w:sz w:val="36"/>
          <w:szCs w:val="24"/>
        </w:rPr>
        <w:t>项目名称：</w:t>
      </w:r>
    </w:p>
    <w:p>
      <w:pPr>
        <w:spacing w:line="360" w:lineRule="auto"/>
        <w:ind w:left="2051" w:leftChars="619" w:right="1299" w:rightChars="619" w:hanging="752" w:hangingChars="209"/>
        <w:rPr>
          <w:rFonts w:ascii="宋体"/>
          <w:bCs/>
          <w:sz w:val="36"/>
          <w:szCs w:val="24"/>
          <w:lang w:val="zh-CN"/>
        </w:rPr>
      </w:pPr>
      <w:r>
        <w:rPr>
          <w:rFonts w:hint="eastAsia" w:ascii="宋体" w:hAnsi="宋体"/>
          <w:b/>
          <w:bCs/>
          <w:sz w:val="36"/>
          <w:szCs w:val="24"/>
        </w:rPr>
        <w:t>采购人：</w:t>
      </w:r>
    </w:p>
    <w:p>
      <w:pPr>
        <w:spacing w:line="360" w:lineRule="auto"/>
        <w:ind w:left="2051" w:leftChars="619" w:right="1299" w:rightChars="619" w:hanging="752" w:hangingChars="209"/>
        <w:rPr>
          <w:rFonts w:ascii="宋体"/>
          <w:b/>
          <w:bCs/>
          <w:sz w:val="36"/>
          <w:szCs w:val="24"/>
        </w:rPr>
      </w:pPr>
      <w:r>
        <w:rPr>
          <w:rFonts w:hint="eastAsia" w:ascii="宋体" w:hAnsi="宋体"/>
          <w:b/>
          <w:bCs/>
          <w:sz w:val="36"/>
          <w:szCs w:val="24"/>
        </w:rPr>
        <w:t>采购内容：</w:t>
      </w:r>
    </w:p>
    <w:p>
      <w:pPr>
        <w:spacing w:line="360" w:lineRule="auto"/>
        <w:ind w:left="2051" w:leftChars="619" w:right="1299" w:rightChars="619" w:hanging="752" w:hangingChars="209"/>
        <w:rPr>
          <w:rFonts w:ascii="宋体"/>
          <w:b/>
          <w:bCs/>
          <w:sz w:val="36"/>
          <w:szCs w:val="24"/>
        </w:rPr>
      </w:pPr>
    </w:p>
    <w:p>
      <w:pPr>
        <w:spacing w:line="360" w:lineRule="auto"/>
        <w:ind w:left="2051" w:leftChars="619" w:right="1299" w:rightChars="619" w:hanging="752" w:hangingChars="209"/>
        <w:rPr>
          <w:rFonts w:ascii="宋体"/>
          <w:b/>
          <w:bCs/>
          <w:sz w:val="36"/>
          <w:szCs w:val="24"/>
        </w:rPr>
      </w:pPr>
    </w:p>
    <w:p>
      <w:pPr>
        <w:spacing w:line="360" w:lineRule="auto"/>
        <w:ind w:left="2051" w:leftChars="619" w:right="1299" w:rightChars="619" w:hanging="752" w:hangingChars="209"/>
        <w:jc w:val="left"/>
        <w:rPr>
          <w:rFonts w:ascii="宋体"/>
          <w:b/>
          <w:bCs/>
          <w:sz w:val="96"/>
          <w:szCs w:val="96"/>
        </w:rPr>
      </w:pPr>
      <w:r>
        <w:rPr>
          <w:rFonts w:hint="eastAsia" w:ascii="宋体" w:hAnsi="宋体"/>
          <w:b/>
          <w:bCs/>
          <w:sz w:val="36"/>
          <w:szCs w:val="24"/>
        </w:rPr>
        <w:t>投标人（盖章）</w:t>
      </w:r>
    </w:p>
    <w:p>
      <w:pPr>
        <w:spacing w:line="360" w:lineRule="auto"/>
        <w:ind w:left="2051" w:leftChars="619" w:right="1299" w:rightChars="619" w:hanging="752" w:hangingChars="209"/>
        <w:jc w:val="left"/>
        <w:rPr>
          <w:rFonts w:ascii="宋体"/>
          <w:b/>
          <w:bCs/>
          <w:sz w:val="36"/>
          <w:szCs w:val="24"/>
        </w:rPr>
      </w:pPr>
      <w:r>
        <w:rPr>
          <w:rFonts w:hint="eastAsia" w:ascii="宋体" w:hAnsi="宋体"/>
          <w:b/>
          <w:bCs/>
          <w:sz w:val="36"/>
          <w:szCs w:val="24"/>
        </w:rPr>
        <w:t>投标人授权代表（签字）：</w:t>
      </w:r>
    </w:p>
    <w:p>
      <w:pPr>
        <w:spacing w:beforeLines="100" w:afterLines="100" w:line="360" w:lineRule="auto"/>
        <w:ind w:left="2256" w:leftChars="466" w:right="466" w:hanging="1278" w:hangingChars="355"/>
        <w:jc w:val="center"/>
        <w:rPr>
          <w:rFonts w:ascii="宋体"/>
          <w:b/>
          <w:bCs/>
          <w:sz w:val="36"/>
          <w:szCs w:val="36"/>
        </w:rPr>
      </w:pPr>
    </w:p>
    <w:p>
      <w:pPr>
        <w:spacing w:beforeLines="100" w:afterLines="100" w:line="360" w:lineRule="auto"/>
        <w:ind w:left="2256" w:leftChars="466" w:right="466" w:hanging="1278" w:hangingChars="355"/>
        <w:jc w:val="center"/>
        <w:rPr>
          <w:rFonts w:ascii="宋体"/>
          <w:b/>
          <w:sz w:val="36"/>
          <w:szCs w:val="36"/>
        </w:rPr>
      </w:pPr>
      <w:r>
        <w:rPr>
          <w:rFonts w:hint="eastAsia" w:ascii="宋体" w:hAnsi="宋体"/>
          <w:b/>
          <w:bCs/>
          <w:sz w:val="36"/>
          <w:szCs w:val="36"/>
        </w:rPr>
        <w:t>二</w:t>
      </w:r>
      <w:r>
        <w:rPr>
          <w:rFonts w:hint="eastAsia" w:ascii="宋体"/>
          <w:b/>
          <w:bCs/>
          <w:sz w:val="36"/>
          <w:szCs w:val="36"/>
        </w:rPr>
        <w:t>0二二</w:t>
      </w:r>
      <w:r>
        <w:rPr>
          <w:rFonts w:hint="eastAsia" w:ascii="宋体" w:hAnsi="宋体"/>
          <w:b/>
          <w:sz w:val="36"/>
          <w:szCs w:val="36"/>
        </w:rPr>
        <w:t>年   月</w:t>
      </w:r>
    </w:p>
    <w:p>
      <w:r>
        <w:br w:type="page"/>
      </w:r>
      <w:r>
        <w:rPr>
          <w:rFonts w:hint="eastAsia" w:ascii="宋体" w:hAnsi="宋体"/>
          <w:b/>
          <w:bCs/>
          <w:sz w:val="30"/>
          <w:szCs w:val="30"/>
          <w:lang w:val="zh-CN"/>
        </w:rPr>
        <w:t>格式（参考）说明：</w:t>
      </w:r>
    </w:p>
    <w:p>
      <w:pPr>
        <w:spacing w:before="120" w:after="120" w:line="578" w:lineRule="auto"/>
        <w:jc w:val="center"/>
        <w:rPr>
          <w:rFonts w:ascii="黑体" w:hAnsi="黑体" w:eastAsia="黑体"/>
          <w:b/>
          <w:sz w:val="36"/>
          <w:szCs w:val="36"/>
        </w:rPr>
      </w:pPr>
      <w:bookmarkStart w:id="84" w:name="_Toc494745313"/>
      <w:bookmarkStart w:id="85" w:name="_Toc494665946"/>
      <w:bookmarkStart w:id="86" w:name="_Toc494664996"/>
      <w:bookmarkStart w:id="87" w:name="_Toc494702266"/>
      <w:bookmarkStart w:id="88" w:name="_Toc494665549"/>
      <w:bookmarkStart w:id="89" w:name="_Toc494721096"/>
      <w:r>
        <w:rPr>
          <w:rFonts w:hint="eastAsia" w:ascii="黑体" w:hAnsi="黑体" w:eastAsia="黑体"/>
          <w:b/>
          <w:sz w:val="36"/>
          <w:szCs w:val="36"/>
        </w:rPr>
        <w:t>资格证明文件组成</w:t>
      </w:r>
      <w:bookmarkEnd w:id="84"/>
      <w:bookmarkEnd w:id="85"/>
      <w:bookmarkEnd w:id="86"/>
      <w:bookmarkEnd w:id="87"/>
      <w:bookmarkEnd w:id="88"/>
      <w:bookmarkEnd w:id="89"/>
    </w:p>
    <w:p>
      <w:pPr>
        <w:autoSpaceDE w:val="0"/>
        <w:autoSpaceDN w:val="0"/>
        <w:adjustRightInd w:val="0"/>
        <w:spacing w:beforeLines="50" w:afterLines="50" w:line="360" w:lineRule="auto"/>
        <w:ind w:firstLine="480" w:firstLineChars="200"/>
        <w:rPr>
          <w:rFonts w:ascii="宋体"/>
          <w:color w:val="0D0D0D"/>
          <w:kern w:val="0"/>
          <w:sz w:val="24"/>
          <w:szCs w:val="32"/>
        </w:rPr>
      </w:pPr>
      <w:r>
        <w:rPr>
          <w:rFonts w:hint="eastAsia" w:ascii="宋体" w:hAnsi="宋体"/>
          <w:color w:val="0D0D0D"/>
          <w:kern w:val="0"/>
          <w:sz w:val="24"/>
          <w:szCs w:val="32"/>
        </w:rPr>
        <w:t>由各投标人根据参考格式要求自行编写。目录清晰、内容详尽、易于理解和审查。具体内容应包括但不限于以下内容：</w:t>
      </w:r>
    </w:p>
    <w:p>
      <w:pPr>
        <w:numPr>
          <w:ilvl w:val="0"/>
          <w:numId w:val="57"/>
        </w:numPr>
        <w:autoSpaceDE w:val="0"/>
        <w:autoSpaceDN w:val="0"/>
        <w:adjustRightInd w:val="0"/>
        <w:spacing w:line="360" w:lineRule="auto"/>
        <w:ind w:left="490" w:hanging="370"/>
        <w:rPr>
          <w:rFonts w:ascii="宋体"/>
          <w:kern w:val="0"/>
          <w:sz w:val="24"/>
          <w:szCs w:val="32"/>
        </w:rPr>
      </w:pPr>
      <w:r>
        <w:rPr>
          <w:rFonts w:hint="eastAsia" w:ascii="宋体" w:hAnsi="宋体"/>
          <w:kern w:val="0"/>
          <w:sz w:val="24"/>
          <w:szCs w:val="32"/>
        </w:rPr>
        <w:t>资格证明文件目录</w:t>
      </w:r>
      <w:r>
        <w:rPr>
          <w:rFonts w:hint="eastAsia" w:ascii="宋体" w:hAnsi="宋体"/>
          <w:b/>
          <w:kern w:val="0"/>
          <w:sz w:val="24"/>
          <w:szCs w:val="32"/>
        </w:rPr>
        <w:t>（目录应涵盖下述所有资料，页码清晰以便查阅）</w:t>
      </w:r>
      <w:r>
        <w:rPr>
          <w:rFonts w:hint="eastAsia" w:ascii="宋体" w:hAnsi="宋体"/>
          <w:kern w:val="0"/>
          <w:sz w:val="24"/>
          <w:szCs w:val="32"/>
        </w:rPr>
        <w:t>；</w:t>
      </w:r>
    </w:p>
    <w:p>
      <w:pPr>
        <w:numPr>
          <w:ilvl w:val="0"/>
          <w:numId w:val="57"/>
        </w:numPr>
        <w:autoSpaceDE w:val="0"/>
        <w:autoSpaceDN w:val="0"/>
        <w:adjustRightInd w:val="0"/>
        <w:spacing w:line="360" w:lineRule="auto"/>
        <w:ind w:left="490" w:hanging="370"/>
        <w:rPr>
          <w:rFonts w:ascii="宋体"/>
          <w:b/>
          <w:color w:val="0D0D0D"/>
          <w:kern w:val="0"/>
          <w:sz w:val="24"/>
          <w:szCs w:val="32"/>
        </w:rPr>
      </w:pPr>
      <w:r>
        <w:rPr>
          <w:rFonts w:hint="eastAsia" w:ascii="宋体" w:hAnsi="宋体"/>
          <w:color w:val="0D0D0D"/>
          <w:kern w:val="0"/>
          <w:sz w:val="24"/>
          <w:szCs w:val="32"/>
        </w:rPr>
        <w:t>应具备《法》第二十二条第一款规定的条件，提供下列材料：</w:t>
      </w:r>
    </w:p>
    <w:p>
      <w:pPr>
        <w:pStyle w:val="47"/>
        <w:numPr>
          <w:ilvl w:val="0"/>
          <w:numId w:val="58"/>
        </w:numPr>
        <w:autoSpaceDE w:val="0"/>
        <w:autoSpaceDN w:val="0"/>
        <w:adjustRightInd w:val="0"/>
        <w:spacing w:line="360" w:lineRule="auto"/>
        <w:ind w:hanging="260" w:firstLineChars="0"/>
        <w:rPr>
          <w:rFonts w:ascii="宋体"/>
          <w:kern w:val="0"/>
          <w:sz w:val="24"/>
          <w:szCs w:val="32"/>
        </w:rPr>
      </w:pPr>
      <w:r>
        <w:rPr>
          <w:rFonts w:hint="eastAsia" w:ascii="宋体" w:hAnsi="宋体"/>
          <w:kern w:val="0"/>
          <w:sz w:val="24"/>
          <w:szCs w:val="32"/>
        </w:rPr>
        <w:t>法人或者其他组织的营业执照等证明文件，自然人的身份证明；</w:t>
      </w:r>
    </w:p>
    <w:p>
      <w:pPr>
        <w:pStyle w:val="47"/>
        <w:numPr>
          <w:ilvl w:val="0"/>
          <w:numId w:val="58"/>
        </w:numPr>
        <w:autoSpaceDE w:val="0"/>
        <w:autoSpaceDN w:val="0"/>
        <w:adjustRightInd w:val="0"/>
        <w:spacing w:line="360" w:lineRule="auto"/>
        <w:ind w:hanging="260" w:firstLineChars="0"/>
        <w:rPr>
          <w:rFonts w:ascii="宋体"/>
          <w:kern w:val="0"/>
          <w:sz w:val="24"/>
          <w:szCs w:val="32"/>
        </w:rPr>
      </w:pPr>
      <w:r>
        <w:rPr>
          <w:rFonts w:hint="eastAsia" w:ascii="宋体" w:hAnsi="宋体"/>
          <w:kern w:val="0"/>
          <w:sz w:val="24"/>
          <w:szCs w:val="32"/>
        </w:rPr>
        <w:t>财务状况报告（</w:t>
      </w:r>
      <w:r>
        <w:rPr>
          <w:rFonts w:hint="eastAsia" w:ascii="宋体" w:hAnsi="宋体"/>
          <w:color w:val="000000"/>
          <w:sz w:val="24"/>
          <w:szCs w:val="24"/>
        </w:rPr>
        <w:t>没有财务报告的，可以提供银行出具的资信证明</w:t>
      </w:r>
      <w:r>
        <w:rPr>
          <w:rFonts w:hint="eastAsia" w:ascii="宋体" w:hAnsi="宋体"/>
          <w:kern w:val="0"/>
          <w:sz w:val="24"/>
          <w:szCs w:val="32"/>
        </w:rPr>
        <w:t>），依法缴纳税收和社会保障资金的相关材料；</w:t>
      </w:r>
    </w:p>
    <w:p>
      <w:pPr>
        <w:pStyle w:val="47"/>
        <w:numPr>
          <w:ilvl w:val="0"/>
          <w:numId w:val="58"/>
        </w:numPr>
        <w:autoSpaceDE w:val="0"/>
        <w:autoSpaceDN w:val="0"/>
        <w:adjustRightInd w:val="0"/>
        <w:spacing w:line="360" w:lineRule="auto"/>
        <w:ind w:hanging="260" w:firstLineChars="0"/>
        <w:rPr>
          <w:rFonts w:ascii="宋体"/>
          <w:kern w:val="0"/>
          <w:sz w:val="24"/>
          <w:szCs w:val="32"/>
        </w:rPr>
      </w:pPr>
      <w:r>
        <w:rPr>
          <w:rFonts w:hint="eastAsia" w:ascii="宋体" w:hAnsi="宋体"/>
          <w:kern w:val="0"/>
          <w:sz w:val="24"/>
          <w:szCs w:val="32"/>
        </w:rPr>
        <w:t>具备履行合同所必需的设备和专业技术能力的证明材料；</w:t>
      </w:r>
    </w:p>
    <w:p>
      <w:pPr>
        <w:pStyle w:val="47"/>
        <w:numPr>
          <w:ilvl w:val="0"/>
          <w:numId w:val="58"/>
        </w:numPr>
        <w:autoSpaceDE w:val="0"/>
        <w:autoSpaceDN w:val="0"/>
        <w:adjustRightInd w:val="0"/>
        <w:spacing w:line="360" w:lineRule="auto"/>
        <w:ind w:hanging="260" w:firstLineChars="0"/>
        <w:rPr>
          <w:rFonts w:ascii="宋体"/>
          <w:kern w:val="0"/>
          <w:sz w:val="24"/>
          <w:szCs w:val="32"/>
        </w:rPr>
      </w:pPr>
      <w:r>
        <w:rPr>
          <w:rFonts w:hint="eastAsia" w:ascii="宋体" w:hAnsi="宋体"/>
          <w:kern w:val="0"/>
          <w:sz w:val="24"/>
          <w:szCs w:val="32"/>
        </w:rPr>
        <w:t>参加活动前</w:t>
      </w:r>
      <w:r>
        <w:rPr>
          <w:rFonts w:ascii="宋体" w:hAnsi="宋体"/>
          <w:kern w:val="0"/>
          <w:sz w:val="24"/>
          <w:szCs w:val="32"/>
        </w:rPr>
        <w:t>3</w:t>
      </w:r>
      <w:r>
        <w:rPr>
          <w:rFonts w:hint="eastAsia" w:ascii="宋体" w:hAnsi="宋体"/>
          <w:kern w:val="0"/>
          <w:sz w:val="24"/>
          <w:szCs w:val="32"/>
        </w:rPr>
        <w:t>年内在经营活动中没有重大违法记录的书面声明；</w:t>
      </w:r>
    </w:p>
    <w:p>
      <w:pPr>
        <w:pStyle w:val="47"/>
        <w:numPr>
          <w:ilvl w:val="0"/>
          <w:numId w:val="58"/>
        </w:numPr>
        <w:autoSpaceDE w:val="0"/>
        <w:autoSpaceDN w:val="0"/>
        <w:adjustRightInd w:val="0"/>
        <w:spacing w:line="360" w:lineRule="auto"/>
        <w:ind w:hanging="260" w:firstLineChars="0"/>
        <w:rPr>
          <w:rFonts w:ascii="宋体"/>
          <w:kern w:val="0"/>
          <w:sz w:val="24"/>
          <w:szCs w:val="32"/>
        </w:rPr>
      </w:pPr>
      <w:r>
        <w:rPr>
          <w:rFonts w:hint="eastAsia" w:ascii="宋体" w:hAnsi="宋体"/>
          <w:kern w:val="0"/>
          <w:sz w:val="24"/>
          <w:szCs w:val="32"/>
        </w:rPr>
        <w:t>具备法律、行政法规规定的其他条件的证明材料；</w:t>
      </w:r>
    </w:p>
    <w:p>
      <w:pPr>
        <w:numPr>
          <w:ilvl w:val="0"/>
          <w:numId w:val="57"/>
        </w:numPr>
        <w:autoSpaceDE w:val="0"/>
        <w:autoSpaceDN w:val="0"/>
        <w:adjustRightInd w:val="0"/>
        <w:spacing w:line="360" w:lineRule="auto"/>
        <w:ind w:left="490" w:hanging="370"/>
        <w:rPr>
          <w:rFonts w:ascii="宋体" w:cs="Courier New"/>
          <w:color w:val="0D0D0D"/>
          <w:sz w:val="24"/>
          <w:szCs w:val="24"/>
        </w:rPr>
      </w:pPr>
      <w:r>
        <w:rPr>
          <w:rFonts w:hint="eastAsia" w:ascii="宋体" w:hAnsi="宋体" w:cs="Courier New"/>
          <w:color w:val="0D0D0D"/>
          <w:sz w:val="24"/>
          <w:szCs w:val="24"/>
        </w:rPr>
        <w:t>应未被“信用中国”网站列入失信被执行人、</w:t>
      </w:r>
      <w:r>
        <w:rPr>
          <w:rFonts w:hint="eastAsia" w:ascii="宋体" w:hAnsi="宋体"/>
          <w:color w:val="000000" w:themeColor="text1"/>
          <w:sz w:val="24"/>
          <w:szCs w:val="24"/>
        </w:rPr>
        <w:t>税收违法黑名单</w:t>
      </w:r>
      <w:r>
        <w:rPr>
          <w:rFonts w:hint="eastAsia" w:ascii="宋体" w:hAnsi="宋体" w:cs="Courier New"/>
          <w:color w:val="0D0D0D"/>
          <w:sz w:val="24"/>
          <w:szCs w:val="24"/>
        </w:rPr>
        <w:t>；“中国网”严重违法失信行为记录名单。</w:t>
      </w:r>
    </w:p>
    <w:p>
      <w:pPr>
        <w:numPr>
          <w:ilvl w:val="0"/>
          <w:numId w:val="57"/>
        </w:numPr>
        <w:autoSpaceDE w:val="0"/>
        <w:autoSpaceDN w:val="0"/>
        <w:adjustRightInd w:val="0"/>
        <w:spacing w:line="360" w:lineRule="auto"/>
        <w:ind w:left="490" w:hanging="370"/>
        <w:rPr>
          <w:rFonts w:ascii="宋体" w:cs="Courier New"/>
          <w:color w:val="0D0D0D"/>
          <w:sz w:val="24"/>
          <w:szCs w:val="24"/>
        </w:rPr>
      </w:pPr>
      <w:r>
        <w:rPr>
          <w:rFonts w:hint="eastAsia" w:ascii="宋体" w:hAnsi="宋体" w:cs="Courier New"/>
          <w:color w:val="0D0D0D"/>
          <w:sz w:val="24"/>
          <w:szCs w:val="24"/>
        </w:rPr>
        <w:t>招标文件第一章“投标人资格要求”中有特殊要求的，投标人应提供其符合特殊要求的证明材料或者情况说明；</w:t>
      </w:r>
    </w:p>
    <w:p>
      <w:pPr>
        <w:numPr>
          <w:ilvl w:val="0"/>
          <w:numId w:val="57"/>
        </w:numPr>
        <w:autoSpaceDE w:val="0"/>
        <w:autoSpaceDN w:val="0"/>
        <w:adjustRightInd w:val="0"/>
        <w:spacing w:line="360" w:lineRule="auto"/>
        <w:ind w:left="490" w:hanging="370"/>
        <w:rPr>
          <w:rFonts w:ascii="宋体" w:cs="Courier New"/>
          <w:sz w:val="24"/>
          <w:szCs w:val="24"/>
        </w:rPr>
      </w:pPr>
      <w:r>
        <w:rPr>
          <w:rFonts w:hint="eastAsia" w:ascii="宋体" w:hAnsi="宋体" w:cs="Courier New"/>
          <w:sz w:val="24"/>
          <w:szCs w:val="24"/>
        </w:rPr>
        <w:t>不符合联合体投标相关规定和要</w:t>
      </w:r>
      <w:r>
        <w:rPr>
          <w:rFonts w:hint="eastAsia" w:ascii="宋体" w:hAnsi="宋体" w:cs="Courier New"/>
          <w:color w:val="0D0D0D"/>
          <w:sz w:val="24"/>
          <w:szCs w:val="24"/>
        </w:rPr>
        <w:t>求的（适用于接受联合体投标的项目）；</w:t>
      </w:r>
    </w:p>
    <w:p>
      <w:pPr>
        <w:numPr>
          <w:ilvl w:val="0"/>
          <w:numId w:val="57"/>
        </w:numPr>
        <w:autoSpaceDE w:val="0"/>
        <w:autoSpaceDN w:val="0"/>
        <w:adjustRightInd w:val="0"/>
        <w:spacing w:line="360" w:lineRule="auto"/>
        <w:ind w:left="490" w:hanging="370"/>
        <w:rPr>
          <w:rFonts w:ascii="宋体" w:cs="Courier New"/>
          <w:color w:val="0D0D0D"/>
          <w:sz w:val="24"/>
          <w:szCs w:val="24"/>
        </w:rPr>
      </w:pPr>
      <w:r>
        <w:rPr>
          <w:rFonts w:hint="eastAsia" w:ascii="宋体" w:hAnsi="宋体" w:cs="Courier New"/>
          <w:color w:val="0D0D0D"/>
          <w:sz w:val="24"/>
          <w:szCs w:val="24"/>
        </w:rPr>
        <w:t>投标人认为需提供的其它相关资格证明材料。</w:t>
      </w:r>
    </w:p>
    <w:p>
      <w:pPr>
        <w:autoSpaceDE w:val="0"/>
        <w:autoSpaceDN w:val="0"/>
        <w:adjustRightInd w:val="0"/>
        <w:spacing w:line="400" w:lineRule="exact"/>
        <w:ind w:left="490"/>
        <w:rPr>
          <w:rFonts w:hAnsi="宋体"/>
          <w:color w:val="0D0D0D"/>
          <w:sz w:val="24"/>
          <w:szCs w:val="24"/>
        </w:rPr>
      </w:pPr>
    </w:p>
    <w:p>
      <w:pPr>
        <w:autoSpaceDE w:val="0"/>
        <w:autoSpaceDN w:val="0"/>
        <w:adjustRightInd w:val="0"/>
        <w:spacing w:line="400" w:lineRule="exact"/>
        <w:ind w:left="490"/>
        <w:rPr>
          <w:rFonts w:hAnsi="宋体"/>
          <w:color w:val="0D0D0D"/>
          <w:sz w:val="24"/>
          <w:szCs w:val="24"/>
        </w:rPr>
      </w:pPr>
    </w:p>
    <w:p>
      <w:r>
        <w:rPr>
          <w:rFonts w:hint="eastAsia" w:ascii="宋体" w:hAnsi="宋体"/>
          <w:sz w:val="24"/>
          <w:szCs w:val="24"/>
        </w:rPr>
        <w:t>说明：资格证明文件正本应为</w:t>
      </w:r>
      <w:r>
        <w:rPr>
          <w:rFonts w:hint="eastAsia" w:ascii="宋体" w:hAnsi="宋体"/>
          <w:color w:val="0000CC"/>
          <w:sz w:val="24"/>
          <w:szCs w:val="24"/>
        </w:rPr>
        <w:t>清晰彩色影印件</w:t>
      </w:r>
      <w:r>
        <w:rPr>
          <w:rFonts w:hint="eastAsia" w:ascii="宋体" w:hAnsi="宋体"/>
          <w:sz w:val="24"/>
          <w:szCs w:val="24"/>
        </w:rPr>
        <w:t>且加盖单位公章，否则</w:t>
      </w:r>
      <w:r>
        <w:rPr>
          <w:rFonts w:hint="eastAsia" w:ascii="Helvetica" w:hAnsi="Helvetica" w:cs="Helvetica"/>
          <w:kern w:val="0"/>
          <w:sz w:val="24"/>
          <w:szCs w:val="24"/>
        </w:rPr>
        <w:t>按照</w:t>
      </w:r>
      <w:r>
        <w:rPr>
          <w:rFonts w:hint="eastAsia" w:ascii="Helvetica" w:hAnsi="Helvetica" w:cs="Helvetica"/>
          <w:b/>
          <w:kern w:val="0"/>
          <w:sz w:val="24"/>
          <w:szCs w:val="24"/>
        </w:rPr>
        <w:t>无效投标处理</w:t>
      </w:r>
      <w:r>
        <w:rPr>
          <w:rFonts w:hint="eastAsia" w:ascii="宋体" w:hAnsi="宋体"/>
          <w:b/>
          <w:sz w:val="24"/>
          <w:szCs w:val="24"/>
        </w:rPr>
        <w:t>。</w:t>
      </w:r>
    </w:p>
    <w:p>
      <w:pPr>
        <w:rPr>
          <w:color w:val="FF0000"/>
        </w:rPr>
      </w:pPr>
    </w:p>
    <w:p>
      <w:r>
        <w:br w:type="page"/>
      </w:r>
    </w:p>
    <w:p>
      <w:pPr>
        <w:spacing w:beforeLines="100" w:afterLines="250"/>
        <w:jc w:val="center"/>
        <w:rPr>
          <w:rFonts w:ascii="黑体" w:hAnsi="黑体" w:eastAsia="黑体"/>
          <w:b/>
          <w:sz w:val="72"/>
          <w:szCs w:val="72"/>
        </w:rPr>
      </w:pPr>
      <w:r>
        <w:rPr>
          <w:rFonts w:hint="eastAsia" w:ascii="黑体" w:hAnsi="黑体" w:eastAsia="黑体"/>
          <w:b/>
          <w:sz w:val="72"/>
          <w:szCs w:val="72"/>
        </w:rPr>
        <w:t>阳新县县级</w:t>
      </w:r>
    </w:p>
    <w:p>
      <w:pPr>
        <w:spacing w:afterLines="200"/>
        <w:jc w:val="center"/>
        <w:rPr>
          <w:rFonts w:ascii="黑体" w:hAnsi="黑体" w:eastAsia="黑体"/>
          <w:b/>
          <w:sz w:val="144"/>
          <w:szCs w:val="144"/>
        </w:rPr>
      </w:pPr>
      <w:r>
        <w:rPr>
          <w:rFonts w:hint="eastAsia" w:ascii="黑体" w:hAnsi="黑体" w:eastAsia="黑体"/>
          <w:b/>
          <w:sz w:val="144"/>
          <w:szCs w:val="144"/>
        </w:rPr>
        <w:t>投标文件</w:t>
      </w:r>
    </w:p>
    <w:p>
      <w:pPr>
        <w:rPr>
          <w:lang w:val="zh-CN"/>
        </w:rPr>
      </w:pPr>
      <w:bookmarkStart w:id="90" w:name="_Toc494745314"/>
      <w:bookmarkStart w:id="91" w:name="_Toc494664997"/>
      <w:bookmarkStart w:id="92" w:name="_Toc494665947"/>
      <w:bookmarkStart w:id="93" w:name="_Toc494665550"/>
      <w:bookmarkStart w:id="94" w:name="_Toc494702267"/>
      <w:bookmarkStart w:id="95" w:name="_Toc494721097"/>
    </w:p>
    <w:p>
      <w:pPr>
        <w:rPr>
          <w:lang w:val="zh-CN"/>
        </w:rPr>
      </w:pPr>
    </w:p>
    <w:p>
      <w:pPr>
        <w:rPr>
          <w:lang w:val="zh-CN"/>
        </w:rPr>
      </w:pPr>
    </w:p>
    <w:p>
      <w:pPr>
        <w:pStyle w:val="4"/>
        <w:spacing w:before="340" w:after="480" w:line="360" w:lineRule="auto"/>
        <w:jc w:val="center"/>
        <w:rPr>
          <w:rFonts w:ascii="宋体"/>
          <w:bCs w:val="0"/>
          <w:sz w:val="44"/>
          <w:szCs w:val="44"/>
          <w:lang w:val="zh-CN"/>
        </w:rPr>
      </w:pPr>
      <w:bookmarkStart w:id="96" w:name="_Toc106268626"/>
      <w:r>
        <w:rPr>
          <w:rFonts w:hint="eastAsia" w:ascii="宋体" w:hAnsi="宋体"/>
          <w:bCs w:val="0"/>
          <w:sz w:val="44"/>
          <w:szCs w:val="44"/>
          <w:lang w:val="zh-CN"/>
        </w:rPr>
        <w:t>第二部分商务文件</w:t>
      </w:r>
      <w:bookmarkEnd w:id="90"/>
      <w:bookmarkEnd w:id="91"/>
      <w:bookmarkEnd w:id="92"/>
      <w:bookmarkEnd w:id="93"/>
      <w:bookmarkEnd w:id="94"/>
      <w:bookmarkEnd w:id="95"/>
      <w:bookmarkEnd w:id="96"/>
    </w:p>
    <w:p>
      <w:pPr>
        <w:spacing w:line="360" w:lineRule="auto"/>
        <w:ind w:left="2051" w:leftChars="619" w:right="1299" w:rightChars="619" w:hanging="752" w:hangingChars="209"/>
        <w:rPr>
          <w:rFonts w:ascii="宋体"/>
          <w:bCs/>
          <w:sz w:val="36"/>
          <w:szCs w:val="24"/>
        </w:rPr>
      </w:pPr>
      <w:r>
        <w:rPr>
          <w:rFonts w:hint="eastAsia" w:ascii="宋体" w:hAnsi="宋体"/>
          <w:b/>
          <w:bCs/>
          <w:sz w:val="36"/>
          <w:szCs w:val="24"/>
        </w:rPr>
        <w:t>项目编号：</w:t>
      </w:r>
    </w:p>
    <w:p>
      <w:pPr>
        <w:spacing w:line="360" w:lineRule="auto"/>
        <w:ind w:left="2051" w:leftChars="619" w:right="1299" w:rightChars="619" w:hanging="752" w:hangingChars="209"/>
        <w:rPr>
          <w:rFonts w:ascii="宋体"/>
          <w:b/>
          <w:bCs/>
          <w:sz w:val="36"/>
          <w:szCs w:val="24"/>
        </w:rPr>
      </w:pPr>
      <w:r>
        <w:rPr>
          <w:rFonts w:hint="eastAsia" w:ascii="宋体" w:hAnsi="宋体"/>
          <w:b/>
          <w:bCs/>
          <w:sz w:val="36"/>
          <w:szCs w:val="24"/>
        </w:rPr>
        <w:t>项目名称：</w:t>
      </w:r>
    </w:p>
    <w:p>
      <w:pPr>
        <w:spacing w:line="360" w:lineRule="auto"/>
        <w:ind w:left="2051" w:leftChars="619" w:right="1299" w:rightChars="619" w:hanging="752" w:hangingChars="209"/>
        <w:rPr>
          <w:rFonts w:ascii="宋体"/>
          <w:bCs/>
          <w:sz w:val="36"/>
          <w:szCs w:val="24"/>
          <w:lang w:val="zh-CN"/>
        </w:rPr>
      </w:pPr>
      <w:r>
        <w:rPr>
          <w:rFonts w:hint="eastAsia" w:ascii="宋体" w:hAnsi="宋体"/>
          <w:b/>
          <w:bCs/>
          <w:sz w:val="36"/>
          <w:szCs w:val="24"/>
        </w:rPr>
        <w:t>采购人：</w:t>
      </w:r>
    </w:p>
    <w:p>
      <w:pPr>
        <w:spacing w:line="360" w:lineRule="auto"/>
        <w:ind w:left="2051" w:leftChars="619" w:right="1299" w:rightChars="619" w:hanging="752" w:hangingChars="209"/>
        <w:rPr>
          <w:rFonts w:ascii="宋体"/>
          <w:sz w:val="36"/>
          <w:szCs w:val="36"/>
        </w:rPr>
      </w:pPr>
      <w:r>
        <w:rPr>
          <w:rFonts w:hint="eastAsia" w:ascii="宋体" w:hAnsi="宋体"/>
          <w:b/>
          <w:bCs/>
          <w:sz w:val="36"/>
          <w:szCs w:val="24"/>
        </w:rPr>
        <w:t>采购内容：</w:t>
      </w:r>
    </w:p>
    <w:p>
      <w:pPr>
        <w:spacing w:line="360" w:lineRule="auto"/>
        <w:ind w:left="2057" w:leftChars="613" w:right="1287" w:rightChars="613" w:hanging="770" w:hangingChars="214"/>
        <w:rPr>
          <w:rFonts w:ascii="宋体"/>
          <w:sz w:val="36"/>
          <w:szCs w:val="36"/>
        </w:rPr>
      </w:pPr>
    </w:p>
    <w:p>
      <w:pPr>
        <w:spacing w:line="360" w:lineRule="auto"/>
        <w:ind w:left="2051" w:leftChars="619" w:right="1299" w:rightChars="619" w:hanging="752" w:hangingChars="209"/>
        <w:rPr>
          <w:rFonts w:ascii="宋体"/>
          <w:b/>
          <w:bCs/>
          <w:sz w:val="36"/>
          <w:szCs w:val="24"/>
        </w:rPr>
      </w:pPr>
      <w:r>
        <w:rPr>
          <w:rFonts w:hint="eastAsia" w:ascii="宋体" w:hAnsi="宋体"/>
          <w:b/>
          <w:bCs/>
          <w:sz w:val="36"/>
          <w:szCs w:val="24"/>
        </w:rPr>
        <w:t>投标人（盖章）</w:t>
      </w:r>
    </w:p>
    <w:p>
      <w:pPr>
        <w:spacing w:line="360" w:lineRule="auto"/>
        <w:ind w:left="1971" w:leftChars="613" w:right="1287" w:rightChars="613" w:hanging="684" w:hangingChars="214"/>
        <w:rPr>
          <w:rFonts w:ascii="宋体"/>
          <w:b/>
          <w:bCs/>
          <w:sz w:val="32"/>
          <w:szCs w:val="32"/>
        </w:rPr>
      </w:pPr>
      <w:r>
        <w:rPr>
          <w:rFonts w:hint="eastAsia" w:ascii="宋体" w:hAnsi="宋体"/>
          <w:b/>
          <w:bCs/>
          <w:sz w:val="32"/>
          <w:szCs w:val="32"/>
        </w:rPr>
        <w:t>投标人授权代表（签字）：</w:t>
      </w:r>
    </w:p>
    <w:p>
      <w:pPr>
        <w:spacing w:beforeLines="100" w:afterLines="100" w:line="360" w:lineRule="auto"/>
        <w:ind w:left="2256" w:leftChars="466" w:right="466" w:hanging="1278" w:hangingChars="355"/>
        <w:jc w:val="center"/>
        <w:rPr>
          <w:rFonts w:ascii="宋体" w:hAnsi="宋体"/>
          <w:b/>
          <w:bCs/>
          <w:sz w:val="36"/>
          <w:szCs w:val="36"/>
        </w:rPr>
      </w:pPr>
    </w:p>
    <w:p>
      <w:pPr>
        <w:spacing w:beforeLines="100" w:afterLines="100" w:line="360" w:lineRule="auto"/>
        <w:ind w:left="2256" w:leftChars="466" w:right="466" w:hanging="1278" w:hangingChars="355"/>
        <w:jc w:val="center"/>
        <w:rPr>
          <w:rFonts w:ascii="宋体"/>
          <w:b/>
          <w:sz w:val="36"/>
          <w:szCs w:val="36"/>
        </w:rPr>
      </w:pPr>
      <w:r>
        <w:rPr>
          <w:rFonts w:hint="eastAsia" w:ascii="宋体" w:hAnsi="宋体"/>
          <w:b/>
          <w:bCs/>
          <w:sz w:val="36"/>
          <w:szCs w:val="36"/>
        </w:rPr>
        <w:t>二</w:t>
      </w:r>
      <w:r>
        <w:rPr>
          <w:rFonts w:ascii="宋体"/>
          <w:b/>
          <w:bCs/>
          <w:sz w:val="36"/>
          <w:szCs w:val="36"/>
        </w:rPr>
        <w:t>0</w:t>
      </w:r>
      <w:r>
        <w:rPr>
          <w:rFonts w:hint="eastAsia" w:ascii="宋体" w:hAnsi="宋体"/>
          <w:b/>
          <w:bCs/>
          <w:sz w:val="36"/>
          <w:szCs w:val="36"/>
        </w:rPr>
        <w:t>二二</w:t>
      </w:r>
      <w:r>
        <w:rPr>
          <w:rFonts w:hint="eastAsia" w:ascii="宋体" w:hAnsi="宋体"/>
          <w:b/>
          <w:sz w:val="36"/>
          <w:szCs w:val="36"/>
        </w:rPr>
        <w:t>年   月</w:t>
      </w:r>
    </w:p>
    <w:p>
      <w:r>
        <w:br w:type="page"/>
      </w:r>
    </w:p>
    <w:p>
      <w:pPr>
        <w:spacing w:beforeLines="100" w:line="360" w:lineRule="auto"/>
        <w:jc w:val="left"/>
        <w:rPr>
          <w:rFonts w:ascii="宋体"/>
          <w:b/>
          <w:bCs/>
          <w:sz w:val="30"/>
          <w:szCs w:val="30"/>
          <w:lang w:val="zh-CN"/>
        </w:rPr>
      </w:pPr>
      <w:r>
        <w:rPr>
          <w:rFonts w:hint="eastAsia" w:ascii="宋体" w:hAnsi="宋体"/>
          <w:b/>
          <w:bCs/>
          <w:sz w:val="30"/>
          <w:szCs w:val="30"/>
          <w:lang w:val="zh-CN"/>
        </w:rPr>
        <w:t>格式（参考）说明：</w:t>
      </w:r>
    </w:p>
    <w:p>
      <w:pPr>
        <w:spacing w:before="120" w:after="120" w:line="578" w:lineRule="auto"/>
        <w:jc w:val="center"/>
        <w:rPr>
          <w:rFonts w:ascii="黑体" w:hAnsi="黑体" w:eastAsia="黑体"/>
          <w:b/>
          <w:sz w:val="36"/>
          <w:szCs w:val="36"/>
        </w:rPr>
      </w:pPr>
      <w:bookmarkStart w:id="97" w:name="_Toc494665948"/>
      <w:bookmarkStart w:id="98" w:name="_Toc494702268"/>
      <w:bookmarkStart w:id="99" w:name="_Toc494665551"/>
      <w:bookmarkStart w:id="100" w:name="_Toc494664998"/>
      <w:bookmarkStart w:id="101" w:name="_Toc494745315"/>
      <w:bookmarkStart w:id="102" w:name="_Toc494721098"/>
      <w:r>
        <w:rPr>
          <w:rFonts w:hint="eastAsia" w:ascii="黑体" w:hAnsi="黑体" w:eastAsia="黑体"/>
          <w:b/>
          <w:sz w:val="36"/>
          <w:szCs w:val="36"/>
        </w:rPr>
        <w:t>商务文件组成</w:t>
      </w:r>
      <w:bookmarkEnd w:id="97"/>
      <w:bookmarkEnd w:id="98"/>
      <w:bookmarkEnd w:id="99"/>
      <w:bookmarkEnd w:id="100"/>
      <w:bookmarkEnd w:id="101"/>
      <w:bookmarkEnd w:id="102"/>
    </w:p>
    <w:p>
      <w:pPr>
        <w:autoSpaceDE w:val="0"/>
        <w:autoSpaceDN w:val="0"/>
        <w:adjustRightInd w:val="0"/>
        <w:spacing w:beforeLines="50" w:afterLines="50" w:line="360" w:lineRule="auto"/>
        <w:ind w:firstLine="480" w:firstLineChars="200"/>
        <w:rPr>
          <w:rFonts w:ascii="宋体"/>
          <w:color w:val="0D0D0D"/>
          <w:kern w:val="0"/>
          <w:sz w:val="24"/>
          <w:szCs w:val="32"/>
        </w:rPr>
      </w:pPr>
      <w:r>
        <w:rPr>
          <w:rFonts w:hint="eastAsia" w:ascii="宋体" w:hAnsi="宋体"/>
          <w:color w:val="0D0D0D"/>
          <w:kern w:val="0"/>
          <w:sz w:val="24"/>
          <w:szCs w:val="32"/>
        </w:rPr>
        <w:t>由各投标人根据参考格式要求自行编写。目录清晰、内容详尽、易于理解和评审并富有建设性的商务方案在评标时具有优势。具体内容应包括但不限于以下内容：</w:t>
      </w:r>
    </w:p>
    <w:p>
      <w:pPr>
        <w:numPr>
          <w:ilvl w:val="0"/>
          <w:numId w:val="59"/>
        </w:numPr>
        <w:autoSpaceDE w:val="0"/>
        <w:autoSpaceDN w:val="0"/>
        <w:adjustRightInd w:val="0"/>
        <w:spacing w:line="360" w:lineRule="auto"/>
        <w:ind w:left="490" w:hanging="370"/>
        <w:rPr>
          <w:rFonts w:ascii="宋体"/>
          <w:kern w:val="0"/>
          <w:sz w:val="24"/>
          <w:szCs w:val="32"/>
        </w:rPr>
      </w:pPr>
      <w:r>
        <w:rPr>
          <w:rFonts w:hint="eastAsia" w:ascii="宋体" w:hAnsi="宋体"/>
          <w:kern w:val="0"/>
          <w:sz w:val="24"/>
          <w:szCs w:val="32"/>
        </w:rPr>
        <w:t>商务文件目录</w:t>
      </w:r>
      <w:r>
        <w:rPr>
          <w:rFonts w:hint="eastAsia" w:ascii="宋体" w:hAnsi="宋体"/>
          <w:b/>
          <w:kern w:val="0"/>
          <w:sz w:val="24"/>
          <w:szCs w:val="32"/>
        </w:rPr>
        <w:t>（目录应涵盖下述所有资料，页码清晰以便查阅）</w:t>
      </w:r>
      <w:r>
        <w:rPr>
          <w:rFonts w:hint="eastAsia" w:ascii="宋体" w:hAnsi="宋体"/>
          <w:kern w:val="0"/>
          <w:sz w:val="24"/>
          <w:szCs w:val="32"/>
        </w:rPr>
        <w:t>；</w:t>
      </w:r>
    </w:p>
    <w:p>
      <w:pPr>
        <w:numPr>
          <w:ilvl w:val="0"/>
          <w:numId w:val="59"/>
        </w:numPr>
        <w:autoSpaceDE w:val="0"/>
        <w:autoSpaceDN w:val="0"/>
        <w:adjustRightInd w:val="0"/>
        <w:spacing w:line="360" w:lineRule="auto"/>
        <w:ind w:left="490" w:hanging="370"/>
        <w:rPr>
          <w:rFonts w:ascii="宋体"/>
          <w:kern w:val="0"/>
          <w:sz w:val="24"/>
          <w:szCs w:val="32"/>
        </w:rPr>
      </w:pPr>
      <w:r>
        <w:rPr>
          <w:rFonts w:hint="eastAsia" w:ascii="宋体" w:hAnsi="宋体"/>
          <w:kern w:val="0"/>
          <w:sz w:val="24"/>
          <w:szCs w:val="32"/>
        </w:rPr>
        <w:t>投标书（附件一）；</w:t>
      </w:r>
    </w:p>
    <w:p>
      <w:pPr>
        <w:numPr>
          <w:ilvl w:val="0"/>
          <w:numId w:val="59"/>
        </w:numPr>
        <w:autoSpaceDE w:val="0"/>
        <w:autoSpaceDN w:val="0"/>
        <w:adjustRightInd w:val="0"/>
        <w:spacing w:line="360" w:lineRule="auto"/>
        <w:ind w:left="490" w:hanging="370"/>
        <w:rPr>
          <w:rFonts w:ascii="宋体"/>
          <w:color w:val="0D0D0D"/>
          <w:kern w:val="0"/>
          <w:sz w:val="24"/>
          <w:szCs w:val="32"/>
        </w:rPr>
      </w:pPr>
      <w:r>
        <w:rPr>
          <w:rFonts w:hint="eastAsia" w:ascii="宋体" w:hAnsi="宋体"/>
          <w:color w:val="0D0D0D"/>
          <w:kern w:val="0"/>
          <w:sz w:val="24"/>
          <w:szCs w:val="32"/>
        </w:rPr>
        <w:t>制造商中小企业声明函（附件二）；</w:t>
      </w:r>
    </w:p>
    <w:p>
      <w:pPr>
        <w:numPr>
          <w:ilvl w:val="0"/>
          <w:numId w:val="59"/>
        </w:numPr>
        <w:autoSpaceDE w:val="0"/>
        <w:autoSpaceDN w:val="0"/>
        <w:adjustRightInd w:val="0"/>
        <w:spacing w:line="360" w:lineRule="auto"/>
        <w:ind w:left="490" w:hanging="370"/>
        <w:rPr>
          <w:rFonts w:ascii="宋体"/>
          <w:color w:val="0D0D0D"/>
          <w:kern w:val="0"/>
          <w:sz w:val="24"/>
          <w:szCs w:val="32"/>
        </w:rPr>
      </w:pPr>
      <w:r>
        <w:rPr>
          <w:rFonts w:hint="eastAsia" w:ascii="宋体" w:hAnsi="宋体"/>
          <w:kern w:val="0"/>
          <w:sz w:val="24"/>
          <w:szCs w:val="32"/>
        </w:rPr>
        <w:t>中小企业声</w:t>
      </w:r>
      <w:r>
        <w:rPr>
          <w:rFonts w:hint="eastAsia" w:ascii="宋体" w:hAnsi="宋体"/>
          <w:color w:val="0D0D0D"/>
          <w:kern w:val="0"/>
          <w:sz w:val="24"/>
          <w:szCs w:val="32"/>
        </w:rPr>
        <w:t>明函（附件三）；</w:t>
      </w:r>
    </w:p>
    <w:p>
      <w:pPr>
        <w:numPr>
          <w:ilvl w:val="0"/>
          <w:numId w:val="59"/>
        </w:numPr>
        <w:autoSpaceDE w:val="0"/>
        <w:autoSpaceDN w:val="0"/>
        <w:adjustRightInd w:val="0"/>
        <w:spacing w:line="360" w:lineRule="auto"/>
        <w:ind w:left="490" w:hanging="370"/>
        <w:rPr>
          <w:rFonts w:ascii="宋体"/>
          <w:color w:val="0D0D0D"/>
          <w:kern w:val="0"/>
          <w:sz w:val="24"/>
          <w:szCs w:val="32"/>
        </w:rPr>
      </w:pPr>
      <w:r>
        <w:rPr>
          <w:rFonts w:hint="eastAsia" w:ascii="宋体" w:hAnsi="宋体"/>
          <w:color w:val="0D0D0D"/>
          <w:kern w:val="0"/>
          <w:sz w:val="24"/>
          <w:szCs w:val="32"/>
        </w:rPr>
        <w:t>残疾人福利性单位声明函（附件四）</w:t>
      </w:r>
    </w:p>
    <w:p>
      <w:pPr>
        <w:numPr>
          <w:ilvl w:val="0"/>
          <w:numId w:val="59"/>
        </w:numPr>
        <w:autoSpaceDE w:val="0"/>
        <w:autoSpaceDN w:val="0"/>
        <w:adjustRightInd w:val="0"/>
        <w:spacing w:line="360" w:lineRule="auto"/>
        <w:ind w:left="490" w:hanging="370"/>
        <w:rPr>
          <w:rFonts w:ascii="宋体" w:cs="Courier New"/>
          <w:color w:val="0D0D0D"/>
          <w:sz w:val="24"/>
          <w:szCs w:val="24"/>
        </w:rPr>
      </w:pPr>
      <w:r>
        <w:rPr>
          <w:rFonts w:hint="eastAsia" w:ascii="宋体" w:hAnsi="宋体" w:cs="Courier New"/>
          <w:color w:val="0D0D0D"/>
          <w:sz w:val="24"/>
          <w:szCs w:val="24"/>
        </w:rPr>
        <w:t>开标一览表（附件五）；</w:t>
      </w:r>
    </w:p>
    <w:p>
      <w:pPr>
        <w:numPr>
          <w:ilvl w:val="0"/>
          <w:numId w:val="59"/>
        </w:numPr>
        <w:autoSpaceDE w:val="0"/>
        <w:autoSpaceDN w:val="0"/>
        <w:adjustRightInd w:val="0"/>
        <w:spacing w:line="360" w:lineRule="auto"/>
        <w:ind w:left="490" w:hanging="370"/>
        <w:rPr>
          <w:rFonts w:ascii="宋体" w:cs="Courier New"/>
          <w:color w:val="0D0D0D"/>
          <w:sz w:val="24"/>
          <w:szCs w:val="24"/>
        </w:rPr>
      </w:pPr>
      <w:r>
        <w:rPr>
          <w:rFonts w:hint="eastAsia" w:ascii="宋体" w:hAnsi="宋体" w:cs="Courier New"/>
          <w:color w:val="0D0D0D"/>
          <w:sz w:val="24"/>
          <w:szCs w:val="24"/>
        </w:rPr>
        <w:t>投标报价明细表（附件六）；</w:t>
      </w:r>
    </w:p>
    <w:p>
      <w:pPr>
        <w:numPr>
          <w:ilvl w:val="0"/>
          <w:numId w:val="59"/>
        </w:numPr>
        <w:autoSpaceDE w:val="0"/>
        <w:autoSpaceDN w:val="0"/>
        <w:adjustRightInd w:val="0"/>
        <w:spacing w:line="360" w:lineRule="auto"/>
        <w:ind w:left="490" w:hanging="370"/>
        <w:rPr>
          <w:rFonts w:ascii="宋体" w:cs="Courier New"/>
          <w:color w:val="0D0D0D"/>
          <w:sz w:val="24"/>
          <w:szCs w:val="24"/>
        </w:rPr>
      </w:pPr>
      <w:r>
        <w:rPr>
          <w:rFonts w:hint="eastAsia" w:ascii="宋体" w:hAnsi="宋体" w:cs="Courier New"/>
          <w:color w:val="0D0D0D"/>
          <w:sz w:val="24"/>
          <w:szCs w:val="24"/>
        </w:rPr>
        <w:t>小型和微型企业、监狱企业、残疾人福利性单位货物汇总表（附件七）；</w:t>
      </w:r>
    </w:p>
    <w:p>
      <w:pPr>
        <w:numPr>
          <w:ilvl w:val="0"/>
          <w:numId w:val="59"/>
        </w:numPr>
        <w:autoSpaceDE w:val="0"/>
        <w:autoSpaceDN w:val="0"/>
        <w:adjustRightInd w:val="0"/>
        <w:spacing w:line="360" w:lineRule="auto"/>
        <w:ind w:left="490" w:hanging="370"/>
        <w:rPr>
          <w:rFonts w:ascii="宋体" w:cs="Courier New"/>
          <w:color w:val="0D0D0D"/>
          <w:sz w:val="24"/>
          <w:szCs w:val="24"/>
        </w:rPr>
      </w:pPr>
      <w:r>
        <w:rPr>
          <w:rFonts w:hint="eastAsia" w:ascii="宋体" w:hAnsi="宋体" w:cs="Courier New"/>
          <w:color w:val="0D0D0D"/>
          <w:sz w:val="24"/>
          <w:szCs w:val="24"/>
        </w:rPr>
        <w:t>投标货物、服务清单（附件八）；</w:t>
      </w:r>
    </w:p>
    <w:p>
      <w:pPr>
        <w:numPr>
          <w:ilvl w:val="0"/>
          <w:numId w:val="59"/>
        </w:numPr>
        <w:autoSpaceDE w:val="0"/>
        <w:autoSpaceDN w:val="0"/>
        <w:adjustRightInd w:val="0"/>
        <w:spacing w:line="360" w:lineRule="auto"/>
        <w:ind w:left="616" w:hanging="496"/>
        <w:rPr>
          <w:rFonts w:ascii="宋体" w:cs="Courier New"/>
          <w:color w:val="0D0D0D"/>
          <w:sz w:val="24"/>
          <w:szCs w:val="24"/>
        </w:rPr>
      </w:pPr>
      <w:r>
        <w:rPr>
          <w:rFonts w:hint="eastAsia" w:ascii="宋体" w:hAnsi="宋体" w:cs="Courier New"/>
          <w:color w:val="0D0D0D"/>
          <w:sz w:val="24"/>
          <w:szCs w:val="24"/>
        </w:rPr>
        <w:t>交纳投标保证金的银行凭证（附件九，</w:t>
      </w:r>
      <w:r>
        <w:rPr>
          <w:rFonts w:hint="eastAsia" w:ascii="宋体" w:hAnsi="宋体" w:cs="Courier New"/>
          <w:color w:val="FF0000"/>
          <w:sz w:val="24"/>
          <w:szCs w:val="24"/>
        </w:rPr>
        <w:t>适用招标文件有交纳要求的应当提供）</w:t>
      </w:r>
      <w:r>
        <w:rPr>
          <w:rFonts w:hint="eastAsia" w:ascii="宋体" w:hAnsi="宋体" w:cs="Courier New"/>
          <w:color w:val="0D0D0D"/>
          <w:sz w:val="24"/>
          <w:szCs w:val="24"/>
        </w:rPr>
        <w:t>；</w:t>
      </w:r>
    </w:p>
    <w:p>
      <w:pPr>
        <w:numPr>
          <w:ilvl w:val="0"/>
          <w:numId w:val="59"/>
        </w:numPr>
        <w:autoSpaceDE w:val="0"/>
        <w:autoSpaceDN w:val="0"/>
        <w:adjustRightInd w:val="0"/>
        <w:spacing w:line="360" w:lineRule="auto"/>
        <w:ind w:left="616" w:hanging="496"/>
        <w:rPr>
          <w:rFonts w:ascii="宋体" w:cs="Courier New"/>
          <w:color w:val="0D0D0D"/>
          <w:sz w:val="24"/>
          <w:szCs w:val="24"/>
        </w:rPr>
      </w:pPr>
      <w:r>
        <w:rPr>
          <w:rFonts w:hint="eastAsia" w:ascii="宋体" w:hAnsi="宋体" w:cs="Courier New"/>
          <w:color w:val="0D0D0D"/>
          <w:sz w:val="24"/>
          <w:szCs w:val="24"/>
        </w:rPr>
        <w:t>法定代表人授权书（附件十）；</w:t>
      </w:r>
    </w:p>
    <w:p>
      <w:pPr>
        <w:numPr>
          <w:ilvl w:val="0"/>
          <w:numId w:val="59"/>
        </w:numPr>
        <w:autoSpaceDE w:val="0"/>
        <w:autoSpaceDN w:val="0"/>
        <w:adjustRightInd w:val="0"/>
        <w:spacing w:line="360" w:lineRule="auto"/>
        <w:ind w:left="616" w:hanging="496"/>
        <w:rPr>
          <w:rFonts w:ascii="宋体" w:cs="Courier New"/>
          <w:color w:val="0D0D0D"/>
          <w:sz w:val="24"/>
          <w:szCs w:val="24"/>
        </w:rPr>
      </w:pPr>
      <w:r>
        <w:rPr>
          <w:rFonts w:hint="eastAsia" w:ascii="宋体" w:hAnsi="宋体" w:cs="Courier New"/>
          <w:color w:val="0D0D0D"/>
          <w:sz w:val="24"/>
          <w:szCs w:val="24"/>
        </w:rPr>
        <w:t>关于不存在招标文件第二章“十其他注意事项”中规定禁止情形的书面声明；</w:t>
      </w:r>
    </w:p>
    <w:p>
      <w:pPr>
        <w:numPr>
          <w:ilvl w:val="0"/>
          <w:numId w:val="59"/>
        </w:numPr>
        <w:autoSpaceDE w:val="0"/>
        <w:autoSpaceDN w:val="0"/>
        <w:adjustRightInd w:val="0"/>
        <w:spacing w:line="360" w:lineRule="auto"/>
        <w:ind w:left="616" w:hanging="496"/>
        <w:rPr>
          <w:rFonts w:ascii="宋体" w:cs="Courier New"/>
          <w:color w:val="0D0D0D"/>
          <w:sz w:val="24"/>
          <w:szCs w:val="24"/>
        </w:rPr>
      </w:pPr>
      <w:r>
        <w:rPr>
          <w:rFonts w:hint="eastAsia" w:ascii="宋体" w:hAnsi="宋体" w:cs="Courier New"/>
          <w:color w:val="0D0D0D"/>
          <w:sz w:val="24"/>
          <w:szCs w:val="24"/>
        </w:rPr>
        <w:t>投标人的资格声明（附件十一）；</w:t>
      </w:r>
    </w:p>
    <w:p>
      <w:pPr>
        <w:numPr>
          <w:ilvl w:val="0"/>
          <w:numId w:val="59"/>
        </w:numPr>
        <w:autoSpaceDE w:val="0"/>
        <w:autoSpaceDN w:val="0"/>
        <w:adjustRightInd w:val="0"/>
        <w:spacing w:line="360" w:lineRule="auto"/>
        <w:ind w:left="616" w:hanging="496"/>
        <w:rPr>
          <w:rFonts w:ascii="宋体" w:cs="Courier New"/>
          <w:color w:val="0D0D0D"/>
          <w:sz w:val="24"/>
          <w:szCs w:val="24"/>
        </w:rPr>
      </w:pPr>
      <w:r>
        <w:rPr>
          <w:rFonts w:hint="eastAsia" w:ascii="宋体" w:hAnsi="宋体" w:cs="Courier New"/>
          <w:color w:val="0D0D0D"/>
          <w:sz w:val="24"/>
          <w:szCs w:val="24"/>
        </w:rPr>
        <w:t>项目负责人、技术负责人简历表（附件十二）；</w:t>
      </w:r>
    </w:p>
    <w:p>
      <w:pPr>
        <w:numPr>
          <w:ilvl w:val="0"/>
          <w:numId w:val="59"/>
        </w:numPr>
        <w:autoSpaceDE w:val="0"/>
        <w:autoSpaceDN w:val="0"/>
        <w:adjustRightInd w:val="0"/>
        <w:spacing w:line="360" w:lineRule="auto"/>
        <w:ind w:left="616" w:hanging="496"/>
        <w:rPr>
          <w:rFonts w:ascii="宋体" w:cs="Courier New"/>
          <w:color w:val="0D0D0D"/>
          <w:sz w:val="24"/>
          <w:szCs w:val="24"/>
        </w:rPr>
      </w:pPr>
      <w:r>
        <w:rPr>
          <w:rFonts w:hint="eastAsia" w:ascii="宋体" w:hAnsi="宋体" w:cs="Courier New"/>
          <w:color w:val="0D0D0D"/>
          <w:sz w:val="24"/>
          <w:szCs w:val="24"/>
        </w:rPr>
        <w:t>项目班子成员情况表（附件十三）；</w:t>
      </w:r>
    </w:p>
    <w:p>
      <w:pPr>
        <w:numPr>
          <w:ilvl w:val="0"/>
          <w:numId w:val="59"/>
        </w:numPr>
        <w:autoSpaceDE w:val="0"/>
        <w:autoSpaceDN w:val="0"/>
        <w:adjustRightInd w:val="0"/>
        <w:spacing w:line="360" w:lineRule="auto"/>
        <w:ind w:left="616" w:hanging="496"/>
        <w:rPr>
          <w:rFonts w:ascii="宋体" w:cs="Courier New"/>
          <w:color w:val="0D0D0D"/>
          <w:sz w:val="24"/>
          <w:szCs w:val="24"/>
        </w:rPr>
      </w:pPr>
      <w:r>
        <w:rPr>
          <w:rFonts w:hint="eastAsia" w:ascii="宋体" w:hAnsi="宋体" w:cs="Courier New"/>
          <w:color w:val="0D0D0D"/>
          <w:sz w:val="24"/>
          <w:szCs w:val="24"/>
        </w:rPr>
        <w:t>投标人类似项目业绩表（附件十四）；</w:t>
      </w:r>
    </w:p>
    <w:p>
      <w:pPr>
        <w:numPr>
          <w:ilvl w:val="0"/>
          <w:numId w:val="59"/>
        </w:numPr>
        <w:autoSpaceDE w:val="0"/>
        <w:autoSpaceDN w:val="0"/>
        <w:adjustRightInd w:val="0"/>
        <w:spacing w:line="360" w:lineRule="auto"/>
        <w:ind w:left="616" w:hanging="496"/>
        <w:rPr>
          <w:rFonts w:ascii="宋体" w:cs="Courier New"/>
          <w:color w:val="0D0D0D"/>
          <w:sz w:val="24"/>
          <w:szCs w:val="24"/>
        </w:rPr>
      </w:pPr>
      <w:r>
        <w:rPr>
          <w:rFonts w:hint="eastAsia" w:ascii="宋体" w:hAnsi="宋体" w:cs="Courier New"/>
          <w:color w:val="0D0D0D"/>
          <w:sz w:val="24"/>
          <w:szCs w:val="24"/>
        </w:rPr>
        <w:t>招标文件要求提供或投标人认为需提供的其它资料；</w:t>
      </w:r>
    </w:p>
    <w:p>
      <w:pPr>
        <w:numPr>
          <w:ilvl w:val="0"/>
          <w:numId w:val="59"/>
        </w:numPr>
        <w:autoSpaceDE w:val="0"/>
        <w:autoSpaceDN w:val="0"/>
        <w:adjustRightInd w:val="0"/>
        <w:spacing w:line="360" w:lineRule="auto"/>
        <w:ind w:left="616" w:hanging="496"/>
        <w:rPr>
          <w:rFonts w:ascii="宋体" w:cs="Courier New"/>
          <w:color w:val="0D0D0D"/>
          <w:sz w:val="24"/>
          <w:szCs w:val="24"/>
        </w:rPr>
      </w:pPr>
      <w:r>
        <w:rPr>
          <w:rFonts w:hint="eastAsia" w:ascii="宋体" w:hAnsi="宋体" w:cs="Courier New"/>
          <w:color w:val="0D0D0D"/>
          <w:sz w:val="24"/>
          <w:szCs w:val="24"/>
        </w:rPr>
        <w:t>符合性审查对照表（附件十五）；</w:t>
      </w:r>
    </w:p>
    <w:p>
      <w:pPr>
        <w:numPr>
          <w:ilvl w:val="0"/>
          <w:numId w:val="59"/>
        </w:numPr>
        <w:autoSpaceDE w:val="0"/>
        <w:autoSpaceDN w:val="0"/>
        <w:adjustRightInd w:val="0"/>
        <w:spacing w:line="360" w:lineRule="auto"/>
        <w:ind w:left="616" w:hanging="496"/>
        <w:rPr>
          <w:rFonts w:ascii="宋体" w:cs="Courier New"/>
          <w:color w:val="0D0D0D"/>
          <w:sz w:val="24"/>
          <w:szCs w:val="24"/>
        </w:rPr>
      </w:pPr>
      <w:r>
        <w:rPr>
          <w:rFonts w:hint="eastAsia" w:ascii="宋体" w:hAnsi="宋体" w:cs="Courier New"/>
          <w:color w:val="0D0D0D"/>
          <w:sz w:val="24"/>
          <w:szCs w:val="24"/>
        </w:rPr>
        <w:t>商务要求响应、偏离说明表（附件十六）；</w:t>
      </w:r>
    </w:p>
    <w:p>
      <w:pPr>
        <w:numPr>
          <w:ilvl w:val="0"/>
          <w:numId w:val="59"/>
        </w:numPr>
        <w:autoSpaceDE w:val="0"/>
        <w:autoSpaceDN w:val="0"/>
        <w:adjustRightInd w:val="0"/>
        <w:spacing w:line="360" w:lineRule="auto"/>
        <w:ind w:left="616" w:hanging="496"/>
        <w:rPr>
          <w:rFonts w:ascii="宋体" w:cs="Courier New"/>
          <w:color w:val="0D0D0D"/>
          <w:sz w:val="24"/>
          <w:szCs w:val="24"/>
        </w:rPr>
      </w:pPr>
      <w:r>
        <w:rPr>
          <w:rFonts w:hint="eastAsia" w:ascii="宋体" w:hAnsi="宋体" w:cs="Courier New"/>
          <w:color w:val="0D0D0D"/>
          <w:sz w:val="24"/>
          <w:szCs w:val="24"/>
        </w:rPr>
        <w:t>商务要求“★”号条款响应、偏离说明表（附件十七）</w:t>
      </w:r>
    </w:p>
    <w:p>
      <w:pPr>
        <w:numPr>
          <w:ilvl w:val="0"/>
          <w:numId w:val="59"/>
        </w:numPr>
        <w:autoSpaceDE w:val="0"/>
        <w:autoSpaceDN w:val="0"/>
        <w:adjustRightInd w:val="0"/>
        <w:spacing w:line="360" w:lineRule="auto"/>
        <w:ind w:left="616" w:hanging="496"/>
        <w:rPr>
          <w:rFonts w:ascii="宋体" w:cs="Courier New"/>
          <w:color w:val="0D0D0D"/>
          <w:sz w:val="24"/>
          <w:szCs w:val="24"/>
        </w:rPr>
      </w:pPr>
      <w:r>
        <w:rPr>
          <w:rFonts w:hint="eastAsia" w:ascii="宋体" w:hAnsi="宋体" w:cs="Courier New"/>
          <w:color w:val="0D0D0D"/>
          <w:sz w:val="24"/>
          <w:szCs w:val="24"/>
        </w:rPr>
        <w:t>商务评议对照表（附件十八）。</w:t>
      </w:r>
    </w:p>
    <w:p>
      <w:r>
        <w:br w:type="page"/>
      </w:r>
    </w:p>
    <w:p>
      <w:pPr>
        <w:spacing w:beforeLines="100" w:afterLines="250"/>
        <w:jc w:val="center"/>
        <w:rPr>
          <w:rFonts w:ascii="黑体" w:hAnsi="黑体" w:eastAsia="黑体"/>
          <w:b/>
          <w:sz w:val="72"/>
          <w:szCs w:val="72"/>
        </w:rPr>
      </w:pPr>
      <w:r>
        <w:rPr>
          <w:rFonts w:hint="eastAsia" w:ascii="黑体" w:hAnsi="黑体" w:eastAsia="黑体"/>
          <w:b/>
          <w:sz w:val="72"/>
          <w:szCs w:val="72"/>
        </w:rPr>
        <w:t>阳新县县级</w:t>
      </w:r>
    </w:p>
    <w:p>
      <w:pPr>
        <w:spacing w:afterLines="200"/>
        <w:jc w:val="center"/>
        <w:rPr>
          <w:rFonts w:ascii="黑体" w:hAnsi="黑体" w:eastAsia="黑体"/>
          <w:b/>
          <w:sz w:val="144"/>
          <w:szCs w:val="144"/>
        </w:rPr>
      </w:pPr>
      <w:r>
        <w:rPr>
          <w:rFonts w:hint="eastAsia" w:ascii="黑体" w:hAnsi="黑体" w:eastAsia="黑体"/>
          <w:b/>
          <w:sz w:val="144"/>
          <w:szCs w:val="144"/>
        </w:rPr>
        <w:t>投标文件</w:t>
      </w:r>
    </w:p>
    <w:p>
      <w:pPr>
        <w:rPr>
          <w:lang w:val="zh-CN"/>
        </w:rPr>
      </w:pPr>
      <w:bookmarkStart w:id="103" w:name="_Toc494721099"/>
      <w:bookmarkStart w:id="104" w:name="_Toc494664999"/>
      <w:bookmarkStart w:id="105" w:name="_Toc494665552"/>
      <w:bookmarkStart w:id="106" w:name="_Toc494745316"/>
      <w:bookmarkStart w:id="107" w:name="_Toc494702269"/>
      <w:bookmarkStart w:id="108" w:name="_Toc494665949"/>
    </w:p>
    <w:p>
      <w:pPr>
        <w:rPr>
          <w:lang w:val="zh-CN"/>
        </w:rPr>
      </w:pPr>
    </w:p>
    <w:p>
      <w:pPr>
        <w:pStyle w:val="4"/>
        <w:spacing w:before="340" w:after="480" w:line="360" w:lineRule="auto"/>
        <w:jc w:val="center"/>
        <w:rPr>
          <w:rFonts w:ascii="宋体"/>
          <w:bCs w:val="0"/>
          <w:sz w:val="44"/>
          <w:szCs w:val="44"/>
          <w:lang w:val="zh-CN"/>
        </w:rPr>
      </w:pPr>
      <w:bookmarkStart w:id="109" w:name="_Toc106268627"/>
      <w:r>
        <w:rPr>
          <w:rFonts w:hint="eastAsia" w:ascii="宋体" w:hAnsi="宋体"/>
          <w:bCs w:val="0"/>
          <w:sz w:val="44"/>
          <w:szCs w:val="44"/>
          <w:lang w:val="zh-CN"/>
        </w:rPr>
        <w:t>第三部分技术、服务文件</w:t>
      </w:r>
      <w:bookmarkEnd w:id="103"/>
      <w:bookmarkEnd w:id="104"/>
      <w:bookmarkEnd w:id="105"/>
      <w:bookmarkEnd w:id="106"/>
      <w:bookmarkEnd w:id="107"/>
      <w:bookmarkEnd w:id="108"/>
      <w:bookmarkEnd w:id="109"/>
    </w:p>
    <w:p>
      <w:pPr>
        <w:spacing w:line="360" w:lineRule="auto"/>
        <w:ind w:left="2051" w:leftChars="619" w:right="1299" w:rightChars="619" w:hanging="752" w:hangingChars="209"/>
        <w:rPr>
          <w:rFonts w:ascii="宋体"/>
          <w:bCs/>
          <w:sz w:val="36"/>
          <w:szCs w:val="24"/>
        </w:rPr>
      </w:pPr>
      <w:r>
        <w:rPr>
          <w:rFonts w:hint="eastAsia" w:ascii="宋体" w:hAnsi="宋体"/>
          <w:b/>
          <w:bCs/>
          <w:sz w:val="36"/>
          <w:szCs w:val="24"/>
        </w:rPr>
        <w:t>项目编号：</w:t>
      </w:r>
    </w:p>
    <w:p>
      <w:pPr>
        <w:spacing w:line="360" w:lineRule="auto"/>
        <w:ind w:left="2051" w:leftChars="619" w:right="1299" w:rightChars="619" w:hanging="752" w:hangingChars="209"/>
        <w:rPr>
          <w:rFonts w:ascii="宋体"/>
          <w:b/>
          <w:bCs/>
          <w:sz w:val="36"/>
          <w:szCs w:val="24"/>
        </w:rPr>
      </w:pPr>
      <w:r>
        <w:rPr>
          <w:rFonts w:hint="eastAsia" w:ascii="宋体" w:hAnsi="宋体"/>
          <w:b/>
          <w:bCs/>
          <w:sz w:val="36"/>
          <w:szCs w:val="24"/>
        </w:rPr>
        <w:t>项目名称：</w:t>
      </w:r>
    </w:p>
    <w:p>
      <w:pPr>
        <w:spacing w:line="360" w:lineRule="auto"/>
        <w:ind w:left="2051" w:leftChars="619" w:right="1299" w:rightChars="619" w:hanging="752" w:hangingChars="209"/>
        <w:rPr>
          <w:rFonts w:ascii="宋体"/>
          <w:bCs/>
          <w:sz w:val="36"/>
          <w:szCs w:val="24"/>
          <w:lang w:val="zh-CN"/>
        </w:rPr>
      </w:pPr>
      <w:r>
        <w:rPr>
          <w:rFonts w:hint="eastAsia" w:ascii="宋体" w:hAnsi="宋体"/>
          <w:b/>
          <w:bCs/>
          <w:sz w:val="36"/>
          <w:szCs w:val="24"/>
        </w:rPr>
        <w:t>采购人：</w:t>
      </w:r>
    </w:p>
    <w:p>
      <w:pPr>
        <w:spacing w:line="360" w:lineRule="auto"/>
        <w:ind w:left="2051" w:leftChars="619" w:right="1299" w:rightChars="619" w:hanging="752" w:hangingChars="209"/>
        <w:rPr>
          <w:rFonts w:ascii="宋体"/>
          <w:sz w:val="36"/>
          <w:szCs w:val="36"/>
        </w:rPr>
      </w:pPr>
      <w:r>
        <w:rPr>
          <w:rFonts w:hint="eastAsia" w:ascii="宋体" w:hAnsi="宋体"/>
          <w:b/>
          <w:bCs/>
          <w:sz w:val="36"/>
          <w:szCs w:val="24"/>
        </w:rPr>
        <w:t>采购内容：</w:t>
      </w:r>
    </w:p>
    <w:p>
      <w:pPr>
        <w:spacing w:line="360" w:lineRule="auto"/>
        <w:ind w:left="2057" w:leftChars="613" w:right="1287" w:rightChars="613" w:hanging="770" w:hangingChars="214"/>
        <w:rPr>
          <w:rFonts w:ascii="宋体"/>
          <w:sz w:val="36"/>
          <w:szCs w:val="36"/>
        </w:rPr>
      </w:pPr>
    </w:p>
    <w:p>
      <w:pPr>
        <w:spacing w:line="360" w:lineRule="auto"/>
        <w:ind w:left="2051" w:leftChars="619" w:right="1299" w:rightChars="619" w:hanging="752" w:hangingChars="209"/>
        <w:rPr>
          <w:rFonts w:ascii="宋体"/>
          <w:b/>
          <w:bCs/>
          <w:sz w:val="36"/>
          <w:szCs w:val="24"/>
        </w:rPr>
      </w:pPr>
      <w:r>
        <w:rPr>
          <w:rFonts w:hint="eastAsia" w:ascii="宋体" w:hAnsi="宋体"/>
          <w:b/>
          <w:bCs/>
          <w:sz w:val="36"/>
          <w:szCs w:val="24"/>
        </w:rPr>
        <w:t>投标人（盖章）</w:t>
      </w:r>
    </w:p>
    <w:p>
      <w:pPr>
        <w:spacing w:line="360" w:lineRule="auto"/>
        <w:ind w:left="1971" w:leftChars="613" w:right="1287" w:rightChars="613" w:hanging="684" w:hangingChars="214"/>
        <w:rPr>
          <w:rFonts w:ascii="宋体"/>
          <w:b/>
          <w:bCs/>
          <w:sz w:val="32"/>
          <w:szCs w:val="32"/>
        </w:rPr>
      </w:pPr>
      <w:r>
        <w:rPr>
          <w:rFonts w:hint="eastAsia" w:ascii="宋体" w:hAnsi="宋体"/>
          <w:b/>
          <w:bCs/>
          <w:sz w:val="32"/>
          <w:szCs w:val="32"/>
        </w:rPr>
        <w:t>投标人授权代表（签字）：</w:t>
      </w:r>
    </w:p>
    <w:p>
      <w:pPr>
        <w:spacing w:beforeLines="100" w:afterLines="100" w:line="360" w:lineRule="auto"/>
        <w:ind w:left="2256" w:leftChars="466" w:right="466" w:hanging="1278" w:hangingChars="355"/>
        <w:jc w:val="center"/>
        <w:rPr>
          <w:rFonts w:ascii="宋体"/>
          <w:b/>
          <w:sz w:val="36"/>
          <w:szCs w:val="36"/>
        </w:rPr>
      </w:pPr>
      <w:r>
        <w:rPr>
          <w:rFonts w:hint="eastAsia" w:ascii="宋体" w:hAnsi="宋体"/>
          <w:b/>
          <w:bCs/>
          <w:sz w:val="36"/>
          <w:szCs w:val="36"/>
        </w:rPr>
        <w:t>二</w:t>
      </w:r>
      <w:r>
        <w:rPr>
          <w:rFonts w:ascii="宋体"/>
          <w:b/>
          <w:bCs/>
          <w:sz w:val="36"/>
          <w:szCs w:val="36"/>
        </w:rPr>
        <w:t>0</w:t>
      </w:r>
      <w:r>
        <w:rPr>
          <w:rFonts w:hint="eastAsia" w:ascii="宋体" w:hAnsi="宋体"/>
          <w:b/>
          <w:bCs/>
          <w:sz w:val="36"/>
          <w:szCs w:val="36"/>
        </w:rPr>
        <w:t>二二</w:t>
      </w:r>
      <w:r>
        <w:rPr>
          <w:rFonts w:hint="eastAsia" w:ascii="宋体" w:hAnsi="宋体"/>
          <w:b/>
          <w:sz w:val="36"/>
          <w:szCs w:val="36"/>
        </w:rPr>
        <w:t>年  月</w:t>
      </w:r>
    </w:p>
    <w:p>
      <w:r>
        <w:br w:type="page"/>
      </w:r>
    </w:p>
    <w:p>
      <w:pPr>
        <w:spacing w:beforeLines="100" w:line="360" w:lineRule="auto"/>
        <w:jc w:val="left"/>
        <w:rPr>
          <w:rFonts w:ascii="宋体"/>
          <w:b/>
          <w:bCs/>
          <w:sz w:val="30"/>
          <w:szCs w:val="30"/>
          <w:lang w:val="zh-CN"/>
        </w:rPr>
      </w:pPr>
      <w:r>
        <w:rPr>
          <w:rFonts w:hint="eastAsia" w:ascii="宋体" w:hAnsi="宋体"/>
          <w:b/>
          <w:bCs/>
          <w:sz w:val="30"/>
          <w:szCs w:val="30"/>
          <w:lang w:val="zh-CN"/>
        </w:rPr>
        <w:t>格式（参考）说明：</w:t>
      </w:r>
    </w:p>
    <w:p>
      <w:pPr>
        <w:spacing w:before="120" w:after="120" w:line="578" w:lineRule="auto"/>
        <w:jc w:val="center"/>
        <w:rPr>
          <w:rFonts w:ascii="黑体" w:hAnsi="黑体" w:eastAsia="黑体"/>
          <w:b/>
          <w:sz w:val="36"/>
          <w:szCs w:val="36"/>
        </w:rPr>
      </w:pPr>
      <w:bookmarkStart w:id="110" w:name="_Toc494665950"/>
      <w:bookmarkStart w:id="111" w:name="_Toc494702270"/>
      <w:bookmarkStart w:id="112" w:name="_Toc494721100"/>
      <w:bookmarkStart w:id="113" w:name="_Toc494665000"/>
      <w:bookmarkStart w:id="114" w:name="_Toc494745317"/>
      <w:bookmarkStart w:id="115" w:name="_Toc494665553"/>
      <w:r>
        <w:rPr>
          <w:rFonts w:hint="eastAsia" w:ascii="黑体" w:hAnsi="黑体" w:eastAsia="黑体"/>
          <w:b/>
          <w:bCs/>
          <w:sz w:val="36"/>
          <w:szCs w:val="36"/>
          <w:lang w:val="zh-CN"/>
        </w:rPr>
        <w:t>技术</w:t>
      </w:r>
      <w:r>
        <w:rPr>
          <w:rFonts w:hint="eastAsia" w:ascii="黑体" w:hAnsi="黑体" w:eastAsia="黑体"/>
          <w:b/>
          <w:sz w:val="36"/>
          <w:szCs w:val="36"/>
        </w:rPr>
        <w:t>、服务文件组成</w:t>
      </w:r>
      <w:bookmarkEnd w:id="110"/>
      <w:bookmarkEnd w:id="111"/>
      <w:bookmarkEnd w:id="112"/>
      <w:bookmarkEnd w:id="113"/>
      <w:bookmarkEnd w:id="114"/>
      <w:bookmarkEnd w:id="115"/>
    </w:p>
    <w:p>
      <w:pPr>
        <w:autoSpaceDE w:val="0"/>
        <w:autoSpaceDN w:val="0"/>
        <w:adjustRightInd w:val="0"/>
        <w:spacing w:beforeLines="50" w:afterLines="50" w:line="360" w:lineRule="auto"/>
        <w:ind w:firstLine="480" w:firstLineChars="200"/>
        <w:rPr>
          <w:rFonts w:ascii="宋体"/>
          <w:color w:val="0D0D0D"/>
          <w:kern w:val="0"/>
          <w:sz w:val="24"/>
          <w:szCs w:val="32"/>
        </w:rPr>
      </w:pPr>
      <w:r>
        <w:rPr>
          <w:rFonts w:hint="eastAsia" w:ascii="宋体" w:hAnsi="宋体"/>
          <w:color w:val="0D0D0D"/>
          <w:kern w:val="0"/>
          <w:sz w:val="24"/>
          <w:szCs w:val="32"/>
        </w:rPr>
        <w:t>由各投标人根据参考格式要求自行编写。目录清晰、内容详尽、易于理解和评审并富有建设性的技术、服务方案在评标时具有优势。具体内容应包括但不限于以下内容：</w:t>
      </w:r>
    </w:p>
    <w:p>
      <w:pPr>
        <w:numPr>
          <w:ilvl w:val="0"/>
          <w:numId w:val="60"/>
        </w:numPr>
        <w:autoSpaceDE w:val="0"/>
        <w:autoSpaceDN w:val="0"/>
        <w:adjustRightInd w:val="0"/>
        <w:spacing w:line="360" w:lineRule="auto"/>
        <w:ind w:left="490" w:hanging="370"/>
        <w:rPr>
          <w:rFonts w:ascii="宋体"/>
          <w:kern w:val="0"/>
          <w:sz w:val="24"/>
          <w:szCs w:val="32"/>
        </w:rPr>
      </w:pPr>
      <w:r>
        <w:rPr>
          <w:rFonts w:hint="eastAsia" w:ascii="宋体" w:hAnsi="宋体"/>
          <w:kern w:val="0"/>
          <w:sz w:val="24"/>
          <w:szCs w:val="32"/>
        </w:rPr>
        <w:t>技术、服务文件目录（目录应涵盖下述所有资料，页码清晰以便查阅）；</w:t>
      </w:r>
    </w:p>
    <w:p>
      <w:pPr>
        <w:numPr>
          <w:ilvl w:val="0"/>
          <w:numId w:val="60"/>
        </w:numPr>
        <w:autoSpaceDE w:val="0"/>
        <w:autoSpaceDN w:val="0"/>
        <w:adjustRightInd w:val="0"/>
        <w:spacing w:line="360" w:lineRule="auto"/>
        <w:ind w:left="488" w:hanging="369"/>
        <w:rPr>
          <w:rFonts w:ascii="宋体"/>
          <w:kern w:val="0"/>
          <w:sz w:val="24"/>
          <w:szCs w:val="32"/>
        </w:rPr>
      </w:pPr>
      <w:r>
        <w:rPr>
          <w:rFonts w:hint="eastAsia" w:ascii="宋体" w:hAnsi="宋体"/>
          <w:kern w:val="0"/>
          <w:sz w:val="24"/>
          <w:szCs w:val="32"/>
        </w:rPr>
        <w:t>投标货物（工程或服务）介绍，项目建设（服务）方案；</w:t>
      </w:r>
    </w:p>
    <w:p>
      <w:pPr>
        <w:numPr>
          <w:ilvl w:val="0"/>
          <w:numId w:val="60"/>
        </w:numPr>
        <w:autoSpaceDE w:val="0"/>
        <w:autoSpaceDN w:val="0"/>
        <w:adjustRightInd w:val="0"/>
        <w:spacing w:line="360" w:lineRule="auto"/>
        <w:ind w:left="490" w:hanging="370"/>
        <w:rPr>
          <w:rFonts w:ascii="宋体"/>
          <w:kern w:val="0"/>
          <w:sz w:val="24"/>
          <w:szCs w:val="32"/>
        </w:rPr>
      </w:pPr>
      <w:r>
        <w:rPr>
          <w:rFonts w:hint="eastAsia" w:ascii="宋体" w:hAnsi="宋体"/>
          <w:kern w:val="0"/>
          <w:sz w:val="24"/>
          <w:szCs w:val="32"/>
        </w:rPr>
        <w:t>技术、服务要求响应、偏离说明表（附件十九）；</w:t>
      </w:r>
    </w:p>
    <w:p>
      <w:pPr>
        <w:numPr>
          <w:ilvl w:val="0"/>
          <w:numId w:val="60"/>
        </w:numPr>
        <w:autoSpaceDE w:val="0"/>
        <w:autoSpaceDN w:val="0"/>
        <w:adjustRightInd w:val="0"/>
        <w:spacing w:line="360" w:lineRule="auto"/>
        <w:ind w:left="490" w:hanging="370"/>
        <w:rPr>
          <w:rFonts w:ascii="宋体"/>
          <w:kern w:val="0"/>
          <w:sz w:val="24"/>
          <w:szCs w:val="32"/>
        </w:rPr>
      </w:pPr>
      <w:r>
        <w:rPr>
          <w:rFonts w:hint="eastAsia" w:ascii="宋体" w:hAnsi="宋体"/>
          <w:kern w:val="0"/>
          <w:sz w:val="24"/>
          <w:szCs w:val="32"/>
        </w:rPr>
        <w:t>技术、服务要求“★”号条款响应、偏离说明表（附件二十）；</w:t>
      </w:r>
    </w:p>
    <w:p>
      <w:pPr>
        <w:numPr>
          <w:ilvl w:val="0"/>
          <w:numId w:val="60"/>
        </w:numPr>
        <w:autoSpaceDE w:val="0"/>
        <w:autoSpaceDN w:val="0"/>
        <w:adjustRightInd w:val="0"/>
        <w:spacing w:line="360" w:lineRule="auto"/>
        <w:ind w:left="490" w:hanging="370"/>
        <w:rPr>
          <w:rFonts w:ascii="宋体"/>
          <w:kern w:val="0"/>
          <w:sz w:val="24"/>
          <w:szCs w:val="32"/>
        </w:rPr>
      </w:pPr>
      <w:r>
        <w:rPr>
          <w:rFonts w:hint="eastAsia" w:ascii="宋体" w:hAnsi="宋体"/>
          <w:kern w:val="0"/>
          <w:sz w:val="24"/>
          <w:szCs w:val="32"/>
        </w:rPr>
        <w:t>技术、服务评议对照表（附件二十一）；</w:t>
      </w:r>
    </w:p>
    <w:p>
      <w:pPr>
        <w:numPr>
          <w:ilvl w:val="0"/>
          <w:numId w:val="60"/>
        </w:numPr>
        <w:autoSpaceDE w:val="0"/>
        <w:autoSpaceDN w:val="0"/>
        <w:adjustRightInd w:val="0"/>
        <w:spacing w:line="360" w:lineRule="auto"/>
        <w:ind w:left="490" w:hanging="370"/>
        <w:rPr>
          <w:rFonts w:ascii="宋体"/>
          <w:kern w:val="0"/>
          <w:sz w:val="24"/>
          <w:szCs w:val="32"/>
        </w:rPr>
      </w:pPr>
      <w:r>
        <w:rPr>
          <w:rFonts w:hint="eastAsia" w:ascii="宋体" w:hAnsi="宋体"/>
          <w:kern w:val="0"/>
          <w:sz w:val="24"/>
          <w:szCs w:val="32"/>
        </w:rPr>
        <w:t>招标文件要求提供或投标人认为需提供的其它资料。</w:t>
      </w:r>
    </w:p>
    <w:p>
      <w:pPr>
        <w:autoSpaceDE w:val="0"/>
        <w:autoSpaceDN w:val="0"/>
        <w:adjustRightInd w:val="0"/>
        <w:spacing w:line="360" w:lineRule="auto"/>
        <w:rPr>
          <w:rFonts w:ascii="宋体"/>
          <w:kern w:val="0"/>
          <w:sz w:val="24"/>
          <w:szCs w:val="32"/>
        </w:rPr>
      </w:pPr>
    </w:p>
    <w:p>
      <w:pPr>
        <w:autoSpaceDE w:val="0"/>
        <w:autoSpaceDN w:val="0"/>
        <w:adjustRightInd w:val="0"/>
        <w:spacing w:line="360" w:lineRule="auto"/>
        <w:ind w:left="715" w:leftChars="-6" w:hanging="727" w:hangingChars="303"/>
        <w:rPr>
          <w:rFonts w:ascii="宋体"/>
          <w:color w:val="0D0D0D"/>
          <w:kern w:val="0"/>
          <w:sz w:val="24"/>
          <w:szCs w:val="32"/>
        </w:rPr>
      </w:pPr>
      <w:r>
        <w:rPr>
          <w:rFonts w:hint="eastAsia" w:ascii="宋体" w:hAnsi="宋体"/>
          <w:color w:val="0D0D0D"/>
          <w:kern w:val="0"/>
          <w:sz w:val="24"/>
          <w:szCs w:val="32"/>
        </w:rPr>
        <w:t>说明：投标文件技术、服务文件的编制原则，一是按招标文件要求，提供相应说明、资料、表格以证明所投货物（工程或服务）是否响应招标文件要求；二是对应评分标准，充分体现所投货物（工程或服务）对于评分标准的响应程度和优势。</w:t>
      </w:r>
    </w:p>
    <w:p>
      <w:r>
        <w:br w:type="page"/>
      </w:r>
    </w:p>
    <w:p>
      <w:pPr>
        <w:pStyle w:val="4"/>
        <w:numPr>
          <w:ilvl w:val="0"/>
          <w:numId w:val="61"/>
        </w:numPr>
        <w:spacing w:before="100" w:beforeAutospacing="1" w:afterLines="50" w:line="360" w:lineRule="auto"/>
        <w:ind w:left="1288" w:hanging="1288"/>
        <w:rPr>
          <w:rFonts w:ascii="宋体"/>
        </w:rPr>
      </w:pPr>
      <w:bookmarkStart w:id="116" w:name="_Toc236473298"/>
      <w:bookmarkStart w:id="117" w:name="_Toc494702271"/>
      <w:bookmarkStart w:id="118" w:name="_Toc494665951"/>
      <w:bookmarkStart w:id="119" w:name="_Toc494721101"/>
      <w:bookmarkStart w:id="120" w:name="_Toc494665001"/>
      <w:bookmarkStart w:id="121" w:name="_Toc494665554"/>
      <w:bookmarkStart w:id="122" w:name="_Toc106268628"/>
      <w:bookmarkStart w:id="123" w:name="_Toc238276242"/>
      <w:bookmarkStart w:id="124" w:name="_Toc494745318"/>
      <w:r>
        <w:rPr>
          <w:rFonts w:hint="eastAsia" w:ascii="宋体" w:hAnsi="宋体"/>
        </w:rPr>
        <w:t>投标书</w:t>
      </w:r>
      <w:bookmarkEnd w:id="116"/>
      <w:bookmarkEnd w:id="117"/>
      <w:bookmarkEnd w:id="118"/>
      <w:bookmarkEnd w:id="119"/>
      <w:bookmarkEnd w:id="120"/>
      <w:bookmarkEnd w:id="121"/>
      <w:bookmarkEnd w:id="122"/>
      <w:bookmarkEnd w:id="123"/>
      <w:bookmarkEnd w:id="124"/>
    </w:p>
    <w:p>
      <w:pPr>
        <w:spacing w:line="360" w:lineRule="auto"/>
        <w:rPr>
          <w:b/>
          <w:sz w:val="28"/>
          <w:szCs w:val="28"/>
        </w:rPr>
      </w:pPr>
      <w:r>
        <w:rPr>
          <w:rFonts w:hint="eastAsia"/>
          <w:b/>
          <w:sz w:val="28"/>
          <w:szCs w:val="28"/>
        </w:rPr>
        <w:t>采购人</w:t>
      </w:r>
      <w:r>
        <w:rPr>
          <w:rFonts w:hint="eastAsia"/>
          <w:b/>
          <w:color w:val="FF0000"/>
          <w:sz w:val="28"/>
          <w:szCs w:val="28"/>
        </w:rPr>
        <w:t>（或采购代理公司）</w:t>
      </w:r>
      <w:r>
        <w:rPr>
          <w:rFonts w:hint="eastAsia"/>
          <w:b/>
          <w:sz w:val="28"/>
          <w:szCs w:val="28"/>
        </w:rPr>
        <w:t>：</w:t>
      </w:r>
    </w:p>
    <w:p>
      <w:pPr>
        <w:spacing w:line="360" w:lineRule="auto"/>
        <w:ind w:firstLine="480" w:firstLineChars="200"/>
        <w:rPr>
          <w:rFonts w:ascii="宋体"/>
          <w:color w:val="0D0D0D"/>
          <w:sz w:val="24"/>
          <w:szCs w:val="24"/>
        </w:rPr>
      </w:pPr>
      <w:r>
        <w:rPr>
          <w:rFonts w:hint="eastAsia" w:ascii="宋体" w:hAnsi="宋体"/>
          <w:color w:val="0D0D0D"/>
          <w:sz w:val="24"/>
          <w:szCs w:val="24"/>
        </w:rPr>
        <w:t>依据贵方</w:t>
      </w:r>
      <w:r>
        <w:rPr>
          <w:rFonts w:ascii="宋体" w:hAnsi="宋体"/>
          <w:color w:val="0D0D0D"/>
          <w:sz w:val="24"/>
          <w:szCs w:val="24"/>
        </w:rPr>
        <w:t>___</w:t>
      </w:r>
      <w:r>
        <w:rPr>
          <w:rFonts w:ascii="宋体" w:hAnsi="宋体"/>
          <w:color w:val="0D0D0D"/>
          <w:sz w:val="24"/>
          <w:szCs w:val="24"/>
          <w:u w:val="single"/>
        </w:rPr>
        <w:t xml:space="preserve">  _</w:t>
      </w:r>
      <w:r>
        <w:rPr>
          <w:rFonts w:hint="eastAsia" w:ascii="宋体" w:hAnsi="宋体"/>
          <w:color w:val="0D0D0D"/>
          <w:sz w:val="24"/>
          <w:szCs w:val="24"/>
        </w:rPr>
        <w:t>项目（项目编号：</w:t>
      </w:r>
      <w:r>
        <w:rPr>
          <w:rFonts w:ascii="宋体" w:hAnsi="宋体"/>
          <w:color w:val="0D0D0D"/>
          <w:sz w:val="24"/>
          <w:szCs w:val="24"/>
        </w:rPr>
        <w:t>_____</w:t>
      </w:r>
      <w:r>
        <w:rPr>
          <w:rFonts w:hint="eastAsia" w:ascii="宋体" w:hAnsi="宋体"/>
          <w:color w:val="0D0D0D"/>
          <w:sz w:val="24"/>
          <w:szCs w:val="24"/>
        </w:rPr>
        <w:t>）招标的投标邀请，我方代表</w:t>
      </w:r>
      <w:r>
        <w:rPr>
          <w:rFonts w:hint="eastAsia" w:ascii="宋体" w:hAnsi="宋体"/>
          <w:color w:val="0D0D0D"/>
          <w:sz w:val="24"/>
          <w:szCs w:val="24"/>
          <w:u w:val="single"/>
        </w:rPr>
        <w:t>（姓名、职务）</w:t>
      </w:r>
      <w:r>
        <w:rPr>
          <w:rFonts w:hint="eastAsia" w:ascii="宋体" w:hAnsi="宋体"/>
          <w:color w:val="0D0D0D"/>
          <w:sz w:val="24"/>
          <w:szCs w:val="24"/>
        </w:rPr>
        <w:t>经正式授权并代表投标人</w:t>
      </w:r>
      <w:r>
        <w:rPr>
          <w:rFonts w:hint="eastAsia" w:ascii="宋体" w:hAnsi="宋体"/>
          <w:color w:val="0D0D0D"/>
          <w:sz w:val="24"/>
          <w:szCs w:val="24"/>
          <w:u w:val="single"/>
        </w:rPr>
        <w:t>（投标人全称）</w:t>
      </w:r>
      <w:r>
        <w:rPr>
          <w:rFonts w:hint="eastAsia" w:ascii="宋体" w:hAnsi="宋体"/>
          <w:color w:val="0D0D0D"/>
          <w:sz w:val="24"/>
          <w:szCs w:val="24"/>
        </w:rPr>
        <w:t>提交</w:t>
      </w:r>
      <w:r>
        <w:rPr>
          <w:rFonts w:hint="eastAsia" w:ascii="宋体" w:hAnsi="宋体"/>
          <w:color w:val="0D0D0D"/>
          <w:kern w:val="0"/>
          <w:sz w:val="24"/>
        </w:rPr>
        <w:t>“开标一览表”信封和下述文件正本</w:t>
      </w:r>
      <w:r>
        <w:rPr>
          <w:rFonts w:hint="eastAsia" w:ascii="宋体" w:hAnsi="宋体"/>
          <w:color w:val="0D0D0D"/>
          <w:kern w:val="0"/>
          <w:sz w:val="24"/>
          <w:u w:val="single"/>
        </w:rPr>
        <w:t>　</w:t>
      </w:r>
      <w:r>
        <w:rPr>
          <w:rFonts w:hint="eastAsia" w:ascii="宋体" w:hAnsi="宋体"/>
          <w:color w:val="0D0D0D"/>
          <w:kern w:val="0"/>
          <w:sz w:val="24"/>
        </w:rPr>
        <w:t>份，副本</w:t>
      </w:r>
      <w:r>
        <w:rPr>
          <w:rFonts w:hint="eastAsia" w:ascii="宋体" w:hAnsi="宋体"/>
          <w:color w:val="0D0D0D"/>
          <w:kern w:val="0"/>
          <w:sz w:val="24"/>
          <w:u w:val="single"/>
        </w:rPr>
        <w:t>　</w:t>
      </w:r>
      <w:r>
        <w:rPr>
          <w:rFonts w:hint="eastAsia" w:ascii="宋体" w:hAnsi="宋体"/>
          <w:color w:val="0D0D0D"/>
          <w:kern w:val="0"/>
          <w:sz w:val="24"/>
        </w:rPr>
        <w:t>份。</w:t>
      </w:r>
    </w:p>
    <w:p>
      <w:pPr>
        <w:spacing w:line="360" w:lineRule="auto"/>
        <w:ind w:left="12" w:leftChars="6" w:firstLine="472" w:firstLineChars="197"/>
        <w:rPr>
          <w:rFonts w:ascii="宋体"/>
          <w:sz w:val="24"/>
          <w:szCs w:val="24"/>
        </w:rPr>
      </w:pPr>
      <w:r>
        <w:rPr>
          <w:rFonts w:ascii="宋体" w:hAnsi="宋体"/>
          <w:sz w:val="24"/>
          <w:szCs w:val="24"/>
        </w:rPr>
        <w:t>1.</w:t>
      </w:r>
      <w:r>
        <w:rPr>
          <w:rFonts w:hint="eastAsia" w:ascii="宋体" w:hAnsi="宋体"/>
          <w:sz w:val="24"/>
          <w:szCs w:val="24"/>
        </w:rPr>
        <w:t>资格证明文件；</w:t>
      </w:r>
    </w:p>
    <w:p>
      <w:pPr>
        <w:spacing w:line="360" w:lineRule="auto"/>
        <w:ind w:left="12" w:leftChars="6" w:firstLine="472" w:firstLineChars="197"/>
        <w:rPr>
          <w:rFonts w:ascii="宋体"/>
          <w:sz w:val="24"/>
          <w:szCs w:val="24"/>
        </w:rPr>
      </w:pPr>
      <w:r>
        <w:rPr>
          <w:rFonts w:ascii="宋体" w:hAnsi="宋体"/>
          <w:sz w:val="24"/>
          <w:szCs w:val="24"/>
        </w:rPr>
        <w:t>2.</w:t>
      </w:r>
      <w:r>
        <w:rPr>
          <w:rFonts w:hint="eastAsia" w:ascii="宋体" w:hAnsi="宋体"/>
          <w:sz w:val="24"/>
          <w:szCs w:val="24"/>
        </w:rPr>
        <w:t>商务文件；</w:t>
      </w:r>
    </w:p>
    <w:p>
      <w:pPr>
        <w:spacing w:line="360" w:lineRule="auto"/>
        <w:ind w:left="12" w:leftChars="6" w:firstLine="472" w:firstLineChars="197"/>
        <w:rPr>
          <w:rFonts w:ascii="宋体"/>
          <w:sz w:val="24"/>
          <w:szCs w:val="24"/>
        </w:rPr>
      </w:pPr>
      <w:r>
        <w:rPr>
          <w:rFonts w:ascii="宋体" w:hAnsi="宋体"/>
          <w:sz w:val="24"/>
          <w:szCs w:val="24"/>
        </w:rPr>
        <w:t>3.</w:t>
      </w:r>
      <w:r>
        <w:rPr>
          <w:rFonts w:hint="eastAsia" w:ascii="宋体" w:hAnsi="宋体"/>
          <w:sz w:val="24"/>
          <w:szCs w:val="24"/>
        </w:rPr>
        <w:t>技术、服务文件。</w:t>
      </w:r>
    </w:p>
    <w:p>
      <w:pPr>
        <w:spacing w:line="360" w:lineRule="auto"/>
        <w:rPr>
          <w:rFonts w:ascii="宋体"/>
          <w:b/>
          <w:color w:val="0D0D0D"/>
          <w:kern w:val="0"/>
          <w:sz w:val="24"/>
          <w:szCs w:val="24"/>
        </w:rPr>
      </w:pPr>
      <w:r>
        <w:rPr>
          <w:rFonts w:hint="eastAsia" w:ascii="宋体" w:hAnsi="宋体"/>
          <w:b/>
          <w:color w:val="0D0D0D"/>
          <w:kern w:val="0"/>
          <w:sz w:val="24"/>
          <w:szCs w:val="24"/>
        </w:rPr>
        <w:t>在此，我方宣布同意如下：</w:t>
      </w:r>
    </w:p>
    <w:p>
      <w:pPr>
        <w:spacing w:line="360" w:lineRule="auto"/>
        <w:ind w:left="12" w:leftChars="6" w:firstLine="472" w:firstLineChars="197"/>
        <w:rPr>
          <w:rFonts w:ascii="宋体"/>
          <w:sz w:val="24"/>
          <w:szCs w:val="24"/>
        </w:rPr>
      </w:pPr>
      <w:r>
        <w:rPr>
          <w:rFonts w:ascii="宋体" w:hAnsi="宋体"/>
          <w:sz w:val="24"/>
          <w:szCs w:val="24"/>
        </w:rPr>
        <w:t>1</w:t>
      </w:r>
      <w:r>
        <w:rPr>
          <w:rFonts w:hint="eastAsia" w:ascii="宋体" w:hAnsi="宋体"/>
          <w:sz w:val="24"/>
          <w:szCs w:val="24"/>
        </w:rPr>
        <w:t>．《开标一览表》中规定的应提交和交付的</w:t>
      </w:r>
      <w:r>
        <w:rPr>
          <w:rFonts w:hint="eastAsia" w:ascii="宋体" w:hAnsi="宋体"/>
          <w:sz w:val="24"/>
          <w:szCs w:val="24"/>
          <w:u w:val="single"/>
        </w:rPr>
        <w:t>（包号）</w:t>
      </w:r>
      <w:r>
        <w:rPr>
          <w:rFonts w:hint="eastAsia" w:ascii="宋体" w:hAnsi="宋体"/>
          <w:sz w:val="24"/>
          <w:szCs w:val="24"/>
        </w:rPr>
        <w:t>货物（工程或服务）投标总价为</w:t>
      </w:r>
      <w:r>
        <w:rPr>
          <w:rFonts w:hint="eastAsia" w:ascii="宋体" w:hAnsi="宋体"/>
          <w:sz w:val="24"/>
          <w:szCs w:val="24"/>
          <w:u w:val="single"/>
        </w:rPr>
        <w:t>（注明币种，并用大写和小写表述投标总价）</w:t>
      </w:r>
      <w:r>
        <w:rPr>
          <w:rFonts w:hint="eastAsia" w:ascii="宋体" w:hAnsi="宋体"/>
          <w:sz w:val="24"/>
          <w:szCs w:val="24"/>
        </w:rPr>
        <w:t>；</w:t>
      </w:r>
    </w:p>
    <w:p>
      <w:pPr>
        <w:spacing w:line="360" w:lineRule="auto"/>
        <w:ind w:left="12" w:leftChars="6" w:firstLine="472" w:firstLineChars="197"/>
        <w:rPr>
          <w:rFonts w:ascii="宋体"/>
          <w:sz w:val="24"/>
          <w:szCs w:val="24"/>
        </w:rPr>
      </w:pPr>
      <w:r>
        <w:rPr>
          <w:rFonts w:ascii="宋体" w:hAnsi="宋体"/>
          <w:sz w:val="24"/>
          <w:szCs w:val="24"/>
        </w:rPr>
        <w:t>2</w:t>
      </w:r>
      <w:r>
        <w:rPr>
          <w:rFonts w:hint="eastAsia" w:ascii="宋体" w:hAnsi="宋体"/>
          <w:sz w:val="24"/>
          <w:szCs w:val="24"/>
        </w:rPr>
        <w:t>．按招标文件的约定履行合同责任和义务；</w:t>
      </w:r>
    </w:p>
    <w:p>
      <w:pPr>
        <w:spacing w:line="360" w:lineRule="auto"/>
        <w:ind w:left="12" w:leftChars="6" w:firstLine="472" w:firstLineChars="197"/>
        <w:rPr>
          <w:rFonts w:ascii="宋体"/>
          <w:sz w:val="24"/>
          <w:szCs w:val="24"/>
        </w:rPr>
      </w:pPr>
      <w:r>
        <w:rPr>
          <w:rFonts w:ascii="宋体" w:hAnsi="宋体"/>
          <w:sz w:val="24"/>
          <w:szCs w:val="24"/>
        </w:rPr>
        <w:t>3</w:t>
      </w:r>
      <w:r>
        <w:rPr>
          <w:rFonts w:hint="eastAsia" w:ascii="宋体" w:hAnsi="宋体"/>
          <w:sz w:val="24"/>
          <w:szCs w:val="24"/>
        </w:rPr>
        <w:t>．已详细审查全部招标文件，包括</w:t>
      </w:r>
      <w:r>
        <w:rPr>
          <w:rFonts w:hint="eastAsia" w:ascii="宋体" w:hAnsi="宋体"/>
          <w:sz w:val="24"/>
          <w:szCs w:val="24"/>
          <w:u w:val="single"/>
        </w:rPr>
        <w:t>（修正或补充文件）（如果有的话）</w:t>
      </w:r>
      <w:r>
        <w:rPr>
          <w:rFonts w:hint="eastAsia" w:ascii="宋体" w:hAnsi="宋体"/>
          <w:sz w:val="24"/>
          <w:szCs w:val="24"/>
        </w:rPr>
        <w:t>，对此无异议；</w:t>
      </w:r>
    </w:p>
    <w:p>
      <w:pPr>
        <w:spacing w:line="360" w:lineRule="auto"/>
        <w:ind w:left="12" w:leftChars="6" w:firstLine="472" w:firstLineChars="197"/>
        <w:rPr>
          <w:rFonts w:ascii="宋体"/>
          <w:sz w:val="24"/>
          <w:szCs w:val="24"/>
        </w:rPr>
      </w:pPr>
      <w:r>
        <w:rPr>
          <w:rFonts w:ascii="宋体" w:hAnsi="宋体"/>
          <w:sz w:val="24"/>
          <w:szCs w:val="24"/>
        </w:rPr>
        <w:t>4</w:t>
      </w:r>
      <w:r>
        <w:rPr>
          <w:rFonts w:hint="eastAsia" w:ascii="宋体" w:hAnsi="宋体"/>
          <w:sz w:val="24"/>
          <w:szCs w:val="24"/>
        </w:rPr>
        <w:t>．投标有效期为</w:t>
      </w:r>
      <w:r>
        <w:rPr>
          <w:rFonts w:hint="eastAsia" w:ascii="宋体" w:hAnsi="宋体"/>
          <w:color w:val="0D0D0D"/>
          <w:sz w:val="24"/>
          <w:szCs w:val="24"/>
        </w:rPr>
        <w:t>自</w:t>
      </w:r>
      <w:r>
        <w:rPr>
          <w:rFonts w:hint="eastAsia" w:ascii="宋体" w:hAnsi="宋体"/>
          <w:color w:val="0D0D0D"/>
          <w:kern w:val="0"/>
          <w:sz w:val="24"/>
        </w:rPr>
        <w:t>递交投标文件截止之日</w:t>
      </w:r>
      <w:r>
        <w:rPr>
          <w:rFonts w:hint="eastAsia" w:ascii="宋体" w:hAnsi="宋体"/>
          <w:color w:val="0D0D0D"/>
          <w:sz w:val="24"/>
          <w:szCs w:val="24"/>
        </w:rPr>
        <w:t>起</w:t>
      </w:r>
      <w:r>
        <w:rPr>
          <w:rFonts w:hint="eastAsia" w:ascii="宋体" w:hAnsi="宋体"/>
          <w:sz w:val="24"/>
          <w:szCs w:val="24"/>
        </w:rPr>
        <w:t>，共个日历日；</w:t>
      </w:r>
    </w:p>
    <w:p>
      <w:pPr>
        <w:spacing w:line="360" w:lineRule="auto"/>
        <w:ind w:left="12" w:leftChars="6" w:firstLine="472" w:firstLineChars="197"/>
        <w:rPr>
          <w:rFonts w:ascii="宋体"/>
          <w:sz w:val="24"/>
          <w:szCs w:val="24"/>
        </w:rPr>
      </w:pPr>
      <w:r>
        <w:rPr>
          <w:rFonts w:ascii="宋体" w:hAnsi="宋体"/>
          <w:sz w:val="24"/>
          <w:szCs w:val="24"/>
        </w:rPr>
        <w:t>5</w:t>
      </w:r>
      <w:r>
        <w:rPr>
          <w:rFonts w:hint="eastAsia" w:ascii="宋体" w:hAnsi="宋体"/>
          <w:sz w:val="24"/>
          <w:szCs w:val="24"/>
        </w:rPr>
        <w:t>．接受招标文件关于不予退还投标保证金的约定；</w:t>
      </w:r>
    </w:p>
    <w:p>
      <w:pPr>
        <w:spacing w:line="360" w:lineRule="auto"/>
        <w:ind w:left="12" w:leftChars="6" w:firstLine="472" w:firstLineChars="197"/>
        <w:rPr>
          <w:rFonts w:ascii="宋体"/>
          <w:sz w:val="24"/>
          <w:szCs w:val="24"/>
        </w:rPr>
      </w:pPr>
      <w:r>
        <w:rPr>
          <w:rFonts w:ascii="宋体" w:hAnsi="宋体"/>
          <w:sz w:val="24"/>
          <w:szCs w:val="24"/>
        </w:rPr>
        <w:t>6</w:t>
      </w:r>
      <w:r>
        <w:rPr>
          <w:rFonts w:hint="eastAsia" w:ascii="宋体" w:hAnsi="宋体"/>
          <w:sz w:val="24"/>
          <w:szCs w:val="24"/>
        </w:rPr>
        <w:t>．提供按照贵方可能要求的与投标有关的一切数据或资料；</w:t>
      </w:r>
    </w:p>
    <w:p>
      <w:pPr>
        <w:spacing w:line="360" w:lineRule="auto"/>
        <w:ind w:left="12" w:leftChars="6" w:firstLine="472" w:firstLineChars="197"/>
        <w:rPr>
          <w:rFonts w:ascii="宋体"/>
          <w:sz w:val="24"/>
          <w:szCs w:val="24"/>
        </w:rPr>
      </w:pPr>
      <w:r>
        <w:rPr>
          <w:rFonts w:ascii="宋体" w:hAnsi="宋体"/>
          <w:sz w:val="24"/>
          <w:szCs w:val="24"/>
        </w:rPr>
        <w:t>7</w:t>
      </w:r>
      <w:r>
        <w:rPr>
          <w:rFonts w:hint="eastAsia" w:ascii="宋体" w:hAnsi="宋体"/>
          <w:sz w:val="24"/>
          <w:szCs w:val="24"/>
        </w:rPr>
        <w:t>．与投标有关的一切正式往来信函请寄：。</w:t>
      </w:r>
    </w:p>
    <w:p>
      <w:pPr>
        <w:autoSpaceDE w:val="0"/>
        <w:autoSpaceDN w:val="0"/>
        <w:adjustRightInd w:val="0"/>
        <w:spacing w:line="400" w:lineRule="exact"/>
        <w:ind w:right="246" w:firstLine="480" w:firstLineChars="200"/>
        <w:rPr>
          <w:rFonts w:ascii="宋体"/>
          <w:kern w:val="0"/>
          <w:sz w:val="24"/>
          <w:szCs w:val="24"/>
        </w:rPr>
      </w:pPr>
    </w:p>
    <w:p>
      <w:pPr>
        <w:spacing w:line="360" w:lineRule="auto"/>
        <w:ind w:left="12" w:leftChars="6" w:firstLine="472" w:firstLineChars="197"/>
        <w:rPr>
          <w:rFonts w:ascii="宋体"/>
          <w:sz w:val="24"/>
          <w:szCs w:val="24"/>
        </w:rPr>
      </w:pPr>
      <w:r>
        <w:rPr>
          <w:rFonts w:hint="eastAsia" w:ascii="宋体" w:hAnsi="宋体"/>
          <w:sz w:val="24"/>
          <w:szCs w:val="24"/>
        </w:rPr>
        <w:t>投标人：</w:t>
      </w:r>
    </w:p>
    <w:p>
      <w:pPr>
        <w:spacing w:line="360" w:lineRule="auto"/>
        <w:ind w:left="12" w:leftChars="6" w:firstLine="472" w:firstLineChars="197"/>
        <w:rPr>
          <w:rFonts w:ascii="宋体"/>
          <w:sz w:val="24"/>
          <w:szCs w:val="24"/>
        </w:rPr>
      </w:pPr>
      <w:r>
        <w:rPr>
          <w:rFonts w:hint="eastAsia" w:ascii="宋体" w:hAnsi="宋体"/>
          <w:sz w:val="24"/>
          <w:szCs w:val="24"/>
        </w:rPr>
        <w:t>地址：</w:t>
      </w:r>
    </w:p>
    <w:p>
      <w:pPr>
        <w:spacing w:line="360" w:lineRule="auto"/>
        <w:ind w:left="12" w:leftChars="6" w:firstLine="472" w:firstLineChars="197"/>
        <w:rPr>
          <w:rFonts w:ascii="宋体"/>
          <w:sz w:val="24"/>
          <w:szCs w:val="24"/>
        </w:rPr>
      </w:pPr>
      <w:r>
        <w:rPr>
          <w:rFonts w:hint="eastAsia" w:ascii="宋体" w:hAnsi="宋体"/>
          <w:sz w:val="24"/>
          <w:szCs w:val="24"/>
        </w:rPr>
        <w:t>电话</w:t>
      </w:r>
      <w:r>
        <w:rPr>
          <w:rFonts w:ascii="宋体" w:hAnsi="宋体"/>
          <w:sz w:val="24"/>
          <w:szCs w:val="24"/>
        </w:rPr>
        <w:t>/</w:t>
      </w:r>
      <w:r>
        <w:rPr>
          <w:rFonts w:hint="eastAsia" w:ascii="宋体" w:hAnsi="宋体"/>
          <w:sz w:val="24"/>
          <w:szCs w:val="24"/>
        </w:rPr>
        <w:t>传真：</w:t>
      </w:r>
    </w:p>
    <w:p>
      <w:pPr>
        <w:spacing w:line="360" w:lineRule="auto"/>
        <w:ind w:left="12" w:leftChars="6" w:firstLine="472" w:firstLineChars="197"/>
        <w:rPr>
          <w:rFonts w:ascii="宋体"/>
          <w:sz w:val="24"/>
          <w:szCs w:val="24"/>
        </w:rPr>
      </w:pPr>
      <w:r>
        <w:rPr>
          <w:rFonts w:hint="eastAsia" w:ascii="宋体" w:hAnsi="宋体"/>
          <w:sz w:val="24"/>
          <w:szCs w:val="24"/>
        </w:rPr>
        <w:t>电子邮件：</w:t>
      </w:r>
    </w:p>
    <w:p>
      <w:pPr>
        <w:spacing w:line="360" w:lineRule="auto"/>
        <w:ind w:left="12" w:leftChars="6" w:firstLine="472" w:firstLineChars="197"/>
        <w:rPr>
          <w:rFonts w:ascii="宋体"/>
          <w:sz w:val="24"/>
          <w:szCs w:val="24"/>
        </w:rPr>
      </w:pPr>
      <w:r>
        <w:rPr>
          <w:rFonts w:hint="eastAsia" w:ascii="宋体" w:hAnsi="宋体"/>
          <w:sz w:val="24"/>
          <w:szCs w:val="24"/>
        </w:rPr>
        <w:t>投标人</w:t>
      </w:r>
      <w:r>
        <w:rPr>
          <w:rFonts w:ascii="宋体" w:hAnsi="宋体"/>
          <w:sz w:val="24"/>
          <w:szCs w:val="24"/>
        </w:rPr>
        <w:t>(</w:t>
      </w:r>
      <w:r>
        <w:rPr>
          <w:rFonts w:hint="eastAsia" w:ascii="宋体" w:hAnsi="宋体"/>
          <w:sz w:val="24"/>
          <w:szCs w:val="24"/>
        </w:rPr>
        <w:t>公章</w:t>
      </w:r>
      <w:r>
        <w:rPr>
          <w:rFonts w:ascii="宋体" w:hAnsi="宋体"/>
          <w:sz w:val="24"/>
          <w:szCs w:val="24"/>
        </w:rPr>
        <w:t>)</w:t>
      </w:r>
      <w:r>
        <w:rPr>
          <w:rFonts w:hint="eastAsia" w:ascii="宋体" w:hAnsi="宋体"/>
          <w:sz w:val="24"/>
          <w:szCs w:val="24"/>
        </w:rPr>
        <w:t>：</w:t>
      </w:r>
    </w:p>
    <w:p>
      <w:pPr>
        <w:spacing w:line="360" w:lineRule="auto"/>
        <w:ind w:left="12" w:leftChars="6" w:firstLine="472" w:firstLineChars="197"/>
        <w:rPr>
          <w:rFonts w:ascii="宋体"/>
          <w:sz w:val="24"/>
          <w:szCs w:val="24"/>
        </w:rPr>
      </w:pPr>
      <w:r>
        <w:rPr>
          <w:rFonts w:hint="eastAsia" w:ascii="宋体" w:hAnsi="宋体"/>
          <w:sz w:val="24"/>
          <w:szCs w:val="24"/>
        </w:rPr>
        <w:t>投标人授权代表（签字）：</w:t>
      </w:r>
    </w:p>
    <w:p>
      <w:pPr>
        <w:spacing w:line="360" w:lineRule="auto"/>
        <w:ind w:left="12" w:leftChars="6" w:firstLine="472" w:firstLineChars="197"/>
        <w:rPr>
          <w:rFonts w:ascii="宋体"/>
          <w:sz w:val="24"/>
          <w:szCs w:val="24"/>
        </w:rPr>
      </w:pPr>
      <w:r>
        <w:rPr>
          <w:rFonts w:hint="eastAsia" w:ascii="宋体" w:hAnsi="宋体"/>
          <w:sz w:val="24"/>
          <w:szCs w:val="24"/>
        </w:rPr>
        <w:t>日期：</w:t>
      </w:r>
    </w:p>
    <w:p>
      <w:pPr>
        <w:spacing w:line="360" w:lineRule="auto"/>
        <w:ind w:left="12" w:leftChars="6" w:firstLine="472" w:firstLineChars="197"/>
        <w:rPr>
          <w:rFonts w:ascii="宋体"/>
          <w:sz w:val="24"/>
          <w:szCs w:val="24"/>
        </w:rPr>
      </w:pPr>
      <w:r>
        <w:rPr>
          <w:rFonts w:hint="eastAsia" w:ascii="宋体" w:hAnsi="宋体"/>
          <w:sz w:val="24"/>
          <w:szCs w:val="24"/>
        </w:rPr>
        <w:t>开户银行：</w:t>
      </w:r>
    </w:p>
    <w:p>
      <w:pPr>
        <w:spacing w:line="360" w:lineRule="auto"/>
        <w:ind w:left="12" w:leftChars="6" w:firstLine="472" w:firstLineChars="197"/>
        <w:rPr>
          <w:rFonts w:ascii="宋体"/>
          <w:sz w:val="24"/>
          <w:szCs w:val="24"/>
        </w:rPr>
      </w:pPr>
      <w:r>
        <w:rPr>
          <w:rFonts w:hint="eastAsia" w:ascii="宋体" w:hAnsi="宋体"/>
          <w:sz w:val="24"/>
          <w:szCs w:val="24"/>
        </w:rPr>
        <w:t>帐号</w:t>
      </w:r>
      <w:r>
        <w:rPr>
          <w:rFonts w:ascii="宋体" w:hAnsi="宋体"/>
          <w:sz w:val="24"/>
          <w:szCs w:val="24"/>
        </w:rPr>
        <w:t>/</w:t>
      </w:r>
      <w:r>
        <w:rPr>
          <w:rFonts w:hint="eastAsia" w:ascii="宋体" w:hAnsi="宋体"/>
          <w:sz w:val="24"/>
          <w:szCs w:val="24"/>
        </w:rPr>
        <w:t>行号：</w:t>
      </w:r>
    </w:p>
    <w:p>
      <w:r>
        <w:br w:type="page"/>
      </w:r>
    </w:p>
    <w:p>
      <w:pPr>
        <w:pStyle w:val="4"/>
        <w:numPr>
          <w:ilvl w:val="0"/>
          <w:numId w:val="61"/>
        </w:numPr>
        <w:spacing w:before="100" w:beforeAutospacing="1" w:afterLines="50" w:line="360" w:lineRule="auto"/>
        <w:ind w:left="1288" w:hanging="1288"/>
        <w:rPr>
          <w:rFonts w:ascii="宋体"/>
        </w:rPr>
      </w:pPr>
      <w:bookmarkStart w:id="125" w:name="_Toc494665952"/>
      <w:bookmarkStart w:id="126" w:name="_Toc494665555"/>
      <w:bookmarkStart w:id="127" w:name="_Toc494745319"/>
      <w:bookmarkStart w:id="128" w:name="_Toc494721102"/>
      <w:bookmarkStart w:id="129" w:name="_Toc106268629"/>
      <w:bookmarkStart w:id="130" w:name="_Toc494702272"/>
      <w:bookmarkStart w:id="131" w:name="_Toc494665002"/>
      <w:r>
        <w:rPr>
          <w:rFonts w:hint="eastAsia" w:ascii="宋体" w:hAnsi="宋体"/>
        </w:rPr>
        <w:t>制造商中小企业声明函</w:t>
      </w:r>
      <w:bookmarkEnd w:id="125"/>
      <w:bookmarkEnd w:id="126"/>
      <w:bookmarkEnd w:id="127"/>
      <w:bookmarkEnd w:id="128"/>
      <w:bookmarkEnd w:id="129"/>
      <w:bookmarkEnd w:id="130"/>
      <w:bookmarkEnd w:id="131"/>
    </w:p>
    <w:p>
      <w:pPr>
        <w:spacing w:before="98" w:line="184" w:lineRule="auto"/>
        <w:ind w:firstLine="3269"/>
        <w:rPr>
          <w:rFonts w:ascii="宋体" w:hAnsi="宋体" w:cs="宋体"/>
          <w:sz w:val="30"/>
          <w:szCs w:val="30"/>
        </w:rPr>
      </w:pPr>
      <w:r>
        <w:rPr>
          <w:rFonts w:ascii="宋体" w:hAnsi="宋体" w:cs="宋体"/>
          <w:spacing w:val="-1"/>
          <w:sz w:val="30"/>
          <w:szCs w:val="30"/>
        </w:rPr>
        <w:t>制造商中小企业声明函</w:t>
      </w:r>
    </w:p>
    <w:p>
      <w:pPr>
        <w:spacing w:before="191" w:line="185" w:lineRule="auto"/>
        <w:ind w:firstLine="3380"/>
        <w:rPr>
          <w:rFonts w:ascii="宋体" w:hAnsi="宋体" w:cs="宋体"/>
          <w:sz w:val="28"/>
          <w:szCs w:val="28"/>
        </w:rPr>
      </w:pPr>
      <w:r>
        <w:rPr>
          <w:rFonts w:ascii="宋体" w:hAnsi="宋体" w:cs="宋体"/>
          <w:spacing w:val="-2"/>
          <w:sz w:val="28"/>
          <w:szCs w:val="28"/>
        </w:rPr>
        <w:t>（适用于货物类项目）</w:t>
      </w:r>
    </w:p>
    <w:p>
      <w:pPr>
        <w:spacing w:before="199"/>
        <w:ind w:firstLine="31"/>
        <w:rPr>
          <w:rFonts w:ascii="宋体" w:hAnsi="宋体" w:cs="宋体"/>
          <w:sz w:val="28"/>
          <w:szCs w:val="28"/>
        </w:rPr>
      </w:pPr>
      <w:r>
        <w:rPr>
          <w:rFonts w:ascii="宋体" w:hAnsi="宋体" w:cs="宋体"/>
          <w:spacing w:val="-3"/>
          <w:sz w:val="28"/>
          <w:szCs w:val="28"/>
        </w:rPr>
        <w:t>阳新县中心：</w:t>
      </w:r>
    </w:p>
    <w:p>
      <w:pPr>
        <w:spacing w:before="296"/>
        <w:ind w:firstLine="450"/>
        <w:rPr>
          <w:rFonts w:ascii="宋体" w:hAnsi="宋体" w:cs="宋体"/>
          <w:sz w:val="22"/>
        </w:rPr>
      </w:pPr>
      <w:r>
        <w:rPr>
          <w:rFonts w:ascii="宋体" w:hAnsi="宋体" w:cs="宋体"/>
          <w:spacing w:val="-12"/>
          <w:sz w:val="22"/>
        </w:rPr>
        <w:t>本公司（联合体）郑重声明，根据《促进中小企业发展管理办法》（财库﹝2020﹞46</w:t>
      </w:r>
    </w:p>
    <w:p>
      <w:pPr>
        <w:spacing w:before="247"/>
        <w:ind w:left="8" w:right="8" w:firstLine="4"/>
        <w:rPr>
          <w:rFonts w:ascii="宋体" w:hAnsi="宋体" w:cs="宋体"/>
          <w:sz w:val="22"/>
        </w:rPr>
      </w:pPr>
      <w:r>
        <w:rPr>
          <w:rFonts w:ascii="宋体" w:hAnsi="宋体" w:cs="宋体"/>
          <w:spacing w:val="-10"/>
          <w:sz w:val="22"/>
        </w:rPr>
        <w:t>号）的规定，本公司（联合体）参加（单位名称）的（项目名称）采购活动，提供的货物全部由符</w:t>
      </w:r>
      <w:r>
        <w:rPr>
          <w:rFonts w:ascii="宋体" w:hAnsi="宋体" w:cs="宋体"/>
          <w:spacing w:val="1"/>
          <w:sz w:val="22"/>
        </w:rPr>
        <w:t>合政策要求的中小企业制造。相关企业（含联合体中的中小企业、签订分包意向协议的中小企业）</w:t>
      </w:r>
    </w:p>
    <w:p>
      <w:pPr>
        <w:ind w:firstLine="26"/>
        <w:rPr>
          <w:rFonts w:ascii="宋体" w:hAnsi="宋体" w:cs="宋体"/>
          <w:sz w:val="22"/>
        </w:rPr>
      </w:pPr>
      <w:r>
        <w:rPr>
          <w:rFonts w:ascii="宋体" w:hAnsi="宋体" w:cs="宋体"/>
          <w:spacing w:val="-4"/>
          <w:sz w:val="22"/>
        </w:rPr>
        <w:t>的具体情况如下：</w:t>
      </w:r>
    </w:p>
    <w:p>
      <w:pPr>
        <w:spacing w:before="224"/>
        <w:ind w:left="7" w:right="7" w:firstLine="452"/>
        <w:rPr>
          <w:rFonts w:ascii="宋体" w:hAnsi="宋体" w:cs="宋体"/>
          <w:sz w:val="22"/>
        </w:rPr>
      </w:pPr>
      <w:r>
        <w:rPr>
          <w:rFonts w:eastAsia="Calibri" w:cs="Calibri"/>
          <w:color w:val="0C0C0C"/>
          <w:spacing w:val="-5"/>
          <w:w w:val="99"/>
          <w:sz w:val="22"/>
        </w:rPr>
        <w:t>1.</w:t>
      </w:r>
      <w:r>
        <w:rPr>
          <w:rFonts w:ascii="宋体" w:hAnsi="宋体" w:cs="宋体"/>
          <w:color w:val="0C0C0C"/>
          <w:spacing w:val="-5"/>
          <w:w w:val="99"/>
          <w:sz w:val="22"/>
          <w:u w:val="single"/>
        </w:rPr>
        <w:t>（标的名称</w:t>
      </w:r>
      <w:r>
        <w:rPr>
          <w:rFonts w:ascii="宋体" w:hAnsi="宋体" w:cs="宋体"/>
          <w:color w:val="0C0C0C"/>
          <w:spacing w:val="-48"/>
          <w:sz w:val="22"/>
          <w:u w:val="single"/>
        </w:rPr>
        <w:t>）</w:t>
      </w:r>
      <w:r>
        <w:rPr>
          <w:rFonts w:ascii="宋体" w:hAnsi="宋体" w:cs="宋体"/>
          <w:color w:val="0C0C0C"/>
          <w:spacing w:val="-48"/>
          <w:sz w:val="22"/>
        </w:rPr>
        <w:t>，</w:t>
      </w:r>
      <w:r>
        <w:rPr>
          <w:rFonts w:ascii="宋体" w:hAnsi="宋体" w:cs="宋体"/>
          <w:color w:val="0C0C0C"/>
          <w:spacing w:val="-5"/>
          <w:w w:val="99"/>
          <w:sz w:val="22"/>
        </w:rPr>
        <w:t>属于</w:t>
      </w:r>
      <w:r>
        <w:rPr>
          <w:rFonts w:ascii="宋体" w:hAnsi="宋体" w:cs="宋体"/>
          <w:color w:val="0C0C0C"/>
          <w:spacing w:val="-5"/>
          <w:w w:val="99"/>
          <w:sz w:val="22"/>
          <w:u w:val="single"/>
        </w:rPr>
        <w:t>（采购文件中明确的所属行业）</w:t>
      </w:r>
      <w:r>
        <w:rPr>
          <w:rFonts w:ascii="宋体" w:hAnsi="宋体" w:cs="宋体"/>
          <w:color w:val="0C0C0C"/>
          <w:spacing w:val="-5"/>
          <w:w w:val="99"/>
          <w:sz w:val="22"/>
        </w:rPr>
        <w:t>行业；承建（承接）企业为</w:t>
      </w:r>
      <w:r>
        <w:rPr>
          <w:rFonts w:ascii="宋体" w:hAnsi="宋体" w:cs="宋体"/>
          <w:color w:val="0C0C0C"/>
          <w:spacing w:val="-5"/>
          <w:w w:val="99"/>
          <w:sz w:val="22"/>
          <w:u w:val="single"/>
        </w:rPr>
        <w:t>（企业</w:t>
      </w:r>
      <w:r>
        <w:rPr>
          <w:rFonts w:ascii="宋体" w:hAnsi="宋体" w:cs="宋体"/>
          <w:color w:val="0C0C0C"/>
          <w:spacing w:val="-3"/>
          <w:sz w:val="22"/>
          <w:u w:val="single"/>
        </w:rPr>
        <w:t>名称</w:t>
      </w:r>
      <w:r>
        <w:rPr>
          <w:rFonts w:ascii="宋体" w:hAnsi="宋体" w:cs="宋体"/>
          <w:color w:val="0C0C0C"/>
          <w:spacing w:val="-64"/>
          <w:sz w:val="22"/>
          <w:u w:val="single"/>
        </w:rPr>
        <w:t>）</w:t>
      </w:r>
      <w:r>
        <w:rPr>
          <w:rFonts w:ascii="宋体" w:hAnsi="宋体" w:cs="宋体"/>
          <w:color w:val="0C0C0C"/>
          <w:spacing w:val="-64"/>
          <w:sz w:val="22"/>
        </w:rPr>
        <w:t>，</w:t>
      </w:r>
      <w:r>
        <w:rPr>
          <w:rFonts w:ascii="宋体" w:hAnsi="宋体" w:cs="宋体"/>
          <w:color w:val="0C0C0C"/>
          <w:spacing w:val="-3"/>
          <w:sz w:val="22"/>
        </w:rPr>
        <w:t>从业人员人，营业收入为万元，资产总额为万元（从业人员、营业收</w:t>
      </w:r>
      <w:r>
        <w:rPr>
          <w:rFonts w:ascii="宋体" w:hAnsi="宋体" w:cs="宋体"/>
          <w:color w:val="0C0C0C"/>
          <w:spacing w:val="1"/>
          <w:sz w:val="22"/>
        </w:rPr>
        <w:t>入、资产总额填报上一年度数据，无上一年度数据的新成立企业可不填报</w:t>
      </w:r>
      <w:r>
        <w:rPr>
          <w:rFonts w:ascii="宋体" w:hAnsi="宋体" w:cs="宋体"/>
          <w:color w:val="0C0C0C"/>
          <w:spacing w:val="-66"/>
          <w:sz w:val="22"/>
        </w:rPr>
        <w:t>），</w:t>
      </w:r>
      <w:r>
        <w:rPr>
          <w:rFonts w:ascii="宋体" w:hAnsi="宋体" w:cs="宋体"/>
          <w:color w:val="0C0C0C"/>
          <w:spacing w:val="1"/>
          <w:sz w:val="22"/>
        </w:rPr>
        <w:t>属于</w:t>
      </w:r>
      <w:r>
        <w:rPr>
          <w:rFonts w:ascii="宋体" w:hAnsi="宋体" w:cs="宋体"/>
          <w:color w:val="0C0C0C"/>
          <w:spacing w:val="1"/>
          <w:sz w:val="22"/>
          <w:u w:val="single"/>
        </w:rPr>
        <w:t>（中型企业、</w:t>
      </w:r>
    </w:p>
    <w:p>
      <w:pPr>
        <w:ind w:firstLine="13"/>
        <w:rPr>
          <w:rFonts w:ascii="宋体" w:hAnsi="宋体" w:cs="宋体"/>
          <w:sz w:val="22"/>
        </w:rPr>
      </w:pPr>
      <w:r>
        <w:rPr>
          <w:rFonts w:ascii="宋体" w:hAnsi="宋体" w:cs="宋体"/>
          <w:color w:val="0C0C0C"/>
          <w:spacing w:val="-1"/>
          <w:sz w:val="22"/>
          <w:u w:val="single"/>
        </w:rPr>
        <w:t>小型企业、微型企业</w:t>
      </w:r>
      <w:r>
        <w:rPr>
          <w:rFonts w:ascii="宋体" w:hAnsi="宋体" w:cs="宋体"/>
          <w:color w:val="0C0C0C"/>
          <w:spacing w:val="-62"/>
          <w:sz w:val="22"/>
          <w:u w:val="single"/>
        </w:rPr>
        <w:t>）</w:t>
      </w:r>
      <w:r>
        <w:rPr>
          <w:rFonts w:ascii="宋体" w:hAnsi="宋体" w:cs="宋体"/>
          <w:color w:val="0C0C0C"/>
          <w:spacing w:val="-62"/>
          <w:sz w:val="22"/>
        </w:rPr>
        <w:t>；</w:t>
      </w:r>
    </w:p>
    <w:p>
      <w:pPr>
        <w:spacing w:before="223"/>
        <w:ind w:left="7" w:right="7" w:firstLine="446"/>
        <w:rPr>
          <w:rFonts w:ascii="宋体" w:hAnsi="宋体" w:cs="宋体"/>
          <w:sz w:val="22"/>
        </w:rPr>
      </w:pPr>
      <w:r>
        <w:rPr>
          <w:rFonts w:eastAsia="Calibri" w:cs="Calibri"/>
          <w:color w:val="0C0C0C"/>
          <w:spacing w:val="-5"/>
          <w:w w:val="99"/>
          <w:sz w:val="22"/>
        </w:rPr>
        <w:t>2.</w:t>
      </w:r>
      <w:r>
        <w:rPr>
          <w:rFonts w:ascii="宋体" w:hAnsi="宋体" w:cs="宋体"/>
          <w:color w:val="0C0C0C"/>
          <w:spacing w:val="-5"/>
          <w:w w:val="99"/>
          <w:sz w:val="22"/>
          <w:u w:val="single"/>
        </w:rPr>
        <w:t>（标的名称</w:t>
      </w:r>
      <w:r>
        <w:rPr>
          <w:rFonts w:ascii="宋体" w:hAnsi="宋体" w:cs="宋体"/>
          <w:color w:val="0C0C0C"/>
          <w:spacing w:val="-45"/>
          <w:sz w:val="22"/>
          <w:u w:val="single"/>
        </w:rPr>
        <w:t>）</w:t>
      </w:r>
      <w:r>
        <w:rPr>
          <w:rFonts w:ascii="宋体" w:hAnsi="宋体" w:cs="宋体"/>
          <w:color w:val="0C0C0C"/>
          <w:spacing w:val="-45"/>
          <w:sz w:val="22"/>
        </w:rPr>
        <w:t>，</w:t>
      </w:r>
      <w:r>
        <w:rPr>
          <w:rFonts w:ascii="宋体" w:hAnsi="宋体" w:cs="宋体"/>
          <w:color w:val="0C0C0C"/>
          <w:spacing w:val="-5"/>
          <w:w w:val="99"/>
          <w:sz w:val="22"/>
        </w:rPr>
        <w:t>属于</w:t>
      </w:r>
      <w:r>
        <w:rPr>
          <w:rFonts w:ascii="宋体" w:hAnsi="宋体" w:cs="宋体"/>
          <w:color w:val="0C0C0C"/>
          <w:spacing w:val="-5"/>
          <w:w w:val="99"/>
          <w:sz w:val="22"/>
          <w:u w:val="single"/>
        </w:rPr>
        <w:t>（采购文件中明确的所属行业）</w:t>
      </w:r>
      <w:r>
        <w:rPr>
          <w:rFonts w:ascii="宋体" w:hAnsi="宋体" w:cs="宋体"/>
          <w:color w:val="0C0C0C"/>
          <w:spacing w:val="-5"/>
          <w:w w:val="99"/>
          <w:sz w:val="22"/>
        </w:rPr>
        <w:t>行业；承建（承接）企业为</w:t>
      </w:r>
      <w:r>
        <w:rPr>
          <w:rFonts w:ascii="宋体" w:hAnsi="宋体" w:cs="宋体"/>
          <w:color w:val="0C0C0C"/>
          <w:spacing w:val="-5"/>
          <w:w w:val="99"/>
          <w:sz w:val="22"/>
          <w:u w:val="single"/>
        </w:rPr>
        <w:t>（企业</w:t>
      </w:r>
      <w:r>
        <w:rPr>
          <w:rFonts w:ascii="宋体" w:hAnsi="宋体" w:cs="宋体"/>
          <w:color w:val="0C0C0C"/>
          <w:spacing w:val="-3"/>
          <w:sz w:val="22"/>
          <w:u w:val="single"/>
        </w:rPr>
        <w:t>名称</w:t>
      </w:r>
      <w:r>
        <w:rPr>
          <w:rFonts w:ascii="宋体" w:hAnsi="宋体" w:cs="宋体"/>
          <w:color w:val="0C0C0C"/>
          <w:spacing w:val="-64"/>
          <w:sz w:val="22"/>
          <w:u w:val="single"/>
        </w:rPr>
        <w:t>）</w:t>
      </w:r>
      <w:r>
        <w:rPr>
          <w:rFonts w:ascii="宋体" w:hAnsi="宋体" w:cs="宋体"/>
          <w:color w:val="0C0C0C"/>
          <w:spacing w:val="-64"/>
          <w:sz w:val="22"/>
        </w:rPr>
        <w:t>，</w:t>
      </w:r>
      <w:r>
        <w:rPr>
          <w:rFonts w:ascii="宋体" w:hAnsi="宋体" w:cs="宋体"/>
          <w:color w:val="0C0C0C"/>
          <w:spacing w:val="-3"/>
          <w:sz w:val="22"/>
        </w:rPr>
        <w:t>从业人员人，营业收入为万元，资产总额为万元（从业人员、营业收</w:t>
      </w:r>
      <w:r>
        <w:rPr>
          <w:rFonts w:ascii="宋体" w:hAnsi="宋体" w:cs="宋体"/>
          <w:color w:val="0C0C0C"/>
          <w:spacing w:val="1"/>
          <w:sz w:val="22"/>
        </w:rPr>
        <w:t>入、资产总额填报上一年度数据，无上一年度数据的新成立企业可不填报</w:t>
      </w:r>
      <w:r>
        <w:rPr>
          <w:rFonts w:ascii="宋体" w:hAnsi="宋体" w:cs="宋体"/>
          <w:color w:val="0C0C0C"/>
          <w:spacing w:val="-66"/>
          <w:sz w:val="22"/>
        </w:rPr>
        <w:t>），</w:t>
      </w:r>
      <w:r>
        <w:rPr>
          <w:rFonts w:ascii="宋体" w:hAnsi="宋体" w:cs="宋体"/>
          <w:color w:val="0C0C0C"/>
          <w:spacing w:val="1"/>
          <w:sz w:val="22"/>
        </w:rPr>
        <w:t>属于</w:t>
      </w:r>
      <w:r>
        <w:rPr>
          <w:rFonts w:ascii="宋体" w:hAnsi="宋体" w:cs="宋体"/>
          <w:color w:val="0C0C0C"/>
          <w:spacing w:val="1"/>
          <w:sz w:val="22"/>
          <w:u w:val="single"/>
        </w:rPr>
        <w:t>（中型企业、</w:t>
      </w:r>
      <w:r>
        <w:rPr>
          <w:rFonts w:ascii="宋体" w:hAnsi="宋体" w:cs="宋体"/>
          <w:color w:val="0C0C0C"/>
          <w:sz w:val="22"/>
          <w:u w:val="single"/>
        </w:rPr>
        <w:t>小型企业、微型企业</w:t>
      </w:r>
      <w:r>
        <w:rPr>
          <w:rFonts w:ascii="宋体" w:hAnsi="宋体" w:cs="宋体"/>
          <w:color w:val="0C0C0C"/>
          <w:spacing w:val="-63"/>
          <w:sz w:val="22"/>
          <w:u w:val="single"/>
        </w:rPr>
        <w:t>）</w:t>
      </w:r>
      <w:r>
        <w:rPr>
          <w:rFonts w:ascii="宋体" w:hAnsi="宋体" w:cs="宋体"/>
          <w:color w:val="0C0C0C"/>
          <w:spacing w:val="-63"/>
          <w:sz w:val="22"/>
        </w:rPr>
        <w:t>；</w:t>
      </w:r>
    </w:p>
    <w:p>
      <w:pPr>
        <w:spacing w:before="92"/>
        <w:ind w:firstLine="463"/>
        <w:rPr>
          <w:rFonts w:ascii="宋体" w:hAnsi="宋体" w:cs="宋体"/>
          <w:sz w:val="22"/>
        </w:rPr>
      </w:pPr>
      <w:r>
        <w:rPr>
          <w:rFonts w:ascii="宋体" w:hAnsi="宋体" w:cs="宋体"/>
          <w:spacing w:val="-11"/>
          <w:sz w:val="22"/>
        </w:rPr>
        <w:t>……</w:t>
      </w:r>
    </w:p>
    <w:p>
      <w:pPr>
        <w:spacing w:before="220"/>
        <w:ind w:left="16" w:right="8" w:firstLine="457"/>
        <w:rPr>
          <w:rFonts w:ascii="宋体" w:hAnsi="宋体" w:cs="宋体"/>
          <w:sz w:val="22"/>
        </w:rPr>
      </w:pPr>
      <w:r>
        <w:rPr>
          <w:rFonts w:ascii="宋体" w:hAnsi="宋体" w:cs="宋体"/>
          <w:sz w:val="22"/>
        </w:rPr>
        <w:t>以上企业，不属于大企业的分支机构，不存在控股股东为大企业的情形，也不存在与大企业的</w:t>
      </w:r>
      <w:r>
        <w:rPr>
          <w:rFonts w:ascii="宋体" w:hAnsi="宋体" w:cs="宋体"/>
          <w:spacing w:val="-2"/>
          <w:sz w:val="22"/>
        </w:rPr>
        <w:t>负责人为同一人的情形。</w:t>
      </w:r>
    </w:p>
    <w:p>
      <w:pPr>
        <w:spacing w:before="1"/>
        <w:ind w:firstLine="450"/>
        <w:rPr>
          <w:rFonts w:ascii="Arial"/>
        </w:rPr>
      </w:pPr>
      <w:r>
        <w:rPr>
          <w:rFonts w:ascii="宋体" w:hAnsi="宋体" w:cs="宋体"/>
          <w:spacing w:val="-1"/>
          <w:sz w:val="22"/>
        </w:rPr>
        <w:t>本企业对上述声明内容的真实性负责。如有虚假，将依法承担相应责任。</w:t>
      </w:r>
    </w:p>
    <w:p>
      <w:pPr>
        <w:spacing w:before="72"/>
        <w:ind w:firstLine="452"/>
        <w:rPr>
          <w:rFonts w:ascii="Arial"/>
        </w:rPr>
      </w:pPr>
      <w:r>
        <w:rPr>
          <w:rFonts w:ascii="宋体" w:hAnsi="宋体" w:cs="宋体"/>
          <w:spacing w:val="-7"/>
          <w:sz w:val="22"/>
        </w:rPr>
        <w:t>说明：以联合体方式参与项目投标的供应商，应由联合体各方盖章。</w:t>
      </w:r>
    </w:p>
    <w:p>
      <w:pPr>
        <w:spacing w:line="320" w:lineRule="auto"/>
        <w:rPr>
          <w:rFonts w:ascii="Arial"/>
        </w:rPr>
      </w:pPr>
    </w:p>
    <w:p>
      <w:pPr>
        <w:spacing w:line="204" w:lineRule="auto"/>
        <w:ind w:firstLine="4466"/>
        <w:rPr>
          <w:rFonts w:ascii="宋体" w:hAnsi="宋体" w:cs="宋体"/>
          <w:spacing w:val="-61"/>
          <w:position w:val="18"/>
          <w:sz w:val="22"/>
        </w:rPr>
      </w:pPr>
      <w:r>
        <w:rPr>
          <w:rFonts w:ascii="宋体" w:hAnsi="宋体" w:cs="宋体"/>
          <w:spacing w:val="3"/>
          <w:position w:val="18"/>
          <w:sz w:val="22"/>
        </w:rPr>
        <w:t>投标人（公章</w:t>
      </w:r>
      <w:r>
        <w:rPr>
          <w:rFonts w:ascii="宋体" w:hAnsi="宋体" w:cs="宋体"/>
          <w:spacing w:val="-61"/>
          <w:position w:val="18"/>
          <w:sz w:val="22"/>
        </w:rPr>
        <w:t>）：</w:t>
      </w:r>
    </w:p>
    <w:p>
      <w:pPr>
        <w:spacing w:line="204" w:lineRule="auto"/>
        <w:ind w:firstLine="4466"/>
        <w:rPr>
          <w:rFonts w:ascii="宋体" w:hAnsi="宋体" w:cs="宋体"/>
          <w:sz w:val="22"/>
        </w:rPr>
      </w:pPr>
      <w:r>
        <w:rPr>
          <w:rFonts w:ascii="宋体" w:hAnsi="宋体" w:cs="宋体"/>
          <w:spacing w:val="-19"/>
          <w:sz w:val="22"/>
        </w:rPr>
        <w:t>日期：</w:t>
      </w:r>
    </w:p>
    <w:p>
      <w:pPr>
        <w:spacing w:before="72" w:line="468" w:lineRule="exact"/>
        <w:ind w:firstLine="4431"/>
        <w:rPr>
          <w:rFonts w:ascii="宋体" w:hAnsi="宋体" w:cs="宋体"/>
          <w:sz w:val="22"/>
        </w:rPr>
      </w:pPr>
    </w:p>
    <w:p>
      <w:pPr>
        <w:spacing w:before="79" w:line="272" w:lineRule="auto"/>
        <w:ind w:left="849" w:right="17" w:hanging="841"/>
        <w:rPr>
          <w:rFonts w:ascii="宋体" w:hAnsi="宋体" w:cs="宋体"/>
          <w:sz w:val="24"/>
          <w:szCs w:val="24"/>
        </w:rPr>
      </w:pPr>
      <w:r>
        <w:rPr>
          <w:rFonts w:ascii="宋体" w:hAnsi="宋体" w:cs="宋体"/>
          <w:spacing w:val="-5"/>
          <w:sz w:val="24"/>
          <w:szCs w:val="24"/>
        </w:rPr>
        <w:t>注：1、从业人员、营业收入、资产总额填报上一年度数据，无上一年度数据的新成立企业</w:t>
      </w:r>
      <w:r>
        <w:rPr>
          <w:rFonts w:ascii="宋体" w:hAnsi="宋体" w:cs="宋体"/>
          <w:spacing w:val="-2"/>
          <w:sz w:val="24"/>
          <w:szCs w:val="24"/>
        </w:rPr>
        <w:t>可不填报。</w:t>
      </w:r>
    </w:p>
    <w:p>
      <w:pPr>
        <w:spacing w:before="228" w:line="184" w:lineRule="auto"/>
        <w:ind w:firstLine="537"/>
        <w:rPr>
          <w:rFonts w:ascii="宋体" w:hAnsi="宋体" w:cs="宋体"/>
          <w:sz w:val="24"/>
          <w:szCs w:val="24"/>
        </w:rPr>
      </w:pPr>
      <w:r>
        <w:rPr>
          <w:rFonts w:ascii="宋体" w:hAnsi="宋体" w:cs="宋体"/>
          <w:spacing w:val="-1"/>
          <w:sz w:val="24"/>
          <w:szCs w:val="24"/>
        </w:rPr>
        <w:t>2、本项目不接受联合体投标。</w:t>
      </w:r>
    </w:p>
    <w:p>
      <w:r>
        <w:br w:type="page"/>
      </w:r>
    </w:p>
    <w:p>
      <w:pPr>
        <w:pStyle w:val="4"/>
        <w:numPr>
          <w:ilvl w:val="0"/>
          <w:numId w:val="61"/>
        </w:numPr>
        <w:spacing w:before="100" w:beforeAutospacing="1" w:afterLines="50" w:line="360" w:lineRule="auto"/>
        <w:ind w:left="1288" w:hanging="1288"/>
        <w:rPr>
          <w:rFonts w:ascii="宋体"/>
        </w:rPr>
      </w:pPr>
      <w:bookmarkStart w:id="132" w:name="_Toc494665556"/>
      <w:bookmarkStart w:id="133" w:name="_Toc106268630"/>
      <w:bookmarkStart w:id="134" w:name="_Toc494721103"/>
      <w:bookmarkStart w:id="135" w:name="_Toc494745320"/>
      <w:bookmarkStart w:id="136" w:name="_Toc456264006"/>
      <w:bookmarkStart w:id="137" w:name="_Toc494702273"/>
      <w:bookmarkStart w:id="138" w:name="_Toc494665953"/>
      <w:bookmarkStart w:id="139" w:name="_Toc494665003"/>
      <w:r>
        <w:rPr>
          <w:rFonts w:hint="eastAsia" w:ascii="宋体" w:hAnsi="宋体"/>
        </w:rPr>
        <w:t>中小企业声明函</w:t>
      </w:r>
      <w:bookmarkEnd w:id="132"/>
      <w:bookmarkEnd w:id="133"/>
      <w:bookmarkEnd w:id="134"/>
      <w:bookmarkEnd w:id="135"/>
      <w:bookmarkEnd w:id="136"/>
      <w:bookmarkEnd w:id="137"/>
      <w:bookmarkEnd w:id="138"/>
      <w:bookmarkEnd w:id="139"/>
    </w:p>
    <w:p>
      <w:pPr>
        <w:adjustRightInd w:val="0"/>
        <w:snapToGrid w:val="0"/>
        <w:jc w:val="center"/>
        <w:rPr>
          <w:rFonts w:ascii="宋体"/>
          <w:b/>
          <w:sz w:val="30"/>
          <w:szCs w:val="30"/>
          <w:lang w:val="zh-CN"/>
        </w:rPr>
      </w:pPr>
      <w:r>
        <w:rPr>
          <w:rFonts w:hint="eastAsia" w:ascii="宋体" w:hAnsi="宋体"/>
          <w:b/>
          <w:sz w:val="30"/>
          <w:szCs w:val="30"/>
          <w:lang w:val="zh-CN"/>
        </w:rPr>
        <w:t>中小企业声明函</w:t>
      </w:r>
    </w:p>
    <w:p>
      <w:pPr>
        <w:adjustRightInd w:val="0"/>
        <w:snapToGrid w:val="0"/>
        <w:spacing w:beforeLines="50" w:afterLines="50"/>
        <w:jc w:val="center"/>
        <w:rPr>
          <w:rFonts w:ascii="宋体" w:hAnsi="Courier New"/>
          <w:sz w:val="24"/>
          <w:szCs w:val="21"/>
          <w:lang w:val="zh-CN"/>
        </w:rPr>
      </w:pPr>
      <w:r>
        <w:rPr>
          <w:rFonts w:hint="eastAsia" w:ascii="宋体" w:hAnsi="Courier New"/>
          <w:sz w:val="24"/>
          <w:szCs w:val="21"/>
          <w:lang w:val="zh-CN"/>
        </w:rPr>
        <w:t>（适用于工程类、服务类项目）</w:t>
      </w:r>
    </w:p>
    <w:p>
      <w:pPr>
        <w:spacing w:line="360" w:lineRule="auto"/>
        <w:rPr>
          <w:b/>
          <w:sz w:val="28"/>
          <w:szCs w:val="28"/>
        </w:rPr>
      </w:pPr>
      <w:r>
        <w:rPr>
          <w:rFonts w:hint="eastAsia"/>
          <w:b/>
          <w:sz w:val="28"/>
          <w:szCs w:val="28"/>
        </w:rPr>
        <w:t>采购人</w:t>
      </w:r>
      <w:r>
        <w:rPr>
          <w:rFonts w:hint="eastAsia"/>
          <w:b/>
          <w:color w:val="FF0000"/>
          <w:sz w:val="28"/>
          <w:szCs w:val="28"/>
        </w:rPr>
        <w:t>（或采购代理公司）</w:t>
      </w:r>
      <w:r>
        <w:rPr>
          <w:rFonts w:hint="eastAsia"/>
          <w:b/>
          <w:sz w:val="28"/>
          <w:szCs w:val="28"/>
        </w:rPr>
        <w:t>：</w:t>
      </w:r>
    </w:p>
    <w:p>
      <w:pPr>
        <w:spacing w:line="360" w:lineRule="auto"/>
        <w:ind w:firstLine="475" w:firstLineChars="198"/>
        <w:jc w:val="left"/>
        <w:rPr>
          <w:rFonts w:ascii="宋体"/>
          <w:color w:val="0D0D0D"/>
          <w:sz w:val="24"/>
          <w:szCs w:val="21"/>
          <w:lang w:val="zh-CN"/>
        </w:rPr>
      </w:pPr>
      <w:r>
        <w:rPr>
          <w:rFonts w:hint="eastAsia" w:ascii="宋体" w:hAnsi="宋体"/>
          <w:sz w:val="24"/>
          <w:szCs w:val="21"/>
          <w:lang w:val="zh-CN"/>
        </w:rPr>
        <w:t>本公司郑重声明，根据《</w:t>
      </w:r>
      <w:r>
        <w:rPr>
          <w:rFonts w:hint="eastAsia" w:ascii="宋体" w:hAnsi="宋体"/>
          <w:color w:val="0D0D0D"/>
          <w:sz w:val="24"/>
          <w:szCs w:val="21"/>
          <w:lang w:val="zh-CN"/>
        </w:rPr>
        <w:t>促进中小企业发展暂行办法》（财库〔</w:t>
      </w:r>
      <w:r>
        <w:rPr>
          <w:rFonts w:ascii="宋体" w:hAnsi="宋体"/>
          <w:color w:val="0D0D0D"/>
          <w:sz w:val="24"/>
          <w:szCs w:val="21"/>
          <w:lang w:val="zh-CN"/>
        </w:rPr>
        <w:t>2011</w:t>
      </w:r>
      <w:r>
        <w:rPr>
          <w:rFonts w:hint="eastAsia" w:ascii="宋体" w:hAnsi="宋体"/>
          <w:color w:val="0D0D0D"/>
          <w:sz w:val="24"/>
          <w:szCs w:val="21"/>
          <w:lang w:val="zh-CN"/>
        </w:rPr>
        <w:t>〕</w:t>
      </w:r>
      <w:r>
        <w:rPr>
          <w:rFonts w:ascii="宋体" w:hAnsi="宋体"/>
          <w:color w:val="0D0D0D"/>
          <w:sz w:val="24"/>
          <w:szCs w:val="21"/>
          <w:lang w:val="zh-CN"/>
        </w:rPr>
        <w:t>181</w:t>
      </w:r>
      <w:r>
        <w:rPr>
          <w:rFonts w:hint="eastAsia" w:ascii="宋体" w:hAnsi="宋体"/>
          <w:color w:val="0D0D0D"/>
          <w:sz w:val="24"/>
          <w:szCs w:val="21"/>
          <w:lang w:val="zh-CN"/>
        </w:rPr>
        <w:t>号）的规定，本公司为</w:t>
      </w:r>
      <w:r>
        <w:rPr>
          <w:rFonts w:ascii="宋体" w:hAnsi="宋体"/>
          <w:color w:val="0D0D0D"/>
          <w:sz w:val="24"/>
          <w:szCs w:val="21"/>
          <w:lang w:val="zh-CN"/>
        </w:rPr>
        <w:t>______</w:t>
      </w:r>
      <w:r>
        <w:rPr>
          <w:rFonts w:hint="eastAsia" w:ascii="宋体" w:hAnsi="宋体"/>
          <w:color w:val="0D0D0D"/>
          <w:sz w:val="24"/>
          <w:szCs w:val="21"/>
          <w:lang w:val="zh-CN"/>
        </w:rPr>
        <w:t>（请填写：中型、小型、微型）企业。本公司同时满足以下条件：</w:t>
      </w:r>
    </w:p>
    <w:p>
      <w:pPr>
        <w:spacing w:line="360" w:lineRule="auto"/>
        <w:ind w:firstLine="475" w:firstLineChars="198"/>
        <w:jc w:val="left"/>
        <w:rPr>
          <w:rFonts w:ascii="宋体"/>
          <w:color w:val="0D0D0D"/>
          <w:sz w:val="24"/>
          <w:szCs w:val="21"/>
          <w:lang w:val="zh-CN"/>
        </w:rPr>
      </w:pPr>
      <w:r>
        <w:rPr>
          <w:rFonts w:ascii="宋体" w:hAnsi="宋体"/>
          <w:color w:val="0D0D0D"/>
          <w:sz w:val="24"/>
          <w:szCs w:val="21"/>
          <w:lang w:val="zh-CN"/>
        </w:rPr>
        <w:t>1.</w:t>
      </w:r>
      <w:r>
        <w:rPr>
          <w:rFonts w:hint="eastAsia" w:ascii="宋体" w:hAnsi="宋体"/>
          <w:color w:val="0D0D0D"/>
          <w:sz w:val="24"/>
          <w:szCs w:val="21"/>
          <w:lang w:val="zh-CN"/>
        </w:rPr>
        <w:t>根据《工业和信息化部、国家统计局、国家发展和改革委员会、财政部关于印发中小企业划型标准规定的通知》（工信部联企业〔</w:t>
      </w:r>
      <w:r>
        <w:rPr>
          <w:rFonts w:ascii="宋体" w:hAnsi="宋体"/>
          <w:color w:val="0D0D0D"/>
          <w:sz w:val="24"/>
          <w:szCs w:val="21"/>
          <w:lang w:val="zh-CN"/>
        </w:rPr>
        <w:t>2011</w:t>
      </w:r>
      <w:r>
        <w:rPr>
          <w:rFonts w:hint="eastAsia" w:ascii="宋体" w:hAnsi="宋体"/>
          <w:color w:val="0D0D0D"/>
          <w:sz w:val="24"/>
          <w:szCs w:val="21"/>
          <w:lang w:val="zh-CN"/>
        </w:rPr>
        <w:t>〕</w:t>
      </w:r>
      <w:r>
        <w:rPr>
          <w:rFonts w:ascii="宋体" w:hAnsi="宋体"/>
          <w:color w:val="0D0D0D"/>
          <w:sz w:val="24"/>
          <w:szCs w:val="21"/>
          <w:lang w:val="zh-CN"/>
        </w:rPr>
        <w:t>300</w:t>
      </w:r>
      <w:r>
        <w:rPr>
          <w:rFonts w:hint="eastAsia" w:ascii="宋体" w:hAnsi="宋体"/>
          <w:color w:val="0D0D0D"/>
          <w:sz w:val="24"/>
          <w:szCs w:val="21"/>
          <w:lang w:val="zh-CN"/>
        </w:rPr>
        <w:t>号）规定的划分标准</w:t>
      </w:r>
      <w:r>
        <w:rPr>
          <w:rFonts w:hint="eastAsia" w:hAnsi="宋体"/>
          <w:color w:val="0D0D0D"/>
          <w:sz w:val="24"/>
        </w:rPr>
        <w:t>（详见《中小企业划型标准》）</w:t>
      </w:r>
      <w:r>
        <w:rPr>
          <w:rFonts w:hint="eastAsia" w:ascii="宋体" w:hAnsi="宋体"/>
          <w:color w:val="0D0D0D"/>
          <w:sz w:val="24"/>
          <w:szCs w:val="21"/>
          <w:lang w:val="zh-CN"/>
        </w:rPr>
        <w:t>，本公司为</w:t>
      </w:r>
      <w:r>
        <w:rPr>
          <w:rFonts w:ascii="宋体" w:hAnsi="宋体"/>
          <w:color w:val="0D0D0D"/>
          <w:sz w:val="24"/>
          <w:szCs w:val="21"/>
          <w:lang w:val="zh-CN"/>
        </w:rPr>
        <w:t>______</w:t>
      </w:r>
      <w:r>
        <w:rPr>
          <w:rFonts w:hint="eastAsia" w:ascii="宋体" w:hAnsi="宋体"/>
          <w:color w:val="0D0D0D"/>
          <w:sz w:val="24"/>
          <w:szCs w:val="21"/>
          <w:lang w:val="zh-CN"/>
        </w:rPr>
        <w:t>（请填写：中型、小型、微型）企业。</w:t>
      </w:r>
    </w:p>
    <w:p>
      <w:pPr>
        <w:spacing w:line="360" w:lineRule="auto"/>
        <w:ind w:firstLine="475" w:firstLineChars="198"/>
        <w:jc w:val="left"/>
        <w:rPr>
          <w:rFonts w:ascii="宋体"/>
          <w:sz w:val="24"/>
          <w:szCs w:val="21"/>
          <w:lang w:val="zh-CN"/>
        </w:rPr>
      </w:pPr>
      <w:r>
        <w:rPr>
          <w:rFonts w:ascii="宋体" w:hAnsi="宋体"/>
          <w:color w:val="0D0D0D"/>
          <w:sz w:val="24"/>
          <w:szCs w:val="21"/>
          <w:lang w:val="zh-CN"/>
        </w:rPr>
        <w:t>2.</w:t>
      </w:r>
      <w:r>
        <w:rPr>
          <w:rFonts w:hint="eastAsia" w:ascii="宋体" w:hAnsi="宋体"/>
          <w:color w:val="0D0D0D"/>
          <w:sz w:val="24"/>
          <w:szCs w:val="21"/>
          <w:lang w:val="zh-CN"/>
        </w:rPr>
        <w:t>本公司参加</w:t>
      </w:r>
      <w:r>
        <w:rPr>
          <w:rFonts w:ascii="宋体" w:hAnsi="宋体"/>
          <w:color w:val="0D0D0D"/>
          <w:sz w:val="24"/>
          <w:szCs w:val="21"/>
          <w:lang w:val="zh-CN"/>
        </w:rPr>
        <w:t>_</w:t>
      </w:r>
      <w:r>
        <w:rPr>
          <w:rFonts w:ascii="宋体" w:hAnsi="宋体"/>
          <w:color w:val="0D0D0D"/>
          <w:sz w:val="24"/>
          <w:szCs w:val="21"/>
          <w:u w:val="single"/>
          <w:lang w:val="zh-CN"/>
        </w:rPr>
        <w:t>_</w:t>
      </w:r>
      <w:r>
        <w:rPr>
          <w:rFonts w:hint="eastAsia" w:ascii="宋体" w:hAnsi="宋体"/>
          <w:color w:val="0D0D0D"/>
          <w:sz w:val="24"/>
          <w:szCs w:val="21"/>
          <w:u w:val="single"/>
          <w:lang w:val="zh-CN"/>
        </w:rPr>
        <w:t>（采购人）</w:t>
      </w:r>
      <w:r>
        <w:rPr>
          <w:rFonts w:hint="eastAsia" w:ascii="宋体" w:hAnsi="宋体"/>
          <w:color w:val="0D0D0D"/>
          <w:sz w:val="24"/>
          <w:szCs w:val="21"/>
          <w:lang w:val="zh-CN"/>
        </w:rPr>
        <w:t>的</w:t>
      </w:r>
      <w:r>
        <w:rPr>
          <w:rFonts w:ascii="宋体" w:hAnsi="宋体"/>
          <w:color w:val="0D0D0D"/>
          <w:sz w:val="24"/>
          <w:szCs w:val="21"/>
          <w:lang w:val="zh-CN"/>
        </w:rPr>
        <w:t>__</w:t>
      </w:r>
      <w:r>
        <w:rPr>
          <w:rFonts w:ascii="宋体" w:hAnsi="宋体"/>
          <w:color w:val="0D0D0D"/>
          <w:sz w:val="24"/>
          <w:szCs w:val="21"/>
          <w:u w:val="single"/>
          <w:lang w:val="zh-CN"/>
        </w:rPr>
        <w:t>__</w:t>
      </w:r>
      <w:r>
        <w:rPr>
          <w:rFonts w:hint="eastAsia" w:ascii="宋体" w:hAnsi="宋体"/>
          <w:color w:val="0D0D0D"/>
          <w:sz w:val="24"/>
          <w:szCs w:val="21"/>
          <w:lang w:val="zh-CN"/>
        </w:rPr>
        <w:t>项目（项目编号：</w:t>
      </w:r>
      <w:r>
        <w:rPr>
          <w:rFonts w:ascii="宋体" w:hAnsi="宋体"/>
          <w:color w:val="0D0D0D"/>
          <w:sz w:val="24"/>
          <w:szCs w:val="21"/>
          <w:lang w:val="zh-CN"/>
        </w:rPr>
        <w:t>_____</w:t>
      </w:r>
      <w:r>
        <w:rPr>
          <w:rFonts w:ascii="宋体" w:hAnsi="宋体"/>
          <w:sz w:val="24"/>
          <w:szCs w:val="21"/>
          <w:lang w:val="zh-CN"/>
        </w:rPr>
        <w:t>_</w:t>
      </w:r>
      <w:r>
        <w:rPr>
          <w:rFonts w:hint="eastAsia" w:ascii="宋体" w:hAnsi="宋体"/>
          <w:sz w:val="24"/>
          <w:szCs w:val="21"/>
          <w:lang w:val="zh-CN"/>
        </w:rPr>
        <w:t>）采购活动由本企业承担工程（或提供服务）。</w:t>
      </w:r>
    </w:p>
    <w:p>
      <w:pPr>
        <w:spacing w:line="360" w:lineRule="auto"/>
        <w:ind w:firstLine="475" w:firstLineChars="198"/>
        <w:jc w:val="left"/>
        <w:rPr>
          <w:rFonts w:ascii="宋体"/>
          <w:sz w:val="24"/>
          <w:szCs w:val="21"/>
          <w:lang w:val="zh-CN"/>
        </w:rPr>
      </w:pPr>
      <w:r>
        <w:rPr>
          <w:rFonts w:hint="eastAsia" w:ascii="宋体" w:hAnsi="宋体"/>
          <w:sz w:val="24"/>
          <w:szCs w:val="21"/>
          <w:lang w:val="zh-CN"/>
        </w:rPr>
        <w:t>本公司对上述声明的真实性负责。如有虚假，将依法承担相应责任。</w:t>
      </w:r>
    </w:p>
    <w:p>
      <w:pPr>
        <w:adjustRightInd w:val="0"/>
        <w:snapToGrid w:val="0"/>
        <w:spacing w:line="360" w:lineRule="auto"/>
        <w:rPr>
          <w:rFonts w:ascii="宋体"/>
          <w:sz w:val="28"/>
          <w:szCs w:val="24"/>
        </w:rPr>
      </w:pPr>
    </w:p>
    <w:p>
      <w:pPr>
        <w:adjustRightInd w:val="0"/>
        <w:snapToGrid w:val="0"/>
        <w:spacing w:line="360" w:lineRule="auto"/>
        <w:rPr>
          <w:rFonts w:ascii="宋体"/>
          <w:sz w:val="28"/>
          <w:szCs w:val="24"/>
        </w:rPr>
      </w:pPr>
    </w:p>
    <w:p>
      <w:pPr>
        <w:spacing w:line="360" w:lineRule="auto"/>
        <w:ind w:left="950" w:hanging="950" w:hangingChars="396"/>
        <w:jc w:val="left"/>
        <w:rPr>
          <w:rFonts w:ascii="宋体"/>
          <w:sz w:val="24"/>
          <w:szCs w:val="21"/>
          <w:lang w:val="zh-CN"/>
        </w:rPr>
      </w:pPr>
      <w:r>
        <w:rPr>
          <w:rFonts w:hint="eastAsia" w:ascii="宋体" w:hAnsi="宋体"/>
          <w:sz w:val="24"/>
          <w:szCs w:val="21"/>
          <w:lang w:val="zh-CN"/>
        </w:rPr>
        <w:t>说明：</w:t>
      </w:r>
      <w:r>
        <w:rPr>
          <w:rFonts w:ascii="宋体" w:hAnsi="宋体"/>
          <w:sz w:val="24"/>
          <w:szCs w:val="21"/>
          <w:lang w:val="zh-CN"/>
        </w:rPr>
        <w:t>1.</w:t>
      </w:r>
      <w:r>
        <w:rPr>
          <w:rFonts w:hint="eastAsia" w:ascii="宋体" w:hAnsi="宋体"/>
          <w:sz w:val="24"/>
          <w:szCs w:val="21"/>
          <w:lang w:val="zh-CN"/>
        </w:rPr>
        <w:t>组成联合体的大中型企业和其他自然人、法人或者其他组织，与小型、微型企业之间不得存在投资关系。</w:t>
      </w:r>
    </w:p>
    <w:p>
      <w:pPr>
        <w:tabs>
          <w:tab w:val="left" w:pos="882"/>
        </w:tabs>
        <w:spacing w:line="360" w:lineRule="auto"/>
        <w:ind w:left="936" w:leftChars="339" w:hanging="225" w:hangingChars="94"/>
        <w:jc w:val="left"/>
        <w:rPr>
          <w:rFonts w:ascii="宋体"/>
          <w:sz w:val="24"/>
          <w:szCs w:val="21"/>
          <w:lang w:val="zh-CN"/>
        </w:rPr>
      </w:pPr>
      <w:r>
        <w:rPr>
          <w:rFonts w:ascii="宋体" w:hAnsi="宋体"/>
          <w:sz w:val="24"/>
          <w:szCs w:val="21"/>
          <w:lang w:val="zh-CN"/>
        </w:rPr>
        <w:t>2.</w:t>
      </w:r>
      <w:r>
        <w:rPr>
          <w:rFonts w:hint="eastAsia" w:ascii="宋体" w:hAnsi="宋体"/>
          <w:sz w:val="24"/>
          <w:szCs w:val="21"/>
          <w:lang w:val="zh-CN"/>
        </w:rPr>
        <w:t>以联合体方式参与本项目投标的供应商，应由联合体双方签字盖章。</w:t>
      </w:r>
    </w:p>
    <w:p>
      <w:pPr>
        <w:spacing w:line="360" w:lineRule="auto"/>
        <w:ind w:firstLine="480" w:firstLineChars="200"/>
        <w:jc w:val="left"/>
        <w:rPr>
          <w:rFonts w:ascii="宋体"/>
          <w:sz w:val="24"/>
          <w:szCs w:val="21"/>
          <w:lang w:val="zh-CN"/>
        </w:rPr>
      </w:pPr>
    </w:p>
    <w:p>
      <w:pPr>
        <w:spacing w:line="360" w:lineRule="auto"/>
        <w:ind w:firstLine="480" w:firstLineChars="200"/>
        <w:jc w:val="left"/>
        <w:rPr>
          <w:rFonts w:ascii="宋体"/>
          <w:sz w:val="24"/>
          <w:szCs w:val="21"/>
          <w:lang w:val="zh-CN"/>
        </w:rPr>
      </w:pPr>
    </w:p>
    <w:p>
      <w:pPr>
        <w:spacing w:line="360" w:lineRule="auto"/>
        <w:ind w:firstLine="480" w:firstLineChars="200"/>
        <w:jc w:val="left"/>
        <w:rPr>
          <w:rFonts w:ascii="宋体"/>
          <w:sz w:val="24"/>
          <w:szCs w:val="21"/>
          <w:lang w:val="zh-CN"/>
        </w:rPr>
      </w:pPr>
    </w:p>
    <w:p>
      <w:pPr>
        <w:spacing w:before="100" w:beforeAutospacing="1" w:after="100" w:afterAutospacing="1" w:line="360" w:lineRule="auto"/>
        <w:ind w:firstLine="3316" w:firstLineChars="1382"/>
        <w:rPr>
          <w:rFonts w:ascii="宋体"/>
          <w:b/>
          <w:bCs/>
          <w:sz w:val="24"/>
          <w:szCs w:val="21"/>
          <w:u w:val="single"/>
          <w:lang w:val="zh-CN"/>
        </w:rPr>
      </w:pPr>
      <w:r>
        <w:rPr>
          <w:rFonts w:hint="eastAsia" w:ascii="宋体" w:hAnsi="宋体"/>
          <w:b/>
          <w:bCs/>
          <w:sz w:val="24"/>
          <w:szCs w:val="21"/>
          <w:lang w:val="zh-CN"/>
        </w:rPr>
        <w:t>投标人（公章）：</w:t>
      </w:r>
    </w:p>
    <w:p>
      <w:pPr>
        <w:spacing w:before="100" w:beforeAutospacing="1" w:after="100" w:afterAutospacing="1" w:line="360" w:lineRule="auto"/>
        <w:ind w:firstLine="3316" w:firstLineChars="1382"/>
        <w:rPr>
          <w:rFonts w:ascii="宋体"/>
          <w:b/>
          <w:bCs/>
          <w:sz w:val="24"/>
          <w:szCs w:val="21"/>
          <w:u w:val="single"/>
          <w:lang w:val="zh-CN"/>
        </w:rPr>
      </w:pPr>
      <w:r>
        <w:rPr>
          <w:rFonts w:hint="eastAsia" w:ascii="宋体" w:hAnsi="宋体"/>
          <w:b/>
          <w:bCs/>
          <w:sz w:val="24"/>
          <w:szCs w:val="21"/>
          <w:lang w:val="zh-CN"/>
        </w:rPr>
        <w:t>投标人授权代表（签字）：</w:t>
      </w:r>
    </w:p>
    <w:p>
      <w:pPr>
        <w:spacing w:before="100" w:beforeAutospacing="1" w:after="100" w:afterAutospacing="1" w:line="360" w:lineRule="auto"/>
        <w:ind w:firstLine="3316" w:firstLineChars="1382"/>
        <w:rPr>
          <w:rFonts w:ascii="宋体"/>
          <w:b/>
          <w:bCs/>
          <w:sz w:val="24"/>
          <w:szCs w:val="21"/>
          <w:u w:val="single"/>
          <w:lang w:val="zh-CN"/>
        </w:rPr>
      </w:pPr>
      <w:r>
        <w:rPr>
          <w:rFonts w:hint="eastAsia" w:ascii="宋体" w:hAnsi="宋体"/>
          <w:b/>
          <w:bCs/>
          <w:sz w:val="24"/>
          <w:szCs w:val="21"/>
          <w:lang w:val="zh-CN"/>
        </w:rPr>
        <w:t>投标时间：</w:t>
      </w:r>
    </w:p>
    <w:p>
      <w:pPr>
        <w:sectPr>
          <w:footerReference r:id="rId5" w:type="default"/>
          <w:pgSz w:w="11906" w:h="16838"/>
          <w:pgMar w:top="1134" w:right="1191" w:bottom="1134" w:left="1191" w:header="851" w:footer="624" w:gutter="0"/>
          <w:cols w:space="425" w:num="1"/>
          <w:docGrid w:type="linesAndChars" w:linePitch="312" w:charSpace="0"/>
        </w:sectPr>
      </w:pPr>
    </w:p>
    <w:p>
      <w:pPr>
        <w:spacing w:line="240" w:lineRule="atLeast"/>
        <w:ind w:left="-48" w:leftChars="-23" w:right="-65" w:rightChars="-31"/>
        <w:jc w:val="center"/>
        <w:rPr>
          <w:rFonts w:ascii="宋体"/>
          <w:b/>
          <w:sz w:val="30"/>
          <w:szCs w:val="30"/>
          <w:lang w:val="zh-CN"/>
        </w:rPr>
      </w:pPr>
      <w:bookmarkStart w:id="140" w:name="_Toc476153619"/>
      <w:r>
        <w:rPr>
          <w:rFonts w:hint="eastAsia" w:ascii="宋体" w:hAnsi="宋体"/>
          <w:b/>
          <w:sz w:val="30"/>
          <w:szCs w:val="30"/>
          <w:lang w:val="zh-CN"/>
        </w:rPr>
        <w:t>中小企业划型标准</w:t>
      </w:r>
      <w:bookmarkEnd w:id="140"/>
    </w:p>
    <w:tbl>
      <w:tblPr>
        <w:tblStyle w:val="28"/>
        <w:tblW w:w="14470" w:type="dxa"/>
        <w:jc w:val="center"/>
        <w:tblLayout w:type="fixed"/>
        <w:tblCellMar>
          <w:top w:w="0" w:type="dxa"/>
          <w:left w:w="108" w:type="dxa"/>
          <w:bottom w:w="0" w:type="dxa"/>
          <w:right w:w="108" w:type="dxa"/>
        </w:tblCellMar>
      </w:tblPr>
      <w:tblGrid>
        <w:gridCol w:w="490"/>
        <w:gridCol w:w="1954"/>
        <w:gridCol w:w="1198"/>
        <w:gridCol w:w="923"/>
        <w:gridCol w:w="941"/>
        <w:gridCol w:w="1108"/>
        <w:gridCol w:w="943"/>
        <w:gridCol w:w="998"/>
        <w:gridCol w:w="1108"/>
        <w:gridCol w:w="961"/>
        <w:gridCol w:w="1004"/>
        <w:gridCol w:w="1108"/>
        <w:gridCol w:w="883"/>
        <w:gridCol w:w="851"/>
      </w:tblGrid>
      <w:tr>
        <w:tblPrEx>
          <w:tblCellMar>
            <w:top w:w="0" w:type="dxa"/>
            <w:left w:w="108" w:type="dxa"/>
            <w:bottom w:w="0" w:type="dxa"/>
            <w:right w:w="108" w:type="dxa"/>
          </w:tblCellMar>
        </w:tblPrEx>
        <w:trPr>
          <w:trHeight w:val="500" w:hRule="atLeast"/>
          <w:tblHeader/>
          <w:jc w:val="center"/>
        </w:trPr>
        <w:tc>
          <w:tcPr>
            <w:tcW w:w="490" w:type="dxa"/>
            <w:vMerge w:val="restart"/>
            <w:tcBorders>
              <w:top w:val="single" w:color="auto" w:sz="4" w:space="0"/>
              <w:left w:val="single" w:color="auto" w:sz="4" w:space="0"/>
              <w:right w:val="single" w:color="auto" w:sz="4" w:space="0"/>
            </w:tcBorders>
            <w:vAlign w:val="center"/>
          </w:tcPr>
          <w:p>
            <w:pPr>
              <w:spacing w:line="240" w:lineRule="atLeast"/>
              <w:ind w:left="-48" w:leftChars="-23" w:right="-65" w:rightChars="-31"/>
              <w:jc w:val="center"/>
              <w:rPr>
                <w:rFonts w:ascii="宋体" w:cs="宋体"/>
                <w:b/>
                <w:kern w:val="0"/>
                <w:szCs w:val="21"/>
              </w:rPr>
            </w:pPr>
            <w:r>
              <w:rPr>
                <w:rFonts w:hint="eastAsia" w:ascii="宋体" w:hAnsi="宋体" w:cs="宋体"/>
                <w:b/>
                <w:kern w:val="0"/>
                <w:szCs w:val="21"/>
              </w:rPr>
              <w:t>序号</w:t>
            </w:r>
          </w:p>
        </w:tc>
        <w:tc>
          <w:tcPr>
            <w:tcW w:w="1954" w:type="dxa"/>
            <w:vMerge w:val="restart"/>
            <w:tcBorders>
              <w:top w:val="single" w:color="auto" w:sz="4" w:space="0"/>
              <w:left w:val="nil"/>
              <w:right w:val="single" w:color="auto" w:sz="4" w:space="0"/>
            </w:tcBorders>
            <w:vAlign w:val="center"/>
          </w:tcPr>
          <w:p>
            <w:pPr>
              <w:spacing w:line="240" w:lineRule="atLeast"/>
              <w:ind w:left="-48" w:leftChars="-23" w:right="-65" w:rightChars="-31"/>
              <w:jc w:val="center"/>
              <w:rPr>
                <w:rFonts w:ascii="宋体" w:cs="宋体"/>
                <w:b/>
                <w:kern w:val="0"/>
                <w:szCs w:val="21"/>
              </w:rPr>
            </w:pPr>
            <w:r>
              <w:rPr>
                <w:rFonts w:hint="eastAsia" w:ascii="宋体" w:hAnsi="宋体" w:cs="宋体"/>
                <w:b/>
                <w:kern w:val="0"/>
                <w:szCs w:val="21"/>
              </w:rPr>
              <w:t>行业</w:t>
            </w:r>
          </w:p>
        </w:tc>
        <w:tc>
          <w:tcPr>
            <w:tcW w:w="3062" w:type="dxa"/>
            <w:gridSpan w:val="3"/>
            <w:tcBorders>
              <w:top w:val="single" w:color="auto" w:sz="4" w:space="0"/>
              <w:left w:val="nil"/>
              <w:bottom w:val="single" w:color="auto" w:sz="4" w:space="0"/>
              <w:right w:val="single" w:color="auto" w:sz="4" w:space="0"/>
            </w:tcBorders>
            <w:vAlign w:val="center"/>
          </w:tcPr>
          <w:p>
            <w:pPr>
              <w:spacing w:line="240" w:lineRule="atLeast"/>
              <w:ind w:left="-48" w:leftChars="-23" w:right="-65" w:rightChars="-31"/>
              <w:jc w:val="center"/>
              <w:rPr>
                <w:rFonts w:ascii="宋体" w:cs="宋体"/>
                <w:b/>
                <w:kern w:val="0"/>
                <w:szCs w:val="21"/>
              </w:rPr>
            </w:pPr>
            <w:r>
              <w:rPr>
                <w:rFonts w:hint="eastAsia" w:ascii="宋体" w:hAnsi="宋体" w:cs="宋体"/>
                <w:b/>
                <w:kern w:val="0"/>
                <w:szCs w:val="21"/>
              </w:rPr>
              <w:t>大型企业</w:t>
            </w:r>
          </w:p>
        </w:tc>
        <w:tc>
          <w:tcPr>
            <w:tcW w:w="3049" w:type="dxa"/>
            <w:gridSpan w:val="3"/>
            <w:tcBorders>
              <w:top w:val="single" w:color="auto" w:sz="4" w:space="0"/>
              <w:left w:val="nil"/>
              <w:bottom w:val="single" w:color="auto" w:sz="4" w:space="0"/>
              <w:right w:val="single" w:color="auto" w:sz="4" w:space="0"/>
            </w:tcBorders>
            <w:vAlign w:val="center"/>
          </w:tcPr>
          <w:p>
            <w:pPr>
              <w:spacing w:line="240" w:lineRule="atLeast"/>
              <w:ind w:left="-48" w:leftChars="-23" w:right="-65" w:rightChars="-31"/>
              <w:jc w:val="center"/>
              <w:rPr>
                <w:rFonts w:ascii="宋体" w:cs="宋体"/>
                <w:b/>
                <w:kern w:val="0"/>
                <w:szCs w:val="21"/>
              </w:rPr>
            </w:pPr>
            <w:r>
              <w:rPr>
                <w:rFonts w:hint="eastAsia" w:ascii="宋体" w:hAnsi="宋体" w:cs="宋体"/>
                <w:b/>
                <w:kern w:val="0"/>
                <w:szCs w:val="21"/>
              </w:rPr>
              <w:t>中型企业</w:t>
            </w:r>
          </w:p>
        </w:tc>
        <w:tc>
          <w:tcPr>
            <w:tcW w:w="3073" w:type="dxa"/>
            <w:gridSpan w:val="3"/>
            <w:tcBorders>
              <w:top w:val="single" w:color="auto" w:sz="4" w:space="0"/>
              <w:left w:val="nil"/>
              <w:bottom w:val="single" w:color="auto" w:sz="4" w:space="0"/>
              <w:right w:val="single" w:color="auto" w:sz="4" w:space="0"/>
            </w:tcBorders>
            <w:vAlign w:val="center"/>
          </w:tcPr>
          <w:p>
            <w:pPr>
              <w:spacing w:line="240" w:lineRule="atLeast"/>
              <w:ind w:left="-48" w:leftChars="-23" w:right="-65" w:rightChars="-31"/>
              <w:jc w:val="center"/>
              <w:rPr>
                <w:rFonts w:ascii="宋体" w:cs="宋体"/>
                <w:b/>
                <w:kern w:val="0"/>
                <w:szCs w:val="21"/>
              </w:rPr>
            </w:pPr>
            <w:r>
              <w:rPr>
                <w:rFonts w:hint="eastAsia" w:ascii="宋体" w:hAnsi="宋体" w:cs="宋体"/>
                <w:b/>
                <w:kern w:val="0"/>
                <w:szCs w:val="21"/>
              </w:rPr>
              <w:t>小型企业</w:t>
            </w:r>
          </w:p>
        </w:tc>
        <w:tc>
          <w:tcPr>
            <w:tcW w:w="2842" w:type="dxa"/>
            <w:gridSpan w:val="3"/>
            <w:tcBorders>
              <w:top w:val="single" w:color="auto" w:sz="4" w:space="0"/>
              <w:left w:val="nil"/>
              <w:bottom w:val="single" w:color="auto" w:sz="4" w:space="0"/>
              <w:right w:val="single" w:color="auto" w:sz="4" w:space="0"/>
            </w:tcBorders>
            <w:vAlign w:val="center"/>
          </w:tcPr>
          <w:p>
            <w:pPr>
              <w:spacing w:line="240" w:lineRule="atLeast"/>
              <w:ind w:left="-48" w:leftChars="-23" w:right="-65" w:rightChars="-31"/>
              <w:jc w:val="center"/>
              <w:rPr>
                <w:rFonts w:ascii="宋体" w:cs="宋体"/>
                <w:b/>
                <w:kern w:val="0"/>
                <w:szCs w:val="21"/>
              </w:rPr>
            </w:pPr>
            <w:r>
              <w:rPr>
                <w:rFonts w:hint="eastAsia" w:ascii="宋体" w:hAnsi="宋体" w:cs="宋体"/>
                <w:b/>
                <w:kern w:val="0"/>
                <w:szCs w:val="21"/>
              </w:rPr>
              <w:t>微型企业</w:t>
            </w:r>
          </w:p>
        </w:tc>
      </w:tr>
      <w:tr>
        <w:tblPrEx>
          <w:tblCellMar>
            <w:top w:w="0" w:type="dxa"/>
            <w:left w:w="108" w:type="dxa"/>
            <w:bottom w:w="0" w:type="dxa"/>
            <w:right w:w="108" w:type="dxa"/>
          </w:tblCellMar>
        </w:tblPrEx>
        <w:trPr>
          <w:trHeight w:val="226" w:hRule="atLeast"/>
          <w:tblHeader/>
          <w:jc w:val="center"/>
        </w:trPr>
        <w:tc>
          <w:tcPr>
            <w:tcW w:w="490" w:type="dxa"/>
            <w:vMerge w:val="continue"/>
            <w:tcBorders>
              <w:left w:val="single" w:color="auto" w:sz="4" w:space="0"/>
              <w:bottom w:val="single" w:color="auto" w:sz="4" w:space="0"/>
              <w:right w:val="single" w:color="auto" w:sz="4" w:space="0"/>
            </w:tcBorders>
            <w:vAlign w:val="center"/>
          </w:tcPr>
          <w:p>
            <w:pPr>
              <w:spacing w:line="240" w:lineRule="atLeast"/>
              <w:ind w:left="-48" w:leftChars="-23" w:right="-65" w:rightChars="-31"/>
              <w:jc w:val="center"/>
              <w:rPr>
                <w:rFonts w:ascii="宋体" w:cs="宋体"/>
                <w:b/>
                <w:kern w:val="0"/>
                <w:szCs w:val="21"/>
              </w:rPr>
            </w:pPr>
          </w:p>
        </w:tc>
        <w:tc>
          <w:tcPr>
            <w:tcW w:w="1954" w:type="dxa"/>
            <w:vMerge w:val="continue"/>
            <w:tcBorders>
              <w:left w:val="nil"/>
              <w:bottom w:val="single" w:color="auto" w:sz="4" w:space="0"/>
              <w:right w:val="single" w:color="auto" w:sz="4" w:space="0"/>
            </w:tcBorders>
            <w:vAlign w:val="center"/>
          </w:tcPr>
          <w:p>
            <w:pPr>
              <w:spacing w:line="240" w:lineRule="atLeast"/>
              <w:ind w:left="-48" w:leftChars="-23" w:right="-65" w:rightChars="-31"/>
              <w:jc w:val="left"/>
              <w:rPr>
                <w:rFonts w:ascii="宋体" w:cs="宋体"/>
                <w:b/>
                <w:kern w:val="0"/>
                <w:szCs w:val="21"/>
              </w:rPr>
            </w:pPr>
          </w:p>
        </w:tc>
        <w:tc>
          <w:tcPr>
            <w:tcW w:w="1198" w:type="dxa"/>
            <w:tcBorders>
              <w:top w:val="nil"/>
              <w:left w:val="nil"/>
              <w:bottom w:val="single" w:color="auto" w:sz="4" w:space="0"/>
              <w:right w:val="single" w:color="auto" w:sz="4" w:space="0"/>
            </w:tcBorders>
            <w:vAlign w:val="center"/>
          </w:tcPr>
          <w:p>
            <w:pPr>
              <w:spacing w:line="240" w:lineRule="atLeast"/>
              <w:ind w:left="-48" w:leftChars="-23" w:right="-65" w:rightChars="-31"/>
              <w:jc w:val="center"/>
              <w:rPr>
                <w:rFonts w:ascii="宋体" w:cs="宋体"/>
                <w:b/>
                <w:kern w:val="0"/>
                <w:szCs w:val="21"/>
              </w:rPr>
            </w:pPr>
            <w:r>
              <w:rPr>
                <w:rFonts w:hint="eastAsia" w:ascii="宋体" w:hAnsi="宋体" w:cs="宋体"/>
                <w:b/>
                <w:kern w:val="0"/>
                <w:szCs w:val="21"/>
              </w:rPr>
              <w:t>营业收入</w:t>
            </w:r>
          </w:p>
          <w:p>
            <w:pPr>
              <w:spacing w:line="240" w:lineRule="atLeast"/>
              <w:ind w:left="-48" w:leftChars="-23" w:right="-65" w:rightChars="-31"/>
              <w:jc w:val="center"/>
              <w:rPr>
                <w:rFonts w:ascii="宋体" w:cs="宋体"/>
                <w:b/>
                <w:kern w:val="0"/>
                <w:szCs w:val="21"/>
              </w:rPr>
            </w:pPr>
            <w:r>
              <w:rPr>
                <w:rFonts w:ascii="宋体" w:hAnsi="宋体" w:cs="宋体"/>
                <w:b/>
                <w:kern w:val="0"/>
                <w:szCs w:val="21"/>
              </w:rPr>
              <w:t>(</w:t>
            </w:r>
            <w:r>
              <w:rPr>
                <w:rFonts w:hint="eastAsia" w:ascii="宋体" w:hAnsi="宋体" w:cs="宋体"/>
                <w:b/>
                <w:kern w:val="0"/>
                <w:szCs w:val="21"/>
              </w:rPr>
              <w:t>万元</w:t>
            </w:r>
            <w:r>
              <w:rPr>
                <w:rFonts w:ascii="宋体" w:hAnsi="宋体" w:cs="宋体"/>
                <w:b/>
                <w:kern w:val="0"/>
                <w:szCs w:val="21"/>
              </w:rPr>
              <w:t>)</w:t>
            </w:r>
          </w:p>
        </w:tc>
        <w:tc>
          <w:tcPr>
            <w:tcW w:w="923" w:type="dxa"/>
            <w:tcBorders>
              <w:top w:val="nil"/>
              <w:left w:val="nil"/>
              <w:bottom w:val="single" w:color="auto" w:sz="4" w:space="0"/>
              <w:right w:val="single" w:color="auto" w:sz="4" w:space="0"/>
            </w:tcBorders>
            <w:vAlign w:val="center"/>
          </w:tcPr>
          <w:p>
            <w:pPr>
              <w:spacing w:line="240" w:lineRule="atLeast"/>
              <w:ind w:left="-48" w:leftChars="-23" w:right="-65" w:rightChars="-31"/>
              <w:jc w:val="center"/>
              <w:rPr>
                <w:rFonts w:ascii="宋体" w:cs="宋体"/>
                <w:b/>
                <w:kern w:val="0"/>
                <w:szCs w:val="21"/>
              </w:rPr>
            </w:pPr>
            <w:r>
              <w:rPr>
                <w:rFonts w:hint="eastAsia" w:ascii="宋体" w:hAnsi="宋体" w:cs="宋体"/>
                <w:b/>
                <w:kern w:val="0"/>
                <w:szCs w:val="21"/>
              </w:rPr>
              <w:t>从业人员</w:t>
            </w:r>
          </w:p>
          <w:p>
            <w:pPr>
              <w:spacing w:line="240" w:lineRule="atLeast"/>
              <w:ind w:left="-48" w:leftChars="-23" w:right="-65" w:rightChars="-31"/>
              <w:jc w:val="center"/>
              <w:rPr>
                <w:rFonts w:ascii="宋体" w:cs="宋体"/>
                <w:b/>
                <w:kern w:val="0"/>
                <w:szCs w:val="21"/>
              </w:rPr>
            </w:pPr>
            <w:r>
              <w:rPr>
                <w:rFonts w:ascii="宋体" w:hAnsi="宋体" w:cs="宋体"/>
                <w:b/>
                <w:kern w:val="0"/>
                <w:szCs w:val="21"/>
              </w:rPr>
              <w:t>(</w:t>
            </w:r>
            <w:r>
              <w:rPr>
                <w:rFonts w:hint="eastAsia" w:ascii="宋体" w:hAnsi="宋体" w:cs="宋体"/>
                <w:b/>
                <w:kern w:val="0"/>
                <w:szCs w:val="21"/>
              </w:rPr>
              <w:t>人</w:t>
            </w:r>
            <w:r>
              <w:rPr>
                <w:rFonts w:ascii="宋体" w:hAnsi="宋体" w:cs="宋体"/>
                <w:b/>
                <w:kern w:val="0"/>
                <w:szCs w:val="21"/>
              </w:rPr>
              <w:t>)</w:t>
            </w:r>
          </w:p>
        </w:tc>
        <w:tc>
          <w:tcPr>
            <w:tcW w:w="941" w:type="dxa"/>
            <w:tcBorders>
              <w:top w:val="nil"/>
              <w:left w:val="nil"/>
              <w:bottom w:val="single" w:color="auto" w:sz="4" w:space="0"/>
              <w:right w:val="single" w:color="auto" w:sz="4" w:space="0"/>
            </w:tcBorders>
            <w:vAlign w:val="center"/>
          </w:tcPr>
          <w:p>
            <w:pPr>
              <w:spacing w:line="240" w:lineRule="atLeast"/>
              <w:ind w:left="-48" w:leftChars="-23" w:right="-65" w:rightChars="-31"/>
              <w:jc w:val="center"/>
              <w:rPr>
                <w:rFonts w:ascii="宋体" w:cs="宋体"/>
                <w:b/>
                <w:kern w:val="0"/>
                <w:szCs w:val="21"/>
              </w:rPr>
            </w:pPr>
            <w:r>
              <w:rPr>
                <w:rFonts w:hint="eastAsia" w:ascii="宋体" w:hAnsi="宋体" w:cs="宋体"/>
                <w:b/>
                <w:kern w:val="0"/>
                <w:szCs w:val="21"/>
              </w:rPr>
              <w:t>总资产</w:t>
            </w:r>
          </w:p>
          <w:p>
            <w:pPr>
              <w:spacing w:line="240" w:lineRule="atLeast"/>
              <w:ind w:left="-48" w:leftChars="-23" w:right="-65" w:rightChars="-31"/>
              <w:jc w:val="center"/>
              <w:rPr>
                <w:rFonts w:ascii="宋体" w:cs="宋体"/>
                <w:b/>
                <w:kern w:val="0"/>
                <w:szCs w:val="21"/>
              </w:rPr>
            </w:pPr>
            <w:r>
              <w:rPr>
                <w:rFonts w:ascii="宋体" w:hAnsi="宋体" w:cs="宋体"/>
                <w:b/>
                <w:kern w:val="0"/>
                <w:szCs w:val="21"/>
              </w:rPr>
              <w:t>(</w:t>
            </w:r>
            <w:r>
              <w:rPr>
                <w:rFonts w:hint="eastAsia" w:ascii="宋体" w:hAnsi="宋体" w:cs="宋体"/>
                <w:b/>
                <w:kern w:val="0"/>
                <w:szCs w:val="21"/>
              </w:rPr>
              <w:t>万元</w:t>
            </w:r>
            <w:r>
              <w:rPr>
                <w:rFonts w:ascii="宋体" w:hAnsi="宋体" w:cs="宋体"/>
                <w:b/>
                <w:kern w:val="0"/>
                <w:szCs w:val="21"/>
              </w:rPr>
              <w:t>)</w:t>
            </w:r>
          </w:p>
        </w:tc>
        <w:tc>
          <w:tcPr>
            <w:tcW w:w="1108" w:type="dxa"/>
            <w:tcBorders>
              <w:top w:val="nil"/>
              <w:left w:val="nil"/>
              <w:bottom w:val="single" w:color="auto" w:sz="4" w:space="0"/>
              <w:right w:val="single" w:color="auto" w:sz="4" w:space="0"/>
            </w:tcBorders>
            <w:vAlign w:val="center"/>
          </w:tcPr>
          <w:p>
            <w:pPr>
              <w:spacing w:line="240" w:lineRule="atLeast"/>
              <w:ind w:left="-48" w:leftChars="-23" w:right="-65" w:rightChars="-31"/>
              <w:jc w:val="center"/>
              <w:rPr>
                <w:rFonts w:ascii="宋体" w:cs="宋体"/>
                <w:b/>
                <w:kern w:val="0"/>
                <w:szCs w:val="21"/>
              </w:rPr>
            </w:pPr>
            <w:r>
              <w:rPr>
                <w:rFonts w:hint="eastAsia" w:ascii="宋体" w:hAnsi="宋体" w:cs="宋体"/>
                <w:b/>
                <w:kern w:val="0"/>
                <w:szCs w:val="21"/>
              </w:rPr>
              <w:t>营业收入</w:t>
            </w:r>
          </w:p>
          <w:p>
            <w:pPr>
              <w:spacing w:line="240" w:lineRule="atLeast"/>
              <w:ind w:left="-48" w:leftChars="-23" w:right="-65" w:rightChars="-31"/>
              <w:jc w:val="center"/>
              <w:rPr>
                <w:rFonts w:ascii="宋体" w:cs="宋体"/>
                <w:b/>
                <w:kern w:val="0"/>
                <w:szCs w:val="21"/>
              </w:rPr>
            </w:pPr>
            <w:r>
              <w:rPr>
                <w:rFonts w:ascii="宋体" w:hAnsi="宋体" w:cs="宋体"/>
                <w:b/>
                <w:kern w:val="0"/>
                <w:szCs w:val="21"/>
              </w:rPr>
              <w:t>(</w:t>
            </w:r>
            <w:r>
              <w:rPr>
                <w:rFonts w:hint="eastAsia" w:ascii="宋体" w:hAnsi="宋体" w:cs="宋体"/>
                <w:b/>
                <w:kern w:val="0"/>
                <w:szCs w:val="21"/>
              </w:rPr>
              <w:t>万元</w:t>
            </w:r>
            <w:r>
              <w:rPr>
                <w:rFonts w:ascii="宋体" w:hAnsi="宋体" w:cs="宋体"/>
                <w:b/>
                <w:kern w:val="0"/>
                <w:szCs w:val="21"/>
              </w:rPr>
              <w:t>)</w:t>
            </w:r>
          </w:p>
        </w:tc>
        <w:tc>
          <w:tcPr>
            <w:tcW w:w="943" w:type="dxa"/>
            <w:tcBorders>
              <w:top w:val="nil"/>
              <w:left w:val="nil"/>
              <w:bottom w:val="single" w:color="auto" w:sz="4" w:space="0"/>
              <w:right w:val="single" w:color="auto" w:sz="4" w:space="0"/>
            </w:tcBorders>
            <w:vAlign w:val="center"/>
          </w:tcPr>
          <w:p>
            <w:pPr>
              <w:spacing w:line="240" w:lineRule="atLeast"/>
              <w:ind w:left="-48" w:leftChars="-23" w:right="-65" w:rightChars="-31"/>
              <w:jc w:val="center"/>
              <w:rPr>
                <w:rFonts w:ascii="宋体" w:cs="宋体"/>
                <w:b/>
                <w:kern w:val="0"/>
                <w:szCs w:val="21"/>
              </w:rPr>
            </w:pPr>
            <w:r>
              <w:rPr>
                <w:rFonts w:hint="eastAsia" w:ascii="宋体" w:hAnsi="宋体" w:cs="宋体"/>
                <w:b/>
                <w:kern w:val="0"/>
                <w:szCs w:val="21"/>
              </w:rPr>
              <w:t>从业人员</w:t>
            </w:r>
          </w:p>
          <w:p>
            <w:pPr>
              <w:spacing w:line="240" w:lineRule="atLeast"/>
              <w:ind w:left="-48" w:leftChars="-23" w:right="-65" w:rightChars="-31"/>
              <w:jc w:val="center"/>
              <w:rPr>
                <w:rFonts w:ascii="宋体" w:cs="宋体"/>
                <w:b/>
                <w:kern w:val="0"/>
                <w:szCs w:val="21"/>
              </w:rPr>
            </w:pPr>
            <w:r>
              <w:rPr>
                <w:rFonts w:ascii="宋体" w:hAnsi="宋体" w:cs="宋体"/>
                <w:b/>
                <w:kern w:val="0"/>
                <w:szCs w:val="21"/>
              </w:rPr>
              <w:t>(</w:t>
            </w:r>
            <w:r>
              <w:rPr>
                <w:rFonts w:hint="eastAsia" w:ascii="宋体" w:hAnsi="宋体" w:cs="宋体"/>
                <w:b/>
                <w:kern w:val="0"/>
                <w:szCs w:val="21"/>
              </w:rPr>
              <w:t>人</w:t>
            </w:r>
            <w:r>
              <w:rPr>
                <w:rFonts w:ascii="宋体" w:hAnsi="宋体" w:cs="宋体"/>
                <w:b/>
                <w:kern w:val="0"/>
                <w:szCs w:val="21"/>
              </w:rPr>
              <w:t>)</w:t>
            </w:r>
          </w:p>
        </w:tc>
        <w:tc>
          <w:tcPr>
            <w:tcW w:w="998" w:type="dxa"/>
            <w:tcBorders>
              <w:top w:val="nil"/>
              <w:left w:val="nil"/>
              <w:bottom w:val="single" w:color="auto" w:sz="4" w:space="0"/>
              <w:right w:val="single" w:color="auto" w:sz="4" w:space="0"/>
            </w:tcBorders>
            <w:vAlign w:val="center"/>
          </w:tcPr>
          <w:p>
            <w:pPr>
              <w:spacing w:line="240" w:lineRule="atLeast"/>
              <w:ind w:left="-48" w:leftChars="-23" w:right="-65" w:rightChars="-31"/>
              <w:jc w:val="center"/>
              <w:rPr>
                <w:rFonts w:ascii="宋体" w:cs="宋体"/>
                <w:b/>
                <w:kern w:val="0"/>
                <w:szCs w:val="21"/>
              </w:rPr>
            </w:pPr>
            <w:r>
              <w:rPr>
                <w:rFonts w:hint="eastAsia" w:ascii="宋体" w:hAnsi="宋体" w:cs="宋体"/>
                <w:b/>
                <w:kern w:val="0"/>
                <w:szCs w:val="21"/>
              </w:rPr>
              <w:t>总资产</w:t>
            </w:r>
          </w:p>
          <w:p>
            <w:pPr>
              <w:spacing w:line="240" w:lineRule="atLeast"/>
              <w:ind w:left="-48" w:leftChars="-23" w:right="-65" w:rightChars="-31"/>
              <w:jc w:val="center"/>
              <w:rPr>
                <w:rFonts w:ascii="宋体" w:cs="宋体"/>
                <w:b/>
                <w:kern w:val="0"/>
                <w:szCs w:val="21"/>
              </w:rPr>
            </w:pPr>
            <w:r>
              <w:rPr>
                <w:rFonts w:ascii="宋体" w:hAnsi="宋体" w:cs="宋体"/>
                <w:b/>
                <w:kern w:val="0"/>
                <w:szCs w:val="21"/>
              </w:rPr>
              <w:t>(</w:t>
            </w:r>
            <w:r>
              <w:rPr>
                <w:rFonts w:hint="eastAsia" w:ascii="宋体" w:hAnsi="宋体" w:cs="宋体"/>
                <w:b/>
                <w:kern w:val="0"/>
                <w:szCs w:val="21"/>
              </w:rPr>
              <w:t>万元</w:t>
            </w:r>
            <w:r>
              <w:rPr>
                <w:rFonts w:ascii="宋体" w:hAnsi="宋体" w:cs="宋体"/>
                <w:b/>
                <w:kern w:val="0"/>
                <w:szCs w:val="21"/>
              </w:rPr>
              <w:t>)</w:t>
            </w:r>
          </w:p>
        </w:tc>
        <w:tc>
          <w:tcPr>
            <w:tcW w:w="1108" w:type="dxa"/>
            <w:tcBorders>
              <w:top w:val="nil"/>
              <w:left w:val="nil"/>
              <w:bottom w:val="single" w:color="auto" w:sz="4" w:space="0"/>
              <w:right w:val="single" w:color="auto" w:sz="4" w:space="0"/>
            </w:tcBorders>
            <w:vAlign w:val="center"/>
          </w:tcPr>
          <w:p>
            <w:pPr>
              <w:spacing w:line="240" w:lineRule="atLeast"/>
              <w:ind w:left="-48" w:leftChars="-23" w:right="-65" w:rightChars="-31"/>
              <w:jc w:val="center"/>
              <w:rPr>
                <w:rFonts w:ascii="宋体" w:cs="宋体"/>
                <w:b/>
                <w:kern w:val="0"/>
                <w:szCs w:val="21"/>
              </w:rPr>
            </w:pPr>
            <w:r>
              <w:rPr>
                <w:rFonts w:hint="eastAsia" w:ascii="宋体" w:hAnsi="宋体" w:cs="宋体"/>
                <w:b/>
                <w:kern w:val="0"/>
                <w:szCs w:val="21"/>
              </w:rPr>
              <w:t>营业收入</w:t>
            </w:r>
          </w:p>
          <w:p>
            <w:pPr>
              <w:spacing w:line="240" w:lineRule="atLeast"/>
              <w:ind w:left="-48" w:leftChars="-23" w:right="-65" w:rightChars="-31"/>
              <w:jc w:val="center"/>
              <w:rPr>
                <w:rFonts w:ascii="宋体" w:cs="宋体"/>
                <w:b/>
                <w:kern w:val="0"/>
                <w:szCs w:val="21"/>
              </w:rPr>
            </w:pPr>
            <w:r>
              <w:rPr>
                <w:rFonts w:ascii="宋体" w:hAnsi="宋体" w:cs="宋体"/>
                <w:b/>
                <w:kern w:val="0"/>
                <w:szCs w:val="21"/>
              </w:rPr>
              <w:t>(</w:t>
            </w:r>
            <w:r>
              <w:rPr>
                <w:rFonts w:hint="eastAsia" w:ascii="宋体" w:hAnsi="宋体" w:cs="宋体"/>
                <w:b/>
                <w:kern w:val="0"/>
                <w:szCs w:val="21"/>
              </w:rPr>
              <w:t>万元</w:t>
            </w:r>
            <w:r>
              <w:rPr>
                <w:rFonts w:ascii="宋体" w:hAnsi="宋体" w:cs="宋体"/>
                <w:b/>
                <w:kern w:val="0"/>
                <w:szCs w:val="21"/>
              </w:rPr>
              <w:t>)</w:t>
            </w:r>
          </w:p>
        </w:tc>
        <w:tc>
          <w:tcPr>
            <w:tcW w:w="961" w:type="dxa"/>
            <w:tcBorders>
              <w:top w:val="nil"/>
              <w:left w:val="nil"/>
              <w:bottom w:val="single" w:color="auto" w:sz="4" w:space="0"/>
              <w:right w:val="single" w:color="auto" w:sz="4" w:space="0"/>
            </w:tcBorders>
            <w:vAlign w:val="center"/>
          </w:tcPr>
          <w:p>
            <w:pPr>
              <w:spacing w:line="240" w:lineRule="atLeast"/>
              <w:ind w:left="119" w:leftChars="-23" w:right="-65" w:rightChars="-31" w:hanging="167" w:hangingChars="79"/>
              <w:jc w:val="center"/>
              <w:rPr>
                <w:rFonts w:ascii="宋体" w:cs="宋体"/>
                <w:b/>
                <w:kern w:val="0"/>
                <w:szCs w:val="21"/>
              </w:rPr>
            </w:pPr>
            <w:r>
              <w:rPr>
                <w:rFonts w:hint="eastAsia" w:ascii="宋体" w:hAnsi="宋体" w:cs="宋体"/>
                <w:b/>
                <w:kern w:val="0"/>
                <w:szCs w:val="21"/>
              </w:rPr>
              <w:t>从业人员</w:t>
            </w:r>
          </w:p>
          <w:p>
            <w:pPr>
              <w:spacing w:line="240" w:lineRule="atLeast"/>
              <w:ind w:left="-48" w:leftChars="-23" w:right="-65" w:rightChars="-31"/>
              <w:jc w:val="center"/>
              <w:rPr>
                <w:rFonts w:ascii="宋体" w:cs="宋体"/>
                <w:b/>
                <w:kern w:val="0"/>
                <w:szCs w:val="21"/>
              </w:rPr>
            </w:pPr>
            <w:r>
              <w:rPr>
                <w:rFonts w:ascii="宋体" w:hAnsi="宋体" w:cs="宋体"/>
                <w:b/>
                <w:kern w:val="0"/>
                <w:szCs w:val="21"/>
              </w:rPr>
              <w:t>(</w:t>
            </w:r>
            <w:r>
              <w:rPr>
                <w:rFonts w:hint="eastAsia" w:ascii="宋体" w:hAnsi="宋体" w:cs="宋体"/>
                <w:b/>
                <w:kern w:val="0"/>
                <w:szCs w:val="21"/>
              </w:rPr>
              <w:t>人</w:t>
            </w:r>
            <w:r>
              <w:rPr>
                <w:rFonts w:ascii="宋体" w:hAnsi="宋体" w:cs="宋体"/>
                <w:b/>
                <w:kern w:val="0"/>
                <w:szCs w:val="21"/>
              </w:rPr>
              <w:t>)</w:t>
            </w:r>
          </w:p>
        </w:tc>
        <w:tc>
          <w:tcPr>
            <w:tcW w:w="1004" w:type="dxa"/>
            <w:tcBorders>
              <w:top w:val="nil"/>
              <w:left w:val="nil"/>
              <w:bottom w:val="single" w:color="auto" w:sz="4" w:space="0"/>
              <w:right w:val="single" w:color="auto" w:sz="4" w:space="0"/>
            </w:tcBorders>
            <w:vAlign w:val="center"/>
          </w:tcPr>
          <w:p>
            <w:pPr>
              <w:spacing w:line="240" w:lineRule="atLeast"/>
              <w:ind w:left="-48" w:leftChars="-23" w:right="-65" w:rightChars="-31"/>
              <w:jc w:val="center"/>
              <w:rPr>
                <w:rFonts w:ascii="宋体" w:cs="宋体"/>
                <w:b/>
                <w:kern w:val="0"/>
                <w:szCs w:val="21"/>
              </w:rPr>
            </w:pPr>
            <w:r>
              <w:rPr>
                <w:rFonts w:hint="eastAsia" w:ascii="宋体" w:hAnsi="宋体" w:cs="宋体"/>
                <w:b/>
                <w:kern w:val="0"/>
                <w:szCs w:val="21"/>
              </w:rPr>
              <w:t>总资产</w:t>
            </w:r>
          </w:p>
          <w:p>
            <w:pPr>
              <w:spacing w:line="240" w:lineRule="atLeast"/>
              <w:ind w:left="-48" w:leftChars="-23" w:right="-65" w:rightChars="-31"/>
              <w:jc w:val="center"/>
              <w:rPr>
                <w:rFonts w:ascii="宋体" w:cs="宋体"/>
                <w:b/>
                <w:kern w:val="0"/>
                <w:szCs w:val="21"/>
              </w:rPr>
            </w:pPr>
            <w:r>
              <w:rPr>
                <w:rFonts w:ascii="宋体" w:hAnsi="宋体" w:cs="宋体"/>
                <w:b/>
                <w:kern w:val="0"/>
                <w:szCs w:val="21"/>
              </w:rPr>
              <w:t>(</w:t>
            </w:r>
            <w:r>
              <w:rPr>
                <w:rFonts w:hint="eastAsia" w:ascii="宋体" w:hAnsi="宋体" w:cs="宋体"/>
                <w:b/>
                <w:kern w:val="0"/>
                <w:szCs w:val="21"/>
              </w:rPr>
              <w:t>万元</w:t>
            </w:r>
            <w:r>
              <w:rPr>
                <w:rFonts w:ascii="宋体" w:hAnsi="宋体" w:cs="宋体"/>
                <w:b/>
                <w:kern w:val="0"/>
                <w:szCs w:val="21"/>
              </w:rPr>
              <w:t>)</w:t>
            </w:r>
          </w:p>
        </w:tc>
        <w:tc>
          <w:tcPr>
            <w:tcW w:w="1108" w:type="dxa"/>
            <w:tcBorders>
              <w:top w:val="nil"/>
              <w:left w:val="nil"/>
              <w:bottom w:val="single" w:color="auto" w:sz="4" w:space="0"/>
              <w:right w:val="single" w:color="auto" w:sz="4" w:space="0"/>
            </w:tcBorders>
            <w:vAlign w:val="center"/>
          </w:tcPr>
          <w:p>
            <w:pPr>
              <w:spacing w:line="240" w:lineRule="atLeast"/>
              <w:ind w:left="-48" w:leftChars="-23" w:right="-65" w:rightChars="-31"/>
              <w:jc w:val="center"/>
              <w:rPr>
                <w:rFonts w:ascii="宋体" w:cs="宋体"/>
                <w:b/>
                <w:kern w:val="0"/>
                <w:szCs w:val="21"/>
              </w:rPr>
            </w:pPr>
            <w:r>
              <w:rPr>
                <w:rFonts w:hint="eastAsia" w:ascii="宋体" w:hAnsi="宋体" w:cs="宋体"/>
                <w:b/>
                <w:kern w:val="0"/>
                <w:szCs w:val="21"/>
              </w:rPr>
              <w:t>营业收入</w:t>
            </w:r>
          </w:p>
          <w:p>
            <w:pPr>
              <w:spacing w:line="240" w:lineRule="atLeast"/>
              <w:ind w:left="-48" w:leftChars="-23" w:right="-65" w:rightChars="-31"/>
              <w:jc w:val="center"/>
              <w:rPr>
                <w:rFonts w:ascii="宋体" w:cs="宋体"/>
                <w:b/>
                <w:kern w:val="0"/>
                <w:szCs w:val="21"/>
              </w:rPr>
            </w:pPr>
            <w:r>
              <w:rPr>
                <w:rFonts w:ascii="宋体" w:hAnsi="宋体" w:cs="宋体"/>
                <w:b/>
                <w:kern w:val="0"/>
                <w:szCs w:val="21"/>
              </w:rPr>
              <w:t>(</w:t>
            </w:r>
            <w:r>
              <w:rPr>
                <w:rFonts w:hint="eastAsia" w:ascii="宋体" w:hAnsi="宋体" w:cs="宋体"/>
                <w:b/>
                <w:kern w:val="0"/>
                <w:szCs w:val="21"/>
              </w:rPr>
              <w:t>万元</w:t>
            </w:r>
            <w:r>
              <w:rPr>
                <w:rFonts w:ascii="宋体" w:hAnsi="宋体" w:cs="宋体"/>
                <w:b/>
                <w:kern w:val="0"/>
                <w:szCs w:val="21"/>
              </w:rPr>
              <w:t>)</w:t>
            </w:r>
          </w:p>
        </w:tc>
        <w:tc>
          <w:tcPr>
            <w:tcW w:w="883" w:type="dxa"/>
            <w:tcBorders>
              <w:top w:val="nil"/>
              <w:left w:val="nil"/>
              <w:bottom w:val="single" w:color="auto" w:sz="4" w:space="0"/>
              <w:right w:val="single" w:color="auto" w:sz="4" w:space="0"/>
            </w:tcBorders>
            <w:vAlign w:val="center"/>
          </w:tcPr>
          <w:p>
            <w:pPr>
              <w:spacing w:line="240" w:lineRule="atLeast"/>
              <w:ind w:left="-48" w:leftChars="-23" w:right="-65" w:rightChars="-31"/>
              <w:jc w:val="center"/>
              <w:rPr>
                <w:rFonts w:ascii="宋体" w:cs="宋体"/>
                <w:b/>
                <w:kern w:val="0"/>
                <w:szCs w:val="21"/>
              </w:rPr>
            </w:pPr>
            <w:r>
              <w:rPr>
                <w:rFonts w:hint="eastAsia" w:ascii="宋体" w:hAnsi="宋体" w:cs="宋体"/>
                <w:b/>
                <w:kern w:val="0"/>
                <w:szCs w:val="21"/>
              </w:rPr>
              <w:t>从业人员</w:t>
            </w:r>
          </w:p>
          <w:p>
            <w:pPr>
              <w:spacing w:line="240" w:lineRule="atLeast"/>
              <w:ind w:left="-48" w:leftChars="-23" w:right="-65" w:rightChars="-31"/>
              <w:jc w:val="center"/>
              <w:rPr>
                <w:rFonts w:ascii="宋体" w:cs="宋体"/>
                <w:b/>
                <w:kern w:val="0"/>
                <w:szCs w:val="21"/>
              </w:rPr>
            </w:pPr>
            <w:r>
              <w:rPr>
                <w:rFonts w:ascii="宋体" w:hAnsi="宋体" w:cs="宋体"/>
                <w:b/>
                <w:kern w:val="0"/>
                <w:szCs w:val="21"/>
              </w:rPr>
              <w:t>(</w:t>
            </w:r>
            <w:r>
              <w:rPr>
                <w:rFonts w:hint="eastAsia" w:ascii="宋体" w:hAnsi="宋体" w:cs="宋体"/>
                <w:b/>
                <w:kern w:val="0"/>
                <w:szCs w:val="21"/>
              </w:rPr>
              <w:t>人</w:t>
            </w:r>
            <w:r>
              <w:rPr>
                <w:rFonts w:ascii="宋体" w:hAnsi="宋体" w:cs="宋体"/>
                <w:b/>
                <w:kern w:val="0"/>
                <w:szCs w:val="21"/>
              </w:rPr>
              <w:t>)</w:t>
            </w:r>
          </w:p>
        </w:tc>
        <w:tc>
          <w:tcPr>
            <w:tcW w:w="851" w:type="dxa"/>
            <w:tcBorders>
              <w:top w:val="nil"/>
              <w:left w:val="nil"/>
              <w:bottom w:val="single" w:color="auto" w:sz="4" w:space="0"/>
              <w:right w:val="single" w:color="auto" w:sz="4" w:space="0"/>
            </w:tcBorders>
            <w:vAlign w:val="center"/>
          </w:tcPr>
          <w:p>
            <w:pPr>
              <w:spacing w:line="240" w:lineRule="atLeast"/>
              <w:ind w:left="-48" w:leftChars="-23" w:right="-65" w:rightChars="-31"/>
              <w:jc w:val="center"/>
              <w:rPr>
                <w:rFonts w:ascii="宋体" w:cs="宋体"/>
                <w:b/>
                <w:kern w:val="0"/>
                <w:szCs w:val="21"/>
              </w:rPr>
            </w:pPr>
            <w:r>
              <w:rPr>
                <w:rFonts w:hint="eastAsia" w:ascii="宋体" w:hAnsi="宋体" w:cs="宋体"/>
                <w:b/>
                <w:kern w:val="0"/>
                <w:szCs w:val="21"/>
              </w:rPr>
              <w:t>总资产</w:t>
            </w:r>
          </w:p>
          <w:p>
            <w:pPr>
              <w:spacing w:line="240" w:lineRule="atLeast"/>
              <w:ind w:left="-48" w:leftChars="-23" w:right="-65" w:rightChars="-31"/>
              <w:jc w:val="center"/>
              <w:rPr>
                <w:rFonts w:ascii="宋体" w:cs="宋体"/>
                <w:b/>
                <w:kern w:val="0"/>
                <w:szCs w:val="21"/>
              </w:rPr>
            </w:pPr>
            <w:r>
              <w:rPr>
                <w:rFonts w:ascii="宋体" w:hAnsi="宋体" w:cs="宋体"/>
                <w:b/>
                <w:kern w:val="0"/>
                <w:szCs w:val="21"/>
              </w:rPr>
              <w:t>(</w:t>
            </w:r>
            <w:r>
              <w:rPr>
                <w:rFonts w:hint="eastAsia" w:ascii="宋体" w:hAnsi="宋体" w:cs="宋体"/>
                <w:b/>
                <w:kern w:val="0"/>
                <w:szCs w:val="21"/>
              </w:rPr>
              <w:t>万元</w:t>
            </w:r>
            <w:r>
              <w:rPr>
                <w:rFonts w:ascii="宋体" w:hAnsi="宋体" w:cs="宋体"/>
                <w:b/>
                <w:kern w:val="0"/>
                <w:szCs w:val="21"/>
              </w:rPr>
              <w:t>)</w:t>
            </w:r>
          </w:p>
        </w:tc>
      </w:tr>
      <w:tr>
        <w:tblPrEx>
          <w:tblCellMar>
            <w:top w:w="0" w:type="dxa"/>
            <w:left w:w="108" w:type="dxa"/>
            <w:bottom w:w="0" w:type="dxa"/>
            <w:right w:w="108" w:type="dxa"/>
          </w:tblCellMar>
        </w:tblPrEx>
        <w:trPr>
          <w:trHeight w:val="369" w:hRule="atLeast"/>
          <w:jc w:val="center"/>
        </w:trPr>
        <w:tc>
          <w:tcPr>
            <w:tcW w:w="490" w:type="dxa"/>
            <w:tcBorders>
              <w:top w:val="single" w:color="auto" w:sz="4" w:space="0"/>
              <w:left w:val="single" w:color="auto" w:sz="4" w:space="0"/>
              <w:bottom w:val="single" w:color="auto" w:sz="4" w:space="0"/>
              <w:right w:val="single" w:color="auto" w:sz="4" w:space="0"/>
            </w:tcBorders>
            <w:vAlign w:val="center"/>
          </w:tcPr>
          <w:p>
            <w:pPr>
              <w:spacing w:line="240" w:lineRule="atLeast"/>
              <w:ind w:left="-107" w:leftChars="-51" w:right="-107" w:rightChars="-51"/>
              <w:jc w:val="center"/>
              <w:rPr>
                <w:rFonts w:ascii="宋体" w:cs="宋体"/>
                <w:b/>
                <w:kern w:val="0"/>
                <w:szCs w:val="21"/>
              </w:rPr>
            </w:pPr>
            <w:r>
              <w:rPr>
                <w:rFonts w:ascii="宋体" w:hAnsi="宋体" w:cs="宋体"/>
                <w:b/>
                <w:kern w:val="0"/>
                <w:szCs w:val="21"/>
              </w:rPr>
              <w:t>1</w:t>
            </w:r>
          </w:p>
        </w:tc>
        <w:tc>
          <w:tcPr>
            <w:tcW w:w="1954" w:type="dxa"/>
            <w:tcBorders>
              <w:top w:val="single" w:color="auto" w:sz="4" w:space="0"/>
              <w:left w:val="nil"/>
              <w:bottom w:val="single" w:color="auto" w:sz="4" w:space="0"/>
              <w:right w:val="single" w:color="auto" w:sz="4" w:space="0"/>
            </w:tcBorders>
            <w:vAlign w:val="center"/>
          </w:tcPr>
          <w:p>
            <w:pPr>
              <w:spacing w:line="240" w:lineRule="atLeast"/>
              <w:ind w:left="-27" w:leftChars="-13" w:right="-65" w:rightChars="-31"/>
              <w:jc w:val="left"/>
              <w:rPr>
                <w:rFonts w:ascii="宋体" w:cs="宋体"/>
                <w:b/>
                <w:kern w:val="0"/>
                <w:szCs w:val="21"/>
              </w:rPr>
            </w:pPr>
            <w:r>
              <w:rPr>
                <w:rFonts w:hint="eastAsia" w:ascii="宋体" w:hAnsi="宋体" w:cs="宋体"/>
                <w:b/>
                <w:kern w:val="0"/>
                <w:szCs w:val="21"/>
              </w:rPr>
              <w:t>农、林、牧、渔业</w:t>
            </w:r>
          </w:p>
        </w:tc>
        <w:tc>
          <w:tcPr>
            <w:tcW w:w="1198" w:type="dxa"/>
            <w:tcBorders>
              <w:top w:val="single" w:color="auto" w:sz="4" w:space="0"/>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20000</w:t>
            </w:r>
          </w:p>
        </w:tc>
        <w:tc>
          <w:tcPr>
            <w:tcW w:w="92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941"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500</w:t>
            </w:r>
          </w:p>
        </w:tc>
        <w:tc>
          <w:tcPr>
            <w:tcW w:w="94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99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50</w:t>
            </w:r>
          </w:p>
        </w:tc>
        <w:tc>
          <w:tcPr>
            <w:tcW w:w="96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004"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50</w:t>
            </w:r>
          </w:p>
        </w:tc>
        <w:tc>
          <w:tcPr>
            <w:tcW w:w="883"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85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369" w:hRule="atLeast"/>
          <w:jc w:val="center"/>
        </w:trPr>
        <w:tc>
          <w:tcPr>
            <w:tcW w:w="490" w:type="dxa"/>
            <w:tcBorders>
              <w:top w:val="nil"/>
              <w:left w:val="single" w:color="auto" w:sz="4" w:space="0"/>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b/>
                <w:kern w:val="0"/>
                <w:szCs w:val="21"/>
              </w:rPr>
            </w:pPr>
            <w:r>
              <w:rPr>
                <w:rFonts w:ascii="宋体" w:hAnsi="宋体" w:cs="宋体"/>
                <w:b/>
                <w:kern w:val="0"/>
                <w:szCs w:val="21"/>
              </w:rPr>
              <w:t>2</w:t>
            </w:r>
          </w:p>
        </w:tc>
        <w:tc>
          <w:tcPr>
            <w:tcW w:w="1954" w:type="dxa"/>
            <w:tcBorders>
              <w:top w:val="nil"/>
              <w:left w:val="nil"/>
              <w:bottom w:val="single" w:color="auto" w:sz="4" w:space="0"/>
              <w:right w:val="single" w:color="auto" w:sz="4" w:space="0"/>
            </w:tcBorders>
            <w:vAlign w:val="center"/>
          </w:tcPr>
          <w:p>
            <w:pPr>
              <w:spacing w:line="240" w:lineRule="atLeast"/>
              <w:ind w:left="-27" w:leftChars="-13" w:right="-65" w:rightChars="-31"/>
              <w:jc w:val="left"/>
              <w:rPr>
                <w:rFonts w:ascii="宋体" w:cs="宋体"/>
                <w:b/>
                <w:kern w:val="0"/>
                <w:szCs w:val="21"/>
              </w:rPr>
            </w:pPr>
            <w:r>
              <w:rPr>
                <w:rFonts w:hint="eastAsia" w:ascii="宋体" w:hAnsi="宋体" w:cs="宋体"/>
                <w:b/>
                <w:kern w:val="0"/>
                <w:szCs w:val="21"/>
              </w:rPr>
              <w:t>工业</w:t>
            </w:r>
          </w:p>
        </w:tc>
        <w:tc>
          <w:tcPr>
            <w:tcW w:w="119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40000</w:t>
            </w:r>
          </w:p>
        </w:tc>
        <w:tc>
          <w:tcPr>
            <w:tcW w:w="92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1000</w:t>
            </w:r>
          </w:p>
        </w:tc>
        <w:tc>
          <w:tcPr>
            <w:tcW w:w="941"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2000</w:t>
            </w:r>
          </w:p>
        </w:tc>
        <w:tc>
          <w:tcPr>
            <w:tcW w:w="94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300</w:t>
            </w:r>
          </w:p>
        </w:tc>
        <w:tc>
          <w:tcPr>
            <w:tcW w:w="99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300</w:t>
            </w:r>
          </w:p>
        </w:tc>
        <w:tc>
          <w:tcPr>
            <w:tcW w:w="96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20</w:t>
            </w:r>
          </w:p>
        </w:tc>
        <w:tc>
          <w:tcPr>
            <w:tcW w:w="1004"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300</w:t>
            </w:r>
          </w:p>
        </w:tc>
        <w:tc>
          <w:tcPr>
            <w:tcW w:w="883"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20</w:t>
            </w:r>
          </w:p>
        </w:tc>
        <w:tc>
          <w:tcPr>
            <w:tcW w:w="85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369" w:hRule="atLeast"/>
          <w:jc w:val="center"/>
        </w:trPr>
        <w:tc>
          <w:tcPr>
            <w:tcW w:w="490" w:type="dxa"/>
            <w:tcBorders>
              <w:top w:val="nil"/>
              <w:left w:val="single" w:color="auto" w:sz="4" w:space="0"/>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b/>
                <w:kern w:val="0"/>
                <w:szCs w:val="21"/>
              </w:rPr>
            </w:pPr>
            <w:r>
              <w:rPr>
                <w:rFonts w:ascii="宋体" w:hAnsi="宋体" w:cs="宋体"/>
                <w:b/>
                <w:kern w:val="0"/>
                <w:szCs w:val="21"/>
              </w:rPr>
              <w:t>3</w:t>
            </w:r>
          </w:p>
        </w:tc>
        <w:tc>
          <w:tcPr>
            <w:tcW w:w="1954" w:type="dxa"/>
            <w:tcBorders>
              <w:top w:val="nil"/>
              <w:left w:val="nil"/>
              <w:bottom w:val="single" w:color="auto" w:sz="4" w:space="0"/>
              <w:right w:val="single" w:color="auto" w:sz="4" w:space="0"/>
            </w:tcBorders>
            <w:vAlign w:val="center"/>
          </w:tcPr>
          <w:p>
            <w:pPr>
              <w:spacing w:line="240" w:lineRule="atLeast"/>
              <w:ind w:left="-27" w:leftChars="-13" w:right="-65" w:rightChars="-31"/>
              <w:jc w:val="left"/>
              <w:rPr>
                <w:rFonts w:ascii="宋体" w:cs="宋体"/>
                <w:b/>
                <w:kern w:val="0"/>
                <w:szCs w:val="21"/>
              </w:rPr>
            </w:pPr>
            <w:r>
              <w:rPr>
                <w:rFonts w:hint="eastAsia" w:ascii="宋体" w:hAnsi="宋体" w:cs="宋体"/>
                <w:b/>
                <w:kern w:val="0"/>
                <w:szCs w:val="21"/>
              </w:rPr>
              <w:t>建筑业</w:t>
            </w:r>
          </w:p>
        </w:tc>
        <w:tc>
          <w:tcPr>
            <w:tcW w:w="119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80000</w:t>
            </w:r>
          </w:p>
        </w:tc>
        <w:tc>
          <w:tcPr>
            <w:tcW w:w="92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941"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80000</w:t>
            </w:r>
          </w:p>
        </w:tc>
        <w:tc>
          <w:tcPr>
            <w:tcW w:w="110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5000</w:t>
            </w:r>
          </w:p>
        </w:tc>
        <w:tc>
          <w:tcPr>
            <w:tcW w:w="94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99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5000</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300</w:t>
            </w:r>
          </w:p>
        </w:tc>
        <w:tc>
          <w:tcPr>
            <w:tcW w:w="96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004"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300</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300</w:t>
            </w:r>
          </w:p>
        </w:tc>
        <w:tc>
          <w:tcPr>
            <w:tcW w:w="883"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85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300</w:t>
            </w:r>
          </w:p>
        </w:tc>
      </w:tr>
      <w:tr>
        <w:tblPrEx>
          <w:tblCellMar>
            <w:top w:w="0" w:type="dxa"/>
            <w:left w:w="108" w:type="dxa"/>
            <w:bottom w:w="0" w:type="dxa"/>
            <w:right w:w="108" w:type="dxa"/>
          </w:tblCellMar>
        </w:tblPrEx>
        <w:trPr>
          <w:trHeight w:val="369" w:hRule="atLeast"/>
          <w:jc w:val="center"/>
        </w:trPr>
        <w:tc>
          <w:tcPr>
            <w:tcW w:w="490" w:type="dxa"/>
            <w:tcBorders>
              <w:top w:val="nil"/>
              <w:left w:val="single" w:color="auto" w:sz="4" w:space="0"/>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b/>
                <w:kern w:val="0"/>
                <w:szCs w:val="21"/>
              </w:rPr>
            </w:pPr>
            <w:r>
              <w:rPr>
                <w:rFonts w:ascii="宋体" w:hAnsi="宋体" w:cs="宋体"/>
                <w:b/>
                <w:kern w:val="0"/>
                <w:szCs w:val="21"/>
              </w:rPr>
              <w:t>4</w:t>
            </w:r>
          </w:p>
        </w:tc>
        <w:tc>
          <w:tcPr>
            <w:tcW w:w="1954" w:type="dxa"/>
            <w:tcBorders>
              <w:top w:val="nil"/>
              <w:left w:val="nil"/>
              <w:bottom w:val="single" w:color="auto" w:sz="4" w:space="0"/>
              <w:right w:val="single" w:color="auto" w:sz="4" w:space="0"/>
            </w:tcBorders>
            <w:vAlign w:val="center"/>
          </w:tcPr>
          <w:p>
            <w:pPr>
              <w:spacing w:line="240" w:lineRule="atLeast"/>
              <w:ind w:left="-27" w:leftChars="-13" w:right="-65" w:rightChars="-31"/>
              <w:jc w:val="left"/>
              <w:rPr>
                <w:rFonts w:ascii="宋体" w:cs="宋体"/>
                <w:b/>
                <w:kern w:val="0"/>
                <w:szCs w:val="21"/>
              </w:rPr>
            </w:pPr>
            <w:r>
              <w:rPr>
                <w:rFonts w:hint="eastAsia" w:ascii="宋体" w:hAnsi="宋体" w:cs="宋体"/>
                <w:b/>
                <w:kern w:val="0"/>
                <w:szCs w:val="21"/>
              </w:rPr>
              <w:t>批发业</w:t>
            </w:r>
          </w:p>
        </w:tc>
        <w:tc>
          <w:tcPr>
            <w:tcW w:w="119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40000</w:t>
            </w:r>
          </w:p>
        </w:tc>
        <w:tc>
          <w:tcPr>
            <w:tcW w:w="92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200</w:t>
            </w:r>
          </w:p>
        </w:tc>
        <w:tc>
          <w:tcPr>
            <w:tcW w:w="941"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5000</w:t>
            </w:r>
          </w:p>
        </w:tc>
        <w:tc>
          <w:tcPr>
            <w:tcW w:w="94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20</w:t>
            </w:r>
          </w:p>
        </w:tc>
        <w:tc>
          <w:tcPr>
            <w:tcW w:w="99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1000</w:t>
            </w:r>
          </w:p>
        </w:tc>
        <w:tc>
          <w:tcPr>
            <w:tcW w:w="96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w:t>
            </w:r>
          </w:p>
        </w:tc>
        <w:tc>
          <w:tcPr>
            <w:tcW w:w="1004"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1000</w:t>
            </w:r>
          </w:p>
        </w:tc>
        <w:tc>
          <w:tcPr>
            <w:tcW w:w="883"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5</w:t>
            </w:r>
          </w:p>
        </w:tc>
        <w:tc>
          <w:tcPr>
            <w:tcW w:w="85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369" w:hRule="atLeast"/>
          <w:jc w:val="center"/>
        </w:trPr>
        <w:tc>
          <w:tcPr>
            <w:tcW w:w="490" w:type="dxa"/>
            <w:tcBorders>
              <w:top w:val="nil"/>
              <w:left w:val="single" w:color="auto" w:sz="4" w:space="0"/>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b/>
                <w:kern w:val="0"/>
                <w:szCs w:val="21"/>
              </w:rPr>
            </w:pPr>
            <w:r>
              <w:rPr>
                <w:rFonts w:ascii="宋体" w:hAnsi="宋体" w:cs="宋体"/>
                <w:b/>
                <w:kern w:val="0"/>
                <w:szCs w:val="21"/>
              </w:rPr>
              <w:t>5</w:t>
            </w:r>
          </w:p>
        </w:tc>
        <w:tc>
          <w:tcPr>
            <w:tcW w:w="1954" w:type="dxa"/>
            <w:tcBorders>
              <w:top w:val="nil"/>
              <w:left w:val="nil"/>
              <w:bottom w:val="single" w:color="auto" w:sz="4" w:space="0"/>
              <w:right w:val="single" w:color="auto" w:sz="4" w:space="0"/>
            </w:tcBorders>
            <w:vAlign w:val="center"/>
          </w:tcPr>
          <w:p>
            <w:pPr>
              <w:spacing w:line="240" w:lineRule="atLeast"/>
              <w:ind w:left="-27" w:leftChars="-13" w:right="-65" w:rightChars="-31"/>
              <w:jc w:val="left"/>
              <w:rPr>
                <w:rFonts w:ascii="宋体" w:cs="宋体"/>
                <w:b/>
                <w:kern w:val="0"/>
                <w:szCs w:val="21"/>
              </w:rPr>
            </w:pPr>
            <w:r>
              <w:rPr>
                <w:rFonts w:hint="eastAsia" w:ascii="宋体" w:hAnsi="宋体" w:cs="宋体"/>
                <w:b/>
                <w:kern w:val="0"/>
                <w:szCs w:val="21"/>
              </w:rPr>
              <w:t>零售业</w:t>
            </w:r>
          </w:p>
        </w:tc>
        <w:tc>
          <w:tcPr>
            <w:tcW w:w="119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20000</w:t>
            </w:r>
          </w:p>
        </w:tc>
        <w:tc>
          <w:tcPr>
            <w:tcW w:w="92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300</w:t>
            </w:r>
          </w:p>
        </w:tc>
        <w:tc>
          <w:tcPr>
            <w:tcW w:w="941"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500</w:t>
            </w:r>
          </w:p>
        </w:tc>
        <w:tc>
          <w:tcPr>
            <w:tcW w:w="94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50</w:t>
            </w:r>
          </w:p>
        </w:tc>
        <w:tc>
          <w:tcPr>
            <w:tcW w:w="99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96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w:t>
            </w:r>
          </w:p>
        </w:tc>
        <w:tc>
          <w:tcPr>
            <w:tcW w:w="1004"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883"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w:t>
            </w:r>
          </w:p>
        </w:tc>
        <w:tc>
          <w:tcPr>
            <w:tcW w:w="85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369" w:hRule="atLeast"/>
          <w:jc w:val="center"/>
        </w:trPr>
        <w:tc>
          <w:tcPr>
            <w:tcW w:w="490" w:type="dxa"/>
            <w:tcBorders>
              <w:top w:val="nil"/>
              <w:left w:val="single" w:color="auto" w:sz="4" w:space="0"/>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b/>
                <w:kern w:val="0"/>
                <w:szCs w:val="21"/>
              </w:rPr>
            </w:pPr>
            <w:r>
              <w:rPr>
                <w:rFonts w:ascii="宋体" w:hAnsi="宋体" w:cs="宋体"/>
                <w:b/>
                <w:kern w:val="0"/>
                <w:szCs w:val="21"/>
              </w:rPr>
              <w:t>6</w:t>
            </w:r>
          </w:p>
        </w:tc>
        <w:tc>
          <w:tcPr>
            <w:tcW w:w="1954" w:type="dxa"/>
            <w:tcBorders>
              <w:top w:val="nil"/>
              <w:left w:val="nil"/>
              <w:bottom w:val="single" w:color="auto" w:sz="4" w:space="0"/>
              <w:right w:val="single" w:color="auto" w:sz="4" w:space="0"/>
            </w:tcBorders>
            <w:vAlign w:val="center"/>
          </w:tcPr>
          <w:p>
            <w:pPr>
              <w:spacing w:line="240" w:lineRule="atLeast"/>
              <w:ind w:left="-27" w:leftChars="-13" w:right="-65" w:rightChars="-31"/>
              <w:jc w:val="left"/>
              <w:rPr>
                <w:rFonts w:ascii="宋体" w:cs="宋体"/>
                <w:b/>
                <w:kern w:val="0"/>
                <w:szCs w:val="21"/>
              </w:rPr>
            </w:pPr>
            <w:r>
              <w:rPr>
                <w:rFonts w:hint="eastAsia" w:ascii="宋体" w:hAnsi="宋体" w:cs="宋体"/>
                <w:b/>
                <w:kern w:val="0"/>
                <w:szCs w:val="21"/>
              </w:rPr>
              <w:t>交通运输业</w:t>
            </w:r>
          </w:p>
        </w:tc>
        <w:tc>
          <w:tcPr>
            <w:tcW w:w="119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30000</w:t>
            </w:r>
          </w:p>
        </w:tc>
        <w:tc>
          <w:tcPr>
            <w:tcW w:w="92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1000</w:t>
            </w:r>
          </w:p>
        </w:tc>
        <w:tc>
          <w:tcPr>
            <w:tcW w:w="941"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3000</w:t>
            </w:r>
          </w:p>
        </w:tc>
        <w:tc>
          <w:tcPr>
            <w:tcW w:w="94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300</w:t>
            </w:r>
          </w:p>
        </w:tc>
        <w:tc>
          <w:tcPr>
            <w:tcW w:w="99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200</w:t>
            </w:r>
          </w:p>
        </w:tc>
        <w:tc>
          <w:tcPr>
            <w:tcW w:w="96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20</w:t>
            </w:r>
          </w:p>
        </w:tc>
        <w:tc>
          <w:tcPr>
            <w:tcW w:w="1004"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200</w:t>
            </w:r>
          </w:p>
        </w:tc>
        <w:tc>
          <w:tcPr>
            <w:tcW w:w="883"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20</w:t>
            </w:r>
          </w:p>
        </w:tc>
        <w:tc>
          <w:tcPr>
            <w:tcW w:w="85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369" w:hRule="atLeast"/>
          <w:jc w:val="center"/>
        </w:trPr>
        <w:tc>
          <w:tcPr>
            <w:tcW w:w="490" w:type="dxa"/>
            <w:tcBorders>
              <w:top w:val="nil"/>
              <w:left w:val="single" w:color="auto" w:sz="4" w:space="0"/>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b/>
                <w:kern w:val="0"/>
                <w:szCs w:val="21"/>
              </w:rPr>
            </w:pPr>
            <w:r>
              <w:rPr>
                <w:rFonts w:ascii="宋体" w:hAnsi="宋体" w:cs="宋体"/>
                <w:b/>
                <w:kern w:val="0"/>
                <w:szCs w:val="21"/>
              </w:rPr>
              <w:t>7</w:t>
            </w:r>
          </w:p>
        </w:tc>
        <w:tc>
          <w:tcPr>
            <w:tcW w:w="1954" w:type="dxa"/>
            <w:tcBorders>
              <w:top w:val="nil"/>
              <w:left w:val="nil"/>
              <w:bottom w:val="single" w:color="auto" w:sz="4" w:space="0"/>
              <w:right w:val="single" w:color="auto" w:sz="4" w:space="0"/>
            </w:tcBorders>
            <w:vAlign w:val="center"/>
          </w:tcPr>
          <w:p>
            <w:pPr>
              <w:spacing w:line="240" w:lineRule="atLeast"/>
              <w:ind w:left="-27" w:leftChars="-13" w:right="-65" w:rightChars="-31"/>
              <w:jc w:val="left"/>
              <w:rPr>
                <w:rFonts w:ascii="宋体" w:cs="宋体"/>
                <w:b/>
                <w:kern w:val="0"/>
                <w:szCs w:val="21"/>
              </w:rPr>
            </w:pPr>
            <w:r>
              <w:rPr>
                <w:rFonts w:hint="eastAsia" w:ascii="宋体" w:hAnsi="宋体" w:cs="宋体"/>
                <w:b/>
                <w:kern w:val="0"/>
                <w:szCs w:val="21"/>
              </w:rPr>
              <w:t>仓储业</w:t>
            </w:r>
          </w:p>
        </w:tc>
        <w:tc>
          <w:tcPr>
            <w:tcW w:w="119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30000</w:t>
            </w:r>
          </w:p>
        </w:tc>
        <w:tc>
          <w:tcPr>
            <w:tcW w:w="92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200</w:t>
            </w:r>
          </w:p>
        </w:tc>
        <w:tc>
          <w:tcPr>
            <w:tcW w:w="941"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1000</w:t>
            </w:r>
          </w:p>
        </w:tc>
        <w:tc>
          <w:tcPr>
            <w:tcW w:w="94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99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96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20</w:t>
            </w:r>
          </w:p>
        </w:tc>
        <w:tc>
          <w:tcPr>
            <w:tcW w:w="1004"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883"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20</w:t>
            </w:r>
          </w:p>
        </w:tc>
        <w:tc>
          <w:tcPr>
            <w:tcW w:w="85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369" w:hRule="atLeast"/>
          <w:jc w:val="center"/>
        </w:trPr>
        <w:tc>
          <w:tcPr>
            <w:tcW w:w="490" w:type="dxa"/>
            <w:tcBorders>
              <w:top w:val="nil"/>
              <w:left w:val="single" w:color="auto" w:sz="4" w:space="0"/>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b/>
                <w:kern w:val="0"/>
                <w:szCs w:val="21"/>
              </w:rPr>
            </w:pPr>
            <w:r>
              <w:rPr>
                <w:rFonts w:ascii="宋体" w:hAnsi="宋体" w:cs="宋体"/>
                <w:b/>
                <w:kern w:val="0"/>
                <w:szCs w:val="21"/>
              </w:rPr>
              <w:t>8</w:t>
            </w:r>
          </w:p>
        </w:tc>
        <w:tc>
          <w:tcPr>
            <w:tcW w:w="1954" w:type="dxa"/>
            <w:tcBorders>
              <w:top w:val="nil"/>
              <w:left w:val="nil"/>
              <w:bottom w:val="single" w:color="auto" w:sz="4" w:space="0"/>
              <w:right w:val="single" w:color="auto" w:sz="4" w:space="0"/>
            </w:tcBorders>
            <w:vAlign w:val="center"/>
          </w:tcPr>
          <w:p>
            <w:pPr>
              <w:spacing w:line="240" w:lineRule="atLeast"/>
              <w:ind w:left="-27" w:leftChars="-13" w:right="-65" w:rightChars="-31"/>
              <w:jc w:val="left"/>
              <w:rPr>
                <w:rFonts w:ascii="宋体" w:cs="宋体"/>
                <w:b/>
                <w:kern w:val="0"/>
                <w:szCs w:val="21"/>
              </w:rPr>
            </w:pPr>
            <w:r>
              <w:rPr>
                <w:rFonts w:hint="eastAsia" w:ascii="宋体" w:hAnsi="宋体" w:cs="宋体"/>
                <w:b/>
                <w:kern w:val="0"/>
                <w:szCs w:val="21"/>
              </w:rPr>
              <w:t>邮政业</w:t>
            </w:r>
          </w:p>
        </w:tc>
        <w:tc>
          <w:tcPr>
            <w:tcW w:w="119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30000</w:t>
            </w:r>
          </w:p>
        </w:tc>
        <w:tc>
          <w:tcPr>
            <w:tcW w:w="92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1000</w:t>
            </w:r>
          </w:p>
        </w:tc>
        <w:tc>
          <w:tcPr>
            <w:tcW w:w="941"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2000</w:t>
            </w:r>
          </w:p>
        </w:tc>
        <w:tc>
          <w:tcPr>
            <w:tcW w:w="94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300</w:t>
            </w:r>
          </w:p>
        </w:tc>
        <w:tc>
          <w:tcPr>
            <w:tcW w:w="99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96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20</w:t>
            </w:r>
          </w:p>
        </w:tc>
        <w:tc>
          <w:tcPr>
            <w:tcW w:w="1004"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883"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20</w:t>
            </w:r>
          </w:p>
        </w:tc>
        <w:tc>
          <w:tcPr>
            <w:tcW w:w="85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369" w:hRule="atLeast"/>
          <w:jc w:val="center"/>
        </w:trPr>
        <w:tc>
          <w:tcPr>
            <w:tcW w:w="490" w:type="dxa"/>
            <w:tcBorders>
              <w:top w:val="nil"/>
              <w:left w:val="single" w:color="auto" w:sz="4" w:space="0"/>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b/>
                <w:kern w:val="0"/>
                <w:szCs w:val="21"/>
              </w:rPr>
            </w:pPr>
            <w:r>
              <w:rPr>
                <w:rFonts w:ascii="宋体" w:hAnsi="宋体" w:cs="宋体"/>
                <w:b/>
                <w:kern w:val="0"/>
                <w:szCs w:val="21"/>
              </w:rPr>
              <w:t>9</w:t>
            </w:r>
          </w:p>
        </w:tc>
        <w:tc>
          <w:tcPr>
            <w:tcW w:w="1954" w:type="dxa"/>
            <w:tcBorders>
              <w:top w:val="nil"/>
              <w:left w:val="nil"/>
              <w:bottom w:val="single" w:color="auto" w:sz="4" w:space="0"/>
              <w:right w:val="single" w:color="auto" w:sz="4" w:space="0"/>
            </w:tcBorders>
            <w:vAlign w:val="center"/>
          </w:tcPr>
          <w:p>
            <w:pPr>
              <w:spacing w:line="240" w:lineRule="atLeast"/>
              <w:ind w:left="-27" w:leftChars="-13" w:right="-65" w:rightChars="-31"/>
              <w:jc w:val="left"/>
              <w:rPr>
                <w:rFonts w:ascii="宋体" w:cs="宋体"/>
                <w:b/>
                <w:kern w:val="0"/>
                <w:szCs w:val="21"/>
              </w:rPr>
            </w:pPr>
            <w:r>
              <w:rPr>
                <w:rFonts w:hint="eastAsia" w:ascii="宋体" w:hAnsi="宋体" w:cs="宋体"/>
                <w:b/>
                <w:kern w:val="0"/>
                <w:szCs w:val="21"/>
              </w:rPr>
              <w:t>住宿业</w:t>
            </w:r>
          </w:p>
        </w:tc>
        <w:tc>
          <w:tcPr>
            <w:tcW w:w="119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10000</w:t>
            </w:r>
          </w:p>
        </w:tc>
        <w:tc>
          <w:tcPr>
            <w:tcW w:w="92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300</w:t>
            </w:r>
          </w:p>
        </w:tc>
        <w:tc>
          <w:tcPr>
            <w:tcW w:w="941"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2000</w:t>
            </w:r>
          </w:p>
        </w:tc>
        <w:tc>
          <w:tcPr>
            <w:tcW w:w="94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99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96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w:t>
            </w:r>
          </w:p>
        </w:tc>
        <w:tc>
          <w:tcPr>
            <w:tcW w:w="1004"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883"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w:t>
            </w:r>
          </w:p>
        </w:tc>
        <w:tc>
          <w:tcPr>
            <w:tcW w:w="85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369" w:hRule="atLeast"/>
          <w:jc w:val="center"/>
        </w:trPr>
        <w:tc>
          <w:tcPr>
            <w:tcW w:w="490" w:type="dxa"/>
            <w:tcBorders>
              <w:top w:val="nil"/>
              <w:left w:val="single" w:color="auto" w:sz="4" w:space="0"/>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b/>
                <w:kern w:val="0"/>
                <w:szCs w:val="21"/>
              </w:rPr>
            </w:pPr>
            <w:r>
              <w:rPr>
                <w:rFonts w:ascii="宋体" w:hAnsi="宋体" w:cs="宋体"/>
                <w:b/>
                <w:kern w:val="0"/>
                <w:szCs w:val="21"/>
              </w:rPr>
              <w:t>10</w:t>
            </w:r>
          </w:p>
        </w:tc>
        <w:tc>
          <w:tcPr>
            <w:tcW w:w="1954" w:type="dxa"/>
            <w:tcBorders>
              <w:top w:val="nil"/>
              <w:left w:val="nil"/>
              <w:bottom w:val="single" w:color="auto" w:sz="4" w:space="0"/>
              <w:right w:val="single" w:color="auto" w:sz="4" w:space="0"/>
            </w:tcBorders>
            <w:vAlign w:val="center"/>
          </w:tcPr>
          <w:p>
            <w:pPr>
              <w:spacing w:line="240" w:lineRule="atLeast"/>
              <w:ind w:left="-27" w:leftChars="-13" w:right="-65" w:rightChars="-31"/>
              <w:jc w:val="left"/>
              <w:rPr>
                <w:rFonts w:ascii="宋体" w:cs="宋体"/>
                <w:b/>
                <w:kern w:val="0"/>
                <w:szCs w:val="21"/>
              </w:rPr>
            </w:pPr>
            <w:r>
              <w:rPr>
                <w:rFonts w:hint="eastAsia" w:ascii="宋体" w:hAnsi="宋体" w:cs="宋体"/>
                <w:b/>
                <w:kern w:val="0"/>
                <w:szCs w:val="21"/>
              </w:rPr>
              <w:t>餐饮业</w:t>
            </w:r>
          </w:p>
        </w:tc>
        <w:tc>
          <w:tcPr>
            <w:tcW w:w="119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10000</w:t>
            </w:r>
          </w:p>
        </w:tc>
        <w:tc>
          <w:tcPr>
            <w:tcW w:w="92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300</w:t>
            </w:r>
          </w:p>
        </w:tc>
        <w:tc>
          <w:tcPr>
            <w:tcW w:w="941"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2000</w:t>
            </w:r>
          </w:p>
        </w:tc>
        <w:tc>
          <w:tcPr>
            <w:tcW w:w="94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99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96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w:t>
            </w:r>
          </w:p>
        </w:tc>
        <w:tc>
          <w:tcPr>
            <w:tcW w:w="1004"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883"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w:t>
            </w:r>
          </w:p>
        </w:tc>
        <w:tc>
          <w:tcPr>
            <w:tcW w:w="85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369" w:hRule="atLeast"/>
          <w:jc w:val="center"/>
        </w:trPr>
        <w:tc>
          <w:tcPr>
            <w:tcW w:w="490" w:type="dxa"/>
            <w:tcBorders>
              <w:top w:val="nil"/>
              <w:left w:val="single" w:color="auto" w:sz="4" w:space="0"/>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b/>
                <w:kern w:val="0"/>
                <w:szCs w:val="21"/>
              </w:rPr>
            </w:pPr>
            <w:r>
              <w:rPr>
                <w:rFonts w:ascii="宋体" w:hAnsi="宋体" w:cs="宋体"/>
                <w:b/>
                <w:kern w:val="0"/>
                <w:szCs w:val="21"/>
              </w:rPr>
              <w:t>11</w:t>
            </w:r>
          </w:p>
        </w:tc>
        <w:tc>
          <w:tcPr>
            <w:tcW w:w="1954" w:type="dxa"/>
            <w:tcBorders>
              <w:top w:val="nil"/>
              <w:left w:val="nil"/>
              <w:bottom w:val="single" w:color="auto" w:sz="4" w:space="0"/>
              <w:right w:val="single" w:color="auto" w:sz="4" w:space="0"/>
            </w:tcBorders>
            <w:vAlign w:val="center"/>
          </w:tcPr>
          <w:p>
            <w:pPr>
              <w:spacing w:line="240" w:lineRule="atLeast"/>
              <w:ind w:left="-27" w:leftChars="-13" w:right="-65" w:rightChars="-31"/>
              <w:jc w:val="left"/>
              <w:rPr>
                <w:rFonts w:ascii="宋体" w:cs="宋体"/>
                <w:b/>
                <w:kern w:val="0"/>
                <w:szCs w:val="21"/>
              </w:rPr>
            </w:pPr>
            <w:r>
              <w:rPr>
                <w:rFonts w:hint="eastAsia" w:ascii="宋体" w:hAnsi="宋体" w:cs="宋体"/>
                <w:b/>
                <w:kern w:val="0"/>
                <w:szCs w:val="21"/>
              </w:rPr>
              <w:t>信息传输业</w:t>
            </w:r>
          </w:p>
        </w:tc>
        <w:tc>
          <w:tcPr>
            <w:tcW w:w="119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100000</w:t>
            </w:r>
          </w:p>
        </w:tc>
        <w:tc>
          <w:tcPr>
            <w:tcW w:w="92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2000</w:t>
            </w:r>
          </w:p>
        </w:tc>
        <w:tc>
          <w:tcPr>
            <w:tcW w:w="941"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1000</w:t>
            </w:r>
          </w:p>
        </w:tc>
        <w:tc>
          <w:tcPr>
            <w:tcW w:w="94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99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96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w:t>
            </w:r>
          </w:p>
        </w:tc>
        <w:tc>
          <w:tcPr>
            <w:tcW w:w="1004"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883"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w:t>
            </w:r>
          </w:p>
        </w:tc>
        <w:tc>
          <w:tcPr>
            <w:tcW w:w="85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369" w:hRule="atLeast"/>
          <w:jc w:val="center"/>
        </w:trPr>
        <w:tc>
          <w:tcPr>
            <w:tcW w:w="490" w:type="dxa"/>
            <w:tcBorders>
              <w:top w:val="nil"/>
              <w:left w:val="single" w:color="auto" w:sz="4" w:space="0"/>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b/>
                <w:kern w:val="0"/>
                <w:szCs w:val="21"/>
              </w:rPr>
            </w:pPr>
            <w:r>
              <w:rPr>
                <w:rFonts w:ascii="宋体" w:hAnsi="宋体" w:cs="宋体"/>
                <w:b/>
                <w:kern w:val="0"/>
                <w:szCs w:val="21"/>
              </w:rPr>
              <w:t>12</w:t>
            </w:r>
          </w:p>
        </w:tc>
        <w:tc>
          <w:tcPr>
            <w:tcW w:w="1954" w:type="dxa"/>
            <w:tcBorders>
              <w:top w:val="nil"/>
              <w:left w:val="nil"/>
              <w:bottom w:val="single" w:color="auto" w:sz="4" w:space="0"/>
              <w:right w:val="single" w:color="auto" w:sz="4" w:space="0"/>
            </w:tcBorders>
            <w:vAlign w:val="center"/>
          </w:tcPr>
          <w:p>
            <w:pPr>
              <w:spacing w:line="240" w:lineRule="atLeast"/>
              <w:ind w:left="-27" w:leftChars="-13" w:right="-65" w:rightChars="-31"/>
              <w:jc w:val="left"/>
              <w:rPr>
                <w:rFonts w:ascii="宋体" w:cs="宋体"/>
                <w:b/>
                <w:kern w:val="0"/>
                <w:szCs w:val="21"/>
              </w:rPr>
            </w:pPr>
            <w:r>
              <w:rPr>
                <w:rFonts w:hint="eastAsia" w:ascii="宋体" w:hAnsi="宋体" w:cs="宋体"/>
                <w:b/>
                <w:kern w:val="0"/>
                <w:szCs w:val="21"/>
              </w:rPr>
              <w:t>软件和信息技术服务业</w:t>
            </w:r>
          </w:p>
        </w:tc>
        <w:tc>
          <w:tcPr>
            <w:tcW w:w="119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10000</w:t>
            </w:r>
          </w:p>
        </w:tc>
        <w:tc>
          <w:tcPr>
            <w:tcW w:w="92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300</w:t>
            </w:r>
          </w:p>
        </w:tc>
        <w:tc>
          <w:tcPr>
            <w:tcW w:w="941"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1000</w:t>
            </w:r>
          </w:p>
        </w:tc>
        <w:tc>
          <w:tcPr>
            <w:tcW w:w="94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99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50</w:t>
            </w:r>
          </w:p>
        </w:tc>
        <w:tc>
          <w:tcPr>
            <w:tcW w:w="96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w:t>
            </w:r>
          </w:p>
        </w:tc>
        <w:tc>
          <w:tcPr>
            <w:tcW w:w="1004"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50</w:t>
            </w:r>
          </w:p>
        </w:tc>
        <w:tc>
          <w:tcPr>
            <w:tcW w:w="883"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w:t>
            </w:r>
          </w:p>
        </w:tc>
        <w:tc>
          <w:tcPr>
            <w:tcW w:w="85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369" w:hRule="atLeast"/>
          <w:jc w:val="center"/>
        </w:trPr>
        <w:tc>
          <w:tcPr>
            <w:tcW w:w="490" w:type="dxa"/>
            <w:tcBorders>
              <w:top w:val="nil"/>
              <w:left w:val="single" w:color="auto" w:sz="4" w:space="0"/>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b/>
                <w:kern w:val="0"/>
                <w:szCs w:val="21"/>
              </w:rPr>
            </w:pPr>
            <w:r>
              <w:rPr>
                <w:rFonts w:ascii="宋体" w:hAnsi="宋体" w:cs="宋体"/>
                <w:b/>
                <w:kern w:val="0"/>
                <w:szCs w:val="21"/>
              </w:rPr>
              <w:t>13</w:t>
            </w:r>
          </w:p>
        </w:tc>
        <w:tc>
          <w:tcPr>
            <w:tcW w:w="1954" w:type="dxa"/>
            <w:tcBorders>
              <w:top w:val="nil"/>
              <w:left w:val="nil"/>
              <w:bottom w:val="single" w:color="auto" w:sz="4" w:space="0"/>
              <w:right w:val="single" w:color="auto" w:sz="4" w:space="0"/>
            </w:tcBorders>
            <w:vAlign w:val="center"/>
          </w:tcPr>
          <w:p>
            <w:pPr>
              <w:spacing w:line="240" w:lineRule="atLeast"/>
              <w:ind w:left="-27" w:leftChars="-13" w:right="-65" w:rightChars="-31"/>
              <w:jc w:val="left"/>
              <w:rPr>
                <w:rFonts w:ascii="宋体" w:cs="宋体"/>
                <w:b/>
                <w:kern w:val="0"/>
                <w:szCs w:val="21"/>
              </w:rPr>
            </w:pPr>
            <w:r>
              <w:rPr>
                <w:rFonts w:hint="eastAsia" w:ascii="宋体" w:hAnsi="宋体" w:cs="宋体"/>
                <w:b/>
                <w:kern w:val="0"/>
                <w:szCs w:val="21"/>
              </w:rPr>
              <w:t>房地产开发经验</w:t>
            </w:r>
          </w:p>
        </w:tc>
        <w:tc>
          <w:tcPr>
            <w:tcW w:w="119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200000</w:t>
            </w:r>
          </w:p>
        </w:tc>
        <w:tc>
          <w:tcPr>
            <w:tcW w:w="92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941"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或</w:t>
            </w:r>
            <w:r>
              <w:rPr>
                <w:rFonts w:ascii="宋体" w:cs="宋体"/>
                <w:kern w:val="0"/>
                <w:szCs w:val="21"/>
              </w:rPr>
              <w:t>,</w:t>
            </w:r>
            <w:r>
              <w:rPr>
                <w:rFonts w:hint="eastAsia" w:ascii="宋体" w:hAnsi="宋体" w:cs="宋体"/>
                <w:kern w:val="0"/>
                <w:szCs w:val="21"/>
              </w:rPr>
              <w:t>≥</w:t>
            </w:r>
            <w:r>
              <w:rPr>
                <w:rFonts w:ascii="宋体" w:hAnsi="宋体" w:cs="宋体"/>
                <w:kern w:val="0"/>
                <w:szCs w:val="21"/>
              </w:rPr>
              <w:t>10000</w:t>
            </w:r>
          </w:p>
        </w:tc>
        <w:tc>
          <w:tcPr>
            <w:tcW w:w="110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1000</w:t>
            </w:r>
          </w:p>
        </w:tc>
        <w:tc>
          <w:tcPr>
            <w:tcW w:w="94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99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且</w:t>
            </w:r>
            <w:r>
              <w:rPr>
                <w:rFonts w:ascii="宋体" w:cs="宋体"/>
                <w:kern w:val="0"/>
                <w:szCs w:val="21"/>
              </w:rPr>
              <w:t>,</w:t>
            </w:r>
            <w:r>
              <w:rPr>
                <w:rFonts w:hint="eastAsia" w:ascii="宋体" w:hAnsi="宋体" w:cs="宋体"/>
                <w:kern w:val="0"/>
                <w:szCs w:val="21"/>
              </w:rPr>
              <w:t>≥</w:t>
            </w:r>
            <w:r>
              <w:rPr>
                <w:rFonts w:ascii="宋体" w:hAnsi="宋体" w:cs="宋体"/>
                <w:kern w:val="0"/>
                <w:szCs w:val="21"/>
              </w:rPr>
              <w:t>5000</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96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004"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且</w:t>
            </w:r>
            <w:r>
              <w:rPr>
                <w:rFonts w:ascii="宋体" w:cs="宋体"/>
                <w:kern w:val="0"/>
                <w:szCs w:val="21"/>
              </w:rPr>
              <w:t>,</w:t>
            </w:r>
            <w:r>
              <w:rPr>
                <w:rFonts w:hint="eastAsia" w:ascii="宋体" w:hAnsi="宋体" w:cs="宋体"/>
                <w:kern w:val="0"/>
                <w:szCs w:val="21"/>
              </w:rPr>
              <w:t>≥</w:t>
            </w:r>
            <w:r>
              <w:rPr>
                <w:rFonts w:ascii="宋体" w:hAnsi="宋体" w:cs="宋体"/>
                <w:kern w:val="0"/>
                <w:szCs w:val="21"/>
              </w:rPr>
              <w:t>2000</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883"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85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或</w:t>
            </w:r>
            <w:r>
              <w:rPr>
                <w:rFonts w:ascii="宋体" w:cs="宋体"/>
                <w:kern w:val="0"/>
                <w:szCs w:val="21"/>
              </w:rPr>
              <w:t>,</w:t>
            </w:r>
            <w:r>
              <w:rPr>
                <w:rFonts w:hint="eastAsia" w:ascii="宋体" w:hAnsi="宋体" w:cs="宋体"/>
                <w:kern w:val="0"/>
                <w:szCs w:val="21"/>
              </w:rPr>
              <w:t>＜</w:t>
            </w:r>
            <w:r>
              <w:rPr>
                <w:rFonts w:ascii="宋体" w:hAnsi="宋体" w:cs="宋体"/>
                <w:kern w:val="0"/>
                <w:szCs w:val="21"/>
              </w:rPr>
              <w:t>2000</w:t>
            </w:r>
          </w:p>
        </w:tc>
      </w:tr>
      <w:tr>
        <w:tblPrEx>
          <w:tblCellMar>
            <w:top w:w="0" w:type="dxa"/>
            <w:left w:w="108" w:type="dxa"/>
            <w:bottom w:w="0" w:type="dxa"/>
            <w:right w:w="108" w:type="dxa"/>
          </w:tblCellMar>
        </w:tblPrEx>
        <w:trPr>
          <w:trHeight w:val="369" w:hRule="atLeast"/>
          <w:jc w:val="center"/>
        </w:trPr>
        <w:tc>
          <w:tcPr>
            <w:tcW w:w="490" w:type="dxa"/>
            <w:tcBorders>
              <w:top w:val="nil"/>
              <w:left w:val="single" w:color="auto" w:sz="4" w:space="0"/>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b/>
                <w:kern w:val="0"/>
                <w:szCs w:val="21"/>
              </w:rPr>
            </w:pPr>
            <w:r>
              <w:rPr>
                <w:rFonts w:ascii="宋体" w:hAnsi="宋体" w:cs="宋体"/>
                <w:b/>
                <w:kern w:val="0"/>
                <w:szCs w:val="21"/>
              </w:rPr>
              <w:t>14</w:t>
            </w:r>
          </w:p>
        </w:tc>
        <w:tc>
          <w:tcPr>
            <w:tcW w:w="1954" w:type="dxa"/>
            <w:tcBorders>
              <w:top w:val="nil"/>
              <w:left w:val="nil"/>
              <w:bottom w:val="single" w:color="auto" w:sz="4" w:space="0"/>
              <w:right w:val="single" w:color="auto" w:sz="4" w:space="0"/>
            </w:tcBorders>
            <w:vAlign w:val="center"/>
          </w:tcPr>
          <w:p>
            <w:pPr>
              <w:spacing w:line="240" w:lineRule="atLeast"/>
              <w:ind w:left="-27" w:leftChars="-13" w:right="-65" w:rightChars="-31"/>
              <w:jc w:val="left"/>
              <w:rPr>
                <w:rFonts w:ascii="宋体" w:cs="宋体"/>
                <w:b/>
                <w:kern w:val="0"/>
                <w:szCs w:val="21"/>
              </w:rPr>
            </w:pPr>
            <w:r>
              <w:rPr>
                <w:rFonts w:hint="eastAsia" w:ascii="宋体" w:hAnsi="宋体" w:cs="宋体"/>
                <w:b/>
                <w:kern w:val="0"/>
                <w:szCs w:val="21"/>
              </w:rPr>
              <w:t>物业管理</w:t>
            </w:r>
          </w:p>
        </w:tc>
        <w:tc>
          <w:tcPr>
            <w:tcW w:w="119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5000</w:t>
            </w:r>
          </w:p>
        </w:tc>
        <w:tc>
          <w:tcPr>
            <w:tcW w:w="92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1000</w:t>
            </w:r>
          </w:p>
        </w:tc>
        <w:tc>
          <w:tcPr>
            <w:tcW w:w="941"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1000</w:t>
            </w:r>
          </w:p>
        </w:tc>
        <w:tc>
          <w:tcPr>
            <w:tcW w:w="94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300</w:t>
            </w:r>
          </w:p>
        </w:tc>
        <w:tc>
          <w:tcPr>
            <w:tcW w:w="99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500</w:t>
            </w:r>
          </w:p>
        </w:tc>
        <w:tc>
          <w:tcPr>
            <w:tcW w:w="96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1004"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500</w:t>
            </w:r>
          </w:p>
        </w:tc>
        <w:tc>
          <w:tcPr>
            <w:tcW w:w="883"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85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369" w:hRule="atLeast"/>
          <w:jc w:val="center"/>
        </w:trPr>
        <w:tc>
          <w:tcPr>
            <w:tcW w:w="490" w:type="dxa"/>
            <w:tcBorders>
              <w:top w:val="nil"/>
              <w:left w:val="single" w:color="auto" w:sz="4" w:space="0"/>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b/>
                <w:kern w:val="0"/>
                <w:szCs w:val="21"/>
              </w:rPr>
            </w:pPr>
            <w:r>
              <w:rPr>
                <w:rFonts w:ascii="宋体" w:hAnsi="宋体" w:cs="宋体"/>
                <w:b/>
                <w:kern w:val="0"/>
                <w:szCs w:val="21"/>
              </w:rPr>
              <w:t>15</w:t>
            </w:r>
          </w:p>
        </w:tc>
        <w:tc>
          <w:tcPr>
            <w:tcW w:w="1954" w:type="dxa"/>
            <w:tcBorders>
              <w:top w:val="nil"/>
              <w:left w:val="nil"/>
              <w:bottom w:val="single" w:color="auto" w:sz="4" w:space="0"/>
              <w:right w:val="single" w:color="auto" w:sz="4" w:space="0"/>
            </w:tcBorders>
            <w:vAlign w:val="center"/>
          </w:tcPr>
          <w:p>
            <w:pPr>
              <w:spacing w:line="240" w:lineRule="atLeast"/>
              <w:ind w:left="-27" w:leftChars="-13" w:right="-65" w:rightChars="-31"/>
              <w:jc w:val="left"/>
              <w:rPr>
                <w:rFonts w:ascii="宋体" w:cs="宋体"/>
                <w:b/>
                <w:kern w:val="0"/>
                <w:szCs w:val="21"/>
              </w:rPr>
            </w:pPr>
            <w:r>
              <w:rPr>
                <w:rFonts w:hint="eastAsia" w:ascii="宋体" w:hAnsi="宋体" w:cs="宋体"/>
                <w:b/>
                <w:kern w:val="0"/>
                <w:szCs w:val="21"/>
              </w:rPr>
              <w:t>租赁和商务服务业</w:t>
            </w:r>
          </w:p>
        </w:tc>
        <w:tc>
          <w:tcPr>
            <w:tcW w:w="119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92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300</w:t>
            </w:r>
          </w:p>
        </w:tc>
        <w:tc>
          <w:tcPr>
            <w:tcW w:w="941"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或</w:t>
            </w:r>
            <w:r>
              <w:rPr>
                <w:rFonts w:ascii="宋体" w:cs="宋体"/>
                <w:kern w:val="0"/>
                <w:szCs w:val="21"/>
              </w:rPr>
              <w:t>,</w:t>
            </w:r>
            <w:r>
              <w:rPr>
                <w:rFonts w:hint="eastAsia" w:ascii="宋体" w:hAnsi="宋体" w:cs="宋体"/>
                <w:kern w:val="0"/>
                <w:szCs w:val="21"/>
              </w:rPr>
              <w:t>≥</w:t>
            </w:r>
            <w:r>
              <w:rPr>
                <w:rFonts w:ascii="宋体" w:hAnsi="宋体" w:cs="宋体"/>
                <w:kern w:val="0"/>
                <w:szCs w:val="21"/>
              </w:rPr>
              <w:t>120000</w:t>
            </w:r>
          </w:p>
        </w:tc>
        <w:tc>
          <w:tcPr>
            <w:tcW w:w="110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94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99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且</w:t>
            </w:r>
            <w:r>
              <w:rPr>
                <w:rFonts w:ascii="宋体" w:cs="宋体"/>
                <w:kern w:val="0"/>
                <w:szCs w:val="21"/>
              </w:rPr>
              <w:t>,</w:t>
            </w:r>
            <w:r>
              <w:rPr>
                <w:rFonts w:hint="eastAsia" w:ascii="宋体" w:hAnsi="宋体" w:cs="宋体"/>
                <w:kern w:val="0"/>
                <w:szCs w:val="21"/>
              </w:rPr>
              <w:t>≥</w:t>
            </w:r>
            <w:r>
              <w:rPr>
                <w:rFonts w:ascii="宋体" w:hAnsi="宋体" w:cs="宋体"/>
                <w:kern w:val="0"/>
                <w:szCs w:val="21"/>
              </w:rPr>
              <w:t>8000</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96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w:t>
            </w:r>
          </w:p>
        </w:tc>
        <w:tc>
          <w:tcPr>
            <w:tcW w:w="1004"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且</w:t>
            </w:r>
            <w:r>
              <w:rPr>
                <w:rFonts w:ascii="宋体" w:cs="宋体"/>
                <w:kern w:val="0"/>
                <w:szCs w:val="21"/>
              </w:rPr>
              <w:t>,</w:t>
            </w:r>
            <w:r>
              <w:rPr>
                <w:rFonts w:hint="eastAsia" w:ascii="宋体" w:hAnsi="宋体" w:cs="宋体"/>
                <w:kern w:val="0"/>
                <w:szCs w:val="21"/>
              </w:rPr>
              <w:t>≥</w:t>
            </w:r>
            <w:r>
              <w:rPr>
                <w:rFonts w:ascii="宋体" w:hAnsi="宋体" w:cs="宋体"/>
                <w:kern w:val="0"/>
                <w:szCs w:val="21"/>
              </w:rPr>
              <w:t>100</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883"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w:t>
            </w:r>
          </w:p>
        </w:tc>
        <w:tc>
          <w:tcPr>
            <w:tcW w:w="85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或</w:t>
            </w:r>
            <w:r>
              <w:rPr>
                <w:rFonts w:ascii="宋体" w:cs="宋体"/>
                <w:kern w:val="0"/>
                <w:szCs w:val="21"/>
              </w:rPr>
              <w:t>,</w:t>
            </w:r>
            <w:r>
              <w:rPr>
                <w:rFonts w:hint="eastAsia" w:ascii="宋体" w:hAnsi="宋体" w:cs="宋体"/>
                <w:kern w:val="0"/>
                <w:szCs w:val="21"/>
              </w:rPr>
              <w:t>＜</w:t>
            </w:r>
            <w:r>
              <w:rPr>
                <w:rFonts w:ascii="宋体" w:hAnsi="宋体" w:cs="宋体"/>
                <w:kern w:val="0"/>
                <w:szCs w:val="21"/>
              </w:rPr>
              <w:t>100</w:t>
            </w:r>
          </w:p>
        </w:tc>
      </w:tr>
      <w:tr>
        <w:tblPrEx>
          <w:tblCellMar>
            <w:top w:w="0" w:type="dxa"/>
            <w:left w:w="108" w:type="dxa"/>
            <w:bottom w:w="0" w:type="dxa"/>
            <w:right w:w="108" w:type="dxa"/>
          </w:tblCellMar>
        </w:tblPrEx>
        <w:trPr>
          <w:trHeight w:val="369" w:hRule="atLeast"/>
          <w:jc w:val="center"/>
        </w:trPr>
        <w:tc>
          <w:tcPr>
            <w:tcW w:w="490" w:type="dxa"/>
            <w:tcBorders>
              <w:top w:val="nil"/>
              <w:left w:val="single" w:color="auto" w:sz="4" w:space="0"/>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b/>
                <w:kern w:val="0"/>
                <w:szCs w:val="21"/>
              </w:rPr>
            </w:pPr>
            <w:r>
              <w:rPr>
                <w:rFonts w:ascii="宋体" w:hAnsi="宋体" w:cs="宋体"/>
                <w:b/>
                <w:kern w:val="0"/>
                <w:szCs w:val="21"/>
              </w:rPr>
              <w:t>16</w:t>
            </w:r>
          </w:p>
        </w:tc>
        <w:tc>
          <w:tcPr>
            <w:tcW w:w="1954" w:type="dxa"/>
            <w:tcBorders>
              <w:top w:val="nil"/>
              <w:left w:val="nil"/>
              <w:bottom w:val="single" w:color="auto" w:sz="4" w:space="0"/>
              <w:right w:val="single" w:color="auto" w:sz="4" w:space="0"/>
            </w:tcBorders>
            <w:vAlign w:val="center"/>
          </w:tcPr>
          <w:p>
            <w:pPr>
              <w:spacing w:line="240" w:lineRule="atLeast"/>
              <w:ind w:left="-27" w:leftChars="-13" w:right="-65" w:rightChars="-31"/>
              <w:jc w:val="left"/>
              <w:rPr>
                <w:rFonts w:ascii="宋体" w:cs="宋体"/>
                <w:b/>
                <w:kern w:val="0"/>
                <w:szCs w:val="21"/>
              </w:rPr>
            </w:pPr>
            <w:r>
              <w:rPr>
                <w:rFonts w:hint="eastAsia" w:ascii="宋体" w:hAnsi="宋体" w:cs="宋体"/>
                <w:b/>
                <w:kern w:val="0"/>
                <w:szCs w:val="21"/>
              </w:rPr>
              <w:t>其他未列明行业</w:t>
            </w:r>
          </w:p>
        </w:tc>
        <w:tc>
          <w:tcPr>
            <w:tcW w:w="119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92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300</w:t>
            </w:r>
          </w:p>
        </w:tc>
        <w:tc>
          <w:tcPr>
            <w:tcW w:w="941"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　</w:t>
            </w:r>
          </w:p>
        </w:tc>
        <w:tc>
          <w:tcPr>
            <w:tcW w:w="943" w:type="dxa"/>
            <w:tcBorders>
              <w:top w:val="nil"/>
              <w:left w:val="nil"/>
              <w:bottom w:val="single" w:color="auto" w:sz="4" w:space="0"/>
              <w:right w:val="single" w:color="auto" w:sz="4" w:space="0"/>
            </w:tcBorders>
            <w:vAlign w:val="center"/>
          </w:tcPr>
          <w:p>
            <w:pPr>
              <w:widowControl/>
              <w:spacing w:line="240" w:lineRule="atLeast"/>
              <w:ind w:left="-107" w:leftChars="-51" w:right="-107" w:rightChars="-51"/>
              <w:jc w:val="center"/>
              <w:rPr>
                <w:rFonts w:ascii="宋体" w:cs="宋体"/>
                <w:kern w:val="0"/>
                <w:szCs w:val="21"/>
              </w:rPr>
            </w:pPr>
            <w:r>
              <w:rPr>
                <w:rFonts w:hint="eastAsia" w:ascii="宋体" w:hAnsi="宋体" w:cs="宋体"/>
                <w:kern w:val="0"/>
                <w:szCs w:val="21"/>
              </w:rPr>
              <w:t>≥</w:t>
            </w:r>
            <w:r>
              <w:rPr>
                <w:rFonts w:ascii="宋体" w:hAnsi="宋体" w:cs="宋体"/>
                <w:kern w:val="0"/>
                <w:szCs w:val="21"/>
              </w:rPr>
              <w:t>100</w:t>
            </w:r>
          </w:p>
        </w:tc>
        <w:tc>
          <w:tcPr>
            <w:tcW w:w="99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96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w:t>
            </w:r>
          </w:p>
        </w:tc>
        <w:tc>
          <w:tcPr>
            <w:tcW w:w="1004"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1108"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c>
          <w:tcPr>
            <w:tcW w:w="883"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w:t>
            </w:r>
            <w:r>
              <w:rPr>
                <w:rFonts w:ascii="宋体" w:hAnsi="宋体" w:cs="宋体"/>
                <w:kern w:val="0"/>
                <w:szCs w:val="21"/>
              </w:rPr>
              <w:t>10</w:t>
            </w:r>
          </w:p>
        </w:tc>
        <w:tc>
          <w:tcPr>
            <w:tcW w:w="851" w:type="dxa"/>
            <w:tcBorders>
              <w:top w:val="nil"/>
              <w:left w:val="nil"/>
              <w:bottom w:val="single" w:color="auto" w:sz="4" w:space="0"/>
              <w:right w:val="single" w:color="auto" w:sz="4" w:space="0"/>
            </w:tcBorders>
            <w:vAlign w:val="center"/>
          </w:tcPr>
          <w:p>
            <w:pPr>
              <w:widowControl/>
              <w:spacing w:line="240" w:lineRule="atLeast"/>
              <w:jc w:val="center"/>
              <w:rPr>
                <w:rFonts w:ascii="宋体" w:cs="宋体"/>
                <w:kern w:val="0"/>
                <w:szCs w:val="21"/>
              </w:rPr>
            </w:pPr>
            <w:r>
              <w:rPr>
                <w:rFonts w:hint="eastAsia" w:ascii="宋体" w:hAnsi="宋体" w:cs="宋体"/>
                <w:kern w:val="0"/>
                <w:szCs w:val="21"/>
              </w:rPr>
              <w:t>　</w:t>
            </w:r>
          </w:p>
        </w:tc>
      </w:tr>
    </w:tbl>
    <w:p>
      <w:pPr>
        <w:sectPr>
          <w:pgSz w:w="16838" w:h="11906" w:orient="landscape"/>
          <w:pgMar w:top="1191" w:right="1134" w:bottom="1191" w:left="1134" w:header="851" w:footer="851" w:gutter="0"/>
          <w:cols w:space="425" w:num="1"/>
          <w:docGrid w:type="lines" w:linePitch="312" w:charSpace="0"/>
        </w:sectPr>
      </w:pPr>
    </w:p>
    <w:p>
      <w:pPr>
        <w:pStyle w:val="4"/>
        <w:numPr>
          <w:ilvl w:val="0"/>
          <w:numId w:val="61"/>
        </w:numPr>
        <w:spacing w:before="100" w:beforeAutospacing="1" w:afterLines="50" w:line="360" w:lineRule="auto"/>
        <w:ind w:left="1288" w:hanging="1288"/>
        <w:rPr>
          <w:rFonts w:ascii="宋体"/>
        </w:rPr>
      </w:pPr>
      <w:bookmarkStart w:id="141" w:name="_Toc494665557"/>
      <w:bookmarkStart w:id="142" w:name="_Toc494702274"/>
      <w:bookmarkStart w:id="143" w:name="_Toc494665954"/>
      <w:bookmarkStart w:id="144" w:name="_Toc494665004"/>
      <w:bookmarkStart w:id="145" w:name="_Toc494745321"/>
      <w:bookmarkStart w:id="146" w:name="_Toc494721104"/>
      <w:bookmarkStart w:id="147" w:name="_Toc106268631"/>
      <w:r>
        <w:rPr>
          <w:rFonts w:hint="eastAsia" w:ascii="宋体" w:hAnsi="宋体"/>
        </w:rPr>
        <w:t>残疾人福利性单位声明函</w:t>
      </w:r>
      <w:bookmarkEnd w:id="141"/>
      <w:bookmarkEnd w:id="142"/>
      <w:bookmarkEnd w:id="143"/>
      <w:bookmarkEnd w:id="144"/>
      <w:bookmarkEnd w:id="145"/>
      <w:bookmarkEnd w:id="146"/>
      <w:bookmarkEnd w:id="147"/>
    </w:p>
    <w:p>
      <w:pPr>
        <w:adjustRightInd w:val="0"/>
        <w:snapToGrid w:val="0"/>
        <w:jc w:val="center"/>
        <w:rPr>
          <w:rFonts w:ascii="宋体"/>
          <w:b/>
          <w:sz w:val="30"/>
          <w:szCs w:val="30"/>
          <w:lang w:val="zh-CN"/>
        </w:rPr>
      </w:pPr>
      <w:r>
        <w:rPr>
          <w:rFonts w:hint="eastAsia" w:ascii="宋体" w:hAnsi="宋体"/>
          <w:b/>
          <w:sz w:val="30"/>
          <w:szCs w:val="30"/>
          <w:lang w:val="zh-CN"/>
        </w:rPr>
        <w:t>残疾人福利性单位声明函</w:t>
      </w:r>
    </w:p>
    <w:p>
      <w:pPr>
        <w:adjustRightInd w:val="0"/>
        <w:snapToGrid w:val="0"/>
        <w:spacing w:beforeLines="50" w:afterLines="50"/>
        <w:jc w:val="center"/>
        <w:rPr>
          <w:rFonts w:ascii="宋体" w:hAnsi="Courier New"/>
          <w:sz w:val="24"/>
          <w:szCs w:val="21"/>
          <w:lang w:val="zh-CN"/>
        </w:rPr>
      </w:pPr>
      <w:r>
        <w:rPr>
          <w:rFonts w:hint="eastAsia" w:ascii="宋体" w:hAnsi="Courier New"/>
          <w:sz w:val="24"/>
          <w:szCs w:val="21"/>
          <w:lang w:val="zh-CN"/>
        </w:rPr>
        <w:t>（适用于货物类项目）</w:t>
      </w:r>
    </w:p>
    <w:p>
      <w:pPr>
        <w:spacing w:line="360" w:lineRule="auto"/>
        <w:rPr>
          <w:b/>
          <w:sz w:val="28"/>
          <w:szCs w:val="28"/>
        </w:rPr>
      </w:pPr>
      <w:r>
        <w:rPr>
          <w:rFonts w:hint="eastAsia"/>
          <w:b/>
          <w:sz w:val="28"/>
          <w:szCs w:val="28"/>
        </w:rPr>
        <w:t>采购人</w:t>
      </w:r>
      <w:r>
        <w:rPr>
          <w:rFonts w:hint="eastAsia"/>
          <w:b/>
          <w:color w:val="FF0000"/>
          <w:sz w:val="28"/>
          <w:szCs w:val="28"/>
        </w:rPr>
        <w:t>（或采购代理公司）</w:t>
      </w:r>
      <w:r>
        <w:rPr>
          <w:rFonts w:hint="eastAsia"/>
          <w:b/>
          <w:sz w:val="28"/>
          <w:szCs w:val="28"/>
        </w:rPr>
        <w:t>：</w:t>
      </w:r>
    </w:p>
    <w:p>
      <w:pPr>
        <w:pStyle w:val="16"/>
        <w:spacing w:line="360" w:lineRule="auto"/>
        <w:ind w:firstLine="475" w:firstLineChars="198"/>
        <w:jc w:val="left"/>
        <w:rPr>
          <w:rFonts w:hAnsi="宋体"/>
          <w:sz w:val="24"/>
        </w:rPr>
      </w:pPr>
      <w:r>
        <w:rPr>
          <w:rFonts w:hint="eastAsia" w:hAnsi="宋体"/>
          <w:sz w:val="24"/>
        </w:rPr>
        <w:t>本单位郑重声明，根据《财政部民政部中国残疾人联合会关于促进残疾人就业政策的通知》（财库〔</w:t>
      </w:r>
      <w:r>
        <w:rPr>
          <w:rFonts w:hAnsi="宋体"/>
          <w:sz w:val="24"/>
        </w:rPr>
        <w:t>2017</w:t>
      </w:r>
      <w:r>
        <w:rPr>
          <w:rFonts w:hint="eastAsia" w:hAnsi="宋体"/>
          <w:sz w:val="24"/>
        </w:rPr>
        <w:t>〕</w:t>
      </w:r>
      <w:r>
        <w:rPr>
          <w:rFonts w:hAnsi="宋体"/>
          <w:sz w:val="24"/>
        </w:rPr>
        <w:t>141</w:t>
      </w:r>
      <w:r>
        <w:rPr>
          <w:rFonts w:hint="eastAsia" w:hAnsi="宋体"/>
          <w:sz w:val="24"/>
        </w:rPr>
        <w:t>号）的规定，本</w:t>
      </w:r>
      <w:r>
        <w:rPr>
          <w:rFonts w:hint="eastAsia" w:hAnsi="宋体"/>
          <w:color w:val="0D0D0D"/>
          <w:sz w:val="24"/>
        </w:rPr>
        <w:t>单位为符合条件的残疾人福利性单位（详见“残疾人福利性单位应当满足的条件”）。</w:t>
      </w:r>
    </w:p>
    <w:p>
      <w:pPr>
        <w:pStyle w:val="16"/>
        <w:spacing w:line="360" w:lineRule="auto"/>
        <w:ind w:firstLine="475" w:firstLineChars="198"/>
        <w:jc w:val="left"/>
        <w:rPr>
          <w:rFonts w:hAnsi="宋体"/>
          <w:sz w:val="24"/>
        </w:rPr>
      </w:pPr>
      <w:r>
        <w:rPr>
          <w:rFonts w:hAnsi="宋体"/>
          <w:sz w:val="24"/>
        </w:rPr>
        <w:t>1.</w:t>
      </w:r>
      <w:r>
        <w:rPr>
          <w:rFonts w:hint="eastAsia" w:hAnsi="宋体"/>
          <w:sz w:val="24"/>
        </w:rPr>
        <w:t>本单位授权</w:t>
      </w:r>
      <w:r>
        <w:rPr>
          <w:rFonts w:hint="eastAsia" w:hAnsi="宋体"/>
          <w:sz w:val="24"/>
          <w:u w:val="single"/>
        </w:rPr>
        <w:t>（投标人）</w:t>
      </w:r>
      <w:r>
        <w:rPr>
          <w:rFonts w:hint="eastAsia" w:hAnsi="宋体"/>
          <w:sz w:val="24"/>
        </w:rPr>
        <w:t>参加</w:t>
      </w:r>
      <w:r>
        <w:rPr>
          <w:rFonts w:hAnsi="宋体"/>
          <w:sz w:val="24"/>
        </w:rPr>
        <w:t>_</w:t>
      </w:r>
      <w:r>
        <w:rPr>
          <w:rFonts w:hint="eastAsia" w:hAnsi="宋体"/>
          <w:sz w:val="24"/>
          <w:u w:val="single"/>
        </w:rPr>
        <w:t>（采购人）</w:t>
      </w:r>
      <w:r>
        <w:rPr>
          <w:rFonts w:hint="eastAsia" w:hAnsi="宋体"/>
          <w:sz w:val="24"/>
        </w:rPr>
        <w:t>的</w:t>
      </w:r>
      <w:r>
        <w:rPr>
          <w:rFonts w:hAnsi="宋体"/>
          <w:sz w:val="24"/>
        </w:rPr>
        <w:t>__</w:t>
      </w:r>
      <w:r>
        <w:rPr>
          <w:rFonts w:hAnsi="宋体"/>
          <w:sz w:val="24"/>
          <w:u w:val="single"/>
        </w:rPr>
        <w:t>_ _</w:t>
      </w:r>
      <w:r>
        <w:rPr>
          <w:rFonts w:hint="eastAsia" w:hAnsi="宋体"/>
          <w:sz w:val="24"/>
        </w:rPr>
        <w:t>项目（项目编号：</w:t>
      </w:r>
      <w:r>
        <w:rPr>
          <w:rFonts w:hAnsi="宋体"/>
          <w:sz w:val="24"/>
        </w:rPr>
        <w:t>_____</w:t>
      </w:r>
      <w:r>
        <w:rPr>
          <w:rFonts w:hint="eastAsia" w:hAnsi="宋体"/>
          <w:sz w:val="24"/>
        </w:rPr>
        <w:t>）采购活动提供本单位制造的货物。本条所称货物不包括使用非残疾人福利性单位注册商标的货物。</w:t>
      </w:r>
    </w:p>
    <w:p>
      <w:pPr>
        <w:spacing w:line="360" w:lineRule="auto"/>
        <w:ind w:firstLine="480" w:firstLineChars="200"/>
        <w:rPr>
          <w:rFonts w:ascii="宋体"/>
          <w:bCs/>
          <w:color w:val="0D0D0D"/>
          <w:sz w:val="24"/>
        </w:rPr>
      </w:pPr>
      <w:r>
        <w:rPr>
          <w:rFonts w:ascii="宋体" w:hAnsi="宋体"/>
          <w:bCs/>
          <w:sz w:val="24"/>
          <w:lang w:val="zh-CN"/>
        </w:rPr>
        <w:t>2</w:t>
      </w:r>
      <w:r>
        <w:rPr>
          <w:rFonts w:ascii="宋体"/>
          <w:bCs/>
          <w:sz w:val="24"/>
        </w:rPr>
        <w:t>.</w:t>
      </w:r>
      <w:r>
        <w:rPr>
          <w:rFonts w:hint="eastAsia" w:ascii="宋体" w:hAnsi="宋体"/>
          <w:bCs/>
          <w:sz w:val="24"/>
        </w:rPr>
        <w:t>由本单位制造的</w:t>
      </w:r>
      <w:r>
        <w:rPr>
          <w:rFonts w:hint="eastAsia" w:ascii="宋体" w:hAnsi="宋体"/>
          <w:bCs/>
          <w:color w:val="0D0D0D"/>
          <w:sz w:val="24"/>
        </w:rPr>
        <w:t>货物清单见下表：</w:t>
      </w:r>
    </w:p>
    <w:tbl>
      <w:tblPr>
        <w:tblStyle w:val="28"/>
        <w:tblW w:w="9546" w:type="dxa"/>
        <w:tblInd w:w="1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
        <w:gridCol w:w="2414"/>
        <w:gridCol w:w="1224"/>
        <w:gridCol w:w="907"/>
        <w:gridCol w:w="1278"/>
        <w:gridCol w:w="1843"/>
        <w:gridCol w:w="1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2" w:type="dxa"/>
            <w:vAlign w:val="center"/>
          </w:tcPr>
          <w:p>
            <w:pPr>
              <w:spacing w:line="360" w:lineRule="auto"/>
              <w:ind w:left="-23" w:leftChars="-11" w:right="-65" w:rightChars="-31"/>
              <w:jc w:val="center"/>
              <w:rPr>
                <w:rFonts w:ascii="宋体" w:cs="宋体"/>
                <w:color w:val="0D0D0D"/>
                <w:kern w:val="0"/>
                <w:sz w:val="24"/>
              </w:rPr>
            </w:pPr>
            <w:r>
              <w:rPr>
                <w:rFonts w:hint="eastAsia" w:ascii="宋体" w:hAnsi="宋体" w:cs="宋体"/>
                <w:color w:val="0D0D0D"/>
                <w:kern w:val="0"/>
                <w:sz w:val="24"/>
              </w:rPr>
              <w:t>序号</w:t>
            </w:r>
          </w:p>
        </w:tc>
        <w:tc>
          <w:tcPr>
            <w:tcW w:w="2414" w:type="dxa"/>
            <w:vAlign w:val="center"/>
          </w:tcPr>
          <w:p>
            <w:pPr>
              <w:spacing w:line="360" w:lineRule="auto"/>
              <w:ind w:left="-48" w:leftChars="-23" w:right="-65" w:rightChars="-31"/>
              <w:jc w:val="center"/>
              <w:rPr>
                <w:rFonts w:ascii="宋体" w:cs="宋体"/>
                <w:color w:val="0D0D0D"/>
                <w:kern w:val="0"/>
                <w:sz w:val="24"/>
              </w:rPr>
            </w:pPr>
            <w:r>
              <w:rPr>
                <w:rFonts w:hint="eastAsia" w:ascii="宋体" w:hAnsi="宋体" w:cs="宋体"/>
                <w:color w:val="0D0D0D"/>
                <w:kern w:val="0"/>
                <w:sz w:val="24"/>
              </w:rPr>
              <w:t>名称</w:t>
            </w:r>
          </w:p>
        </w:tc>
        <w:tc>
          <w:tcPr>
            <w:tcW w:w="1224" w:type="dxa"/>
            <w:vAlign w:val="center"/>
          </w:tcPr>
          <w:p>
            <w:pPr>
              <w:spacing w:line="360" w:lineRule="auto"/>
              <w:ind w:left="-48" w:leftChars="-23" w:right="-65" w:rightChars="-31"/>
              <w:jc w:val="center"/>
              <w:rPr>
                <w:rFonts w:ascii="宋体" w:cs="宋体"/>
                <w:color w:val="0D0D0D"/>
                <w:kern w:val="0"/>
                <w:sz w:val="24"/>
              </w:rPr>
            </w:pPr>
            <w:r>
              <w:rPr>
                <w:rFonts w:hint="eastAsia" w:ascii="宋体" w:hAnsi="宋体" w:cs="宋体"/>
                <w:color w:val="0D0D0D"/>
                <w:kern w:val="0"/>
                <w:sz w:val="24"/>
              </w:rPr>
              <w:t>品牌规格型号</w:t>
            </w:r>
          </w:p>
        </w:tc>
        <w:tc>
          <w:tcPr>
            <w:tcW w:w="907" w:type="dxa"/>
            <w:vAlign w:val="center"/>
          </w:tcPr>
          <w:p>
            <w:pPr>
              <w:spacing w:line="360" w:lineRule="auto"/>
              <w:ind w:left="-48" w:leftChars="-23" w:right="-65" w:rightChars="-31"/>
              <w:jc w:val="center"/>
              <w:rPr>
                <w:rFonts w:ascii="宋体" w:cs="宋体"/>
                <w:color w:val="0D0D0D"/>
                <w:kern w:val="0"/>
                <w:sz w:val="24"/>
              </w:rPr>
            </w:pPr>
            <w:r>
              <w:rPr>
                <w:rFonts w:hint="eastAsia" w:ascii="宋体" w:hAnsi="宋体" w:cs="宋体"/>
                <w:color w:val="0D0D0D"/>
                <w:kern w:val="0"/>
                <w:sz w:val="24"/>
              </w:rPr>
              <w:t>数量</w:t>
            </w:r>
          </w:p>
        </w:tc>
        <w:tc>
          <w:tcPr>
            <w:tcW w:w="1278" w:type="dxa"/>
            <w:vAlign w:val="center"/>
          </w:tcPr>
          <w:p>
            <w:pPr>
              <w:spacing w:line="360" w:lineRule="auto"/>
              <w:ind w:left="-48" w:leftChars="-23" w:right="-65" w:rightChars="-31"/>
              <w:jc w:val="center"/>
              <w:rPr>
                <w:rFonts w:ascii="宋体" w:cs="宋体"/>
                <w:color w:val="0D0D0D"/>
                <w:kern w:val="0"/>
                <w:sz w:val="24"/>
              </w:rPr>
            </w:pPr>
            <w:r>
              <w:rPr>
                <w:rFonts w:hint="eastAsia" w:ascii="宋体" w:hAnsi="宋体" w:cs="宋体"/>
                <w:color w:val="0D0D0D"/>
                <w:kern w:val="0"/>
                <w:sz w:val="24"/>
              </w:rPr>
              <w:t>单价</w:t>
            </w:r>
            <w:r>
              <w:rPr>
                <w:rFonts w:ascii="宋体" w:hAnsi="宋体" w:cs="宋体"/>
                <w:color w:val="0D0D0D"/>
                <w:kern w:val="0"/>
                <w:sz w:val="24"/>
              </w:rPr>
              <w:t>(</w:t>
            </w:r>
            <w:r>
              <w:rPr>
                <w:rFonts w:hint="eastAsia" w:ascii="宋体" w:hAnsi="宋体" w:cs="宋体"/>
                <w:color w:val="0D0D0D"/>
                <w:kern w:val="0"/>
                <w:sz w:val="24"/>
              </w:rPr>
              <w:t>元</w:t>
            </w:r>
            <w:r>
              <w:rPr>
                <w:rFonts w:ascii="宋体" w:hAnsi="宋体" w:cs="宋体"/>
                <w:color w:val="0D0D0D"/>
                <w:kern w:val="0"/>
                <w:sz w:val="24"/>
              </w:rPr>
              <w:t>)</w:t>
            </w:r>
          </w:p>
        </w:tc>
        <w:tc>
          <w:tcPr>
            <w:tcW w:w="1843" w:type="dxa"/>
            <w:vAlign w:val="center"/>
          </w:tcPr>
          <w:p>
            <w:pPr>
              <w:spacing w:line="360" w:lineRule="auto"/>
              <w:ind w:left="-48" w:leftChars="-23" w:right="-65" w:rightChars="-31"/>
              <w:jc w:val="center"/>
              <w:rPr>
                <w:rFonts w:ascii="宋体" w:cs="宋体"/>
                <w:color w:val="0D0D0D"/>
                <w:kern w:val="0"/>
                <w:sz w:val="24"/>
              </w:rPr>
            </w:pPr>
            <w:r>
              <w:rPr>
                <w:rFonts w:hint="eastAsia" w:ascii="宋体" w:hAnsi="宋体" w:cs="宋体"/>
                <w:color w:val="0D0D0D"/>
                <w:kern w:val="0"/>
                <w:sz w:val="24"/>
              </w:rPr>
              <w:t>分项合计</w:t>
            </w:r>
            <w:r>
              <w:rPr>
                <w:rFonts w:ascii="宋体" w:hAnsi="宋体" w:cs="宋体"/>
                <w:color w:val="0D0D0D"/>
                <w:kern w:val="0"/>
                <w:sz w:val="24"/>
              </w:rPr>
              <w:t>(</w:t>
            </w:r>
            <w:r>
              <w:rPr>
                <w:rFonts w:hint="eastAsia" w:ascii="宋体" w:hAnsi="宋体" w:cs="宋体"/>
                <w:color w:val="0D0D0D"/>
                <w:kern w:val="0"/>
                <w:sz w:val="24"/>
              </w:rPr>
              <w:t>元</w:t>
            </w:r>
            <w:r>
              <w:rPr>
                <w:rFonts w:ascii="宋体" w:hAnsi="宋体" w:cs="宋体"/>
                <w:color w:val="0D0D0D"/>
                <w:kern w:val="0"/>
                <w:sz w:val="24"/>
              </w:rPr>
              <w:t>)</w:t>
            </w:r>
          </w:p>
        </w:tc>
        <w:tc>
          <w:tcPr>
            <w:tcW w:w="1228" w:type="dxa"/>
            <w:vAlign w:val="center"/>
          </w:tcPr>
          <w:p>
            <w:pPr>
              <w:spacing w:line="360" w:lineRule="auto"/>
              <w:ind w:left="-48" w:leftChars="-23" w:right="-65" w:rightChars="-31"/>
              <w:jc w:val="center"/>
              <w:rPr>
                <w:rFonts w:ascii="宋体" w:cs="宋体"/>
                <w:color w:val="0D0D0D"/>
                <w:kern w:val="0"/>
                <w:sz w:val="24"/>
              </w:rPr>
            </w:pPr>
            <w:r>
              <w:rPr>
                <w:rFonts w:hint="eastAsia" w:ascii="宋体" w:hAnsi="宋体" w:cs="宋体"/>
                <w:color w:val="0D0D0D"/>
                <w:kern w:val="0"/>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52" w:type="dxa"/>
            <w:vAlign w:val="center"/>
          </w:tcPr>
          <w:p>
            <w:pPr>
              <w:numPr>
                <w:ilvl w:val="0"/>
                <w:numId w:val="62"/>
              </w:numPr>
              <w:tabs>
                <w:tab w:val="left" w:pos="82"/>
              </w:tabs>
              <w:adjustRightInd w:val="0"/>
              <w:snapToGrid w:val="0"/>
              <w:jc w:val="center"/>
              <w:rPr>
                <w:rFonts w:ascii="宋体"/>
                <w:sz w:val="24"/>
              </w:rPr>
            </w:pPr>
          </w:p>
        </w:tc>
        <w:tc>
          <w:tcPr>
            <w:tcW w:w="2414" w:type="dxa"/>
            <w:vAlign w:val="center"/>
          </w:tcPr>
          <w:p>
            <w:pPr>
              <w:spacing w:line="240" w:lineRule="atLeast"/>
              <w:ind w:left="-48" w:leftChars="-23" w:right="-65" w:rightChars="-31"/>
              <w:jc w:val="left"/>
              <w:rPr>
                <w:rFonts w:ascii="宋体" w:cs="宋体"/>
                <w:color w:val="0D0D0D"/>
                <w:kern w:val="0"/>
                <w:sz w:val="24"/>
                <w:szCs w:val="24"/>
              </w:rPr>
            </w:pPr>
          </w:p>
        </w:tc>
        <w:tc>
          <w:tcPr>
            <w:tcW w:w="1224" w:type="dxa"/>
            <w:vAlign w:val="center"/>
          </w:tcPr>
          <w:p>
            <w:pPr>
              <w:spacing w:line="240" w:lineRule="atLeast"/>
              <w:ind w:left="-48" w:leftChars="-23" w:right="-65" w:rightChars="-31"/>
              <w:jc w:val="left"/>
              <w:rPr>
                <w:rFonts w:ascii="宋体" w:cs="宋体"/>
                <w:color w:val="0D0D0D"/>
                <w:kern w:val="0"/>
                <w:sz w:val="24"/>
                <w:szCs w:val="24"/>
              </w:rPr>
            </w:pPr>
          </w:p>
        </w:tc>
        <w:tc>
          <w:tcPr>
            <w:tcW w:w="907" w:type="dxa"/>
            <w:vAlign w:val="center"/>
          </w:tcPr>
          <w:p>
            <w:pPr>
              <w:spacing w:line="240" w:lineRule="atLeast"/>
              <w:ind w:left="-48" w:leftChars="-23" w:right="-375" w:rightChars="-179"/>
              <w:jc w:val="center"/>
              <w:rPr>
                <w:rFonts w:ascii="宋体" w:cs="宋体"/>
                <w:color w:val="0D0D0D"/>
                <w:kern w:val="0"/>
                <w:sz w:val="24"/>
                <w:szCs w:val="24"/>
              </w:rPr>
            </w:pPr>
          </w:p>
        </w:tc>
        <w:tc>
          <w:tcPr>
            <w:tcW w:w="1278" w:type="dxa"/>
            <w:vAlign w:val="center"/>
          </w:tcPr>
          <w:p>
            <w:pPr>
              <w:spacing w:line="240" w:lineRule="atLeast"/>
              <w:ind w:left="-48" w:leftChars="-23" w:right="-65" w:rightChars="-31"/>
              <w:jc w:val="center"/>
              <w:rPr>
                <w:rFonts w:ascii="宋体" w:cs="宋体"/>
                <w:color w:val="0D0D0D"/>
                <w:kern w:val="0"/>
                <w:sz w:val="24"/>
                <w:szCs w:val="24"/>
              </w:rPr>
            </w:pPr>
          </w:p>
        </w:tc>
        <w:tc>
          <w:tcPr>
            <w:tcW w:w="1843" w:type="dxa"/>
            <w:vAlign w:val="center"/>
          </w:tcPr>
          <w:p>
            <w:pPr>
              <w:spacing w:line="240" w:lineRule="atLeast"/>
              <w:ind w:left="-48" w:leftChars="-23" w:right="-65" w:rightChars="-31"/>
              <w:jc w:val="left"/>
              <w:rPr>
                <w:rFonts w:ascii="宋体" w:cs="宋体"/>
                <w:color w:val="0D0D0D"/>
                <w:kern w:val="0"/>
                <w:sz w:val="24"/>
                <w:szCs w:val="24"/>
              </w:rPr>
            </w:pPr>
          </w:p>
        </w:tc>
        <w:tc>
          <w:tcPr>
            <w:tcW w:w="1228" w:type="dxa"/>
            <w:vAlign w:val="center"/>
          </w:tcPr>
          <w:p>
            <w:pPr>
              <w:spacing w:line="240" w:lineRule="atLeast"/>
              <w:ind w:left="-48" w:leftChars="-23" w:right="-65" w:rightChars="-31"/>
              <w:jc w:val="center"/>
              <w:rPr>
                <w:rFonts w:ascii="宋体" w:cs="宋体"/>
                <w:color w:val="0D0D0D"/>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52" w:type="dxa"/>
            <w:vAlign w:val="center"/>
          </w:tcPr>
          <w:p>
            <w:pPr>
              <w:numPr>
                <w:ilvl w:val="0"/>
                <w:numId w:val="62"/>
              </w:numPr>
              <w:tabs>
                <w:tab w:val="left" w:pos="82"/>
              </w:tabs>
              <w:adjustRightInd w:val="0"/>
              <w:snapToGrid w:val="0"/>
              <w:ind w:left="-2" w:firstLine="2"/>
              <w:jc w:val="center"/>
              <w:rPr>
                <w:rFonts w:ascii="宋体"/>
                <w:sz w:val="24"/>
              </w:rPr>
            </w:pPr>
          </w:p>
        </w:tc>
        <w:tc>
          <w:tcPr>
            <w:tcW w:w="2414" w:type="dxa"/>
            <w:vAlign w:val="center"/>
          </w:tcPr>
          <w:p>
            <w:pPr>
              <w:spacing w:line="240" w:lineRule="atLeast"/>
              <w:ind w:left="-48" w:leftChars="-23" w:right="-65" w:rightChars="-31"/>
              <w:jc w:val="left"/>
              <w:rPr>
                <w:rFonts w:ascii="宋体" w:cs="宋体"/>
                <w:color w:val="0D0D0D"/>
                <w:kern w:val="0"/>
                <w:sz w:val="24"/>
                <w:szCs w:val="24"/>
              </w:rPr>
            </w:pPr>
          </w:p>
        </w:tc>
        <w:tc>
          <w:tcPr>
            <w:tcW w:w="1224" w:type="dxa"/>
            <w:vAlign w:val="center"/>
          </w:tcPr>
          <w:p>
            <w:pPr>
              <w:spacing w:line="240" w:lineRule="atLeast"/>
              <w:ind w:left="-48" w:leftChars="-23" w:right="-65" w:rightChars="-31"/>
              <w:jc w:val="left"/>
              <w:rPr>
                <w:rFonts w:ascii="宋体" w:cs="宋体"/>
                <w:color w:val="0D0D0D"/>
                <w:kern w:val="0"/>
                <w:sz w:val="24"/>
                <w:szCs w:val="24"/>
              </w:rPr>
            </w:pPr>
          </w:p>
        </w:tc>
        <w:tc>
          <w:tcPr>
            <w:tcW w:w="907" w:type="dxa"/>
            <w:vAlign w:val="center"/>
          </w:tcPr>
          <w:p>
            <w:pPr>
              <w:spacing w:line="240" w:lineRule="atLeast"/>
              <w:ind w:left="-48" w:leftChars="-23" w:right="-65" w:rightChars="-31"/>
              <w:jc w:val="center"/>
              <w:rPr>
                <w:rFonts w:ascii="宋体" w:cs="宋体"/>
                <w:color w:val="0D0D0D"/>
                <w:kern w:val="0"/>
                <w:sz w:val="24"/>
                <w:szCs w:val="24"/>
              </w:rPr>
            </w:pPr>
          </w:p>
        </w:tc>
        <w:tc>
          <w:tcPr>
            <w:tcW w:w="1278" w:type="dxa"/>
            <w:vAlign w:val="center"/>
          </w:tcPr>
          <w:p>
            <w:pPr>
              <w:spacing w:line="240" w:lineRule="atLeast"/>
              <w:ind w:left="-48" w:leftChars="-23" w:right="-65" w:rightChars="-31"/>
              <w:jc w:val="center"/>
              <w:rPr>
                <w:rFonts w:ascii="宋体" w:cs="宋体"/>
                <w:color w:val="0D0D0D"/>
                <w:kern w:val="0"/>
                <w:sz w:val="24"/>
                <w:szCs w:val="24"/>
              </w:rPr>
            </w:pPr>
          </w:p>
        </w:tc>
        <w:tc>
          <w:tcPr>
            <w:tcW w:w="1843" w:type="dxa"/>
            <w:vAlign w:val="center"/>
          </w:tcPr>
          <w:p>
            <w:pPr>
              <w:spacing w:line="240" w:lineRule="atLeast"/>
              <w:ind w:left="-48" w:leftChars="-23" w:right="-65" w:rightChars="-31"/>
              <w:jc w:val="left"/>
              <w:rPr>
                <w:rFonts w:ascii="宋体" w:cs="宋体"/>
                <w:color w:val="0D0D0D"/>
                <w:kern w:val="0"/>
                <w:sz w:val="24"/>
                <w:szCs w:val="24"/>
              </w:rPr>
            </w:pPr>
          </w:p>
        </w:tc>
        <w:tc>
          <w:tcPr>
            <w:tcW w:w="1228" w:type="dxa"/>
            <w:vAlign w:val="center"/>
          </w:tcPr>
          <w:p>
            <w:pPr>
              <w:spacing w:line="240" w:lineRule="atLeast"/>
              <w:ind w:left="-48" w:leftChars="-23" w:right="-65" w:rightChars="-31"/>
              <w:jc w:val="center"/>
              <w:rPr>
                <w:rFonts w:ascii="宋体" w:cs="宋体"/>
                <w:color w:val="0D0D0D"/>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52" w:type="dxa"/>
            <w:vAlign w:val="center"/>
          </w:tcPr>
          <w:p>
            <w:pPr>
              <w:tabs>
                <w:tab w:val="left" w:pos="82"/>
              </w:tabs>
              <w:adjustRightInd w:val="0"/>
              <w:snapToGrid w:val="0"/>
              <w:jc w:val="center"/>
              <w:rPr>
                <w:rFonts w:ascii="宋体"/>
                <w:sz w:val="24"/>
              </w:rPr>
            </w:pPr>
            <w:r>
              <w:rPr>
                <w:rFonts w:hint="eastAsia" w:ascii="宋体" w:hAnsi="宋体"/>
                <w:sz w:val="24"/>
              </w:rPr>
              <w:t>…</w:t>
            </w:r>
          </w:p>
        </w:tc>
        <w:tc>
          <w:tcPr>
            <w:tcW w:w="2414" w:type="dxa"/>
            <w:vAlign w:val="center"/>
          </w:tcPr>
          <w:p>
            <w:pPr>
              <w:spacing w:line="240" w:lineRule="atLeast"/>
              <w:ind w:left="-48" w:leftChars="-23" w:right="-65" w:rightChars="-31"/>
              <w:jc w:val="left"/>
              <w:rPr>
                <w:rFonts w:ascii="宋体" w:cs="宋体"/>
                <w:color w:val="0D0D0D"/>
                <w:kern w:val="0"/>
                <w:sz w:val="24"/>
                <w:szCs w:val="24"/>
              </w:rPr>
            </w:pPr>
          </w:p>
        </w:tc>
        <w:tc>
          <w:tcPr>
            <w:tcW w:w="1224" w:type="dxa"/>
            <w:vAlign w:val="center"/>
          </w:tcPr>
          <w:p>
            <w:pPr>
              <w:spacing w:line="240" w:lineRule="atLeast"/>
              <w:ind w:left="-48" w:leftChars="-23" w:right="-65" w:rightChars="-31"/>
              <w:jc w:val="left"/>
              <w:rPr>
                <w:rFonts w:ascii="宋体" w:cs="宋体"/>
                <w:color w:val="0D0D0D"/>
                <w:kern w:val="0"/>
                <w:sz w:val="24"/>
                <w:szCs w:val="24"/>
              </w:rPr>
            </w:pPr>
          </w:p>
        </w:tc>
        <w:tc>
          <w:tcPr>
            <w:tcW w:w="907" w:type="dxa"/>
            <w:vAlign w:val="center"/>
          </w:tcPr>
          <w:p>
            <w:pPr>
              <w:spacing w:line="240" w:lineRule="atLeast"/>
              <w:ind w:left="-48" w:leftChars="-23" w:right="-65" w:rightChars="-31"/>
              <w:jc w:val="center"/>
              <w:rPr>
                <w:rFonts w:ascii="宋体" w:cs="宋体"/>
                <w:color w:val="0D0D0D"/>
                <w:kern w:val="0"/>
                <w:sz w:val="24"/>
                <w:szCs w:val="24"/>
              </w:rPr>
            </w:pPr>
          </w:p>
        </w:tc>
        <w:tc>
          <w:tcPr>
            <w:tcW w:w="1278" w:type="dxa"/>
            <w:vAlign w:val="center"/>
          </w:tcPr>
          <w:p>
            <w:pPr>
              <w:spacing w:line="240" w:lineRule="atLeast"/>
              <w:ind w:left="-48" w:leftChars="-23" w:right="-65" w:rightChars="-31"/>
              <w:jc w:val="center"/>
              <w:rPr>
                <w:rFonts w:ascii="宋体" w:cs="宋体"/>
                <w:color w:val="0D0D0D"/>
                <w:kern w:val="0"/>
                <w:sz w:val="24"/>
                <w:szCs w:val="24"/>
              </w:rPr>
            </w:pPr>
          </w:p>
        </w:tc>
        <w:tc>
          <w:tcPr>
            <w:tcW w:w="1843" w:type="dxa"/>
            <w:vAlign w:val="center"/>
          </w:tcPr>
          <w:p>
            <w:pPr>
              <w:spacing w:line="240" w:lineRule="atLeast"/>
              <w:ind w:left="-48" w:leftChars="-23" w:right="-65" w:rightChars="-31"/>
              <w:jc w:val="left"/>
              <w:rPr>
                <w:rFonts w:ascii="宋体" w:cs="宋体"/>
                <w:color w:val="0D0D0D"/>
                <w:kern w:val="0"/>
                <w:sz w:val="24"/>
                <w:szCs w:val="24"/>
              </w:rPr>
            </w:pPr>
          </w:p>
        </w:tc>
        <w:tc>
          <w:tcPr>
            <w:tcW w:w="1228" w:type="dxa"/>
            <w:vAlign w:val="center"/>
          </w:tcPr>
          <w:p>
            <w:pPr>
              <w:spacing w:line="240" w:lineRule="atLeast"/>
              <w:ind w:left="-48" w:leftChars="-23" w:right="-65" w:rightChars="-31"/>
              <w:jc w:val="center"/>
              <w:rPr>
                <w:rFonts w:ascii="宋体" w:cs="宋体"/>
                <w:color w:val="0D0D0D"/>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75" w:type="dxa"/>
            <w:gridSpan w:val="5"/>
            <w:vAlign w:val="center"/>
          </w:tcPr>
          <w:p>
            <w:pPr>
              <w:spacing w:line="240" w:lineRule="atLeast"/>
              <w:ind w:left="-48" w:leftChars="-23" w:right="-65" w:rightChars="-31"/>
              <w:jc w:val="center"/>
              <w:rPr>
                <w:rFonts w:ascii="宋体" w:cs="宋体"/>
                <w:color w:val="0D0D0D"/>
                <w:kern w:val="0"/>
                <w:sz w:val="24"/>
                <w:szCs w:val="24"/>
              </w:rPr>
            </w:pPr>
            <w:r>
              <w:rPr>
                <w:rFonts w:hint="eastAsia" w:ascii="宋体" w:hAnsi="宋体" w:cs="宋体"/>
                <w:color w:val="0D0D0D"/>
                <w:kern w:val="0"/>
                <w:sz w:val="24"/>
                <w:szCs w:val="24"/>
              </w:rPr>
              <w:t>合计</w:t>
            </w:r>
          </w:p>
        </w:tc>
        <w:tc>
          <w:tcPr>
            <w:tcW w:w="3071" w:type="dxa"/>
            <w:gridSpan w:val="2"/>
            <w:vAlign w:val="center"/>
          </w:tcPr>
          <w:p>
            <w:pPr>
              <w:spacing w:line="240" w:lineRule="atLeast"/>
              <w:ind w:left="-48" w:leftChars="-23" w:right="-65" w:rightChars="-31"/>
              <w:jc w:val="left"/>
              <w:rPr>
                <w:rFonts w:ascii="宋体" w:cs="宋体"/>
                <w:color w:val="0D0D0D"/>
                <w:kern w:val="0"/>
                <w:sz w:val="24"/>
                <w:szCs w:val="24"/>
              </w:rPr>
            </w:pPr>
          </w:p>
        </w:tc>
      </w:tr>
    </w:tbl>
    <w:p>
      <w:pPr>
        <w:spacing w:line="360" w:lineRule="auto"/>
        <w:ind w:firstLine="480" w:firstLineChars="200"/>
        <w:rPr>
          <w:rFonts w:ascii="宋体"/>
          <w:sz w:val="24"/>
          <w:szCs w:val="24"/>
        </w:rPr>
      </w:pPr>
      <w:r>
        <w:rPr>
          <w:rFonts w:hint="eastAsia" w:ascii="宋体" w:hAnsi="宋体"/>
          <w:sz w:val="24"/>
          <w:szCs w:val="24"/>
        </w:rPr>
        <w:t>本单位对上述声明的真实性负责。如有虚假，将依法承担相应责任。</w:t>
      </w:r>
    </w:p>
    <w:p>
      <w:pPr>
        <w:spacing w:line="360" w:lineRule="auto"/>
        <w:rPr>
          <w:rFonts w:ascii="宋体"/>
          <w:bCs/>
          <w:color w:val="0D0D0D"/>
          <w:sz w:val="24"/>
          <w:szCs w:val="24"/>
        </w:rPr>
      </w:pPr>
    </w:p>
    <w:p>
      <w:pPr>
        <w:pStyle w:val="16"/>
        <w:spacing w:line="360" w:lineRule="auto"/>
        <w:jc w:val="left"/>
        <w:rPr>
          <w:rFonts w:hAnsi="宋体" w:cs="Corbel"/>
          <w:color w:val="0D0D0D"/>
          <w:sz w:val="24"/>
        </w:rPr>
      </w:pPr>
      <w:r>
        <w:rPr>
          <w:rFonts w:hint="eastAsia" w:hAnsi="宋体"/>
          <w:bCs/>
          <w:color w:val="0D0D0D"/>
          <w:sz w:val="24"/>
          <w:szCs w:val="24"/>
        </w:rPr>
        <w:t>说明：</w:t>
      </w:r>
      <w:r>
        <w:rPr>
          <w:rFonts w:hAnsi="宋体" w:cs="Corbel"/>
          <w:color w:val="0D0D0D"/>
          <w:sz w:val="24"/>
        </w:rPr>
        <w:t>1</w:t>
      </w:r>
      <w:r>
        <w:rPr>
          <w:rFonts w:hint="eastAsia" w:hAnsi="宋体" w:cs="Corbel"/>
          <w:color w:val="0D0D0D"/>
          <w:sz w:val="24"/>
        </w:rPr>
        <w:t>、投标人所投货物为自己制造的，也应按本声明函格式填写。</w:t>
      </w:r>
    </w:p>
    <w:p>
      <w:pPr>
        <w:pStyle w:val="16"/>
        <w:spacing w:line="360" w:lineRule="auto"/>
        <w:ind w:left="1078" w:leftChars="342" w:hanging="360" w:hangingChars="150"/>
        <w:jc w:val="left"/>
        <w:rPr>
          <w:rFonts w:hAnsi="宋体"/>
          <w:color w:val="0D0D0D"/>
          <w:sz w:val="24"/>
        </w:rPr>
      </w:pPr>
      <w:r>
        <w:rPr>
          <w:rFonts w:hAnsi="宋体"/>
          <w:color w:val="0D0D0D"/>
          <w:sz w:val="24"/>
        </w:rPr>
        <w:t>2</w:t>
      </w:r>
      <w:r>
        <w:rPr>
          <w:rFonts w:hint="eastAsia" w:hAnsi="宋体"/>
          <w:color w:val="0D0D0D"/>
          <w:sz w:val="24"/>
        </w:rPr>
        <w:t>、组成联合体的大中型企业和其他自然人、法人或者其他组织，与残疾人福利性单位之间不得存在投资关系。</w:t>
      </w:r>
    </w:p>
    <w:p>
      <w:pPr>
        <w:pStyle w:val="16"/>
        <w:spacing w:line="360" w:lineRule="auto"/>
        <w:ind w:left="1078" w:leftChars="342" w:hanging="360" w:hangingChars="150"/>
        <w:jc w:val="left"/>
        <w:rPr>
          <w:rFonts w:hAnsi="宋体"/>
          <w:color w:val="0D0D0D"/>
          <w:sz w:val="24"/>
        </w:rPr>
      </w:pPr>
      <w:r>
        <w:rPr>
          <w:rFonts w:hAnsi="宋体"/>
          <w:color w:val="0D0D0D"/>
          <w:sz w:val="24"/>
        </w:rPr>
        <w:t>3</w:t>
      </w:r>
      <w:r>
        <w:rPr>
          <w:rFonts w:hint="eastAsia" w:hAnsi="宋体"/>
          <w:color w:val="0D0D0D"/>
          <w:sz w:val="24"/>
        </w:rPr>
        <w:t>、以联合体方式参与本项目投标的供应商，应由联合体双方签字盖章。</w:t>
      </w:r>
    </w:p>
    <w:p>
      <w:pPr>
        <w:spacing w:line="360" w:lineRule="auto"/>
        <w:rPr>
          <w:rFonts w:ascii="宋体"/>
          <w:sz w:val="24"/>
        </w:rPr>
      </w:pPr>
    </w:p>
    <w:p>
      <w:pPr>
        <w:spacing w:before="100" w:beforeAutospacing="1" w:after="100" w:afterAutospacing="1" w:line="360" w:lineRule="auto"/>
        <w:ind w:firstLine="3316" w:firstLineChars="1382"/>
        <w:rPr>
          <w:rFonts w:ascii="宋体"/>
          <w:b/>
          <w:bCs/>
          <w:sz w:val="24"/>
          <w:szCs w:val="21"/>
          <w:lang w:val="zh-CN"/>
        </w:rPr>
      </w:pPr>
      <w:r>
        <w:rPr>
          <w:rFonts w:hint="eastAsia" w:ascii="宋体" w:hAnsi="宋体"/>
          <w:b/>
          <w:bCs/>
          <w:sz w:val="24"/>
          <w:szCs w:val="21"/>
          <w:lang w:val="zh-CN"/>
        </w:rPr>
        <w:t>制造商（公章）：</w:t>
      </w:r>
    </w:p>
    <w:p>
      <w:pPr>
        <w:spacing w:before="100" w:beforeAutospacing="1" w:after="100" w:afterAutospacing="1" w:line="360" w:lineRule="auto"/>
        <w:ind w:firstLine="3316" w:firstLineChars="1382"/>
        <w:rPr>
          <w:rFonts w:ascii="宋体"/>
          <w:b/>
          <w:bCs/>
          <w:sz w:val="24"/>
          <w:szCs w:val="21"/>
          <w:lang w:val="zh-CN"/>
        </w:rPr>
      </w:pPr>
      <w:r>
        <w:rPr>
          <w:rFonts w:hint="eastAsia" w:ascii="宋体" w:hAnsi="宋体"/>
          <w:b/>
          <w:bCs/>
          <w:sz w:val="24"/>
          <w:szCs w:val="21"/>
          <w:lang w:val="zh-CN"/>
        </w:rPr>
        <w:t>制造商法定代表人（</w:t>
      </w:r>
      <w:r>
        <w:rPr>
          <w:rFonts w:hint="eastAsia" w:ascii="宋体" w:hAnsi="宋体"/>
          <w:b/>
          <w:sz w:val="24"/>
          <w:szCs w:val="21"/>
          <w:lang w:val="zh-CN"/>
        </w:rPr>
        <w:t>签字或盖章</w:t>
      </w:r>
      <w:r>
        <w:rPr>
          <w:rFonts w:hint="eastAsia" w:ascii="宋体" w:hAnsi="宋体"/>
          <w:b/>
          <w:bCs/>
          <w:sz w:val="24"/>
          <w:szCs w:val="21"/>
          <w:lang w:val="zh-CN"/>
        </w:rPr>
        <w:t>）：</w:t>
      </w:r>
    </w:p>
    <w:p>
      <w:pPr>
        <w:spacing w:before="100" w:beforeAutospacing="1" w:after="100" w:afterAutospacing="1" w:line="360" w:lineRule="auto"/>
        <w:ind w:firstLine="3316" w:firstLineChars="1382"/>
      </w:pPr>
      <w:r>
        <w:rPr>
          <w:rFonts w:hint="eastAsia" w:ascii="Times New Roman" w:hAnsi="宋体"/>
          <w:b/>
          <w:sz w:val="24"/>
          <w:szCs w:val="24"/>
        </w:rPr>
        <w:t>日</w:t>
      </w:r>
      <w:r>
        <w:rPr>
          <w:rFonts w:ascii="Times New Roman" w:hAnsi="宋体"/>
          <w:b/>
          <w:sz w:val="24"/>
          <w:szCs w:val="24"/>
        </w:rPr>
        <w:t>  </w:t>
      </w:r>
      <w:r>
        <w:rPr>
          <w:rFonts w:hint="eastAsia" w:ascii="Times New Roman" w:hAnsi="宋体"/>
          <w:b/>
          <w:sz w:val="24"/>
          <w:szCs w:val="24"/>
        </w:rPr>
        <w:t>期：</w:t>
      </w:r>
    </w:p>
    <w:p>
      <w:r>
        <w:br w:type="page"/>
      </w:r>
    </w:p>
    <w:p>
      <w:pPr>
        <w:adjustRightInd w:val="0"/>
        <w:snapToGrid w:val="0"/>
        <w:jc w:val="center"/>
        <w:rPr>
          <w:rFonts w:ascii="宋体"/>
          <w:b/>
          <w:sz w:val="30"/>
          <w:szCs w:val="30"/>
          <w:lang w:val="zh-CN"/>
        </w:rPr>
      </w:pPr>
    </w:p>
    <w:p>
      <w:pPr>
        <w:adjustRightInd w:val="0"/>
        <w:snapToGrid w:val="0"/>
        <w:spacing w:beforeLines="100"/>
        <w:jc w:val="center"/>
        <w:rPr>
          <w:rFonts w:ascii="宋体"/>
          <w:b/>
          <w:sz w:val="30"/>
          <w:szCs w:val="30"/>
          <w:lang w:val="zh-CN"/>
        </w:rPr>
      </w:pPr>
      <w:r>
        <w:rPr>
          <w:rFonts w:hint="eastAsia" w:ascii="宋体" w:hAnsi="宋体"/>
          <w:b/>
          <w:sz w:val="30"/>
          <w:szCs w:val="30"/>
          <w:lang w:val="zh-CN"/>
        </w:rPr>
        <w:t>残疾人福利性单位声明函</w:t>
      </w:r>
    </w:p>
    <w:p>
      <w:pPr>
        <w:adjustRightInd w:val="0"/>
        <w:snapToGrid w:val="0"/>
        <w:spacing w:beforeLines="50" w:afterLines="50"/>
        <w:jc w:val="center"/>
        <w:rPr>
          <w:rFonts w:ascii="宋体" w:hAnsi="Courier New"/>
          <w:sz w:val="24"/>
          <w:szCs w:val="21"/>
          <w:lang w:val="zh-CN"/>
        </w:rPr>
      </w:pPr>
      <w:r>
        <w:rPr>
          <w:rFonts w:hint="eastAsia" w:ascii="宋体" w:hAnsi="Courier New"/>
          <w:sz w:val="24"/>
          <w:szCs w:val="21"/>
          <w:lang w:val="zh-CN"/>
        </w:rPr>
        <w:t>（适用于工程类、服务类项目）</w:t>
      </w:r>
    </w:p>
    <w:p>
      <w:pPr>
        <w:spacing w:line="360" w:lineRule="auto"/>
        <w:rPr>
          <w:b/>
          <w:sz w:val="28"/>
          <w:szCs w:val="28"/>
        </w:rPr>
      </w:pPr>
      <w:r>
        <w:rPr>
          <w:rFonts w:hint="eastAsia"/>
          <w:b/>
          <w:sz w:val="28"/>
          <w:szCs w:val="28"/>
        </w:rPr>
        <w:t>采购人</w:t>
      </w:r>
      <w:r>
        <w:rPr>
          <w:rFonts w:hint="eastAsia"/>
          <w:b/>
          <w:color w:val="FF0000"/>
          <w:sz w:val="28"/>
          <w:szCs w:val="28"/>
        </w:rPr>
        <w:t>（或采购代理公司）</w:t>
      </w:r>
      <w:r>
        <w:rPr>
          <w:rFonts w:hint="eastAsia"/>
          <w:b/>
          <w:sz w:val="28"/>
          <w:szCs w:val="28"/>
        </w:rPr>
        <w:t>：</w:t>
      </w:r>
    </w:p>
    <w:p>
      <w:pPr>
        <w:spacing w:line="360" w:lineRule="auto"/>
        <w:ind w:firstLine="480" w:firstLineChars="200"/>
        <w:rPr>
          <w:rFonts w:ascii="宋体"/>
          <w:sz w:val="24"/>
          <w:szCs w:val="24"/>
        </w:rPr>
      </w:pPr>
      <w:r>
        <w:rPr>
          <w:rFonts w:hint="eastAsia" w:ascii="宋体" w:hAnsi="宋体"/>
          <w:sz w:val="24"/>
          <w:szCs w:val="24"/>
        </w:rPr>
        <w:t>本单位郑重声明，根据《财政</w:t>
      </w:r>
      <w:r>
        <w:rPr>
          <w:rFonts w:hint="eastAsia" w:ascii="宋体" w:hAnsi="宋体"/>
          <w:color w:val="0D0D0D"/>
          <w:sz w:val="24"/>
          <w:szCs w:val="24"/>
        </w:rPr>
        <w:t>部民政部中国残疾人联合会关于促进残疾人就业政策的通知》（财库〔</w:t>
      </w:r>
      <w:r>
        <w:rPr>
          <w:rFonts w:ascii="宋体" w:hAnsi="宋体"/>
          <w:color w:val="0D0D0D"/>
          <w:sz w:val="24"/>
          <w:szCs w:val="24"/>
        </w:rPr>
        <w:t>2017</w:t>
      </w:r>
      <w:r>
        <w:rPr>
          <w:rFonts w:hint="eastAsia" w:ascii="宋体" w:hAnsi="宋体"/>
          <w:color w:val="0D0D0D"/>
          <w:sz w:val="24"/>
          <w:szCs w:val="24"/>
        </w:rPr>
        <w:t>〕</w:t>
      </w:r>
      <w:r>
        <w:rPr>
          <w:rFonts w:ascii="宋体" w:hAnsi="宋体"/>
          <w:color w:val="0D0D0D"/>
          <w:sz w:val="24"/>
          <w:szCs w:val="24"/>
        </w:rPr>
        <w:t>141</w:t>
      </w:r>
      <w:r>
        <w:rPr>
          <w:rFonts w:hint="eastAsia" w:ascii="宋体" w:hAnsi="宋体"/>
          <w:color w:val="0D0D0D"/>
          <w:sz w:val="24"/>
          <w:szCs w:val="24"/>
        </w:rPr>
        <w:t>号）的规定，本单位为符合条件的残疾人福利性单位</w:t>
      </w:r>
      <w:r>
        <w:rPr>
          <w:rFonts w:hint="eastAsia" w:hAnsi="宋体"/>
          <w:color w:val="0D0D0D"/>
          <w:sz w:val="24"/>
        </w:rPr>
        <w:t>（详见“残疾人福利性单位应当满足的条件”）</w:t>
      </w:r>
      <w:r>
        <w:rPr>
          <w:rFonts w:hint="eastAsia" w:ascii="宋体" w:hAnsi="宋体"/>
          <w:color w:val="0D0D0D"/>
          <w:sz w:val="24"/>
          <w:szCs w:val="24"/>
        </w:rPr>
        <w:t>，</w:t>
      </w:r>
      <w:r>
        <w:rPr>
          <w:rFonts w:hint="eastAsia" w:ascii="宋体" w:hAnsi="宋体"/>
          <w:sz w:val="24"/>
          <w:szCs w:val="24"/>
        </w:rPr>
        <w:t>且本单位参加</w:t>
      </w:r>
      <w:r>
        <w:rPr>
          <w:rFonts w:hint="eastAsia" w:ascii="宋体" w:hAnsi="宋体"/>
          <w:sz w:val="24"/>
          <w:szCs w:val="24"/>
          <w:u w:val="single"/>
        </w:rPr>
        <w:t>（</w:t>
      </w:r>
      <w:r>
        <w:rPr>
          <w:rFonts w:hint="eastAsia" w:ascii="Times New Roman" w:hAnsi="宋体"/>
          <w:sz w:val="24"/>
          <w:szCs w:val="24"/>
          <w:u w:val="single"/>
        </w:rPr>
        <w:t>采购</w:t>
      </w:r>
      <w:r>
        <w:rPr>
          <w:rFonts w:hint="eastAsia" w:ascii="宋体" w:hAnsi="宋体"/>
          <w:sz w:val="24"/>
          <w:szCs w:val="24"/>
          <w:u w:val="single"/>
        </w:rPr>
        <w:t>人）</w:t>
      </w:r>
      <w:r>
        <w:rPr>
          <w:rFonts w:hint="eastAsia" w:ascii="Times New Roman" w:hAnsi="宋体"/>
          <w:sz w:val="24"/>
          <w:szCs w:val="24"/>
        </w:rPr>
        <w:t>的</w:t>
      </w:r>
      <w:r>
        <w:rPr>
          <w:rFonts w:ascii="宋体" w:hAnsi="宋体"/>
          <w:sz w:val="24"/>
          <w:szCs w:val="24"/>
          <w:u w:val="single"/>
        </w:rPr>
        <w:t>__   _</w:t>
      </w:r>
      <w:r>
        <w:rPr>
          <w:rFonts w:hint="eastAsia" w:ascii="Times New Roman" w:hAnsi="宋体"/>
          <w:sz w:val="24"/>
          <w:szCs w:val="24"/>
        </w:rPr>
        <w:t>项目（项目编号：</w:t>
      </w:r>
      <w:r>
        <w:rPr>
          <w:rFonts w:ascii="Times New Roman" w:hAnsi="宋体"/>
          <w:sz w:val="24"/>
          <w:szCs w:val="24"/>
        </w:rPr>
        <w:t>______</w:t>
      </w:r>
      <w:r>
        <w:rPr>
          <w:rFonts w:hint="eastAsia" w:ascii="Times New Roman" w:hAnsi="宋体"/>
          <w:sz w:val="24"/>
          <w:szCs w:val="24"/>
        </w:rPr>
        <w:t>）</w:t>
      </w:r>
      <w:r>
        <w:rPr>
          <w:rFonts w:hint="eastAsia" w:ascii="宋体" w:hAnsi="宋体"/>
          <w:sz w:val="24"/>
          <w:szCs w:val="24"/>
        </w:rPr>
        <w:t>采购活动由本单位承担工程（或提供服务）。</w:t>
      </w:r>
    </w:p>
    <w:p>
      <w:pPr>
        <w:spacing w:line="360" w:lineRule="auto"/>
        <w:ind w:firstLine="480" w:firstLineChars="200"/>
        <w:rPr>
          <w:rFonts w:ascii="宋体"/>
          <w:sz w:val="24"/>
          <w:szCs w:val="24"/>
        </w:rPr>
      </w:pPr>
      <w:r>
        <w:rPr>
          <w:rFonts w:hint="eastAsia" w:ascii="宋体" w:hAnsi="宋体"/>
          <w:sz w:val="24"/>
          <w:szCs w:val="24"/>
        </w:rPr>
        <w:t>本单位对上述声明的真实性负责。如有虚假，将依法承担相应责任。</w:t>
      </w:r>
    </w:p>
    <w:p>
      <w:pPr>
        <w:spacing w:line="360" w:lineRule="auto"/>
        <w:rPr>
          <w:rFonts w:ascii="宋体"/>
          <w:sz w:val="24"/>
          <w:szCs w:val="24"/>
        </w:rPr>
      </w:pPr>
    </w:p>
    <w:p>
      <w:pPr>
        <w:spacing w:line="360" w:lineRule="auto"/>
        <w:rPr>
          <w:rFonts w:ascii="宋体"/>
          <w:sz w:val="24"/>
          <w:szCs w:val="24"/>
        </w:rPr>
      </w:pPr>
    </w:p>
    <w:p>
      <w:pPr>
        <w:spacing w:line="360" w:lineRule="auto"/>
        <w:ind w:left="1080" w:hanging="1080" w:hangingChars="450"/>
        <w:jc w:val="left"/>
        <w:rPr>
          <w:rFonts w:ascii="宋体" w:cs="Courier New"/>
          <w:color w:val="0D0D0D"/>
          <w:sz w:val="24"/>
          <w:szCs w:val="21"/>
        </w:rPr>
      </w:pPr>
      <w:r>
        <w:rPr>
          <w:rFonts w:hint="eastAsia" w:ascii="宋体" w:hAnsi="宋体" w:cs="Courier New"/>
          <w:color w:val="0D0D0D"/>
          <w:sz w:val="24"/>
          <w:szCs w:val="21"/>
        </w:rPr>
        <w:t>说明：</w:t>
      </w:r>
      <w:r>
        <w:rPr>
          <w:rFonts w:ascii="宋体" w:hAnsi="宋体" w:cs="Courier New"/>
          <w:color w:val="0D0D0D"/>
          <w:sz w:val="24"/>
          <w:szCs w:val="21"/>
        </w:rPr>
        <w:t>1</w:t>
      </w:r>
      <w:r>
        <w:rPr>
          <w:rFonts w:hint="eastAsia" w:ascii="宋体" w:hAnsi="宋体" w:cs="Courier New"/>
          <w:color w:val="0D0D0D"/>
          <w:sz w:val="24"/>
          <w:szCs w:val="21"/>
        </w:rPr>
        <w:t>、组成联合体的大中型企业和其他自然人、法人或者其他组织，与残疾人福利性单位之间不得存在投资关系。</w:t>
      </w:r>
    </w:p>
    <w:p>
      <w:pPr>
        <w:spacing w:line="360" w:lineRule="auto"/>
        <w:ind w:left="1078" w:leftChars="342" w:hanging="360" w:hangingChars="150"/>
        <w:jc w:val="left"/>
        <w:rPr>
          <w:rFonts w:ascii="宋体"/>
          <w:color w:val="0D0D0D"/>
          <w:sz w:val="24"/>
          <w:szCs w:val="24"/>
        </w:rPr>
      </w:pPr>
      <w:r>
        <w:rPr>
          <w:rFonts w:ascii="宋体" w:hAnsi="宋体" w:cs="Courier New"/>
          <w:color w:val="0D0D0D"/>
          <w:sz w:val="24"/>
          <w:szCs w:val="21"/>
        </w:rPr>
        <w:t>2</w:t>
      </w:r>
      <w:r>
        <w:rPr>
          <w:rFonts w:hint="eastAsia" w:ascii="宋体" w:hAnsi="宋体" w:cs="Courier New"/>
          <w:color w:val="0D0D0D"/>
          <w:sz w:val="24"/>
          <w:szCs w:val="21"/>
        </w:rPr>
        <w:t>、以联合体方式参与本项目投标的供应商，应由联合体双方签字盖章。</w:t>
      </w:r>
    </w:p>
    <w:p>
      <w:pPr>
        <w:spacing w:line="360" w:lineRule="auto"/>
        <w:rPr>
          <w:rFonts w:ascii="宋体"/>
          <w:sz w:val="24"/>
          <w:szCs w:val="24"/>
        </w:rPr>
      </w:pPr>
    </w:p>
    <w:p>
      <w:pPr>
        <w:spacing w:line="360" w:lineRule="auto"/>
        <w:rPr>
          <w:rFonts w:ascii="宋体"/>
          <w:sz w:val="24"/>
          <w:szCs w:val="24"/>
        </w:rPr>
      </w:pPr>
    </w:p>
    <w:p>
      <w:pPr>
        <w:spacing w:before="100" w:beforeAutospacing="1" w:after="100" w:afterAutospacing="1" w:line="360" w:lineRule="auto"/>
        <w:ind w:firstLine="3316" w:firstLineChars="1382"/>
        <w:rPr>
          <w:rFonts w:ascii="宋体"/>
          <w:b/>
          <w:bCs/>
          <w:sz w:val="24"/>
          <w:szCs w:val="21"/>
          <w:lang w:val="zh-CN"/>
        </w:rPr>
      </w:pPr>
      <w:r>
        <w:rPr>
          <w:rFonts w:hint="eastAsia" w:ascii="宋体" w:hAnsi="宋体"/>
          <w:b/>
          <w:bCs/>
          <w:sz w:val="24"/>
          <w:szCs w:val="21"/>
          <w:lang w:val="zh-CN"/>
        </w:rPr>
        <w:t>制造商（公章）：</w:t>
      </w:r>
    </w:p>
    <w:p>
      <w:pPr>
        <w:spacing w:before="100" w:beforeAutospacing="1" w:after="100" w:afterAutospacing="1" w:line="360" w:lineRule="auto"/>
        <w:ind w:firstLine="3316" w:firstLineChars="1382"/>
        <w:rPr>
          <w:rFonts w:ascii="宋体"/>
          <w:b/>
          <w:bCs/>
          <w:sz w:val="24"/>
          <w:szCs w:val="21"/>
          <w:lang w:val="zh-CN"/>
        </w:rPr>
      </w:pPr>
      <w:r>
        <w:rPr>
          <w:rFonts w:hint="eastAsia" w:ascii="宋体" w:hAnsi="宋体"/>
          <w:b/>
          <w:bCs/>
          <w:sz w:val="24"/>
          <w:szCs w:val="21"/>
          <w:lang w:val="zh-CN"/>
        </w:rPr>
        <w:t>投标人授权代表（签字）：</w:t>
      </w:r>
    </w:p>
    <w:p>
      <w:pPr>
        <w:spacing w:before="100" w:beforeAutospacing="1" w:after="100" w:afterAutospacing="1" w:line="360" w:lineRule="auto"/>
        <w:ind w:firstLine="3316" w:firstLineChars="1382"/>
        <w:rPr>
          <w:rFonts w:ascii="Times New Roman" w:hAnsi="宋体"/>
          <w:bCs/>
          <w:sz w:val="24"/>
          <w:szCs w:val="24"/>
          <w:u w:val="single"/>
        </w:rPr>
      </w:pPr>
      <w:r>
        <w:rPr>
          <w:rFonts w:hint="eastAsia" w:ascii="Times New Roman" w:hAnsi="宋体"/>
          <w:b/>
          <w:sz w:val="24"/>
          <w:szCs w:val="24"/>
        </w:rPr>
        <w:t>日</w:t>
      </w:r>
      <w:r>
        <w:rPr>
          <w:rFonts w:ascii="Times New Roman" w:hAnsi="宋体"/>
          <w:b/>
          <w:sz w:val="24"/>
          <w:szCs w:val="24"/>
        </w:rPr>
        <w:t>  </w:t>
      </w:r>
      <w:r>
        <w:rPr>
          <w:rFonts w:hint="eastAsia" w:ascii="Times New Roman" w:hAnsi="宋体"/>
          <w:b/>
          <w:sz w:val="24"/>
          <w:szCs w:val="24"/>
        </w:rPr>
        <w:t>期：</w:t>
      </w:r>
    </w:p>
    <w:p>
      <w:r>
        <w:br w:type="page"/>
      </w:r>
    </w:p>
    <w:p>
      <w:pPr>
        <w:spacing w:line="600" w:lineRule="exact"/>
        <w:rPr>
          <w:rFonts w:ascii="Times New Roman" w:hAnsi="Times New Roman"/>
          <w:b/>
          <w:sz w:val="24"/>
          <w:szCs w:val="24"/>
        </w:rPr>
      </w:pPr>
      <w:r>
        <w:rPr>
          <w:rFonts w:hint="eastAsia" w:ascii="Times New Roman" w:hAnsi="Times New Roman"/>
          <w:b/>
          <w:sz w:val="24"/>
          <w:szCs w:val="24"/>
        </w:rPr>
        <w:t>享受支持政策的残疾人福利性单位应当同时满足以下条件：</w:t>
      </w:r>
    </w:p>
    <w:p>
      <w:pPr>
        <w:spacing w:line="600" w:lineRule="exact"/>
        <w:ind w:firstLine="480" w:firstLineChars="200"/>
        <w:rPr>
          <w:rFonts w:ascii="宋体"/>
          <w:sz w:val="24"/>
          <w:szCs w:val="24"/>
        </w:rPr>
      </w:pPr>
      <w:r>
        <w:rPr>
          <w:rFonts w:hint="eastAsia" w:ascii="宋体" w:hAnsi="宋体"/>
          <w:sz w:val="24"/>
          <w:szCs w:val="24"/>
        </w:rPr>
        <w:t>（一）安置的残疾人占本单位在职职工人数的比例不低于</w:t>
      </w:r>
      <w:r>
        <w:rPr>
          <w:rFonts w:ascii="宋体" w:hAnsi="宋体"/>
          <w:sz w:val="24"/>
          <w:szCs w:val="24"/>
        </w:rPr>
        <w:t>25%</w:t>
      </w:r>
      <w:r>
        <w:rPr>
          <w:rFonts w:hint="eastAsia" w:ascii="宋体" w:hAnsi="宋体"/>
          <w:sz w:val="24"/>
          <w:szCs w:val="24"/>
        </w:rPr>
        <w:t>（含</w:t>
      </w:r>
      <w:r>
        <w:rPr>
          <w:rFonts w:ascii="宋体" w:hAnsi="宋体"/>
          <w:sz w:val="24"/>
          <w:szCs w:val="24"/>
        </w:rPr>
        <w:t>25%</w:t>
      </w:r>
      <w:r>
        <w:rPr>
          <w:rFonts w:hint="eastAsia" w:ascii="宋体" w:hAnsi="宋体"/>
          <w:sz w:val="24"/>
          <w:szCs w:val="24"/>
        </w:rPr>
        <w:t>），并且安置的残疾人人数不少于</w:t>
      </w:r>
      <w:r>
        <w:rPr>
          <w:rFonts w:ascii="宋体" w:hAnsi="宋体"/>
          <w:sz w:val="24"/>
          <w:szCs w:val="24"/>
        </w:rPr>
        <w:t>10</w:t>
      </w:r>
      <w:r>
        <w:rPr>
          <w:rFonts w:hint="eastAsia" w:ascii="宋体" w:hAnsi="宋体"/>
          <w:sz w:val="24"/>
          <w:szCs w:val="24"/>
        </w:rPr>
        <w:t>人（含</w:t>
      </w:r>
      <w:r>
        <w:rPr>
          <w:rFonts w:ascii="宋体" w:hAnsi="宋体"/>
          <w:sz w:val="24"/>
          <w:szCs w:val="24"/>
        </w:rPr>
        <w:t>10</w:t>
      </w:r>
      <w:r>
        <w:rPr>
          <w:rFonts w:hint="eastAsia" w:ascii="宋体" w:hAnsi="宋体"/>
          <w:sz w:val="24"/>
          <w:szCs w:val="24"/>
        </w:rPr>
        <w:t>人）；</w:t>
      </w:r>
    </w:p>
    <w:p>
      <w:pPr>
        <w:spacing w:line="600" w:lineRule="exact"/>
        <w:ind w:firstLine="480" w:firstLineChars="200"/>
        <w:rPr>
          <w:rFonts w:ascii="宋体"/>
          <w:sz w:val="24"/>
          <w:szCs w:val="24"/>
        </w:rPr>
      </w:pPr>
      <w:r>
        <w:rPr>
          <w:rFonts w:hint="eastAsia" w:ascii="宋体" w:hAnsi="宋体"/>
          <w:sz w:val="24"/>
          <w:szCs w:val="24"/>
        </w:rPr>
        <w:t>（二）依法与安置的每位残疾人签订了一年以上（含一年）的劳动合同或服务协议；</w:t>
      </w:r>
    </w:p>
    <w:p>
      <w:pPr>
        <w:spacing w:line="600" w:lineRule="exact"/>
        <w:ind w:firstLine="480" w:firstLineChars="200"/>
        <w:rPr>
          <w:rFonts w:ascii="宋体"/>
          <w:sz w:val="24"/>
          <w:szCs w:val="24"/>
        </w:rPr>
      </w:pPr>
      <w:r>
        <w:rPr>
          <w:rFonts w:hint="eastAsia" w:ascii="宋体" w:hAnsi="宋体"/>
          <w:sz w:val="24"/>
          <w:szCs w:val="24"/>
        </w:rPr>
        <w:t>（三）为安置的每位残疾人按月足额缴纳了基本养老保险、基本医疗保险、失业保险、工伤保险和生育保险等社会保险费；</w:t>
      </w:r>
    </w:p>
    <w:p>
      <w:pPr>
        <w:spacing w:line="600" w:lineRule="exact"/>
        <w:ind w:firstLine="480" w:firstLineChars="200"/>
        <w:rPr>
          <w:rFonts w:ascii="宋体"/>
          <w:sz w:val="24"/>
          <w:szCs w:val="24"/>
        </w:rPr>
      </w:pPr>
      <w:r>
        <w:rPr>
          <w:rFonts w:hint="eastAsia" w:ascii="宋体" w:hAnsi="宋体"/>
          <w:sz w:val="24"/>
          <w:szCs w:val="24"/>
        </w:rPr>
        <w:t>（四）通过银行等金融机构向安置的每位残疾人，按月支付了不低于单位所在区县适用的经省级人民政府批准的月最低工资标准的工资；</w:t>
      </w:r>
    </w:p>
    <w:p>
      <w:pPr>
        <w:spacing w:line="600" w:lineRule="exact"/>
        <w:ind w:firstLine="480" w:firstLineChars="200"/>
        <w:rPr>
          <w:rFonts w:ascii="宋体"/>
          <w:sz w:val="24"/>
          <w:szCs w:val="24"/>
        </w:rPr>
      </w:pPr>
      <w:r>
        <w:rPr>
          <w:rFonts w:hint="eastAsia" w:ascii="宋体" w:hAnsi="宋体"/>
          <w:sz w:val="24"/>
          <w:szCs w:val="24"/>
        </w:rPr>
        <w:t>（五）提供本单位制造的货物、承担的工程或者服务（以下简称产品），或者提供其他残疾人福利性单位制造的货物（不包括使用非残疾人福利性单位注册商标的货物）。</w:t>
      </w:r>
    </w:p>
    <w:p>
      <w:pPr>
        <w:spacing w:line="600" w:lineRule="exact"/>
        <w:ind w:firstLine="480" w:firstLineChars="200"/>
        <w:rPr>
          <w:rFonts w:ascii="宋体"/>
          <w:sz w:val="24"/>
          <w:szCs w:val="24"/>
        </w:rPr>
      </w:pPr>
      <w:r>
        <w:rPr>
          <w:rFonts w:hint="eastAsia" w:ascii="宋体" w:hAnsi="宋体"/>
          <w:sz w:val="24"/>
          <w:szCs w:val="24"/>
        </w:rPr>
        <w:t>前款所称残疾人是指法定劳动年龄内，持有《中华人民共和国残疾人证》或者《中华人民共和国残疾军人证（</w:t>
      </w:r>
      <w:r>
        <w:rPr>
          <w:rFonts w:ascii="宋体" w:hAnsi="宋体"/>
          <w:sz w:val="24"/>
          <w:szCs w:val="24"/>
        </w:rPr>
        <w:t>1</w:t>
      </w:r>
      <w:r>
        <w:rPr>
          <w:rFonts w:hint="eastAsia" w:ascii="宋体" w:hAnsi="宋体"/>
          <w:sz w:val="24"/>
          <w:szCs w:val="24"/>
        </w:rPr>
        <w:t>至</w:t>
      </w:r>
      <w:r>
        <w:rPr>
          <w:rFonts w:ascii="宋体" w:hAnsi="宋体"/>
          <w:sz w:val="24"/>
          <w:szCs w:val="24"/>
        </w:rPr>
        <w:t>8</w:t>
      </w:r>
      <w:r>
        <w:rPr>
          <w:rFonts w:hint="eastAsia" w:ascii="宋体" w:hAnsi="宋体"/>
          <w:sz w:val="24"/>
          <w:szCs w:val="24"/>
        </w:rPr>
        <w:t>级）》的自然人，包括具有劳动条件和劳动意愿的精神残疾人。在职职工人数是指与残疾人福利性单位建立劳动关系并依法签订劳动合同或者服务协议的雇员人数。</w:t>
      </w:r>
    </w:p>
    <w:p/>
    <w:p>
      <w:r>
        <w:br w:type="page"/>
      </w:r>
    </w:p>
    <w:p>
      <w:pPr>
        <w:pStyle w:val="4"/>
        <w:numPr>
          <w:ilvl w:val="0"/>
          <w:numId w:val="61"/>
        </w:numPr>
        <w:spacing w:before="100" w:beforeAutospacing="1" w:afterLines="50" w:line="360" w:lineRule="auto"/>
        <w:ind w:left="1288" w:hanging="1288"/>
        <w:jc w:val="left"/>
        <w:rPr>
          <w:rFonts w:ascii="宋体"/>
        </w:rPr>
      </w:pPr>
      <w:bookmarkStart w:id="148" w:name="_Toc494702275"/>
      <w:bookmarkStart w:id="149" w:name="_Toc494665955"/>
      <w:bookmarkStart w:id="150" w:name="_Toc494577410"/>
      <w:bookmarkStart w:id="151" w:name="_Toc106268632"/>
      <w:bookmarkStart w:id="152" w:name="_Toc494665005"/>
      <w:bookmarkStart w:id="153" w:name="_Toc494721105"/>
      <w:bookmarkStart w:id="154" w:name="_Toc494745322"/>
      <w:bookmarkStart w:id="155" w:name="_Toc494665558"/>
      <w:r>
        <w:rPr>
          <w:rFonts w:hint="eastAsia" w:ascii="宋体" w:hAnsi="宋体"/>
        </w:rPr>
        <w:t>开标一览表</w:t>
      </w:r>
      <w:bookmarkEnd w:id="148"/>
      <w:bookmarkEnd w:id="149"/>
      <w:bookmarkEnd w:id="150"/>
      <w:bookmarkEnd w:id="151"/>
      <w:bookmarkEnd w:id="152"/>
      <w:bookmarkEnd w:id="153"/>
      <w:bookmarkEnd w:id="154"/>
      <w:bookmarkEnd w:id="155"/>
    </w:p>
    <w:p>
      <w:pPr>
        <w:spacing w:line="360" w:lineRule="auto"/>
        <w:jc w:val="left"/>
        <w:rPr>
          <w:rFonts w:ascii="宋体"/>
          <w:b/>
          <w:color w:val="FF0000"/>
          <w:sz w:val="24"/>
          <w:szCs w:val="21"/>
          <w:u w:val="single"/>
          <w:lang w:val="zh-CN"/>
        </w:rPr>
      </w:pPr>
      <w:r>
        <w:rPr>
          <w:rFonts w:hint="eastAsia" w:ascii="宋体" w:hAnsi="宋体"/>
          <w:b/>
          <w:color w:val="FF0000"/>
          <w:sz w:val="24"/>
          <w:szCs w:val="21"/>
          <w:lang w:val="zh-CN"/>
        </w:rPr>
        <w:t>投标人：</w:t>
      </w:r>
    </w:p>
    <w:p>
      <w:pPr>
        <w:spacing w:line="360" w:lineRule="auto"/>
        <w:jc w:val="left"/>
        <w:rPr>
          <w:rFonts w:ascii="宋体"/>
          <w:b/>
          <w:color w:val="FF0000"/>
          <w:sz w:val="24"/>
          <w:szCs w:val="21"/>
          <w:lang w:val="zh-CN"/>
        </w:rPr>
      </w:pPr>
      <w:r>
        <w:rPr>
          <w:rFonts w:hint="eastAsia" w:ascii="宋体" w:hAnsi="宋体"/>
          <w:b/>
          <w:color w:val="FF0000"/>
          <w:sz w:val="24"/>
          <w:szCs w:val="21"/>
          <w:lang w:val="zh-CN"/>
        </w:rPr>
        <w:t>项目名称：</w:t>
      </w:r>
    </w:p>
    <w:p>
      <w:pPr>
        <w:spacing w:line="360" w:lineRule="auto"/>
        <w:jc w:val="left"/>
        <w:rPr>
          <w:rFonts w:ascii="宋体"/>
          <w:b/>
          <w:bCs/>
          <w:color w:val="FF0000"/>
          <w:sz w:val="24"/>
          <w:szCs w:val="21"/>
          <w:u w:val="single"/>
          <w:lang w:val="zh-CN"/>
        </w:rPr>
      </w:pPr>
      <w:r>
        <w:rPr>
          <w:rFonts w:hint="eastAsia" w:ascii="宋体" w:hAnsi="宋体"/>
          <w:b/>
          <w:color w:val="FF0000"/>
          <w:sz w:val="24"/>
          <w:szCs w:val="21"/>
          <w:lang w:val="zh-CN"/>
        </w:rPr>
        <w:t>项目编号：</w:t>
      </w:r>
    </w:p>
    <w:tbl>
      <w:tblPr>
        <w:tblStyle w:val="28"/>
        <w:tblpPr w:leftFromText="180" w:rightFromText="180" w:vertAnchor="page" w:horzAnchor="margin" w:tblpY="4099"/>
        <w:tblW w:w="93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4"/>
        <w:gridCol w:w="6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3124" w:type="dxa"/>
            <w:vAlign w:val="center"/>
          </w:tcPr>
          <w:p>
            <w:pPr>
              <w:jc w:val="center"/>
              <w:rPr>
                <w:rFonts w:ascii="宋体"/>
                <w:szCs w:val="21"/>
              </w:rPr>
            </w:pPr>
            <w:r>
              <w:rPr>
                <w:rFonts w:hint="eastAsia" w:ascii="宋体" w:hAnsi="宋体"/>
                <w:szCs w:val="21"/>
              </w:rPr>
              <w:t>项目名称</w:t>
            </w:r>
          </w:p>
        </w:tc>
        <w:tc>
          <w:tcPr>
            <w:tcW w:w="6260" w:type="dxa"/>
            <w:vAlign w:val="center"/>
          </w:tcPr>
          <w:p>
            <w:pPr>
              <w:rPr>
                <w:rFonts w:asci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3124" w:type="dxa"/>
            <w:vAlign w:val="center"/>
          </w:tcPr>
          <w:p>
            <w:pPr>
              <w:jc w:val="center"/>
              <w:rPr>
                <w:rFonts w:ascii="宋体"/>
                <w:szCs w:val="21"/>
              </w:rPr>
            </w:pPr>
            <w:r>
              <w:rPr>
                <w:rFonts w:hint="eastAsia" w:ascii="宋体" w:hAnsi="宋体"/>
                <w:szCs w:val="21"/>
              </w:rPr>
              <w:t>投标人</w:t>
            </w:r>
          </w:p>
        </w:tc>
        <w:tc>
          <w:tcPr>
            <w:tcW w:w="6260" w:type="dxa"/>
            <w:vAlign w:val="center"/>
          </w:tcPr>
          <w:p>
            <w:pPr>
              <w:rPr>
                <w:rFonts w:asci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3124" w:type="dxa"/>
            <w:vAlign w:val="center"/>
          </w:tcPr>
          <w:p>
            <w:pPr>
              <w:jc w:val="center"/>
              <w:rPr>
                <w:rFonts w:ascii="宋体"/>
                <w:szCs w:val="21"/>
              </w:rPr>
            </w:pPr>
            <w:r>
              <w:rPr>
                <w:rFonts w:hint="eastAsia" w:ascii="宋体" w:hAnsi="宋体"/>
                <w:szCs w:val="21"/>
              </w:rPr>
              <w:t>项目负责人</w:t>
            </w:r>
          </w:p>
        </w:tc>
        <w:tc>
          <w:tcPr>
            <w:tcW w:w="6260" w:type="dxa"/>
            <w:vAlign w:val="center"/>
          </w:tcPr>
          <w:p>
            <w:pPr>
              <w:rPr>
                <w:rFonts w:asci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6" w:hRule="atLeast"/>
        </w:trPr>
        <w:tc>
          <w:tcPr>
            <w:tcW w:w="3124" w:type="dxa"/>
            <w:vAlign w:val="center"/>
          </w:tcPr>
          <w:p>
            <w:pPr>
              <w:jc w:val="center"/>
              <w:rPr>
                <w:rFonts w:ascii="宋体"/>
                <w:szCs w:val="21"/>
              </w:rPr>
            </w:pPr>
            <w:r>
              <w:rPr>
                <w:rFonts w:hint="eastAsia" w:ascii="宋体" w:hAnsi="宋体"/>
                <w:szCs w:val="21"/>
              </w:rPr>
              <w:t>投标总报价</w:t>
            </w:r>
          </w:p>
        </w:tc>
        <w:tc>
          <w:tcPr>
            <w:tcW w:w="6260" w:type="dxa"/>
            <w:vAlign w:val="center"/>
          </w:tcPr>
          <w:p>
            <w:pPr>
              <w:rPr>
                <w:rFonts w:ascii="宋体"/>
                <w:szCs w:val="21"/>
              </w:rPr>
            </w:pPr>
            <w:r>
              <w:rPr>
                <w:rFonts w:hint="eastAsia" w:ascii="宋体" w:hAnsi="宋体"/>
                <w:szCs w:val="21"/>
                <w:u w:val="single"/>
              </w:rPr>
              <w:t>小写：</w:t>
            </w:r>
            <w:r>
              <w:rPr>
                <w:rFonts w:hint="eastAsia" w:ascii="宋体" w:hAnsi="宋体"/>
                <w:szCs w:val="21"/>
              </w:rPr>
              <w:t>万元</w:t>
            </w:r>
          </w:p>
          <w:p>
            <w:pPr>
              <w:rPr>
                <w:rFonts w:ascii="宋体"/>
                <w:szCs w:val="21"/>
              </w:rPr>
            </w:pPr>
          </w:p>
          <w:p>
            <w:pPr>
              <w:rPr>
                <w:rFonts w:ascii="宋体"/>
                <w:szCs w:val="21"/>
                <w:u w:val="single"/>
              </w:rPr>
            </w:pPr>
            <w:r>
              <w:rPr>
                <w:rFonts w:hint="eastAsia" w:ascii="宋体" w:hAnsi="宋体"/>
                <w:szCs w:val="21"/>
              </w:rPr>
              <w:t>大写：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3" w:hRule="atLeast"/>
        </w:trPr>
        <w:tc>
          <w:tcPr>
            <w:tcW w:w="3124" w:type="dxa"/>
            <w:vAlign w:val="center"/>
          </w:tcPr>
          <w:p>
            <w:pPr>
              <w:jc w:val="center"/>
              <w:rPr>
                <w:rFonts w:ascii="宋体"/>
                <w:szCs w:val="21"/>
              </w:rPr>
            </w:pPr>
            <w:r>
              <w:rPr>
                <w:rFonts w:hint="eastAsia" w:ascii="宋体" w:hAnsi="宋体"/>
                <w:szCs w:val="21"/>
              </w:rPr>
              <w:t>投标质量</w:t>
            </w:r>
          </w:p>
        </w:tc>
        <w:tc>
          <w:tcPr>
            <w:tcW w:w="6260" w:type="dxa"/>
            <w:vAlign w:val="center"/>
          </w:tcPr>
          <w:p>
            <w:pPr>
              <w:jc w:val="center"/>
              <w:rPr>
                <w:rFonts w:asci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1" w:hRule="atLeast"/>
        </w:trPr>
        <w:tc>
          <w:tcPr>
            <w:tcW w:w="3124" w:type="dxa"/>
            <w:vAlign w:val="center"/>
          </w:tcPr>
          <w:p>
            <w:pPr>
              <w:jc w:val="center"/>
              <w:rPr>
                <w:rFonts w:ascii="宋体"/>
                <w:szCs w:val="21"/>
              </w:rPr>
            </w:pPr>
            <w:r>
              <w:rPr>
                <w:rFonts w:hint="eastAsia" w:ascii="宋体" w:hAnsi="宋体"/>
                <w:szCs w:val="21"/>
              </w:rPr>
              <w:t>投标工期(交</w:t>
            </w:r>
            <w:r>
              <w:rPr>
                <w:rFonts w:ascii="宋体" w:hAnsi="宋体"/>
                <w:szCs w:val="21"/>
              </w:rPr>
              <w:t>货期</w:t>
            </w:r>
            <w:r>
              <w:rPr>
                <w:rFonts w:hint="eastAsia" w:ascii="宋体" w:hAnsi="宋体"/>
                <w:szCs w:val="21"/>
              </w:rPr>
              <w:t>)</w:t>
            </w:r>
          </w:p>
        </w:tc>
        <w:tc>
          <w:tcPr>
            <w:tcW w:w="6260" w:type="dxa"/>
            <w:vAlign w:val="center"/>
          </w:tcPr>
          <w:p>
            <w:pPr>
              <w:ind w:firstLine="840" w:firstLineChars="400"/>
              <w:rPr>
                <w:rFonts w:asci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1" w:hRule="atLeast"/>
        </w:trPr>
        <w:tc>
          <w:tcPr>
            <w:tcW w:w="3124" w:type="dxa"/>
            <w:vAlign w:val="center"/>
          </w:tcPr>
          <w:p>
            <w:pPr>
              <w:jc w:val="center"/>
              <w:rPr>
                <w:rFonts w:ascii="宋体"/>
                <w:szCs w:val="21"/>
              </w:rPr>
            </w:pPr>
            <w:r>
              <w:rPr>
                <w:rFonts w:hint="eastAsia" w:ascii="宋体" w:hAnsi="宋体"/>
                <w:szCs w:val="21"/>
              </w:rPr>
              <w:t>维护期（</w:t>
            </w:r>
            <w:r>
              <w:rPr>
                <w:rFonts w:ascii="宋体" w:hAnsi="宋体"/>
                <w:szCs w:val="21"/>
              </w:rPr>
              <w:t>质保期）</w:t>
            </w:r>
          </w:p>
        </w:tc>
        <w:tc>
          <w:tcPr>
            <w:tcW w:w="6260" w:type="dxa"/>
            <w:vAlign w:val="center"/>
          </w:tcPr>
          <w:p>
            <w:pPr>
              <w:ind w:firstLine="840" w:firstLineChars="400"/>
              <w:rPr>
                <w:rFonts w:ascii="宋体"/>
                <w:szCs w:val="21"/>
              </w:rPr>
            </w:pPr>
          </w:p>
        </w:tc>
      </w:tr>
    </w:tbl>
    <w:p>
      <w:pPr>
        <w:spacing w:line="360" w:lineRule="auto"/>
        <w:ind w:left="1049" w:hanging="1048" w:hangingChars="437"/>
        <w:jc w:val="left"/>
        <w:rPr>
          <w:rFonts w:ascii="宋体"/>
          <w:sz w:val="24"/>
        </w:rPr>
      </w:pPr>
      <w:r>
        <w:rPr>
          <w:rFonts w:hint="eastAsia" w:ascii="宋体" w:hAnsi="宋体"/>
          <w:sz w:val="24"/>
        </w:rPr>
        <w:t>说明：</w:t>
      </w:r>
      <w:r>
        <w:rPr>
          <w:rFonts w:ascii="宋体" w:hAnsi="宋体"/>
          <w:sz w:val="24"/>
        </w:rPr>
        <w:t>1</w:t>
      </w:r>
      <w:r>
        <w:rPr>
          <w:rFonts w:hint="eastAsia" w:ascii="宋体" w:hAnsi="宋体"/>
          <w:sz w:val="24"/>
        </w:rPr>
        <w:t>．所有价格均用人民币表示，单位为万元。</w:t>
      </w:r>
    </w:p>
    <w:p>
      <w:pPr>
        <w:spacing w:line="360" w:lineRule="auto"/>
        <w:ind w:left="1061" w:leftChars="339" w:hanging="350" w:hangingChars="146"/>
        <w:jc w:val="left"/>
        <w:rPr>
          <w:rFonts w:ascii="宋体"/>
          <w:sz w:val="24"/>
          <w:szCs w:val="24"/>
        </w:rPr>
      </w:pPr>
      <w:r>
        <w:rPr>
          <w:rFonts w:ascii="宋体" w:hAnsi="宋体"/>
          <w:sz w:val="24"/>
          <w:szCs w:val="24"/>
        </w:rPr>
        <w:t>2</w:t>
      </w:r>
      <w:r>
        <w:rPr>
          <w:rFonts w:hint="eastAsia" w:ascii="宋体" w:hAnsi="宋体"/>
          <w:sz w:val="24"/>
          <w:szCs w:val="24"/>
        </w:rPr>
        <w:t>．价格应按照招标文件第二章“投标人须知”中第</w:t>
      </w:r>
      <w:r>
        <w:rPr>
          <w:rFonts w:ascii="宋体" w:hAnsi="宋体"/>
          <w:sz w:val="24"/>
          <w:szCs w:val="24"/>
        </w:rPr>
        <w:t>12</w:t>
      </w:r>
      <w:r>
        <w:rPr>
          <w:rFonts w:hint="eastAsia" w:ascii="宋体" w:hAnsi="宋体"/>
          <w:sz w:val="24"/>
          <w:szCs w:val="24"/>
        </w:rPr>
        <w:t>条的要求进行报价。</w:t>
      </w:r>
    </w:p>
    <w:p>
      <w:pPr>
        <w:spacing w:line="360" w:lineRule="auto"/>
        <w:ind w:left="1061" w:leftChars="339" w:hanging="350" w:hangingChars="146"/>
        <w:jc w:val="left"/>
        <w:rPr>
          <w:rFonts w:ascii="宋体"/>
          <w:b/>
          <w:sz w:val="24"/>
          <w:szCs w:val="24"/>
        </w:rPr>
      </w:pPr>
      <w:r>
        <w:rPr>
          <w:rFonts w:ascii="宋体" w:hAnsi="宋体"/>
          <w:sz w:val="24"/>
          <w:szCs w:val="24"/>
        </w:rPr>
        <w:t>3</w:t>
      </w:r>
      <w:r>
        <w:rPr>
          <w:rFonts w:hint="eastAsia" w:ascii="宋体" w:hAnsi="宋体"/>
          <w:sz w:val="24"/>
          <w:szCs w:val="24"/>
        </w:rPr>
        <w:t>．为方便开标时唱标，投标人应另附《开标一览表》及《交纳投标保证金的银行凭证》（如有交纳保证金要求的）各一份一并</w:t>
      </w:r>
      <w:r>
        <w:rPr>
          <w:rFonts w:hint="eastAsia" w:ascii="宋体" w:hAnsi="宋体"/>
          <w:spacing w:val="-6"/>
          <w:kern w:val="0"/>
          <w:sz w:val="24"/>
          <w:szCs w:val="24"/>
        </w:rPr>
        <w:t>装入一个信封，单独密封提交</w:t>
      </w:r>
      <w:r>
        <w:rPr>
          <w:rFonts w:hint="eastAsia" w:ascii="宋体" w:hAnsi="宋体"/>
          <w:sz w:val="24"/>
          <w:szCs w:val="24"/>
        </w:rPr>
        <w:t>，并在信封上标明“开标一览表”字样。未单独提交或单独提交的上述资料未按照招标文件规定的格式填写完整并签字、盖章</w:t>
      </w:r>
      <w:r>
        <w:rPr>
          <w:rFonts w:hint="eastAsia" w:ascii="宋体" w:hAnsi="宋体"/>
          <w:sz w:val="24"/>
          <w:szCs w:val="20"/>
          <w:lang w:val="zh-CN"/>
        </w:rPr>
        <w:t>的集中采购机构</w:t>
      </w:r>
      <w:r>
        <w:rPr>
          <w:rFonts w:hint="eastAsia" w:ascii="宋体" w:hAnsi="宋体"/>
          <w:b/>
          <w:sz w:val="24"/>
          <w:szCs w:val="20"/>
          <w:lang w:val="zh-CN"/>
        </w:rPr>
        <w:t>拒绝</w:t>
      </w:r>
      <w:r>
        <w:rPr>
          <w:rFonts w:hint="eastAsia" w:ascii="宋体" w:hAnsi="宋体"/>
          <w:sz w:val="24"/>
          <w:szCs w:val="20"/>
          <w:lang w:val="zh-CN"/>
        </w:rPr>
        <w:t>其投标。</w:t>
      </w:r>
    </w:p>
    <w:p>
      <w:pPr>
        <w:spacing w:line="360" w:lineRule="auto"/>
        <w:ind w:left="1061" w:leftChars="339" w:hanging="350" w:hangingChars="146"/>
        <w:jc w:val="left"/>
        <w:rPr>
          <w:rFonts w:ascii="宋体"/>
          <w:sz w:val="24"/>
          <w:szCs w:val="24"/>
        </w:rPr>
      </w:pPr>
      <w:r>
        <w:rPr>
          <w:rFonts w:ascii="宋体" w:hAnsi="宋体"/>
          <w:sz w:val="24"/>
          <w:szCs w:val="24"/>
        </w:rPr>
        <w:t xml:space="preserve">4. </w:t>
      </w:r>
      <w:r>
        <w:rPr>
          <w:rFonts w:hint="eastAsia" w:ascii="宋体" w:hAnsi="宋体"/>
          <w:sz w:val="24"/>
          <w:szCs w:val="24"/>
        </w:rPr>
        <w:t>本表应按要求由投标人法人授权代表签字，并加盖投标单位公章，否则将被视为非响应性投标，将按照</w:t>
      </w:r>
      <w:r>
        <w:rPr>
          <w:rFonts w:hint="eastAsia" w:ascii="宋体" w:hAnsi="宋体"/>
          <w:b/>
          <w:sz w:val="24"/>
          <w:szCs w:val="24"/>
        </w:rPr>
        <w:t>无效投标处理</w:t>
      </w:r>
      <w:r>
        <w:rPr>
          <w:rFonts w:hint="eastAsia" w:ascii="宋体" w:hAnsi="宋体"/>
          <w:sz w:val="24"/>
          <w:szCs w:val="24"/>
        </w:rPr>
        <w:t>。</w:t>
      </w:r>
    </w:p>
    <w:p>
      <w:pPr>
        <w:spacing w:before="100" w:beforeAutospacing="1" w:after="100" w:afterAutospacing="1" w:line="240" w:lineRule="exact"/>
        <w:ind w:firstLine="3314" w:firstLineChars="1381"/>
        <w:rPr>
          <w:rFonts w:ascii="宋体"/>
          <w:b/>
          <w:bCs/>
          <w:sz w:val="24"/>
          <w:szCs w:val="21"/>
          <w:u w:val="single"/>
          <w:lang w:val="zh-CN"/>
        </w:rPr>
      </w:pPr>
      <w:r>
        <w:rPr>
          <w:rFonts w:hint="eastAsia" w:ascii="宋体" w:hAnsi="宋体"/>
          <w:b/>
          <w:bCs/>
          <w:sz w:val="24"/>
          <w:szCs w:val="21"/>
          <w:lang w:val="zh-CN"/>
        </w:rPr>
        <w:t>投标人（公章）：</w:t>
      </w:r>
    </w:p>
    <w:p>
      <w:pPr>
        <w:spacing w:before="100" w:beforeAutospacing="1" w:after="100" w:afterAutospacing="1" w:line="240" w:lineRule="exact"/>
        <w:ind w:firstLine="3314" w:firstLineChars="1381"/>
        <w:rPr>
          <w:rFonts w:ascii="宋体"/>
          <w:b/>
          <w:bCs/>
          <w:sz w:val="24"/>
          <w:szCs w:val="21"/>
          <w:u w:val="single"/>
          <w:lang w:val="zh-CN"/>
        </w:rPr>
      </w:pPr>
      <w:r>
        <w:rPr>
          <w:rFonts w:hint="eastAsia" w:ascii="宋体" w:hAnsi="宋体"/>
          <w:b/>
          <w:bCs/>
          <w:sz w:val="24"/>
          <w:szCs w:val="21"/>
          <w:lang w:val="zh-CN"/>
        </w:rPr>
        <w:t>投标人授权代表（签字）：</w:t>
      </w:r>
    </w:p>
    <w:p>
      <w:pPr>
        <w:spacing w:before="100" w:beforeAutospacing="1" w:after="100" w:afterAutospacing="1" w:line="240" w:lineRule="exact"/>
        <w:ind w:firstLine="3314" w:firstLineChars="1381"/>
      </w:pPr>
      <w:r>
        <w:rPr>
          <w:rFonts w:hint="eastAsia" w:ascii="宋体" w:hAnsi="宋体"/>
          <w:b/>
          <w:bCs/>
          <w:sz w:val="24"/>
          <w:szCs w:val="21"/>
          <w:lang w:val="zh-CN"/>
        </w:rPr>
        <w:t>投标时间：</w:t>
      </w:r>
      <w:r>
        <w:br w:type="page"/>
      </w:r>
    </w:p>
    <w:p>
      <w:pPr>
        <w:pStyle w:val="4"/>
        <w:numPr>
          <w:ilvl w:val="0"/>
          <w:numId w:val="61"/>
        </w:numPr>
        <w:spacing w:before="100" w:beforeAutospacing="1" w:afterLines="50" w:line="360" w:lineRule="auto"/>
        <w:ind w:left="1288" w:hanging="1288"/>
        <w:rPr>
          <w:rFonts w:ascii="宋体"/>
        </w:rPr>
      </w:pPr>
      <w:bookmarkStart w:id="156" w:name="_Toc494702276"/>
      <w:bookmarkStart w:id="157" w:name="_Toc494721106"/>
      <w:bookmarkStart w:id="158" w:name="_Toc494745323"/>
      <w:bookmarkStart w:id="159" w:name="_Toc494577411"/>
      <w:bookmarkStart w:id="160" w:name="_Toc494665956"/>
      <w:bookmarkStart w:id="161" w:name="_Toc494665559"/>
      <w:bookmarkStart w:id="162" w:name="_Toc106268633"/>
      <w:bookmarkStart w:id="163" w:name="_Toc494665006"/>
      <w:r>
        <w:rPr>
          <w:rFonts w:hint="eastAsia" w:ascii="宋体" w:hAnsi="宋体"/>
        </w:rPr>
        <w:t>投标报价明细表</w:t>
      </w:r>
      <w:bookmarkEnd w:id="156"/>
      <w:bookmarkEnd w:id="157"/>
      <w:bookmarkEnd w:id="158"/>
      <w:bookmarkEnd w:id="159"/>
      <w:bookmarkEnd w:id="160"/>
      <w:bookmarkEnd w:id="161"/>
      <w:bookmarkEnd w:id="162"/>
      <w:bookmarkEnd w:id="163"/>
    </w:p>
    <w:p>
      <w:pPr>
        <w:spacing w:line="360" w:lineRule="auto"/>
        <w:jc w:val="left"/>
        <w:rPr>
          <w:rFonts w:ascii="宋体" w:hAnsi="宋体"/>
          <w:b/>
          <w:sz w:val="24"/>
          <w:szCs w:val="21"/>
          <w:u w:val="single"/>
          <w:lang w:val="zh-CN"/>
        </w:rPr>
      </w:pPr>
      <w:r>
        <w:rPr>
          <w:rFonts w:hint="eastAsia" w:ascii="宋体" w:hAnsi="宋体"/>
          <w:b/>
          <w:sz w:val="24"/>
          <w:szCs w:val="21"/>
          <w:lang w:val="zh-CN"/>
        </w:rPr>
        <w:t>投 标 人：</w:t>
      </w:r>
    </w:p>
    <w:p>
      <w:pPr>
        <w:spacing w:line="360" w:lineRule="auto"/>
        <w:jc w:val="left"/>
        <w:rPr>
          <w:rFonts w:ascii="宋体" w:hAnsi="宋体"/>
          <w:b/>
          <w:sz w:val="24"/>
          <w:szCs w:val="21"/>
          <w:lang w:val="zh-CN"/>
        </w:rPr>
      </w:pPr>
      <w:r>
        <w:rPr>
          <w:rFonts w:hint="eastAsia" w:ascii="宋体" w:hAnsi="宋体"/>
          <w:b/>
          <w:sz w:val="24"/>
          <w:szCs w:val="21"/>
          <w:lang w:val="zh-CN"/>
        </w:rPr>
        <w:t>项目名称：</w:t>
      </w:r>
    </w:p>
    <w:p>
      <w:pPr>
        <w:spacing w:line="360" w:lineRule="auto"/>
        <w:jc w:val="left"/>
        <w:rPr>
          <w:rFonts w:ascii="宋体" w:hAnsi="宋体"/>
          <w:b/>
          <w:sz w:val="24"/>
          <w:szCs w:val="21"/>
          <w:u w:val="single"/>
          <w:lang w:val="zh-CN"/>
        </w:rPr>
      </w:pPr>
      <w:r>
        <w:rPr>
          <w:rFonts w:hint="eastAsia" w:ascii="宋体" w:hAnsi="宋体"/>
          <w:b/>
          <w:sz w:val="24"/>
          <w:szCs w:val="21"/>
          <w:lang w:val="zh-CN"/>
        </w:rPr>
        <w:t>项目编号：</w:t>
      </w:r>
      <w:r>
        <w:rPr>
          <w:rFonts w:hint="eastAsia" w:ascii="宋体" w:hAnsi="宋体"/>
          <w:b/>
          <w:bCs/>
          <w:sz w:val="24"/>
          <w:szCs w:val="21"/>
          <w:lang w:val="zh-CN"/>
        </w:rPr>
        <w:t xml:space="preserve">                所投包号：</w:t>
      </w:r>
    </w:p>
    <w:tbl>
      <w:tblPr>
        <w:tblStyle w:val="28"/>
        <w:tblW w:w="9546" w:type="dxa"/>
        <w:tblInd w:w="1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
        <w:gridCol w:w="2611"/>
        <w:gridCol w:w="1134"/>
        <w:gridCol w:w="800"/>
        <w:gridCol w:w="1676"/>
        <w:gridCol w:w="1316"/>
        <w:gridCol w:w="13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2" w:type="dxa"/>
            <w:shd w:val="clear" w:color="auto" w:fill="D8D8D8" w:themeFill="background1" w:themeFillShade="D9"/>
            <w:vAlign w:val="center"/>
          </w:tcPr>
          <w:p>
            <w:pPr>
              <w:spacing w:line="360" w:lineRule="auto"/>
              <w:ind w:left="-23" w:leftChars="-11" w:right="-65" w:rightChars="-31"/>
              <w:jc w:val="center"/>
              <w:rPr>
                <w:rFonts w:ascii="宋体" w:hAnsi="宋体" w:cs="宋体"/>
                <w:color w:val="0D0D0D"/>
                <w:kern w:val="0"/>
                <w:sz w:val="24"/>
              </w:rPr>
            </w:pPr>
            <w:r>
              <w:rPr>
                <w:rFonts w:hint="eastAsia" w:ascii="宋体" w:hAnsi="宋体" w:cs="宋体"/>
                <w:color w:val="0D0D0D"/>
                <w:kern w:val="0"/>
                <w:sz w:val="24"/>
              </w:rPr>
              <w:t>序号</w:t>
            </w:r>
          </w:p>
        </w:tc>
        <w:tc>
          <w:tcPr>
            <w:tcW w:w="2611" w:type="dxa"/>
            <w:shd w:val="clear" w:color="auto" w:fill="D8D8D8" w:themeFill="background1" w:themeFillShade="D9"/>
            <w:vAlign w:val="center"/>
          </w:tcPr>
          <w:p>
            <w:pPr>
              <w:spacing w:line="360" w:lineRule="auto"/>
              <w:ind w:left="-48" w:leftChars="-23" w:right="-65" w:rightChars="-31"/>
              <w:jc w:val="center"/>
              <w:rPr>
                <w:rFonts w:ascii="宋体" w:hAnsi="宋体" w:cs="宋体"/>
                <w:color w:val="0D0D0D"/>
                <w:kern w:val="0"/>
                <w:sz w:val="24"/>
              </w:rPr>
            </w:pPr>
            <w:r>
              <w:rPr>
                <w:rFonts w:hint="eastAsia" w:ascii="宋体" w:hAnsi="宋体" w:cs="宋体"/>
                <w:color w:val="0D0D0D"/>
                <w:kern w:val="0"/>
                <w:sz w:val="24"/>
              </w:rPr>
              <w:t>名称</w:t>
            </w:r>
          </w:p>
        </w:tc>
        <w:tc>
          <w:tcPr>
            <w:tcW w:w="1134" w:type="dxa"/>
            <w:shd w:val="clear" w:color="auto" w:fill="D8D8D8" w:themeFill="background1" w:themeFillShade="D9"/>
            <w:vAlign w:val="center"/>
          </w:tcPr>
          <w:p>
            <w:pPr>
              <w:ind w:left="-48" w:leftChars="-23" w:right="-65" w:rightChars="-31"/>
              <w:jc w:val="center"/>
              <w:rPr>
                <w:rFonts w:ascii="宋体" w:hAnsi="宋体" w:cs="宋体"/>
                <w:color w:val="0D0D0D"/>
                <w:kern w:val="0"/>
                <w:sz w:val="24"/>
              </w:rPr>
            </w:pPr>
            <w:r>
              <w:rPr>
                <w:rFonts w:hint="eastAsia" w:ascii="宋体" w:hAnsi="宋体"/>
                <w:color w:val="0C0C0C" w:themeColor="text1" w:themeTint="F2"/>
                <w:sz w:val="24"/>
              </w:rPr>
              <w:t>品牌型号规格</w:t>
            </w:r>
          </w:p>
        </w:tc>
        <w:tc>
          <w:tcPr>
            <w:tcW w:w="800" w:type="dxa"/>
            <w:shd w:val="clear" w:color="auto" w:fill="D8D8D8" w:themeFill="background1" w:themeFillShade="D9"/>
            <w:vAlign w:val="center"/>
          </w:tcPr>
          <w:p>
            <w:pPr>
              <w:spacing w:line="360" w:lineRule="auto"/>
              <w:ind w:left="-48" w:leftChars="-23" w:right="-65" w:rightChars="-31"/>
              <w:jc w:val="center"/>
              <w:rPr>
                <w:rFonts w:ascii="宋体" w:hAnsi="宋体" w:cs="宋体"/>
                <w:color w:val="0D0D0D"/>
                <w:kern w:val="0"/>
                <w:sz w:val="24"/>
              </w:rPr>
            </w:pPr>
            <w:r>
              <w:rPr>
                <w:rFonts w:hint="eastAsia" w:ascii="宋体" w:hAnsi="宋体" w:cs="宋体"/>
                <w:color w:val="0D0D0D"/>
                <w:kern w:val="0"/>
                <w:sz w:val="24"/>
              </w:rPr>
              <w:t>数量</w:t>
            </w:r>
          </w:p>
        </w:tc>
        <w:tc>
          <w:tcPr>
            <w:tcW w:w="1676" w:type="dxa"/>
            <w:shd w:val="clear" w:color="auto" w:fill="D8D8D8" w:themeFill="background1" w:themeFillShade="D9"/>
            <w:vAlign w:val="center"/>
          </w:tcPr>
          <w:p>
            <w:pPr>
              <w:spacing w:line="360" w:lineRule="auto"/>
              <w:ind w:left="-48" w:leftChars="-23" w:right="-65" w:rightChars="-31"/>
              <w:jc w:val="center"/>
              <w:rPr>
                <w:rFonts w:ascii="宋体" w:hAnsi="宋体" w:cs="宋体"/>
                <w:color w:val="0D0D0D"/>
                <w:kern w:val="0"/>
                <w:sz w:val="24"/>
              </w:rPr>
            </w:pPr>
            <w:r>
              <w:rPr>
                <w:rFonts w:hint="eastAsia" w:ascii="宋体" w:hAnsi="宋体" w:cs="宋体"/>
                <w:color w:val="0D0D0D"/>
                <w:kern w:val="0"/>
                <w:sz w:val="24"/>
              </w:rPr>
              <w:t>制造商名称</w:t>
            </w:r>
          </w:p>
        </w:tc>
        <w:tc>
          <w:tcPr>
            <w:tcW w:w="1316" w:type="dxa"/>
            <w:shd w:val="clear" w:color="auto" w:fill="D8D8D8" w:themeFill="background1" w:themeFillShade="D9"/>
            <w:vAlign w:val="center"/>
          </w:tcPr>
          <w:p>
            <w:pPr>
              <w:spacing w:line="360" w:lineRule="auto"/>
              <w:ind w:left="-23" w:leftChars="-11" w:right="-65" w:rightChars="-31"/>
              <w:jc w:val="center"/>
              <w:rPr>
                <w:rFonts w:ascii="宋体" w:hAnsi="宋体" w:cs="宋体"/>
                <w:color w:val="0D0D0D"/>
                <w:kern w:val="0"/>
                <w:sz w:val="24"/>
              </w:rPr>
            </w:pPr>
            <w:r>
              <w:rPr>
                <w:rFonts w:hint="eastAsia" w:ascii="宋体" w:hAnsi="宋体" w:cs="宋体"/>
                <w:color w:val="0D0D0D"/>
                <w:kern w:val="0"/>
                <w:sz w:val="24"/>
              </w:rPr>
              <w:t>单价</w:t>
            </w:r>
          </w:p>
        </w:tc>
        <w:tc>
          <w:tcPr>
            <w:tcW w:w="1357" w:type="dxa"/>
            <w:shd w:val="clear" w:color="auto" w:fill="D8D8D8" w:themeFill="background1" w:themeFillShade="D9"/>
            <w:vAlign w:val="center"/>
          </w:tcPr>
          <w:p>
            <w:pPr>
              <w:spacing w:line="360" w:lineRule="auto"/>
              <w:ind w:left="-23" w:leftChars="-11" w:right="-65" w:rightChars="-31"/>
              <w:jc w:val="center"/>
              <w:rPr>
                <w:rFonts w:ascii="宋体" w:hAnsi="宋体" w:cs="宋体"/>
                <w:color w:val="0D0D0D"/>
                <w:kern w:val="0"/>
                <w:sz w:val="24"/>
              </w:rPr>
            </w:pPr>
            <w:r>
              <w:rPr>
                <w:rFonts w:hint="eastAsia" w:ascii="宋体" w:hAnsi="宋体" w:cs="宋体"/>
                <w:color w:val="0D0D0D"/>
                <w:kern w:val="0"/>
                <w:sz w:val="24"/>
              </w:rPr>
              <w:t>分项合计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52" w:type="dxa"/>
            <w:shd w:val="clear" w:color="auto" w:fill="auto"/>
            <w:vAlign w:val="center"/>
          </w:tcPr>
          <w:p>
            <w:pPr>
              <w:numPr>
                <w:ilvl w:val="0"/>
                <w:numId w:val="63"/>
              </w:numPr>
              <w:tabs>
                <w:tab w:val="left" w:pos="82"/>
              </w:tabs>
              <w:adjustRightInd w:val="0"/>
              <w:snapToGrid w:val="0"/>
              <w:jc w:val="center"/>
              <w:rPr>
                <w:rFonts w:ascii="宋体" w:hAnsi="宋体"/>
                <w:sz w:val="24"/>
              </w:rPr>
            </w:pPr>
          </w:p>
        </w:tc>
        <w:tc>
          <w:tcPr>
            <w:tcW w:w="2611" w:type="dxa"/>
            <w:shd w:val="clear" w:color="auto" w:fill="auto"/>
            <w:vAlign w:val="center"/>
          </w:tcPr>
          <w:p>
            <w:pPr>
              <w:tabs>
                <w:tab w:val="left" w:pos="0"/>
                <w:tab w:val="left" w:pos="56"/>
              </w:tabs>
              <w:adjustRightInd w:val="0"/>
              <w:snapToGrid w:val="0"/>
              <w:ind w:left="547" w:hanging="547" w:hangingChars="228"/>
              <w:jc w:val="center"/>
              <w:rPr>
                <w:rFonts w:ascii="宋体" w:hAnsi="宋体"/>
                <w:sz w:val="24"/>
              </w:rPr>
            </w:pPr>
            <w:r>
              <w:rPr>
                <w:rFonts w:hint="eastAsia" w:ascii="宋体" w:hAnsi="宋体"/>
                <w:sz w:val="24"/>
              </w:rPr>
              <w:t>货物1（工程或服务）</w:t>
            </w:r>
          </w:p>
        </w:tc>
        <w:tc>
          <w:tcPr>
            <w:tcW w:w="1134" w:type="dxa"/>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c>
          <w:tcPr>
            <w:tcW w:w="800" w:type="dxa"/>
            <w:shd w:val="clear" w:color="auto" w:fill="auto"/>
            <w:vAlign w:val="center"/>
          </w:tcPr>
          <w:p>
            <w:pPr>
              <w:spacing w:line="240" w:lineRule="atLeast"/>
              <w:ind w:left="-48" w:leftChars="-23" w:right="-375" w:rightChars="-179"/>
              <w:jc w:val="center"/>
              <w:rPr>
                <w:rFonts w:ascii="宋体" w:hAnsi="宋体" w:cs="宋体"/>
                <w:color w:val="0D0D0D"/>
                <w:kern w:val="0"/>
                <w:sz w:val="24"/>
                <w:szCs w:val="24"/>
              </w:rPr>
            </w:pPr>
          </w:p>
        </w:tc>
        <w:tc>
          <w:tcPr>
            <w:tcW w:w="1676"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c>
          <w:tcPr>
            <w:tcW w:w="1316" w:type="dxa"/>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c>
          <w:tcPr>
            <w:tcW w:w="1357"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52" w:type="dxa"/>
            <w:shd w:val="clear" w:color="auto" w:fill="auto"/>
            <w:vAlign w:val="center"/>
          </w:tcPr>
          <w:p>
            <w:pPr>
              <w:numPr>
                <w:ilvl w:val="0"/>
                <w:numId w:val="63"/>
              </w:numPr>
              <w:tabs>
                <w:tab w:val="left" w:pos="82"/>
              </w:tabs>
              <w:adjustRightInd w:val="0"/>
              <w:snapToGrid w:val="0"/>
              <w:jc w:val="center"/>
              <w:rPr>
                <w:rFonts w:ascii="宋体" w:hAnsi="宋体"/>
                <w:sz w:val="24"/>
              </w:rPr>
            </w:pPr>
          </w:p>
        </w:tc>
        <w:tc>
          <w:tcPr>
            <w:tcW w:w="2611" w:type="dxa"/>
            <w:shd w:val="clear" w:color="auto" w:fill="auto"/>
            <w:vAlign w:val="center"/>
          </w:tcPr>
          <w:p>
            <w:pPr>
              <w:tabs>
                <w:tab w:val="left" w:pos="0"/>
                <w:tab w:val="left" w:pos="56"/>
              </w:tabs>
              <w:adjustRightInd w:val="0"/>
              <w:snapToGrid w:val="0"/>
              <w:jc w:val="center"/>
              <w:rPr>
                <w:rFonts w:ascii="宋体" w:hAnsi="宋体"/>
                <w:sz w:val="24"/>
              </w:rPr>
            </w:pPr>
            <w:r>
              <w:rPr>
                <w:rFonts w:hint="eastAsia" w:ascii="宋体" w:hAnsi="宋体"/>
                <w:sz w:val="24"/>
              </w:rPr>
              <w:t>货物2（工程或服务）</w:t>
            </w:r>
          </w:p>
        </w:tc>
        <w:tc>
          <w:tcPr>
            <w:tcW w:w="1134" w:type="dxa"/>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c>
          <w:tcPr>
            <w:tcW w:w="800"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c>
          <w:tcPr>
            <w:tcW w:w="1676"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c>
          <w:tcPr>
            <w:tcW w:w="1316" w:type="dxa"/>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c>
          <w:tcPr>
            <w:tcW w:w="1357"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52" w:type="dxa"/>
            <w:shd w:val="clear" w:color="auto" w:fill="auto"/>
            <w:vAlign w:val="center"/>
          </w:tcPr>
          <w:p>
            <w:pPr>
              <w:numPr>
                <w:ilvl w:val="0"/>
                <w:numId w:val="63"/>
              </w:numPr>
              <w:tabs>
                <w:tab w:val="left" w:pos="82"/>
              </w:tabs>
              <w:adjustRightInd w:val="0"/>
              <w:snapToGrid w:val="0"/>
              <w:jc w:val="center"/>
              <w:rPr>
                <w:rFonts w:ascii="宋体" w:hAnsi="宋体"/>
                <w:sz w:val="24"/>
              </w:rPr>
            </w:pPr>
          </w:p>
        </w:tc>
        <w:tc>
          <w:tcPr>
            <w:tcW w:w="2611" w:type="dxa"/>
            <w:shd w:val="clear" w:color="auto" w:fill="auto"/>
            <w:vAlign w:val="center"/>
          </w:tcPr>
          <w:p>
            <w:pPr>
              <w:tabs>
                <w:tab w:val="left" w:pos="0"/>
                <w:tab w:val="left" w:pos="56"/>
              </w:tabs>
              <w:adjustRightInd w:val="0"/>
              <w:snapToGrid w:val="0"/>
              <w:jc w:val="center"/>
              <w:rPr>
                <w:rFonts w:ascii="宋体" w:hAnsi="宋体"/>
                <w:sz w:val="24"/>
              </w:rPr>
            </w:pPr>
            <w:r>
              <w:rPr>
                <w:rFonts w:hint="eastAsia" w:ascii="宋体" w:hAnsi="宋体"/>
                <w:sz w:val="24"/>
              </w:rPr>
              <w:t>货物3（工程或服务）</w:t>
            </w:r>
          </w:p>
        </w:tc>
        <w:tc>
          <w:tcPr>
            <w:tcW w:w="1134" w:type="dxa"/>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c>
          <w:tcPr>
            <w:tcW w:w="800"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c>
          <w:tcPr>
            <w:tcW w:w="1676"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c>
          <w:tcPr>
            <w:tcW w:w="1316" w:type="dxa"/>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c>
          <w:tcPr>
            <w:tcW w:w="1357"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52" w:type="dxa"/>
            <w:shd w:val="clear" w:color="auto" w:fill="auto"/>
            <w:vAlign w:val="center"/>
          </w:tcPr>
          <w:p>
            <w:pPr>
              <w:numPr>
                <w:ilvl w:val="0"/>
                <w:numId w:val="63"/>
              </w:numPr>
              <w:tabs>
                <w:tab w:val="left" w:pos="82"/>
              </w:tabs>
              <w:adjustRightInd w:val="0"/>
              <w:snapToGrid w:val="0"/>
              <w:jc w:val="center"/>
              <w:rPr>
                <w:rFonts w:ascii="宋体" w:hAnsi="宋体"/>
                <w:sz w:val="24"/>
              </w:rPr>
            </w:pPr>
          </w:p>
        </w:tc>
        <w:tc>
          <w:tcPr>
            <w:tcW w:w="2611" w:type="dxa"/>
            <w:shd w:val="clear" w:color="auto" w:fill="auto"/>
            <w:vAlign w:val="center"/>
          </w:tcPr>
          <w:p>
            <w:pPr>
              <w:tabs>
                <w:tab w:val="left" w:pos="0"/>
                <w:tab w:val="left" w:pos="56"/>
              </w:tabs>
              <w:adjustRightInd w:val="0"/>
              <w:snapToGrid w:val="0"/>
              <w:jc w:val="center"/>
              <w:rPr>
                <w:rFonts w:ascii="宋体" w:hAnsi="宋体"/>
                <w:sz w:val="24"/>
              </w:rPr>
            </w:pPr>
            <w:r>
              <w:rPr>
                <w:rFonts w:hint="eastAsia" w:ascii="宋体" w:hAnsi="宋体"/>
                <w:sz w:val="24"/>
              </w:rPr>
              <w:t>货物4（工程或服务）</w:t>
            </w:r>
          </w:p>
        </w:tc>
        <w:tc>
          <w:tcPr>
            <w:tcW w:w="1134" w:type="dxa"/>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c>
          <w:tcPr>
            <w:tcW w:w="800"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c>
          <w:tcPr>
            <w:tcW w:w="1676"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c>
          <w:tcPr>
            <w:tcW w:w="1316" w:type="dxa"/>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c>
          <w:tcPr>
            <w:tcW w:w="1357"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52" w:type="dxa"/>
            <w:shd w:val="clear" w:color="auto" w:fill="auto"/>
            <w:vAlign w:val="center"/>
          </w:tcPr>
          <w:p>
            <w:pPr>
              <w:numPr>
                <w:ilvl w:val="0"/>
                <w:numId w:val="63"/>
              </w:numPr>
              <w:tabs>
                <w:tab w:val="left" w:pos="82"/>
              </w:tabs>
              <w:adjustRightInd w:val="0"/>
              <w:snapToGrid w:val="0"/>
              <w:jc w:val="center"/>
              <w:rPr>
                <w:rFonts w:ascii="宋体" w:hAnsi="宋体"/>
                <w:sz w:val="24"/>
              </w:rPr>
            </w:pPr>
          </w:p>
        </w:tc>
        <w:tc>
          <w:tcPr>
            <w:tcW w:w="2611" w:type="dxa"/>
            <w:shd w:val="clear" w:color="auto" w:fill="auto"/>
            <w:vAlign w:val="center"/>
          </w:tcPr>
          <w:p>
            <w:pPr>
              <w:tabs>
                <w:tab w:val="left" w:pos="0"/>
                <w:tab w:val="left" w:pos="56"/>
              </w:tabs>
              <w:adjustRightInd w:val="0"/>
              <w:snapToGrid w:val="0"/>
              <w:jc w:val="center"/>
              <w:rPr>
                <w:rFonts w:ascii="宋体" w:hAnsi="宋体"/>
                <w:sz w:val="24"/>
              </w:rPr>
            </w:pPr>
            <w:r>
              <w:rPr>
                <w:rFonts w:hint="eastAsia" w:ascii="宋体" w:hAnsi="宋体"/>
                <w:sz w:val="24"/>
              </w:rPr>
              <w:t>货物5（工程或服务）</w:t>
            </w:r>
          </w:p>
        </w:tc>
        <w:tc>
          <w:tcPr>
            <w:tcW w:w="1134" w:type="dxa"/>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c>
          <w:tcPr>
            <w:tcW w:w="800"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c>
          <w:tcPr>
            <w:tcW w:w="1676"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c>
          <w:tcPr>
            <w:tcW w:w="1316" w:type="dxa"/>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c>
          <w:tcPr>
            <w:tcW w:w="1357"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52" w:type="dxa"/>
            <w:shd w:val="clear" w:color="auto" w:fill="auto"/>
            <w:vAlign w:val="center"/>
          </w:tcPr>
          <w:p>
            <w:pPr>
              <w:numPr>
                <w:ilvl w:val="0"/>
                <w:numId w:val="63"/>
              </w:numPr>
              <w:tabs>
                <w:tab w:val="left" w:pos="82"/>
              </w:tabs>
              <w:adjustRightInd w:val="0"/>
              <w:snapToGrid w:val="0"/>
              <w:jc w:val="center"/>
              <w:rPr>
                <w:rFonts w:ascii="宋体" w:hAnsi="宋体"/>
                <w:sz w:val="24"/>
              </w:rPr>
            </w:pPr>
          </w:p>
        </w:tc>
        <w:tc>
          <w:tcPr>
            <w:tcW w:w="2611" w:type="dxa"/>
            <w:shd w:val="clear" w:color="auto" w:fill="auto"/>
            <w:vAlign w:val="center"/>
          </w:tcPr>
          <w:p>
            <w:pPr>
              <w:tabs>
                <w:tab w:val="left" w:pos="0"/>
                <w:tab w:val="left" w:pos="56"/>
              </w:tabs>
              <w:adjustRightInd w:val="0"/>
              <w:snapToGrid w:val="0"/>
              <w:jc w:val="center"/>
              <w:rPr>
                <w:rFonts w:ascii="宋体" w:hAnsi="宋体"/>
                <w:sz w:val="24"/>
              </w:rPr>
            </w:pPr>
            <w:r>
              <w:rPr>
                <w:rFonts w:hint="eastAsia" w:ascii="宋体" w:hAnsi="宋体"/>
                <w:sz w:val="24"/>
              </w:rPr>
              <w:t>货物6（工程或服务）</w:t>
            </w:r>
          </w:p>
        </w:tc>
        <w:tc>
          <w:tcPr>
            <w:tcW w:w="1134" w:type="dxa"/>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c>
          <w:tcPr>
            <w:tcW w:w="800"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c>
          <w:tcPr>
            <w:tcW w:w="1676"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c>
          <w:tcPr>
            <w:tcW w:w="1316" w:type="dxa"/>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c>
          <w:tcPr>
            <w:tcW w:w="1357"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52" w:type="dxa"/>
            <w:shd w:val="clear" w:color="auto" w:fill="auto"/>
            <w:vAlign w:val="center"/>
          </w:tcPr>
          <w:p>
            <w:pPr>
              <w:numPr>
                <w:ilvl w:val="0"/>
                <w:numId w:val="63"/>
              </w:numPr>
              <w:tabs>
                <w:tab w:val="left" w:pos="82"/>
              </w:tabs>
              <w:adjustRightInd w:val="0"/>
              <w:snapToGrid w:val="0"/>
              <w:jc w:val="center"/>
              <w:rPr>
                <w:rFonts w:ascii="宋体" w:hAnsi="宋体"/>
                <w:sz w:val="24"/>
              </w:rPr>
            </w:pPr>
          </w:p>
        </w:tc>
        <w:tc>
          <w:tcPr>
            <w:tcW w:w="2611" w:type="dxa"/>
            <w:shd w:val="clear" w:color="auto" w:fill="auto"/>
            <w:vAlign w:val="center"/>
          </w:tcPr>
          <w:p>
            <w:pPr>
              <w:tabs>
                <w:tab w:val="left" w:pos="0"/>
                <w:tab w:val="left" w:pos="56"/>
              </w:tabs>
              <w:adjustRightInd w:val="0"/>
              <w:snapToGrid w:val="0"/>
              <w:jc w:val="center"/>
              <w:rPr>
                <w:rFonts w:ascii="宋体" w:hAnsi="宋体"/>
                <w:sz w:val="24"/>
              </w:rPr>
            </w:pPr>
            <w:r>
              <w:rPr>
                <w:rFonts w:hint="eastAsia" w:ascii="宋体" w:hAnsi="宋体"/>
                <w:sz w:val="24"/>
              </w:rPr>
              <w:t>货物7（工程或服务）</w:t>
            </w:r>
          </w:p>
        </w:tc>
        <w:tc>
          <w:tcPr>
            <w:tcW w:w="1134" w:type="dxa"/>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c>
          <w:tcPr>
            <w:tcW w:w="800"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c>
          <w:tcPr>
            <w:tcW w:w="1676"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c>
          <w:tcPr>
            <w:tcW w:w="1316" w:type="dxa"/>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c>
          <w:tcPr>
            <w:tcW w:w="1357"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52" w:type="dxa"/>
            <w:shd w:val="clear" w:color="auto" w:fill="auto"/>
            <w:vAlign w:val="center"/>
          </w:tcPr>
          <w:p>
            <w:pPr>
              <w:tabs>
                <w:tab w:val="left" w:pos="82"/>
              </w:tabs>
              <w:adjustRightInd w:val="0"/>
              <w:snapToGrid w:val="0"/>
              <w:jc w:val="center"/>
              <w:rPr>
                <w:rFonts w:ascii="宋体" w:hAnsi="宋体"/>
                <w:sz w:val="24"/>
              </w:rPr>
            </w:pPr>
            <w:r>
              <w:rPr>
                <w:rFonts w:hint="eastAsia" w:ascii="宋体" w:hAnsi="宋体"/>
                <w:sz w:val="24"/>
              </w:rPr>
              <w:t>…</w:t>
            </w:r>
          </w:p>
        </w:tc>
        <w:tc>
          <w:tcPr>
            <w:tcW w:w="2611" w:type="dxa"/>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c>
          <w:tcPr>
            <w:tcW w:w="1134" w:type="dxa"/>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c>
          <w:tcPr>
            <w:tcW w:w="800"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c>
          <w:tcPr>
            <w:tcW w:w="1676"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c>
          <w:tcPr>
            <w:tcW w:w="1316" w:type="dxa"/>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c>
          <w:tcPr>
            <w:tcW w:w="1357" w:type="dxa"/>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6873" w:type="dxa"/>
            <w:gridSpan w:val="5"/>
            <w:shd w:val="clear" w:color="auto" w:fill="auto"/>
            <w:vAlign w:val="center"/>
          </w:tcPr>
          <w:p>
            <w:pPr>
              <w:spacing w:line="240" w:lineRule="atLeast"/>
              <w:ind w:left="-48" w:leftChars="-23" w:right="-65" w:rightChars="-31"/>
              <w:jc w:val="center"/>
              <w:rPr>
                <w:rFonts w:ascii="宋体" w:hAnsi="宋体" w:cs="宋体"/>
                <w:color w:val="0D0D0D"/>
                <w:kern w:val="0"/>
                <w:sz w:val="24"/>
                <w:szCs w:val="24"/>
              </w:rPr>
            </w:pPr>
            <w:r>
              <w:rPr>
                <w:rFonts w:hint="eastAsia" w:ascii="宋体" w:hAnsi="宋体" w:cs="宋体"/>
                <w:color w:val="0D0D0D"/>
                <w:kern w:val="0"/>
                <w:sz w:val="24"/>
                <w:szCs w:val="24"/>
              </w:rPr>
              <w:t>合计</w:t>
            </w:r>
          </w:p>
        </w:tc>
        <w:tc>
          <w:tcPr>
            <w:tcW w:w="2673" w:type="dxa"/>
            <w:gridSpan w:val="2"/>
            <w:shd w:val="clear" w:color="auto" w:fill="auto"/>
            <w:vAlign w:val="center"/>
          </w:tcPr>
          <w:p>
            <w:pPr>
              <w:spacing w:line="240" w:lineRule="atLeast"/>
              <w:ind w:left="-48" w:leftChars="-23" w:right="-65" w:rightChars="-31"/>
              <w:jc w:val="left"/>
              <w:rPr>
                <w:rFonts w:ascii="宋体" w:hAnsi="宋体" w:cs="宋体"/>
                <w:color w:val="0D0D0D"/>
                <w:kern w:val="0"/>
                <w:sz w:val="24"/>
                <w:szCs w:val="24"/>
              </w:rPr>
            </w:pPr>
          </w:p>
        </w:tc>
      </w:tr>
    </w:tbl>
    <w:p>
      <w:pPr>
        <w:spacing w:line="360" w:lineRule="auto"/>
        <w:ind w:left="1049" w:hanging="1048" w:hangingChars="437"/>
        <w:jc w:val="left"/>
        <w:rPr>
          <w:rFonts w:ascii="宋体" w:hAnsi="宋体"/>
          <w:sz w:val="24"/>
        </w:rPr>
      </w:pPr>
      <w:r>
        <w:rPr>
          <w:rFonts w:hint="eastAsia" w:ascii="宋体" w:hAnsi="宋体"/>
          <w:sz w:val="24"/>
        </w:rPr>
        <w:t>说明：1．所有价格均用人民币表示，单位为万元。</w:t>
      </w:r>
    </w:p>
    <w:p>
      <w:pPr>
        <w:spacing w:line="360" w:lineRule="auto"/>
        <w:ind w:left="1061" w:leftChars="339" w:hanging="350" w:hangingChars="146"/>
        <w:jc w:val="left"/>
        <w:rPr>
          <w:rFonts w:ascii="宋体" w:hAnsi="宋体"/>
          <w:color w:val="0D0D0D"/>
          <w:sz w:val="24"/>
        </w:rPr>
      </w:pPr>
      <w:r>
        <w:rPr>
          <w:rFonts w:hint="eastAsia" w:ascii="宋体" w:hAnsi="宋体"/>
          <w:color w:val="0D0D0D"/>
          <w:sz w:val="24"/>
        </w:rPr>
        <w:t>2．报价明细表合计应与《开标一览表》中的投标总报价一致。</w:t>
      </w:r>
    </w:p>
    <w:p>
      <w:pPr>
        <w:spacing w:line="360" w:lineRule="auto"/>
        <w:ind w:left="1061" w:leftChars="339" w:hanging="350" w:hangingChars="146"/>
        <w:jc w:val="left"/>
        <w:rPr>
          <w:rFonts w:ascii="宋体" w:hAnsi="宋体"/>
          <w:color w:val="0D0D0D"/>
          <w:sz w:val="24"/>
        </w:rPr>
      </w:pPr>
      <w:r>
        <w:rPr>
          <w:rFonts w:hint="eastAsia" w:ascii="宋体" w:hAnsi="宋体"/>
          <w:color w:val="0D0D0D"/>
          <w:sz w:val="24"/>
        </w:rPr>
        <w:t>3．未提供详细的货物（工程或服务）报价明细</w:t>
      </w:r>
      <w:r>
        <w:rPr>
          <w:rFonts w:hint="eastAsia" w:ascii="宋体" w:hAnsi="宋体" w:cs="Corbel"/>
          <w:sz w:val="24"/>
        </w:rPr>
        <w:t>，</w:t>
      </w:r>
      <w:r>
        <w:rPr>
          <w:rFonts w:hint="eastAsia" w:ascii="宋体" w:hAnsi="宋体"/>
          <w:sz w:val="24"/>
        </w:rPr>
        <w:t>导致的后果由投标人自行承担。</w:t>
      </w:r>
    </w:p>
    <w:p>
      <w:pPr>
        <w:spacing w:line="360" w:lineRule="auto"/>
        <w:ind w:left="950" w:hanging="950" w:hangingChars="396"/>
        <w:jc w:val="left"/>
        <w:rPr>
          <w:rFonts w:ascii="宋体" w:hAnsi="宋体"/>
          <w:sz w:val="24"/>
          <w:szCs w:val="24"/>
        </w:rPr>
      </w:pPr>
    </w:p>
    <w:p>
      <w:pPr>
        <w:spacing w:before="100" w:beforeAutospacing="1" w:after="100" w:afterAutospacing="1" w:line="360" w:lineRule="auto"/>
        <w:ind w:firstLine="3316" w:firstLineChars="1382"/>
        <w:rPr>
          <w:rFonts w:hAnsi="宋体"/>
          <w:b/>
          <w:bCs/>
          <w:sz w:val="24"/>
          <w:u w:val="single"/>
        </w:rPr>
      </w:pPr>
      <w:r>
        <w:rPr>
          <w:rFonts w:hint="eastAsia" w:hAnsi="宋体"/>
          <w:b/>
          <w:bCs/>
          <w:sz w:val="24"/>
        </w:rPr>
        <w:t>投标人（公章）：</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投标人</w:t>
      </w:r>
      <w:r>
        <w:rPr>
          <w:rFonts w:hint="eastAsia" w:hAnsi="宋体"/>
          <w:b/>
          <w:bCs/>
          <w:sz w:val="24"/>
        </w:rPr>
        <w:t>授权代表（签字）：</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w:t>
      </w:r>
      <w:r>
        <w:rPr>
          <w:rFonts w:hint="eastAsia" w:hAnsi="宋体"/>
          <w:b/>
          <w:bCs/>
          <w:sz w:val="24"/>
        </w:rPr>
        <w:t>时间：</w:t>
      </w:r>
    </w:p>
    <w:p>
      <w:r>
        <w:br w:type="page"/>
      </w:r>
    </w:p>
    <w:p>
      <w:pPr>
        <w:pStyle w:val="4"/>
        <w:numPr>
          <w:ilvl w:val="0"/>
          <w:numId w:val="61"/>
        </w:numPr>
        <w:spacing w:before="100" w:beforeAutospacing="1" w:afterLines="50" w:line="360" w:lineRule="auto"/>
        <w:ind w:left="1288" w:hanging="1288"/>
        <w:rPr>
          <w:rFonts w:ascii="宋体"/>
          <w:sz w:val="31"/>
          <w:szCs w:val="31"/>
        </w:rPr>
      </w:pPr>
      <w:bookmarkStart w:id="164" w:name="_Toc494702277"/>
      <w:bookmarkStart w:id="165" w:name="_Toc494665957"/>
      <w:bookmarkStart w:id="166" w:name="_Toc494665560"/>
      <w:bookmarkStart w:id="167" w:name="_Toc494745324"/>
      <w:bookmarkStart w:id="168" w:name="_Toc494665007"/>
      <w:bookmarkStart w:id="169" w:name="_Toc494577412"/>
      <w:bookmarkStart w:id="170" w:name="_Toc106268634"/>
      <w:bookmarkStart w:id="171" w:name="_Toc494721107"/>
      <w:r>
        <w:rPr>
          <w:rFonts w:hint="eastAsia" w:ascii="宋体" w:hAnsi="宋体"/>
          <w:sz w:val="31"/>
          <w:szCs w:val="31"/>
        </w:rPr>
        <w:t>小型和微型企业、监狱企业、残疾人福利性单位货物汇总表</w:t>
      </w:r>
      <w:bookmarkEnd w:id="164"/>
      <w:bookmarkEnd w:id="165"/>
      <w:bookmarkEnd w:id="166"/>
      <w:bookmarkEnd w:id="167"/>
      <w:bookmarkEnd w:id="168"/>
      <w:bookmarkEnd w:id="169"/>
      <w:bookmarkEnd w:id="170"/>
      <w:bookmarkEnd w:id="171"/>
    </w:p>
    <w:p>
      <w:pPr>
        <w:spacing w:line="360" w:lineRule="auto"/>
        <w:jc w:val="left"/>
        <w:rPr>
          <w:rFonts w:hAnsi="宋体"/>
          <w:b/>
          <w:sz w:val="24"/>
        </w:rPr>
      </w:pPr>
      <w:r>
        <w:rPr>
          <w:rFonts w:hint="eastAsia" w:hAnsi="宋体"/>
          <w:b/>
          <w:sz w:val="24"/>
        </w:rPr>
        <w:t>投标人：</w:t>
      </w:r>
    </w:p>
    <w:p>
      <w:pPr>
        <w:spacing w:line="360" w:lineRule="auto"/>
        <w:jc w:val="left"/>
        <w:rPr>
          <w:rFonts w:hAnsi="宋体"/>
          <w:b/>
          <w:sz w:val="24"/>
        </w:rPr>
      </w:pPr>
      <w:r>
        <w:rPr>
          <w:rFonts w:hint="eastAsia" w:ascii="宋体" w:hAnsi="宋体"/>
          <w:b/>
          <w:sz w:val="24"/>
          <w:szCs w:val="21"/>
          <w:lang w:val="zh-CN"/>
        </w:rPr>
        <w:t>项目编号：</w:t>
      </w:r>
      <w:r>
        <w:rPr>
          <w:rFonts w:hint="eastAsia" w:ascii="宋体" w:hAnsi="宋体"/>
          <w:b/>
          <w:bCs/>
          <w:sz w:val="24"/>
          <w:szCs w:val="21"/>
          <w:lang w:val="zh-CN"/>
        </w:rPr>
        <w:t>所投包号：</w:t>
      </w:r>
    </w:p>
    <w:tbl>
      <w:tblPr>
        <w:tblStyle w:val="28"/>
        <w:tblW w:w="95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1552"/>
        <w:gridCol w:w="1560"/>
        <w:gridCol w:w="1133"/>
        <w:gridCol w:w="848"/>
        <w:gridCol w:w="1100"/>
        <w:gridCol w:w="1134"/>
        <w:gridCol w:w="14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9" w:type="dxa"/>
            <w:shd w:val="clear" w:color="auto" w:fill="F2F2F2"/>
            <w:vAlign w:val="center"/>
          </w:tcPr>
          <w:p>
            <w:pPr>
              <w:adjustRightInd w:val="0"/>
              <w:snapToGrid w:val="0"/>
              <w:ind w:left="-88" w:leftChars="-42"/>
              <w:jc w:val="center"/>
              <w:rPr>
                <w:rFonts w:ascii="宋体"/>
                <w:sz w:val="24"/>
              </w:rPr>
            </w:pPr>
            <w:r>
              <w:rPr>
                <w:rFonts w:hint="eastAsia" w:ascii="宋体" w:hAnsi="宋体"/>
                <w:sz w:val="24"/>
              </w:rPr>
              <w:t>序号</w:t>
            </w:r>
          </w:p>
        </w:tc>
        <w:tc>
          <w:tcPr>
            <w:tcW w:w="1552" w:type="dxa"/>
            <w:shd w:val="clear" w:color="auto" w:fill="F2F2F2"/>
            <w:vAlign w:val="center"/>
          </w:tcPr>
          <w:p>
            <w:pPr>
              <w:adjustRightInd w:val="0"/>
              <w:snapToGrid w:val="0"/>
              <w:ind w:left="-88" w:leftChars="-42"/>
              <w:jc w:val="center"/>
              <w:rPr>
                <w:rFonts w:ascii="宋体"/>
                <w:sz w:val="24"/>
              </w:rPr>
            </w:pPr>
            <w:r>
              <w:rPr>
                <w:rFonts w:hint="eastAsia" w:ascii="宋体" w:hAnsi="宋体"/>
                <w:sz w:val="24"/>
              </w:rPr>
              <w:t>制造商名称</w:t>
            </w:r>
          </w:p>
        </w:tc>
        <w:tc>
          <w:tcPr>
            <w:tcW w:w="1560" w:type="dxa"/>
            <w:shd w:val="clear" w:color="auto" w:fill="F2F2F2"/>
            <w:vAlign w:val="center"/>
          </w:tcPr>
          <w:p>
            <w:pPr>
              <w:adjustRightInd w:val="0"/>
              <w:snapToGrid w:val="0"/>
              <w:ind w:left="-88" w:leftChars="-42"/>
              <w:jc w:val="center"/>
              <w:rPr>
                <w:rFonts w:ascii="宋体"/>
                <w:sz w:val="24"/>
              </w:rPr>
            </w:pPr>
            <w:r>
              <w:rPr>
                <w:rFonts w:hint="eastAsia" w:ascii="宋体" w:hAnsi="宋体"/>
                <w:sz w:val="24"/>
              </w:rPr>
              <w:t>货物名称</w:t>
            </w:r>
          </w:p>
        </w:tc>
        <w:tc>
          <w:tcPr>
            <w:tcW w:w="1133" w:type="dxa"/>
            <w:shd w:val="clear" w:color="auto" w:fill="F2F2F2"/>
            <w:vAlign w:val="center"/>
          </w:tcPr>
          <w:p>
            <w:pPr>
              <w:adjustRightInd w:val="0"/>
              <w:snapToGrid w:val="0"/>
              <w:ind w:left="-88" w:leftChars="-42"/>
              <w:jc w:val="center"/>
              <w:rPr>
                <w:rFonts w:ascii="宋体"/>
                <w:sz w:val="24"/>
              </w:rPr>
            </w:pPr>
            <w:r>
              <w:rPr>
                <w:rFonts w:hint="eastAsia" w:ascii="宋体" w:hAnsi="宋体"/>
                <w:sz w:val="24"/>
              </w:rPr>
              <w:t>规格型号</w:t>
            </w:r>
          </w:p>
        </w:tc>
        <w:tc>
          <w:tcPr>
            <w:tcW w:w="848" w:type="dxa"/>
            <w:shd w:val="clear" w:color="auto" w:fill="F2F2F2"/>
            <w:vAlign w:val="center"/>
          </w:tcPr>
          <w:p>
            <w:pPr>
              <w:adjustRightInd w:val="0"/>
              <w:snapToGrid w:val="0"/>
              <w:ind w:left="-88" w:leftChars="-42"/>
              <w:jc w:val="center"/>
              <w:rPr>
                <w:rFonts w:ascii="宋体"/>
                <w:sz w:val="24"/>
              </w:rPr>
            </w:pPr>
            <w:r>
              <w:rPr>
                <w:rFonts w:hint="eastAsia" w:ascii="宋体" w:hAnsi="宋体"/>
                <w:sz w:val="24"/>
              </w:rPr>
              <w:t>数量</w:t>
            </w:r>
          </w:p>
        </w:tc>
        <w:tc>
          <w:tcPr>
            <w:tcW w:w="1100" w:type="dxa"/>
            <w:shd w:val="clear" w:color="auto" w:fill="F2F2F2"/>
            <w:vAlign w:val="center"/>
          </w:tcPr>
          <w:p>
            <w:pPr>
              <w:adjustRightInd w:val="0"/>
              <w:snapToGrid w:val="0"/>
              <w:ind w:left="-88" w:leftChars="-42"/>
              <w:jc w:val="center"/>
              <w:rPr>
                <w:rFonts w:ascii="宋体"/>
                <w:sz w:val="24"/>
              </w:rPr>
            </w:pPr>
            <w:r>
              <w:rPr>
                <w:rFonts w:hint="eastAsia" w:ascii="宋体" w:hAnsi="宋体"/>
                <w:sz w:val="24"/>
              </w:rPr>
              <w:t>单价</w:t>
            </w:r>
          </w:p>
        </w:tc>
        <w:tc>
          <w:tcPr>
            <w:tcW w:w="1134" w:type="dxa"/>
            <w:shd w:val="clear" w:color="auto" w:fill="F2F2F2"/>
            <w:vAlign w:val="center"/>
          </w:tcPr>
          <w:p>
            <w:pPr>
              <w:adjustRightInd w:val="0"/>
              <w:snapToGrid w:val="0"/>
              <w:ind w:left="-88" w:leftChars="-42"/>
              <w:jc w:val="center"/>
              <w:rPr>
                <w:rFonts w:ascii="宋体"/>
                <w:sz w:val="24"/>
              </w:rPr>
            </w:pPr>
            <w:r>
              <w:rPr>
                <w:rFonts w:hint="eastAsia" w:ascii="宋体" w:hAnsi="宋体"/>
                <w:sz w:val="24"/>
              </w:rPr>
              <w:t>分项</w:t>
            </w:r>
          </w:p>
          <w:p>
            <w:pPr>
              <w:adjustRightInd w:val="0"/>
              <w:snapToGrid w:val="0"/>
              <w:ind w:left="-88" w:leftChars="-42"/>
              <w:jc w:val="center"/>
              <w:rPr>
                <w:rFonts w:ascii="宋体"/>
                <w:sz w:val="24"/>
              </w:rPr>
            </w:pPr>
            <w:r>
              <w:rPr>
                <w:rFonts w:hint="eastAsia" w:ascii="宋体" w:hAnsi="宋体"/>
                <w:sz w:val="24"/>
              </w:rPr>
              <w:t>合计</w:t>
            </w:r>
          </w:p>
        </w:tc>
        <w:tc>
          <w:tcPr>
            <w:tcW w:w="1468" w:type="dxa"/>
            <w:shd w:val="clear" w:color="auto" w:fill="F2F2F2"/>
            <w:vAlign w:val="center"/>
          </w:tcPr>
          <w:p>
            <w:pPr>
              <w:adjustRightInd w:val="0"/>
              <w:snapToGrid w:val="0"/>
              <w:ind w:left="-88" w:leftChars="-42"/>
              <w:jc w:val="center"/>
              <w:rPr>
                <w:rFonts w:ascii="宋体"/>
                <w:sz w:val="24"/>
              </w:rPr>
            </w:pPr>
            <w:r>
              <w:rPr>
                <w:rFonts w:hint="eastAsia" w:ascii="宋体" w:hAnsi="宋体"/>
                <w:sz w:val="24"/>
              </w:rPr>
              <w:t>投标文件对应的页码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9" w:type="dxa"/>
            <w:vAlign w:val="center"/>
          </w:tcPr>
          <w:p>
            <w:pPr>
              <w:tabs>
                <w:tab w:val="left" w:pos="0"/>
                <w:tab w:val="left" w:pos="56"/>
              </w:tabs>
              <w:adjustRightInd w:val="0"/>
              <w:snapToGrid w:val="0"/>
              <w:jc w:val="center"/>
              <w:rPr>
                <w:rFonts w:ascii="宋体" w:cs="宋体"/>
                <w:color w:val="0D0D0D"/>
                <w:kern w:val="0"/>
                <w:sz w:val="24"/>
              </w:rPr>
            </w:pPr>
            <w:r>
              <w:rPr>
                <w:rFonts w:ascii="宋体" w:hAnsi="宋体" w:cs="宋体"/>
                <w:color w:val="0D0D0D"/>
                <w:kern w:val="0"/>
                <w:sz w:val="24"/>
              </w:rPr>
              <w:t>1</w:t>
            </w:r>
          </w:p>
        </w:tc>
        <w:tc>
          <w:tcPr>
            <w:tcW w:w="1552" w:type="dxa"/>
          </w:tcPr>
          <w:p>
            <w:pPr>
              <w:tabs>
                <w:tab w:val="left" w:pos="0"/>
                <w:tab w:val="left" w:pos="56"/>
              </w:tabs>
              <w:adjustRightInd w:val="0"/>
              <w:snapToGrid w:val="0"/>
              <w:jc w:val="center"/>
              <w:rPr>
                <w:rFonts w:ascii="宋体" w:cs="宋体"/>
                <w:color w:val="0D0D0D"/>
                <w:kern w:val="0"/>
                <w:sz w:val="24"/>
              </w:rPr>
            </w:pPr>
          </w:p>
        </w:tc>
        <w:tc>
          <w:tcPr>
            <w:tcW w:w="1560" w:type="dxa"/>
            <w:vAlign w:val="center"/>
          </w:tcPr>
          <w:p>
            <w:pPr>
              <w:tabs>
                <w:tab w:val="left" w:pos="0"/>
                <w:tab w:val="left" w:pos="56"/>
              </w:tabs>
              <w:adjustRightInd w:val="0"/>
              <w:snapToGrid w:val="0"/>
              <w:jc w:val="center"/>
              <w:rPr>
                <w:rFonts w:ascii="宋体" w:cs="宋体"/>
                <w:color w:val="0D0D0D"/>
                <w:kern w:val="0"/>
                <w:sz w:val="24"/>
              </w:rPr>
            </w:pPr>
          </w:p>
        </w:tc>
        <w:tc>
          <w:tcPr>
            <w:tcW w:w="1133" w:type="dxa"/>
            <w:vAlign w:val="center"/>
          </w:tcPr>
          <w:p>
            <w:pPr>
              <w:tabs>
                <w:tab w:val="left" w:pos="0"/>
                <w:tab w:val="left" w:pos="56"/>
              </w:tabs>
              <w:adjustRightInd w:val="0"/>
              <w:snapToGrid w:val="0"/>
              <w:jc w:val="center"/>
              <w:rPr>
                <w:rFonts w:ascii="宋体" w:cs="宋体"/>
                <w:color w:val="0D0D0D"/>
                <w:kern w:val="0"/>
                <w:sz w:val="24"/>
              </w:rPr>
            </w:pPr>
          </w:p>
        </w:tc>
        <w:tc>
          <w:tcPr>
            <w:tcW w:w="848" w:type="dxa"/>
            <w:vAlign w:val="center"/>
          </w:tcPr>
          <w:p>
            <w:pPr>
              <w:tabs>
                <w:tab w:val="left" w:pos="0"/>
                <w:tab w:val="left" w:pos="56"/>
              </w:tabs>
              <w:adjustRightInd w:val="0"/>
              <w:snapToGrid w:val="0"/>
              <w:jc w:val="center"/>
              <w:rPr>
                <w:rFonts w:ascii="宋体" w:cs="宋体"/>
                <w:color w:val="0D0D0D"/>
                <w:kern w:val="0"/>
                <w:sz w:val="24"/>
              </w:rPr>
            </w:pPr>
          </w:p>
        </w:tc>
        <w:tc>
          <w:tcPr>
            <w:tcW w:w="1100" w:type="dxa"/>
            <w:vAlign w:val="center"/>
          </w:tcPr>
          <w:p>
            <w:pPr>
              <w:tabs>
                <w:tab w:val="left" w:pos="0"/>
                <w:tab w:val="left" w:pos="56"/>
              </w:tabs>
              <w:adjustRightInd w:val="0"/>
              <w:snapToGrid w:val="0"/>
              <w:jc w:val="center"/>
              <w:rPr>
                <w:rFonts w:ascii="宋体" w:cs="宋体"/>
                <w:color w:val="0D0D0D"/>
                <w:kern w:val="0"/>
                <w:sz w:val="24"/>
              </w:rPr>
            </w:pPr>
          </w:p>
        </w:tc>
        <w:tc>
          <w:tcPr>
            <w:tcW w:w="1134" w:type="dxa"/>
            <w:vAlign w:val="center"/>
          </w:tcPr>
          <w:p>
            <w:pPr>
              <w:tabs>
                <w:tab w:val="left" w:pos="0"/>
                <w:tab w:val="left" w:pos="56"/>
              </w:tabs>
              <w:adjustRightInd w:val="0"/>
              <w:snapToGrid w:val="0"/>
              <w:jc w:val="center"/>
              <w:rPr>
                <w:rFonts w:ascii="宋体" w:cs="宋体"/>
                <w:color w:val="0D0D0D"/>
                <w:kern w:val="0"/>
                <w:sz w:val="24"/>
              </w:rPr>
            </w:pPr>
          </w:p>
        </w:tc>
        <w:tc>
          <w:tcPr>
            <w:tcW w:w="1468" w:type="dxa"/>
            <w:vAlign w:val="center"/>
          </w:tcPr>
          <w:p>
            <w:pPr>
              <w:tabs>
                <w:tab w:val="left" w:pos="0"/>
                <w:tab w:val="left" w:pos="56"/>
              </w:tabs>
              <w:adjustRightInd w:val="0"/>
              <w:snapToGrid w:val="0"/>
              <w:jc w:val="center"/>
              <w:rPr>
                <w:rFonts w:ascii="宋体" w:cs="宋体"/>
                <w:color w:val="0D0D0D"/>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9" w:type="dxa"/>
            <w:vAlign w:val="center"/>
          </w:tcPr>
          <w:p>
            <w:pPr>
              <w:tabs>
                <w:tab w:val="left" w:pos="0"/>
                <w:tab w:val="left" w:pos="56"/>
              </w:tabs>
              <w:adjustRightInd w:val="0"/>
              <w:snapToGrid w:val="0"/>
              <w:jc w:val="center"/>
              <w:rPr>
                <w:rFonts w:ascii="宋体" w:cs="宋体"/>
                <w:color w:val="0D0D0D"/>
                <w:kern w:val="0"/>
                <w:sz w:val="24"/>
              </w:rPr>
            </w:pPr>
            <w:r>
              <w:rPr>
                <w:rFonts w:ascii="宋体" w:hAnsi="宋体" w:cs="宋体"/>
                <w:color w:val="0D0D0D"/>
                <w:kern w:val="0"/>
                <w:sz w:val="24"/>
              </w:rPr>
              <w:t>2</w:t>
            </w:r>
          </w:p>
        </w:tc>
        <w:tc>
          <w:tcPr>
            <w:tcW w:w="1552" w:type="dxa"/>
          </w:tcPr>
          <w:p>
            <w:pPr>
              <w:tabs>
                <w:tab w:val="left" w:pos="0"/>
                <w:tab w:val="left" w:pos="56"/>
              </w:tabs>
              <w:adjustRightInd w:val="0"/>
              <w:snapToGrid w:val="0"/>
              <w:jc w:val="center"/>
              <w:rPr>
                <w:rFonts w:ascii="宋体" w:cs="宋体"/>
                <w:color w:val="0D0D0D"/>
                <w:kern w:val="0"/>
                <w:sz w:val="24"/>
              </w:rPr>
            </w:pPr>
          </w:p>
        </w:tc>
        <w:tc>
          <w:tcPr>
            <w:tcW w:w="1560" w:type="dxa"/>
            <w:vAlign w:val="center"/>
          </w:tcPr>
          <w:p>
            <w:pPr>
              <w:tabs>
                <w:tab w:val="left" w:pos="0"/>
                <w:tab w:val="left" w:pos="56"/>
              </w:tabs>
              <w:adjustRightInd w:val="0"/>
              <w:snapToGrid w:val="0"/>
              <w:jc w:val="center"/>
              <w:rPr>
                <w:rFonts w:ascii="宋体" w:cs="宋体"/>
                <w:color w:val="0D0D0D"/>
                <w:kern w:val="0"/>
                <w:sz w:val="24"/>
              </w:rPr>
            </w:pPr>
          </w:p>
        </w:tc>
        <w:tc>
          <w:tcPr>
            <w:tcW w:w="1133" w:type="dxa"/>
            <w:vAlign w:val="center"/>
          </w:tcPr>
          <w:p>
            <w:pPr>
              <w:tabs>
                <w:tab w:val="left" w:pos="0"/>
                <w:tab w:val="left" w:pos="56"/>
              </w:tabs>
              <w:adjustRightInd w:val="0"/>
              <w:snapToGrid w:val="0"/>
              <w:jc w:val="center"/>
              <w:rPr>
                <w:rFonts w:ascii="宋体" w:cs="宋体"/>
                <w:color w:val="0D0D0D"/>
                <w:kern w:val="0"/>
                <w:sz w:val="24"/>
              </w:rPr>
            </w:pPr>
          </w:p>
        </w:tc>
        <w:tc>
          <w:tcPr>
            <w:tcW w:w="848" w:type="dxa"/>
            <w:vAlign w:val="center"/>
          </w:tcPr>
          <w:p>
            <w:pPr>
              <w:tabs>
                <w:tab w:val="left" w:pos="0"/>
                <w:tab w:val="left" w:pos="56"/>
              </w:tabs>
              <w:adjustRightInd w:val="0"/>
              <w:snapToGrid w:val="0"/>
              <w:jc w:val="center"/>
              <w:rPr>
                <w:rFonts w:ascii="宋体" w:cs="宋体"/>
                <w:color w:val="0D0D0D"/>
                <w:kern w:val="0"/>
                <w:sz w:val="24"/>
              </w:rPr>
            </w:pPr>
          </w:p>
        </w:tc>
        <w:tc>
          <w:tcPr>
            <w:tcW w:w="1100" w:type="dxa"/>
            <w:vAlign w:val="center"/>
          </w:tcPr>
          <w:p>
            <w:pPr>
              <w:tabs>
                <w:tab w:val="left" w:pos="0"/>
                <w:tab w:val="left" w:pos="56"/>
              </w:tabs>
              <w:adjustRightInd w:val="0"/>
              <w:snapToGrid w:val="0"/>
              <w:jc w:val="center"/>
              <w:rPr>
                <w:rFonts w:ascii="宋体" w:cs="宋体"/>
                <w:color w:val="0D0D0D"/>
                <w:kern w:val="0"/>
                <w:sz w:val="24"/>
              </w:rPr>
            </w:pPr>
          </w:p>
        </w:tc>
        <w:tc>
          <w:tcPr>
            <w:tcW w:w="1134" w:type="dxa"/>
            <w:vAlign w:val="center"/>
          </w:tcPr>
          <w:p>
            <w:pPr>
              <w:tabs>
                <w:tab w:val="left" w:pos="0"/>
                <w:tab w:val="left" w:pos="56"/>
              </w:tabs>
              <w:adjustRightInd w:val="0"/>
              <w:snapToGrid w:val="0"/>
              <w:jc w:val="center"/>
              <w:rPr>
                <w:rFonts w:ascii="宋体" w:cs="宋体"/>
                <w:color w:val="0D0D0D"/>
                <w:kern w:val="0"/>
                <w:sz w:val="24"/>
              </w:rPr>
            </w:pPr>
          </w:p>
        </w:tc>
        <w:tc>
          <w:tcPr>
            <w:tcW w:w="1468" w:type="dxa"/>
            <w:vAlign w:val="center"/>
          </w:tcPr>
          <w:p>
            <w:pPr>
              <w:tabs>
                <w:tab w:val="left" w:pos="0"/>
                <w:tab w:val="left" w:pos="56"/>
              </w:tabs>
              <w:adjustRightInd w:val="0"/>
              <w:snapToGrid w:val="0"/>
              <w:jc w:val="center"/>
              <w:rPr>
                <w:rFonts w:ascii="宋体" w:cs="宋体"/>
                <w:color w:val="0D0D0D"/>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9" w:type="dxa"/>
            <w:vAlign w:val="center"/>
          </w:tcPr>
          <w:p>
            <w:pPr>
              <w:tabs>
                <w:tab w:val="left" w:pos="0"/>
                <w:tab w:val="left" w:pos="56"/>
              </w:tabs>
              <w:adjustRightInd w:val="0"/>
              <w:snapToGrid w:val="0"/>
              <w:jc w:val="center"/>
              <w:rPr>
                <w:rFonts w:ascii="宋体" w:cs="宋体"/>
                <w:color w:val="0D0D0D"/>
                <w:kern w:val="0"/>
                <w:sz w:val="24"/>
              </w:rPr>
            </w:pPr>
            <w:r>
              <w:rPr>
                <w:rFonts w:ascii="宋体" w:hAnsi="宋体" w:cs="宋体"/>
                <w:color w:val="0D0D0D"/>
                <w:kern w:val="0"/>
                <w:sz w:val="24"/>
              </w:rPr>
              <w:t>3</w:t>
            </w:r>
          </w:p>
        </w:tc>
        <w:tc>
          <w:tcPr>
            <w:tcW w:w="1552" w:type="dxa"/>
          </w:tcPr>
          <w:p>
            <w:pPr>
              <w:tabs>
                <w:tab w:val="left" w:pos="0"/>
                <w:tab w:val="left" w:pos="56"/>
              </w:tabs>
              <w:adjustRightInd w:val="0"/>
              <w:snapToGrid w:val="0"/>
              <w:jc w:val="center"/>
              <w:rPr>
                <w:rFonts w:ascii="宋体" w:cs="宋体"/>
                <w:color w:val="0D0D0D"/>
                <w:kern w:val="0"/>
                <w:sz w:val="24"/>
              </w:rPr>
            </w:pPr>
          </w:p>
        </w:tc>
        <w:tc>
          <w:tcPr>
            <w:tcW w:w="1560" w:type="dxa"/>
            <w:vAlign w:val="center"/>
          </w:tcPr>
          <w:p>
            <w:pPr>
              <w:tabs>
                <w:tab w:val="left" w:pos="0"/>
                <w:tab w:val="left" w:pos="56"/>
              </w:tabs>
              <w:adjustRightInd w:val="0"/>
              <w:snapToGrid w:val="0"/>
              <w:jc w:val="center"/>
              <w:rPr>
                <w:rFonts w:ascii="宋体" w:cs="宋体"/>
                <w:color w:val="0D0D0D"/>
                <w:kern w:val="0"/>
                <w:sz w:val="24"/>
              </w:rPr>
            </w:pPr>
          </w:p>
        </w:tc>
        <w:tc>
          <w:tcPr>
            <w:tcW w:w="1133" w:type="dxa"/>
            <w:vAlign w:val="center"/>
          </w:tcPr>
          <w:p>
            <w:pPr>
              <w:tabs>
                <w:tab w:val="left" w:pos="0"/>
                <w:tab w:val="left" w:pos="56"/>
              </w:tabs>
              <w:adjustRightInd w:val="0"/>
              <w:snapToGrid w:val="0"/>
              <w:jc w:val="center"/>
              <w:rPr>
                <w:rFonts w:ascii="宋体" w:cs="宋体"/>
                <w:color w:val="0D0D0D"/>
                <w:kern w:val="0"/>
                <w:sz w:val="24"/>
              </w:rPr>
            </w:pPr>
          </w:p>
        </w:tc>
        <w:tc>
          <w:tcPr>
            <w:tcW w:w="848" w:type="dxa"/>
            <w:vAlign w:val="center"/>
          </w:tcPr>
          <w:p>
            <w:pPr>
              <w:tabs>
                <w:tab w:val="left" w:pos="0"/>
                <w:tab w:val="left" w:pos="56"/>
              </w:tabs>
              <w:adjustRightInd w:val="0"/>
              <w:snapToGrid w:val="0"/>
              <w:jc w:val="center"/>
              <w:rPr>
                <w:rFonts w:ascii="宋体" w:cs="宋体"/>
                <w:color w:val="0D0D0D"/>
                <w:kern w:val="0"/>
                <w:sz w:val="24"/>
              </w:rPr>
            </w:pPr>
          </w:p>
        </w:tc>
        <w:tc>
          <w:tcPr>
            <w:tcW w:w="1100" w:type="dxa"/>
            <w:vAlign w:val="center"/>
          </w:tcPr>
          <w:p>
            <w:pPr>
              <w:tabs>
                <w:tab w:val="left" w:pos="0"/>
                <w:tab w:val="left" w:pos="56"/>
              </w:tabs>
              <w:adjustRightInd w:val="0"/>
              <w:snapToGrid w:val="0"/>
              <w:jc w:val="center"/>
              <w:rPr>
                <w:rFonts w:ascii="宋体" w:cs="宋体"/>
                <w:color w:val="0D0D0D"/>
                <w:kern w:val="0"/>
                <w:sz w:val="24"/>
              </w:rPr>
            </w:pPr>
          </w:p>
        </w:tc>
        <w:tc>
          <w:tcPr>
            <w:tcW w:w="1134" w:type="dxa"/>
            <w:vAlign w:val="center"/>
          </w:tcPr>
          <w:p>
            <w:pPr>
              <w:tabs>
                <w:tab w:val="left" w:pos="0"/>
                <w:tab w:val="left" w:pos="56"/>
              </w:tabs>
              <w:adjustRightInd w:val="0"/>
              <w:snapToGrid w:val="0"/>
              <w:jc w:val="center"/>
              <w:rPr>
                <w:rFonts w:ascii="宋体" w:cs="宋体"/>
                <w:color w:val="0D0D0D"/>
                <w:kern w:val="0"/>
                <w:sz w:val="24"/>
              </w:rPr>
            </w:pPr>
          </w:p>
        </w:tc>
        <w:tc>
          <w:tcPr>
            <w:tcW w:w="1468" w:type="dxa"/>
            <w:vAlign w:val="center"/>
          </w:tcPr>
          <w:p>
            <w:pPr>
              <w:tabs>
                <w:tab w:val="left" w:pos="0"/>
                <w:tab w:val="left" w:pos="56"/>
              </w:tabs>
              <w:adjustRightInd w:val="0"/>
              <w:snapToGrid w:val="0"/>
              <w:jc w:val="center"/>
              <w:rPr>
                <w:rFonts w:ascii="宋体" w:cs="宋体"/>
                <w:color w:val="0D0D0D"/>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9" w:type="dxa"/>
            <w:vAlign w:val="center"/>
          </w:tcPr>
          <w:p>
            <w:pPr>
              <w:tabs>
                <w:tab w:val="left" w:pos="0"/>
                <w:tab w:val="left" w:pos="56"/>
              </w:tabs>
              <w:adjustRightInd w:val="0"/>
              <w:snapToGrid w:val="0"/>
              <w:jc w:val="center"/>
              <w:rPr>
                <w:rFonts w:ascii="宋体" w:cs="宋体"/>
                <w:color w:val="0D0D0D"/>
                <w:kern w:val="0"/>
                <w:sz w:val="24"/>
              </w:rPr>
            </w:pPr>
            <w:r>
              <w:rPr>
                <w:rFonts w:ascii="宋体" w:hAnsi="宋体" w:cs="宋体"/>
                <w:color w:val="0D0D0D"/>
                <w:kern w:val="0"/>
                <w:sz w:val="24"/>
              </w:rPr>
              <w:t>4</w:t>
            </w:r>
          </w:p>
        </w:tc>
        <w:tc>
          <w:tcPr>
            <w:tcW w:w="1552" w:type="dxa"/>
          </w:tcPr>
          <w:p>
            <w:pPr>
              <w:tabs>
                <w:tab w:val="left" w:pos="0"/>
                <w:tab w:val="left" w:pos="56"/>
              </w:tabs>
              <w:adjustRightInd w:val="0"/>
              <w:snapToGrid w:val="0"/>
              <w:jc w:val="center"/>
              <w:rPr>
                <w:rFonts w:ascii="宋体" w:cs="宋体"/>
                <w:color w:val="0D0D0D"/>
                <w:kern w:val="0"/>
                <w:sz w:val="24"/>
              </w:rPr>
            </w:pPr>
          </w:p>
        </w:tc>
        <w:tc>
          <w:tcPr>
            <w:tcW w:w="1560" w:type="dxa"/>
            <w:vAlign w:val="center"/>
          </w:tcPr>
          <w:p>
            <w:pPr>
              <w:tabs>
                <w:tab w:val="left" w:pos="0"/>
                <w:tab w:val="left" w:pos="56"/>
              </w:tabs>
              <w:adjustRightInd w:val="0"/>
              <w:snapToGrid w:val="0"/>
              <w:jc w:val="center"/>
              <w:rPr>
                <w:rFonts w:ascii="宋体" w:cs="宋体"/>
                <w:color w:val="0D0D0D"/>
                <w:kern w:val="0"/>
                <w:sz w:val="24"/>
              </w:rPr>
            </w:pPr>
          </w:p>
        </w:tc>
        <w:tc>
          <w:tcPr>
            <w:tcW w:w="1133" w:type="dxa"/>
            <w:vAlign w:val="center"/>
          </w:tcPr>
          <w:p>
            <w:pPr>
              <w:tabs>
                <w:tab w:val="left" w:pos="0"/>
                <w:tab w:val="left" w:pos="56"/>
              </w:tabs>
              <w:adjustRightInd w:val="0"/>
              <w:snapToGrid w:val="0"/>
              <w:jc w:val="center"/>
              <w:rPr>
                <w:rFonts w:ascii="宋体" w:cs="宋体"/>
                <w:color w:val="0D0D0D"/>
                <w:kern w:val="0"/>
                <w:sz w:val="24"/>
              </w:rPr>
            </w:pPr>
          </w:p>
        </w:tc>
        <w:tc>
          <w:tcPr>
            <w:tcW w:w="848" w:type="dxa"/>
            <w:vAlign w:val="center"/>
          </w:tcPr>
          <w:p>
            <w:pPr>
              <w:tabs>
                <w:tab w:val="left" w:pos="0"/>
                <w:tab w:val="left" w:pos="56"/>
              </w:tabs>
              <w:adjustRightInd w:val="0"/>
              <w:snapToGrid w:val="0"/>
              <w:jc w:val="center"/>
              <w:rPr>
                <w:rFonts w:ascii="宋体" w:cs="宋体"/>
                <w:color w:val="0D0D0D"/>
                <w:kern w:val="0"/>
                <w:sz w:val="24"/>
              </w:rPr>
            </w:pPr>
          </w:p>
        </w:tc>
        <w:tc>
          <w:tcPr>
            <w:tcW w:w="1100" w:type="dxa"/>
            <w:vAlign w:val="center"/>
          </w:tcPr>
          <w:p>
            <w:pPr>
              <w:tabs>
                <w:tab w:val="left" w:pos="0"/>
                <w:tab w:val="left" w:pos="56"/>
              </w:tabs>
              <w:adjustRightInd w:val="0"/>
              <w:snapToGrid w:val="0"/>
              <w:jc w:val="center"/>
              <w:rPr>
                <w:rFonts w:ascii="宋体" w:cs="宋体"/>
                <w:color w:val="0D0D0D"/>
                <w:kern w:val="0"/>
                <w:sz w:val="24"/>
              </w:rPr>
            </w:pPr>
          </w:p>
        </w:tc>
        <w:tc>
          <w:tcPr>
            <w:tcW w:w="1134" w:type="dxa"/>
            <w:vAlign w:val="center"/>
          </w:tcPr>
          <w:p>
            <w:pPr>
              <w:tabs>
                <w:tab w:val="left" w:pos="0"/>
                <w:tab w:val="left" w:pos="56"/>
              </w:tabs>
              <w:adjustRightInd w:val="0"/>
              <w:snapToGrid w:val="0"/>
              <w:jc w:val="center"/>
              <w:rPr>
                <w:rFonts w:ascii="宋体" w:cs="宋体"/>
                <w:color w:val="0D0D0D"/>
                <w:kern w:val="0"/>
                <w:sz w:val="24"/>
              </w:rPr>
            </w:pPr>
          </w:p>
        </w:tc>
        <w:tc>
          <w:tcPr>
            <w:tcW w:w="1468" w:type="dxa"/>
            <w:vAlign w:val="center"/>
          </w:tcPr>
          <w:p>
            <w:pPr>
              <w:tabs>
                <w:tab w:val="left" w:pos="0"/>
                <w:tab w:val="left" w:pos="56"/>
              </w:tabs>
              <w:adjustRightInd w:val="0"/>
              <w:snapToGrid w:val="0"/>
              <w:jc w:val="center"/>
              <w:rPr>
                <w:rFonts w:ascii="宋体" w:cs="宋体"/>
                <w:color w:val="0D0D0D"/>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9" w:type="dxa"/>
            <w:vAlign w:val="center"/>
          </w:tcPr>
          <w:p>
            <w:pPr>
              <w:tabs>
                <w:tab w:val="left" w:pos="0"/>
                <w:tab w:val="left" w:pos="56"/>
              </w:tabs>
              <w:adjustRightInd w:val="0"/>
              <w:snapToGrid w:val="0"/>
              <w:jc w:val="center"/>
              <w:rPr>
                <w:rFonts w:ascii="宋体" w:cs="宋体"/>
                <w:color w:val="0D0D0D"/>
                <w:kern w:val="0"/>
                <w:sz w:val="24"/>
              </w:rPr>
            </w:pPr>
            <w:r>
              <w:rPr>
                <w:rFonts w:ascii="宋体" w:hAnsi="宋体" w:cs="宋体"/>
                <w:color w:val="0D0D0D"/>
                <w:kern w:val="0"/>
                <w:sz w:val="24"/>
              </w:rPr>
              <w:t>5</w:t>
            </w:r>
          </w:p>
        </w:tc>
        <w:tc>
          <w:tcPr>
            <w:tcW w:w="1552" w:type="dxa"/>
          </w:tcPr>
          <w:p>
            <w:pPr>
              <w:tabs>
                <w:tab w:val="left" w:pos="0"/>
                <w:tab w:val="left" w:pos="56"/>
              </w:tabs>
              <w:adjustRightInd w:val="0"/>
              <w:snapToGrid w:val="0"/>
              <w:jc w:val="center"/>
              <w:rPr>
                <w:rFonts w:ascii="宋体" w:cs="宋体"/>
                <w:color w:val="0D0D0D"/>
                <w:kern w:val="0"/>
                <w:sz w:val="24"/>
              </w:rPr>
            </w:pPr>
          </w:p>
        </w:tc>
        <w:tc>
          <w:tcPr>
            <w:tcW w:w="1560" w:type="dxa"/>
            <w:vAlign w:val="center"/>
          </w:tcPr>
          <w:p>
            <w:pPr>
              <w:tabs>
                <w:tab w:val="left" w:pos="0"/>
                <w:tab w:val="left" w:pos="56"/>
              </w:tabs>
              <w:adjustRightInd w:val="0"/>
              <w:snapToGrid w:val="0"/>
              <w:jc w:val="center"/>
              <w:rPr>
                <w:rFonts w:ascii="宋体" w:cs="宋体"/>
                <w:color w:val="0D0D0D"/>
                <w:kern w:val="0"/>
                <w:sz w:val="24"/>
              </w:rPr>
            </w:pPr>
          </w:p>
        </w:tc>
        <w:tc>
          <w:tcPr>
            <w:tcW w:w="1133" w:type="dxa"/>
            <w:vAlign w:val="center"/>
          </w:tcPr>
          <w:p>
            <w:pPr>
              <w:tabs>
                <w:tab w:val="left" w:pos="0"/>
                <w:tab w:val="left" w:pos="56"/>
              </w:tabs>
              <w:adjustRightInd w:val="0"/>
              <w:snapToGrid w:val="0"/>
              <w:jc w:val="center"/>
              <w:rPr>
                <w:rFonts w:ascii="宋体" w:cs="宋体"/>
                <w:color w:val="0D0D0D"/>
                <w:kern w:val="0"/>
                <w:sz w:val="24"/>
              </w:rPr>
            </w:pPr>
          </w:p>
        </w:tc>
        <w:tc>
          <w:tcPr>
            <w:tcW w:w="848" w:type="dxa"/>
            <w:vAlign w:val="center"/>
          </w:tcPr>
          <w:p>
            <w:pPr>
              <w:tabs>
                <w:tab w:val="left" w:pos="0"/>
                <w:tab w:val="left" w:pos="56"/>
              </w:tabs>
              <w:adjustRightInd w:val="0"/>
              <w:snapToGrid w:val="0"/>
              <w:jc w:val="center"/>
              <w:rPr>
                <w:rFonts w:ascii="宋体" w:cs="宋体"/>
                <w:color w:val="0D0D0D"/>
                <w:kern w:val="0"/>
                <w:sz w:val="24"/>
              </w:rPr>
            </w:pPr>
          </w:p>
        </w:tc>
        <w:tc>
          <w:tcPr>
            <w:tcW w:w="1100" w:type="dxa"/>
            <w:vAlign w:val="center"/>
          </w:tcPr>
          <w:p>
            <w:pPr>
              <w:tabs>
                <w:tab w:val="left" w:pos="0"/>
                <w:tab w:val="left" w:pos="56"/>
              </w:tabs>
              <w:adjustRightInd w:val="0"/>
              <w:snapToGrid w:val="0"/>
              <w:jc w:val="center"/>
              <w:rPr>
                <w:rFonts w:ascii="宋体" w:cs="宋体"/>
                <w:color w:val="0D0D0D"/>
                <w:kern w:val="0"/>
                <w:sz w:val="24"/>
              </w:rPr>
            </w:pPr>
          </w:p>
        </w:tc>
        <w:tc>
          <w:tcPr>
            <w:tcW w:w="1134" w:type="dxa"/>
            <w:vAlign w:val="center"/>
          </w:tcPr>
          <w:p>
            <w:pPr>
              <w:tabs>
                <w:tab w:val="left" w:pos="0"/>
                <w:tab w:val="left" w:pos="56"/>
              </w:tabs>
              <w:adjustRightInd w:val="0"/>
              <w:snapToGrid w:val="0"/>
              <w:jc w:val="center"/>
              <w:rPr>
                <w:rFonts w:ascii="宋体" w:cs="宋体"/>
                <w:color w:val="0D0D0D"/>
                <w:kern w:val="0"/>
                <w:sz w:val="24"/>
              </w:rPr>
            </w:pPr>
          </w:p>
        </w:tc>
        <w:tc>
          <w:tcPr>
            <w:tcW w:w="1468" w:type="dxa"/>
            <w:vAlign w:val="center"/>
          </w:tcPr>
          <w:p>
            <w:pPr>
              <w:tabs>
                <w:tab w:val="left" w:pos="0"/>
                <w:tab w:val="left" w:pos="56"/>
              </w:tabs>
              <w:adjustRightInd w:val="0"/>
              <w:snapToGrid w:val="0"/>
              <w:jc w:val="center"/>
              <w:rPr>
                <w:rFonts w:ascii="宋体" w:cs="宋体"/>
                <w:color w:val="0D0D0D"/>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9" w:type="dxa"/>
            <w:vAlign w:val="center"/>
          </w:tcPr>
          <w:p>
            <w:pPr>
              <w:tabs>
                <w:tab w:val="left" w:pos="0"/>
                <w:tab w:val="left" w:pos="56"/>
              </w:tabs>
              <w:adjustRightInd w:val="0"/>
              <w:snapToGrid w:val="0"/>
              <w:jc w:val="center"/>
              <w:rPr>
                <w:rFonts w:ascii="宋体" w:cs="宋体"/>
                <w:color w:val="0D0D0D"/>
                <w:kern w:val="0"/>
                <w:sz w:val="24"/>
              </w:rPr>
            </w:pPr>
            <w:r>
              <w:rPr>
                <w:rFonts w:ascii="宋体" w:hAnsi="宋体" w:cs="宋体"/>
                <w:color w:val="0D0D0D"/>
                <w:kern w:val="0"/>
                <w:sz w:val="24"/>
              </w:rPr>
              <w:t>6</w:t>
            </w:r>
          </w:p>
        </w:tc>
        <w:tc>
          <w:tcPr>
            <w:tcW w:w="1552" w:type="dxa"/>
          </w:tcPr>
          <w:p>
            <w:pPr>
              <w:tabs>
                <w:tab w:val="left" w:pos="0"/>
                <w:tab w:val="left" w:pos="56"/>
              </w:tabs>
              <w:adjustRightInd w:val="0"/>
              <w:snapToGrid w:val="0"/>
              <w:jc w:val="center"/>
              <w:rPr>
                <w:rFonts w:ascii="宋体" w:cs="宋体"/>
                <w:color w:val="0D0D0D"/>
                <w:kern w:val="0"/>
                <w:sz w:val="24"/>
              </w:rPr>
            </w:pPr>
          </w:p>
        </w:tc>
        <w:tc>
          <w:tcPr>
            <w:tcW w:w="1560" w:type="dxa"/>
            <w:vAlign w:val="center"/>
          </w:tcPr>
          <w:p>
            <w:pPr>
              <w:tabs>
                <w:tab w:val="left" w:pos="0"/>
                <w:tab w:val="left" w:pos="56"/>
              </w:tabs>
              <w:adjustRightInd w:val="0"/>
              <w:snapToGrid w:val="0"/>
              <w:jc w:val="center"/>
              <w:rPr>
                <w:rFonts w:ascii="宋体" w:cs="宋体"/>
                <w:color w:val="0D0D0D"/>
                <w:kern w:val="0"/>
                <w:sz w:val="24"/>
              </w:rPr>
            </w:pPr>
          </w:p>
        </w:tc>
        <w:tc>
          <w:tcPr>
            <w:tcW w:w="1133" w:type="dxa"/>
            <w:vAlign w:val="center"/>
          </w:tcPr>
          <w:p>
            <w:pPr>
              <w:tabs>
                <w:tab w:val="left" w:pos="0"/>
                <w:tab w:val="left" w:pos="56"/>
              </w:tabs>
              <w:adjustRightInd w:val="0"/>
              <w:snapToGrid w:val="0"/>
              <w:jc w:val="center"/>
              <w:rPr>
                <w:rFonts w:ascii="宋体" w:cs="宋体"/>
                <w:color w:val="0D0D0D"/>
                <w:kern w:val="0"/>
                <w:sz w:val="24"/>
              </w:rPr>
            </w:pPr>
          </w:p>
        </w:tc>
        <w:tc>
          <w:tcPr>
            <w:tcW w:w="848" w:type="dxa"/>
            <w:vAlign w:val="center"/>
          </w:tcPr>
          <w:p>
            <w:pPr>
              <w:tabs>
                <w:tab w:val="left" w:pos="0"/>
                <w:tab w:val="left" w:pos="56"/>
              </w:tabs>
              <w:adjustRightInd w:val="0"/>
              <w:snapToGrid w:val="0"/>
              <w:jc w:val="center"/>
              <w:rPr>
                <w:rFonts w:ascii="宋体" w:cs="宋体"/>
                <w:color w:val="0D0D0D"/>
                <w:kern w:val="0"/>
                <w:sz w:val="24"/>
              </w:rPr>
            </w:pPr>
          </w:p>
        </w:tc>
        <w:tc>
          <w:tcPr>
            <w:tcW w:w="1100" w:type="dxa"/>
            <w:vAlign w:val="center"/>
          </w:tcPr>
          <w:p>
            <w:pPr>
              <w:tabs>
                <w:tab w:val="left" w:pos="0"/>
                <w:tab w:val="left" w:pos="56"/>
              </w:tabs>
              <w:adjustRightInd w:val="0"/>
              <w:snapToGrid w:val="0"/>
              <w:jc w:val="center"/>
              <w:rPr>
                <w:rFonts w:ascii="宋体" w:cs="宋体"/>
                <w:color w:val="0D0D0D"/>
                <w:kern w:val="0"/>
                <w:sz w:val="24"/>
              </w:rPr>
            </w:pPr>
          </w:p>
        </w:tc>
        <w:tc>
          <w:tcPr>
            <w:tcW w:w="1134" w:type="dxa"/>
            <w:vAlign w:val="center"/>
          </w:tcPr>
          <w:p>
            <w:pPr>
              <w:tabs>
                <w:tab w:val="left" w:pos="0"/>
                <w:tab w:val="left" w:pos="56"/>
              </w:tabs>
              <w:adjustRightInd w:val="0"/>
              <w:snapToGrid w:val="0"/>
              <w:jc w:val="center"/>
              <w:rPr>
                <w:rFonts w:ascii="宋体" w:cs="宋体"/>
                <w:color w:val="0D0D0D"/>
                <w:kern w:val="0"/>
                <w:sz w:val="24"/>
              </w:rPr>
            </w:pPr>
          </w:p>
        </w:tc>
        <w:tc>
          <w:tcPr>
            <w:tcW w:w="1468" w:type="dxa"/>
            <w:vAlign w:val="center"/>
          </w:tcPr>
          <w:p>
            <w:pPr>
              <w:tabs>
                <w:tab w:val="left" w:pos="0"/>
                <w:tab w:val="left" w:pos="56"/>
              </w:tabs>
              <w:adjustRightInd w:val="0"/>
              <w:snapToGrid w:val="0"/>
              <w:jc w:val="center"/>
              <w:rPr>
                <w:rFonts w:ascii="宋体" w:cs="宋体"/>
                <w:color w:val="0D0D0D"/>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9" w:type="dxa"/>
            <w:vAlign w:val="center"/>
          </w:tcPr>
          <w:p>
            <w:pPr>
              <w:tabs>
                <w:tab w:val="left" w:pos="0"/>
                <w:tab w:val="left" w:pos="56"/>
              </w:tabs>
              <w:adjustRightInd w:val="0"/>
              <w:snapToGrid w:val="0"/>
              <w:jc w:val="center"/>
              <w:rPr>
                <w:rFonts w:ascii="宋体" w:cs="宋体"/>
                <w:color w:val="0D0D0D"/>
                <w:kern w:val="0"/>
                <w:sz w:val="24"/>
              </w:rPr>
            </w:pPr>
            <w:r>
              <w:rPr>
                <w:rFonts w:ascii="宋体" w:hAnsi="宋体" w:cs="宋体"/>
                <w:color w:val="0D0D0D"/>
                <w:kern w:val="0"/>
                <w:sz w:val="24"/>
              </w:rPr>
              <w:t>7</w:t>
            </w:r>
          </w:p>
        </w:tc>
        <w:tc>
          <w:tcPr>
            <w:tcW w:w="1552" w:type="dxa"/>
          </w:tcPr>
          <w:p>
            <w:pPr>
              <w:tabs>
                <w:tab w:val="left" w:pos="0"/>
                <w:tab w:val="left" w:pos="56"/>
              </w:tabs>
              <w:adjustRightInd w:val="0"/>
              <w:snapToGrid w:val="0"/>
              <w:jc w:val="center"/>
              <w:rPr>
                <w:rFonts w:ascii="宋体" w:cs="宋体"/>
                <w:color w:val="0D0D0D"/>
                <w:kern w:val="0"/>
                <w:sz w:val="24"/>
              </w:rPr>
            </w:pPr>
          </w:p>
        </w:tc>
        <w:tc>
          <w:tcPr>
            <w:tcW w:w="1560" w:type="dxa"/>
            <w:vAlign w:val="center"/>
          </w:tcPr>
          <w:p>
            <w:pPr>
              <w:tabs>
                <w:tab w:val="left" w:pos="0"/>
                <w:tab w:val="left" w:pos="56"/>
              </w:tabs>
              <w:adjustRightInd w:val="0"/>
              <w:snapToGrid w:val="0"/>
              <w:jc w:val="center"/>
              <w:rPr>
                <w:rFonts w:ascii="宋体" w:cs="宋体"/>
                <w:color w:val="0D0D0D"/>
                <w:kern w:val="0"/>
                <w:sz w:val="24"/>
              </w:rPr>
            </w:pPr>
          </w:p>
        </w:tc>
        <w:tc>
          <w:tcPr>
            <w:tcW w:w="1133" w:type="dxa"/>
            <w:vAlign w:val="center"/>
          </w:tcPr>
          <w:p>
            <w:pPr>
              <w:tabs>
                <w:tab w:val="left" w:pos="0"/>
                <w:tab w:val="left" w:pos="56"/>
              </w:tabs>
              <w:adjustRightInd w:val="0"/>
              <w:snapToGrid w:val="0"/>
              <w:jc w:val="center"/>
              <w:rPr>
                <w:rFonts w:ascii="宋体" w:cs="宋体"/>
                <w:color w:val="0D0D0D"/>
                <w:kern w:val="0"/>
                <w:sz w:val="24"/>
              </w:rPr>
            </w:pPr>
          </w:p>
        </w:tc>
        <w:tc>
          <w:tcPr>
            <w:tcW w:w="848" w:type="dxa"/>
            <w:vAlign w:val="center"/>
          </w:tcPr>
          <w:p>
            <w:pPr>
              <w:tabs>
                <w:tab w:val="left" w:pos="0"/>
                <w:tab w:val="left" w:pos="56"/>
              </w:tabs>
              <w:adjustRightInd w:val="0"/>
              <w:snapToGrid w:val="0"/>
              <w:jc w:val="center"/>
              <w:rPr>
                <w:rFonts w:ascii="宋体" w:cs="宋体"/>
                <w:color w:val="0D0D0D"/>
                <w:kern w:val="0"/>
                <w:sz w:val="24"/>
              </w:rPr>
            </w:pPr>
          </w:p>
        </w:tc>
        <w:tc>
          <w:tcPr>
            <w:tcW w:w="1100" w:type="dxa"/>
            <w:vAlign w:val="center"/>
          </w:tcPr>
          <w:p>
            <w:pPr>
              <w:tabs>
                <w:tab w:val="left" w:pos="0"/>
                <w:tab w:val="left" w:pos="56"/>
              </w:tabs>
              <w:adjustRightInd w:val="0"/>
              <w:snapToGrid w:val="0"/>
              <w:jc w:val="center"/>
              <w:rPr>
                <w:rFonts w:ascii="宋体" w:cs="宋体"/>
                <w:color w:val="0D0D0D"/>
                <w:kern w:val="0"/>
                <w:sz w:val="24"/>
              </w:rPr>
            </w:pPr>
          </w:p>
        </w:tc>
        <w:tc>
          <w:tcPr>
            <w:tcW w:w="1134" w:type="dxa"/>
            <w:vAlign w:val="center"/>
          </w:tcPr>
          <w:p>
            <w:pPr>
              <w:tabs>
                <w:tab w:val="left" w:pos="0"/>
                <w:tab w:val="left" w:pos="56"/>
              </w:tabs>
              <w:adjustRightInd w:val="0"/>
              <w:snapToGrid w:val="0"/>
              <w:jc w:val="center"/>
              <w:rPr>
                <w:rFonts w:ascii="宋体" w:cs="宋体"/>
                <w:color w:val="0D0D0D"/>
                <w:kern w:val="0"/>
                <w:sz w:val="24"/>
              </w:rPr>
            </w:pPr>
          </w:p>
        </w:tc>
        <w:tc>
          <w:tcPr>
            <w:tcW w:w="1468" w:type="dxa"/>
            <w:vAlign w:val="center"/>
          </w:tcPr>
          <w:p>
            <w:pPr>
              <w:tabs>
                <w:tab w:val="left" w:pos="0"/>
                <w:tab w:val="left" w:pos="56"/>
              </w:tabs>
              <w:adjustRightInd w:val="0"/>
              <w:snapToGrid w:val="0"/>
              <w:jc w:val="center"/>
              <w:rPr>
                <w:rFonts w:ascii="宋体" w:cs="宋体"/>
                <w:color w:val="0D0D0D"/>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9" w:type="dxa"/>
            <w:vAlign w:val="center"/>
          </w:tcPr>
          <w:p>
            <w:pPr>
              <w:tabs>
                <w:tab w:val="left" w:pos="0"/>
                <w:tab w:val="left" w:pos="56"/>
              </w:tabs>
              <w:adjustRightInd w:val="0"/>
              <w:snapToGrid w:val="0"/>
              <w:jc w:val="center"/>
              <w:rPr>
                <w:rFonts w:ascii="宋体" w:cs="宋体"/>
                <w:color w:val="0D0D0D"/>
                <w:kern w:val="0"/>
                <w:sz w:val="24"/>
              </w:rPr>
            </w:pPr>
            <w:r>
              <w:rPr>
                <w:rFonts w:hint="eastAsia" w:ascii="宋体" w:hAnsi="宋体" w:cs="宋体"/>
                <w:color w:val="0D0D0D"/>
                <w:kern w:val="0"/>
                <w:sz w:val="24"/>
              </w:rPr>
              <w:t>…</w:t>
            </w:r>
          </w:p>
        </w:tc>
        <w:tc>
          <w:tcPr>
            <w:tcW w:w="1552" w:type="dxa"/>
          </w:tcPr>
          <w:p>
            <w:pPr>
              <w:tabs>
                <w:tab w:val="left" w:pos="0"/>
                <w:tab w:val="left" w:pos="56"/>
              </w:tabs>
              <w:adjustRightInd w:val="0"/>
              <w:snapToGrid w:val="0"/>
              <w:jc w:val="center"/>
              <w:rPr>
                <w:rFonts w:ascii="宋体" w:cs="宋体"/>
                <w:color w:val="0D0D0D"/>
                <w:kern w:val="0"/>
                <w:sz w:val="24"/>
              </w:rPr>
            </w:pPr>
          </w:p>
        </w:tc>
        <w:tc>
          <w:tcPr>
            <w:tcW w:w="1560" w:type="dxa"/>
            <w:vAlign w:val="center"/>
          </w:tcPr>
          <w:p>
            <w:pPr>
              <w:tabs>
                <w:tab w:val="left" w:pos="0"/>
                <w:tab w:val="left" w:pos="56"/>
              </w:tabs>
              <w:adjustRightInd w:val="0"/>
              <w:snapToGrid w:val="0"/>
              <w:jc w:val="center"/>
              <w:rPr>
                <w:rFonts w:ascii="宋体" w:cs="宋体"/>
                <w:color w:val="0D0D0D"/>
                <w:kern w:val="0"/>
                <w:sz w:val="24"/>
              </w:rPr>
            </w:pPr>
          </w:p>
        </w:tc>
        <w:tc>
          <w:tcPr>
            <w:tcW w:w="1133" w:type="dxa"/>
            <w:vAlign w:val="center"/>
          </w:tcPr>
          <w:p>
            <w:pPr>
              <w:tabs>
                <w:tab w:val="left" w:pos="0"/>
                <w:tab w:val="left" w:pos="56"/>
              </w:tabs>
              <w:adjustRightInd w:val="0"/>
              <w:snapToGrid w:val="0"/>
              <w:jc w:val="center"/>
              <w:rPr>
                <w:rFonts w:ascii="宋体" w:cs="宋体"/>
                <w:color w:val="0D0D0D"/>
                <w:kern w:val="0"/>
                <w:sz w:val="24"/>
              </w:rPr>
            </w:pPr>
          </w:p>
        </w:tc>
        <w:tc>
          <w:tcPr>
            <w:tcW w:w="848" w:type="dxa"/>
            <w:vAlign w:val="center"/>
          </w:tcPr>
          <w:p>
            <w:pPr>
              <w:tabs>
                <w:tab w:val="left" w:pos="0"/>
                <w:tab w:val="left" w:pos="56"/>
              </w:tabs>
              <w:adjustRightInd w:val="0"/>
              <w:snapToGrid w:val="0"/>
              <w:jc w:val="center"/>
              <w:rPr>
                <w:rFonts w:ascii="宋体" w:cs="宋体"/>
                <w:color w:val="0D0D0D"/>
                <w:kern w:val="0"/>
                <w:sz w:val="24"/>
              </w:rPr>
            </w:pPr>
          </w:p>
        </w:tc>
        <w:tc>
          <w:tcPr>
            <w:tcW w:w="1100" w:type="dxa"/>
            <w:vAlign w:val="center"/>
          </w:tcPr>
          <w:p>
            <w:pPr>
              <w:tabs>
                <w:tab w:val="left" w:pos="0"/>
                <w:tab w:val="left" w:pos="56"/>
              </w:tabs>
              <w:adjustRightInd w:val="0"/>
              <w:snapToGrid w:val="0"/>
              <w:jc w:val="center"/>
              <w:rPr>
                <w:rFonts w:ascii="宋体" w:cs="宋体"/>
                <w:color w:val="0D0D0D"/>
                <w:kern w:val="0"/>
                <w:sz w:val="24"/>
              </w:rPr>
            </w:pPr>
          </w:p>
        </w:tc>
        <w:tc>
          <w:tcPr>
            <w:tcW w:w="1134" w:type="dxa"/>
            <w:vAlign w:val="center"/>
          </w:tcPr>
          <w:p>
            <w:pPr>
              <w:tabs>
                <w:tab w:val="left" w:pos="0"/>
                <w:tab w:val="left" w:pos="56"/>
              </w:tabs>
              <w:adjustRightInd w:val="0"/>
              <w:snapToGrid w:val="0"/>
              <w:jc w:val="center"/>
              <w:rPr>
                <w:rFonts w:ascii="宋体" w:cs="宋体"/>
                <w:color w:val="0D0D0D"/>
                <w:kern w:val="0"/>
                <w:sz w:val="24"/>
              </w:rPr>
            </w:pPr>
          </w:p>
        </w:tc>
        <w:tc>
          <w:tcPr>
            <w:tcW w:w="1468" w:type="dxa"/>
            <w:vAlign w:val="center"/>
          </w:tcPr>
          <w:p>
            <w:pPr>
              <w:tabs>
                <w:tab w:val="left" w:pos="0"/>
                <w:tab w:val="left" w:pos="56"/>
              </w:tabs>
              <w:adjustRightInd w:val="0"/>
              <w:snapToGrid w:val="0"/>
              <w:jc w:val="center"/>
              <w:rPr>
                <w:rFonts w:ascii="宋体" w:cs="宋体"/>
                <w:color w:val="0D0D0D"/>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12" w:type="dxa"/>
            <w:gridSpan w:val="6"/>
          </w:tcPr>
          <w:p>
            <w:pPr>
              <w:spacing w:line="360" w:lineRule="auto"/>
              <w:jc w:val="center"/>
              <w:rPr>
                <w:rFonts w:ascii="宋体"/>
                <w:bCs/>
                <w:sz w:val="24"/>
              </w:rPr>
            </w:pPr>
            <w:r>
              <w:rPr>
                <w:rFonts w:hint="eastAsia" w:ascii="宋体" w:hAnsi="宋体"/>
                <w:bCs/>
                <w:sz w:val="24"/>
              </w:rPr>
              <w:t>合计</w:t>
            </w:r>
          </w:p>
        </w:tc>
        <w:tc>
          <w:tcPr>
            <w:tcW w:w="2602" w:type="dxa"/>
            <w:gridSpan w:val="2"/>
            <w:vAlign w:val="center"/>
          </w:tcPr>
          <w:p>
            <w:pPr>
              <w:spacing w:line="360" w:lineRule="auto"/>
              <w:jc w:val="left"/>
              <w:rPr>
                <w:rFonts w:ascii="宋体"/>
                <w:bCs/>
                <w:sz w:val="24"/>
              </w:rPr>
            </w:pPr>
          </w:p>
        </w:tc>
      </w:tr>
    </w:tbl>
    <w:p>
      <w:pPr>
        <w:spacing w:line="360" w:lineRule="auto"/>
        <w:ind w:left="1049" w:hanging="1048" w:hangingChars="437"/>
        <w:jc w:val="left"/>
        <w:rPr>
          <w:rFonts w:ascii="宋体"/>
          <w:sz w:val="24"/>
        </w:rPr>
      </w:pPr>
      <w:r>
        <w:rPr>
          <w:rFonts w:hint="eastAsia" w:ascii="宋体" w:hAnsi="宋体"/>
          <w:sz w:val="24"/>
        </w:rPr>
        <w:t>说明：</w:t>
      </w:r>
      <w:r>
        <w:rPr>
          <w:rFonts w:ascii="宋体" w:hAnsi="宋体"/>
          <w:sz w:val="24"/>
        </w:rPr>
        <w:t>1</w:t>
      </w:r>
      <w:r>
        <w:rPr>
          <w:rFonts w:hint="eastAsia" w:ascii="宋体" w:hAnsi="宋体"/>
          <w:sz w:val="24"/>
          <w:szCs w:val="24"/>
        </w:rPr>
        <w:t>．</w:t>
      </w:r>
      <w:r>
        <w:rPr>
          <w:rFonts w:hint="eastAsia" w:ascii="宋体" w:hAnsi="宋体"/>
          <w:sz w:val="24"/>
        </w:rPr>
        <w:t>所有价格均用人民币表示，单位为元。</w:t>
      </w:r>
    </w:p>
    <w:p>
      <w:pPr>
        <w:spacing w:line="360" w:lineRule="auto"/>
        <w:ind w:left="1061" w:leftChars="339" w:hanging="350" w:hangingChars="146"/>
        <w:jc w:val="left"/>
        <w:rPr>
          <w:rFonts w:ascii="宋体"/>
          <w:sz w:val="24"/>
        </w:rPr>
      </w:pPr>
      <w:r>
        <w:rPr>
          <w:rFonts w:ascii="宋体" w:hAnsi="宋体"/>
          <w:sz w:val="24"/>
        </w:rPr>
        <w:t>2</w:t>
      </w:r>
      <w:r>
        <w:rPr>
          <w:rFonts w:hint="eastAsia" w:ascii="宋体" w:hAnsi="宋体"/>
          <w:sz w:val="24"/>
          <w:szCs w:val="24"/>
        </w:rPr>
        <w:t>．</w:t>
      </w:r>
      <w:r>
        <w:rPr>
          <w:rFonts w:hint="eastAsia" w:ascii="宋体" w:hAnsi="宋体"/>
          <w:color w:val="0D0D0D"/>
          <w:sz w:val="24"/>
        </w:rPr>
        <w:t>投标人</w:t>
      </w:r>
      <w:r>
        <w:rPr>
          <w:rFonts w:hint="eastAsia" w:ascii="宋体" w:hAnsi="宋体"/>
          <w:sz w:val="24"/>
        </w:rPr>
        <w:t>提供的相关证明文件对应页码填写到上表“投标文件对应的页码”中。</w:t>
      </w:r>
      <w:r>
        <w:rPr>
          <w:rFonts w:hint="eastAsia" w:ascii="宋体" w:hAnsi="宋体" w:cs="Corbel"/>
          <w:sz w:val="24"/>
        </w:rPr>
        <w:t>如未提供页码或内容页码完全不一致的，</w:t>
      </w:r>
      <w:r>
        <w:rPr>
          <w:rFonts w:hint="eastAsia" w:ascii="宋体" w:hAnsi="宋体"/>
          <w:sz w:val="24"/>
        </w:rPr>
        <w:t>导致的后果由投标人自行承担。</w:t>
      </w:r>
    </w:p>
    <w:p>
      <w:pPr>
        <w:adjustRightInd w:val="0"/>
        <w:snapToGrid w:val="0"/>
        <w:spacing w:line="360" w:lineRule="auto"/>
        <w:ind w:left="767" w:leftChars="194" w:hanging="360" w:hangingChars="150"/>
        <w:rPr>
          <w:rFonts w:ascii="宋体"/>
          <w:sz w:val="24"/>
        </w:rPr>
      </w:pPr>
    </w:p>
    <w:p>
      <w:pPr>
        <w:adjustRightInd w:val="0"/>
        <w:snapToGrid w:val="0"/>
        <w:spacing w:line="360" w:lineRule="auto"/>
        <w:ind w:left="767" w:leftChars="194" w:hanging="360" w:hangingChars="150"/>
        <w:rPr>
          <w:rFonts w:ascii="宋体"/>
          <w:sz w:val="24"/>
        </w:rPr>
      </w:pPr>
    </w:p>
    <w:p>
      <w:pPr>
        <w:adjustRightInd w:val="0"/>
        <w:snapToGrid w:val="0"/>
        <w:spacing w:line="360" w:lineRule="auto"/>
        <w:ind w:left="767" w:leftChars="194" w:hanging="360" w:hangingChars="150"/>
        <w:rPr>
          <w:rFonts w:ascii="宋体"/>
          <w:sz w:val="24"/>
        </w:rPr>
      </w:pPr>
    </w:p>
    <w:p>
      <w:pPr>
        <w:adjustRightInd w:val="0"/>
        <w:snapToGrid w:val="0"/>
        <w:spacing w:line="360" w:lineRule="auto"/>
        <w:ind w:left="767" w:leftChars="194" w:hanging="360" w:hangingChars="150"/>
        <w:rPr>
          <w:rFonts w:ascii="宋体"/>
          <w:sz w:val="24"/>
        </w:rPr>
      </w:pPr>
    </w:p>
    <w:p>
      <w:pPr>
        <w:adjustRightInd w:val="0"/>
        <w:snapToGrid w:val="0"/>
        <w:spacing w:line="360" w:lineRule="auto"/>
        <w:ind w:left="767" w:leftChars="194" w:hanging="360" w:hangingChars="150"/>
        <w:rPr>
          <w:rFonts w:ascii="宋体"/>
          <w:sz w:val="24"/>
        </w:rPr>
      </w:pPr>
    </w:p>
    <w:p>
      <w:pPr>
        <w:spacing w:before="100" w:beforeAutospacing="1" w:after="100" w:afterAutospacing="1" w:line="360" w:lineRule="auto"/>
        <w:ind w:firstLine="3316" w:firstLineChars="1382"/>
        <w:rPr>
          <w:rFonts w:hAnsi="宋体"/>
          <w:b/>
          <w:bCs/>
          <w:sz w:val="24"/>
          <w:u w:val="single"/>
        </w:rPr>
      </w:pPr>
      <w:r>
        <w:rPr>
          <w:rFonts w:hint="eastAsia" w:hAnsi="宋体"/>
          <w:b/>
          <w:bCs/>
          <w:sz w:val="24"/>
        </w:rPr>
        <w:t>投标人（公章）：</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投标人</w:t>
      </w:r>
      <w:r>
        <w:rPr>
          <w:rFonts w:hint="eastAsia" w:hAnsi="宋体"/>
          <w:b/>
          <w:bCs/>
          <w:sz w:val="24"/>
        </w:rPr>
        <w:t>授权代表（签字）：</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w:t>
      </w:r>
      <w:r>
        <w:rPr>
          <w:rFonts w:hint="eastAsia" w:hAnsi="宋体"/>
          <w:b/>
          <w:bCs/>
          <w:sz w:val="24"/>
        </w:rPr>
        <w:t>时间：</w:t>
      </w:r>
    </w:p>
    <w:p>
      <w:r>
        <w:br w:type="page"/>
      </w:r>
    </w:p>
    <w:p>
      <w:pPr>
        <w:pStyle w:val="4"/>
        <w:numPr>
          <w:ilvl w:val="0"/>
          <w:numId w:val="61"/>
        </w:numPr>
        <w:spacing w:before="100" w:beforeAutospacing="1" w:afterLines="50" w:line="360" w:lineRule="auto"/>
        <w:ind w:left="1288" w:hanging="1288"/>
        <w:rPr>
          <w:rFonts w:ascii="宋体"/>
        </w:rPr>
      </w:pPr>
      <w:bookmarkStart w:id="172" w:name="_Toc494665008"/>
      <w:bookmarkStart w:id="173" w:name="_Toc494721108"/>
      <w:bookmarkStart w:id="174" w:name="_Toc494665958"/>
      <w:bookmarkStart w:id="175" w:name="_Toc494665561"/>
      <w:bookmarkStart w:id="176" w:name="_Toc494702278"/>
      <w:bookmarkStart w:id="177" w:name="_Toc494745325"/>
      <w:bookmarkStart w:id="178" w:name="_Toc106268635"/>
      <w:r>
        <w:rPr>
          <w:rFonts w:hint="eastAsia" w:ascii="宋体" w:hAnsi="宋体"/>
        </w:rPr>
        <w:t>投标货物（工程或服务）清单</w:t>
      </w:r>
      <w:bookmarkEnd w:id="172"/>
      <w:bookmarkEnd w:id="173"/>
      <w:bookmarkEnd w:id="174"/>
      <w:bookmarkEnd w:id="175"/>
      <w:bookmarkEnd w:id="176"/>
      <w:bookmarkEnd w:id="177"/>
      <w:bookmarkEnd w:id="178"/>
    </w:p>
    <w:p>
      <w:pPr>
        <w:adjustRightInd w:val="0"/>
        <w:snapToGrid w:val="0"/>
        <w:spacing w:line="360" w:lineRule="auto"/>
        <w:rPr>
          <w:rFonts w:ascii="宋体"/>
          <w:b/>
          <w:sz w:val="24"/>
        </w:rPr>
      </w:pPr>
      <w:r>
        <w:rPr>
          <w:rFonts w:hint="eastAsia" w:ascii="宋体" w:hAnsi="宋体"/>
          <w:b/>
          <w:sz w:val="24"/>
        </w:rPr>
        <w:t>投标人：</w:t>
      </w:r>
    </w:p>
    <w:p>
      <w:pPr>
        <w:adjustRightInd w:val="0"/>
        <w:snapToGrid w:val="0"/>
        <w:spacing w:line="360" w:lineRule="auto"/>
        <w:rPr>
          <w:rFonts w:ascii="宋体"/>
          <w:b/>
          <w:color w:val="FF0000"/>
          <w:sz w:val="24"/>
        </w:rPr>
      </w:pPr>
      <w:r>
        <w:rPr>
          <w:rFonts w:hint="eastAsia" w:ascii="宋体" w:hAnsi="宋体"/>
          <w:b/>
          <w:sz w:val="24"/>
          <w:szCs w:val="21"/>
          <w:lang w:val="zh-CN"/>
        </w:rPr>
        <w:t>项目编号：</w:t>
      </w:r>
      <w:r>
        <w:rPr>
          <w:rFonts w:hint="eastAsia" w:ascii="宋体" w:hAnsi="宋体"/>
          <w:b/>
          <w:bCs/>
          <w:sz w:val="24"/>
          <w:szCs w:val="21"/>
          <w:lang w:val="zh-CN"/>
        </w:rPr>
        <w:t>所投包号：</w:t>
      </w:r>
    </w:p>
    <w:tbl>
      <w:tblPr>
        <w:tblStyle w:val="28"/>
        <w:tblW w:w="9370"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45"/>
        <w:gridCol w:w="2722"/>
        <w:gridCol w:w="2459"/>
        <w:gridCol w:w="851"/>
        <w:gridCol w:w="259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45" w:type="dxa"/>
            <w:tcBorders>
              <w:top w:val="single" w:color="auto" w:sz="4" w:space="0"/>
              <w:bottom w:val="single" w:color="auto" w:sz="4" w:space="0"/>
              <w:right w:val="single" w:color="auto" w:sz="4" w:space="0"/>
            </w:tcBorders>
            <w:shd w:val="clear" w:color="auto" w:fill="F2F2F2"/>
            <w:vAlign w:val="center"/>
          </w:tcPr>
          <w:p>
            <w:pPr>
              <w:spacing w:line="360" w:lineRule="auto"/>
              <w:ind w:left="-23" w:leftChars="-11" w:right="-84" w:rightChars="-40"/>
              <w:jc w:val="center"/>
              <w:rPr>
                <w:rFonts w:ascii="宋体" w:cs="宋体"/>
                <w:color w:val="0D0D0D"/>
                <w:kern w:val="0"/>
                <w:sz w:val="24"/>
              </w:rPr>
            </w:pPr>
            <w:r>
              <w:rPr>
                <w:rFonts w:hint="eastAsia" w:ascii="宋体" w:hAnsi="宋体" w:cs="宋体"/>
                <w:color w:val="0D0D0D"/>
                <w:kern w:val="0"/>
                <w:sz w:val="24"/>
              </w:rPr>
              <w:t>序号</w:t>
            </w:r>
          </w:p>
        </w:tc>
        <w:tc>
          <w:tcPr>
            <w:tcW w:w="2722" w:type="dxa"/>
            <w:tcBorders>
              <w:top w:val="single" w:color="auto" w:sz="4" w:space="0"/>
              <w:left w:val="single" w:color="auto" w:sz="4" w:space="0"/>
              <w:bottom w:val="single" w:color="auto" w:sz="4" w:space="0"/>
              <w:right w:val="single" w:color="auto" w:sz="4" w:space="0"/>
            </w:tcBorders>
            <w:shd w:val="clear" w:color="auto" w:fill="F2F2F2"/>
            <w:vAlign w:val="center"/>
          </w:tcPr>
          <w:p>
            <w:pPr>
              <w:spacing w:line="360" w:lineRule="auto"/>
              <w:ind w:left="-23" w:leftChars="-11" w:right="-65" w:rightChars="-31"/>
              <w:jc w:val="center"/>
              <w:rPr>
                <w:rFonts w:ascii="宋体" w:cs="宋体"/>
                <w:color w:val="0D0D0D"/>
                <w:kern w:val="0"/>
                <w:sz w:val="24"/>
              </w:rPr>
            </w:pPr>
            <w:r>
              <w:rPr>
                <w:rFonts w:hint="eastAsia" w:ascii="宋体" w:hAnsi="宋体" w:cs="宋体"/>
                <w:color w:val="0D0D0D"/>
                <w:kern w:val="0"/>
                <w:sz w:val="24"/>
              </w:rPr>
              <w:t>货物（工程或服务）名称</w:t>
            </w:r>
          </w:p>
        </w:tc>
        <w:tc>
          <w:tcPr>
            <w:tcW w:w="2459" w:type="dxa"/>
            <w:tcBorders>
              <w:top w:val="single" w:color="auto" w:sz="4" w:space="0"/>
              <w:left w:val="single" w:color="auto" w:sz="4" w:space="0"/>
              <w:bottom w:val="single" w:color="auto" w:sz="4" w:space="0"/>
              <w:right w:val="single" w:color="auto" w:sz="4" w:space="0"/>
            </w:tcBorders>
            <w:shd w:val="clear" w:color="auto" w:fill="F2F2F2"/>
            <w:vAlign w:val="center"/>
          </w:tcPr>
          <w:p>
            <w:pPr>
              <w:spacing w:line="360" w:lineRule="auto"/>
              <w:ind w:left="-23" w:leftChars="-11" w:right="-65" w:rightChars="-31"/>
              <w:jc w:val="center"/>
              <w:rPr>
                <w:rFonts w:ascii="宋体" w:cs="宋体"/>
                <w:color w:val="0D0D0D"/>
                <w:kern w:val="0"/>
                <w:sz w:val="24"/>
              </w:rPr>
            </w:pPr>
            <w:r>
              <w:rPr>
                <w:rFonts w:hint="eastAsia" w:ascii="宋体" w:hAnsi="宋体" w:cs="宋体"/>
                <w:color w:val="0D0D0D"/>
                <w:kern w:val="0"/>
                <w:sz w:val="24"/>
              </w:rPr>
              <w:t>主要规格、技术参数</w:t>
            </w:r>
          </w:p>
        </w:tc>
        <w:tc>
          <w:tcPr>
            <w:tcW w:w="851" w:type="dxa"/>
            <w:tcBorders>
              <w:top w:val="single" w:color="auto" w:sz="4" w:space="0"/>
              <w:left w:val="single" w:color="auto" w:sz="4" w:space="0"/>
              <w:bottom w:val="single" w:color="auto" w:sz="4" w:space="0"/>
              <w:right w:val="single" w:color="auto" w:sz="4" w:space="0"/>
            </w:tcBorders>
            <w:shd w:val="clear" w:color="auto" w:fill="F2F2F2"/>
            <w:vAlign w:val="center"/>
          </w:tcPr>
          <w:p>
            <w:pPr>
              <w:spacing w:line="360" w:lineRule="auto"/>
              <w:ind w:left="-23" w:leftChars="-11" w:right="-65" w:rightChars="-31"/>
              <w:jc w:val="center"/>
              <w:rPr>
                <w:rFonts w:ascii="宋体" w:cs="宋体"/>
                <w:color w:val="0D0D0D"/>
                <w:kern w:val="0"/>
                <w:sz w:val="24"/>
              </w:rPr>
            </w:pPr>
            <w:r>
              <w:rPr>
                <w:rFonts w:hint="eastAsia" w:ascii="宋体" w:hAnsi="宋体" w:cs="宋体"/>
                <w:color w:val="0D0D0D"/>
                <w:kern w:val="0"/>
                <w:sz w:val="24"/>
              </w:rPr>
              <w:t>数量</w:t>
            </w:r>
          </w:p>
        </w:tc>
        <w:tc>
          <w:tcPr>
            <w:tcW w:w="2593" w:type="dxa"/>
            <w:tcBorders>
              <w:top w:val="single" w:color="auto" w:sz="4" w:space="0"/>
              <w:left w:val="single" w:color="auto" w:sz="4" w:space="0"/>
              <w:bottom w:val="single" w:color="auto" w:sz="4" w:space="0"/>
            </w:tcBorders>
            <w:shd w:val="clear" w:color="auto" w:fill="F2F2F2"/>
            <w:vAlign w:val="center"/>
          </w:tcPr>
          <w:p>
            <w:pPr>
              <w:spacing w:line="360" w:lineRule="auto"/>
              <w:ind w:left="-23" w:leftChars="-11" w:right="-65" w:rightChars="-31"/>
              <w:jc w:val="center"/>
              <w:rPr>
                <w:rFonts w:ascii="宋体" w:cs="宋体"/>
                <w:color w:val="0D0D0D"/>
                <w:kern w:val="0"/>
                <w:sz w:val="24"/>
              </w:rPr>
            </w:pPr>
            <w:r>
              <w:rPr>
                <w:rFonts w:hint="eastAsia" w:ascii="宋体" w:hAnsi="宋体" w:cs="宋体"/>
                <w:color w:val="0D0D0D"/>
                <w:kern w:val="0"/>
                <w:sz w:val="24"/>
              </w:rPr>
              <w:t>制造厂家</w:t>
            </w:r>
            <w:r>
              <w:rPr>
                <w:rFonts w:ascii="宋体" w:hAnsi="宋体" w:cs="宋体"/>
                <w:color w:val="0D0D0D"/>
                <w:kern w:val="0"/>
                <w:sz w:val="24"/>
              </w:rPr>
              <w:t>/</w:t>
            </w:r>
            <w:r>
              <w:rPr>
                <w:rFonts w:hint="eastAsia" w:ascii="宋体" w:hAnsi="宋体" w:cs="宋体"/>
                <w:color w:val="0D0D0D"/>
                <w:kern w:val="0"/>
                <w:sz w:val="24"/>
              </w:rPr>
              <w:t>产地及国家</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45" w:type="dxa"/>
            <w:tcBorders>
              <w:top w:val="single" w:color="auto" w:sz="4" w:space="0"/>
            </w:tcBorders>
            <w:vAlign w:val="center"/>
          </w:tcPr>
          <w:p>
            <w:pPr>
              <w:adjustRightInd w:val="0"/>
              <w:snapToGrid w:val="0"/>
              <w:ind w:left="-88" w:leftChars="-42"/>
              <w:jc w:val="center"/>
              <w:rPr>
                <w:rFonts w:ascii="宋体"/>
                <w:sz w:val="24"/>
              </w:rPr>
            </w:pPr>
            <w:r>
              <w:rPr>
                <w:rFonts w:ascii="宋体" w:hAnsi="宋体"/>
                <w:sz w:val="24"/>
              </w:rPr>
              <w:t>1</w:t>
            </w:r>
          </w:p>
        </w:tc>
        <w:tc>
          <w:tcPr>
            <w:tcW w:w="2722" w:type="dxa"/>
            <w:tcBorders>
              <w:top w:val="single" w:color="auto" w:sz="4" w:space="0"/>
            </w:tcBorders>
            <w:vAlign w:val="center"/>
          </w:tcPr>
          <w:p>
            <w:pPr>
              <w:adjustRightInd w:val="0"/>
              <w:snapToGrid w:val="0"/>
              <w:ind w:left="-88" w:leftChars="-42"/>
              <w:jc w:val="center"/>
              <w:rPr>
                <w:rFonts w:ascii="宋体"/>
                <w:sz w:val="24"/>
              </w:rPr>
            </w:pPr>
          </w:p>
        </w:tc>
        <w:tc>
          <w:tcPr>
            <w:tcW w:w="2459" w:type="dxa"/>
            <w:tcBorders>
              <w:top w:val="single" w:color="auto" w:sz="4" w:space="0"/>
            </w:tcBorders>
            <w:vAlign w:val="center"/>
          </w:tcPr>
          <w:p>
            <w:pPr>
              <w:adjustRightInd w:val="0"/>
              <w:snapToGrid w:val="0"/>
              <w:jc w:val="center"/>
              <w:rPr>
                <w:rFonts w:ascii="宋体"/>
                <w:sz w:val="24"/>
              </w:rPr>
            </w:pPr>
          </w:p>
        </w:tc>
        <w:tc>
          <w:tcPr>
            <w:tcW w:w="851" w:type="dxa"/>
            <w:tcBorders>
              <w:top w:val="single" w:color="auto" w:sz="4" w:space="0"/>
            </w:tcBorders>
            <w:vAlign w:val="center"/>
          </w:tcPr>
          <w:p>
            <w:pPr>
              <w:adjustRightInd w:val="0"/>
              <w:snapToGrid w:val="0"/>
              <w:jc w:val="center"/>
              <w:rPr>
                <w:rFonts w:ascii="宋体"/>
                <w:sz w:val="24"/>
              </w:rPr>
            </w:pPr>
          </w:p>
        </w:tc>
        <w:tc>
          <w:tcPr>
            <w:tcW w:w="2593" w:type="dxa"/>
            <w:tcBorders>
              <w:top w:val="single" w:color="auto" w:sz="4" w:space="0"/>
            </w:tcBorders>
            <w:vAlign w:val="center"/>
          </w:tcPr>
          <w:p>
            <w:pPr>
              <w:adjustRightInd w:val="0"/>
              <w:snapToGrid w:val="0"/>
              <w:jc w:val="center"/>
              <w:rPr>
                <w:rFonts w:asci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45" w:type="dxa"/>
            <w:vAlign w:val="center"/>
          </w:tcPr>
          <w:p>
            <w:pPr>
              <w:adjustRightInd w:val="0"/>
              <w:snapToGrid w:val="0"/>
              <w:ind w:left="-88" w:leftChars="-42"/>
              <w:jc w:val="center"/>
              <w:rPr>
                <w:rFonts w:ascii="宋体"/>
                <w:sz w:val="24"/>
              </w:rPr>
            </w:pPr>
            <w:r>
              <w:rPr>
                <w:rFonts w:ascii="宋体" w:hAnsi="宋体"/>
                <w:sz w:val="24"/>
              </w:rPr>
              <w:t>2</w:t>
            </w:r>
          </w:p>
        </w:tc>
        <w:tc>
          <w:tcPr>
            <w:tcW w:w="2722" w:type="dxa"/>
            <w:vAlign w:val="center"/>
          </w:tcPr>
          <w:p>
            <w:pPr>
              <w:adjustRightInd w:val="0"/>
              <w:snapToGrid w:val="0"/>
              <w:ind w:left="-88" w:leftChars="-42"/>
              <w:jc w:val="center"/>
              <w:rPr>
                <w:rFonts w:ascii="宋体"/>
                <w:sz w:val="24"/>
              </w:rPr>
            </w:pPr>
          </w:p>
        </w:tc>
        <w:tc>
          <w:tcPr>
            <w:tcW w:w="2459" w:type="dxa"/>
            <w:vAlign w:val="center"/>
          </w:tcPr>
          <w:p>
            <w:pPr>
              <w:adjustRightInd w:val="0"/>
              <w:snapToGrid w:val="0"/>
              <w:jc w:val="center"/>
              <w:rPr>
                <w:rFonts w:ascii="宋体"/>
                <w:sz w:val="24"/>
              </w:rPr>
            </w:pPr>
          </w:p>
        </w:tc>
        <w:tc>
          <w:tcPr>
            <w:tcW w:w="851" w:type="dxa"/>
            <w:vAlign w:val="center"/>
          </w:tcPr>
          <w:p>
            <w:pPr>
              <w:adjustRightInd w:val="0"/>
              <w:snapToGrid w:val="0"/>
              <w:jc w:val="center"/>
              <w:rPr>
                <w:rFonts w:ascii="宋体"/>
                <w:sz w:val="24"/>
              </w:rPr>
            </w:pPr>
          </w:p>
        </w:tc>
        <w:tc>
          <w:tcPr>
            <w:tcW w:w="2593" w:type="dxa"/>
            <w:vAlign w:val="center"/>
          </w:tcPr>
          <w:p>
            <w:pPr>
              <w:adjustRightInd w:val="0"/>
              <w:snapToGrid w:val="0"/>
              <w:jc w:val="center"/>
              <w:rPr>
                <w:rFonts w:asci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45" w:type="dxa"/>
            <w:vAlign w:val="center"/>
          </w:tcPr>
          <w:p>
            <w:pPr>
              <w:adjustRightInd w:val="0"/>
              <w:snapToGrid w:val="0"/>
              <w:ind w:left="-88" w:leftChars="-42"/>
              <w:jc w:val="center"/>
              <w:rPr>
                <w:rFonts w:ascii="宋体"/>
                <w:sz w:val="24"/>
              </w:rPr>
            </w:pPr>
            <w:r>
              <w:rPr>
                <w:rFonts w:ascii="宋体" w:hAnsi="宋体"/>
                <w:sz w:val="24"/>
              </w:rPr>
              <w:t>3</w:t>
            </w:r>
          </w:p>
        </w:tc>
        <w:tc>
          <w:tcPr>
            <w:tcW w:w="2722" w:type="dxa"/>
            <w:vAlign w:val="center"/>
          </w:tcPr>
          <w:p>
            <w:pPr>
              <w:adjustRightInd w:val="0"/>
              <w:snapToGrid w:val="0"/>
              <w:ind w:left="-88" w:leftChars="-42"/>
              <w:jc w:val="center"/>
              <w:rPr>
                <w:rFonts w:ascii="宋体"/>
                <w:sz w:val="24"/>
              </w:rPr>
            </w:pPr>
          </w:p>
        </w:tc>
        <w:tc>
          <w:tcPr>
            <w:tcW w:w="2459" w:type="dxa"/>
            <w:vAlign w:val="center"/>
          </w:tcPr>
          <w:p>
            <w:pPr>
              <w:adjustRightInd w:val="0"/>
              <w:snapToGrid w:val="0"/>
              <w:ind w:left="-88" w:leftChars="-42"/>
              <w:jc w:val="center"/>
              <w:rPr>
                <w:rFonts w:ascii="宋体"/>
                <w:sz w:val="24"/>
              </w:rPr>
            </w:pPr>
          </w:p>
        </w:tc>
        <w:tc>
          <w:tcPr>
            <w:tcW w:w="851" w:type="dxa"/>
            <w:vAlign w:val="center"/>
          </w:tcPr>
          <w:p>
            <w:pPr>
              <w:adjustRightInd w:val="0"/>
              <w:snapToGrid w:val="0"/>
              <w:ind w:left="-88" w:leftChars="-42"/>
              <w:jc w:val="center"/>
              <w:rPr>
                <w:rFonts w:ascii="宋体"/>
                <w:sz w:val="24"/>
              </w:rPr>
            </w:pPr>
          </w:p>
        </w:tc>
        <w:tc>
          <w:tcPr>
            <w:tcW w:w="2593" w:type="dxa"/>
            <w:vAlign w:val="center"/>
          </w:tcPr>
          <w:p>
            <w:pPr>
              <w:adjustRightInd w:val="0"/>
              <w:snapToGrid w:val="0"/>
              <w:ind w:left="-88" w:leftChars="-42"/>
              <w:jc w:val="center"/>
              <w:rPr>
                <w:rFonts w:asci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45" w:type="dxa"/>
            <w:vAlign w:val="center"/>
          </w:tcPr>
          <w:p>
            <w:pPr>
              <w:adjustRightInd w:val="0"/>
              <w:snapToGrid w:val="0"/>
              <w:ind w:left="-88" w:leftChars="-42"/>
              <w:jc w:val="center"/>
              <w:rPr>
                <w:rFonts w:ascii="宋体"/>
                <w:sz w:val="24"/>
              </w:rPr>
            </w:pPr>
            <w:r>
              <w:rPr>
                <w:rFonts w:ascii="宋体" w:hAnsi="宋体"/>
                <w:sz w:val="24"/>
              </w:rPr>
              <w:t>4</w:t>
            </w:r>
          </w:p>
        </w:tc>
        <w:tc>
          <w:tcPr>
            <w:tcW w:w="2722" w:type="dxa"/>
            <w:vAlign w:val="center"/>
          </w:tcPr>
          <w:p>
            <w:pPr>
              <w:adjustRightInd w:val="0"/>
              <w:snapToGrid w:val="0"/>
              <w:ind w:left="-88" w:leftChars="-42"/>
              <w:jc w:val="center"/>
              <w:rPr>
                <w:rFonts w:ascii="宋体"/>
                <w:sz w:val="24"/>
              </w:rPr>
            </w:pPr>
          </w:p>
        </w:tc>
        <w:tc>
          <w:tcPr>
            <w:tcW w:w="2459" w:type="dxa"/>
            <w:vAlign w:val="center"/>
          </w:tcPr>
          <w:p>
            <w:pPr>
              <w:adjustRightInd w:val="0"/>
              <w:snapToGrid w:val="0"/>
              <w:jc w:val="center"/>
              <w:rPr>
                <w:rFonts w:ascii="宋体"/>
                <w:sz w:val="24"/>
              </w:rPr>
            </w:pPr>
          </w:p>
        </w:tc>
        <w:tc>
          <w:tcPr>
            <w:tcW w:w="851" w:type="dxa"/>
            <w:vAlign w:val="center"/>
          </w:tcPr>
          <w:p>
            <w:pPr>
              <w:adjustRightInd w:val="0"/>
              <w:snapToGrid w:val="0"/>
              <w:jc w:val="center"/>
              <w:rPr>
                <w:rFonts w:ascii="宋体"/>
                <w:sz w:val="24"/>
              </w:rPr>
            </w:pPr>
          </w:p>
        </w:tc>
        <w:tc>
          <w:tcPr>
            <w:tcW w:w="2593" w:type="dxa"/>
            <w:vAlign w:val="center"/>
          </w:tcPr>
          <w:p>
            <w:pPr>
              <w:adjustRightInd w:val="0"/>
              <w:snapToGrid w:val="0"/>
              <w:jc w:val="center"/>
              <w:rPr>
                <w:rFonts w:asci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45" w:type="dxa"/>
            <w:vAlign w:val="center"/>
          </w:tcPr>
          <w:p>
            <w:pPr>
              <w:adjustRightInd w:val="0"/>
              <w:snapToGrid w:val="0"/>
              <w:ind w:left="-88" w:leftChars="-42"/>
              <w:jc w:val="center"/>
              <w:rPr>
                <w:rFonts w:ascii="宋体"/>
                <w:sz w:val="24"/>
              </w:rPr>
            </w:pPr>
            <w:r>
              <w:rPr>
                <w:rFonts w:ascii="宋体" w:hAnsi="宋体"/>
                <w:sz w:val="24"/>
              </w:rPr>
              <w:t>5</w:t>
            </w:r>
          </w:p>
        </w:tc>
        <w:tc>
          <w:tcPr>
            <w:tcW w:w="2722" w:type="dxa"/>
            <w:vAlign w:val="center"/>
          </w:tcPr>
          <w:p>
            <w:pPr>
              <w:adjustRightInd w:val="0"/>
              <w:snapToGrid w:val="0"/>
              <w:ind w:left="-88" w:leftChars="-42"/>
              <w:jc w:val="center"/>
              <w:rPr>
                <w:rFonts w:ascii="宋体"/>
                <w:sz w:val="24"/>
              </w:rPr>
            </w:pPr>
          </w:p>
        </w:tc>
        <w:tc>
          <w:tcPr>
            <w:tcW w:w="2459" w:type="dxa"/>
            <w:vAlign w:val="center"/>
          </w:tcPr>
          <w:p>
            <w:pPr>
              <w:adjustRightInd w:val="0"/>
              <w:snapToGrid w:val="0"/>
              <w:jc w:val="center"/>
              <w:rPr>
                <w:rFonts w:ascii="宋体"/>
                <w:sz w:val="24"/>
              </w:rPr>
            </w:pPr>
          </w:p>
        </w:tc>
        <w:tc>
          <w:tcPr>
            <w:tcW w:w="851" w:type="dxa"/>
            <w:vAlign w:val="center"/>
          </w:tcPr>
          <w:p>
            <w:pPr>
              <w:adjustRightInd w:val="0"/>
              <w:snapToGrid w:val="0"/>
              <w:jc w:val="center"/>
              <w:rPr>
                <w:rFonts w:ascii="宋体"/>
                <w:sz w:val="24"/>
              </w:rPr>
            </w:pPr>
          </w:p>
        </w:tc>
        <w:tc>
          <w:tcPr>
            <w:tcW w:w="2593" w:type="dxa"/>
            <w:vAlign w:val="center"/>
          </w:tcPr>
          <w:p>
            <w:pPr>
              <w:adjustRightInd w:val="0"/>
              <w:snapToGrid w:val="0"/>
              <w:jc w:val="center"/>
              <w:rPr>
                <w:rFonts w:asci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45" w:type="dxa"/>
            <w:vAlign w:val="center"/>
          </w:tcPr>
          <w:p>
            <w:pPr>
              <w:adjustRightInd w:val="0"/>
              <w:snapToGrid w:val="0"/>
              <w:ind w:left="-88" w:leftChars="-42"/>
              <w:jc w:val="center"/>
              <w:rPr>
                <w:rFonts w:ascii="宋体"/>
                <w:sz w:val="24"/>
              </w:rPr>
            </w:pPr>
            <w:r>
              <w:rPr>
                <w:rFonts w:ascii="宋体" w:hAnsi="宋体"/>
                <w:sz w:val="24"/>
              </w:rPr>
              <w:t>6</w:t>
            </w:r>
          </w:p>
        </w:tc>
        <w:tc>
          <w:tcPr>
            <w:tcW w:w="2722" w:type="dxa"/>
            <w:vAlign w:val="center"/>
          </w:tcPr>
          <w:p>
            <w:pPr>
              <w:adjustRightInd w:val="0"/>
              <w:snapToGrid w:val="0"/>
              <w:ind w:left="-88" w:leftChars="-42"/>
              <w:jc w:val="center"/>
              <w:rPr>
                <w:rFonts w:ascii="宋体"/>
                <w:sz w:val="24"/>
              </w:rPr>
            </w:pPr>
          </w:p>
        </w:tc>
        <w:tc>
          <w:tcPr>
            <w:tcW w:w="2459" w:type="dxa"/>
            <w:vAlign w:val="center"/>
          </w:tcPr>
          <w:p>
            <w:pPr>
              <w:adjustRightInd w:val="0"/>
              <w:snapToGrid w:val="0"/>
              <w:jc w:val="center"/>
              <w:rPr>
                <w:rFonts w:ascii="宋体"/>
                <w:sz w:val="24"/>
              </w:rPr>
            </w:pPr>
          </w:p>
        </w:tc>
        <w:tc>
          <w:tcPr>
            <w:tcW w:w="851" w:type="dxa"/>
            <w:vAlign w:val="center"/>
          </w:tcPr>
          <w:p>
            <w:pPr>
              <w:adjustRightInd w:val="0"/>
              <w:snapToGrid w:val="0"/>
              <w:jc w:val="center"/>
              <w:rPr>
                <w:rFonts w:ascii="宋体"/>
                <w:sz w:val="24"/>
              </w:rPr>
            </w:pPr>
          </w:p>
        </w:tc>
        <w:tc>
          <w:tcPr>
            <w:tcW w:w="2593" w:type="dxa"/>
            <w:vAlign w:val="center"/>
          </w:tcPr>
          <w:p>
            <w:pPr>
              <w:adjustRightInd w:val="0"/>
              <w:snapToGrid w:val="0"/>
              <w:jc w:val="center"/>
              <w:rPr>
                <w:rFonts w:asci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45" w:type="dxa"/>
            <w:vAlign w:val="center"/>
          </w:tcPr>
          <w:p>
            <w:pPr>
              <w:adjustRightInd w:val="0"/>
              <w:snapToGrid w:val="0"/>
              <w:ind w:left="-88" w:leftChars="-42"/>
              <w:jc w:val="center"/>
              <w:rPr>
                <w:rFonts w:ascii="宋体"/>
                <w:sz w:val="24"/>
              </w:rPr>
            </w:pPr>
            <w:r>
              <w:rPr>
                <w:rFonts w:ascii="宋体" w:hAnsi="宋体"/>
                <w:sz w:val="24"/>
              </w:rPr>
              <w:t>7</w:t>
            </w:r>
          </w:p>
        </w:tc>
        <w:tc>
          <w:tcPr>
            <w:tcW w:w="2722" w:type="dxa"/>
            <w:vAlign w:val="center"/>
          </w:tcPr>
          <w:p>
            <w:pPr>
              <w:adjustRightInd w:val="0"/>
              <w:snapToGrid w:val="0"/>
              <w:ind w:left="-88" w:leftChars="-42"/>
              <w:jc w:val="center"/>
              <w:rPr>
                <w:rFonts w:ascii="宋体"/>
                <w:sz w:val="24"/>
              </w:rPr>
            </w:pPr>
          </w:p>
        </w:tc>
        <w:tc>
          <w:tcPr>
            <w:tcW w:w="2459" w:type="dxa"/>
            <w:vAlign w:val="center"/>
          </w:tcPr>
          <w:p>
            <w:pPr>
              <w:adjustRightInd w:val="0"/>
              <w:snapToGrid w:val="0"/>
              <w:jc w:val="center"/>
              <w:rPr>
                <w:rFonts w:ascii="宋体"/>
                <w:sz w:val="24"/>
              </w:rPr>
            </w:pPr>
          </w:p>
        </w:tc>
        <w:tc>
          <w:tcPr>
            <w:tcW w:w="851" w:type="dxa"/>
            <w:vAlign w:val="center"/>
          </w:tcPr>
          <w:p>
            <w:pPr>
              <w:adjustRightInd w:val="0"/>
              <w:snapToGrid w:val="0"/>
              <w:jc w:val="center"/>
              <w:rPr>
                <w:rFonts w:ascii="宋体"/>
                <w:sz w:val="24"/>
              </w:rPr>
            </w:pPr>
          </w:p>
        </w:tc>
        <w:tc>
          <w:tcPr>
            <w:tcW w:w="2593" w:type="dxa"/>
            <w:vAlign w:val="center"/>
          </w:tcPr>
          <w:p>
            <w:pPr>
              <w:adjustRightInd w:val="0"/>
              <w:snapToGrid w:val="0"/>
              <w:jc w:val="center"/>
              <w:rPr>
                <w:rFonts w:asci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45" w:type="dxa"/>
            <w:tcBorders>
              <w:bottom w:val="single" w:color="auto" w:sz="4" w:space="0"/>
            </w:tcBorders>
            <w:vAlign w:val="center"/>
          </w:tcPr>
          <w:p>
            <w:pPr>
              <w:adjustRightInd w:val="0"/>
              <w:snapToGrid w:val="0"/>
              <w:ind w:left="-88" w:leftChars="-42"/>
              <w:jc w:val="center"/>
              <w:rPr>
                <w:rFonts w:ascii="宋体"/>
                <w:sz w:val="24"/>
              </w:rPr>
            </w:pPr>
            <w:r>
              <w:rPr>
                <w:rFonts w:hint="eastAsia" w:ascii="宋体" w:hAnsi="宋体"/>
                <w:sz w:val="24"/>
              </w:rPr>
              <w:t>…</w:t>
            </w:r>
          </w:p>
        </w:tc>
        <w:tc>
          <w:tcPr>
            <w:tcW w:w="2722" w:type="dxa"/>
            <w:tcBorders>
              <w:bottom w:val="single" w:color="auto" w:sz="4" w:space="0"/>
            </w:tcBorders>
            <w:vAlign w:val="center"/>
          </w:tcPr>
          <w:p>
            <w:pPr>
              <w:adjustRightInd w:val="0"/>
              <w:snapToGrid w:val="0"/>
              <w:ind w:left="-88" w:leftChars="-42"/>
              <w:jc w:val="center"/>
              <w:rPr>
                <w:rFonts w:ascii="宋体"/>
                <w:sz w:val="24"/>
              </w:rPr>
            </w:pPr>
          </w:p>
        </w:tc>
        <w:tc>
          <w:tcPr>
            <w:tcW w:w="2459" w:type="dxa"/>
            <w:tcBorders>
              <w:bottom w:val="single" w:color="auto" w:sz="4" w:space="0"/>
            </w:tcBorders>
            <w:vAlign w:val="center"/>
          </w:tcPr>
          <w:p>
            <w:pPr>
              <w:adjustRightInd w:val="0"/>
              <w:snapToGrid w:val="0"/>
              <w:jc w:val="center"/>
              <w:rPr>
                <w:rFonts w:ascii="宋体"/>
                <w:sz w:val="24"/>
              </w:rPr>
            </w:pPr>
          </w:p>
        </w:tc>
        <w:tc>
          <w:tcPr>
            <w:tcW w:w="851" w:type="dxa"/>
            <w:tcBorders>
              <w:bottom w:val="single" w:color="auto" w:sz="4" w:space="0"/>
            </w:tcBorders>
            <w:vAlign w:val="center"/>
          </w:tcPr>
          <w:p>
            <w:pPr>
              <w:adjustRightInd w:val="0"/>
              <w:snapToGrid w:val="0"/>
              <w:jc w:val="center"/>
              <w:rPr>
                <w:rFonts w:ascii="宋体"/>
                <w:sz w:val="24"/>
              </w:rPr>
            </w:pPr>
          </w:p>
        </w:tc>
        <w:tc>
          <w:tcPr>
            <w:tcW w:w="2593" w:type="dxa"/>
            <w:tcBorders>
              <w:bottom w:val="single" w:color="auto" w:sz="4" w:space="0"/>
            </w:tcBorders>
            <w:vAlign w:val="center"/>
          </w:tcPr>
          <w:p>
            <w:pPr>
              <w:adjustRightInd w:val="0"/>
              <w:snapToGrid w:val="0"/>
              <w:jc w:val="center"/>
              <w:rPr>
                <w:rFonts w:ascii="宋体"/>
                <w:sz w:val="24"/>
              </w:rPr>
            </w:pPr>
          </w:p>
        </w:tc>
      </w:tr>
    </w:tbl>
    <w:p>
      <w:pPr>
        <w:spacing w:line="360" w:lineRule="auto"/>
        <w:ind w:left="1078" w:hanging="1077" w:hangingChars="449"/>
        <w:jc w:val="left"/>
        <w:rPr>
          <w:rFonts w:ascii="宋体"/>
          <w:sz w:val="24"/>
        </w:rPr>
      </w:pPr>
      <w:r>
        <w:rPr>
          <w:rFonts w:hint="eastAsia" w:ascii="宋体" w:hAnsi="宋体"/>
          <w:sz w:val="24"/>
        </w:rPr>
        <w:t>说明：</w:t>
      </w:r>
      <w:r>
        <w:rPr>
          <w:rFonts w:ascii="宋体" w:hAnsi="宋体"/>
          <w:sz w:val="24"/>
        </w:rPr>
        <w:t>1</w:t>
      </w:r>
      <w:r>
        <w:rPr>
          <w:rFonts w:hint="eastAsia" w:ascii="宋体" w:hAnsi="宋体"/>
          <w:sz w:val="24"/>
        </w:rPr>
        <w:t>．此表为货物（工程或服务）清单，投标人应提供所投货物（工程或服务）详细的供货（工程或服务）范围，包括主要配件及生产厂家、备品备件等。</w:t>
      </w:r>
    </w:p>
    <w:p>
      <w:pPr>
        <w:spacing w:line="360" w:lineRule="auto"/>
        <w:ind w:left="1061" w:leftChars="339" w:hanging="350" w:hangingChars="146"/>
        <w:jc w:val="left"/>
        <w:rPr>
          <w:rFonts w:ascii="宋体"/>
          <w:sz w:val="24"/>
        </w:rPr>
      </w:pPr>
      <w:r>
        <w:rPr>
          <w:rFonts w:ascii="宋体" w:hAnsi="宋体"/>
          <w:sz w:val="24"/>
        </w:rPr>
        <w:t>2</w:t>
      </w:r>
      <w:r>
        <w:rPr>
          <w:rFonts w:hint="eastAsia" w:ascii="宋体" w:hAnsi="宋体"/>
          <w:sz w:val="24"/>
        </w:rPr>
        <w:t>．各项货物（工程或服务）详细技术规格、参数及要求性能，应另页描述。</w:t>
      </w:r>
    </w:p>
    <w:p>
      <w:pPr>
        <w:adjustRightInd w:val="0"/>
        <w:snapToGrid w:val="0"/>
        <w:spacing w:line="360" w:lineRule="auto"/>
        <w:ind w:left="767" w:leftChars="194" w:hanging="360" w:hangingChars="150"/>
        <w:rPr>
          <w:rFonts w:ascii="宋体"/>
          <w:sz w:val="24"/>
        </w:rPr>
      </w:pPr>
    </w:p>
    <w:p>
      <w:pPr>
        <w:adjustRightInd w:val="0"/>
        <w:snapToGrid w:val="0"/>
        <w:spacing w:line="360" w:lineRule="auto"/>
        <w:ind w:left="767" w:leftChars="194" w:hanging="360" w:hangingChars="150"/>
        <w:rPr>
          <w:rFonts w:ascii="宋体"/>
          <w:sz w:val="24"/>
        </w:rPr>
      </w:pPr>
    </w:p>
    <w:p>
      <w:pPr>
        <w:adjustRightInd w:val="0"/>
        <w:snapToGrid w:val="0"/>
        <w:spacing w:line="360" w:lineRule="auto"/>
        <w:ind w:left="767" w:leftChars="194" w:hanging="360" w:hangingChars="150"/>
        <w:rPr>
          <w:rFonts w:ascii="宋体"/>
          <w:sz w:val="24"/>
        </w:rPr>
      </w:pPr>
    </w:p>
    <w:p>
      <w:pPr>
        <w:adjustRightInd w:val="0"/>
        <w:snapToGrid w:val="0"/>
        <w:spacing w:line="360" w:lineRule="auto"/>
        <w:ind w:left="767" w:leftChars="194" w:hanging="360" w:hangingChars="150"/>
        <w:rPr>
          <w:rFonts w:ascii="宋体"/>
          <w:sz w:val="24"/>
        </w:rPr>
      </w:pPr>
    </w:p>
    <w:p>
      <w:pPr>
        <w:spacing w:before="100" w:beforeAutospacing="1" w:after="100" w:afterAutospacing="1" w:line="360" w:lineRule="auto"/>
        <w:ind w:firstLine="3316" w:firstLineChars="1382"/>
        <w:rPr>
          <w:rFonts w:hAnsi="宋体"/>
          <w:b/>
          <w:bCs/>
          <w:sz w:val="24"/>
          <w:u w:val="single"/>
        </w:rPr>
      </w:pPr>
      <w:r>
        <w:rPr>
          <w:rFonts w:hint="eastAsia" w:hAnsi="宋体"/>
          <w:b/>
          <w:bCs/>
          <w:sz w:val="24"/>
        </w:rPr>
        <w:t>投标人（公章）：</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投标人</w:t>
      </w:r>
      <w:r>
        <w:rPr>
          <w:rFonts w:hint="eastAsia" w:hAnsi="宋体"/>
          <w:b/>
          <w:bCs/>
          <w:sz w:val="24"/>
        </w:rPr>
        <w:t>授权代表（签字）：</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w:t>
      </w:r>
      <w:r>
        <w:rPr>
          <w:rFonts w:hint="eastAsia" w:hAnsi="宋体"/>
          <w:b/>
          <w:bCs/>
          <w:sz w:val="24"/>
        </w:rPr>
        <w:t>时间：</w:t>
      </w:r>
    </w:p>
    <w:p>
      <w:r>
        <w:br w:type="page"/>
      </w:r>
    </w:p>
    <w:p>
      <w:pPr>
        <w:pStyle w:val="4"/>
        <w:numPr>
          <w:ilvl w:val="0"/>
          <w:numId w:val="61"/>
        </w:numPr>
        <w:spacing w:before="100" w:beforeAutospacing="1" w:afterLines="50" w:line="360" w:lineRule="auto"/>
        <w:ind w:left="1288" w:hanging="1288"/>
        <w:rPr>
          <w:rFonts w:ascii="宋体"/>
          <w:color w:val="FF0000"/>
        </w:rPr>
      </w:pPr>
      <w:bookmarkStart w:id="179" w:name="_Toc494665959"/>
      <w:bookmarkStart w:id="180" w:name="_Toc494702279"/>
      <w:bookmarkStart w:id="181" w:name="_Toc494665009"/>
      <w:bookmarkStart w:id="182" w:name="_Toc494721109"/>
      <w:bookmarkStart w:id="183" w:name="_Toc494745326"/>
      <w:bookmarkStart w:id="184" w:name="_Toc494665562"/>
      <w:bookmarkStart w:id="185" w:name="_Toc106268636"/>
      <w:r>
        <w:rPr>
          <w:rFonts w:hint="eastAsia" w:ascii="宋体" w:hAnsi="宋体"/>
        </w:rPr>
        <w:t>交纳投标保证金的银行凭证</w:t>
      </w:r>
      <w:bookmarkEnd w:id="179"/>
      <w:bookmarkEnd w:id="180"/>
      <w:bookmarkEnd w:id="181"/>
      <w:bookmarkEnd w:id="182"/>
      <w:bookmarkEnd w:id="183"/>
      <w:bookmarkEnd w:id="184"/>
      <w:r>
        <w:rPr>
          <w:rFonts w:hint="eastAsia" w:ascii="宋体" w:hAnsi="宋体"/>
          <w:color w:val="FF0000"/>
        </w:rPr>
        <w:t>（不适用）</w:t>
      </w:r>
      <w:bookmarkEnd w:id="185"/>
    </w:p>
    <w:p>
      <w:pPr>
        <w:spacing w:line="480" w:lineRule="auto"/>
        <w:rPr>
          <w:rFonts w:ascii="宋体" w:cs="Courier New"/>
          <w:b/>
          <w:sz w:val="28"/>
          <w:szCs w:val="28"/>
        </w:rPr>
      </w:pPr>
      <w:r>
        <w:rPr>
          <w:rFonts w:hint="eastAsia"/>
          <w:b/>
          <w:sz w:val="28"/>
          <w:szCs w:val="28"/>
        </w:rPr>
        <w:t>采购人</w:t>
      </w:r>
      <w:r>
        <w:rPr>
          <w:rFonts w:hint="eastAsia"/>
          <w:b/>
          <w:color w:val="FF0000"/>
          <w:sz w:val="28"/>
          <w:szCs w:val="28"/>
        </w:rPr>
        <w:t>（或代理公司）</w:t>
      </w:r>
      <w:r>
        <w:rPr>
          <w:rFonts w:hint="eastAsia" w:ascii="宋体" w:hAnsi="宋体" w:cs="Courier New"/>
          <w:b/>
          <w:sz w:val="28"/>
          <w:szCs w:val="28"/>
        </w:rPr>
        <w:t>：</w:t>
      </w:r>
    </w:p>
    <w:p>
      <w:pPr>
        <w:spacing w:line="360" w:lineRule="auto"/>
        <w:ind w:firstLine="489" w:firstLineChars="204"/>
        <w:jc w:val="left"/>
        <w:rPr>
          <w:rFonts w:ascii="宋体"/>
          <w:sz w:val="24"/>
          <w:szCs w:val="21"/>
          <w:lang w:val="zh-CN"/>
        </w:rPr>
      </w:pPr>
      <w:r>
        <w:rPr>
          <w:rFonts w:hint="eastAsia" w:ascii="宋体" w:hAnsi="宋体"/>
          <w:sz w:val="24"/>
          <w:szCs w:val="21"/>
          <w:u w:val="single"/>
          <w:lang w:val="zh-CN"/>
        </w:rPr>
        <w:t>（投标人全称）</w:t>
      </w:r>
      <w:r>
        <w:rPr>
          <w:rFonts w:hint="eastAsia" w:ascii="宋体" w:hAnsi="宋体"/>
          <w:sz w:val="24"/>
          <w:szCs w:val="21"/>
          <w:lang w:val="zh-CN"/>
        </w:rPr>
        <w:t>参加贵方组织的</w:t>
      </w:r>
      <w:r>
        <w:rPr>
          <w:rFonts w:ascii="宋体" w:hAnsi="宋体"/>
          <w:color w:val="0D0D0D"/>
          <w:sz w:val="24"/>
          <w:szCs w:val="21"/>
          <w:lang w:val="zh-CN"/>
        </w:rPr>
        <w:t>__</w:t>
      </w:r>
      <w:r>
        <w:rPr>
          <w:rFonts w:ascii="宋体" w:hAnsi="宋体"/>
          <w:color w:val="0D0D0D"/>
          <w:sz w:val="24"/>
          <w:szCs w:val="21"/>
          <w:u w:val="single"/>
          <w:lang w:val="zh-CN"/>
        </w:rPr>
        <w:t>__</w:t>
      </w:r>
      <w:r>
        <w:rPr>
          <w:rFonts w:hint="eastAsia" w:ascii="宋体" w:hAnsi="宋体"/>
          <w:color w:val="0D0D0D"/>
          <w:sz w:val="24"/>
          <w:szCs w:val="21"/>
          <w:lang w:val="zh-CN"/>
        </w:rPr>
        <w:t>项目（项目编号：</w:t>
      </w:r>
      <w:r>
        <w:rPr>
          <w:rFonts w:ascii="宋体" w:hAnsi="宋体"/>
          <w:color w:val="0D0D0D"/>
          <w:sz w:val="24"/>
          <w:szCs w:val="21"/>
          <w:lang w:val="zh-CN"/>
        </w:rPr>
        <w:t>_____</w:t>
      </w:r>
      <w:r>
        <w:rPr>
          <w:rFonts w:ascii="宋体" w:hAnsi="宋体"/>
          <w:sz w:val="24"/>
          <w:szCs w:val="21"/>
          <w:lang w:val="zh-CN"/>
        </w:rPr>
        <w:t>_</w:t>
      </w:r>
      <w:r>
        <w:rPr>
          <w:rFonts w:hint="eastAsia" w:ascii="宋体" w:hAnsi="宋体"/>
          <w:sz w:val="24"/>
          <w:szCs w:val="21"/>
          <w:lang w:val="zh-CN"/>
        </w:rPr>
        <w:t>）的活动。按招标文件的规定，已递交人民币（大写）</w:t>
      </w:r>
      <w:r>
        <w:rPr>
          <w:rFonts w:ascii="宋体" w:hAnsi="宋体"/>
          <w:color w:val="0D0D0D"/>
          <w:sz w:val="24"/>
          <w:szCs w:val="21"/>
          <w:lang w:val="zh-CN"/>
        </w:rPr>
        <w:t>__</w:t>
      </w:r>
      <w:r>
        <w:rPr>
          <w:rFonts w:ascii="宋体" w:hAnsi="宋体"/>
          <w:color w:val="0D0D0D"/>
          <w:sz w:val="24"/>
          <w:szCs w:val="21"/>
          <w:u w:val="single"/>
          <w:lang w:val="zh-CN"/>
        </w:rPr>
        <w:t>__</w:t>
      </w:r>
      <w:r>
        <w:rPr>
          <w:rFonts w:hint="eastAsia" w:ascii="宋体" w:hAnsi="宋体"/>
          <w:sz w:val="24"/>
          <w:szCs w:val="21"/>
          <w:lang w:val="zh-CN"/>
        </w:rPr>
        <w:t>万元的投标保证金。</w:t>
      </w:r>
    </w:p>
    <w:tbl>
      <w:tblPr>
        <w:tblStyle w:val="28"/>
        <w:tblW w:w="9548" w:type="dxa"/>
        <w:tblInd w:w="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0"/>
        <w:gridCol w:w="1885"/>
        <w:gridCol w:w="2160"/>
        <w:gridCol w:w="1440"/>
        <w:gridCol w:w="35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540" w:type="dxa"/>
            <w:vMerge w:val="restart"/>
            <w:vAlign w:val="center"/>
          </w:tcPr>
          <w:p>
            <w:pPr>
              <w:widowControl/>
              <w:spacing w:line="360" w:lineRule="auto"/>
              <w:jc w:val="center"/>
              <w:rPr>
                <w:rFonts w:ascii="宋体" w:cs="宋体"/>
                <w:kern w:val="0"/>
                <w:sz w:val="24"/>
                <w:szCs w:val="21"/>
              </w:rPr>
            </w:pPr>
            <w:r>
              <w:rPr>
                <w:rFonts w:hint="eastAsia" w:ascii="宋体" w:hAnsi="宋体" w:cs="宋体"/>
                <w:kern w:val="0"/>
                <w:sz w:val="24"/>
                <w:szCs w:val="21"/>
              </w:rPr>
              <w:t>投标人</w:t>
            </w:r>
          </w:p>
        </w:tc>
        <w:tc>
          <w:tcPr>
            <w:tcW w:w="1885" w:type="dxa"/>
            <w:vAlign w:val="center"/>
          </w:tcPr>
          <w:p>
            <w:pPr>
              <w:widowControl/>
              <w:spacing w:line="360" w:lineRule="auto"/>
              <w:jc w:val="center"/>
              <w:rPr>
                <w:rFonts w:ascii="宋体" w:cs="宋体"/>
                <w:kern w:val="0"/>
                <w:sz w:val="24"/>
                <w:szCs w:val="21"/>
              </w:rPr>
            </w:pPr>
            <w:r>
              <w:rPr>
                <w:rFonts w:hint="eastAsia" w:ascii="宋体" w:hAnsi="宋体" w:cs="宋体"/>
                <w:kern w:val="0"/>
                <w:sz w:val="24"/>
                <w:szCs w:val="21"/>
              </w:rPr>
              <w:t>全称</w:t>
            </w:r>
          </w:p>
        </w:tc>
        <w:tc>
          <w:tcPr>
            <w:tcW w:w="7123" w:type="dxa"/>
            <w:gridSpan w:val="3"/>
            <w:vAlign w:val="center"/>
          </w:tcPr>
          <w:p>
            <w:pPr>
              <w:widowControl/>
              <w:spacing w:line="360" w:lineRule="auto"/>
              <w:jc w:val="left"/>
              <w:rPr>
                <w:rFonts w:ascii="宋体" w:cs="宋体"/>
                <w:kern w:val="0"/>
                <w:sz w:val="24"/>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540" w:type="dxa"/>
            <w:vMerge w:val="continue"/>
            <w:vAlign w:val="center"/>
          </w:tcPr>
          <w:p>
            <w:pPr>
              <w:widowControl/>
              <w:spacing w:line="360" w:lineRule="auto"/>
              <w:jc w:val="left"/>
              <w:rPr>
                <w:rFonts w:ascii="宋体" w:cs="宋体"/>
                <w:kern w:val="0"/>
                <w:sz w:val="24"/>
                <w:szCs w:val="21"/>
              </w:rPr>
            </w:pPr>
          </w:p>
        </w:tc>
        <w:tc>
          <w:tcPr>
            <w:tcW w:w="1885" w:type="dxa"/>
            <w:vAlign w:val="center"/>
          </w:tcPr>
          <w:p>
            <w:pPr>
              <w:widowControl/>
              <w:spacing w:line="360" w:lineRule="auto"/>
              <w:jc w:val="center"/>
              <w:rPr>
                <w:rFonts w:ascii="宋体" w:cs="宋体"/>
                <w:kern w:val="0"/>
                <w:sz w:val="24"/>
                <w:szCs w:val="21"/>
              </w:rPr>
            </w:pPr>
            <w:r>
              <w:rPr>
                <w:rFonts w:hint="eastAsia" w:ascii="宋体" w:hAnsi="宋体" w:cs="宋体"/>
                <w:kern w:val="0"/>
                <w:sz w:val="24"/>
                <w:szCs w:val="21"/>
              </w:rPr>
              <w:t>地址</w:t>
            </w:r>
          </w:p>
        </w:tc>
        <w:tc>
          <w:tcPr>
            <w:tcW w:w="7123" w:type="dxa"/>
            <w:gridSpan w:val="3"/>
            <w:vAlign w:val="center"/>
          </w:tcPr>
          <w:p>
            <w:pPr>
              <w:widowControl/>
              <w:spacing w:line="360" w:lineRule="auto"/>
              <w:jc w:val="left"/>
              <w:rPr>
                <w:rFonts w:ascii="宋体" w:cs="宋体"/>
                <w:kern w:val="0"/>
                <w:sz w:val="24"/>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540" w:type="dxa"/>
            <w:vMerge w:val="continue"/>
            <w:vAlign w:val="center"/>
          </w:tcPr>
          <w:p>
            <w:pPr>
              <w:widowControl/>
              <w:spacing w:line="360" w:lineRule="auto"/>
              <w:jc w:val="left"/>
              <w:rPr>
                <w:rFonts w:ascii="宋体" w:cs="宋体"/>
                <w:kern w:val="0"/>
                <w:sz w:val="24"/>
                <w:szCs w:val="21"/>
              </w:rPr>
            </w:pPr>
          </w:p>
        </w:tc>
        <w:tc>
          <w:tcPr>
            <w:tcW w:w="1885" w:type="dxa"/>
            <w:vAlign w:val="center"/>
          </w:tcPr>
          <w:p>
            <w:pPr>
              <w:widowControl/>
              <w:spacing w:line="360" w:lineRule="auto"/>
              <w:jc w:val="center"/>
              <w:rPr>
                <w:rFonts w:ascii="宋体" w:cs="宋体"/>
                <w:kern w:val="0"/>
                <w:sz w:val="24"/>
                <w:szCs w:val="21"/>
              </w:rPr>
            </w:pPr>
            <w:r>
              <w:rPr>
                <w:rFonts w:hint="eastAsia" w:ascii="宋体" w:hAnsi="宋体" w:cs="宋体"/>
                <w:kern w:val="0"/>
                <w:sz w:val="24"/>
                <w:szCs w:val="21"/>
              </w:rPr>
              <w:t>邮编</w:t>
            </w:r>
          </w:p>
        </w:tc>
        <w:tc>
          <w:tcPr>
            <w:tcW w:w="7123" w:type="dxa"/>
            <w:gridSpan w:val="3"/>
            <w:vAlign w:val="center"/>
          </w:tcPr>
          <w:p>
            <w:pPr>
              <w:widowControl/>
              <w:spacing w:line="360" w:lineRule="auto"/>
              <w:jc w:val="left"/>
              <w:rPr>
                <w:rFonts w:ascii="宋体" w:cs="宋体"/>
                <w:kern w:val="0"/>
                <w:sz w:val="24"/>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540" w:type="dxa"/>
            <w:vMerge w:val="continue"/>
            <w:vAlign w:val="center"/>
          </w:tcPr>
          <w:p>
            <w:pPr>
              <w:widowControl/>
              <w:spacing w:line="360" w:lineRule="auto"/>
              <w:jc w:val="left"/>
              <w:rPr>
                <w:rFonts w:ascii="宋体" w:cs="宋体"/>
                <w:kern w:val="0"/>
                <w:sz w:val="24"/>
                <w:szCs w:val="21"/>
              </w:rPr>
            </w:pPr>
          </w:p>
        </w:tc>
        <w:tc>
          <w:tcPr>
            <w:tcW w:w="1885" w:type="dxa"/>
            <w:vAlign w:val="center"/>
          </w:tcPr>
          <w:p>
            <w:pPr>
              <w:widowControl/>
              <w:spacing w:line="360" w:lineRule="auto"/>
              <w:jc w:val="center"/>
              <w:rPr>
                <w:rFonts w:ascii="宋体" w:cs="宋体"/>
                <w:kern w:val="0"/>
                <w:sz w:val="24"/>
                <w:szCs w:val="21"/>
              </w:rPr>
            </w:pPr>
            <w:r>
              <w:rPr>
                <w:rFonts w:hint="eastAsia" w:ascii="宋体" w:hAnsi="宋体" w:cs="宋体"/>
                <w:kern w:val="0"/>
                <w:sz w:val="24"/>
                <w:szCs w:val="21"/>
              </w:rPr>
              <w:t>联系人</w:t>
            </w:r>
          </w:p>
        </w:tc>
        <w:tc>
          <w:tcPr>
            <w:tcW w:w="2160" w:type="dxa"/>
            <w:vAlign w:val="center"/>
          </w:tcPr>
          <w:p>
            <w:pPr>
              <w:widowControl/>
              <w:spacing w:line="360" w:lineRule="auto"/>
              <w:jc w:val="left"/>
              <w:rPr>
                <w:rFonts w:ascii="宋体" w:cs="宋体"/>
                <w:kern w:val="0"/>
                <w:sz w:val="24"/>
                <w:szCs w:val="21"/>
              </w:rPr>
            </w:pPr>
          </w:p>
        </w:tc>
        <w:tc>
          <w:tcPr>
            <w:tcW w:w="1440" w:type="dxa"/>
            <w:vAlign w:val="center"/>
          </w:tcPr>
          <w:p>
            <w:pPr>
              <w:widowControl/>
              <w:spacing w:line="360" w:lineRule="auto"/>
              <w:jc w:val="center"/>
              <w:rPr>
                <w:rFonts w:ascii="宋体" w:cs="宋体"/>
                <w:kern w:val="0"/>
                <w:sz w:val="24"/>
                <w:szCs w:val="21"/>
              </w:rPr>
            </w:pPr>
            <w:r>
              <w:rPr>
                <w:rFonts w:hint="eastAsia" w:ascii="宋体" w:hAnsi="宋体" w:cs="宋体"/>
                <w:kern w:val="0"/>
                <w:sz w:val="24"/>
                <w:szCs w:val="21"/>
              </w:rPr>
              <w:t>联系电话</w:t>
            </w:r>
          </w:p>
        </w:tc>
        <w:tc>
          <w:tcPr>
            <w:tcW w:w="3523" w:type="dxa"/>
            <w:vAlign w:val="center"/>
          </w:tcPr>
          <w:p>
            <w:pPr>
              <w:widowControl/>
              <w:spacing w:line="360" w:lineRule="auto"/>
              <w:jc w:val="left"/>
              <w:rPr>
                <w:rFonts w:ascii="宋体" w:cs="宋体"/>
                <w:kern w:val="0"/>
                <w:sz w:val="24"/>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540" w:type="dxa"/>
            <w:vMerge w:val="continue"/>
            <w:vAlign w:val="center"/>
          </w:tcPr>
          <w:p>
            <w:pPr>
              <w:widowControl/>
              <w:spacing w:line="360" w:lineRule="auto"/>
              <w:jc w:val="left"/>
              <w:rPr>
                <w:rFonts w:ascii="宋体" w:cs="宋体"/>
                <w:kern w:val="0"/>
                <w:sz w:val="24"/>
                <w:szCs w:val="21"/>
              </w:rPr>
            </w:pPr>
          </w:p>
        </w:tc>
        <w:tc>
          <w:tcPr>
            <w:tcW w:w="1885" w:type="dxa"/>
            <w:vAlign w:val="center"/>
          </w:tcPr>
          <w:p>
            <w:pPr>
              <w:widowControl/>
              <w:spacing w:line="360" w:lineRule="auto"/>
              <w:jc w:val="center"/>
              <w:rPr>
                <w:rFonts w:ascii="宋体" w:cs="宋体"/>
                <w:kern w:val="0"/>
                <w:sz w:val="24"/>
                <w:szCs w:val="21"/>
              </w:rPr>
            </w:pPr>
            <w:r>
              <w:rPr>
                <w:rFonts w:hint="eastAsia" w:ascii="宋体" w:hAnsi="宋体" w:cs="宋体"/>
                <w:kern w:val="0"/>
                <w:sz w:val="24"/>
                <w:szCs w:val="21"/>
              </w:rPr>
              <w:t>开户银行</w:t>
            </w:r>
          </w:p>
        </w:tc>
        <w:tc>
          <w:tcPr>
            <w:tcW w:w="7123" w:type="dxa"/>
            <w:gridSpan w:val="3"/>
            <w:vAlign w:val="center"/>
          </w:tcPr>
          <w:p>
            <w:pPr>
              <w:widowControl/>
              <w:spacing w:line="360" w:lineRule="auto"/>
              <w:jc w:val="left"/>
              <w:rPr>
                <w:rFonts w:ascii="宋体" w:cs="Arial"/>
                <w:kern w:val="0"/>
                <w:sz w:val="24"/>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540" w:type="dxa"/>
            <w:vMerge w:val="continue"/>
            <w:vAlign w:val="center"/>
          </w:tcPr>
          <w:p>
            <w:pPr>
              <w:widowControl/>
              <w:spacing w:line="360" w:lineRule="auto"/>
              <w:jc w:val="left"/>
              <w:rPr>
                <w:rFonts w:ascii="宋体" w:cs="宋体"/>
                <w:kern w:val="0"/>
                <w:sz w:val="24"/>
                <w:szCs w:val="21"/>
              </w:rPr>
            </w:pPr>
          </w:p>
        </w:tc>
        <w:tc>
          <w:tcPr>
            <w:tcW w:w="1885" w:type="dxa"/>
            <w:vAlign w:val="center"/>
          </w:tcPr>
          <w:p>
            <w:pPr>
              <w:widowControl/>
              <w:spacing w:line="360" w:lineRule="auto"/>
              <w:jc w:val="center"/>
              <w:rPr>
                <w:rFonts w:ascii="宋体" w:cs="宋体"/>
                <w:kern w:val="0"/>
                <w:sz w:val="24"/>
                <w:szCs w:val="21"/>
              </w:rPr>
            </w:pPr>
            <w:r>
              <w:rPr>
                <w:rFonts w:hint="eastAsia" w:ascii="宋体" w:hAnsi="宋体" w:cs="宋体"/>
                <w:kern w:val="0"/>
                <w:sz w:val="24"/>
                <w:szCs w:val="21"/>
              </w:rPr>
              <w:t>帐号</w:t>
            </w:r>
          </w:p>
        </w:tc>
        <w:tc>
          <w:tcPr>
            <w:tcW w:w="7123" w:type="dxa"/>
            <w:gridSpan w:val="3"/>
            <w:vAlign w:val="center"/>
          </w:tcPr>
          <w:p>
            <w:pPr>
              <w:widowControl/>
              <w:spacing w:line="360" w:lineRule="auto"/>
              <w:jc w:val="left"/>
              <w:rPr>
                <w:rFonts w:ascii="宋体" w:cs="Arial"/>
                <w:kern w:val="0"/>
                <w:sz w:val="24"/>
                <w:szCs w:val="21"/>
              </w:rPr>
            </w:pPr>
          </w:p>
        </w:tc>
      </w:tr>
    </w:tbl>
    <w:p>
      <w:pPr>
        <w:spacing w:before="100" w:beforeAutospacing="1" w:after="100" w:afterAutospacing="1" w:line="360" w:lineRule="auto"/>
        <w:ind w:firstLine="3316" w:firstLineChars="1382"/>
        <w:rPr>
          <w:rFonts w:hAnsi="宋体"/>
          <w:b/>
          <w:bCs/>
          <w:sz w:val="24"/>
          <w:u w:val="single"/>
        </w:rPr>
      </w:pPr>
      <w:r>
        <w:rPr>
          <w:rFonts w:hint="eastAsia" w:hAnsi="宋体"/>
          <w:b/>
          <w:bCs/>
          <w:sz w:val="24"/>
        </w:rPr>
        <w:t>投标人（公章）：</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投标人</w:t>
      </w:r>
      <w:r>
        <w:rPr>
          <w:rFonts w:hint="eastAsia" w:hAnsi="宋体"/>
          <w:b/>
          <w:bCs/>
          <w:sz w:val="24"/>
        </w:rPr>
        <w:t>授权代表（签字）：</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w:t>
      </w:r>
      <w:r>
        <w:rPr>
          <w:rFonts w:hint="eastAsia" w:hAnsi="宋体"/>
          <w:b/>
          <w:bCs/>
          <w:sz w:val="24"/>
        </w:rPr>
        <w:t>时间：</w:t>
      </w:r>
    </w:p>
    <w:tbl>
      <w:tblPr>
        <w:tblStyle w:val="28"/>
        <w:tblW w:w="9547" w:type="dxa"/>
        <w:tblInd w:w="9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9" w:hRule="exact"/>
        </w:trPr>
        <w:tc>
          <w:tcPr>
            <w:tcW w:w="9547" w:type="dxa"/>
          </w:tcPr>
          <w:p>
            <w:pPr>
              <w:spacing w:line="360" w:lineRule="auto"/>
              <w:rPr>
                <w:rFonts w:ascii="宋体"/>
                <w:sz w:val="24"/>
                <w:szCs w:val="24"/>
              </w:rPr>
            </w:pPr>
            <w:r>
              <w:rPr>
                <w:rFonts w:hint="eastAsia" w:ascii="宋体" w:hAnsi="宋体"/>
                <w:sz w:val="24"/>
                <w:szCs w:val="24"/>
              </w:rPr>
              <w:t>粘贴转帐、电汇或网上银行凭证（清晰影印件）</w:t>
            </w:r>
          </w:p>
          <w:p>
            <w:pPr>
              <w:spacing w:line="360" w:lineRule="auto"/>
              <w:rPr>
                <w:rFonts w:ascii="宋体"/>
                <w:sz w:val="24"/>
                <w:szCs w:val="24"/>
              </w:rPr>
            </w:pPr>
          </w:p>
          <w:p>
            <w:pPr>
              <w:spacing w:line="360" w:lineRule="auto"/>
              <w:rPr>
                <w:rFonts w:ascii="宋体"/>
                <w:sz w:val="24"/>
                <w:szCs w:val="24"/>
              </w:rPr>
            </w:pPr>
          </w:p>
          <w:p>
            <w:pPr>
              <w:spacing w:line="360" w:lineRule="auto"/>
              <w:rPr>
                <w:rFonts w:ascii="宋体"/>
                <w:sz w:val="24"/>
                <w:szCs w:val="24"/>
              </w:rPr>
            </w:pPr>
          </w:p>
          <w:p>
            <w:pPr>
              <w:spacing w:line="360" w:lineRule="auto"/>
              <w:rPr>
                <w:rFonts w:ascii="宋体"/>
                <w:sz w:val="24"/>
                <w:szCs w:val="24"/>
              </w:rPr>
            </w:pPr>
          </w:p>
          <w:p>
            <w:pPr>
              <w:spacing w:line="360" w:lineRule="auto"/>
              <w:ind w:left="110" w:leftChars="38" w:hanging="31" w:hangingChars="13"/>
              <w:rPr>
                <w:rFonts w:ascii="宋体"/>
                <w:b/>
                <w:sz w:val="24"/>
                <w:szCs w:val="20"/>
                <w:lang w:val="zh-CN"/>
              </w:rPr>
            </w:pPr>
            <w:r>
              <w:rPr>
                <w:rFonts w:hint="eastAsia" w:ascii="宋体" w:hAnsi="宋体"/>
                <w:sz w:val="24"/>
                <w:szCs w:val="20"/>
                <w:lang w:val="zh-CN"/>
              </w:rPr>
              <w:t>注：在交款凭证备注中说明项目编号及开标时间</w:t>
            </w:r>
          </w:p>
        </w:tc>
      </w:tr>
    </w:tbl>
    <w:p>
      <w:pPr>
        <w:spacing w:line="360" w:lineRule="auto"/>
        <w:ind w:left="720" w:hanging="720" w:hangingChars="300"/>
        <w:jc w:val="left"/>
        <w:rPr>
          <w:rFonts w:ascii="宋体"/>
          <w:sz w:val="24"/>
          <w:szCs w:val="24"/>
        </w:rPr>
      </w:pPr>
      <w:r>
        <w:rPr>
          <w:rFonts w:hint="eastAsia" w:ascii="宋体" w:hAnsi="宋体"/>
          <w:sz w:val="24"/>
          <w:szCs w:val="24"/>
        </w:rPr>
        <w:t>说明：投标人应认真填写银行信息，与转帐或电汇银行凭证的相关信息一致，集中采购机构将依据此凭证信息查退投标保证金。</w:t>
      </w:r>
    </w:p>
    <w:p>
      <w:r>
        <w:br w:type="page"/>
      </w:r>
    </w:p>
    <w:p>
      <w:pPr>
        <w:pStyle w:val="4"/>
        <w:numPr>
          <w:ilvl w:val="0"/>
          <w:numId w:val="61"/>
        </w:numPr>
        <w:spacing w:before="100" w:beforeAutospacing="1" w:afterLines="50" w:line="360" w:lineRule="auto"/>
        <w:ind w:left="1288" w:hanging="1288"/>
        <w:rPr>
          <w:rFonts w:ascii="宋体"/>
        </w:rPr>
      </w:pPr>
      <w:bookmarkStart w:id="186" w:name="_Toc236473303"/>
      <w:bookmarkStart w:id="187" w:name="_Toc238276247"/>
      <w:bookmarkStart w:id="188" w:name="_Toc494665960"/>
      <w:bookmarkStart w:id="189" w:name="_Toc494665010"/>
      <w:bookmarkStart w:id="190" w:name="_Toc494702280"/>
      <w:bookmarkStart w:id="191" w:name="_Toc494665563"/>
      <w:bookmarkStart w:id="192" w:name="_Toc494745327"/>
      <w:bookmarkStart w:id="193" w:name="_Toc494721110"/>
      <w:bookmarkStart w:id="194" w:name="_Toc106268637"/>
      <w:r>
        <w:rPr>
          <w:rFonts w:hint="eastAsia" w:ascii="宋体" w:hAnsi="宋体"/>
        </w:rPr>
        <w:t>法定代表人授权书</w:t>
      </w:r>
      <w:bookmarkEnd w:id="186"/>
      <w:bookmarkEnd w:id="187"/>
      <w:bookmarkEnd w:id="188"/>
      <w:bookmarkEnd w:id="189"/>
      <w:bookmarkEnd w:id="190"/>
      <w:bookmarkEnd w:id="191"/>
      <w:bookmarkEnd w:id="192"/>
      <w:bookmarkEnd w:id="193"/>
      <w:bookmarkEnd w:id="194"/>
    </w:p>
    <w:p>
      <w:pPr>
        <w:spacing w:line="480" w:lineRule="auto"/>
        <w:rPr>
          <w:rFonts w:ascii="宋体"/>
          <w:b/>
          <w:sz w:val="24"/>
          <w:szCs w:val="24"/>
        </w:rPr>
      </w:pPr>
      <w:r>
        <w:rPr>
          <w:rFonts w:hint="eastAsia"/>
          <w:b/>
          <w:sz w:val="28"/>
          <w:szCs w:val="28"/>
        </w:rPr>
        <w:t>采购人</w:t>
      </w:r>
      <w:r>
        <w:rPr>
          <w:rFonts w:hint="eastAsia"/>
          <w:b/>
          <w:color w:val="FF0000"/>
          <w:sz w:val="28"/>
          <w:szCs w:val="28"/>
        </w:rPr>
        <w:t>（或代理公司）</w:t>
      </w:r>
      <w:r>
        <w:rPr>
          <w:rFonts w:hint="eastAsia" w:ascii="宋体" w:hAnsi="宋体" w:cs="Courier New"/>
          <w:b/>
          <w:sz w:val="28"/>
          <w:szCs w:val="28"/>
        </w:rPr>
        <w:t>：</w:t>
      </w:r>
    </w:p>
    <w:p>
      <w:pPr>
        <w:spacing w:line="360" w:lineRule="auto"/>
        <w:ind w:firstLine="480" w:firstLineChars="200"/>
        <w:rPr>
          <w:rFonts w:ascii="宋体"/>
          <w:sz w:val="24"/>
          <w:szCs w:val="24"/>
        </w:rPr>
      </w:pPr>
      <w:r>
        <w:rPr>
          <w:rFonts w:hint="eastAsia" w:ascii="宋体" w:hAnsi="宋体"/>
          <w:sz w:val="24"/>
          <w:szCs w:val="24"/>
        </w:rPr>
        <w:t>兹授权</w:t>
      </w:r>
      <w:r>
        <w:rPr>
          <w:rFonts w:ascii="Times New Roman" w:hAnsi="宋体"/>
          <w:color w:val="0D0D0D"/>
          <w:sz w:val="24"/>
          <w:szCs w:val="24"/>
        </w:rPr>
        <w:t>___</w:t>
      </w:r>
      <w:r>
        <w:rPr>
          <w:rFonts w:ascii="Times New Roman" w:hAnsi="宋体"/>
          <w:sz w:val="24"/>
          <w:szCs w:val="24"/>
        </w:rPr>
        <w:t>_</w:t>
      </w:r>
      <w:r>
        <w:rPr>
          <w:rFonts w:hint="eastAsia" w:ascii="宋体" w:hAnsi="宋体"/>
          <w:sz w:val="24"/>
          <w:szCs w:val="24"/>
        </w:rPr>
        <w:t>同志为我单位参加贵方组织的</w:t>
      </w:r>
      <w:r>
        <w:rPr>
          <w:rFonts w:ascii="Times New Roman" w:hAnsi="宋体"/>
          <w:color w:val="0D0D0D"/>
          <w:sz w:val="24"/>
          <w:szCs w:val="24"/>
        </w:rPr>
        <w:t>___</w:t>
      </w:r>
      <w:r>
        <w:rPr>
          <w:rFonts w:ascii="Times New Roman" w:hAnsi="宋体"/>
          <w:sz w:val="24"/>
          <w:szCs w:val="24"/>
        </w:rPr>
        <w:t>_</w:t>
      </w:r>
      <w:r>
        <w:rPr>
          <w:rFonts w:hint="eastAsia" w:ascii="Times New Roman" w:hAnsi="宋体"/>
          <w:color w:val="0D0D0D"/>
          <w:sz w:val="24"/>
          <w:szCs w:val="24"/>
        </w:rPr>
        <w:t>项目（项目编号：</w:t>
      </w:r>
      <w:r>
        <w:rPr>
          <w:rFonts w:ascii="Times New Roman" w:hAnsi="宋体"/>
          <w:color w:val="0D0D0D"/>
          <w:sz w:val="24"/>
          <w:szCs w:val="24"/>
        </w:rPr>
        <w:t>_____</w:t>
      </w:r>
      <w:r>
        <w:rPr>
          <w:rFonts w:ascii="Times New Roman" w:hAnsi="宋体"/>
          <w:sz w:val="24"/>
          <w:szCs w:val="24"/>
        </w:rPr>
        <w:t>_</w:t>
      </w:r>
      <w:r>
        <w:rPr>
          <w:rFonts w:hint="eastAsia" w:ascii="Times New Roman" w:hAnsi="宋体"/>
          <w:sz w:val="24"/>
          <w:szCs w:val="24"/>
        </w:rPr>
        <w:t>）</w:t>
      </w:r>
      <w:r>
        <w:rPr>
          <w:rFonts w:hint="eastAsia" w:ascii="宋体" w:hAnsi="宋体"/>
          <w:sz w:val="24"/>
          <w:szCs w:val="24"/>
        </w:rPr>
        <w:t>采购活动的投标人授权代表，全权代表我公司处理在</w:t>
      </w:r>
      <w:r>
        <w:rPr>
          <w:rFonts w:ascii="Times New Roman" w:hAnsi="宋体"/>
          <w:color w:val="0D0D0D"/>
          <w:sz w:val="24"/>
          <w:szCs w:val="24"/>
        </w:rPr>
        <w:t>___</w:t>
      </w:r>
      <w:r>
        <w:rPr>
          <w:rFonts w:ascii="Times New Roman" w:hAnsi="宋体"/>
          <w:sz w:val="24"/>
          <w:szCs w:val="24"/>
        </w:rPr>
        <w:t>_</w:t>
      </w:r>
      <w:r>
        <w:rPr>
          <w:rFonts w:hint="eastAsia" w:ascii="宋体" w:hAnsi="宋体"/>
          <w:sz w:val="24"/>
          <w:szCs w:val="24"/>
        </w:rPr>
        <w:t>项目采购活动中的一切事宜。代理期限从</w:t>
      </w:r>
      <w:r>
        <w:rPr>
          <w:rFonts w:ascii="Times New Roman" w:hAnsi="宋体"/>
          <w:color w:val="0D0D0D"/>
          <w:sz w:val="24"/>
          <w:szCs w:val="24"/>
        </w:rPr>
        <w:t>_</w:t>
      </w:r>
      <w:r>
        <w:rPr>
          <w:rFonts w:ascii="Times New Roman" w:hAnsi="宋体"/>
          <w:sz w:val="24"/>
          <w:szCs w:val="24"/>
        </w:rPr>
        <w:t>_</w:t>
      </w:r>
      <w:r>
        <w:rPr>
          <w:rFonts w:hint="eastAsia" w:ascii="宋体" w:hAnsi="宋体"/>
          <w:sz w:val="24"/>
          <w:szCs w:val="24"/>
        </w:rPr>
        <w:t>年</w:t>
      </w:r>
      <w:r>
        <w:rPr>
          <w:rFonts w:ascii="Times New Roman" w:hAnsi="宋体"/>
          <w:color w:val="0D0D0D"/>
          <w:sz w:val="24"/>
          <w:szCs w:val="24"/>
        </w:rPr>
        <w:t>_</w:t>
      </w:r>
      <w:r>
        <w:rPr>
          <w:rFonts w:ascii="Times New Roman" w:hAnsi="宋体"/>
          <w:sz w:val="24"/>
          <w:szCs w:val="24"/>
        </w:rPr>
        <w:t>_</w:t>
      </w:r>
      <w:r>
        <w:rPr>
          <w:rFonts w:hint="eastAsia" w:ascii="宋体" w:hAnsi="宋体"/>
          <w:sz w:val="24"/>
          <w:szCs w:val="24"/>
        </w:rPr>
        <w:t>月</w:t>
      </w:r>
      <w:r>
        <w:rPr>
          <w:rFonts w:ascii="Times New Roman" w:hAnsi="宋体"/>
          <w:color w:val="0D0D0D"/>
          <w:sz w:val="24"/>
          <w:szCs w:val="24"/>
        </w:rPr>
        <w:t>__</w:t>
      </w:r>
      <w:r>
        <w:rPr>
          <w:rFonts w:hint="eastAsia" w:ascii="宋体" w:hAnsi="宋体"/>
          <w:sz w:val="24"/>
          <w:szCs w:val="24"/>
        </w:rPr>
        <w:t>日起至</w:t>
      </w:r>
      <w:r>
        <w:rPr>
          <w:rFonts w:ascii="Times New Roman" w:hAnsi="宋体"/>
          <w:color w:val="0D0D0D"/>
          <w:sz w:val="24"/>
          <w:szCs w:val="24"/>
        </w:rPr>
        <w:t>___</w:t>
      </w:r>
      <w:r>
        <w:rPr>
          <w:rFonts w:ascii="Times New Roman" w:hAnsi="宋体"/>
          <w:sz w:val="24"/>
          <w:szCs w:val="24"/>
        </w:rPr>
        <w:t>_</w:t>
      </w:r>
      <w:r>
        <w:rPr>
          <w:rFonts w:hint="eastAsia" w:ascii="宋体" w:hAnsi="宋体"/>
          <w:sz w:val="24"/>
          <w:szCs w:val="24"/>
        </w:rPr>
        <w:t>年</w:t>
      </w:r>
      <w:r>
        <w:rPr>
          <w:rFonts w:ascii="Times New Roman" w:hAnsi="宋体"/>
          <w:color w:val="0D0D0D"/>
          <w:sz w:val="24"/>
          <w:szCs w:val="24"/>
        </w:rPr>
        <w:t>___</w:t>
      </w:r>
      <w:r>
        <w:rPr>
          <w:rFonts w:ascii="Times New Roman" w:hAnsi="宋体"/>
          <w:sz w:val="24"/>
          <w:szCs w:val="24"/>
        </w:rPr>
        <w:t>_</w:t>
      </w:r>
      <w:r>
        <w:rPr>
          <w:rFonts w:hint="eastAsia" w:ascii="宋体" w:hAnsi="宋体"/>
          <w:sz w:val="24"/>
          <w:szCs w:val="24"/>
        </w:rPr>
        <w:t>月</w:t>
      </w:r>
      <w:r>
        <w:rPr>
          <w:rFonts w:ascii="Times New Roman" w:hAnsi="宋体"/>
          <w:color w:val="0D0D0D"/>
          <w:sz w:val="24"/>
          <w:szCs w:val="24"/>
        </w:rPr>
        <w:t>___</w:t>
      </w:r>
      <w:r>
        <w:rPr>
          <w:rFonts w:ascii="Times New Roman" w:hAnsi="宋体"/>
          <w:sz w:val="24"/>
          <w:szCs w:val="24"/>
        </w:rPr>
        <w:t>_</w:t>
      </w:r>
      <w:r>
        <w:rPr>
          <w:rFonts w:hint="eastAsia" w:ascii="宋体" w:hAnsi="宋体"/>
          <w:sz w:val="24"/>
          <w:szCs w:val="24"/>
        </w:rPr>
        <w:t>日止。</w:t>
      </w:r>
    </w:p>
    <w:p>
      <w:pPr>
        <w:spacing w:line="360" w:lineRule="auto"/>
        <w:ind w:firstLine="540" w:firstLineChars="225"/>
        <w:rPr>
          <w:rFonts w:ascii="宋体"/>
          <w:sz w:val="24"/>
          <w:szCs w:val="24"/>
        </w:rPr>
      </w:pPr>
      <w:r>
        <w:rPr>
          <w:rFonts w:hint="eastAsia" w:ascii="宋体" w:hAnsi="宋体"/>
          <w:sz w:val="24"/>
          <w:szCs w:val="24"/>
        </w:rPr>
        <w:t>被授权代表无转委托权。</w:t>
      </w:r>
    </w:p>
    <w:p>
      <w:pPr>
        <w:spacing w:line="360" w:lineRule="auto"/>
        <w:ind w:firstLine="540" w:firstLineChars="225"/>
        <w:rPr>
          <w:rFonts w:ascii="宋体"/>
          <w:sz w:val="24"/>
          <w:szCs w:val="24"/>
        </w:rPr>
      </w:pPr>
    </w:p>
    <w:p>
      <w:pPr>
        <w:spacing w:before="100" w:beforeAutospacing="1" w:after="100" w:afterAutospacing="1" w:line="360" w:lineRule="auto"/>
        <w:ind w:firstLine="3316" w:firstLineChars="1382"/>
        <w:rPr>
          <w:rFonts w:hAnsi="宋体"/>
          <w:b/>
          <w:bCs/>
          <w:sz w:val="24"/>
          <w:u w:val="single"/>
        </w:rPr>
      </w:pPr>
      <w:r>
        <w:rPr>
          <w:rFonts w:hint="eastAsia" w:hAnsi="宋体"/>
          <w:b/>
          <w:bCs/>
          <w:sz w:val="24"/>
        </w:rPr>
        <w:t>授权单位（公章）：</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法定代表人（签字或盖章）</w:t>
      </w:r>
      <w:r>
        <w:rPr>
          <w:rFonts w:hint="eastAsia" w:hAnsi="宋体"/>
          <w:b/>
          <w:bCs/>
          <w:sz w:val="24"/>
        </w:rPr>
        <w:t>：</w:t>
      </w:r>
    </w:p>
    <w:p>
      <w:pPr>
        <w:spacing w:before="100" w:beforeAutospacing="1" w:after="100" w:afterAutospacing="1" w:line="360" w:lineRule="auto"/>
        <w:ind w:firstLine="3316" w:firstLineChars="1382"/>
        <w:rPr>
          <w:rFonts w:hAnsi="宋体"/>
          <w:b/>
          <w:bCs/>
          <w:sz w:val="24"/>
          <w:u w:val="single"/>
        </w:rPr>
      </w:pPr>
      <w:r>
        <w:rPr>
          <w:rFonts w:hint="eastAsia" w:ascii="宋体" w:hAnsi="宋体"/>
          <w:b/>
          <w:sz w:val="24"/>
          <w:szCs w:val="21"/>
          <w:lang w:val="zh-CN"/>
        </w:rPr>
        <w:t>签发日期：</w:t>
      </w:r>
      <w:r>
        <w:rPr>
          <w:rFonts w:ascii="Times New Roman" w:hAnsi="宋体"/>
          <w:color w:val="0D0D0D"/>
          <w:sz w:val="24"/>
          <w:szCs w:val="24"/>
        </w:rPr>
        <w:t>___</w:t>
      </w:r>
      <w:r>
        <w:rPr>
          <w:rFonts w:ascii="Times New Roman" w:hAnsi="宋体"/>
          <w:sz w:val="24"/>
          <w:szCs w:val="24"/>
        </w:rPr>
        <w:t>_</w:t>
      </w:r>
      <w:r>
        <w:rPr>
          <w:rFonts w:hint="eastAsia" w:ascii="宋体" w:hAnsi="宋体"/>
          <w:b/>
          <w:sz w:val="24"/>
          <w:szCs w:val="21"/>
          <w:lang w:val="zh-CN"/>
        </w:rPr>
        <w:t>年</w:t>
      </w:r>
      <w:r>
        <w:rPr>
          <w:rFonts w:ascii="Times New Roman" w:hAnsi="宋体"/>
          <w:color w:val="0D0D0D"/>
          <w:sz w:val="24"/>
          <w:szCs w:val="24"/>
        </w:rPr>
        <w:t>___</w:t>
      </w:r>
      <w:r>
        <w:rPr>
          <w:rFonts w:ascii="Times New Roman" w:hAnsi="宋体"/>
          <w:sz w:val="24"/>
          <w:szCs w:val="24"/>
        </w:rPr>
        <w:t>_</w:t>
      </w:r>
      <w:r>
        <w:rPr>
          <w:rFonts w:hint="eastAsia" w:ascii="宋体" w:hAnsi="宋体"/>
          <w:b/>
          <w:sz w:val="24"/>
          <w:szCs w:val="21"/>
          <w:lang w:val="zh-CN"/>
        </w:rPr>
        <w:t>月</w:t>
      </w:r>
      <w:r>
        <w:rPr>
          <w:rFonts w:ascii="Times New Roman" w:hAnsi="宋体"/>
          <w:color w:val="0D0D0D"/>
          <w:sz w:val="24"/>
          <w:szCs w:val="24"/>
        </w:rPr>
        <w:t>___</w:t>
      </w:r>
      <w:r>
        <w:rPr>
          <w:rFonts w:ascii="Times New Roman" w:hAnsi="宋体"/>
          <w:sz w:val="24"/>
          <w:szCs w:val="24"/>
        </w:rPr>
        <w:t>_</w:t>
      </w:r>
      <w:r>
        <w:rPr>
          <w:rFonts w:hint="eastAsia" w:ascii="宋体" w:hAnsi="宋体"/>
          <w:b/>
          <w:sz w:val="24"/>
          <w:szCs w:val="21"/>
          <w:lang w:val="zh-CN"/>
        </w:rPr>
        <w:t>日</w:t>
      </w:r>
    </w:p>
    <w:p>
      <w:pPr>
        <w:spacing w:line="360" w:lineRule="auto"/>
        <w:rPr>
          <w:rFonts w:ascii="宋体"/>
          <w:sz w:val="24"/>
          <w:szCs w:val="24"/>
        </w:rPr>
      </w:pPr>
      <w:r>
        <w:rPr>
          <w:rFonts w:hint="eastAsia" w:ascii="宋体" w:hAnsi="宋体"/>
          <w:sz w:val="24"/>
          <w:szCs w:val="24"/>
        </w:rPr>
        <w:t>附：</w:t>
      </w:r>
    </w:p>
    <w:p>
      <w:pPr>
        <w:spacing w:line="360" w:lineRule="auto"/>
        <w:ind w:firstLine="480" w:firstLineChars="200"/>
        <w:rPr>
          <w:rFonts w:ascii="宋体"/>
          <w:sz w:val="24"/>
          <w:szCs w:val="24"/>
        </w:rPr>
      </w:pPr>
      <w:r>
        <w:rPr>
          <w:rFonts w:hint="eastAsia" w:ascii="宋体" w:hAnsi="宋体"/>
          <w:sz w:val="24"/>
          <w:szCs w:val="24"/>
        </w:rPr>
        <w:t>投标人授权代表单位名称：</w:t>
      </w:r>
    </w:p>
    <w:p>
      <w:pPr>
        <w:spacing w:line="360" w:lineRule="auto"/>
        <w:ind w:firstLine="480" w:firstLineChars="200"/>
        <w:rPr>
          <w:rFonts w:ascii="宋体"/>
          <w:sz w:val="24"/>
          <w:szCs w:val="24"/>
        </w:rPr>
      </w:pPr>
      <w:r>
        <w:rPr>
          <w:rFonts w:hint="eastAsia" w:ascii="宋体" w:hAnsi="宋体"/>
          <w:sz w:val="24"/>
          <w:szCs w:val="24"/>
        </w:rPr>
        <w:t>职务：性别：</w:t>
      </w:r>
    </w:p>
    <w:p>
      <w:pPr>
        <w:spacing w:line="360" w:lineRule="auto"/>
        <w:ind w:firstLine="480" w:firstLineChars="200"/>
        <w:rPr>
          <w:rFonts w:ascii="宋体"/>
          <w:sz w:val="24"/>
          <w:szCs w:val="24"/>
          <w:u w:val="single"/>
        </w:rPr>
      </w:pPr>
      <w:r>
        <w:rPr>
          <w:rFonts w:hint="eastAsia" w:ascii="宋体" w:hAnsi="宋体"/>
          <w:sz w:val="24"/>
          <w:szCs w:val="24"/>
        </w:rPr>
        <w:t>身份证号码：</w:t>
      </w:r>
    </w:p>
    <w:p>
      <w:pPr>
        <w:spacing w:line="360" w:lineRule="auto"/>
        <w:ind w:firstLine="480" w:firstLineChars="200"/>
        <w:rPr>
          <w:rFonts w:ascii="宋体"/>
          <w:sz w:val="24"/>
          <w:szCs w:val="24"/>
        </w:rPr>
      </w:pPr>
      <w:r>
        <w:rPr>
          <w:rFonts w:hint="eastAsia" w:ascii="宋体" w:hAnsi="宋体"/>
          <w:sz w:val="24"/>
          <w:szCs w:val="24"/>
        </w:rPr>
        <w:t>电话：</w:t>
      </w:r>
    </w:p>
    <w:tbl>
      <w:tblPr>
        <w:tblStyle w:val="28"/>
        <w:tblW w:w="95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2" w:hRule="atLeast"/>
          <w:jc w:val="center"/>
        </w:trPr>
        <w:tc>
          <w:tcPr>
            <w:tcW w:w="9532" w:type="dxa"/>
          </w:tcPr>
          <w:p>
            <w:pPr>
              <w:spacing w:line="300" w:lineRule="auto"/>
              <w:rPr>
                <w:rFonts w:ascii="宋体"/>
                <w:sz w:val="24"/>
                <w:szCs w:val="24"/>
              </w:rPr>
            </w:pPr>
            <w:r>
              <w:rPr>
                <w:rFonts w:hint="eastAsia" w:ascii="宋体" w:hAnsi="宋体"/>
                <w:sz w:val="24"/>
                <w:szCs w:val="24"/>
              </w:rPr>
              <w:t>粘贴法人及被授权人身份证（清晰影印件）</w:t>
            </w:r>
          </w:p>
        </w:tc>
      </w:tr>
    </w:tbl>
    <w:p>
      <w:bookmarkStart w:id="195" w:name="_Toc494665011"/>
      <w:bookmarkStart w:id="196" w:name="_Toc236473304"/>
      <w:bookmarkStart w:id="197" w:name="_Toc494745328"/>
      <w:bookmarkStart w:id="198" w:name="_Toc494721111"/>
      <w:bookmarkStart w:id="199" w:name="_Toc494665564"/>
      <w:bookmarkStart w:id="200" w:name="_Toc494702281"/>
      <w:bookmarkStart w:id="201" w:name="_Toc238276248"/>
      <w:bookmarkStart w:id="202" w:name="_Toc494665961"/>
    </w:p>
    <w:p/>
    <w:p/>
    <w:p/>
    <w:p>
      <w:pPr>
        <w:pStyle w:val="4"/>
        <w:numPr>
          <w:ilvl w:val="0"/>
          <w:numId w:val="61"/>
        </w:numPr>
        <w:spacing w:before="100" w:beforeAutospacing="1" w:afterLines="50" w:line="360" w:lineRule="auto"/>
        <w:ind w:left="1288" w:hanging="1288"/>
        <w:rPr>
          <w:rFonts w:ascii="宋体"/>
        </w:rPr>
      </w:pPr>
      <w:bookmarkStart w:id="203" w:name="_Toc106268638"/>
      <w:r>
        <w:rPr>
          <w:rFonts w:hint="eastAsia" w:ascii="宋体" w:hAnsi="宋体"/>
        </w:rPr>
        <w:t>投标人的资格声明</w:t>
      </w:r>
      <w:bookmarkEnd w:id="195"/>
      <w:bookmarkEnd w:id="196"/>
      <w:bookmarkEnd w:id="197"/>
      <w:bookmarkEnd w:id="198"/>
      <w:bookmarkEnd w:id="199"/>
      <w:bookmarkEnd w:id="200"/>
      <w:bookmarkEnd w:id="201"/>
      <w:bookmarkEnd w:id="202"/>
      <w:bookmarkEnd w:id="203"/>
    </w:p>
    <w:p>
      <w:pPr>
        <w:spacing w:line="360" w:lineRule="auto"/>
        <w:ind w:left="1078" w:hanging="1077" w:hangingChars="449"/>
        <w:jc w:val="left"/>
        <w:rPr>
          <w:rFonts w:ascii="宋体"/>
          <w:sz w:val="24"/>
          <w:szCs w:val="24"/>
        </w:rPr>
      </w:pPr>
      <w:r>
        <w:rPr>
          <w:rFonts w:ascii="宋体" w:hAnsi="宋体"/>
          <w:sz w:val="24"/>
          <w:szCs w:val="24"/>
        </w:rPr>
        <w:t>1</w:t>
      </w:r>
      <w:r>
        <w:rPr>
          <w:rFonts w:hint="eastAsia" w:ascii="宋体" w:hAnsi="宋体"/>
          <w:sz w:val="24"/>
          <w:szCs w:val="24"/>
        </w:rPr>
        <w:t>．名称及基本情况：</w:t>
      </w:r>
    </w:p>
    <w:p>
      <w:pPr>
        <w:spacing w:line="360" w:lineRule="exact"/>
        <w:ind w:firstLine="240" w:firstLineChars="100"/>
        <w:rPr>
          <w:rFonts w:ascii="宋体"/>
          <w:sz w:val="24"/>
          <w:szCs w:val="24"/>
        </w:rPr>
      </w:pPr>
      <w:r>
        <w:rPr>
          <w:rFonts w:hint="eastAsia" w:ascii="宋体" w:hAnsi="宋体"/>
          <w:sz w:val="24"/>
          <w:szCs w:val="24"/>
        </w:rPr>
        <w:t>（</w:t>
      </w:r>
      <w:r>
        <w:rPr>
          <w:rFonts w:ascii="宋体" w:hAnsi="宋体"/>
          <w:sz w:val="24"/>
          <w:szCs w:val="24"/>
        </w:rPr>
        <w:t>1</w:t>
      </w:r>
      <w:r>
        <w:rPr>
          <w:rFonts w:hint="eastAsia" w:ascii="宋体" w:hAnsi="宋体"/>
          <w:sz w:val="24"/>
          <w:szCs w:val="24"/>
        </w:rPr>
        <w:t>）投标人：</w:t>
      </w:r>
    </w:p>
    <w:p>
      <w:pPr>
        <w:spacing w:line="360" w:lineRule="exact"/>
        <w:ind w:firstLine="240" w:firstLineChars="100"/>
        <w:rPr>
          <w:rFonts w:ascii="宋体"/>
          <w:sz w:val="24"/>
          <w:szCs w:val="24"/>
        </w:rPr>
      </w:pPr>
      <w:r>
        <w:rPr>
          <w:rFonts w:hint="eastAsia" w:ascii="宋体" w:hAnsi="宋体"/>
          <w:sz w:val="24"/>
          <w:szCs w:val="24"/>
        </w:rPr>
        <w:t>（</w:t>
      </w:r>
      <w:r>
        <w:rPr>
          <w:rFonts w:ascii="宋体" w:hAnsi="宋体"/>
          <w:sz w:val="24"/>
          <w:szCs w:val="24"/>
        </w:rPr>
        <w:t>2</w:t>
      </w:r>
      <w:r>
        <w:rPr>
          <w:rFonts w:hint="eastAsia" w:ascii="宋体" w:hAnsi="宋体"/>
          <w:sz w:val="24"/>
          <w:szCs w:val="24"/>
        </w:rPr>
        <w:t>）地址：邮编：</w:t>
      </w:r>
    </w:p>
    <w:p>
      <w:pPr>
        <w:spacing w:line="360" w:lineRule="exact"/>
        <w:ind w:firstLine="840" w:firstLineChars="350"/>
        <w:rPr>
          <w:rFonts w:ascii="宋体"/>
          <w:sz w:val="24"/>
          <w:szCs w:val="24"/>
          <w:u w:val="single"/>
        </w:rPr>
      </w:pPr>
      <w:r>
        <w:rPr>
          <w:rFonts w:hint="eastAsia" w:ascii="宋体" w:hAnsi="宋体"/>
          <w:sz w:val="24"/>
          <w:szCs w:val="24"/>
        </w:rPr>
        <w:t>电话：传真：</w:t>
      </w:r>
    </w:p>
    <w:p>
      <w:pPr>
        <w:spacing w:line="360" w:lineRule="exact"/>
        <w:ind w:firstLine="240" w:firstLineChars="100"/>
        <w:rPr>
          <w:rFonts w:ascii="宋体"/>
          <w:sz w:val="24"/>
          <w:szCs w:val="24"/>
        </w:rPr>
      </w:pPr>
      <w:r>
        <w:rPr>
          <w:rFonts w:hint="eastAsia" w:ascii="宋体" w:hAnsi="宋体"/>
          <w:sz w:val="24"/>
          <w:szCs w:val="24"/>
        </w:rPr>
        <w:t>（</w:t>
      </w:r>
      <w:r>
        <w:rPr>
          <w:rFonts w:ascii="宋体" w:hAnsi="宋体"/>
          <w:sz w:val="24"/>
          <w:szCs w:val="24"/>
        </w:rPr>
        <w:t>3</w:t>
      </w:r>
      <w:r>
        <w:rPr>
          <w:rFonts w:hint="eastAsia" w:ascii="宋体" w:hAnsi="宋体"/>
          <w:sz w:val="24"/>
          <w:szCs w:val="24"/>
        </w:rPr>
        <w:t>）成立或注册日期：</w:t>
      </w:r>
    </w:p>
    <w:p>
      <w:pPr>
        <w:spacing w:line="360" w:lineRule="exact"/>
        <w:ind w:firstLine="240" w:firstLineChars="100"/>
        <w:rPr>
          <w:rFonts w:ascii="宋体"/>
          <w:sz w:val="24"/>
          <w:szCs w:val="24"/>
        </w:rPr>
      </w:pPr>
      <w:r>
        <w:rPr>
          <w:rFonts w:hint="eastAsia" w:ascii="宋体" w:hAnsi="宋体"/>
          <w:sz w:val="24"/>
          <w:szCs w:val="24"/>
        </w:rPr>
        <w:t>（</w:t>
      </w:r>
      <w:r>
        <w:rPr>
          <w:rFonts w:ascii="宋体" w:hAnsi="宋体"/>
          <w:sz w:val="24"/>
          <w:szCs w:val="24"/>
        </w:rPr>
        <w:t>4</w:t>
      </w:r>
      <w:r>
        <w:rPr>
          <w:rFonts w:hint="eastAsia" w:ascii="宋体" w:hAnsi="宋体"/>
          <w:sz w:val="24"/>
          <w:szCs w:val="24"/>
        </w:rPr>
        <w:t>）单位性质：</w:t>
      </w:r>
    </w:p>
    <w:p>
      <w:pPr>
        <w:spacing w:line="360" w:lineRule="exact"/>
        <w:ind w:firstLine="240" w:firstLineChars="100"/>
        <w:rPr>
          <w:rFonts w:ascii="宋体"/>
          <w:sz w:val="24"/>
          <w:szCs w:val="24"/>
        </w:rPr>
      </w:pPr>
      <w:r>
        <w:rPr>
          <w:rFonts w:hint="eastAsia" w:ascii="宋体" w:hAnsi="宋体"/>
          <w:sz w:val="24"/>
          <w:szCs w:val="24"/>
        </w:rPr>
        <w:t>（</w:t>
      </w:r>
      <w:r>
        <w:rPr>
          <w:rFonts w:ascii="宋体" w:hAnsi="宋体"/>
          <w:sz w:val="24"/>
          <w:szCs w:val="24"/>
        </w:rPr>
        <w:t>5</w:t>
      </w:r>
      <w:r>
        <w:rPr>
          <w:rFonts w:hint="eastAsia" w:ascii="宋体" w:hAnsi="宋体"/>
          <w:sz w:val="24"/>
          <w:szCs w:val="24"/>
        </w:rPr>
        <w:t>）法定代表人或主要负责人：</w:t>
      </w:r>
    </w:p>
    <w:p>
      <w:pPr>
        <w:spacing w:line="360" w:lineRule="exact"/>
        <w:ind w:firstLine="240" w:firstLineChars="100"/>
        <w:rPr>
          <w:rFonts w:ascii="宋体"/>
          <w:sz w:val="24"/>
          <w:szCs w:val="24"/>
        </w:rPr>
      </w:pPr>
      <w:r>
        <w:rPr>
          <w:rFonts w:hint="eastAsia" w:ascii="宋体" w:hAnsi="宋体"/>
          <w:sz w:val="24"/>
          <w:szCs w:val="24"/>
        </w:rPr>
        <w:t>（</w:t>
      </w:r>
      <w:r>
        <w:rPr>
          <w:rFonts w:ascii="宋体" w:hAnsi="宋体"/>
          <w:sz w:val="24"/>
          <w:szCs w:val="24"/>
        </w:rPr>
        <w:t>6</w:t>
      </w:r>
      <w:r>
        <w:rPr>
          <w:rFonts w:hint="eastAsia" w:ascii="宋体" w:hAnsi="宋体"/>
          <w:sz w:val="24"/>
          <w:szCs w:val="24"/>
        </w:rPr>
        <w:t>）员工人数：</w:t>
      </w:r>
    </w:p>
    <w:p>
      <w:pPr>
        <w:spacing w:line="360" w:lineRule="exact"/>
        <w:ind w:firstLine="240" w:firstLineChars="100"/>
        <w:rPr>
          <w:rFonts w:ascii="宋体"/>
          <w:sz w:val="24"/>
          <w:szCs w:val="24"/>
        </w:rPr>
      </w:pPr>
      <w:r>
        <w:rPr>
          <w:rFonts w:hint="eastAsia" w:ascii="宋体" w:hAnsi="宋体"/>
          <w:sz w:val="24"/>
          <w:szCs w:val="24"/>
        </w:rPr>
        <w:t>（</w:t>
      </w:r>
      <w:r>
        <w:rPr>
          <w:rFonts w:ascii="宋体" w:hAnsi="宋体"/>
          <w:sz w:val="24"/>
          <w:szCs w:val="24"/>
        </w:rPr>
        <w:t>7</w:t>
      </w:r>
      <w:r>
        <w:rPr>
          <w:rFonts w:hint="eastAsia" w:ascii="宋体" w:hAnsi="宋体"/>
          <w:sz w:val="24"/>
          <w:szCs w:val="24"/>
        </w:rPr>
        <w:t>）注册资本：</w:t>
      </w:r>
    </w:p>
    <w:p>
      <w:pPr>
        <w:spacing w:line="360" w:lineRule="exact"/>
        <w:ind w:firstLine="240" w:firstLineChars="100"/>
        <w:rPr>
          <w:rFonts w:ascii="宋体"/>
          <w:sz w:val="24"/>
          <w:szCs w:val="24"/>
        </w:rPr>
      </w:pPr>
      <w:r>
        <w:rPr>
          <w:rFonts w:hint="eastAsia" w:ascii="宋体" w:hAnsi="宋体"/>
          <w:sz w:val="24"/>
          <w:szCs w:val="24"/>
        </w:rPr>
        <w:t>（</w:t>
      </w:r>
      <w:r>
        <w:rPr>
          <w:rFonts w:ascii="宋体" w:hAnsi="宋体"/>
          <w:sz w:val="24"/>
          <w:szCs w:val="24"/>
        </w:rPr>
        <w:t>8</w:t>
      </w:r>
      <w:r>
        <w:rPr>
          <w:rFonts w:hint="eastAsia" w:ascii="宋体" w:hAnsi="宋体"/>
          <w:sz w:val="24"/>
          <w:szCs w:val="24"/>
        </w:rPr>
        <w:t>）实收资本：</w:t>
      </w:r>
    </w:p>
    <w:p>
      <w:pPr>
        <w:spacing w:line="360" w:lineRule="exact"/>
        <w:ind w:firstLine="240" w:firstLineChars="100"/>
        <w:rPr>
          <w:rFonts w:ascii="宋体"/>
          <w:sz w:val="24"/>
          <w:szCs w:val="24"/>
        </w:rPr>
      </w:pPr>
      <w:r>
        <w:rPr>
          <w:rFonts w:hint="eastAsia" w:ascii="宋体" w:hAnsi="宋体"/>
          <w:sz w:val="24"/>
          <w:szCs w:val="24"/>
        </w:rPr>
        <w:t>（</w:t>
      </w:r>
      <w:r>
        <w:rPr>
          <w:rFonts w:ascii="宋体" w:hAnsi="宋体"/>
          <w:sz w:val="24"/>
          <w:szCs w:val="24"/>
        </w:rPr>
        <w:t>9</w:t>
      </w:r>
      <w:r>
        <w:rPr>
          <w:rFonts w:hint="eastAsia" w:ascii="宋体" w:hAnsi="宋体"/>
          <w:sz w:val="24"/>
          <w:szCs w:val="24"/>
        </w:rPr>
        <w:t>）上年末资产负债表：</w:t>
      </w:r>
    </w:p>
    <w:p>
      <w:pPr>
        <w:spacing w:line="360" w:lineRule="exact"/>
        <w:ind w:firstLine="727" w:firstLineChars="303"/>
        <w:rPr>
          <w:rFonts w:ascii="宋体"/>
          <w:sz w:val="24"/>
          <w:szCs w:val="24"/>
        </w:rPr>
      </w:pPr>
      <w:r>
        <w:rPr>
          <w:rFonts w:ascii="宋体" w:hAnsi="宋体"/>
          <w:sz w:val="24"/>
          <w:szCs w:val="24"/>
        </w:rPr>
        <w:t>1</w:t>
      </w:r>
      <w:r>
        <w:rPr>
          <w:rFonts w:hint="eastAsia" w:ascii="宋体" w:hAnsi="宋体"/>
          <w:sz w:val="24"/>
          <w:szCs w:val="24"/>
        </w:rPr>
        <w:t>）固定资产</w:t>
      </w:r>
    </w:p>
    <w:p>
      <w:pPr>
        <w:spacing w:line="360" w:lineRule="exact"/>
        <w:ind w:firstLine="727" w:firstLineChars="303"/>
        <w:rPr>
          <w:rFonts w:ascii="宋体"/>
          <w:sz w:val="24"/>
          <w:szCs w:val="24"/>
        </w:rPr>
      </w:pPr>
      <w:r>
        <w:rPr>
          <w:rFonts w:hint="eastAsia" w:ascii="宋体" w:hAnsi="宋体"/>
          <w:sz w:val="24"/>
          <w:szCs w:val="24"/>
        </w:rPr>
        <w:t>原值：净值：</w:t>
      </w:r>
    </w:p>
    <w:p>
      <w:pPr>
        <w:spacing w:line="360" w:lineRule="exact"/>
        <w:ind w:firstLine="727" w:firstLineChars="303"/>
        <w:rPr>
          <w:rFonts w:ascii="宋体"/>
          <w:sz w:val="24"/>
          <w:szCs w:val="24"/>
        </w:rPr>
      </w:pPr>
      <w:r>
        <w:rPr>
          <w:rFonts w:ascii="宋体" w:hAnsi="宋体"/>
          <w:sz w:val="24"/>
          <w:szCs w:val="24"/>
        </w:rPr>
        <w:t>2</w:t>
      </w:r>
      <w:r>
        <w:rPr>
          <w:rFonts w:hint="eastAsia" w:ascii="宋体" w:hAnsi="宋体"/>
          <w:sz w:val="24"/>
          <w:szCs w:val="24"/>
        </w:rPr>
        <w:t>）流动资金：</w:t>
      </w:r>
    </w:p>
    <w:p>
      <w:pPr>
        <w:spacing w:line="360" w:lineRule="exact"/>
        <w:ind w:firstLine="727" w:firstLineChars="303"/>
        <w:rPr>
          <w:rFonts w:ascii="宋体"/>
          <w:sz w:val="24"/>
          <w:szCs w:val="24"/>
        </w:rPr>
      </w:pPr>
      <w:r>
        <w:rPr>
          <w:rFonts w:ascii="宋体" w:hAnsi="宋体"/>
          <w:sz w:val="24"/>
          <w:szCs w:val="24"/>
        </w:rPr>
        <w:t>3</w:t>
      </w:r>
      <w:r>
        <w:rPr>
          <w:rFonts w:hint="eastAsia" w:ascii="宋体" w:hAnsi="宋体"/>
          <w:sz w:val="24"/>
          <w:szCs w:val="24"/>
        </w:rPr>
        <w:t>）长期负债：</w:t>
      </w:r>
    </w:p>
    <w:p>
      <w:pPr>
        <w:spacing w:line="360" w:lineRule="exact"/>
        <w:ind w:firstLine="727" w:firstLineChars="303"/>
        <w:rPr>
          <w:rFonts w:ascii="宋体"/>
          <w:sz w:val="24"/>
          <w:szCs w:val="24"/>
        </w:rPr>
      </w:pPr>
      <w:r>
        <w:rPr>
          <w:rFonts w:ascii="宋体" w:hAnsi="宋体"/>
          <w:sz w:val="24"/>
          <w:szCs w:val="24"/>
        </w:rPr>
        <w:t>4</w:t>
      </w:r>
      <w:r>
        <w:rPr>
          <w:rFonts w:hint="eastAsia" w:ascii="宋体" w:hAnsi="宋体"/>
          <w:sz w:val="24"/>
          <w:szCs w:val="24"/>
        </w:rPr>
        <w:t>）短期负债：</w:t>
      </w:r>
    </w:p>
    <w:p>
      <w:pPr>
        <w:spacing w:line="360" w:lineRule="exact"/>
        <w:rPr>
          <w:rFonts w:ascii="宋体"/>
          <w:sz w:val="24"/>
          <w:szCs w:val="24"/>
        </w:rPr>
      </w:pPr>
      <w:r>
        <w:rPr>
          <w:rFonts w:ascii="宋体" w:hAnsi="宋体"/>
          <w:sz w:val="24"/>
          <w:szCs w:val="24"/>
        </w:rPr>
        <w:t>2</w:t>
      </w:r>
      <w:r>
        <w:rPr>
          <w:rFonts w:hint="eastAsia" w:ascii="宋体" w:hAnsi="宋体"/>
          <w:sz w:val="24"/>
          <w:szCs w:val="24"/>
        </w:rPr>
        <w:t>．与投标货物的生产、销售和服务有关的情况：</w:t>
      </w:r>
    </w:p>
    <w:p>
      <w:pPr>
        <w:spacing w:line="360" w:lineRule="exact"/>
        <w:ind w:firstLine="240" w:firstLineChars="100"/>
        <w:rPr>
          <w:rFonts w:ascii="宋体"/>
          <w:sz w:val="24"/>
          <w:szCs w:val="24"/>
        </w:rPr>
      </w:pPr>
      <w:r>
        <w:rPr>
          <w:rFonts w:hint="eastAsia" w:ascii="宋体" w:hAnsi="宋体"/>
          <w:sz w:val="24"/>
          <w:szCs w:val="24"/>
        </w:rPr>
        <w:t>（</w:t>
      </w:r>
      <w:r>
        <w:rPr>
          <w:rFonts w:ascii="宋体" w:hAnsi="宋体"/>
          <w:sz w:val="24"/>
          <w:szCs w:val="24"/>
        </w:rPr>
        <w:t>1</w:t>
      </w:r>
      <w:r>
        <w:rPr>
          <w:rFonts w:hint="eastAsia" w:ascii="宋体" w:hAnsi="宋体"/>
          <w:sz w:val="24"/>
          <w:szCs w:val="24"/>
        </w:rPr>
        <w:t>）关于制造投标货物的设施及其它情况：</w:t>
      </w:r>
    </w:p>
    <w:tbl>
      <w:tblPr>
        <w:tblStyle w:val="28"/>
        <w:tblW w:w="9533"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83"/>
        <w:gridCol w:w="2383"/>
        <w:gridCol w:w="2383"/>
        <w:gridCol w:w="23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83" w:type="dxa"/>
            <w:shd w:val="pct10" w:color="auto" w:fill="auto"/>
            <w:vAlign w:val="center"/>
          </w:tcPr>
          <w:p>
            <w:pPr>
              <w:adjustRightInd w:val="0"/>
              <w:snapToGrid w:val="0"/>
              <w:spacing w:before="100" w:beforeAutospacing="1" w:after="100" w:afterAutospacing="1" w:line="360" w:lineRule="exact"/>
              <w:jc w:val="center"/>
              <w:rPr>
                <w:rFonts w:ascii="宋体"/>
                <w:sz w:val="24"/>
                <w:szCs w:val="24"/>
              </w:rPr>
            </w:pPr>
            <w:r>
              <w:rPr>
                <w:rFonts w:hint="eastAsia" w:ascii="宋体" w:hAnsi="宋体"/>
                <w:sz w:val="24"/>
                <w:szCs w:val="24"/>
              </w:rPr>
              <w:t>生产基地地址</w:t>
            </w:r>
          </w:p>
        </w:tc>
        <w:tc>
          <w:tcPr>
            <w:tcW w:w="2383" w:type="dxa"/>
            <w:shd w:val="pct10" w:color="auto" w:fill="auto"/>
            <w:vAlign w:val="center"/>
          </w:tcPr>
          <w:p>
            <w:pPr>
              <w:adjustRightInd w:val="0"/>
              <w:snapToGrid w:val="0"/>
              <w:spacing w:before="100" w:beforeAutospacing="1" w:after="100" w:afterAutospacing="1" w:line="360" w:lineRule="exact"/>
              <w:jc w:val="center"/>
              <w:rPr>
                <w:rFonts w:ascii="宋体"/>
                <w:sz w:val="24"/>
                <w:szCs w:val="24"/>
              </w:rPr>
            </w:pPr>
            <w:r>
              <w:rPr>
                <w:rFonts w:hint="eastAsia" w:ascii="宋体" w:hAnsi="宋体"/>
                <w:sz w:val="24"/>
                <w:szCs w:val="24"/>
              </w:rPr>
              <w:t>生产的项目</w:t>
            </w:r>
          </w:p>
        </w:tc>
        <w:tc>
          <w:tcPr>
            <w:tcW w:w="2383" w:type="dxa"/>
            <w:shd w:val="pct10" w:color="auto" w:fill="auto"/>
            <w:vAlign w:val="center"/>
          </w:tcPr>
          <w:p>
            <w:pPr>
              <w:adjustRightInd w:val="0"/>
              <w:snapToGrid w:val="0"/>
              <w:spacing w:before="100" w:beforeAutospacing="1" w:after="100" w:afterAutospacing="1" w:line="360" w:lineRule="exact"/>
              <w:jc w:val="center"/>
              <w:rPr>
                <w:rFonts w:ascii="宋体"/>
                <w:sz w:val="24"/>
                <w:szCs w:val="24"/>
              </w:rPr>
            </w:pPr>
            <w:r>
              <w:rPr>
                <w:rFonts w:hint="eastAsia" w:ascii="宋体" w:hAnsi="宋体"/>
                <w:sz w:val="24"/>
                <w:szCs w:val="24"/>
              </w:rPr>
              <w:t>年生产能力</w:t>
            </w:r>
          </w:p>
        </w:tc>
        <w:tc>
          <w:tcPr>
            <w:tcW w:w="2384" w:type="dxa"/>
            <w:shd w:val="pct10" w:color="auto" w:fill="auto"/>
            <w:vAlign w:val="center"/>
          </w:tcPr>
          <w:p>
            <w:pPr>
              <w:adjustRightInd w:val="0"/>
              <w:snapToGrid w:val="0"/>
              <w:spacing w:before="100" w:beforeAutospacing="1" w:after="100" w:afterAutospacing="1" w:line="360" w:lineRule="exact"/>
              <w:jc w:val="center"/>
              <w:rPr>
                <w:rFonts w:ascii="宋体"/>
                <w:sz w:val="24"/>
                <w:szCs w:val="24"/>
              </w:rPr>
            </w:pPr>
            <w:r>
              <w:rPr>
                <w:rFonts w:hint="eastAsia" w:ascii="宋体" w:hAnsi="宋体"/>
                <w:sz w:val="24"/>
                <w:szCs w:val="24"/>
              </w:rPr>
              <w:t>员工人数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2383" w:type="dxa"/>
            <w:vAlign w:val="center"/>
          </w:tcPr>
          <w:p>
            <w:pPr>
              <w:adjustRightInd w:val="0"/>
              <w:snapToGrid w:val="0"/>
              <w:spacing w:before="100" w:beforeAutospacing="1" w:after="100" w:afterAutospacing="1" w:line="360" w:lineRule="exact"/>
              <w:jc w:val="center"/>
              <w:rPr>
                <w:rFonts w:ascii="宋体"/>
                <w:sz w:val="24"/>
                <w:szCs w:val="24"/>
              </w:rPr>
            </w:pPr>
          </w:p>
        </w:tc>
        <w:tc>
          <w:tcPr>
            <w:tcW w:w="2383" w:type="dxa"/>
            <w:vAlign w:val="center"/>
          </w:tcPr>
          <w:p>
            <w:pPr>
              <w:adjustRightInd w:val="0"/>
              <w:snapToGrid w:val="0"/>
              <w:spacing w:before="100" w:beforeAutospacing="1" w:after="100" w:afterAutospacing="1" w:line="360" w:lineRule="exact"/>
              <w:jc w:val="center"/>
              <w:rPr>
                <w:rFonts w:ascii="宋体"/>
                <w:sz w:val="24"/>
                <w:szCs w:val="24"/>
              </w:rPr>
            </w:pPr>
          </w:p>
        </w:tc>
        <w:tc>
          <w:tcPr>
            <w:tcW w:w="2383" w:type="dxa"/>
            <w:vAlign w:val="center"/>
          </w:tcPr>
          <w:p>
            <w:pPr>
              <w:adjustRightInd w:val="0"/>
              <w:snapToGrid w:val="0"/>
              <w:spacing w:before="100" w:beforeAutospacing="1" w:after="100" w:afterAutospacing="1" w:line="360" w:lineRule="exact"/>
              <w:jc w:val="center"/>
              <w:rPr>
                <w:rFonts w:ascii="宋体"/>
                <w:sz w:val="24"/>
                <w:szCs w:val="24"/>
              </w:rPr>
            </w:pPr>
          </w:p>
        </w:tc>
        <w:tc>
          <w:tcPr>
            <w:tcW w:w="2384" w:type="dxa"/>
            <w:vAlign w:val="center"/>
          </w:tcPr>
          <w:p>
            <w:pPr>
              <w:adjustRightInd w:val="0"/>
              <w:snapToGrid w:val="0"/>
              <w:spacing w:before="100" w:beforeAutospacing="1" w:after="100" w:afterAutospacing="1" w:line="360" w:lineRule="exact"/>
              <w:jc w:val="center"/>
              <w:rPr>
                <w:rFonts w:asci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2383" w:type="dxa"/>
            <w:vAlign w:val="center"/>
          </w:tcPr>
          <w:p>
            <w:pPr>
              <w:adjustRightInd w:val="0"/>
              <w:snapToGrid w:val="0"/>
              <w:spacing w:before="100" w:beforeAutospacing="1" w:after="100" w:afterAutospacing="1" w:line="360" w:lineRule="exact"/>
              <w:jc w:val="center"/>
              <w:rPr>
                <w:rFonts w:ascii="宋体"/>
                <w:sz w:val="24"/>
                <w:szCs w:val="24"/>
              </w:rPr>
            </w:pPr>
          </w:p>
        </w:tc>
        <w:tc>
          <w:tcPr>
            <w:tcW w:w="2383" w:type="dxa"/>
            <w:vAlign w:val="center"/>
          </w:tcPr>
          <w:p>
            <w:pPr>
              <w:adjustRightInd w:val="0"/>
              <w:snapToGrid w:val="0"/>
              <w:spacing w:before="100" w:beforeAutospacing="1" w:after="100" w:afterAutospacing="1" w:line="360" w:lineRule="exact"/>
              <w:jc w:val="center"/>
              <w:rPr>
                <w:rFonts w:ascii="宋体"/>
                <w:sz w:val="24"/>
                <w:szCs w:val="24"/>
              </w:rPr>
            </w:pPr>
          </w:p>
        </w:tc>
        <w:tc>
          <w:tcPr>
            <w:tcW w:w="2383" w:type="dxa"/>
            <w:vAlign w:val="center"/>
          </w:tcPr>
          <w:p>
            <w:pPr>
              <w:adjustRightInd w:val="0"/>
              <w:snapToGrid w:val="0"/>
              <w:spacing w:before="100" w:beforeAutospacing="1" w:after="100" w:afterAutospacing="1" w:line="360" w:lineRule="exact"/>
              <w:jc w:val="center"/>
              <w:rPr>
                <w:rFonts w:ascii="宋体"/>
                <w:sz w:val="24"/>
                <w:szCs w:val="24"/>
              </w:rPr>
            </w:pPr>
          </w:p>
        </w:tc>
        <w:tc>
          <w:tcPr>
            <w:tcW w:w="2384" w:type="dxa"/>
            <w:vAlign w:val="center"/>
          </w:tcPr>
          <w:p>
            <w:pPr>
              <w:adjustRightInd w:val="0"/>
              <w:snapToGrid w:val="0"/>
              <w:spacing w:before="100" w:beforeAutospacing="1" w:after="100" w:afterAutospacing="1" w:line="360" w:lineRule="exact"/>
              <w:jc w:val="center"/>
              <w:rPr>
                <w:rFonts w:ascii="宋体"/>
                <w:sz w:val="24"/>
                <w:szCs w:val="24"/>
              </w:rPr>
            </w:pPr>
          </w:p>
        </w:tc>
      </w:tr>
    </w:tbl>
    <w:p>
      <w:pPr>
        <w:spacing w:line="360" w:lineRule="exact"/>
        <w:ind w:firstLine="240" w:firstLineChars="100"/>
        <w:rPr>
          <w:rFonts w:ascii="宋体"/>
          <w:sz w:val="24"/>
          <w:szCs w:val="24"/>
        </w:rPr>
      </w:pPr>
      <w:r>
        <w:rPr>
          <w:rFonts w:hint="eastAsia" w:ascii="宋体" w:hAnsi="宋体"/>
          <w:sz w:val="24"/>
          <w:szCs w:val="24"/>
        </w:rPr>
        <w:t>（</w:t>
      </w:r>
      <w:r>
        <w:rPr>
          <w:rFonts w:ascii="宋体" w:hAnsi="宋体"/>
          <w:sz w:val="24"/>
          <w:szCs w:val="24"/>
        </w:rPr>
        <w:t>2</w:t>
      </w:r>
      <w:r>
        <w:rPr>
          <w:rFonts w:hint="eastAsia" w:ascii="宋体" w:hAnsi="宋体"/>
          <w:sz w:val="24"/>
          <w:szCs w:val="24"/>
        </w:rPr>
        <w:t>）投标人生产此投标货物的经验（包括年限、项目业主、额定能力、商业运营的起始日期等）：</w:t>
      </w:r>
    </w:p>
    <w:p>
      <w:pPr>
        <w:spacing w:line="360" w:lineRule="exact"/>
        <w:ind w:firstLine="240" w:firstLineChars="100"/>
        <w:rPr>
          <w:rFonts w:ascii="宋体"/>
          <w:sz w:val="24"/>
          <w:szCs w:val="24"/>
        </w:rPr>
      </w:pPr>
      <w:r>
        <w:rPr>
          <w:rFonts w:hint="eastAsia" w:ascii="宋体" w:hAnsi="宋体"/>
          <w:sz w:val="24"/>
          <w:szCs w:val="24"/>
        </w:rPr>
        <w:t>（</w:t>
      </w:r>
      <w:r>
        <w:rPr>
          <w:rFonts w:ascii="宋体" w:hAnsi="宋体"/>
          <w:sz w:val="24"/>
          <w:szCs w:val="24"/>
        </w:rPr>
        <w:t>3</w:t>
      </w:r>
      <w:r>
        <w:rPr>
          <w:rFonts w:hint="eastAsia" w:ascii="宋体" w:hAnsi="宋体"/>
          <w:sz w:val="24"/>
          <w:szCs w:val="24"/>
        </w:rPr>
        <w:t>）销售、服务网点分布（可另行附表）：</w:t>
      </w:r>
    </w:p>
    <w:tbl>
      <w:tblPr>
        <w:tblStyle w:val="28"/>
        <w:tblW w:w="9533"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47"/>
        <w:gridCol w:w="2155"/>
        <w:gridCol w:w="1763"/>
        <w:gridCol w:w="1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7" w:type="dxa"/>
            <w:shd w:val="pct10" w:color="auto" w:fill="auto"/>
            <w:vAlign w:val="center"/>
          </w:tcPr>
          <w:p>
            <w:pPr>
              <w:adjustRightInd w:val="0"/>
              <w:snapToGrid w:val="0"/>
              <w:spacing w:before="100" w:beforeAutospacing="1" w:after="100" w:afterAutospacing="1" w:line="360" w:lineRule="exact"/>
              <w:jc w:val="center"/>
              <w:rPr>
                <w:rFonts w:ascii="宋体"/>
                <w:sz w:val="24"/>
                <w:szCs w:val="24"/>
              </w:rPr>
            </w:pPr>
            <w:r>
              <w:rPr>
                <w:rFonts w:hint="eastAsia" w:ascii="宋体" w:hAnsi="宋体"/>
                <w:sz w:val="24"/>
                <w:szCs w:val="24"/>
              </w:rPr>
              <w:t>销售服务网点名称和地址</w:t>
            </w:r>
          </w:p>
        </w:tc>
        <w:tc>
          <w:tcPr>
            <w:tcW w:w="2155" w:type="dxa"/>
            <w:shd w:val="pct10" w:color="auto" w:fill="auto"/>
            <w:vAlign w:val="center"/>
          </w:tcPr>
          <w:p>
            <w:pPr>
              <w:adjustRightInd w:val="0"/>
              <w:snapToGrid w:val="0"/>
              <w:spacing w:before="100" w:beforeAutospacing="1" w:after="100" w:afterAutospacing="1" w:line="360" w:lineRule="exact"/>
              <w:jc w:val="center"/>
              <w:rPr>
                <w:rFonts w:ascii="宋体"/>
                <w:sz w:val="24"/>
                <w:szCs w:val="24"/>
              </w:rPr>
            </w:pPr>
            <w:r>
              <w:rPr>
                <w:rFonts w:hint="eastAsia" w:ascii="宋体" w:hAnsi="宋体"/>
                <w:sz w:val="24"/>
                <w:szCs w:val="24"/>
              </w:rPr>
              <w:t>主要服务范围</w:t>
            </w:r>
          </w:p>
        </w:tc>
        <w:tc>
          <w:tcPr>
            <w:tcW w:w="1763" w:type="dxa"/>
            <w:shd w:val="pct10" w:color="auto" w:fill="auto"/>
            <w:vAlign w:val="center"/>
          </w:tcPr>
          <w:p>
            <w:pPr>
              <w:adjustRightInd w:val="0"/>
              <w:snapToGrid w:val="0"/>
              <w:spacing w:before="100" w:beforeAutospacing="1" w:after="100" w:afterAutospacing="1" w:line="360" w:lineRule="exact"/>
              <w:jc w:val="center"/>
              <w:rPr>
                <w:rFonts w:ascii="宋体"/>
                <w:sz w:val="24"/>
                <w:szCs w:val="24"/>
              </w:rPr>
            </w:pPr>
            <w:r>
              <w:rPr>
                <w:rFonts w:hint="eastAsia" w:ascii="宋体" w:hAnsi="宋体"/>
                <w:sz w:val="24"/>
                <w:szCs w:val="24"/>
              </w:rPr>
              <w:t>服务人员数</w:t>
            </w:r>
          </w:p>
        </w:tc>
        <w:tc>
          <w:tcPr>
            <w:tcW w:w="1968" w:type="dxa"/>
            <w:shd w:val="pct10" w:color="auto" w:fill="auto"/>
            <w:vAlign w:val="center"/>
          </w:tcPr>
          <w:p>
            <w:pPr>
              <w:adjustRightInd w:val="0"/>
              <w:snapToGrid w:val="0"/>
              <w:spacing w:before="100" w:beforeAutospacing="1" w:after="100" w:afterAutospacing="1" w:line="360" w:lineRule="exact"/>
              <w:jc w:val="center"/>
              <w:rPr>
                <w:rFonts w:ascii="宋体"/>
                <w:sz w:val="24"/>
                <w:szCs w:val="24"/>
              </w:rPr>
            </w:pPr>
            <w:r>
              <w:rPr>
                <w:rFonts w:hint="eastAsia" w:ascii="宋体" w:hAnsi="宋体"/>
                <w:sz w:val="24"/>
                <w:szCs w:val="24"/>
              </w:rPr>
              <w:t>内部等级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trPr>
        <w:tc>
          <w:tcPr>
            <w:tcW w:w="3647" w:type="dxa"/>
            <w:vAlign w:val="center"/>
          </w:tcPr>
          <w:p>
            <w:pPr>
              <w:adjustRightInd w:val="0"/>
              <w:snapToGrid w:val="0"/>
              <w:spacing w:before="100" w:beforeAutospacing="1" w:after="100" w:afterAutospacing="1" w:line="360" w:lineRule="exact"/>
              <w:jc w:val="center"/>
              <w:rPr>
                <w:rFonts w:ascii="宋体"/>
                <w:sz w:val="24"/>
                <w:szCs w:val="24"/>
              </w:rPr>
            </w:pPr>
          </w:p>
        </w:tc>
        <w:tc>
          <w:tcPr>
            <w:tcW w:w="2155" w:type="dxa"/>
            <w:vAlign w:val="center"/>
          </w:tcPr>
          <w:p>
            <w:pPr>
              <w:adjustRightInd w:val="0"/>
              <w:snapToGrid w:val="0"/>
              <w:spacing w:before="100" w:beforeAutospacing="1" w:after="100" w:afterAutospacing="1" w:line="360" w:lineRule="exact"/>
              <w:jc w:val="center"/>
              <w:rPr>
                <w:rFonts w:ascii="宋体"/>
                <w:sz w:val="24"/>
                <w:szCs w:val="24"/>
              </w:rPr>
            </w:pPr>
          </w:p>
        </w:tc>
        <w:tc>
          <w:tcPr>
            <w:tcW w:w="1763" w:type="dxa"/>
            <w:vAlign w:val="center"/>
          </w:tcPr>
          <w:p>
            <w:pPr>
              <w:adjustRightInd w:val="0"/>
              <w:snapToGrid w:val="0"/>
              <w:spacing w:before="100" w:beforeAutospacing="1" w:after="100" w:afterAutospacing="1" w:line="360" w:lineRule="exact"/>
              <w:jc w:val="center"/>
              <w:rPr>
                <w:rFonts w:ascii="宋体"/>
                <w:sz w:val="24"/>
                <w:szCs w:val="24"/>
              </w:rPr>
            </w:pPr>
          </w:p>
        </w:tc>
        <w:tc>
          <w:tcPr>
            <w:tcW w:w="1968" w:type="dxa"/>
            <w:vAlign w:val="center"/>
          </w:tcPr>
          <w:p>
            <w:pPr>
              <w:adjustRightInd w:val="0"/>
              <w:snapToGrid w:val="0"/>
              <w:spacing w:before="100" w:beforeAutospacing="1" w:after="100" w:afterAutospacing="1" w:line="360" w:lineRule="exact"/>
              <w:jc w:val="center"/>
              <w:rPr>
                <w:rFonts w:asci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trPr>
        <w:tc>
          <w:tcPr>
            <w:tcW w:w="3647" w:type="dxa"/>
            <w:vAlign w:val="center"/>
          </w:tcPr>
          <w:p>
            <w:pPr>
              <w:adjustRightInd w:val="0"/>
              <w:snapToGrid w:val="0"/>
              <w:spacing w:before="100" w:beforeAutospacing="1" w:after="100" w:afterAutospacing="1" w:line="360" w:lineRule="exact"/>
              <w:jc w:val="center"/>
              <w:rPr>
                <w:rFonts w:ascii="宋体"/>
                <w:sz w:val="24"/>
                <w:szCs w:val="24"/>
              </w:rPr>
            </w:pPr>
          </w:p>
        </w:tc>
        <w:tc>
          <w:tcPr>
            <w:tcW w:w="2155" w:type="dxa"/>
            <w:vAlign w:val="center"/>
          </w:tcPr>
          <w:p>
            <w:pPr>
              <w:adjustRightInd w:val="0"/>
              <w:snapToGrid w:val="0"/>
              <w:spacing w:before="100" w:beforeAutospacing="1" w:after="100" w:afterAutospacing="1" w:line="360" w:lineRule="exact"/>
              <w:jc w:val="center"/>
              <w:rPr>
                <w:rFonts w:ascii="宋体"/>
                <w:sz w:val="24"/>
                <w:szCs w:val="24"/>
              </w:rPr>
            </w:pPr>
          </w:p>
        </w:tc>
        <w:tc>
          <w:tcPr>
            <w:tcW w:w="1763" w:type="dxa"/>
            <w:vAlign w:val="center"/>
          </w:tcPr>
          <w:p>
            <w:pPr>
              <w:adjustRightInd w:val="0"/>
              <w:snapToGrid w:val="0"/>
              <w:spacing w:before="100" w:beforeAutospacing="1" w:after="100" w:afterAutospacing="1" w:line="360" w:lineRule="exact"/>
              <w:jc w:val="center"/>
              <w:rPr>
                <w:rFonts w:ascii="宋体"/>
                <w:sz w:val="24"/>
                <w:szCs w:val="24"/>
              </w:rPr>
            </w:pPr>
          </w:p>
        </w:tc>
        <w:tc>
          <w:tcPr>
            <w:tcW w:w="1968" w:type="dxa"/>
            <w:vAlign w:val="center"/>
          </w:tcPr>
          <w:p>
            <w:pPr>
              <w:adjustRightInd w:val="0"/>
              <w:snapToGrid w:val="0"/>
              <w:spacing w:before="100" w:beforeAutospacing="1" w:after="100" w:afterAutospacing="1" w:line="360" w:lineRule="exact"/>
              <w:jc w:val="center"/>
              <w:rPr>
                <w:rFonts w:ascii="宋体"/>
                <w:sz w:val="24"/>
                <w:szCs w:val="24"/>
              </w:rPr>
            </w:pPr>
          </w:p>
        </w:tc>
      </w:tr>
    </w:tbl>
    <w:p>
      <w:pPr>
        <w:spacing w:line="360" w:lineRule="exact"/>
        <w:rPr>
          <w:rFonts w:ascii="宋体"/>
          <w:sz w:val="24"/>
          <w:szCs w:val="24"/>
        </w:rPr>
      </w:pPr>
      <w:r>
        <w:rPr>
          <w:rFonts w:ascii="宋体" w:hAnsi="宋体"/>
          <w:sz w:val="24"/>
          <w:szCs w:val="24"/>
        </w:rPr>
        <w:t>3</w:t>
      </w:r>
      <w:r>
        <w:rPr>
          <w:rFonts w:hint="eastAsia" w:ascii="宋体" w:hAnsi="宋体"/>
          <w:sz w:val="24"/>
          <w:szCs w:val="24"/>
        </w:rPr>
        <w:t>．投标人认为需要声明的其它情况：</w:t>
      </w:r>
    </w:p>
    <w:p>
      <w:pPr>
        <w:spacing w:line="360" w:lineRule="exact"/>
        <w:ind w:firstLine="475" w:firstLineChars="198"/>
        <w:rPr>
          <w:rFonts w:ascii="宋体"/>
          <w:sz w:val="24"/>
          <w:szCs w:val="24"/>
        </w:rPr>
      </w:pPr>
      <w:r>
        <w:rPr>
          <w:rFonts w:hint="eastAsia" w:ascii="宋体" w:hAnsi="宋体"/>
          <w:sz w:val="24"/>
          <w:szCs w:val="24"/>
        </w:rPr>
        <w:t>兹证明上述声明是真实的、正确，并提供了全部能提供的资料和数据，同意按照集中采购机构要求出示有关证明文件。</w:t>
      </w:r>
    </w:p>
    <w:p>
      <w:pPr>
        <w:spacing w:line="360" w:lineRule="auto"/>
        <w:ind w:left="504" w:leftChars="240"/>
        <w:rPr>
          <w:rFonts w:ascii="宋体"/>
          <w:b/>
          <w:sz w:val="24"/>
          <w:szCs w:val="24"/>
        </w:rPr>
      </w:pPr>
      <w:r>
        <w:rPr>
          <w:rFonts w:hint="eastAsia" w:ascii="宋体" w:hAnsi="宋体"/>
          <w:b/>
          <w:sz w:val="24"/>
          <w:szCs w:val="24"/>
        </w:rPr>
        <w:t>投标人</w:t>
      </w:r>
      <w:r>
        <w:rPr>
          <w:rFonts w:hint="eastAsia" w:ascii="Times New Roman" w:hAnsi="宋体"/>
          <w:b/>
          <w:sz w:val="24"/>
          <w:szCs w:val="24"/>
        </w:rPr>
        <w:t>（公章）</w:t>
      </w:r>
      <w:r>
        <w:rPr>
          <w:rFonts w:hint="eastAsia" w:ascii="宋体" w:hAnsi="宋体"/>
          <w:b/>
          <w:sz w:val="24"/>
          <w:szCs w:val="24"/>
        </w:rPr>
        <w:t>：</w:t>
      </w:r>
    </w:p>
    <w:p>
      <w:pPr>
        <w:spacing w:line="360" w:lineRule="auto"/>
        <w:ind w:left="504" w:leftChars="240"/>
        <w:rPr>
          <w:rFonts w:ascii="宋体"/>
          <w:b/>
          <w:sz w:val="24"/>
          <w:szCs w:val="24"/>
        </w:rPr>
      </w:pPr>
      <w:r>
        <w:rPr>
          <w:rFonts w:hint="eastAsia" w:ascii="Times New Roman" w:hAnsi="宋体"/>
          <w:b/>
          <w:sz w:val="24"/>
          <w:szCs w:val="24"/>
        </w:rPr>
        <w:t>法定代表人（签字或盖章）</w:t>
      </w:r>
      <w:r>
        <w:rPr>
          <w:rFonts w:hint="eastAsia" w:ascii="宋体" w:hAnsi="宋体"/>
          <w:b/>
          <w:sz w:val="24"/>
          <w:szCs w:val="24"/>
        </w:rPr>
        <w:t>：</w:t>
      </w:r>
    </w:p>
    <w:p>
      <w:pPr>
        <w:spacing w:line="360" w:lineRule="auto"/>
        <w:ind w:left="504" w:leftChars="240"/>
        <w:rPr>
          <w:rFonts w:ascii="宋体"/>
          <w:b/>
          <w:sz w:val="24"/>
          <w:szCs w:val="24"/>
        </w:rPr>
      </w:pPr>
      <w:r>
        <w:rPr>
          <w:rFonts w:hint="eastAsia" w:ascii="宋体" w:hAnsi="宋体"/>
          <w:b/>
          <w:sz w:val="24"/>
          <w:szCs w:val="24"/>
        </w:rPr>
        <w:t>电话：</w:t>
      </w:r>
    </w:p>
    <w:p>
      <w:pPr>
        <w:spacing w:line="360" w:lineRule="auto"/>
        <w:ind w:left="504" w:leftChars="240"/>
        <w:rPr>
          <w:rFonts w:ascii="宋体"/>
          <w:b/>
          <w:sz w:val="24"/>
          <w:szCs w:val="24"/>
          <w:u w:val="single"/>
        </w:rPr>
      </w:pPr>
      <w:r>
        <w:rPr>
          <w:rFonts w:hint="eastAsia" w:ascii="宋体" w:hAnsi="宋体"/>
          <w:b/>
          <w:sz w:val="24"/>
          <w:szCs w:val="24"/>
        </w:rPr>
        <w:t>传真：</w:t>
      </w:r>
    </w:p>
    <w:p>
      <w:pPr>
        <w:spacing w:line="360" w:lineRule="auto"/>
        <w:ind w:left="504" w:leftChars="240"/>
        <w:rPr>
          <w:rFonts w:ascii="宋体"/>
          <w:b/>
          <w:sz w:val="24"/>
          <w:szCs w:val="24"/>
        </w:rPr>
      </w:pPr>
      <w:r>
        <w:rPr>
          <w:rFonts w:hint="eastAsia" w:ascii="宋体" w:hAnsi="宋体"/>
          <w:b/>
          <w:sz w:val="24"/>
          <w:szCs w:val="24"/>
        </w:rPr>
        <w:t>日期：年月日</w:t>
      </w:r>
    </w:p>
    <w:p>
      <w:pPr>
        <w:pStyle w:val="4"/>
        <w:numPr>
          <w:ilvl w:val="0"/>
          <w:numId w:val="61"/>
        </w:numPr>
        <w:spacing w:before="100" w:beforeAutospacing="1" w:afterLines="50" w:line="360" w:lineRule="auto"/>
        <w:ind w:left="1610" w:hanging="1610"/>
        <w:rPr>
          <w:rFonts w:ascii="宋体"/>
        </w:rPr>
      </w:pPr>
      <w:bookmarkStart w:id="204" w:name="_Toc494665962"/>
      <w:bookmarkStart w:id="205" w:name="_Toc494745329"/>
      <w:bookmarkStart w:id="206" w:name="_Toc106268639"/>
      <w:bookmarkStart w:id="207" w:name="_Toc494702282"/>
      <w:bookmarkStart w:id="208" w:name="_Toc494665565"/>
      <w:bookmarkStart w:id="209" w:name="_Toc494721112"/>
      <w:bookmarkStart w:id="210" w:name="_Toc494665012"/>
      <w:r>
        <w:rPr>
          <w:rFonts w:hint="eastAsia" w:ascii="宋体" w:hAnsi="宋体"/>
        </w:rPr>
        <w:t>项目负责人、技术负责人简历表</w:t>
      </w:r>
      <w:bookmarkEnd w:id="204"/>
      <w:bookmarkEnd w:id="205"/>
      <w:bookmarkEnd w:id="206"/>
      <w:bookmarkEnd w:id="207"/>
      <w:bookmarkEnd w:id="208"/>
      <w:bookmarkEnd w:id="209"/>
      <w:bookmarkEnd w:id="210"/>
    </w:p>
    <w:p>
      <w:pPr>
        <w:spacing w:line="360" w:lineRule="auto"/>
        <w:jc w:val="left"/>
        <w:rPr>
          <w:rFonts w:hAnsi="宋体"/>
          <w:b/>
          <w:sz w:val="24"/>
        </w:rPr>
      </w:pPr>
      <w:r>
        <w:rPr>
          <w:rFonts w:hint="eastAsia" w:hAnsi="宋体"/>
          <w:b/>
          <w:sz w:val="24"/>
        </w:rPr>
        <w:t>投标人：</w:t>
      </w:r>
    </w:p>
    <w:p>
      <w:pPr>
        <w:spacing w:line="360" w:lineRule="auto"/>
        <w:jc w:val="left"/>
        <w:rPr>
          <w:rFonts w:hAnsi="宋体"/>
          <w:b/>
          <w:sz w:val="24"/>
        </w:rPr>
      </w:pPr>
      <w:r>
        <w:rPr>
          <w:rFonts w:hint="eastAsia" w:ascii="宋体" w:hAnsi="宋体"/>
          <w:b/>
          <w:sz w:val="24"/>
          <w:szCs w:val="21"/>
          <w:lang w:val="zh-CN"/>
        </w:rPr>
        <w:t>项目编号：</w:t>
      </w:r>
      <w:r>
        <w:rPr>
          <w:rFonts w:hint="eastAsia" w:ascii="宋体" w:hAnsi="宋体"/>
          <w:b/>
          <w:bCs/>
          <w:sz w:val="24"/>
          <w:szCs w:val="21"/>
          <w:lang w:val="zh-CN"/>
        </w:rPr>
        <w:t>所投包号：</w:t>
      </w:r>
    </w:p>
    <w:tbl>
      <w:tblPr>
        <w:tblStyle w:val="28"/>
        <w:tblW w:w="93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2"/>
        <w:gridCol w:w="306"/>
        <w:gridCol w:w="1224"/>
        <w:gridCol w:w="612"/>
        <w:gridCol w:w="918"/>
        <w:gridCol w:w="918"/>
        <w:gridCol w:w="612"/>
        <w:gridCol w:w="1224"/>
        <w:gridCol w:w="306"/>
        <w:gridCol w:w="1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2" w:type="dxa"/>
            <w:vAlign w:val="center"/>
          </w:tcPr>
          <w:p>
            <w:pPr>
              <w:autoSpaceDE w:val="0"/>
              <w:autoSpaceDN w:val="0"/>
              <w:adjustRightInd w:val="0"/>
              <w:spacing w:line="360" w:lineRule="auto"/>
              <w:jc w:val="center"/>
              <w:rPr>
                <w:rFonts w:ascii="宋体"/>
                <w:kern w:val="0"/>
                <w:sz w:val="24"/>
                <w:szCs w:val="28"/>
              </w:rPr>
            </w:pPr>
            <w:r>
              <w:rPr>
                <w:rFonts w:hint="eastAsia" w:ascii="宋体" w:hAnsi="宋体"/>
                <w:kern w:val="0"/>
                <w:sz w:val="24"/>
                <w:szCs w:val="28"/>
              </w:rPr>
              <w:t>姓名</w:t>
            </w:r>
          </w:p>
        </w:tc>
        <w:tc>
          <w:tcPr>
            <w:tcW w:w="1530" w:type="dxa"/>
            <w:gridSpan w:val="2"/>
            <w:vAlign w:val="center"/>
          </w:tcPr>
          <w:p>
            <w:pPr>
              <w:autoSpaceDE w:val="0"/>
              <w:autoSpaceDN w:val="0"/>
              <w:adjustRightInd w:val="0"/>
              <w:spacing w:line="360" w:lineRule="auto"/>
              <w:ind w:right="285" w:rightChars="136"/>
              <w:jc w:val="center"/>
              <w:rPr>
                <w:rFonts w:ascii="宋体"/>
                <w:kern w:val="0"/>
                <w:sz w:val="24"/>
                <w:szCs w:val="28"/>
              </w:rPr>
            </w:pPr>
          </w:p>
        </w:tc>
        <w:tc>
          <w:tcPr>
            <w:tcW w:w="1530" w:type="dxa"/>
            <w:gridSpan w:val="2"/>
            <w:vAlign w:val="center"/>
          </w:tcPr>
          <w:p>
            <w:pPr>
              <w:autoSpaceDE w:val="0"/>
              <w:autoSpaceDN w:val="0"/>
              <w:adjustRightInd w:val="0"/>
              <w:spacing w:line="360" w:lineRule="auto"/>
              <w:ind w:right="-128" w:rightChars="-61"/>
              <w:jc w:val="center"/>
              <w:rPr>
                <w:rFonts w:ascii="宋体"/>
                <w:kern w:val="0"/>
                <w:sz w:val="24"/>
                <w:szCs w:val="28"/>
              </w:rPr>
            </w:pPr>
            <w:r>
              <w:rPr>
                <w:rFonts w:hint="eastAsia" w:ascii="宋体" w:hAnsi="宋体"/>
                <w:kern w:val="0"/>
                <w:sz w:val="24"/>
                <w:szCs w:val="28"/>
              </w:rPr>
              <w:t>性别</w:t>
            </w:r>
          </w:p>
        </w:tc>
        <w:tc>
          <w:tcPr>
            <w:tcW w:w="1530" w:type="dxa"/>
            <w:gridSpan w:val="2"/>
            <w:vAlign w:val="center"/>
          </w:tcPr>
          <w:p>
            <w:pPr>
              <w:autoSpaceDE w:val="0"/>
              <w:autoSpaceDN w:val="0"/>
              <w:adjustRightInd w:val="0"/>
              <w:spacing w:line="360" w:lineRule="auto"/>
              <w:ind w:right="285" w:rightChars="136"/>
              <w:jc w:val="center"/>
              <w:rPr>
                <w:rFonts w:ascii="宋体"/>
                <w:kern w:val="0"/>
                <w:sz w:val="24"/>
                <w:szCs w:val="28"/>
              </w:rPr>
            </w:pPr>
          </w:p>
        </w:tc>
        <w:tc>
          <w:tcPr>
            <w:tcW w:w="1530" w:type="dxa"/>
            <w:gridSpan w:val="2"/>
            <w:vAlign w:val="center"/>
          </w:tcPr>
          <w:p>
            <w:pPr>
              <w:autoSpaceDE w:val="0"/>
              <w:autoSpaceDN w:val="0"/>
              <w:adjustRightInd w:val="0"/>
              <w:spacing w:line="360" w:lineRule="auto"/>
              <w:ind w:right="2" w:rightChars="1"/>
              <w:jc w:val="center"/>
              <w:rPr>
                <w:rFonts w:ascii="宋体"/>
                <w:kern w:val="0"/>
                <w:sz w:val="24"/>
                <w:szCs w:val="28"/>
              </w:rPr>
            </w:pPr>
            <w:r>
              <w:rPr>
                <w:rFonts w:hint="eastAsia" w:ascii="宋体" w:hAnsi="宋体"/>
                <w:kern w:val="0"/>
                <w:sz w:val="24"/>
                <w:szCs w:val="28"/>
              </w:rPr>
              <w:t>年龄</w:t>
            </w:r>
          </w:p>
        </w:tc>
        <w:tc>
          <w:tcPr>
            <w:tcW w:w="1530" w:type="dxa"/>
            <w:vAlign w:val="center"/>
          </w:tcPr>
          <w:p>
            <w:pPr>
              <w:autoSpaceDE w:val="0"/>
              <w:autoSpaceDN w:val="0"/>
              <w:adjustRightInd w:val="0"/>
              <w:spacing w:line="360" w:lineRule="auto"/>
              <w:ind w:right="285" w:rightChars="136"/>
              <w:jc w:val="center"/>
              <w:rPr>
                <w:rFonts w:ascii="宋体"/>
                <w:kern w:val="0"/>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2" w:type="dxa"/>
            <w:vAlign w:val="center"/>
          </w:tcPr>
          <w:p>
            <w:pPr>
              <w:autoSpaceDE w:val="0"/>
              <w:autoSpaceDN w:val="0"/>
              <w:adjustRightInd w:val="0"/>
              <w:spacing w:line="360" w:lineRule="auto"/>
              <w:jc w:val="center"/>
              <w:rPr>
                <w:rFonts w:ascii="宋体"/>
                <w:kern w:val="0"/>
                <w:sz w:val="24"/>
                <w:szCs w:val="28"/>
              </w:rPr>
            </w:pPr>
            <w:r>
              <w:rPr>
                <w:rFonts w:hint="eastAsia" w:ascii="宋体" w:hAnsi="宋体"/>
                <w:kern w:val="0"/>
                <w:sz w:val="24"/>
                <w:szCs w:val="28"/>
              </w:rPr>
              <w:t>职务</w:t>
            </w:r>
          </w:p>
        </w:tc>
        <w:tc>
          <w:tcPr>
            <w:tcW w:w="1530" w:type="dxa"/>
            <w:gridSpan w:val="2"/>
            <w:vAlign w:val="center"/>
          </w:tcPr>
          <w:p>
            <w:pPr>
              <w:autoSpaceDE w:val="0"/>
              <w:autoSpaceDN w:val="0"/>
              <w:adjustRightInd w:val="0"/>
              <w:spacing w:line="360" w:lineRule="auto"/>
              <w:ind w:right="285" w:rightChars="136"/>
              <w:jc w:val="center"/>
              <w:rPr>
                <w:rFonts w:ascii="宋体"/>
                <w:kern w:val="0"/>
                <w:sz w:val="24"/>
                <w:szCs w:val="28"/>
              </w:rPr>
            </w:pPr>
          </w:p>
        </w:tc>
        <w:tc>
          <w:tcPr>
            <w:tcW w:w="1530" w:type="dxa"/>
            <w:gridSpan w:val="2"/>
            <w:vAlign w:val="center"/>
          </w:tcPr>
          <w:p>
            <w:pPr>
              <w:autoSpaceDE w:val="0"/>
              <w:autoSpaceDN w:val="0"/>
              <w:adjustRightInd w:val="0"/>
              <w:spacing w:line="360" w:lineRule="auto"/>
              <w:ind w:right="-84" w:rightChars="-40"/>
              <w:jc w:val="center"/>
              <w:rPr>
                <w:rFonts w:ascii="宋体"/>
                <w:kern w:val="0"/>
                <w:sz w:val="24"/>
                <w:szCs w:val="28"/>
              </w:rPr>
            </w:pPr>
            <w:r>
              <w:rPr>
                <w:rFonts w:hint="eastAsia" w:ascii="宋体" w:hAnsi="宋体"/>
                <w:kern w:val="0"/>
                <w:sz w:val="24"/>
                <w:szCs w:val="28"/>
              </w:rPr>
              <w:t>职称</w:t>
            </w:r>
          </w:p>
        </w:tc>
        <w:tc>
          <w:tcPr>
            <w:tcW w:w="1530" w:type="dxa"/>
            <w:gridSpan w:val="2"/>
            <w:vAlign w:val="center"/>
          </w:tcPr>
          <w:p>
            <w:pPr>
              <w:autoSpaceDE w:val="0"/>
              <w:autoSpaceDN w:val="0"/>
              <w:adjustRightInd w:val="0"/>
              <w:spacing w:line="360" w:lineRule="auto"/>
              <w:ind w:right="285" w:rightChars="136"/>
              <w:jc w:val="center"/>
              <w:rPr>
                <w:rFonts w:ascii="宋体"/>
                <w:kern w:val="0"/>
                <w:sz w:val="24"/>
                <w:szCs w:val="28"/>
              </w:rPr>
            </w:pPr>
          </w:p>
        </w:tc>
        <w:tc>
          <w:tcPr>
            <w:tcW w:w="1530" w:type="dxa"/>
            <w:gridSpan w:val="2"/>
            <w:vAlign w:val="center"/>
          </w:tcPr>
          <w:p>
            <w:pPr>
              <w:autoSpaceDE w:val="0"/>
              <w:autoSpaceDN w:val="0"/>
              <w:adjustRightInd w:val="0"/>
              <w:spacing w:line="360" w:lineRule="auto"/>
              <w:ind w:right="2" w:rightChars="1"/>
              <w:jc w:val="center"/>
              <w:rPr>
                <w:rFonts w:ascii="宋体"/>
                <w:kern w:val="0"/>
                <w:sz w:val="24"/>
                <w:szCs w:val="28"/>
              </w:rPr>
            </w:pPr>
            <w:r>
              <w:rPr>
                <w:rFonts w:hint="eastAsia" w:ascii="宋体" w:hAnsi="宋体"/>
                <w:kern w:val="0"/>
                <w:sz w:val="24"/>
                <w:szCs w:val="28"/>
              </w:rPr>
              <w:t>学历</w:t>
            </w:r>
          </w:p>
        </w:tc>
        <w:tc>
          <w:tcPr>
            <w:tcW w:w="1530" w:type="dxa"/>
            <w:vAlign w:val="center"/>
          </w:tcPr>
          <w:p>
            <w:pPr>
              <w:autoSpaceDE w:val="0"/>
              <w:autoSpaceDN w:val="0"/>
              <w:adjustRightInd w:val="0"/>
              <w:spacing w:line="360" w:lineRule="auto"/>
              <w:ind w:right="2" w:rightChars="1"/>
              <w:jc w:val="center"/>
              <w:rPr>
                <w:rFonts w:ascii="宋体"/>
                <w:kern w:val="0"/>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02" w:type="dxa"/>
            <w:vAlign w:val="center"/>
          </w:tcPr>
          <w:p>
            <w:pPr>
              <w:autoSpaceDE w:val="0"/>
              <w:autoSpaceDN w:val="0"/>
              <w:adjustRightInd w:val="0"/>
              <w:spacing w:line="360" w:lineRule="auto"/>
              <w:jc w:val="center"/>
              <w:rPr>
                <w:rFonts w:ascii="宋体"/>
                <w:kern w:val="0"/>
                <w:sz w:val="24"/>
                <w:szCs w:val="28"/>
              </w:rPr>
            </w:pPr>
            <w:r>
              <w:rPr>
                <w:rFonts w:hint="eastAsia" w:ascii="宋体" w:hAnsi="宋体"/>
                <w:kern w:val="0"/>
                <w:sz w:val="24"/>
                <w:szCs w:val="28"/>
              </w:rPr>
              <w:t>参加工作</w:t>
            </w:r>
          </w:p>
          <w:p>
            <w:pPr>
              <w:autoSpaceDE w:val="0"/>
              <w:autoSpaceDN w:val="0"/>
              <w:adjustRightInd w:val="0"/>
              <w:spacing w:line="360" w:lineRule="auto"/>
              <w:jc w:val="center"/>
              <w:rPr>
                <w:rFonts w:ascii="宋体"/>
                <w:kern w:val="0"/>
                <w:sz w:val="24"/>
                <w:szCs w:val="28"/>
              </w:rPr>
            </w:pPr>
            <w:r>
              <w:rPr>
                <w:rFonts w:hint="eastAsia" w:ascii="宋体" w:hAnsi="宋体"/>
                <w:kern w:val="0"/>
                <w:sz w:val="24"/>
                <w:szCs w:val="28"/>
              </w:rPr>
              <w:t>时间</w:t>
            </w:r>
          </w:p>
        </w:tc>
        <w:tc>
          <w:tcPr>
            <w:tcW w:w="1530" w:type="dxa"/>
            <w:gridSpan w:val="2"/>
            <w:vAlign w:val="center"/>
          </w:tcPr>
          <w:p>
            <w:pPr>
              <w:autoSpaceDE w:val="0"/>
              <w:autoSpaceDN w:val="0"/>
              <w:adjustRightInd w:val="0"/>
              <w:spacing w:line="360" w:lineRule="auto"/>
              <w:jc w:val="center"/>
              <w:rPr>
                <w:rFonts w:ascii="宋体"/>
                <w:kern w:val="0"/>
                <w:sz w:val="24"/>
                <w:szCs w:val="28"/>
              </w:rPr>
            </w:pPr>
          </w:p>
        </w:tc>
        <w:tc>
          <w:tcPr>
            <w:tcW w:w="1530" w:type="dxa"/>
            <w:gridSpan w:val="2"/>
            <w:vAlign w:val="center"/>
          </w:tcPr>
          <w:p>
            <w:pPr>
              <w:autoSpaceDE w:val="0"/>
              <w:autoSpaceDN w:val="0"/>
              <w:adjustRightInd w:val="0"/>
              <w:spacing w:line="360" w:lineRule="auto"/>
              <w:jc w:val="center"/>
              <w:rPr>
                <w:rFonts w:ascii="宋体"/>
                <w:kern w:val="0"/>
                <w:sz w:val="24"/>
                <w:szCs w:val="28"/>
              </w:rPr>
            </w:pPr>
            <w:r>
              <w:rPr>
                <w:rFonts w:hint="eastAsia" w:ascii="宋体" w:hAnsi="宋体"/>
                <w:kern w:val="0"/>
                <w:sz w:val="24"/>
                <w:szCs w:val="28"/>
              </w:rPr>
              <w:t>从事本行业工作年限</w:t>
            </w:r>
          </w:p>
        </w:tc>
        <w:tc>
          <w:tcPr>
            <w:tcW w:w="1530" w:type="dxa"/>
            <w:gridSpan w:val="2"/>
            <w:vAlign w:val="center"/>
          </w:tcPr>
          <w:p>
            <w:pPr>
              <w:autoSpaceDE w:val="0"/>
              <w:autoSpaceDN w:val="0"/>
              <w:adjustRightInd w:val="0"/>
              <w:spacing w:line="360" w:lineRule="auto"/>
              <w:jc w:val="center"/>
              <w:rPr>
                <w:rFonts w:ascii="宋体"/>
                <w:kern w:val="0"/>
                <w:sz w:val="24"/>
                <w:szCs w:val="28"/>
              </w:rPr>
            </w:pPr>
          </w:p>
        </w:tc>
        <w:tc>
          <w:tcPr>
            <w:tcW w:w="1530" w:type="dxa"/>
            <w:gridSpan w:val="2"/>
            <w:vAlign w:val="center"/>
          </w:tcPr>
          <w:p>
            <w:pPr>
              <w:autoSpaceDE w:val="0"/>
              <w:autoSpaceDN w:val="0"/>
              <w:adjustRightInd w:val="0"/>
              <w:spacing w:line="360" w:lineRule="auto"/>
              <w:jc w:val="center"/>
              <w:rPr>
                <w:rFonts w:ascii="宋体"/>
                <w:kern w:val="0"/>
                <w:sz w:val="24"/>
                <w:szCs w:val="28"/>
              </w:rPr>
            </w:pPr>
            <w:r>
              <w:rPr>
                <w:rFonts w:hint="eastAsia" w:ascii="宋体" w:hAnsi="宋体"/>
                <w:kern w:val="0"/>
                <w:sz w:val="24"/>
                <w:szCs w:val="28"/>
              </w:rPr>
              <w:t>个人专业资质及证书</w:t>
            </w:r>
          </w:p>
        </w:tc>
        <w:tc>
          <w:tcPr>
            <w:tcW w:w="1530" w:type="dxa"/>
            <w:vAlign w:val="center"/>
          </w:tcPr>
          <w:p>
            <w:pPr>
              <w:autoSpaceDE w:val="0"/>
              <w:autoSpaceDN w:val="0"/>
              <w:adjustRightInd w:val="0"/>
              <w:spacing w:line="360" w:lineRule="auto"/>
              <w:jc w:val="center"/>
              <w:rPr>
                <w:rFonts w:ascii="宋体"/>
                <w:kern w:val="0"/>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7" w:hRule="atLeast"/>
          <w:jc w:val="center"/>
        </w:trPr>
        <w:tc>
          <w:tcPr>
            <w:tcW w:w="9352" w:type="dxa"/>
            <w:gridSpan w:val="10"/>
            <w:vAlign w:val="center"/>
          </w:tcPr>
          <w:p>
            <w:pPr>
              <w:autoSpaceDE w:val="0"/>
              <w:autoSpaceDN w:val="0"/>
              <w:adjustRightInd w:val="0"/>
              <w:spacing w:line="360" w:lineRule="auto"/>
              <w:ind w:right="285" w:rightChars="136"/>
              <w:jc w:val="center"/>
              <w:rPr>
                <w:rFonts w:ascii="宋体"/>
                <w:kern w:val="0"/>
                <w:sz w:val="24"/>
                <w:szCs w:val="28"/>
              </w:rPr>
            </w:pPr>
            <w:r>
              <w:rPr>
                <w:rFonts w:hint="eastAsia" w:ascii="宋体" w:hAnsi="宋体"/>
                <w:kern w:val="0"/>
                <w:sz w:val="24"/>
                <w:szCs w:val="28"/>
              </w:rPr>
              <w:t>个人简介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61" w:hRule="atLeast"/>
          <w:jc w:val="center"/>
        </w:trPr>
        <w:tc>
          <w:tcPr>
            <w:tcW w:w="9352" w:type="dxa"/>
            <w:gridSpan w:val="10"/>
            <w:vAlign w:val="center"/>
          </w:tcPr>
          <w:p>
            <w:pPr>
              <w:autoSpaceDE w:val="0"/>
              <w:autoSpaceDN w:val="0"/>
              <w:adjustRightInd w:val="0"/>
              <w:spacing w:line="360" w:lineRule="auto"/>
              <w:ind w:right="285" w:rightChars="136"/>
              <w:jc w:val="center"/>
              <w:rPr>
                <w:rFonts w:ascii="宋体"/>
                <w:kern w:val="0"/>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9" w:hRule="atLeast"/>
          <w:jc w:val="center"/>
        </w:trPr>
        <w:tc>
          <w:tcPr>
            <w:tcW w:w="9352" w:type="dxa"/>
            <w:gridSpan w:val="10"/>
            <w:vAlign w:val="center"/>
          </w:tcPr>
          <w:p>
            <w:pPr>
              <w:autoSpaceDE w:val="0"/>
              <w:autoSpaceDN w:val="0"/>
              <w:adjustRightInd w:val="0"/>
              <w:spacing w:line="360" w:lineRule="auto"/>
              <w:ind w:right="285" w:rightChars="136"/>
              <w:jc w:val="center"/>
              <w:rPr>
                <w:rFonts w:ascii="宋体"/>
                <w:kern w:val="0"/>
                <w:sz w:val="24"/>
                <w:szCs w:val="28"/>
              </w:rPr>
            </w:pPr>
            <w:r>
              <w:rPr>
                <w:rFonts w:hint="eastAsia" w:ascii="宋体" w:hAnsi="宋体"/>
                <w:kern w:val="0"/>
                <w:sz w:val="24"/>
                <w:szCs w:val="28"/>
              </w:rPr>
              <w:t>类似项目经验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2008" w:type="dxa"/>
            <w:gridSpan w:val="2"/>
            <w:vAlign w:val="center"/>
          </w:tcPr>
          <w:p>
            <w:pPr>
              <w:autoSpaceDE w:val="0"/>
              <w:autoSpaceDN w:val="0"/>
              <w:adjustRightInd w:val="0"/>
              <w:spacing w:line="360" w:lineRule="auto"/>
              <w:ind w:right="-79" w:rightChars="-38"/>
              <w:jc w:val="center"/>
              <w:rPr>
                <w:rFonts w:ascii="宋体"/>
                <w:kern w:val="0"/>
                <w:sz w:val="24"/>
                <w:szCs w:val="28"/>
              </w:rPr>
            </w:pPr>
            <w:r>
              <w:rPr>
                <w:rFonts w:hint="eastAsia" w:ascii="宋体" w:hAnsi="宋体"/>
                <w:kern w:val="0"/>
                <w:sz w:val="24"/>
                <w:szCs w:val="28"/>
              </w:rPr>
              <w:t>项目单位</w:t>
            </w: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r>
              <w:rPr>
                <w:rFonts w:hint="eastAsia" w:ascii="宋体" w:hAnsi="宋体"/>
                <w:kern w:val="0"/>
                <w:sz w:val="24"/>
                <w:szCs w:val="28"/>
              </w:rPr>
              <w:t>项目名称</w:t>
            </w: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r>
              <w:rPr>
                <w:rFonts w:hint="eastAsia" w:ascii="宋体" w:hAnsi="宋体"/>
                <w:kern w:val="0"/>
                <w:sz w:val="24"/>
                <w:szCs w:val="28"/>
              </w:rPr>
              <w:t>项目内容</w:t>
            </w: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r>
              <w:rPr>
                <w:rFonts w:hint="eastAsia" w:ascii="宋体" w:hAnsi="宋体"/>
                <w:kern w:val="0"/>
                <w:sz w:val="24"/>
                <w:szCs w:val="28"/>
              </w:rPr>
              <w:t>项目金额</w:t>
            </w: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r>
              <w:rPr>
                <w:rFonts w:hint="eastAsia" w:ascii="宋体" w:hAnsi="宋体"/>
                <w:kern w:val="0"/>
                <w:sz w:val="24"/>
                <w:szCs w:val="28"/>
              </w:rPr>
              <w:t>项目时间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2008"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2008"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2008"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2008"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2008"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c>
          <w:tcPr>
            <w:tcW w:w="1836" w:type="dxa"/>
            <w:gridSpan w:val="2"/>
            <w:vAlign w:val="center"/>
          </w:tcPr>
          <w:p>
            <w:pPr>
              <w:autoSpaceDE w:val="0"/>
              <w:autoSpaceDN w:val="0"/>
              <w:adjustRightInd w:val="0"/>
              <w:spacing w:line="360" w:lineRule="auto"/>
              <w:ind w:right="-79" w:rightChars="-38"/>
              <w:jc w:val="center"/>
              <w:rPr>
                <w:rFonts w:ascii="宋体"/>
                <w:kern w:val="0"/>
                <w:sz w:val="24"/>
                <w:szCs w:val="28"/>
              </w:rPr>
            </w:pPr>
          </w:p>
        </w:tc>
      </w:tr>
    </w:tbl>
    <w:p>
      <w:pPr>
        <w:spacing w:line="360" w:lineRule="auto"/>
        <w:ind w:left="720" w:hanging="720" w:hangingChars="300"/>
        <w:jc w:val="left"/>
        <w:rPr>
          <w:rFonts w:ascii="宋体"/>
          <w:sz w:val="24"/>
          <w:szCs w:val="24"/>
          <w:lang w:val="zh-CN"/>
        </w:rPr>
      </w:pPr>
      <w:r>
        <w:rPr>
          <w:rFonts w:hint="eastAsia" w:ascii="宋体" w:hAnsi="宋体"/>
          <w:sz w:val="24"/>
          <w:szCs w:val="24"/>
          <w:lang w:val="zh-CN"/>
        </w:rPr>
        <w:t>说明：投标文件正本应附完整的相关证明材料清晰影印件，未按照要求详细完整填写此表，导致的后果由投标人自行承担。</w:t>
      </w:r>
    </w:p>
    <w:p>
      <w:pPr>
        <w:spacing w:line="360" w:lineRule="auto"/>
        <w:jc w:val="left"/>
        <w:rPr>
          <w:rFonts w:ascii="宋体"/>
          <w:sz w:val="24"/>
          <w:szCs w:val="24"/>
          <w:lang w:val="zh-CN"/>
        </w:rPr>
      </w:pPr>
    </w:p>
    <w:p>
      <w:pPr>
        <w:spacing w:before="100" w:beforeAutospacing="1" w:after="100" w:afterAutospacing="1" w:line="360" w:lineRule="auto"/>
        <w:ind w:firstLine="3316" w:firstLineChars="1382"/>
        <w:rPr>
          <w:rFonts w:hAnsi="宋体"/>
          <w:b/>
          <w:bCs/>
          <w:sz w:val="24"/>
          <w:u w:val="single"/>
        </w:rPr>
      </w:pPr>
      <w:r>
        <w:rPr>
          <w:rFonts w:hint="eastAsia" w:hAnsi="宋体"/>
          <w:b/>
          <w:bCs/>
          <w:sz w:val="24"/>
        </w:rPr>
        <w:t>投标人（公章）：</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投标人</w:t>
      </w:r>
      <w:r>
        <w:rPr>
          <w:rFonts w:hint="eastAsia" w:hAnsi="宋体"/>
          <w:b/>
          <w:bCs/>
          <w:sz w:val="24"/>
        </w:rPr>
        <w:t>授权代表（签字）：</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w:t>
      </w:r>
      <w:r>
        <w:rPr>
          <w:rFonts w:hint="eastAsia" w:hAnsi="宋体"/>
          <w:b/>
          <w:bCs/>
          <w:sz w:val="24"/>
        </w:rPr>
        <w:t>时间：</w:t>
      </w:r>
    </w:p>
    <w:p>
      <w:r>
        <w:br w:type="page"/>
      </w:r>
    </w:p>
    <w:p>
      <w:pPr>
        <w:pStyle w:val="4"/>
        <w:numPr>
          <w:ilvl w:val="0"/>
          <w:numId w:val="61"/>
        </w:numPr>
        <w:spacing w:before="100" w:beforeAutospacing="1" w:afterLines="50" w:line="360" w:lineRule="auto"/>
        <w:ind w:left="1610" w:hanging="1610"/>
        <w:rPr>
          <w:rFonts w:ascii="宋体"/>
        </w:rPr>
      </w:pPr>
      <w:bookmarkStart w:id="211" w:name="_Toc238276251"/>
      <w:bookmarkStart w:id="212" w:name="_Toc494665013"/>
      <w:bookmarkStart w:id="213" w:name="_Toc494745330"/>
      <w:bookmarkStart w:id="214" w:name="_Toc494665566"/>
      <w:bookmarkStart w:id="215" w:name="_Toc236473307"/>
      <w:bookmarkStart w:id="216" w:name="_Toc106268640"/>
      <w:bookmarkStart w:id="217" w:name="_Toc494721113"/>
      <w:bookmarkStart w:id="218" w:name="_Toc494702283"/>
      <w:bookmarkStart w:id="219" w:name="_Toc494665963"/>
      <w:r>
        <w:rPr>
          <w:rFonts w:hint="eastAsia" w:ascii="宋体" w:hAnsi="宋体"/>
        </w:rPr>
        <w:t>项目班子成员情况表</w:t>
      </w:r>
      <w:bookmarkEnd w:id="211"/>
      <w:bookmarkEnd w:id="212"/>
      <w:bookmarkEnd w:id="213"/>
      <w:bookmarkEnd w:id="214"/>
      <w:bookmarkEnd w:id="215"/>
      <w:bookmarkEnd w:id="216"/>
      <w:bookmarkEnd w:id="217"/>
      <w:bookmarkEnd w:id="218"/>
      <w:bookmarkEnd w:id="219"/>
    </w:p>
    <w:p>
      <w:pPr>
        <w:spacing w:line="360" w:lineRule="auto"/>
        <w:jc w:val="left"/>
        <w:rPr>
          <w:rFonts w:hAnsi="宋体"/>
          <w:b/>
          <w:sz w:val="24"/>
        </w:rPr>
      </w:pPr>
      <w:r>
        <w:rPr>
          <w:rFonts w:hint="eastAsia" w:hAnsi="宋体"/>
          <w:b/>
          <w:sz w:val="24"/>
        </w:rPr>
        <w:t>投标人：</w:t>
      </w:r>
    </w:p>
    <w:p>
      <w:pPr>
        <w:spacing w:line="360" w:lineRule="auto"/>
        <w:jc w:val="left"/>
        <w:rPr>
          <w:rFonts w:hAnsi="宋体"/>
          <w:b/>
          <w:sz w:val="24"/>
        </w:rPr>
      </w:pPr>
      <w:r>
        <w:rPr>
          <w:rFonts w:hint="eastAsia" w:ascii="宋体" w:hAnsi="宋体"/>
          <w:b/>
          <w:sz w:val="24"/>
          <w:szCs w:val="21"/>
          <w:lang w:val="zh-CN"/>
        </w:rPr>
        <w:t>项目编号：</w:t>
      </w:r>
      <w:r>
        <w:rPr>
          <w:rFonts w:hint="eastAsia" w:ascii="宋体" w:hAnsi="宋体"/>
          <w:b/>
          <w:bCs/>
          <w:sz w:val="24"/>
          <w:szCs w:val="21"/>
          <w:lang w:val="zh-CN"/>
        </w:rPr>
        <w:t>所投包号：</w:t>
      </w:r>
    </w:p>
    <w:tbl>
      <w:tblPr>
        <w:tblStyle w:val="28"/>
        <w:tblW w:w="90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992"/>
        <w:gridCol w:w="1134"/>
        <w:gridCol w:w="1134"/>
        <w:gridCol w:w="1418"/>
        <w:gridCol w:w="1843"/>
        <w:gridCol w:w="1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shd w:val="clear" w:color="auto" w:fill="F2F2F2"/>
            <w:vAlign w:val="center"/>
          </w:tcPr>
          <w:p>
            <w:pPr>
              <w:jc w:val="center"/>
              <w:rPr>
                <w:rFonts w:ascii="宋体"/>
                <w:sz w:val="24"/>
                <w:szCs w:val="24"/>
              </w:rPr>
            </w:pPr>
            <w:r>
              <w:rPr>
                <w:rFonts w:hint="eastAsia" w:ascii="宋体" w:hAnsi="宋体"/>
                <w:sz w:val="24"/>
                <w:szCs w:val="24"/>
              </w:rPr>
              <w:t>序号</w:t>
            </w:r>
          </w:p>
        </w:tc>
        <w:tc>
          <w:tcPr>
            <w:tcW w:w="992" w:type="dxa"/>
            <w:shd w:val="clear" w:color="auto" w:fill="F2F2F2"/>
            <w:vAlign w:val="center"/>
          </w:tcPr>
          <w:p>
            <w:pPr>
              <w:jc w:val="center"/>
              <w:rPr>
                <w:rFonts w:ascii="宋体"/>
                <w:sz w:val="24"/>
                <w:szCs w:val="24"/>
              </w:rPr>
            </w:pPr>
            <w:r>
              <w:rPr>
                <w:rFonts w:hint="eastAsia" w:ascii="宋体" w:hAnsi="宋体"/>
                <w:sz w:val="24"/>
                <w:szCs w:val="24"/>
              </w:rPr>
              <w:t>姓名</w:t>
            </w:r>
          </w:p>
        </w:tc>
        <w:tc>
          <w:tcPr>
            <w:tcW w:w="1134" w:type="dxa"/>
            <w:shd w:val="clear" w:color="auto" w:fill="F2F2F2"/>
            <w:vAlign w:val="center"/>
          </w:tcPr>
          <w:p>
            <w:pPr>
              <w:jc w:val="center"/>
              <w:rPr>
                <w:rFonts w:ascii="宋体"/>
                <w:sz w:val="24"/>
                <w:szCs w:val="24"/>
              </w:rPr>
            </w:pPr>
            <w:r>
              <w:rPr>
                <w:rFonts w:hint="eastAsia" w:ascii="宋体" w:hAnsi="宋体"/>
                <w:sz w:val="24"/>
                <w:szCs w:val="24"/>
              </w:rPr>
              <w:t>专业</w:t>
            </w:r>
          </w:p>
        </w:tc>
        <w:tc>
          <w:tcPr>
            <w:tcW w:w="1134" w:type="dxa"/>
            <w:shd w:val="clear" w:color="auto" w:fill="F2F2F2"/>
            <w:vAlign w:val="center"/>
          </w:tcPr>
          <w:p>
            <w:pPr>
              <w:jc w:val="center"/>
              <w:rPr>
                <w:rFonts w:ascii="宋体"/>
                <w:sz w:val="24"/>
                <w:szCs w:val="24"/>
              </w:rPr>
            </w:pPr>
            <w:r>
              <w:rPr>
                <w:rFonts w:hint="eastAsia" w:ascii="宋体" w:hAnsi="宋体"/>
                <w:sz w:val="24"/>
                <w:szCs w:val="24"/>
              </w:rPr>
              <w:t>年龄</w:t>
            </w:r>
          </w:p>
        </w:tc>
        <w:tc>
          <w:tcPr>
            <w:tcW w:w="1418" w:type="dxa"/>
            <w:shd w:val="clear" w:color="auto" w:fill="F2F2F2"/>
            <w:vAlign w:val="center"/>
          </w:tcPr>
          <w:p>
            <w:pPr>
              <w:jc w:val="center"/>
              <w:rPr>
                <w:rFonts w:ascii="宋体"/>
                <w:sz w:val="24"/>
                <w:szCs w:val="24"/>
              </w:rPr>
            </w:pPr>
            <w:r>
              <w:rPr>
                <w:rFonts w:hint="eastAsia" w:ascii="宋体" w:hAnsi="宋体"/>
                <w:kern w:val="0"/>
                <w:sz w:val="24"/>
                <w:szCs w:val="28"/>
              </w:rPr>
              <w:t>从事本行业工作年限</w:t>
            </w:r>
          </w:p>
        </w:tc>
        <w:tc>
          <w:tcPr>
            <w:tcW w:w="1843" w:type="dxa"/>
            <w:shd w:val="clear" w:color="auto" w:fill="F2F2F2"/>
            <w:vAlign w:val="center"/>
          </w:tcPr>
          <w:p>
            <w:pPr>
              <w:jc w:val="center"/>
              <w:rPr>
                <w:rFonts w:ascii="宋体"/>
                <w:sz w:val="24"/>
                <w:szCs w:val="24"/>
              </w:rPr>
            </w:pPr>
            <w:r>
              <w:rPr>
                <w:rFonts w:hint="eastAsia" w:ascii="宋体" w:hAnsi="宋体"/>
                <w:sz w:val="24"/>
                <w:szCs w:val="24"/>
              </w:rPr>
              <w:t>在本项目中承担的工作</w:t>
            </w:r>
          </w:p>
        </w:tc>
        <w:tc>
          <w:tcPr>
            <w:tcW w:w="1842" w:type="dxa"/>
            <w:shd w:val="clear" w:color="auto" w:fill="F2F2F2"/>
            <w:vAlign w:val="center"/>
          </w:tcPr>
          <w:p>
            <w:pPr>
              <w:jc w:val="center"/>
              <w:rPr>
                <w:rFonts w:ascii="宋体"/>
                <w:sz w:val="24"/>
                <w:szCs w:val="24"/>
              </w:rPr>
            </w:pPr>
            <w:r>
              <w:rPr>
                <w:rFonts w:hint="eastAsia" w:ascii="宋体" w:hAnsi="宋体"/>
                <w:kern w:val="0"/>
                <w:sz w:val="24"/>
                <w:szCs w:val="28"/>
              </w:rPr>
              <w:t>个人专业资质及证书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709" w:type="dxa"/>
            <w:vAlign w:val="center"/>
          </w:tcPr>
          <w:p>
            <w:pPr>
              <w:jc w:val="center"/>
              <w:rPr>
                <w:rFonts w:ascii="宋体"/>
                <w:sz w:val="24"/>
                <w:szCs w:val="24"/>
              </w:rPr>
            </w:pPr>
            <w:r>
              <w:rPr>
                <w:rFonts w:ascii="宋体" w:hAnsi="宋体"/>
                <w:sz w:val="24"/>
                <w:szCs w:val="24"/>
              </w:rPr>
              <w:t>1</w:t>
            </w:r>
          </w:p>
        </w:tc>
        <w:tc>
          <w:tcPr>
            <w:tcW w:w="992" w:type="dxa"/>
            <w:vAlign w:val="center"/>
          </w:tcPr>
          <w:p>
            <w:pPr>
              <w:jc w:val="center"/>
              <w:rPr>
                <w:rFonts w:ascii="宋体"/>
                <w:sz w:val="24"/>
                <w:szCs w:val="24"/>
              </w:rPr>
            </w:pPr>
          </w:p>
        </w:tc>
        <w:tc>
          <w:tcPr>
            <w:tcW w:w="1134" w:type="dxa"/>
            <w:vAlign w:val="center"/>
          </w:tcPr>
          <w:p>
            <w:pPr>
              <w:rPr>
                <w:rFonts w:ascii="宋体"/>
                <w:sz w:val="24"/>
                <w:szCs w:val="24"/>
              </w:rPr>
            </w:pPr>
          </w:p>
        </w:tc>
        <w:tc>
          <w:tcPr>
            <w:tcW w:w="1134" w:type="dxa"/>
            <w:vAlign w:val="center"/>
          </w:tcPr>
          <w:p>
            <w:pPr>
              <w:rPr>
                <w:rFonts w:ascii="宋体"/>
                <w:sz w:val="24"/>
                <w:szCs w:val="24"/>
              </w:rPr>
            </w:pPr>
          </w:p>
        </w:tc>
        <w:tc>
          <w:tcPr>
            <w:tcW w:w="1418" w:type="dxa"/>
            <w:vAlign w:val="center"/>
          </w:tcPr>
          <w:p>
            <w:pPr>
              <w:rPr>
                <w:rFonts w:ascii="宋体"/>
                <w:sz w:val="24"/>
                <w:szCs w:val="24"/>
              </w:rPr>
            </w:pPr>
          </w:p>
        </w:tc>
        <w:tc>
          <w:tcPr>
            <w:tcW w:w="1843" w:type="dxa"/>
            <w:vAlign w:val="center"/>
          </w:tcPr>
          <w:p>
            <w:pPr>
              <w:rPr>
                <w:rFonts w:ascii="宋体"/>
                <w:sz w:val="24"/>
                <w:szCs w:val="24"/>
              </w:rPr>
            </w:pPr>
          </w:p>
        </w:tc>
        <w:tc>
          <w:tcPr>
            <w:tcW w:w="1842" w:type="dxa"/>
            <w:vAlign w:val="center"/>
          </w:tcPr>
          <w:p>
            <w:pPr>
              <w:rPr>
                <w:rFonts w:asci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709" w:type="dxa"/>
            <w:vAlign w:val="center"/>
          </w:tcPr>
          <w:p>
            <w:pPr>
              <w:jc w:val="center"/>
              <w:rPr>
                <w:rFonts w:ascii="宋体"/>
                <w:sz w:val="24"/>
                <w:szCs w:val="24"/>
              </w:rPr>
            </w:pPr>
            <w:r>
              <w:rPr>
                <w:rFonts w:ascii="宋体" w:hAnsi="宋体"/>
                <w:sz w:val="24"/>
                <w:szCs w:val="24"/>
              </w:rPr>
              <w:t>2</w:t>
            </w:r>
          </w:p>
        </w:tc>
        <w:tc>
          <w:tcPr>
            <w:tcW w:w="992" w:type="dxa"/>
            <w:vAlign w:val="center"/>
          </w:tcPr>
          <w:p>
            <w:pPr>
              <w:jc w:val="center"/>
              <w:rPr>
                <w:rFonts w:ascii="宋体"/>
                <w:sz w:val="24"/>
                <w:szCs w:val="24"/>
              </w:rPr>
            </w:pPr>
          </w:p>
        </w:tc>
        <w:tc>
          <w:tcPr>
            <w:tcW w:w="1134" w:type="dxa"/>
            <w:vAlign w:val="center"/>
          </w:tcPr>
          <w:p>
            <w:pPr>
              <w:jc w:val="center"/>
              <w:rPr>
                <w:rFonts w:ascii="宋体"/>
                <w:sz w:val="24"/>
                <w:szCs w:val="24"/>
              </w:rPr>
            </w:pPr>
          </w:p>
        </w:tc>
        <w:tc>
          <w:tcPr>
            <w:tcW w:w="1134" w:type="dxa"/>
            <w:vAlign w:val="center"/>
          </w:tcPr>
          <w:p>
            <w:pPr>
              <w:jc w:val="center"/>
              <w:rPr>
                <w:rFonts w:ascii="宋体"/>
                <w:sz w:val="24"/>
                <w:szCs w:val="24"/>
              </w:rPr>
            </w:pPr>
          </w:p>
        </w:tc>
        <w:tc>
          <w:tcPr>
            <w:tcW w:w="1418" w:type="dxa"/>
            <w:vAlign w:val="center"/>
          </w:tcPr>
          <w:p>
            <w:pPr>
              <w:jc w:val="center"/>
              <w:rPr>
                <w:rFonts w:ascii="宋体"/>
                <w:sz w:val="24"/>
                <w:szCs w:val="24"/>
              </w:rPr>
            </w:pPr>
          </w:p>
        </w:tc>
        <w:tc>
          <w:tcPr>
            <w:tcW w:w="1843" w:type="dxa"/>
            <w:vAlign w:val="center"/>
          </w:tcPr>
          <w:p>
            <w:pPr>
              <w:jc w:val="center"/>
              <w:rPr>
                <w:rFonts w:ascii="宋体"/>
                <w:sz w:val="24"/>
                <w:szCs w:val="24"/>
              </w:rPr>
            </w:pPr>
          </w:p>
        </w:tc>
        <w:tc>
          <w:tcPr>
            <w:tcW w:w="1842" w:type="dxa"/>
            <w:vAlign w:val="center"/>
          </w:tcPr>
          <w:p>
            <w:pPr>
              <w:jc w:val="center"/>
              <w:rPr>
                <w:rFonts w:asci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709" w:type="dxa"/>
            <w:vAlign w:val="center"/>
          </w:tcPr>
          <w:p>
            <w:pPr>
              <w:jc w:val="center"/>
              <w:rPr>
                <w:rFonts w:ascii="宋体"/>
                <w:sz w:val="24"/>
                <w:szCs w:val="24"/>
              </w:rPr>
            </w:pPr>
            <w:r>
              <w:rPr>
                <w:rFonts w:ascii="宋体" w:hAnsi="宋体"/>
                <w:sz w:val="24"/>
                <w:szCs w:val="24"/>
              </w:rPr>
              <w:t>3</w:t>
            </w:r>
          </w:p>
        </w:tc>
        <w:tc>
          <w:tcPr>
            <w:tcW w:w="992" w:type="dxa"/>
            <w:vAlign w:val="center"/>
          </w:tcPr>
          <w:p>
            <w:pPr>
              <w:jc w:val="center"/>
              <w:rPr>
                <w:rFonts w:ascii="宋体"/>
                <w:sz w:val="24"/>
                <w:szCs w:val="24"/>
              </w:rPr>
            </w:pPr>
          </w:p>
        </w:tc>
        <w:tc>
          <w:tcPr>
            <w:tcW w:w="1134" w:type="dxa"/>
            <w:vAlign w:val="center"/>
          </w:tcPr>
          <w:p>
            <w:pPr>
              <w:jc w:val="center"/>
              <w:rPr>
                <w:rFonts w:ascii="宋体"/>
                <w:sz w:val="24"/>
                <w:szCs w:val="24"/>
              </w:rPr>
            </w:pPr>
          </w:p>
        </w:tc>
        <w:tc>
          <w:tcPr>
            <w:tcW w:w="1134" w:type="dxa"/>
            <w:vAlign w:val="center"/>
          </w:tcPr>
          <w:p>
            <w:pPr>
              <w:jc w:val="center"/>
              <w:rPr>
                <w:rFonts w:ascii="宋体"/>
                <w:sz w:val="24"/>
                <w:szCs w:val="24"/>
              </w:rPr>
            </w:pPr>
          </w:p>
        </w:tc>
        <w:tc>
          <w:tcPr>
            <w:tcW w:w="1418" w:type="dxa"/>
            <w:vAlign w:val="center"/>
          </w:tcPr>
          <w:p>
            <w:pPr>
              <w:jc w:val="center"/>
              <w:rPr>
                <w:rFonts w:ascii="宋体"/>
                <w:sz w:val="24"/>
                <w:szCs w:val="24"/>
              </w:rPr>
            </w:pPr>
          </w:p>
        </w:tc>
        <w:tc>
          <w:tcPr>
            <w:tcW w:w="1843" w:type="dxa"/>
            <w:vAlign w:val="center"/>
          </w:tcPr>
          <w:p>
            <w:pPr>
              <w:jc w:val="center"/>
              <w:rPr>
                <w:rFonts w:ascii="宋体"/>
                <w:sz w:val="24"/>
                <w:szCs w:val="24"/>
              </w:rPr>
            </w:pPr>
          </w:p>
        </w:tc>
        <w:tc>
          <w:tcPr>
            <w:tcW w:w="1842" w:type="dxa"/>
            <w:vAlign w:val="center"/>
          </w:tcPr>
          <w:p>
            <w:pPr>
              <w:jc w:val="center"/>
              <w:rPr>
                <w:rFonts w:asci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709" w:type="dxa"/>
            <w:vAlign w:val="center"/>
          </w:tcPr>
          <w:p>
            <w:pPr>
              <w:jc w:val="center"/>
              <w:rPr>
                <w:rFonts w:ascii="宋体"/>
                <w:sz w:val="24"/>
                <w:szCs w:val="24"/>
              </w:rPr>
            </w:pPr>
            <w:r>
              <w:rPr>
                <w:rFonts w:ascii="宋体" w:hAnsi="宋体"/>
                <w:sz w:val="24"/>
                <w:szCs w:val="24"/>
              </w:rPr>
              <w:t>4</w:t>
            </w:r>
          </w:p>
        </w:tc>
        <w:tc>
          <w:tcPr>
            <w:tcW w:w="992" w:type="dxa"/>
            <w:vAlign w:val="center"/>
          </w:tcPr>
          <w:p>
            <w:pPr>
              <w:jc w:val="center"/>
              <w:rPr>
                <w:rFonts w:ascii="宋体"/>
                <w:sz w:val="24"/>
                <w:szCs w:val="24"/>
              </w:rPr>
            </w:pPr>
          </w:p>
        </w:tc>
        <w:tc>
          <w:tcPr>
            <w:tcW w:w="1134" w:type="dxa"/>
            <w:vAlign w:val="center"/>
          </w:tcPr>
          <w:p>
            <w:pPr>
              <w:jc w:val="center"/>
              <w:rPr>
                <w:rFonts w:ascii="宋体"/>
                <w:sz w:val="24"/>
                <w:szCs w:val="24"/>
              </w:rPr>
            </w:pPr>
          </w:p>
        </w:tc>
        <w:tc>
          <w:tcPr>
            <w:tcW w:w="1134" w:type="dxa"/>
            <w:vAlign w:val="center"/>
          </w:tcPr>
          <w:p>
            <w:pPr>
              <w:jc w:val="center"/>
              <w:rPr>
                <w:rFonts w:ascii="宋体"/>
                <w:sz w:val="24"/>
                <w:szCs w:val="24"/>
              </w:rPr>
            </w:pPr>
          </w:p>
        </w:tc>
        <w:tc>
          <w:tcPr>
            <w:tcW w:w="1418" w:type="dxa"/>
            <w:vAlign w:val="center"/>
          </w:tcPr>
          <w:p>
            <w:pPr>
              <w:jc w:val="center"/>
              <w:rPr>
                <w:rFonts w:ascii="宋体"/>
                <w:sz w:val="24"/>
                <w:szCs w:val="24"/>
              </w:rPr>
            </w:pPr>
          </w:p>
        </w:tc>
        <w:tc>
          <w:tcPr>
            <w:tcW w:w="1843" w:type="dxa"/>
            <w:vAlign w:val="center"/>
          </w:tcPr>
          <w:p>
            <w:pPr>
              <w:jc w:val="center"/>
              <w:rPr>
                <w:rFonts w:ascii="宋体"/>
                <w:sz w:val="24"/>
                <w:szCs w:val="24"/>
              </w:rPr>
            </w:pPr>
          </w:p>
        </w:tc>
        <w:tc>
          <w:tcPr>
            <w:tcW w:w="1842" w:type="dxa"/>
            <w:vAlign w:val="center"/>
          </w:tcPr>
          <w:p>
            <w:pPr>
              <w:jc w:val="center"/>
              <w:rPr>
                <w:rFonts w:asci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709" w:type="dxa"/>
            <w:vAlign w:val="center"/>
          </w:tcPr>
          <w:p>
            <w:pPr>
              <w:jc w:val="center"/>
              <w:rPr>
                <w:rFonts w:ascii="宋体"/>
                <w:sz w:val="24"/>
                <w:szCs w:val="24"/>
              </w:rPr>
            </w:pPr>
            <w:r>
              <w:rPr>
                <w:rFonts w:ascii="宋体" w:hAnsi="宋体"/>
                <w:sz w:val="24"/>
                <w:szCs w:val="24"/>
              </w:rPr>
              <w:t>5</w:t>
            </w:r>
          </w:p>
        </w:tc>
        <w:tc>
          <w:tcPr>
            <w:tcW w:w="992" w:type="dxa"/>
            <w:vAlign w:val="center"/>
          </w:tcPr>
          <w:p>
            <w:pPr>
              <w:jc w:val="center"/>
              <w:rPr>
                <w:rFonts w:ascii="宋体"/>
                <w:sz w:val="24"/>
                <w:szCs w:val="24"/>
              </w:rPr>
            </w:pPr>
          </w:p>
        </w:tc>
        <w:tc>
          <w:tcPr>
            <w:tcW w:w="1134" w:type="dxa"/>
            <w:vAlign w:val="center"/>
          </w:tcPr>
          <w:p>
            <w:pPr>
              <w:jc w:val="center"/>
              <w:rPr>
                <w:rFonts w:ascii="宋体"/>
                <w:sz w:val="24"/>
                <w:szCs w:val="24"/>
              </w:rPr>
            </w:pPr>
          </w:p>
        </w:tc>
        <w:tc>
          <w:tcPr>
            <w:tcW w:w="1134" w:type="dxa"/>
            <w:vAlign w:val="center"/>
          </w:tcPr>
          <w:p>
            <w:pPr>
              <w:jc w:val="center"/>
              <w:rPr>
                <w:rFonts w:ascii="宋体"/>
                <w:sz w:val="24"/>
                <w:szCs w:val="24"/>
              </w:rPr>
            </w:pPr>
          </w:p>
        </w:tc>
        <w:tc>
          <w:tcPr>
            <w:tcW w:w="1418" w:type="dxa"/>
            <w:vAlign w:val="center"/>
          </w:tcPr>
          <w:p>
            <w:pPr>
              <w:jc w:val="center"/>
              <w:rPr>
                <w:rFonts w:ascii="宋体"/>
                <w:sz w:val="24"/>
                <w:szCs w:val="24"/>
              </w:rPr>
            </w:pPr>
          </w:p>
        </w:tc>
        <w:tc>
          <w:tcPr>
            <w:tcW w:w="1843" w:type="dxa"/>
            <w:vAlign w:val="center"/>
          </w:tcPr>
          <w:p>
            <w:pPr>
              <w:jc w:val="center"/>
              <w:rPr>
                <w:rFonts w:ascii="宋体"/>
                <w:sz w:val="24"/>
                <w:szCs w:val="24"/>
              </w:rPr>
            </w:pPr>
          </w:p>
        </w:tc>
        <w:tc>
          <w:tcPr>
            <w:tcW w:w="1842" w:type="dxa"/>
            <w:vAlign w:val="center"/>
          </w:tcPr>
          <w:p>
            <w:pPr>
              <w:jc w:val="center"/>
              <w:rPr>
                <w:rFonts w:asci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709" w:type="dxa"/>
            <w:vAlign w:val="center"/>
          </w:tcPr>
          <w:p>
            <w:pPr>
              <w:jc w:val="center"/>
              <w:rPr>
                <w:rFonts w:ascii="宋体"/>
                <w:sz w:val="24"/>
                <w:szCs w:val="24"/>
              </w:rPr>
            </w:pPr>
            <w:r>
              <w:rPr>
                <w:rFonts w:ascii="宋体" w:hAnsi="宋体"/>
                <w:sz w:val="24"/>
                <w:szCs w:val="24"/>
              </w:rPr>
              <w:t>6</w:t>
            </w:r>
          </w:p>
        </w:tc>
        <w:tc>
          <w:tcPr>
            <w:tcW w:w="992" w:type="dxa"/>
            <w:vAlign w:val="center"/>
          </w:tcPr>
          <w:p>
            <w:pPr>
              <w:jc w:val="center"/>
              <w:rPr>
                <w:rFonts w:ascii="宋体"/>
                <w:sz w:val="24"/>
                <w:szCs w:val="24"/>
              </w:rPr>
            </w:pPr>
          </w:p>
        </w:tc>
        <w:tc>
          <w:tcPr>
            <w:tcW w:w="1134" w:type="dxa"/>
            <w:vAlign w:val="center"/>
          </w:tcPr>
          <w:p>
            <w:pPr>
              <w:jc w:val="center"/>
              <w:rPr>
                <w:rFonts w:ascii="宋体"/>
                <w:sz w:val="24"/>
                <w:szCs w:val="24"/>
              </w:rPr>
            </w:pPr>
          </w:p>
        </w:tc>
        <w:tc>
          <w:tcPr>
            <w:tcW w:w="1134" w:type="dxa"/>
            <w:vAlign w:val="center"/>
          </w:tcPr>
          <w:p>
            <w:pPr>
              <w:jc w:val="center"/>
              <w:rPr>
                <w:rFonts w:ascii="宋体"/>
                <w:sz w:val="24"/>
                <w:szCs w:val="24"/>
              </w:rPr>
            </w:pPr>
          </w:p>
        </w:tc>
        <w:tc>
          <w:tcPr>
            <w:tcW w:w="1418" w:type="dxa"/>
            <w:vAlign w:val="center"/>
          </w:tcPr>
          <w:p>
            <w:pPr>
              <w:jc w:val="center"/>
              <w:rPr>
                <w:rFonts w:ascii="宋体"/>
                <w:sz w:val="24"/>
                <w:szCs w:val="24"/>
              </w:rPr>
            </w:pPr>
          </w:p>
        </w:tc>
        <w:tc>
          <w:tcPr>
            <w:tcW w:w="1843" w:type="dxa"/>
            <w:vAlign w:val="center"/>
          </w:tcPr>
          <w:p>
            <w:pPr>
              <w:jc w:val="center"/>
              <w:rPr>
                <w:rFonts w:ascii="宋体"/>
                <w:sz w:val="24"/>
                <w:szCs w:val="24"/>
              </w:rPr>
            </w:pPr>
          </w:p>
        </w:tc>
        <w:tc>
          <w:tcPr>
            <w:tcW w:w="1842" w:type="dxa"/>
            <w:vAlign w:val="center"/>
          </w:tcPr>
          <w:p>
            <w:pPr>
              <w:jc w:val="center"/>
              <w:rPr>
                <w:rFonts w:asci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709" w:type="dxa"/>
            <w:vAlign w:val="center"/>
          </w:tcPr>
          <w:p>
            <w:pPr>
              <w:jc w:val="center"/>
              <w:rPr>
                <w:rFonts w:ascii="宋体"/>
                <w:sz w:val="24"/>
                <w:szCs w:val="24"/>
              </w:rPr>
            </w:pPr>
            <w:r>
              <w:rPr>
                <w:rFonts w:ascii="宋体" w:hAnsi="宋体"/>
                <w:sz w:val="24"/>
                <w:szCs w:val="24"/>
              </w:rPr>
              <w:t>7</w:t>
            </w:r>
          </w:p>
        </w:tc>
        <w:tc>
          <w:tcPr>
            <w:tcW w:w="992" w:type="dxa"/>
            <w:vAlign w:val="center"/>
          </w:tcPr>
          <w:p>
            <w:pPr>
              <w:jc w:val="center"/>
              <w:rPr>
                <w:rFonts w:ascii="宋体"/>
                <w:sz w:val="24"/>
                <w:szCs w:val="24"/>
              </w:rPr>
            </w:pPr>
          </w:p>
        </w:tc>
        <w:tc>
          <w:tcPr>
            <w:tcW w:w="1134" w:type="dxa"/>
            <w:vAlign w:val="center"/>
          </w:tcPr>
          <w:p>
            <w:pPr>
              <w:jc w:val="center"/>
              <w:rPr>
                <w:rFonts w:ascii="宋体"/>
                <w:sz w:val="24"/>
                <w:szCs w:val="24"/>
              </w:rPr>
            </w:pPr>
          </w:p>
        </w:tc>
        <w:tc>
          <w:tcPr>
            <w:tcW w:w="1134" w:type="dxa"/>
            <w:vAlign w:val="center"/>
          </w:tcPr>
          <w:p>
            <w:pPr>
              <w:jc w:val="center"/>
              <w:rPr>
                <w:rFonts w:ascii="宋体"/>
                <w:sz w:val="24"/>
                <w:szCs w:val="24"/>
              </w:rPr>
            </w:pPr>
          </w:p>
        </w:tc>
        <w:tc>
          <w:tcPr>
            <w:tcW w:w="1418" w:type="dxa"/>
            <w:vAlign w:val="center"/>
          </w:tcPr>
          <w:p>
            <w:pPr>
              <w:jc w:val="center"/>
              <w:rPr>
                <w:rFonts w:ascii="宋体"/>
                <w:sz w:val="24"/>
                <w:szCs w:val="24"/>
              </w:rPr>
            </w:pPr>
          </w:p>
        </w:tc>
        <w:tc>
          <w:tcPr>
            <w:tcW w:w="1843" w:type="dxa"/>
            <w:vAlign w:val="center"/>
          </w:tcPr>
          <w:p>
            <w:pPr>
              <w:jc w:val="center"/>
              <w:rPr>
                <w:rFonts w:ascii="宋体"/>
                <w:sz w:val="24"/>
                <w:szCs w:val="24"/>
              </w:rPr>
            </w:pPr>
          </w:p>
        </w:tc>
        <w:tc>
          <w:tcPr>
            <w:tcW w:w="1842" w:type="dxa"/>
            <w:vAlign w:val="center"/>
          </w:tcPr>
          <w:p>
            <w:pPr>
              <w:jc w:val="center"/>
              <w:rPr>
                <w:rFonts w:asci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709" w:type="dxa"/>
            <w:vAlign w:val="center"/>
          </w:tcPr>
          <w:p>
            <w:pPr>
              <w:jc w:val="center"/>
              <w:rPr>
                <w:rFonts w:ascii="宋体"/>
                <w:b/>
                <w:sz w:val="24"/>
                <w:szCs w:val="24"/>
              </w:rPr>
            </w:pPr>
            <w:r>
              <w:rPr>
                <w:rFonts w:hint="eastAsia" w:ascii="宋体"/>
                <w:b/>
                <w:sz w:val="24"/>
                <w:szCs w:val="24"/>
              </w:rPr>
              <w:t>…</w:t>
            </w:r>
          </w:p>
        </w:tc>
        <w:tc>
          <w:tcPr>
            <w:tcW w:w="992" w:type="dxa"/>
            <w:vAlign w:val="center"/>
          </w:tcPr>
          <w:p>
            <w:pPr>
              <w:jc w:val="center"/>
              <w:rPr>
                <w:rFonts w:ascii="宋体"/>
                <w:sz w:val="24"/>
                <w:szCs w:val="24"/>
              </w:rPr>
            </w:pPr>
          </w:p>
        </w:tc>
        <w:tc>
          <w:tcPr>
            <w:tcW w:w="1134" w:type="dxa"/>
            <w:vAlign w:val="center"/>
          </w:tcPr>
          <w:p>
            <w:pPr>
              <w:jc w:val="center"/>
              <w:rPr>
                <w:rFonts w:ascii="宋体"/>
                <w:sz w:val="24"/>
                <w:szCs w:val="24"/>
              </w:rPr>
            </w:pPr>
          </w:p>
        </w:tc>
        <w:tc>
          <w:tcPr>
            <w:tcW w:w="1134" w:type="dxa"/>
            <w:vAlign w:val="center"/>
          </w:tcPr>
          <w:p>
            <w:pPr>
              <w:jc w:val="center"/>
              <w:rPr>
                <w:rFonts w:ascii="宋体"/>
                <w:sz w:val="24"/>
                <w:szCs w:val="24"/>
              </w:rPr>
            </w:pPr>
          </w:p>
        </w:tc>
        <w:tc>
          <w:tcPr>
            <w:tcW w:w="1418" w:type="dxa"/>
            <w:vAlign w:val="center"/>
          </w:tcPr>
          <w:p>
            <w:pPr>
              <w:jc w:val="center"/>
              <w:rPr>
                <w:rFonts w:ascii="宋体"/>
                <w:sz w:val="24"/>
                <w:szCs w:val="24"/>
              </w:rPr>
            </w:pPr>
          </w:p>
        </w:tc>
        <w:tc>
          <w:tcPr>
            <w:tcW w:w="1843" w:type="dxa"/>
            <w:vAlign w:val="center"/>
          </w:tcPr>
          <w:p>
            <w:pPr>
              <w:jc w:val="center"/>
              <w:rPr>
                <w:rFonts w:ascii="宋体"/>
                <w:sz w:val="24"/>
                <w:szCs w:val="24"/>
              </w:rPr>
            </w:pPr>
          </w:p>
        </w:tc>
        <w:tc>
          <w:tcPr>
            <w:tcW w:w="1842" w:type="dxa"/>
            <w:vAlign w:val="center"/>
          </w:tcPr>
          <w:p>
            <w:pPr>
              <w:jc w:val="center"/>
              <w:rPr>
                <w:rFonts w:ascii="宋体"/>
                <w:sz w:val="24"/>
                <w:szCs w:val="24"/>
              </w:rPr>
            </w:pPr>
          </w:p>
        </w:tc>
      </w:tr>
    </w:tbl>
    <w:p>
      <w:pPr>
        <w:spacing w:line="360" w:lineRule="auto"/>
        <w:ind w:left="720" w:hanging="720" w:hangingChars="300"/>
        <w:jc w:val="left"/>
        <w:rPr>
          <w:rFonts w:ascii="宋体"/>
          <w:sz w:val="24"/>
          <w:szCs w:val="24"/>
          <w:lang w:val="zh-CN"/>
        </w:rPr>
      </w:pPr>
      <w:r>
        <w:rPr>
          <w:rFonts w:hint="eastAsia" w:ascii="宋体" w:hAnsi="宋体"/>
          <w:sz w:val="24"/>
          <w:szCs w:val="24"/>
          <w:lang w:val="zh-CN"/>
        </w:rPr>
        <w:t>说明：投标文件正本应附完整的相关证明材料清晰影印件，</w:t>
      </w:r>
      <w:r>
        <w:rPr>
          <w:rFonts w:hint="eastAsia" w:ascii="宋体" w:hAnsi="宋体" w:cs="Corbel"/>
          <w:sz w:val="24"/>
          <w:szCs w:val="21"/>
          <w:lang w:val="zh-CN"/>
        </w:rPr>
        <w:t>未按照要求详细完整填写此表，</w:t>
      </w:r>
      <w:r>
        <w:rPr>
          <w:rFonts w:hint="eastAsia" w:ascii="宋体" w:hAnsi="宋体"/>
          <w:sz w:val="24"/>
          <w:szCs w:val="21"/>
          <w:lang w:val="zh-CN"/>
        </w:rPr>
        <w:t>导致的后果由投标人自行承担。</w:t>
      </w:r>
    </w:p>
    <w:p>
      <w:pPr>
        <w:spacing w:line="360" w:lineRule="auto"/>
        <w:jc w:val="left"/>
        <w:rPr>
          <w:rFonts w:ascii="宋体"/>
          <w:sz w:val="24"/>
          <w:szCs w:val="24"/>
          <w:lang w:val="zh-CN"/>
        </w:rPr>
      </w:pPr>
    </w:p>
    <w:p>
      <w:pPr>
        <w:spacing w:line="360" w:lineRule="auto"/>
        <w:jc w:val="left"/>
        <w:rPr>
          <w:rFonts w:ascii="宋体"/>
          <w:sz w:val="24"/>
          <w:szCs w:val="24"/>
          <w:lang w:val="zh-CN"/>
        </w:rPr>
      </w:pPr>
    </w:p>
    <w:p>
      <w:pPr>
        <w:spacing w:line="360" w:lineRule="auto"/>
        <w:jc w:val="left"/>
        <w:rPr>
          <w:rFonts w:ascii="宋体"/>
          <w:sz w:val="24"/>
          <w:szCs w:val="24"/>
          <w:lang w:val="zh-CN"/>
        </w:rPr>
      </w:pPr>
    </w:p>
    <w:p>
      <w:pPr>
        <w:spacing w:line="360" w:lineRule="auto"/>
        <w:jc w:val="left"/>
        <w:rPr>
          <w:rFonts w:ascii="宋体"/>
          <w:sz w:val="24"/>
          <w:szCs w:val="24"/>
          <w:lang w:val="zh-CN"/>
        </w:rPr>
      </w:pPr>
    </w:p>
    <w:p>
      <w:pPr>
        <w:spacing w:line="360" w:lineRule="auto"/>
        <w:jc w:val="left"/>
        <w:rPr>
          <w:rFonts w:ascii="宋体"/>
          <w:sz w:val="24"/>
          <w:szCs w:val="24"/>
          <w:lang w:val="zh-CN"/>
        </w:rPr>
      </w:pPr>
    </w:p>
    <w:p>
      <w:pPr>
        <w:spacing w:before="100" w:beforeAutospacing="1" w:after="100" w:afterAutospacing="1" w:line="360" w:lineRule="auto"/>
        <w:ind w:firstLine="3316" w:firstLineChars="1382"/>
        <w:rPr>
          <w:rFonts w:hAnsi="宋体"/>
          <w:b/>
          <w:bCs/>
          <w:sz w:val="24"/>
          <w:u w:val="single"/>
        </w:rPr>
      </w:pPr>
      <w:r>
        <w:rPr>
          <w:rFonts w:hint="eastAsia" w:hAnsi="宋体"/>
          <w:b/>
          <w:bCs/>
          <w:sz w:val="24"/>
        </w:rPr>
        <w:t>投标人（公章）：</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投标人</w:t>
      </w:r>
      <w:r>
        <w:rPr>
          <w:rFonts w:hint="eastAsia" w:hAnsi="宋体"/>
          <w:b/>
          <w:bCs/>
          <w:sz w:val="24"/>
        </w:rPr>
        <w:t>授权代表（签字）：</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w:t>
      </w:r>
      <w:r>
        <w:rPr>
          <w:rFonts w:hint="eastAsia" w:hAnsi="宋体"/>
          <w:b/>
          <w:bCs/>
          <w:sz w:val="24"/>
        </w:rPr>
        <w:t>时间：</w:t>
      </w:r>
    </w:p>
    <w:p>
      <w:r>
        <w:br w:type="page"/>
      </w:r>
    </w:p>
    <w:p>
      <w:pPr>
        <w:pStyle w:val="4"/>
        <w:numPr>
          <w:ilvl w:val="0"/>
          <w:numId w:val="61"/>
        </w:numPr>
        <w:spacing w:before="100" w:beforeAutospacing="1" w:afterLines="50" w:line="360" w:lineRule="auto"/>
        <w:ind w:left="1610" w:hanging="1610"/>
        <w:rPr>
          <w:rFonts w:ascii="宋体"/>
        </w:rPr>
      </w:pPr>
      <w:bookmarkStart w:id="220" w:name="_Toc106268641"/>
      <w:bookmarkStart w:id="221" w:name="_Toc494702284"/>
      <w:bookmarkStart w:id="222" w:name="_Toc494665964"/>
      <w:bookmarkStart w:id="223" w:name="_Toc494721114"/>
      <w:bookmarkStart w:id="224" w:name="_Toc494665014"/>
      <w:bookmarkStart w:id="225" w:name="_Toc494665567"/>
      <w:bookmarkStart w:id="226" w:name="_Toc238276256"/>
      <w:bookmarkStart w:id="227" w:name="_Toc236473312"/>
      <w:bookmarkStart w:id="228" w:name="_Toc494745331"/>
      <w:r>
        <w:rPr>
          <w:rFonts w:hint="eastAsia" w:ascii="宋体" w:hAnsi="宋体"/>
        </w:rPr>
        <w:t>投标人类似项目业绩表</w:t>
      </w:r>
      <w:bookmarkEnd w:id="220"/>
      <w:bookmarkEnd w:id="221"/>
      <w:bookmarkEnd w:id="222"/>
      <w:bookmarkEnd w:id="223"/>
      <w:bookmarkEnd w:id="224"/>
      <w:bookmarkEnd w:id="225"/>
      <w:bookmarkEnd w:id="226"/>
      <w:bookmarkEnd w:id="227"/>
      <w:bookmarkEnd w:id="228"/>
    </w:p>
    <w:p>
      <w:pPr>
        <w:spacing w:line="360" w:lineRule="auto"/>
        <w:jc w:val="left"/>
        <w:rPr>
          <w:rFonts w:hAnsi="宋体"/>
          <w:b/>
          <w:sz w:val="24"/>
        </w:rPr>
      </w:pPr>
      <w:r>
        <w:rPr>
          <w:rFonts w:hint="eastAsia" w:hAnsi="宋体"/>
          <w:b/>
          <w:sz w:val="24"/>
        </w:rPr>
        <w:t>投标人：</w:t>
      </w:r>
    </w:p>
    <w:p>
      <w:pPr>
        <w:spacing w:line="360" w:lineRule="auto"/>
        <w:jc w:val="left"/>
        <w:rPr>
          <w:rFonts w:hAnsi="宋体"/>
          <w:b/>
          <w:sz w:val="24"/>
        </w:rPr>
      </w:pPr>
      <w:r>
        <w:rPr>
          <w:rFonts w:hint="eastAsia" w:ascii="宋体" w:hAnsi="宋体"/>
          <w:b/>
          <w:sz w:val="24"/>
          <w:szCs w:val="21"/>
          <w:lang w:val="zh-CN"/>
        </w:rPr>
        <w:t>项目编号：</w:t>
      </w:r>
      <w:r>
        <w:rPr>
          <w:rFonts w:hint="eastAsia" w:ascii="宋体" w:hAnsi="宋体"/>
          <w:b/>
          <w:bCs/>
          <w:sz w:val="24"/>
          <w:szCs w:val="21"/>
          <w:lang w:val="zh-CN"/>
        </w:rPr>
        <w:t>所投包号：</w:t>
      </w:r>
    </w:p>
    <w:tbl>
      <w:tblPr>
        <w:tblStyle w:val="28"/>
        <w:tblW w:w="94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20"/>
        <w:gridCol w:w="7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2220" w:type="dxa"/>
            <w:vAlign w:val="center"/>
          </w:tcPr>
          <w:p>
            <w:pPr>
              <w:jc w:val="center"/>
              <w:rPr>
                <w:rFonts w:ascii="宋体" w:cs="Courier New"/>
                <w:sz w:val="24"/>
                <w:szCs w:val="24"/>
              </w:rPr>
            </w:pPr>
            <w:r>
              <w:rPr>
                <w:rFonts w:hint="eastAsia" w:ascii="宋体" w:hAnsi="宋体" w:cs="Courier New"/>
                <w:sz w:val="24"/>
                <w:szCs w:val="24"/>
              </w:rPr>
              <w:t>项目单位名称</w:t>
            </w:r>
          </w:p>
        </w:tc>
        <w:tc>
          <w:tcPr>
            <w:tcW w:w="7200" w:type="dxa"/>
          </w:tcPr>
          <w:p>
            <w:pPr>
              <w:rPr>
                <w:rFonts w:ascii="宋体" w:cs="Courier New"/>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220" w:type="dxa"/>
            <w:vAlign w:val="center"/>
          </w:tcPr>
          <w:p>
            <w:pPr>
              <w:jc w:val="center"/>
              <w:rPr>
                <w:rFonts w:ascii="宋体" w:cs="Courier New"/>
                <w:sz w:val="24"/>
                <w:szCs w:val="24"/>
              </w:rPr>
            </w:pPr>
            <w:r>
              <w:rPr>
                <w:rFonts w:hint="eastAsia" w:ascii="宋体" w:hAnsi="宋体" w:cs="Courier New"/>
                <w:sz w:val="24"/>
                <w:szCs w:val="24"/>
              </w:rPr>
              <w:t>项目名称</w:t>
            </w:r>
          </w:p>
        </w:tc>
        <w:tc>
          <w:tcPr>
            <w:tcW w:w="7200" w:type="dxa"/>
          </w:tcPr>
          <w:p>
            <w:pPr>
              <w:rPr>
                <w:rFonts w:ascii="宋体" w:cs="Courier New"/>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220" w:type="dxa"/>
            <w:vAlign w:val="center"/>
          </w:tcPr>
          <w:p>
            <w:pPr>
              <w:jc w:val="center"/>
              <w:rPr>
                <w:rFonts w:ascii="宋体" w:cs="Courier New"/>
                <w:sz w:val="24"/>
                <w:szCs w:val="24"/>
              </w:rPr>
            </w:pPr>
            <w:r>
              <w:rPr>
                <w:rFonts w:hint="eastAsia" w:ascii="宋体" w:hAnsi="宋体" w:cs="Courier New"/>
                <w:sz w:val="24"/>
                <w:szCs w:val="24"/>
              </w:rPr>
              <w:t>项目单位联系人姓名及联系方式</w:t>
            </w:r>
          </w:p>
        </w:tc>
        <w:tc>
          <w:tcPr>
            <w:tcW w:w="7200" w:type="dxa"/>
          </w:tcPr>
          <w:p>
            <w:pPr>
              <w:rPr>
                <w:rFonts w:ascii="宋体" w:cs="Courier New"/>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2220" w:type="dxa"/>
            <w:vAlign w:val="center"/>
          </w:tcPr>
          <w:p>
            <w:pPr>
              <w:jc w:val="center"/>
              <w:rPr>
                <w:rFonts w:ascii="宋体" w:cs="Courier New"/>
                <w:sz w:val="24"/>
                <w:szCs w:val="24"/>
              </w:rPr>
            </w:pPr>
            <w:r>
              <w:rPr>
                <w:rFonts w:hint="eastAsia" w:ascii="宋体" w:hAnsi="宋体" w:cs="Courier New"/>
                <w:sz w:val="24"/>
                <w:szCs w:val="24"/>
              </w:rPr>
              <w:t>项目金额</w:t>
            </w:r>
          </w:p>
        </w:tc>
        <w:tc>
          <w:tcPr>
            <w:tcW w:w="7200" w:type="dxa"/>
          </w:tcPr>
          <w:p>
            <w:pPr>
              <w:rPr>
                <w:rFonts w:ascii="宋体" w:cs="Courier New"/>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2220" w:type="dxa"/>
            <w:vAlign w:val="center"/>
          </w:tcPr>
          <w:p>
            <w:pPr>
              <w:jc w:val="center"/>
              <w:rPr>
                <w:rFonts w:ascii="宋体" w:cs="Courier New"/>
                <w:sz w:val="24"/>
                <w:szCs w:val="24"/>
              </w:rPr>
            </w:pPr>
            <w:r>
              <w:rPr>
                <w:rFonts w:hint="eastAsia" w:ascii="宋体" w:hAnsi="宋体" w:cs="Courier New"/>
                <w:sz w:val="24"/>
                <w:szCs w:val="24"/>
              </w:rPr>
              <w:t>项目负责人姓名</w:t>
            </w:r>
          </w:p>
        </w:tc>
        <w:tc>
          <w:tcPr>
            <w:tcW w:w="7200" w:type="dxa"/>
          </w:tcPr>
          <w:p>
            <w:pPr>
              <w:rPr>
                <w:rFonts w:ascii="宋体" w:cs="Courier New"/>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220" w:type="dxa"/>
            <w:vAlign w:val="center"/>
          </w:tcPr>
          <w:p>
            <w:pPr>
              <w:jc w:val="center"/>
              <w:rPr>
                <w:rFonts w:ascii="宋体" w:cs="Courier New"/>
                <w:sz w:val="24"/>
                <w:szCs w:val="24"/>
              </w:rPr>
            </w:pPr>
            <w:r>
              <w:rPr>
                <w:rFonts w:hint="eastAsia" w:ascii="宋体" w:hAnsi="宋体" w:cs="Courier New"/>
                <w:sz w:val="24"/>
                <w:szCs w:val="24"/>
              </w:rPr>
              <w:t>项目时间</w:t>
            </w:r>
          </w:p>
        </w:tc>
        <w:tc>
          <w:tcPr>
            <w:tcW w:w="7200" w:type="dxa"/>
          </w:tcPr>
          <w:p>
            <w:pPr>
              <w:rPr>
                <w:rFonts w:ascii="宋体" w:cs="Courier New"/>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8" w:hRule="atLeast"/>
          <w:jc w:val="center"/>
        </w:trPr>
        <w:tc>
          <w:tcPr>
            <w:tcW w:w="2220" w:type="dxa"/>
            <w:vAlign w:val="center"/>
          </w:tcPr>
          <w:p>
            <w:pPr>
              <w:jc w:val="center"/>
              <w:rPr>
                <w:rFonts w:ascii="宋体" w:cs="Courier New"/>
                <w:sz w:val="24"/>
                <w:szCs w:val="24"/>
              </w:rPr>
            </w:pPr>
            <w:r>
              <w:rPr>
                <w:rFonts w:hint="eastAsia" w:ascii="宋体" w:hAnsi="宋体" w:cs="Courier New"/>
                <w:sz w:val="24"/>
                <w:szCs w:val="24"/>
              </w:rPr>
              <w:t>项目内容</w:t>
            </w:r>
          </w:p>
        </w:tc>
        <w:tc>
          <w:tcPr>
            <w:tcW w:w="7200" w:type="dxa"/>
          </w:tcPr>
          <w:p>
            <w:pPr>
              <w:rPr>
                <w:rFonts w:ascii="宋体" w:cs="Courier New"/>
                <w:sz w:val="24"/>
                <w:szCs w:val="24"/>
              </w:rPr>
            </w:pPr>
          </w:p>
        </w:tc>
      </w:tr>
    </w:tbl>
    <w:p>
      <w:pPr>
        <w:spacing w:line="360" w:lineRule="auto"/>
        <w:ind w:left="1092" w:hanging="1092" w:hangingChars="455"/>
        <w:jc w:val="left"/>
        <w:rPr>
          <w:rFonts w:ascii="宋体"/>
          <w:sz w:val="24"/>
          <w:szCs w:val="24"/>
        </w:rPr>
      </w:pPr>
      <w:r>
        <w:rPr>
          <w:rFonts w:hint="eastAsia" w:ascii="宋体" w:hAnsi="宋体"/>
          <w:sz w:val="24"/>
          <w:szCs w:val="24"/>
        </w:rPr>
        <w:t>说明：</w:t>
      </w:r>
      <w:r>
        <w:rPr>
          <w:rFonts w:ascii="宋体" w:hAnsi="宋体"/>
          <w:sz w:val="24"/>
          <w:szCs w:val="24"/>
        </w:rPr>
        <w:t>1</w:t>
      </w:r>
      <w:r>
        <w:rPr>
          <w:rFonts w:hint="eastAsia" w:ascii="宋体" w:hAnsi="宋体"/>
          <w:sz w:val="24"/>
          <w:szCs w:val="24"/>
        </w:rPr>
        <w:t>．每个合同应单独附表，并附上相关证明材料，</w:t>
      </w:r>
      <w:r>
        <w:rPr>
          <w:rFonts w:hint="eastAsia" w:ascii="宋体" w:hAnsi="宋体" w:cs="Corbel"/>
          <w:sz w:val="24"/>
          <w:szCs w:val="24"/>
        </w:rPr>
        <w:t>未按照要求详细完整填写此表，</w:t>
      </w:r>
      <w:r>
        <w:rPr>
          <w:rFonts w:hint="eastAsia" w:ascii="宋体" w:hAnsi="宋体"/>
          <w:sz w:val="24"/>
          <w:szCs w:val="24"/>
        </w:rPr>
        <w:t>导致的后果由投标人自行承担。</w:t>
      </w:r>
    </w:p>
    <w:p>
      <w:pPr>
        <w:spacing w:line="360" w:lineRule="auto"/>
        <w:ind w:left="1061" w:leftChars="339" w:hanging="350" w:hangingChars="146"/>
        <w:jc w:val="left"/>
        <w:rPr>
          <w:rFonts w:ascii="宋体"/>
          <w:sz w:val="24"/>
          <w:szCs w:val="24"/>
        </w:rPr>
      </w:pPr>
      <w:r>
        <w:rPr>
          <w:rFonts w:ascii="宋体" w:hAnsi="宋体"/>
          <w:sz w:val="24"/>
          <w:szCs w:val="24"/>
        </w:rPr>
        <w:t>2</w:t>
      </w:r>
      <w:r>
        <w:rPr>
          <w:rFonts w:hint="eastAsia" w:ascii="宋体" w:hAnsi="宋体"/>
          <w:sz w:val="24"/>
          <w:szCs w:val="24"/>
        </w:rPr>
        <w:t>．项目内容请详细说明所承担的具体工作内容等。</w:t>
      </w:r>
    </w:p>
    <w:p>
      <w:pPr>
        <w:spacing w:line="360" w:lineRule="auto"/>
        <w:ind w:firstLine="720" w:firstLineChars="300"/>
        <w:rPr>
          <w:rFonts w:ascii="宋体"/>
          <w:sz w:val="24"/>
          <w:szCs w:val="24"/>
        </w:rPr>
      </w:pPr>
    </w:p>
    <w:p>
      <w:pPr>
        <w:spacing w:line="360" w:lineRule="auto"/>
        <w:ind w:firstLine="720" w:firstLineChars="300"/>
        <w:rPr>
          <w:rFonts w:ascii="宋体"/>
          <w:sz w:val="24"/>
          <w:szCs w:val="24"/>
        </w:rPr>
      </w:pPr>
    </w:p>
    <w:p>
      <w:pPr>
        <w:spacing w:before="100" w:beforeAutospacing="1" w:after="100" w:afterAutospacing="1" w:line="360" w:lineRule="auto"/>
        <w:ind w:firstLine="3316" w:firstLineChars="1382"/>
        <w:rPr>
          <w:rFonts w:hAnsi="宋体"/>
          <w:b/>
          <w:bCs/>
          <w:sz w:val="24"/>
          <w:u w:val="single"/>
        </w:rPr>
      </w:pPr>
      <w:r>
        <w:rPr>
          <w:rFonts w:hint="eastAsia" w:hAnsi="宋体"/>
          <w:b/>
          <w:bCs/>
          <w:sz w:val="24"/>
        </w:rPr>
        <w:t>投标人（公章）：</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投标人</w:t>
      </w:r>
      <w:r>
        <w:rPr>
          <w:rFonts w:hint="eastAsia" w:hAnsi="宋体"/>
          <w:b/>
          <w:bCs/>
          <w:sz w:val="24"/>
        </w:rPr>
        <w:t>授权代表（签字）：</w:t>
      </w:r>
    </w:p>
    <w:p>
      <w:pPr>
        <w:spacing w:before="100" w:beforeAutospacing="1" w:after="100" w:afterAutospacing="1" w:line="360" w:lineRule="auto"/>
        <w:ind w:firstLine="3316" w:firstLineChars="1382"/>
      </w:pPr>
      <w:r>
        <w:rPr>
          <w:rFonts w:hint="eastAsia" w:ascii="宋体" w:hAnsi="宋体"/>
          <w:b/>
          <w:bCs/>
          <w:sz w:val="24"/>
          <w:szCs w:val="21"/>
          <w:lang w:val="zh-CN"/>
        </w:rPr>
        <w:t>投标</w:t>
      </w:r>
      <w:r>
        <w:rPr>
          <w:rFonts w:hint="eastAsia" w:hAnsi="宋体"/>
          <w:b/>
          <w:bCs/>
          <w:sz w:val="24"/>
        </w:rPr>
        <w:t>时间：</w:t>
      </w:r>
    </w:p>
    <w:p>
      <w:r>
        <w:br w:type="page"/>
      </w:r>
    </w:p>
    <w:p>
      <w:pPr>
        <w:pStyle w:val="4"/>
        <w:numPr>
          <w:ilvl w:val="0"/>
          <w:numId w:val="61"/>
        </w:numPr>
        <w:spacing w:before="100" w:beforeAutospacing="1" w:afterLines="50" w:line="360" w:lineRule="auto"/>
        <w:ind w:left="1610" w:hanging="1610"/>
        <w:rPr>
          <w:rFonts w:ascii="宋体"/>
        </w:rPr>
      </w:pPr>
      <w:bookmarkStart w:id="229" w:name="_Toc494721115"/>
      <w:bookmarkStart w:id="230" w:name="_Toc494665965"/>
      <w:bookmarkStart w:id="231" w:name="_Toc494702285"/>
      <w:bookmarkStart w:id="232" w:name="_Toc494665568"/>
      <w:bookmarkStart w:id="233" w:name="_Toc106268642"/>
      <w:bookmarkStart w:id="234" w:name="_Toc494665015"/>
      <w:bookmarkStart w:id="235" w:name="_Toc494745332"/>
      <w:r>
        <w:rPr>
          <w:rFonts w:hint="eastAsia" w:ascii="宋体" w:hAnsi="宋体"/>
        </w:rPr>
        <w:t>符合性审查对照表</w:t>
      </w:r>
      <w:bookmarkEnd w:id="229"/>
      <w:bookmarkEnd w:id="230"/>
      <w:bookmarkEnd w:id="231"/>
      <w:bookmarkEnd w:id="232"/>
      <w:bookmarkEnd w:id="233"/>
      <w:bookmarkEnd w:id="234"/>
      <w:bookmarkEnd w:id="235"/>
    </w:p>
    <w:p>
      <w:pPr>
        <w:spacing w:line="360" w:lineRule="auto"/>
        <w:jc w:val="left"/>
        <w:rPr>
          <w:rFonts w:hAnsi="宋体"/>
          <w:b/>
          <w:sz w:val="24"/>
        </w:rPr>
      </w:pPr>
      <w:r>
        <w:rPr>
          <w:rFonts w:hint="eastAsia" w:hAnsi="宋体"/>
          <w:b/>
          <w:sz w:val="24"/>
        </w:rPr>
        <w:t>投标人：</w:t>
      </w:r>
    </w:p>
    <w:p>
      <w:pPr>
        <w:spacing w:line="360" w:lineRule="auto"/>
        <w:jc w:val="left"/>
        <w:rPr>
          <w:rFonts w:hAnsi="宋体"/>
          <w:b/>
          <w:sz w:val="24"/>
        </w:rPr>
      </w:pPr>
      <w:r>
        <w:rPr>
          <w:rFonts w:hint="eastAsia" w:ascii="宋体" w:hAnsi="宋体"/>
          <w:b/>
          <w:sz w:val="24"/>
          <w:szCs w:val="21"/>
          <w:lang w:val="zh-CN"/>
        </w:rPr>
        <w:t>项目编号：</w:t>
      </w:r>
      <w:r>
        <w:rPr>
          <w:rFonts w:hint="eastAsia" w:ascii="宋体" w:hAnsi="宋体"/>
          <w:b/>
          <w:bCs/>
          <w:sz w:val="24"/>
          <w:szCs w:val="21"/>
          <w:lang w:val="zh-CN"/>
        </w:rPr>
        <w:t>所投包号：</w:t>
      </w:r>
    </w:p>
    <w:tbl>
      <w:tblPr>
        <w:tblStyle w:val="28"/>
        <w:tblW w:w="950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3"/>
        <w:gridCol w:w="3032"/>
        <w:gridCol w:w="2754"/>
        <w:gridCol w:w="1363"/>
        <w:gridCol w:w="1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753" w:type="dxa"/>
            <w:shd w:val="clear" w:color="auto" w:fill="F2F2F2"/>
            <w:vAlign w:val="center"/>
          </w:tcPr>
          <w:p>
            <w:pPr>
              <w:jc w:val="center"/>
              <w:rPr>
                <w:rFonts w:ascii="宋体" w:cs="仿宋_GB2312"/>
                <w:sz w:val="24"/>
                <w:szCs w:val="24"/>
              </w:rPr>
            </w:pPr>
            <w:r>
              <w:rPr>
                <w:rFonts w:hint="eastAsia" w:ascii="宋体" w:hAnsi="宋体" w:cs="仿宋_GB2312"/>
                <w:sz w:val="24"/>
                <w:szCs w:val="24"/>
              </w:rPr>
              <w:t>序号</w:t>
            </w:r>
          </w:p>
        </w:tc>
        <w:tc>
          <w:tcPr>
            <w:tcW w:w="3032" w:type="dxa"/>
            <w:shd w:val="clear" w:color="auto" w:fill="F2F2F2"/>
            <w:vAlign w:val="center"/>
          </w:tcPr>
          <w:p>
            <w:pPr>
              <w:jc w:val="center"/>
              <w:rPr>
                <w:rFonts w:ascii="宋体" w:cs="仿宋_GB2312"/>
                <w:sz w:val="24"/>
                <w:szCs w:val="24"/>
              </w:rPr>
            </w:pPr>
            <w:r>
              <w:rPr>
                <w:rFonts w:hint="eastAsia" w:ascii="宋体" w:hAnsi="宋体" w:cs="仿宋_GB2312"/>
                <w:sz w:val="24"/>
                <w:szCs w:val="24"/>
              </w:rPr>
              <w:t>招标文件</w:t>
            </w:r>
            <w:r>
              <w:rPr>
                <w:rFonts w:hint="eastAsia" w:ascii="宋体" w:hAnsi="宋体" w:cs="Corbel"/>
                <w:sz w:val="24"/>
                <w:szCs w:val="24"/>
              </w:rPr>
              <w:t>符合性审查条款</w:t>
            </w:r>
          </w:p>
        </w:tc>
        <w:tc>
          <w:tcPr>
            <w:tcW w:w="2754" w:type="dxa"/>
            <w:shd w:val="clear" w:color="auto" w:fill="F2F2F2"/>
            <w:vAlign w:val="center"/>
          </w:tcPr>
          <w:p>
            <w:pPr>
              <w:jc w:val="center"/>
              <w:rPr>
                <w:rFonts w:ascii="宋体" w:cs="仿宋_GB2312"/>
                <w:sz w:val="24"/>
                <w:szCs w:val="24"/>
              </w:rPr>
            </w:pPr>
            <w:r>
              <w:rPr>
                <w:rFonts w:hint="eastAsia" w:ascii="宋体" w:hAnsi="宋体" w:cs="仿宋_GB2312"/>
                <w:sz w:val="24"/>
                <w:szCs w:val="24"/>
              </w:rPr>
              <w:t>投标响应内容对应简述</w:t>
            </w:r>
          </w:p>
        </w:tc>
        <w:tc>
          <w:tcPr>
            <w:tcW w:w="1363" w:type="dxa"/>
            <w:shd w:val="clear" w:color="auto" w:fill="F2F2F2"/>
            <w:vAlign w:val="center"/>
          </w:tcPr>
          <w:p>
            <w:pPr>
              <w:jc w:val="center"/>
              <w:rPr>
                <w:rFonts w:ascii="宋体" w:cs="仿宋_GB2312"/>
                <w:sz w:val="24"/>
                <w:szCs w:val="24"/>
              </w:rPr>
            </w:pPr>
            <w:r>
              <w:rPr>
                <w:rFonts w:hint="eastAsia" w:ascii="宋体" w:hAnsi="宋体" w:cs="仿宋_GB2312"/>
                <w:sz w:val="24"/>
                <w:szCs w:val="24"/>
              </w:rPr>
              <w:t>偏离说明</w:t>
            </w:r>
          </w:p>
        </w:tc>
        <w:tc>
          <w:tcPr>
            <w:tcW w:w="1602" w:type="dxa"/>
            <w:shd w:val="clear" w:color="auto" w:fill="F2F2F2"/>
          </w:tcPr>
          <w:p>
            <w:pPr>
              <w:jc w:val="center"/>
              <w:rPr>
                <w:rFonts w:ascii="宋体" w:cs="仿宋_GB2312"/>
                <w:sz w:val="24"/>
                <w:szCs w:val="24"/>
              </w:rPr>
            </w:pPr>
            <w:r>
              <w:rPr>
                <w:rFonts w:hint="eastAsia" w:ascii="宋体" w:hAnsi="宋体" w:cs="仿宋_GB2312"/>
                <w:sz w:val="24"/>
                <w:szCs w:val="24"/>
              </w:rPr>
              <w:t>投标文件对应的页码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4" w:hRule="atLeast"/>
        </w:trPr>
        <w:tc>
          <w:tcPr>
            <w:tcW w:w="753" w:type="dxa"/>
            <w:vAlign w:val="center"/>
          </w:tcPr>
          <w:p>
            <w:pPr>
              <w:jc w:val="center"/>
              <w:rPr>
                <w:rFonts w:ascii="宋体" w:cs="仿宋_GB2312"/>
                <w:sz w:val="24"/>
                <w:szCs w:val="24"/>
              </w:rPr>
            </w:pPr>
            <w:r>
              <w:rPr>
                <w:rFonts w:ascii="宋体" w:hAnsi="宋体" w:cs="仿宋_GB2312"/>
                <w:sz w:val="24"/>
                <w:szCs w:val="24"/>
              </w:rPr>
              <w:t>1</w:t>
            </w:r>
          </w:p>
        </w:tc>
        <w:tc>
          <w:tcPr>
            <w:tcW w:w="3032" w:type="dxa"/>
            <w:vAlign w:val="center"/>
          </w:tcPr>
          <w:p>
            <w:pPr>
              <w:jc w:val="center"/>
              <w:rPr>
                <w:rFonts w:ascii="宋体" w:cs="仿宋_GB2312"/>
                <w:sz w:val="24"/>
                <w:szCs w:val="24"/>
              </w:rPr>
            </w:pPr>
          </w:p>
        </w:tc>
        <w:tc>
          <w:tcPr>
            <w:tcW w:w="2754" w:type="dxa"/>
            <w:vAlign w:val="center"/>
          </w:tcPr>
          <w:p>
            <w:pPr>
              <w:jc w:val="center"/>
              <w:rPr>
                <w:rFonts w:ascii="宋体" w:cs="仿宋_GB2312"/>
                <w:sz w:val="24"/>
                <w:szCs w:val="24"/>
              </w:rPr>
            </w:pPr>
          </w:p>
        </w:tc>
        <w:tc>
          <w:tcPr>
            <w:tcW w:w="1363" w:type="dxa"/>
            <w:vAlign w:val="center"/>
          </w:tcPr>
          <w:p>
            <w:pPr>
              <w:jc w:val="center"/>
              <w:rPr>
                <w:rFonts w:ascii="宋体" w:cs="仿宋_GB2312"/>
                <w:sz w:val="24"/>
                <w:szCs w:val="24"/>
              </w:rPr>
            </w:pPr>
          </w:p>
        </w:tc>
        <w:tc>
          <w:tcPr>
            <w:tcW w:w="1602"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4" w:hRule="atLeast"/>
        </w:trPr>
        <w:tc>
          <w:tcPr>
            <w:tcW w:w="753" w:type="dxa"/>
            <w:vAlign w:val="center"/>
          </w:tcPr>
          <w:p>
            <w:pPr>
              <w:jc w:val="center"/>
              <w:rPr>
                <w:rFonts w:ascii="宋体" w:cs="仿宋_GB2312"/>
                <w:sz w:val="24"/>
                <w:szCs w:val="24"/>
              </w:rPr>
            </w:pPr>
            <w:r>
              <w:rPr>
                <w:rFonts w:ascii="宋体" w:hAnsi="宋体" w:cs="仿宋_GB2312"/>
                <w:sz w:val="24"/>
                <w:szCs w:val="24"/>
              </w:rPr>
              <w:t>2</w:t>
            </w:r>
          </w:p>
        </w:tc>
        <w:tc>
          <w:tcPr>
            <w:tcW w:w="3032" w:type="dxa"/>
            <w:vAlign w:val="center"/>
          </w:tcPr>
          <w:p>
            <w:pPr>
              <w:jc w:val="center"/>
              <w:rPr>
                <w:rFonts w:ascii="宋体" w:cs="仿宋_GB2312"/>
                <w:sz w:val="24"/>
                <w:szCs w:val="24"/>
              </w:rPr>
            </w:pPr>
          </w:p>
        </w:tc>
        <w:tc>
          <w:tcPr>
            <w:tcW w:w="2754" w:type="dxa"/>
            <w:vAlign w:val="center"/>
          </w:tcPr>
          <w:p>
            <w:pPr>
              <w:jc w:val="center"/>
              <w:rPr>
                <w:rFonts w:ascii="宋体" w:cs="仿宋_GB2312"/>
                <w:sz w:val="24"/>
                <w:szCs w:val="24"/>
              </w:rPr>
            </w:pPr>
          </w:p>
        </w:tc>
        <w:tc>
          <w:tcPr>
            <w:tcW w:w="1363" w:type="dxa"/>
            <w:vAlign w:val="center"/>
          </w:tcPr>
          <w:p>
            <w:pPr>
              <w:jc w:val="center"/>
              <w:rPr>
                <w:rFonts w:ascii="宋体" w:cs="仿宋_GB2312"/>
                <w:sz w:val="24"/>
                <w:szCs w:val="24"/>
              </w:rPr>
            </w:pPr>
          </w:p>
        </w:tc>
        <w:tc>
          <w:tcPr>
            <w:tcW w:w="1602"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4" w:hRule="atLeast"/>
        </w:trPr>
        <w:tc>
          <w:tcPr>
            <w:tcW w:w="753" w:type="dxa"/>
            <w:vAlign w:val="center"/>
          </w:tcPr>
          <w:p>
            <w:pPr>
              <w:jc w:val="center"/>
              <w:rPr>
                <w:rFonts w:ascii="宋体" w:cs="仿宋_GB2312"/>
                <w:sz w:val="24"/>
                <w:szCs w:val="24"/>
              </w:rPr>
            </w:pPr>
            <w:r>
              <w:rPr>
                <w:rFonts w:ascii="宋体" w:hAnsi="宋体" w:cs="仿宋_GB2312"/>
                <w:sz w:val="24"/>
                <w:szCs w:val="24"/>
              </w:rPr>
              <w:t>3</w:t>
            </w:r>
          </w:p>
        </w:tc>
        <w:tc>
          <w:tcPr>
            <w:tcW w:w="3032" w:type="dxa"/>
            <w:vAlign w:val="center"/>
          </w:tcPr>
          <w:p>
            <w:pPr>
              <w:jc w:val="center"/>
              <w:rPr>
                <w:rFonts w:ascii="宋体" w:cs="仿宋_GB2312"/>
                <w:sz w:val="24"/>
                <w:szCs w:val="24"/>
              </w:rPr>
            </w:pPr>
          </w:p>
        </w:tc>
        <w:tc>
          <w:tcPr>
            <w:tcW w:w="2754" w:type="dxa"/>
            <w:vAlign w:val="center"/>
          </w:tcPr>
          <w:p>
            <w:pPr>
              <w:jc w:val="center"/>
              <w:rPr>
                <w:rFonts w:ascii="宋体" w:cs="仿宋_GB2312"/>
                <w:sz w:val="24"/>
                <w:szCs w:val="24"/>
              </w:rPr>
            </w:pPr>
          </w:p>
        </w:tc>
        <w:tc>
          <w:tcPr>
            <w:tcW w:w="1363" w:type="dxa"/>
            <w:vAlign w:val="center"/>
          </w:tcPr>
          <w:p>
            <w:pPr>
              <w:jc w:val="center"/>
              <w:rPr>
                <w:rFonts w:ascii="宋体" w:cs="仿宋_GB2312"/>
                <w:sz w:val="24"/>
                <w:szCs w:val="24"/>
              </w:rPr>
            </w:pPr>
          </w:p>
        </w:tc>
        <w:tc>
          <w:tcPr>
            <w:tcW w:w="1602"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4" w:hRule="atLeast"/>
        </w:trPr>
        <w:tc>
          <w:tcPr>
            <w:tcW w:w="753" w:type="dxa"/>
            <w:vAlign w:val="center"/>
          </w:tcPr>
          <w:p>
            <w:pPr>
              <w:jc w:val="center"/>
              <w:rPr>
                <w:rFonts w:ascii="宋体" w:cs="仿宋_GB2312"/>
                <w:sz w:val="24"/>
                <w:szCs w:val="24"/>
              </w:rPr>
            </w:pPr>
            <w:r>
              <w:rPr>
                <w:rFonts w:ascii="宋体" w:hAnsi="宋体" w:cs="仿宋_GB2312"/>
                <w:sz w:val="24"/>
                <w:szCs w:val="24"/>
              </w:rPr>
              <w:t>4</w:t>
            </w:r>
          </w:p>
        </w:tc>
        <w:tc>
          <w:tcPr>
            <w:tcW w:w="3032" w:type="dxa"/>
            <w:vAlign w:val="center"/>
          </w:tcPr>
          <w:p>
            <w:pPr>
              <w:jc w:val="center"/>
              <w:rPr>
                <w:rFonts w:ascii="宋体" w:cs="仿宋_GB2312"/>
                <w:sz w:val="24"/>
                <w:szCs w:val="24"/>
              </w:rPr>
            </w:pPr>
          </w:p>
        </w:tc>
        <w:tc>
          <w:tcPr>
            <w:tcW w:w="2754" w:type="dxa"/>
            <w:vAlign w:val="center"/>
          </w:tcPr>
          <w:p>
            <w:pPr>
              <w:jc w:val="center"/>
              <w:rPr>
                <w:rFonts w:ascii="宋体" w:cs="仿宋_GB2312"/>
                <w:sz w:val="24"/>
                <w:szCs w:val="24"/>
              </w:rPr>
            </w:pPr>
          </w:p>
        </w:tc>
        <w:tc>
          <w:tcPr>
            <w:tcW w:w="1363" w:type="dxa"/>
            <w:vAlign w:val="center"/>
          </w:tcPr>
          <w:p>
            <w:pPr>
              <w:jc w:val="center"/>
              <w:rPr>
                <w:rFonts w:ascii="宋体" w:cs="仿宋_GB2312"/>
                <w:sz w:val="24"/>
                <w:szCs w:val="24"/>
              </w:rPr>
            </w:pPr>
          </w:p>
        </w:tc>
        <w:tc>
          <w:tcPr>
            <w:tcW w:w="1602"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4" w:hRule="atLeast"/>
        </w:trPr>
        <w:tc>
          <w:tcPr>
            <w:tcW w:w="753" w:type="dxa"/>
            <w:vAlign w:val="center"/>
          </w:tcPr>
          <w:p>
            <w:pPr>
              <w:jc w:val="center"/>
              <w:rPr>
                <w:rFonts w:ascii="宋体" w:cs="仿宋_GB2312"/>
                <w:sz w:val="24"/>
                <w:szCs w:val="24"/>
              </w:rPr>
            </w:pPr>
            <w:r>
              <w:rPr>
                <w:rFonts w:ascii="宋体" w:hAnsi="宋体" w:cs="仿宋_GB2312"/>
                <w:sz w:val="24"/>
                <w:szCs w:val="24"/>
              </w:rPr>
              <w:t>5</w:t>
            </w:r>
          </w:p>
        </w:tc>
        <w:tc>
          <w:tcPr>
            <w:tcW w:w="3032" w:type="dxa"/>
            <w:vAlign w:val="center"/>
          </w:tcPr>
          <w:p>
            <w:pPr>
              <w:jc w:val="center"/>
              <w:rPr>
                <w:rFonts w:ascii="宋体" w:cs="仿宋_GB2312"/>
                <w:sz w:val="24"/>
                <w:szCs w:val="24"/>
              </w:rPr>
            </w:pPr>
          </w:p>
        </w:tc>
        <w:tc>
          <w:tcPr>
            <w:tcW w:w="2754" w:type="dxa"/>
            <w:vAlign w:val="center"/>
          </w:tcPr>
          <w:p>
            <w:pPr>
              <w:jc w:val="center"/>
              <w:rPr>
                <w:rFonts w:ascii="宋体" w:cs="仿宋_GB2312"/>
                <w:sz w:val="24"/>
                <w:szCs w:val="24"/>
              </w:rPr>
            </w:pPr>
          </w:p>
        </w:tc>
        <w:tc>
          <w:tcPr>
            <w:tcW w:w="1363" w:type="dxa"/>
            <w:vAlign w:val="center"/>
          </w:tcPr>
          <w:p>
            <w:pPr>
              <w:jc w:val="center"/>
              <w:rPr>
                <w:rFonts w:ascii="宋体" w:cs="仿宋_GB2312"/>
                <w:sz w:val="24"/>
                <w:szCs w:val="24"/>
              </w:rPr>
            </w:pPr>
          </w:p>
        </w:tc>
        <w:tc>
          <w:tcPr>
            <w:tcW w:w="1602"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4" w:hRule="atLeast"/>
        </w:trPr>
        <w:tc>
          <w:tcPr>
            <w:tcW w:w="753" w:type="dxa"/>
            <w:vAlign w:val="center"/>
          </w:tcPr>
          <w:p>
            <w:pPr>
              <w:jc w:val="center"/>
              <w:rPr>
                <w:rFonts w:ascii="宋体" w:cs="仿宋_GB2312"/>
                <w:sz w:val="24"/>
                <w:szCs w:val="24"/>
              </w:rPr>
            </w:pPr>
            <w:r>
              <w:rPr>
                <w:rFonts w:ascii="宋体" w:hAnsi="宋体" w:cs="仿宋_GB2312"/>
                <w:sz w:val="24"/>
                <w:szCs w:val="24"/>
              </w:rPr>
              <w:t>6</w:t>
            </w:r>
          </w:p>
        </w:tc>
        <w:tc>
          <w:tcPr>
            <w:tcW w:w="3032" w:type="dxa"/>
            <w:vAlign w:val="center"/>
          </w:tcPr>
          <w:p>
            <w:pPr>
              <w:jc w:val="center"/>
              <w:rPr>
                <w:rFonts w:ascii="宋体" w:cs="仿宋_GB2312"/>
                <w:sz w:val="24"/>
                <w:szCs w:val="24"/>
              </w:rPr>
            </w:pPr>
          </w:p>
        </w:tc>
        <w:tc>
          <w:tcPr>
            <w:tcW w:w="2754" w:type="dxa"/>
            <w:vAlign w:val="center"/>
          </w:tcPr>
          <w:p>
            <w:pPr>
              <w:jc w:val="center"/>
              <w:rPr>
                <w:rFonts w:ascii="宋体" w:cs="仿宋_GB2312"/>
                <w:sz w:val="24"/>
                <w:szCs w:val="24"/>
              </w:rPr>
            </w:pPr>
          </w:p>
        </w:tc>
        <w:tc>
          <w:tcPr>
            <w:tcW w:w="1363" w:type="dxa"/>
            <w:vAlign w:val="center"/>
          </w:tcPr>
          <w:p>
            <w:pPr>
              <w:jc w:val="center"/>
              <w:rPr>
                <w:rFonts w:ascii="宋体" w:cs="仿宋_GB2312"/>
                <w:sz w:val="24"/>
                <w:szCs w:val="24"/>
              </w:rPr>
            </w:pPr>
          </w:p>
        </w:tc>
        <w:tc>
          <w:tcPr>
            <w:tcW w:w="1602"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4" w:hRule="atLeast"/>
        </w:trPr>
        <w:tc>
          <w:tcPr>
            <w:tcW w:w="753" w:type="dxa"/>
            <w:vAlign w:val="center"/>
          </w:tcPr>
          <w:p>
            <w:pPr>
              <w:jc w:val="center"/>
              <w:rPr>
                <w:rFonts w:ascii="宋体" w:cs="仿宋_GB2312"/>
                <w:sz w:val="24"/>
                <w:szCs w:val="24"/>
              </w:rPr>
            </w:pPr>
            <w:r>
              <w:rPr>
                <w:rFonts w:ascii="宋体" w:hAnsi="宋体" w:cs="仿宋_GB2312"/>
                <w:sz w:val="24"/>
                <w:szCs w:val="24"/>
              </w:rPr>
              <w:t>7</w:t>
            </w:r>
          </w:p>
        </w:tc>
        <w:tc>
          <w:tcPr>
            <w:tcW w:w="3032" w:type="dxa"/>
            <w:vAlign w:val="center"/>
          </w:tcPr>
          <w:p>
            <w:pPr>
              <w:jc w:val="center"/>
              <w:rPr>
                <w:rFonts w:ascii="宋体" w:cs="仿宋_GB2312"/>
                <w:sz w:val="24"/>
                <w:szCs w:val="24"/>
              </w:rPr>
            </w:pPr>
          </w:p>
        </w:tc>
        <w:tc>
          <w:tcPr>
            <w:tcW w:w="2754" w:type="dxa"/>
            <w:vAlign w:val="center"/>
          </w:tcPr>
          <w:p>
            <w:pPr>
              <w:jc w:val="center"/>
              <w:rPr>
                <w:rFonts w:ascii="宋体" w:cs="仿宋_GB2312"/>
                <w:sz w:val="24"/>
                <w:szCs w:val="24"/>
              </w:rPr>
            </w:pPr>
          </w:p>
        </w:tc>
        <w:tc>
          <w:tcPr>
            <w:tcW w:w="1363" w:type="dxa"/>
            <w:vAlign w:val="center"/>
          </w:tcPr>
          <w:p>
            <w:pPr>
              <w:jc w:val="center"/>
              <w:rPr>
                <w:rFonts w:ascii="宋体" w:cs="仿宋_GB2312"/>
                <w:sz w:val="24"/>
                <w:szCs w:val="24"/>
              </w:rPr>
            </w:pPr>
          </w:p>
        </w:tc>
        <w:tc>
          <w:tcPr>
            <w:tcW w:w="1602"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754" w:hRule="atLeast"/>
        </w:trPr>
        <w:tc>
          <w:tcPr>
            <w:tcW w:w="753" w:type="dxa"/>
            <w:vAlign w:val="center"/>
          </w:tcPr>
          <w:p>
            <w:pPr>
              <w:jc w:val="center"/>
              <w:rPr>
                <w:rFonts w:ascii="宋体" w:cs="仿宋_GB2312"/>
                <w:sz w:val="24"/>
                <w:szCs w:val="24"/>
              </w:rPr>
            </w:pPr>
            <w:r>
              <w:rPr>
                <w:rFonts w:hint="eastAsia" w:ascii="宋体" w:hAnsi="宋体" w:cs="仿宋_GB2312"/>
                <w:sz w:val="24"/>
                <w:szCs w:val="24"/>
              </w:rPr>
              <w:t>…</w:t>
            </w:r>
          </w:p>
        </w:tc>
        <w:tc>
          <w:tcPr>
            <w:tcW w:w="3032" w:type="dxa"/>
            <w:vAlign w:val="center"/>
          </w:tcPr>
          <w:p>
            <w:pPr>
              <w:jc w:val="center"/>
              <w:rPr>
                <w:rFonts w:ascii="宋体" w:cs="仿宋_GB2312"/>
                <w:sz w:val="24"/>
                <w:szCs w:val="24"/>
              </w:rPr>
            </w:pPr>
          </w:p>
        </w:tc>
        <w:tc>
          <w:tcPr>
            <w:tcW w:w="2754" w:type="dxa"/>
            <w:vAlign w:val="center"/>
          </w:tcPr>
          <w:p>
            <w:pPr>
              <w:jc w:val="center"/>
              <w:rPr>
                <w:rFonts w:ascii="宋体" w:cs="仿宋_GB2312"/>
                <w:sz w:val="24"/>
                <w:szCs w:val="24"/>
              </w:rPr>
            </w:pPr>
          </w:p>
        </w:tc>
        <w:tc>
          <w:tcPr>
            <w:tcW w:w="1363" w:type="dxa"/>
            <w:vAlign w:val="center"/>
          </w:tcPr>
          <w:p>
            <w:pPr>
              <w:jc w:val="center"/>
              <w:rPr>
                <w:rFonts w:ascii="宋体" w:cs="仿宋_GB2312"/>
                <w:sz w:val="24"/>
                <w:szCs w:val="24"/>
              </w:rPr>
            </w:pPr>
          </w:p>
        </w:tc>
        <w:tc>
          <w:tcPr>
            <w:tcW w:w="1602" w:type="dxa"/>
            <w:vAlign w:val="center"/>
          </w:tcPr>
          <w:p>
            <w:pPr>
              <w:jc w:val="center"/>
              <w:rPr>
                <w:rFonts w:ascii="宋体" w:cs="仿宋_GB2312"/>
                <w:sz w:val="24"/>
                <w:szCs w:val="24"/>
              </w:rPr>
            </w:pPr>
          </w:p>
        </w:tc>
      </w:tr>
    </w:tbl>
    <w:p>
      <w:pPr>
        <w:spacing w:line="360" w:lineRule="auto"/>
        <w:ind w:left="1092" w:hanging="1092" w:hangingChars="455"/>
        <w:jc w:val="left"/>
        <w:rPr>
          <w:rFonts w:ascii="宋体"/>
          <w:b/>
          <w:sz w:val="24"/>
          <w:szCs w:val="24"/>
        </w:rPr>
      </w:pPr>
      <w:r>
        <w:rPr>
          <w:rFonts w:hint="eastAsia" w:ascii="宋体" w:hAnsi="宋体"/>
          <w:sz w:val="24"/>
          <w:szCs w:val="24"/>
        </w:rPr>
        <w:t>说明</w:t>
      </w:r>
      <w:r>
        <w:rPr>
          <w:rFonts w:hint="eastAsia" w:ascii="宋体" w:hAnsi="宋体" w:cs="Corbel"/>
          <w:sz w:val="24"/>
          <w:szCs w:val="24"/>
        </w:rPr>
        <w:t>：</w:t>
      </w:r>
      <w:r>
        <w:rPr>
          <w:rFonts w:ascii="宋体" w:hAnsi="宋体" w:cs="Corbel"/>
          <w:sz w:val="24"/>
          <w:szCs w:val="24"/>
        </w:rPr>
        <w:t>1</w:t>
      </w:r>
      <w:r>
        <w:rPr>
          <w:rFonts w:hint="eastAsia" w:ascii="宋体" w:hAnsi="宋体"/>
          <w:sz w:val="24"/>
          <w:szCs w:val="24"/>
        </w:rPr>
        <w:t>．</w:t>
      </w:r>
      <w:r>
        <w:rPr>
          <w:rFonts w:hint="eastAsia" w:ascii="宋体" w:hAnsi="宋体" w:cs="Corbel"/>
          <w:sz w:val="24"/>
          <w:szCs w:val="24"/>
        </w:rPr>
        <w:t>投标人应按招标文件第五章“评标方法、程序及标准”中“符合性审查”的条款逐项说明是否满足要求，如有偏离</w:t>
      </w:r>
      <w:r>
        <w:rPr>
          <w:rFonts w:ascii="宋体" w:cs="Corbel"/>
          <w:sz w:val="24"/>
          <w:szCs w:val="24"/>
        </w:rPr>
        <w:t>,</w:t>
      </w:r>
      <w:r>
        <w:rPr>
          <w:rFonts w:hint="eastAsia" w:ascii="宋体" w:hAnsi="宋体" w:cs="Corbel"/>
          <w:sz w:val="24"/>
          <w:szCs w:val="24"/>
        </w:rPr>
        <w:t>投标人应详细说明。未按照要求详细完整填写此表或仅注明“符合”、“满足”的，</w:t>
      </w:r>
      <w:r>
        <w:rPr>
          <w:rFonts w:hint="eastAsia" w:ascii="宋体" w:hAnsi="宋体"/>
          <w:sz w:val="24"/>
          <w:szCs w:val="24"/>
        </w:rPr>
        <w:t>导致的后果由投标人自行承担。</w:t>
      </w:r>
    </w:p>
    <w:p>
      <w:pPr>
        <w:spacing w:line="360" w:lineRule="auto"/>
        <w:ind w:left="1061" w:leftChars="339" w:hanging="350" w:hangingChars="146"/>
        <w:jc w:val="left"/>
        <w:rPr>
          <w:rFonts w:ascii="宋体"/>
          <w:b/>
          <w:sz w:val="24"/>
          <w:szCs w:val="24"/>
        </w:rPr>
      </w:pPr>
      <w:r>
        <w:rPr>
          <w:rFonts w:ascii="宋体" w:hAnsi="宋体" w:cs="Corbel"/>
          <w:sz w:val="24"/>
          <w:szCs w:val="24"/>
        </w:rPr>
        <w:t>2</w:t>
      </w:r>
      <w:r>
        <w:rPr>
          <w:rFonts w:hint="eastAsia" w:ascii="宋体" w:hAnsi="宋体" w:cs="Corbel"/>
          <w:sz w:val="24"/>
          <w:szCs w:val="24"/>
        </w:rPr>
        <w:t>．</w:t>
      </w:r>
      <w:r>
        <w:rPr>
          <w:rFonts w:hint="eastAsia" w:ascii="宋体" w:hAnsi="宋体"/>
          <w:sz w:val="24"/>
          <w:szCs w:val="24"/>
        </w:rPr>
        <w:t>投标人</w:t>
      </w:r>
      <w:r>
        <w:rPr>
          <w:rFonts w:hint="eastAsia" w:ascii="宋体" w:hAnsi="宋体" w:cs="Corbel"/>
          <w:sz w:val="24"/>
          <w:szCs w:val="24"/>
        </w:rPr>
        <w:t>提供的相关证明文件对应的页码填写到上表“投标文件对应的页码”中。如未提供页码或内容页码完全不一致的，</w:t>
      </w:r>
      <w:r>
        <w:rPr>
          <w:rFonts w:hint="eastAsia" w:ascii="宋体" w:hAnsi="宋体"/>
          <w:sz w:val="24"/>
          <w:szCs w:val="24"/>
        </w:rPr>
        <w:t>导致的后果由投标人自行承担。</w:t>
      </w:r>
    </w:p>
    <w:p>
      <w:pPr>
        <w:spacing w:before="100" w:beforeAutospacing="1" w:after="100" w:afterAutospacing="1" w:line="360" w:lineRule="auto"/>
        <w:ind w:firstLine="3316" w:firstLineChars="1382"/>
        <w:rPr>
          <w:rFonts w:hAnsi="宋体"/>
          <w:b/>
          <w:bCs/>
          <w:sz w:val="24"/>
          <w:u w:val="single"/>
        </w:rPr>
      </w:pPr>
      <w:r>
        <w:rPr>
          <w:rFonts w:hint="eastAsia" w:hAnsi="宋体"/>
          <w:b/>
          <w:bCs/>
          <w:sz w:val="24"/>
        </w:rPr>
        <w:t>投标人（公章）：</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投标人</w:t>
      </w:r>
      <w:r>
        <w:rPr>
          <w:rFonts w:hint="eastAsia" w:hAnsi="宋体"/>
          <w:b/>
          <w:bCs/>
          <w:sz w:val="24"/>
        </w:rPr>
        <w:t>授权代表（签字）：</w:t>
      </w:r>
    </w:p>
    <w:p>
      <w:pPr>
        <w:spacing w:before="100" w:beforeAutospacing="1" w:after="100" w:afterAutospacing="1" w:line="360" w:lineRule="auto"/>
        <w:ind w:firstLine="3316" w:firstLineChars="1382"/>
      </w:pPr>
      <w:r>
        <w:rPr>
          <w:rFonts w:hint="eastAsia" w:ascii="宋体" w:hAnsi="宋体"/>
          <w:b/>
          <w:bCs/>
          <w:sz w:val="24"/>
          <w:szCs w:val="21"/>
          <w:lang w:val="zh-CN"/>
        </w:rPr>
        <w:t>投标</w:t>
      </w:r>
      <w:r>
        <w:rPr>
          <w:rFonts w:hint="eastAsia" w:hAnsi="宋体"/>
          <w:b/>
          <w:bCs/>
          <w:sz w:val="24"/>
        </w:rPr>
        <w:t>时间：</w:t>
      </w:r>
    </w:p>
    <w:p>
      <w:r>
        <w:br w:type="page"/>
      </w:r>
    </w:p>
    <w:p>
      <w:pPr>
        <w:pStyle w:val="4"/>
        <w:numPr>
          <w:ilvl w:val="0"/>
          <w:numId w:val="61"/>
        </w:numPr>
        <w:spacing w:before="100" w:beforeAutospacing="1" w:afterLines="50" w:line="360" w:lineRule="auto"/>
        <w:ind w:left="1610" w:hanging="1610"/>
        <w:rPr>
          <w:rFonts w:ascii="宋体"/>
        </w:rPr>
      </w:pPr>
      <w:bookmarkStart w:id="236" w:name="_Toc106268643"/>
      <w:bookmarkStart w:id="237" w:name="_Toc494721116"/>
      <w:bookmarkStart w:id="238" w:name="_Toc494745333"/>
      <w:bookmarkStart w:id="239" w:name="_Toc494665569"/>
      <w:bookmarkStart w:id="240" w:name="_Toc494665016"/>
      <w:bookmarkStart w:id="241" w:name="_Toc494702286"/>
      <w:bookmarkStart w:id="242" w:name="_Toc494665966"/>
      <w:r>
        <w:rPr>
          <w:rFonts w:hint="eastAsia" w:ascii="宋体" w:hAnsi="宋体"/>
        </w:rPr>
        <w:t>商务要求响应、偏离说明表</w:t>
      </w:r>
      <w:bookmarkEnd w:id="236"/>
      <w:bookmarkEnd w:id="237"/>
      <w:bookmarkEnd w:id="238"/>
      <w:bookmarkEnd w:id="239"/>
      <w:bookmarkEnd w:id="240"/>
      <w:bookmarkEnd w:id="241"/>
      <w:bookmarkEnd w:id="242"/>
    </w:p>
    <w:p>
      <w:pPr>
        <w:spacing w:line="360" w:lineRule="auto"/>
        <w:jc w:val="left"/>
        <w:rPr>
          <w:rFonts w:hAnsi="宋体"/>
          <w:b/>
          <w:sz w:val="24"/>
        </w:rPr>
      </w:pPr>
      <w:r>
        <w:rPr>
          <w:rFonts w:hint="eastAsia" w:hAnsi="宋体"/>
          <w:b/>
          <w:sz w:val="24"/>
        </w:rPr>
        <w:t>投标人：</w:t>
      </w:r>
    </w:p>
    <w:p>
      <w:pPr>
        <w:spacing w:line="360" w:lineRule="auto"/>
        <w:jc w:val="left"/>
        <w:rPr>
          <w:rFonts w:hAnsi="宋体"/>
          <w:b/>
          <w:sz w:val="24"/>
        </w:rPr>
      </w:pPr>
      <w:r>
        <w:rPr>
          <w:rFonts w:hint="eastAsia" w:ascii="宋体" w:hAnsi="宋体"/>
          <w:b/>
          <w:sz w:val="24"/>
          <w:szCs w:val="21"/>
          <w:lang w:val="zh-CN"/>
        </w:rPr>
        <w:t>项目编号：</w:t>
      </w:r>
      <w:r>
        <w:rPr>
          <w:rFonts w:hint="eastAsia" w:ascii="宋体" w:hAnsi="宋体"/>
          <w:b/>
          <w:bCs/>
          <w:sz w:val="24"/>
          <w:szCs w:val="21"/>
          <w:lang w:val="zh-CN"/>
        </w:rPr>
        <w:t>所投包号：</w:t>
      </w:r>
    </w:p>
    <w:tbl>
      <w:tblPr>
        <w:tblStyle w:val="28"/>
        <w:tblW w:w="951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2"/>
        <w:gridCol w:w="2767"/>
        <w:gridCol w:w="2767"/>
        <w:gridCol w:w="1619"/>
        <w:gridCol w:w="1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742" w:type="dxa"/>
            <w:shd w:val="clear" w:color="auto" w:fill="F2F2F2"/>
            <w:vAlign w:val="center"/>
          </w:tcPr>
          <w:p>
            <w:pPr>
              <w:jc w:val="center"/>
              <w:rPr>
                <w:rFonts w:ascii="宋体" w:cs="仿宋_GB2312"/>
                <w:sz w:val="24"/>
                <w:szCs w:val="24"/>
              </w:rPr>
            </w:pPr>
            <w:r>
              <w:rPr>
                <w:rFonts w:hint="eastAsia" w:ascii="宋体" w:hAnsi="宋体" w:cs="仿宋_GB2312"/>
                <w:sz w:val="24"/>
                <w:szCs w:val="24"/>
              </w:rPr>
              <w:t>序号</w:t>
            </w:r>
          </w:p>
        </w:tc>
        <w:tc>
          <w:tcPr>
            <w:tcW w:w="2767" w:type="dxa"/>
            <w:shd w:val="clear" w:color="auto" w:fill="F2F2F2"/>
            <w:vAlign w:val="center"/>
          </w:tcPr>
          <w:p>
            <w:pPr>
              <w:jc w:val="center"/>
              <w:rPr>
                <w:rFonts w:ascii="宋体" w:cs="仿宋_GB2312"/>
                <w:sz w:val="24"/>
                <w:szCs w:val="24"/>
              </w:rPr>
            </w:pPr>
            <w:r>
              <w:rPr>
                <w:rFonts w:hint="eastAsia" w:ascii="宋体" w:hAnsi="宋体" w:cs="仿宋_GB2312"/>
                <w:sz w:val="24"/>
                <w:szCs w:val="24"/>
              </w:rPr>
              <w:t>招标文件商务要求条款</w:t>
            </w:r>
          </w:p>
        </w:tc>
        <w:tc>
          <w:tcPr>
            <w:tcW w:w="2767" w:type="dxa"/>
            <w:shd w:val="clear" w:color="auto" w:fill="F2F2F2"/>
            <w:vAlign w:val="center"/>
          </w:tcPr>
          <w:p>
            <w:pPr>
              <w:jc w:val="center"/>
              <w:rPr>
                <w:rFonts w:ascii="宋体" w:cs="仿宋_GB2312"/>
                <w:sz w:val="24"/>
                <w:szCs w:val="24"/>
              </w:rPr>
            </w:pPr>
            <w:r>
              <w:rPr>
                <w:rFonts w:hint="eastAsia" w:ascii="宋体" w:hAnsi="宋体" w:cs="仿宋_GB2312"/>
                <w:sz w:val="24"/>
                <w:szCs w:val="24"/>
              </w:rPr>
              <w:t>投标响应内容对应简述</w:t>
            </w:r>
          </w:p>
        </w:tc>
        <w:tc>
          <w:tcPr>
            <w:tcW w:w="1619" w:type="dxa"/>
            <w:shd w:val="clear" w:color="auto" w:fill="F2F2F2"/>
            <w:vAlign w:val="center"/>
          </w:tcPr>
          <w:p>
            <w:pPr>
              <w:jc w:val="center"/>
              <w:rPr>
                <w:rFonts w:ascii="宋体" w:cs="仿宋_GB2312"/>
                <w:sz w:val="24"/>
                <w:szCs w:val="24"/>
              </w:rPr>
            </w:pPr>
            <w:r>
              <w:rPr>
                <w:rFonts w:hint="eastAsia" w:ascii="宋体" w:hAnsi="宋体" w:cs="仿宋_GB2312"/>
                <w:sz w:val="24"/>
                <w:szCs w:val="24"/>
              </w:rPr>
              <w:t>偏离说明</w:t>
            </w:r>
          </w:p>
        </w:tc>
        <w:tc>
          <w:tcPr>
            <w:tcW w:w="1619" w:type="dxa"/>
            <w:shd w:val="clear" w:color="auto" w:fill="F2F2F2"/>
          </w:tcPr>
          <w:p>
            <w:pPr>
              <w:jc w:val="center"/>
              <w:rPr>
                <w:rFonts w:ascii="宋体" w:cs="仿宋_GB2312"/>
                <w:sz w:val="24"/>
                <w:szCs w:val="24"/>
              </w:rPr>
            </w:pPr>
            <w:r>
              <w:rPr>
                <w:rFonts w:hint="eastAsia" w:ascii="宋体" w:hAnsi="宋体" w:cs="仿宋_GB2312"/>
                <w:sz w:val="24"/>
                <w:szCs w:val="24"/>
              </w:rPr>
              <w:t>投标文件对应的页码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1</w:t>
            </w:r>
          </w:p>
        </w:tc>
        <w:tc>
          <w:tcPr>
            <w:tcW w:w="2767"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2</w:t>
            </w:r>
          </w:p>
        </w:tc>
        <w:tc>
          <w:tcPr>
            <w:tcW w:w="2767"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3</w:t>
            </w:r>
          </w:p>
        </w:tc>
        <w:tc>
          <w:tcPr>
            <w:tcW w:w="2767"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4</w:t>
            </w:r>
          </w:p>
        </w:tc>
        <w:tc>
          <w:tcPr>
            <w:tcW w:w="2767"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5</w:t>
            </w:r>
          </w:p>
        </w:tc>
        <w:tc>
          <w:tcPr>
            <w:tcW w:w="2767"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6</w:t>
            </w:r>
          </w:p>
        </w:tc>
        <w:tc>
          <w:tcPr>
            <w:tcW w:w="2767"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7</w:t>
            </w:r>
          </w:p>
        </w:tc>
        <w:tc>
          <w:tcPr>
            <w:tcW w:w="2767"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hint="eastAsia" w:ascii="宋体" w:hAnsi="宋体" w:cs="仿宋_GB2312"/>
                <w:sz w:val="24"/>
                <w:szCs w:val="24"/>
              </w:rPr>
              <w:t>…</w:t>
            </w:r>
          </w:p>
        </w:tc>
        <w:tc>
          <w:tcPr>
            <w:tcW w:w="2767"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bl>
    <w:p>
      <w:pPr>
        <w:spacing w:line="360" w:lineRule="auto"/>
        <w:ind w:left="1092" w:hanging="1092" w:hangingChars="455"/>
        <w:jc w:val="left"/>
        <w:rPr>
          <w:rFonts w:ascii="宋体"/>
          <w:sz w:val="24"/>
          <w:szCs w:val="24"/>
        </w:rPr>
      </w:pPr>
      <w:r>
        <w:rPr>
          <w:rFonts w:hint="eastAsia" w:ascii="宋体" w:hAnsi="宋体"/>
          <w:sz w:val="24"/>
          <w:szCs w:val="24"/>
        </w:rPr>
        <w:t>说明</w:t>
      </w:r>
      <w:r>
        <w:rPr>
          <w:rFonts w:hint="eastAsia" w:ascii="宋体" w:hAnsi="宋体" w:cs="Corbel"/>
          <w:sz w:val="24"/>
          <w:szCs w:val="24"/>
        </w:rPr>
        <w:t>：</w:t>
      </w:r>
      <w:r>
        <w:rPr>
          <w:rFonts w:ascii="宋体" w:hAnsi="宋体" w:cs="Corbel"/>
          <w:sz w:val="24"/>
          <w:szCs w:val="24"/>
        </w:rPr>
        <w:t>1</w:t>
      </w:r>
      <w:r>
        <w:rPr>
          <w:rFonts w:hint="eastAsia" w:ascii="宋体" w:hAnsi="宋体" w:cs="Corbel"/>
          <w:sz w:val="24"/>
          <w:szCs w:val="24"/>
        </w:rPr>
        <w:t>．投标人应按招标文件第三章“项目技术、服务及商务要求”中“商务要求”条款逐项说明是否满足要求，如有偏离</w:t>
      </w:r>
      <w:r>
        <w:rPr>
          <w:rFonts w:ascii="宋体" w:cs="Corbel"/>
          <w:sz w:val="24"/>
          <w:szCs w:val="24"/>
        </w:rPr>
        <w:t>,</w:t>
      </w:r>
      <w:r>
        <w:rPr>
          <w:rFonts w:hint="eastAsia" w:ascii="宋体" w:hAnsi="宋体" w:cs="Corbel"/>
          <w:sz w:val="24"/>
          <w:szCs w:val="24"/>
        </w:rPr>
        <w:t>投标人应详细说明。未按照要求填写此表或仅注明“符合”、“满足”的，</w:t>
      </w:r>
      <w:r>
        <w:rPr>
          <w:rFonts w:hint="eastAsia" w:ascii="宋体" w:hAnsi="宋体"/>
          <w:sz w:val="24"/>
          <w:szCs w:val="24"/>
        </w:rPr>
        <w:t>导致的后果由投标人自行承担。</w:t>
      </w:r>
    </w:p>
    <w:p>
      <w:pPr>
        <w:spacing w:line="360" w:lineRule="auto"/>
        <w:ind w:left="1061" w:leftChars="339" w:hanging="350" w:hangingChars="146"/>
        <w:jc w:val="left"/>
        <w:rPr>
          <w:rFonts w:ascii="宋体"/>
          <w:sz w:val="24"/>
          <w:szCs w:val="24"/>
        </w:rPr>
      </w:pPr>
      <w:r>
        <w:rPr>
          <w:rFonts w:ascii="宋体" w:hAnsi="宋体" w:cs="Corbel"/>
          <w:sz w:val="24"/>
          <w:szCs w:val="24"/>
        </w:rPr>
        <w:t>2</w:t>
      </w:r>
      <w:r>
        <w:rPr>
          <w:rFonts w:hint="eastAsia" w:ascii="宋体" w:hAnsi="宋体" w:cs="Corbel"/>
          <w:sz w:val="24"/>
          <w:szCs w:val="24"/>
        </w:rPr>
        <w:t>．投标人</w:t>
      </w:r>
      <w:r>
        <w:rPr>
          <w:rFonts w:hint="eastAsia" w:ascii="宋体" w:hAnsi="宋体"/>
          <w:sz w:val="24"/>
          <w:szCs w:val="24"/>
        </w:rPr>
        <w:t>提供</w:t>
      </w:r>
      <w:r>
        <w:rPr>
          <w:rFonts w:hint="eastAsia" w:ascii="宋体" w:hAnsi="宋体" w:cs="Corbel"/>
          <w:sz w:val="24"/>
          <w:szCs w:val="24"/>
        </w:rPr>
        <w:t>的相关证明文件对应的页码填写到上表“投标文件对应的页码”中。如未提供页码或内容页码完全不一致的，</w:t>
      </w:r>
      <w:r>
        <w:rPr>
          <w:rFonts w:hint="eastAsia" w:ascii="宋体" w:hAnsi="宋体"/>
          <w:sz w:val="24"/>
          <w:szCs w:val="24"/>
        </w:rPr>
        <w:t>导致的后果由投标人自行承担。</w:t>
      </w:r>
    </w:p>
    <w:p>
      <w:pPr>
        <w:adjustRightInd w:val="0"/>
        <w:snapToGrid w:val="0"/>
        <w:spacing w:line="360" w:lineRule="auto"/>
        <w:ind w:left="781" w:leftChars="258" w:hanging="240" w:hangingChars="100"/>
        <w:rPr>
          <w:rFonts w:ascii="宋体" w:cs="Corbel"/>
          <w:sz w:val="24"/>
          <w:szCs w:val="24"/>
        </w:rPr>
      </w:pPr>
    </w:p>
    <w:p>
      <w:pPr>
        <w:spacing w:before="100" w:beforeAutospacing="1" w:after="100" w:afterAutospacing="1" w:line="360" w:lineRule="auto"/>
        <w:ind w:firstLine="3316" w:firstLineChars="1382"/>
        <w:rPr>
          <w:rFonts w:hAnsi="宋体"/>
          <w:b/>
          <w:bCs/>
          <w:sz w:val="24"/>
          <w:u w:val="single"/>
        </w:rPr>
      </w:pPr>
      <w:r>
        <w:rPr>
          <w:rFonts w:hint="eastAsia" w:hAnsi="宋体"/>
          <w:b/>
          <w:bCs/>
          <w:sz w:val="24"/>
        </w:rPr>
        <w:t>投标人（公章）：</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投标人</w:t>
      </w:r>
      <w:r>
        <w:rPr>
          <w:rFonts w:hint="eastAsia" w:hAnsi="宋体"/>
          <w:b/>
          <w:bCs/>
          <w:sz w:val="24"/>
        </w:rPr>
        <w:t>授权代表（签字）：</w:t>
      </w:r>
    </w:p>
    <w:p>
      <w:pPr>
        <w:spacing w:before="100" w:beforeAutospacing="1" w:after="100" w:afterAutospacing="1" w:line="360" w:lineRule="auto"/>
        <w:ind w:firstLine="3316" w:firstLineChars="1382"/>
      </w:pPr>
      <w:r>
        <w:rPr>
          <w:rFonts w:hint="eastAsia" w:ascii="宋体" w:hAnsi="宋体"/>
          <w:b/>
          <w:bCs/>
          <w:sz w:val="24"/>
          <w:szCs w:val="21"/>
          <w:lang w:val="zh-CN"/>
        </w:rPr>
        <w:t>投标</w:t>
      </w:r>
      <w:r>
        <w:rPr>
          <w:rFonts w:hint="eastAsia" w:hAnsi="宋体"/>
          <w:b/>
          <w:bCs/>
          <w:sz w:val="24"/>
        </w:rPr>
        <w:t>时间：</w:t>
      </w:r>
    </w:p>
    <w:p>
      <w:r>
        <w:br w:type="page"/>
      </w:r>
    </w:p>
    <w:p>
      <w:pPr>
        <w:pStyle w:val="4"/>
        <w:numPr>
          <w:ilvl w:val="0"/>
          <w:numId w:val="61"/>
        </w:numPr>
        <w:spacing w:before="100" w:beforeAutospacing="1" w:afterLines="50" w:line="360" w:lineRule="auto"/>
        <w:ind w:left="1610" w:hanging="1610"/>
        <w:rPr>
          <w:rFonts w:ascii="宋体"/>
        </w:rPr>
      </w:pPr>
      <w:bookmarkStart w:id="243" w:name="_Toc494665967"/>
      <w:bookmarkStart w:id="244" w:name="_Toc106268644"/>
      <w:bookmarkStart w:id="245" w:name="_Toc494665017"/>
      <w:bookmarkStart w:id="246" w:name="_Toc494721117"/>
      <w:bookmarkStart w:id="247" w:name="_Toc494665570"/>
      <w:bookmarkStart w:id="248" w:name="_Toc494745334"/>
      <w:bookmarkStart w:id="249" w:name="_Toc494702287"/>
      <w:r>
        <w:rPr>
          <w:rFonts w:hint="eastAsia" w:ascii="宋体" w:hAnsi="宋体"/>
        </w:rPr>
        <w:t>商务要求“★”号条款响应、偏离说明表</w:t>
      </w:r>
      <w:bookmarkEnd w:id="243"/>
      <w:bookmarkEnd w:id="244"/>
      <w:bookmarkEnd w:id="245"/>
      <w:bookmarkEnd w:id="246"/>
      <w:bookmarkEnd w:id="247"/>
      <w:bookmarkEnd w:id="248"/>
      <w:bookmarkEnd w:id="249"/>
    </w:p>
    <w:p>
      <w:pPr>
        <w:spacing w:line="360" w:lineRule="auto"/>
        <w:jc w:val="left"/>
        <w:rPr>
          <w:rFonts w:hAnsi="宋体"/>
          <w:b/>
          <w:sz w:val="24"/>
        </w:rPr>
      </w:pPr>
      <w:r>
        <w:rPr>
          <w:rFonts w:hint="eastAsia" w:hAnsi="宋体"/>
          <w:b/>
          <w:sz w:val="24"/>
        </w:rPr>
        <w:t>投标人：</w:t>
      </w:r>
    </w:p>
    <w:p>
      <w:pPr>
        <w:spacing w:line="360" w:lineRule="auto"/>
        <w:jc w:val="left"/>
        <w:rPr>
          <w:rFonts w:hAnsi="宋体"/>
          <w:b/>
          <w:sz w:val="24"/>
        </w:rPr>
      </w:pPr>
      <w:r>
        <w:rPr>
          <w:rFonts w:hint="eastAsia" w:ascii="宋体" w:hAnsi="宋体"/>
          <w:b/>
          <w:sz w:val="24"/>
          <w:szCs w:val="21"/>
          <w:lang w:val="zh-CN"/>
        </w:rPr>
        <w:t>项目编号：</w:t>
      </w:r>
      <w:r>
        <w:rPr>
          <w:rFonts w:hint="eastAsia" w:ascii="宋体" w:hAnsi="宋体"/>
          <w:b/>
          <w:bCs/>
          <w:sz w:val="24"/>
          <w:szCs w:val="21"/>
          <w:lang w:val="zh-CN"/>
        </w:rPr>
        <w:t>所投包号：</w:t>
      </w:r>
    </w:p>
    <w:tbl>
      <w:tblPr>
        <w:tblStyle w:val="28"/>
        <w:tblW w:w="951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2"/>
        <w:gridCol w:w="2767"/>
        <w:gridCol w:w="2767"/>
        <w:gridCol w:w="1619"/>
        <w:gridCol w:w="1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742" w:type="dxa"/>
            <w:shd w:val="clear" w:color="auto" w:fill="F2F2F2"/>
            <w:vAlign w:val="center"/>
          </w:tcPr>
          <w:p>
            <w:pPr>
              <w:jc w:val="center"/>
              <w:rPr>
                <w:rFonts w:ascii="宋体" w:cs="仿宋_GB2312"/>
                <w:sz w:val="24"/>
                <w:szCs w:val="24"/>
              </w:rPr>
            </w:pPr>
            <w:r>
              <w:rPr>
                <w:rFonts w:hint="eastAsia" w:ascii="宋体" w:hAnsi="宋体" w:cs="仿宋_GB2312"/>
                <w:sz w:val="24"/>
                <w:szCs w:val="24"/>
              </w:rPr>
              <w:t>序号</w:t>
            </w:r>
          </w:p>
        </w:tc>
        <w:tc>
          <w:tcPr>
            <w:tcW w:w="2767" w:type="dxa"/>
            <w:shd w:val="clear" w:color="auto" w:fill="F2F2F2"/>
            <w:vAlign w:val="center"/>
          </w:tcPr>
          <w:p>
            <w:pPr>
              <w:jc w:val="center"/>
              <w:rPr>
                <w:rFonts w:ascii="宋体" w:cs="仿宋_GB2312"/>
                <w:sz w:val="24"/>
                <w:szCs w:val="24"/>
              </w:rPr>
            </w:pPr>
            <w:r>
              <w:rPr>
                <w:rFonts w:hint="eastAsia" w:ascii="宋体" w:hAnsi="宋体" w:cs="仿宋_GB2312"/>
                <w:sz w:val="24"/>
                <w:szCs w:val="24"/>
              </w:rPr>
              <w:t>招标文件</w:t>
            </w:r>
            <w:r>
              <w:rPr>
                <w:rFonts w:hint="eastAsia" w:ascii="宋体" w:hAnsi="宋体" w:cs="Corbel"/>
                <w:sz w:val="24"/>
                <w:szCs w:val="24"/>
              </w:rPr>
              <w:t>商务要求“★”号条款</w:t>
            </w:r>
          </w:p>
        </w:tc>
        <w:tc>
          <w:tcPr>
            <w:tcW w:w="2767" w:type="dxa"/>
            <w:shd w:val="clear" w:color="auto" w:fill="F2F2F2"/>
            <w:vAlign w:val="center"/>
          </w:tcPr>
          <w:p>
            <w:pPr>
              <w:jc w:val="center"/>
              <w:rPr>
                <w:rFonts w:ascii="宋体" w:cs="仿宋_GB2312"/>
                <w:sz w:val="24"/>
                <w:szCs w:val="24"/>
              </w:rPr>
            </w:pPr>
            <w:r>
              <w:rPr>
                <w:rFonts w:hint="eastAsia" w:ascii="宋体" w:hAnsi="宋体" w:cs="仿宋_GB2312"/>
                <w:sz w:val="24"/>
                <w:szCs w:val="24"/>
              </w:rPr>
              <w:t>投标响应内容对应简述</w:t>
            </w:r>
          </w:p>
        </w:tc>
        <w:tc>
          <w:tcPr>
            <w:tcW w:w="1619" w:type="dxa"/>
            <w:shd w:val="clear" w:color="auto" w:fill="F2F2F2"/>
            <w:vAlign w:val="center"/>
          </w:tcPr>
          <w:p>
            <w:pPr>
              <w:jc w:val="center"/>
              <w:rPr>
                <w:rFonts w:ascii="宋体" w:cs="仿宋_GB2312"/>
                <w:sz w:val="24"/>
                <w:szCs w:val="24"/>
              </w:rPr>
            </w:pPr>
            <w:r>
              <w:rPr>
                <w:rFonts w:hint="eastAsia" w:ascii="宋体" w:hAnsi="宋体" w:cs="仿宋_GB2312"/>
                <w:sz w:val="24"/>
                <w:szCs w:val="24"/>
              </w:rPr>
              <w:t>偏离说明</w:t>
            </w:r>
          </w:p>
        </w:tc>
        <w:tc>
          <w:tcPr>
            <w:tcW w:w="1619" w:type="dxa"/>
            <w:shd w:val="clear" w:color="auto" w:fill="F2F2F2"/>
          </w:tcPr>
          <w:p>
            <w:pPr>
              <w:jc w:val="center"/>
              <w:rPr>
                <w:rFonts w:ascii="宋体" w:cs="仿宋_GB2312"/>
                <w:sz w:val="24"/>
                <w:szCs w:val="24"/>
              </w:rPr>
            </w:pPr>
            <w:r>
              <w:rPr>
                <w:rFonts w:hint="eastAsia" w:ascii="宋体" w:hAnsi="宋体" w:cs="仿宋_GB2312"/>
                <w:sz w:val="24"/>
                <w:szCs w:val="24"/>
              </w:rPr>
              <w:t>投标文件对应的页码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1</w:t>
            </w:r>
          </w:p>
        </w:tc>
        <w:tc>
          <w:tcPr>
            <w:tcW w:w="2767"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2</w:t>
            </w:r>
          </w:p>
        </w:tc>
        <w:tc>
          <w:tcPr>
            <w:tcW w:w="2767"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3</w:t>
            </w:r>
          </w:p>
        </w:tc>
        <w:tc>
          <w:tcPr>
            <w:tcW w:w="2767"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4</w:t>
            </w:r>
          </w:p>
        </w:tc>
        <w:tc>
          <w:tcPr>
            <w:tcW w:w="2767"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5</w:t>
            </w:r>
          </w:p>
        </w:tc>
        <w:tc>
          <w:tcPr>
            <w:tcW w:w="2767"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6</w:t>
            </w:r>
          </w:p>
        </w:tc>
        <w:tc>
          <w:tcPr>
            <w:tcW w:w="2767"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7</w:t>
            </w:r>
          </w:p>
        </w:tc>
        <w:tc>
          <w:tcPr>
            <w:tcW w:w="2767"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hint="eastAsia" w:ascii="宋体" w:hAnsi="宋体" w:cs="仿宋_GB2312"/>
                <w:sz w:val="24"/>
                <w:szCs w:val="24"/>
              </w:rPr>
              <w:t>…</w:t>
            </w:r>
          </w:p>
        </w:tc>
        <w:tc>
          <w:tcPr>
            <w:tcW w:w="2767"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bl>
    <w:p>
      <w:pPr>
        <w:spacing w:line="360" w:lineRule="auto"/>
        <w:ind w:left="1092" w:hanging="1092" w:hangingChars="455"/>
        <w:jc w:val="left"/>
        <w:rPr>
          <w:rFonts w:ascii="宋体" w:cs="Corbel"/>
          <w:sz w:val="24"/>
          <w:szCs w:val="24"/>
        </w:rPr>
      </w:pPr>
      <w:r>
        <w:rPr>
          <w:rFonts w:hint="eastAsia" w:ascii="宋体" w:hAnsi="宋体" w:cs="Corbel"/>
          <w:sz w:val="24"/>
          <w:szCs w:val="24"/>
        </w:rPr>
        <w:t>说明：</w:t>
      </w:r>
      <w:r>
        <w:rPr>
          <w:rFonts w:ascii="宋体" w:hAnsi="宋体" w:cs="Corbel"/>
          <w:sz w:val="24"/>
          <w:szCs w:val="24"/>
        </w:rPr>
        <w:t>1</w:t>
      </w:r>
      <w:r>
        <w:rPr>
          <w:rFonts w:hint="eastAsia" w:ascii="宋体" w:hAnsi="宋体" w:cs="Corbel"/>
          <w:sz w:val="24"/>
          <w:szCs w:val="24"/>
        </w:rPr>
        <w:t>．投标人应按招标文件第三章“项目技术、服务及商务要求”中商务要求“★”号条款进行逐项说明是否满足要求，如有偏离</w:t>
      </w:r>
      <w:r>
        <w:rPr>
          <w:rFonts w:ascii="宋体" w:cs="Corbel"/>
          <w:sz w:val="24"/>
          <w:szCs w:val="24"/>
        </w:rPr>
        <w:t>,</w:t>
      </w:r>
      <w:r>
        <w:rPr>
          <w:rFonts w:hint="eastAsia" w:ascii="宋体" w:hAnsi="宋体" w:cs="Corbel"/>
          <w:sz w:val="24"/>
          <w:szCs w:val="24"/>
        </w:rPr>
        <w:t>投标人应详细说明。未按照要求填写此表或仅注明“符合”、“满足”的，导致的后果由投标人自行承担。</w:t>
      </w:r>
    </w:p>
    <w:p>
      <w:pPr>
        <w:spacing w:line="360" w:lineRule="auto"/>
        <w:ind w:left="1061" w:leftChars="339" w:hanging="350" w:hangingChars="146"/>
        <w:jc w:val="left"/>
        <w:rPr>
          <w:rFonts w:ascii="宋体" w:cs="Corbel"/>
          <w:sz w:val="24"/>
          <w:szCs w:val="24"/>
        </w:rPr>
      </w:pPr>
      <w:r>
        <w:rPr>
          <w:rFonts w:ascii="宋体" w:hAnsi="宋体" w:cs="Corbel"/>
          <w:sz w:val="24"/>
          <w:szCs w:val="24"/>
        </w:rPr>
        <w:t>2</w:t>
      </w:r>
      <w:r>
        <w:rPr>
          <w:rFonts w:hint="eastAsia" w:ascii="宋体" w:hAnsi="宋体" w:cs="Corbel"/>
          <w:sz w:val="24"/>
          <w:szCs w:val="24"/>
        </w:rPr>
        <w:t>．投标人提供的相关证明文件对应的页码填写到上表“投标文件对应的页码”中。如未提供页码或内容页码完全不一致的，</w:t>
      </w:r>
      <w:r>
        <w:rPr>
          <w:rFonts w:hint="eastAsia" w:ascii="宋体" w:hAnsi="宋体"/>
          <w:sz w:val="24"/>
          <w:szCs w:val="24"/>
        </w:rPr>
        <w:t>导致的后果由投标人自行承担。</w:t>
      </w:r>
    </w:p>
    <w:p>
      <w:pPr>
        <w:spacing w:before="100" w:beforeAutospacing="1" w:after="100" w:afterAutospacing="1" w:line="360" w:lineRule="auto"/>
        <w:ind w:firstLine="3316" w:firstLineChars="1382"/>
        <w:rPr>
          <w:rFonts w:hAnsi="宋体"/>
          <w:b/>
          <w:bCs/>
          <w:sz w:val="24"/>
          <w:u w:val="single"/>
        </w:rPr>
      </w:pPr>
      <w:r>
        <w:rPr>
          <w:rFonts w:hint="eastAsia" w:hAnsi="宋体"/>
          <w:b/>
          <w:bCs/>
          <w:sz w:val="24"/>
        </w:rPr>
        <w:t>投标人（公章）：</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投标人</w:t>
      </w:r>
      <w:r>
        <w:rPr>
          <w:rFonts w:hint="eastAsia" w:hAnsi="宋体"/>
          <w:b/>
          <w:bCs/>
          <w:sz w:val="24"/>
        </w:rPr>
        <w:t>授权代表（签字）：</w:t>
      </w:r>
    </w:p>
    <w:p>
      <w:pPr>
        <w:spacing w:before="100" w:beforeAutospacing="1" w:after="100" w:afterAutospacing="1" w:line="360" w:lineRule="auto"/>
        <w:ind w:firstLine="3316" w:firstLineChars="1382"/>
      </w:pPr>
      <w:r>
        <w:rPr>
          <w:rFonts w:hint="eastAsia" w:ascii="宋体" w:hAnsi="宋体"/>
          <w:b/>
          <w:bCs/>
          <w:sz w:val="24"/>
          <w:szCs w:val="21"/>
          <w:lang w:val="zh-CN"/>
        </w:rPr>
        <w:t>投标</w:t>
      </w:r>
      <w:r>
        <w:rPr>
          <w:rFonts w:hint="eastAsia" w:hAnsi="宋体"/>
          <w:b/>
          <w:bCs/>
          <w:sz w:val="24"/>
        </w:rPr>
        <w:t>时间：</w:t>
      </w:r>
    </w:p>
    <w:p>
      <w:r>
        <w:br w:type="page"/>
      </w:r>
    </w:p>
    <w:p>
      <w:pPr>
        <w:pStyle w:val="4"/>
        <w:numPr>
          <w:ilvl w:val="0"/>
          <w:numId w:val="61"/>
        </w:numPr>
        <w:spacing w:before="100" w:beforeAutospacing="1" w:afterLines="50" w:line="360" w:lineRule="auto"/>
        <w:ind w:left="1610" w:hanging="1610"/>
        <w:rPr>
          <w:rFonts w:ascii="宋体"/>
        </w:rPr>
      </w:pPr>
      <w:bookmarkStart w:id="250" w:name="_Toc494745335"/>
      <w:bookmarkStart w:id="251" w:name="_Toc494665571"/>
      <w:bookmarkStart w:id="252" w:name="_Toc494665018"/>
      <w:bookmarkStart w:id="253" w:name="_Toc494665968"/>
      <w:bookmarkStart w:id="254" w:name="_Toc494721118"/>
      <w:bookmarkStart w:id="255" w:name="_Toc106268645"/>
      <w:bookmarkStart w:id="256" w:name="_Toc494702288"/>
      <w:r>
        <w:rPr>
          <w:rFonts w:hint="eastAsia" w:ascii="宋体" w:hAnsi="宋体"/>
        </w:rPr>
        <w:t>商务评议对照表</w:t>
      </w:r>
      <w:bookmarkEnd w:id="250"/>
      <w:bookmarkEnd w:id="251"/>
      <w:bookmarkEnd w:id="252"/>
      <w:bookmarkEnd w:id="253"/>
      <w:bookmarkEnd w:id="254"/>
      <w:bookmarkEnd w:id="255"/>
      <w:bookmarkEnd w:id="256"/>
    </w:p>
    <w:p>
      <w:pPr>
        <w:spacing w:line="360" w:lineRule="auto"/>
        <w:jc w:val="left"/>
        <w:rPr>
          <w:rFonts w:hAnsi="宋体"/>
          <w:b/>
          <w:sz w:val="24"/>
        </w:rPr>
      </w:pPr>
      <w:r>
        <w:rPr>
          <w:rFonts w:hint="eastAsia" w:hAnsi="宋体"/>
          <w:b/>
          <w:sz w:val="24"/>
        </w:rPr>
        <w:t>投标人：</w:t>
      </w:r>
    </w:p>
    <w:p>
      <w:pPr>
        <w:spacing w:line="360" w:lineRule="auto"/>
        <w:jc w:val="left"/>
        <w:rPr>
          <w:rFonts w:hAnsi="宋体"/>
          <w:b/>
          <w:sz w:val="24"/>
        </w:rPr>
      </w:pPr>
      <w:r>
        <w:rPr>
          <w:rFonts w:hint="eastAsia" w:ascii="宋体" w:hAnsi="宋体"/>
          <w:b/>
          <w:sz w:val="24"/>
          <w:szCs w:val="21"/>
          <w:lang w:val="zh-CN"/>
        </w:rPr>
        <w:t>项目编号：</w:t>
      </w:r>
      <w:r>
        <w:rPr>
          <w:rFonts w:hint="eastAsia" w:ascii="宋体" w:hAnsi="宋体"/>
          <w:b/>
          <w:bCs/>
          <w:sz w:val="24"/>
          <w:szCs w:val="21"/>
          <w:lang w:val="zh-CN"/>
        </w:rPr>
        <w:t>所投包号：</w:t>
      </w:r>
    </w:p>
    <w:tbl>
      <w:tblPr>
        <w:tblStyle w:val="28"/>
        <w:tblW w:w="951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1"/>
        <w:gridCol w:w="2848"/>
        <w:gridCol w:w="2767"/>
        <w:gridCol w:w="1619"/>
        <w:gridCol w:w="1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661" w:type="dxa"/>
            <w:shd w:val="clear" w:color="auto" w:fill="F2F2F2"/>
            <w:vAlign w:val="center"/>
          </w:tcPr>
          <w:p>
            <w:pPr>
              <w:ind w:left="-37" w:leftChars="-18" w:right="-48" w:rightChars="-23"/>
              <w:jc w:val="center"/>
              <w:rPr>
                <w:rFonts w:ascii="宋体" w:cs="仿宋_GB2312"/>
                <w:sz w:val="24"/>
                <w:szCs w:val="24"/>
              </w:rPr>
            </w:pPr>
            <w:r>
              <w:rPr>
                <w:rFonts w:hint="eastAsia" w:ascii="宋体" w:hAnsi="宋体" w:cs="仿宋_GB2312"/>
                <w:sz w:val="24"/>
                <w:szCs w:val="24"/>
              </w:rPr>
              <w:t>序号</w:t>
            </w:r>
          </w:p>
        </w:tc>
        <w:tc>
          <w:tcPr>
            <w:tcW w:w="2848" w:type="dxa"/>
            <w:shd w:val="clear" w:color="auto" w:fill="F2F2F2"/>
            <w:vAlign w:val="center"/>
          </w:tcPr>
          <w:p>
            <w:pPr>
              <w:jc w:val="center"/>
              <w:rPr>
                <w:rFonts w:ascii="宋体" w:cs="仿宋_GB2312"/>
                <w:sz w:val="24"/>
                <w:szCs w:val="24"/>
              </w:rPr>
            </w:pPr>
            <w:r>
              <w:rPr>
                <w:rFonts w:hint="eastAsia" w:ascii="宋体" w:hAnsi="宋体" w:cs="仿宋_GB2312"/>
                <w:sz w:val="24"/>
                <w:szCs w:val="24"/>
              </w:rPr>
              <w:t>招标文件商务评分标准</w:t>
            </w:r>
          </w:p>
        </w:tc>
        <w:tc>
          <w:tcPr>
            <w:tcW w:w="2767" w:type="dxa"/>
            <w:shd w:val="clear" w:color="auto" w:fill="F2F2F2"/>
            <w:vAlign w:val="center"/>
          </w:tcPr>
          <w:p>
            <w:pPr>
              <w:jc w:val="center"/>
              <w:rPr>
                <w:rFonts w:ascii="宋体" w:cs="仿宋_GB2312"/>
                <w:sz w:val="24"/>
                <w:szCs w:val="24"/>
              </w:rPr>
            </w:pPr>
            <w:r>
              <w:rPr>
                <w:rFonts w:hint="eastAsia" w:ascii="宋体" w:hAnsi="宋体" w:cs="仿宋_GB2312"/>
                <w:sz w:val="24"/>
                <w:szCs w:val="24"/>
              </w:rPr>
              <w:t>投标响应内容对应简述</w:t>
            </w:r>
          </w:p>
        </w:tc>
        <w:tc>
          <w:tcPr>
            <w:tcW w:w="1619" w:type="dxa"/>
            <w:shd w:val="clear" w:color="auto" w:fill="F2F2F2"/>
            <w:vAlign w:val="center"/>
          </w:tcPr>
          <w:p>
            <w:pPr>
              <w:jc w:val="center"/>
              <w:rPr>
                <w:rFonts w:ascii="宋体" w:cs="仿宋_GB2312"/>
                <w:sz w:val="24"/>
                <w:szCs w:val="24"/>
              </w:rPr>
            </w:pPr>
            <w:r>
              <w:rPr>
                <w:rFonts w:hint="eastAsia" w:ascii="宋体" w:hAnsi="宋体" w:cs="仿宋_GB2312"/>
                <w:sz w:val="24"/>
                <w:szCs w:val="24"/>
              </w:rPr>
              <w:t>偏离说明</w:t>
            </w:r>
          </w:p>
        </w:tc>
        <w:tc>
          <w:tcPr>
            <w:tcW w:w="1619" w:type="dxa"/>
            <w:shd w:val="clear" w:color="auto" w:fill="F2F2F2"/>
          </w:tcPr>
          <w:p>
            <w:pPr>
              <w:jc w:val="center"/>
              <w:rPr>
                <w:rFonts w:ascii="宋体" w:cs="仿宋_GB2312"/>
                <w:sz w:val="24"/>
                <w:szCs w:val="24"/>
              </w:rPr>
            </w:pPr>
            <w:r>
              <w:rPr>
                <w:rFonts w:hint="eastAsia" w:ascii="宋体" w:hAnsi="宋体" w:cs="仿宋_GB2312"/>
                <w:sz w:val="24"/>
                <w:szCs w:val="24"/>
              </w:rPr>
              <w:t>投标文件对应的页码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661" w:type="dxa"/>
            <w:vAlign w:val="center"/>
          </w:tcPr>
          <w:p>
            <w:pPr>
              <w:numPr>
                <w:ilvl w:val="0"/>
                <w:numId w:val="64"/>
              </w:numPr>
              <w:jc w:val="center"/>
              <w:rPr>
                <w:rFonts w:ascii="宋体" w:cs="仿宋_GB2312"/>
                <w:sz w:val="24"/>
                <w:szCs w:val="24"/>
              </w:rPr>
            </w:pPr>
          </w:p>
        </w:tc>
        <w:tc>
          <w:tcPr>
            <w:tcW w:w="2848"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661" w:type="dxa"/>
            <w:vAlign w:val="center"/>
          </w:tcPr>
          <w:p>
            <w:pPr>
              <w:numPr>
                <w:ilvl w:val="0"/>
                <w:numId w:val="64"/>
              </w:numPr>
              <w:jc w:val="center"/>
              <w:rPr>
                <w:rFonts w:ascii="宋体" w:cs="仿宋_GB2312"/>
                <w:sz w:val="24"/>
                <w:szCs w:val="24"/>
              </w:rPr>
            </w:pPr>
          </w:p>
        </w:tc>
        <w:tc>
          <w:tcPr>
            <w:tcW w:w="2848"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661" w:type="dxa"/>
            <w:vAlign w:val="center"/>
          </w:tcPr>
          <w:p>
            <w:pPr>
              <w:numPr>
                <w:ilvl w:val="0"/>
                <w:numId w:val="64"/>
              </w:numPr>
              <w:jc w:val="center"/>
              <w:rPr>
                <w:rFonts w:ascii="宋体" w:cs="仿宋_GB2312"/>
                <w:sz w:val="24"/>
                <w:szCs w:val="24"/>
              </w:rPr>
            </w:pPr>
          </w:p>
        </w:tc>
        <w:tc>
          <w:tcPr>
            <w:tcW w:w="2848"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661" w:type="dxa"/>
            <w:vAlign w:val="center"/>
          </w:tcPr>
          <w:p>
            <w:pPr>
              <w:numPr>
                <w:ilvl w:val="0"/>
                <w:numId w:val="64"/>
              </w:numPr>
              <w:jc w:val="center"/>
              <w:rPr>
                <w:rFonts w:ascii="宋体" w:cs="仿宋_GB2312"/>
                <w:sz w:val="24"/>
                <w:szCs w:val="24"/>
              </w:rPr>
            </w:pPr>
          </w:p>
        </w:tc>
        <w:tc>
          <w:tcPr>
            <w:tcW w:w="2848"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661" w:type="dxa"/>
            <w:vAlign w:val="center"/>
          </w:tcPr>
          <w:p>
            <w:pPr>
              <w:numPr>
                <w:ilvl w:val="0"/>
                <w:numId w:val="64"/>
              </w:numPr>
              <w:jc w:val="center"/>
              <w:rPr>
                <w:rFonts w:ascii="宋体" w:cs="仿宋_GB2312"/>
                <w:sz w:val="24"/>
                <w:szCs w:val="24"/>
              </w:rPr>
            </w:pPr>
          </w:p>
        </w:tc>
        <w:tc>
          <w:tcPr>
            <w:tcW w:w="2848"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661" w:type="dxa"/>
            <w:vAlign w:val="center"/>
          </w:tcPr>
          <w:p>
            <w:pPr>
              <w:numPr>
                <w:ilvl w:val="0"/>
                <w:numId w:val="64"/>
              </w:numPr>
              <w:jc w:val="center"/>
              <w:rPr>
                <w:rFonts w:ascii="宋体" w:cs="仿宋_GB2312"/>
                <w:sz w:val="24"/>
                <w:szCs w:val="24"/>
              </w:rPr>
            </w:pPr>
          </w:p>
        </w:tc>
        <w:tc>
          <w:tcPr>
            <w:tcW w:w="2848"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661" w:type="dxa"/>
            <w:vAlign w:val="center"/>
          </w:tcPr>
          <w:p>
            <w:pPr>
              <w:jc w:val="center"/>
              <w:rPr>
                <w:rFonts w:ascii="宋体" w:cs="仿宋_GB2312"/>
                <w:sz w:val="24"/>
                <w:szCs w:val="24"/>
              </w:rPr>
            </w:pPr>
            <w:r>
              <w:rPr>
                <w:rFonts w:hint="eastAsia" w:ascii="宋体" w:hAnsi="宋体" w:cs="仿宋_GB2312"/>
                <w:sz w:val="24"/>
                <w:szCs w:val="24"/>
              </w:rPr>
              <w:t>…</w:t>
            </w:r>
          </w:p>
        </w:tc>
        <w:tc>
          <w:tcPr>
            <w:tcW w:w="2848" w:type="dxa"/>
            <w:vAlign w:val="center"/>
          </w:tcPr>
          <w:p>
            <w:pPr>
              <w:jc w:val="center"/>
              <w:rPr>
                <w:rFonts w:ascii="宋体" w:cs="仿宋_GB2312"/>
                <w:sz w:val="24"/>
                <w:szCs w:val="24"/>
              </w:rPr>
            </w:pPr>
          </w:p>
        </w:tc>
        <w:tc>
          <w:tcPr>
            <w:tcW w:w="2767"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bl>
    <w:p>
      <w:pPr>
        <w:spacing w:line="360" w:lineRule="auto"/>
        <w:ind w:left="1092" w:hanging="1092" w:hangingChars="455"/>
        <w:jc w:val="left"/>
        <w:rPr>
          <w:rFonts w:ascii="宋体" w:cs="Corbel"/>
          <w:sz w:val="24"/>
          <w:szCs w:val="24"/>
        </w:rPr>
      </w:pPr>
      <w:r>
        <w:rPr>
          <w:rFonts w:hint="eastAsia" w:ascii="宋体" w:hAnsi="宋体" w:cs="Corbel"/>
          <w:sz w:val="24"/>
          <w:szCs w:val="24"/>
        </w:rPr>
        <w:t>说明：</w:t>
      </w:r>
      <w:r>
        <w:rPr>
          <w:rFonts w:ascii="宋体" w:hAnsi="宋体" w:cs="Corbel"/>
          <w:sz w:val="24"/>
          <w:szCs w:val="24"/>
        </w:rPr>
        <w:t>1</w:t>
      </w:r>
      <w:r>
        <w:rPr>
          <w:rFonts w:hint="eastAsia" w:ascii="宋体" w:hAnsi="宋体" w:cs="Corbel"/>
          <w:sz w:val="24"/>
          <w:szCs w:val="24"/>
        </w:rPr>
        <w:t>．投标人应按招标文件第五章“评标方法、程序及标准”中“商务评议”的评分标准逐项说明是否满足要求，如有偏离</w:t>
      </w:r>
      <w:r>
        <w:rPr>
          <w:rFonts w:ascii="宋体" w:cs="Corbel"/>
          <w:sz w:val="24"/>
          <w:szCs w:val="24"/>
        </w:rPr>
        <w:t>,</w:t>
      </w:r>
      <w:r>
        <w:rPr>
          <w:rFonts w:hint="eastAsia" w:ascii="宋体" w:hAnsi="宋体" w:cs="Corbel"/>
          <w:sz w:val="24"/>
          <w:szCs w:val="24"/>
        </w:rPr>
        <w:t>投标人应详细说明。未按照要求填写此表或仅注明“符合”、“满足”的，</w:t>
      </w:r>
      <w:r>
        <w:rPr>
          <w:rFonts w:hint="eastAsia" w:ascii="宋体" w:hAnsi="宋体"/>
          <w:sz w:val="24"/>
          <w:szCs w:val="24"/>
        </w:rPr>
        <w:t>导致的后果由投标人自行承担。</w:t>
      </w:r>
    </w:p>
    <w:p>
      <w:pPr>
        <w:spacing w:line="360" w:lineRule="auto"/>
        <w:ind w:left="1061" w:leftChars="339" w:hanging="350" w:hangingChars="146"/>
        <w:jc w:val="left"/>
        <w:rPr>
          <w:rFonts w:ascii="宋体" w:cs="Corbel"/>
          <w:sz w:val="24"/>
          <w:szCs w:val="24"/>
        </w:rPr>
      </w:pPr>
      <w:r>
        <w:rPr>
          <w:rFonts w:ascii="宋体" w:hAnsi="宋体" w:cs="Corbel"/>
          <w:sz w:val="24"/>
          <w:szCs w:val="24"/>
        </w:rPr>
        <w:t>2</w:t>
      </w:r>
      <w:r>
        <w:rPr>
          <w:rFonts w:hint="eastAsia" w:ascii="宋体" w:hAnsi="宋体" w:cs="Corbel"/>
          <w:sz w:val="24"/>
          <w:szCs w:val="24"/>
        </w:rPr>
        <w:t>．投标人提供的相关证明文件对应的页码填写到上表“投标文件对应的页码”中。如未提供页码或内容页码完全不一致的，</w:t>
      </w:r>
      <w:r>
        <w:rPr>
          <w:rFonts w:hint="eastAsia" w:ascii="宋体" w:hAnsi="宋体"/>
          <w:sz w:val="24"/>
          <w:szCs w:val="24"/>
        </w:rPr>
        <w:t>导致的后果由投标人自行承担。</w:t>
      </w:r>
    </w:p>
    <w:p>
      <w:pPr>
        <w:spacing w:before="100" w:beforeAutospacing="1" w:after="100" w:afterAutospacing="1" w:line="360" w:lineRule="auto"/>
        <w:ind w:firstLine="3316" w:firstLineChars="1382"/>
        <w:rPr>
          <w:rFonts w:hAnsi="宋体"/>
          <w:b/>
          <w:bCs/>
          <w:sz w:val="24"/>
          <w:u w:val="single"/>
        </w:rPr>
      </w:pPr>
      <w:r>
        <w:rPr>
          <w:rFonts w:hint="eastAsia" w:hAnsi="宋体"/>
          <w:b/>
          <w:bCs/>
          <w:sz w:val="24"/>
        </w:rPr>
        <w:t>投标人（公章）：</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投标人</w:t>
      </w:r>
      <w:r>
        <w:rPr>
          <w:rFonts w:hint="eastAsia" w:hAnsi="宋体"/>
          <w:b/>
          <w:bCs/>
          <w:sz w:val="24"/>
        </w:rPr>
        <w:t>授权代表（签字）：</w:t>
      </w:r>
    </w:p>
    <w:p>
      <w:pPr>
        <w:spacing w:before="100" w:beforeAutospacing="1" w:after="100" w:afterAutospacing="1" w:line="360" w:lineRule="auto"/>
        <w:ind w:firstLine="3316" w:firstLineChars="1382"/>
      </w:pPr>
      <w:r>
        <w:rPr>
          <w:rFonts w:hint="eastAsia" w:ascii="宋体" w:hAnsi="宋体"/>
          <w:b/>
          <w:bCs/>
          <w:sz w:val="24"/>
          <w:szCs w:val="21"/>
          <w:lang w:val="zh-CN"/>
        </w:rPr>
        <w:t>投标</w:t>
      </w:r>
      <w:r>
        <w:rPr>
          <w:rFonts w:hint="eastAsia" w:hAnsi="宋体"/>
          <w:b/>
          <w:bCs/>
          <w:sz w:val="24"/>
        </w:rPr>
        <w:t>时间：</w:t>
      </w:r>
    </w:p>
    <w:p>
      <w:r>
        <w:br w:type="page"/>
      </w:r>
    </w:p>
    <w:p>
      <w:pPr>
        <w:pStyle w:val="4"/>
        <w:numPr>
          <w:ilvl w:val="0"/>
          <w:numId w:val="61"/>
        </w:numPr>
        <w:spacing w:before="100" w:beforeAutospacing="1" w:afterLines="50" w:line="360" w:lineRule="auto"/>
        <w:ind w:left="1610" w:hanging="1610"/>
        <w:rPr>
          <w:rFonts w:ascii="宋体"/>
        </w:rPr>
      </w:pPr>
      <w:bookmarkStart w:id="257" w:name="_Toc494745336"/>
      <w:bookmarkStart w:id="258" w:name="_Toc494721119"/>
      <w:bookmarkStart w:id="259" w:name="_Toc494665572"/>
      <w:bookmarkStart w:id="260" w:name="_Toc106268646"/>
      <w:bookmarkStart w:id="261" w:name="_Toc494665969"/>
      <w:bookmarkStart w:id="262" w:name="_Toc494665019"/>
      <w:bookmarkStart w:id="263" w:name="_Toc494702289"/>
      <w:r>
        <w:rPr>
          <w:rFonts w:hint="eastAsia" w:ascii="宋体" w:hAnsi="宋体"/>
        </w:rPr>
        <w:t>技术、服务要求响应、偏离说明表</w:t>
      </w:r>
      <w:bookmarkEnd w:id="257"/>
      <w:bookmarkEnd w:id="258"/>
      <w:bookmarkEnd w:id="259"/>
      <w:bookmarkEnd w:id="260"/>
      <w:bookmarkEnd w:id="261"/>
      <w:bookmarkEnd w:id="262"/>
      <w:bookmarkEnd w:id="263"/>
    </w:p>
    <w:p>
      <w:pPr>
        <w:spacing w:line="360" w:lineRule="auto"/>
        <w:jc w:val="left"/>
        <w:rPr>
          <w:rFonts w:hAnsi="宋体"/>
          <w:b/>
          <w:sz w:val="24"/>
        </w:rPr>
      </w:pPr>
      <w:r>
        <w:rPr>
          <w:rFonts w:hint="eastAsia" w:hAnsi="宋体"/>
          <w:b/>
          <w:sz w:val="24"/>
        </w:rPr>
        <w:t>投标人：</w:t>
      </w:r>
    </w:p>
    <w:p>
      <w:pPr>
        <w:spacing w:line="360" w:lineRule="auto"/>
        <w:jc w:val="left"/>
        <w:rPr>
          <w:rFonts w:hAnsi="宋体"/>
          <w:b/>
          <w:sz w:val="24"/>
        </w:rPr>
      </w:pPr>
      <w:r>
        <w:rPr>
          <w:rFonts w:hint="eastAsia" w:ascii="宋体" w:hAnsi="宋体"/>
          <w:b/>
          <w:sz w:val="24"/>
          <w:szCs w:val="21"/>
          <w:lang w:val="zh-CN"/>
        </w:rPr>
        <w:t>项目编号：</w:t>
      </w:r>
      <w:r>
        <w:rPr>
          <w:rFonts w:hint="eastAsia" w:ascii="宋体" w:hAnsi="宋体"/>
          <w:b/>
          <w:bCs/>
          <w:sz w:val="24"/>
          <w:szCs w:val="21"/>
          <w:lang w:val="zh-CN"/>
        </w:rPr>
        <w:t>所投包号：</w:t>
      </w:r>
    </w:p>
    <w:tbl>
      <w:tblPr>
        <w:tblStyle w:val="28"/>
        <w:tblW w:w="951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5"/>
        <w:gridCol w:w="3031"/>
        <w:gridCol w:w="2755"/>
        <w:gridCol w:w="1364"/>
        <w:gridCol w:w="1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745" w:type="dxa"/>
            <w:shd w:val="clear" w:color="auto" w:fill="F2F2F2"/>
            <w:vAlign w:val="center"/>
          </w:tcPr>
          <w:p>
            <w:pPr>
              <w:jc w:val="center"/>
              <w:rPr>
                <w:rFonts w:ascii="宋体" w:cs="仿宋_GB2312"/>
                <w:sz w:val="24"/>
                <w:szCs w:val="24"/>
              </w:rPr>
            </w:pPr>
            <w:r>
              <w:rPr>
                <w:rFonts w:hint="eastAsia" w:ascii="宋体" w:hAnsi="宋体" w:cs="仿宋_GB2312"/>
                <w:sz w:val="24"/>
                <w:szCs w:val="24"/>
              </w:rPr>
              <w:t>序号</w:t>
            </w:r>
          </w:p>
        </w:tc>
        <w:tc>
          <w:tcPr>
            <w:tcW w:w="3031" w:type="dxa"/>
            <w:shd w:val="clear" w:color="auto" w:fill="F2F2F2"/>
            <w:vAlign w:val="center"/>
          </w:tcPr>
          <w:p>
            <w:pPr>
              <w:jc w:val="center"/>
              <w:rPr>
                <w:rFonts w:ascii="宋体" w:cs="仿宋_GB2312"/>
                <w:sz w:val="24"/>
                <w:szCs w:val="24"/>
              </w:rPr>
            </w:pPr>
            <w:r>
              <w:rPr>
                <w:rFonts w:hint="eastAsia" w:ascii="宋体" w:hAnsi="宋体" w:cs="仿宋_GB2312"/>
                <w:sz w:val="24"/>
                <w:szCs w:val="24"/>
              </w:rPr>
              <w:t>招标文件技术、服务要求条款</w:t>
            </w:r>
          </w:p>
        </w:tc>
        <w:tc>
          <w:tcPr>
            <w:tcW w:w="2755" w:type="dxa"/>
            <w:shd w:val="clear" w:color="auto" w:fill="F2F2F2"/>
            <w:vAlign w:val="center"/>
          </w:tcPr>
          <w:p>
            <w:pPr>
              <w:jc w:val="center"/>
              <w:rPr>
                <w:rFonts w:ascii="宋体" w:cs="仿宋_GB2312"/>
                <w:sz w:val="24"/>
                <w:szCs w:val="24"/>
              </w:rPr>
            </w:pPr>
            <w:r>
              <w:rPr>
                <w:rFonts w:hint="eastAsia" w:ascii="宋体" w:hAnsi="宋体" w:cs="仿宋_GB2312"/>
                <w:sz w:val="24"/>
                <w:szCs w:val="24"/>
              </w:rPr>
              <w:t>投标响应内容对应简述</w:t>
            </w:r>
          </w:p>
        </w:tc>
        <w:tc>
          <w:tcPr>
            <w:tcW w:w="1364" w:type="dxa"/>
            <w:shd w:val="clear" w:color="auto" w:fill="F2F2F2"/>
            <w:vAlign w:val="center"/>
          </w:tcPr>
          <w:p>
            <w:pPr>
              <w:jc w:val="center"/>
              <w:rPr>
                <w:rFonts w:ascii="宋体" w:cs="仿宋_GB2312"/>
                <w:sz w:val="24"/>
                <w:szCs w:val="24"/>
              </w:rPr>
            </w:pPr>
            <w:r>
              <w:rPr>
                <w:rFonts w:hint="eastAsia" w:ascii="宋体" w:hAnsi="宋体" w:cs="仿宋_GB2312"/>
                <w:sz w:val="24"/>
                <w:szCs w:val="24"/>
              </w:rPr>
              <w:t>偏离说明</w:t>
            </w:r>
          </w:p>
        </w:tc>
        <w:tc>
          <w:tcPr>
            <w:tcW w:w="1619" w:type="dxa"/>
            <w:shd w:val="clear" w:color="auto" w:fill="F2F2F2"/>
          </w:tcPr>
          <w:p>
            <w:pPr>
              <w:jc w:val="center"/>
              <w:rPr>
                <w:rFonts w:ascii="宋体" w:cs="仿宋_GB2312"/>
                <w:sz w:val="24"/>
                <w:szCs w:val="24"/>
              </w:rPr>
            </w:pPr>
            <w:r>
              <w:rPr>
                <w:rFonts w:hint="eastAsia" w:ascii="宋体" w:hAnsi="宋体" w:cs="仿宋_GB2312"/>
                <w:sz w:val="24"/>
                <w:szCs w:val="24"/>
              </w:rPr>
              <w:t>投标文件对应的页码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5" w:type="dxa"/>
            <w:vAlign w:val="center"/>
          </w:tcPr>
          <w:p>
            <w:pPr>
              <w:jc w:val="center"/>
              <w:rPr>
                <w:rFonts w:ascii="宋体" w:cs="仿宋_GB2312"/>
                <w:sz w:val="24"/>
                <w:szCs w:val="24"/>
              </w:rPr>
            </w:pPr>
            <w:r>
              <w:rPr>
                <w:rFonts w:ascii="宋体" w:hAnsi="宋体" w:cs="仿宋_GB2312"/>
                <w:sz w:val="24"/>
                <w:szCs w:val="24"/>
              </w:rPr>
              <w:t>1</w:t>
            </w:r>
          </w:p>
        </w:tc>
        <w:tc>
          <w:tcPr>
            <w:tcW w:w="3031" w:type="dxa"/>
            <w:vAlign w:val="center"/>
          </w:tcPr>
          <w:p>
            <w:pPr>
              <w:jc w:val="center"/>
              <w:rPr>
                <w:rFonts w:ascii="宋体" w:cs="仿宋_GB2312"/>
                <w:sz w:val="24"/>
                <w:szCs w:val="24"/>
              </w:rPr>
            </w:pPr>
          </w:p>
        </w:tc>
        <w:tc>
          <w:tcPr>
            <w:tcW w:w="2755" w:type="dxa"/>
            <w:vAlign w:val="center"/>
          </w:tcPr>
          <w:p>
            <w:pPr>
              <w:jc w:val="center"/>
              <w:rPr>
                <w:rFonts w:ascii="宋体" w:cs="仿宋_GB2312"/>
                <w:sz w:val="24"/>
                <w:szCs w:val="24"/>
              </w:rPr>
            </w:pPr>
          </w:p>
        </w:tc>
        <w:tc>
          <w:tcPr>
            <w:tcW w:w="1364"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5" w:type="dxa"/>
            <w:vAlign w:val="center"/>
          </w:tcPr>
          <w:p>
            <w:pPr>
              <w:jc w:val="center"/>
              <w:rPr>
                <w:rFonts w:ascii="宋体" w:cs="仿宋_GB2312"/>
                <w:sz w:val="24"/>
                <w:szCs w:val="24"/>
              </w:rPr>
            </w:pPr>
            <w:r>
              <w:rPr>
                <w:rFonts w:ascii="宋体" w:hAnsi="宋体" w:cs="仿宋_GB2312"/>
                <w:sz w:val="24"/>
                <w:szCs w:val="24"/>
              </w:rPr>
              <w:t>2</w:t>
            </w:r>
          </w:p>
        </w:tc>
        <w:tc>
          <w:tcPr>
            <w:tcW w:w="3031" w:type="dxa"/>
            <w:vAlign w:val="center"/>
          </w:tcPr>
          <w:p>
            <w:pPr>
              <w:jc w:val="center"/>
              <w:rPr>
                <w:rFonts w:ascii="宋体" w:cs="仿宋_GB2312"/>
                <w:sz w:val="24"/>
                <w:szCs w:val="24"/>
              </w:rPr>
            </w:pPr>
          </w:p>
        </w:tc>
        <w:tc>
          <w:tcPr>
            <w:tcW w:w="2755" w:type="dxa"/>
            <w:vAlign w:val="center"/>
          </w:tcPr>
          <w:p>
            <w:pPr>
              <w:jc w:val="center"/>
              <w:rPr>
                <w:rFonts w:ascii="宋体" w:cs="仿宋_GB2312"/>
                <w:sz w:val="24"/>
                <w:szCs w:val="24"/>
              </w:rPr>
            </w:pPr>
          </w:p>
        </w:tc>
        <w:tc>
          <w:tcPr>
            <w:tcW w:w="1364"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5" w:type="dxa"/>
            <w:vAlign w:val="center"/>
          </w:tcPr>
          <w:p>
            <w:pPr>
              <w:jc w:val="center"/>
              <w:rPr>
                <w:rFonts w:ascii="宋体" w:cs="仿宋_GB2312"/>
                <w:sz w:val="24"/>
                <w:szCs w:val="24"/>
              </w:rPr>
            </w:pPr>
            <w:r>
              <w:rPr>
                <w:rFonts w:ascii="宋体" w:hAnsi="宋体" w:cs="仿宋_GB2312"/>
                <w:sz w:val="24"/>
                <w:szCs w:val="24"/>
              </w:rPr>
              <w:t>3</w:t>
            </w:r>
          </w:p>
        </w:tc>
        <w:tc>
          <w:tcPr>
            <w:tcW w:w="3031" w:type="dxa"/>
            <w:vAlign w:val="center"/>
          </w:tcPr>
          <w:p>
            <w:pPr>
              <w:jc w:val="center"/>
              <w:rPr>
                <w:rFonts w:ascii="宋体" w:cs="仿宋_GB2312"/>
                <w:sz w:val="24"/>
                <w:szCs w:val="24"/>
              </w:rPr>
            </w:pPr>
          </w:p>
        </w:tc>
        <w:tc>
          <w:tcPr>
            <w:tcW w:w="2755" w:type="dxa"/>
            <w:vAlign w:val="center"/>
          </w:tcPr>
          <w:p>
            <w:pPr>
              <w:jc w:val="center"/>
              <w:rPr>
                <w:rFonts w:ascii="宋体" w:cs="仿宋_GB2312"/>
                <w:sz w:val="24"/>
                <w:szCs w:val="24"/>
              </w:rPr>
            </w:pPr>
          </w:p>
        </w:tc>
        <w:tc>
          <w:tcPr>
            <w:tcW w:w="1364"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5" w:type="dxa"/>
            <w:vAlign w:val="center"/>
          </w:tcPr>
          <w:p>
            <w:pPr>
              <w:jc w:val="center"/>
              <w:rPr>
                <w:rFonts w:ascii="宋体" w:cs="仿宋_GB2312"/>
                <w:sz w:val="24"/>
                <w:szCs w:val="24"/>
              </w:rPr>
            </w:pPr>
            <w:r>
              <w:rPr>
                <w:rFonts w:ascii="宋体" w:hAnsi="宋体" w:cs="仿宋_GB2312"/>
                <w:sz w:val="24"/>
                <w:szCs w:val="24"/>
              </w:rPr>
              <w:t>4</w:t>
            </w:r>
          </w:p>
        </w:tc>
        <w:tc>
          <w:tcPr>
            <w:tcW w:w="3031" w:type="dxa"/>
            <w:vAlign w:val="center"/>
          </w:tcPr>
          <w:p>
            <w:pPr>
              <w:jc w:val="center"/>
              <w:rPr>
                <w:rFonts w:ascii="宋体" w:cs="仿宋_GB2312"/>
                <w:sz w:val="24"/>
                <w:szCs w:val="24"/>
              </w:rPr>
            </w:pPr>
          </w:p>
        </w:tc>
        <w:tc>
          <w:tcPr>
            <w:tcW w:w="2755" w:type="dxa"/>
            <w:vAlign w:val="center"/>
          </w:tcPr>
          <w:p>
            <w:pPr>
              <w:jc w:val="center"/>
              <w:rPr>
                <w:rFonts w:ascii="宋体" w:cs="仿宋_GB2312"/>
                <w:sz w:val="24"/>
                <w:szCs w:val="24"/>
              </w:rPr>
            </w:pPr>
          </w:p>
        </w:tc>
        <w:tc>
          <w:tcPr>
            <w:tcW w:w="1364"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5" w:type="dxa"/>
            <w:vAlign w:val="center"/>
          </w:tcPr>
          <w:p>
            <w:pPr>
              <w:jc w:val="center"/>
              <w:rPr>
                <w:rFonts w:ascii="宋体" w:cs="仿宋_GB2312"/>
                <w:sz w:val="24"/>
                <w:szCs w:val="24"/>
              </w:rPr>
            </w:pPr>
            <w:r>
              <w:rPr>
                <w:rFonts w:ascii="宋体" w:hAnsi="宋体" w:cs="仿宋_GB2312"/>
                <w:sz w:val="24"/>
                <w:szCs w:val="24"/>
              </w:rPr>
              <w:t>5</w:t>
            </w:r>
          </w:p>
        </w:tc>
        <w:tc>
          <w:tcPr>
            <w:tcW w:w="3031" w:type="dxa"/>
            <w:vAlign w:val="center"/>
          </w:tcPr>
          <w:p>
            <w:pPr>
              <w:jc w:val="center"/>
              <w:rPr>
                <w:rFonts w:ascii="宋体" w:cs="仿宋_GB2312"/>
                <w:sz w:val="24"/>
                <w:szCs w:val="24"/>
              </w:rPr>
            </w:pPr>
          </w:p>
        </w:tc>
        <w:tc>
          <w:tcPr>
            <w:tcW w:w="2755" w:type="dxa"/>
            <w:vAlign w:val="center"/>
          </w:tcPr>
          <w:p>
            <w:pPr>
              <w:jc w:val="center"/>
              <w:rPr>
                <w:rFonts w:ascii="宋体" w:cs="仿宋_GB2312"/>
                <w:sz w:val="24"/>
                <w:szCs w:val="24"/>
              </w:rPr>
            </w:pPr>
          </w:p>
        </w:tc>
        <w:tc>
          <w:tcPr>
            <w:tcW w:w="1364"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5" w:type="dxa"/>
            <w:vAlign w:val="center"/>
          </w:tcPr>
          <w:p>
            <w:pPr>
              <w:jc w:val="center"/>
              <w:rPr>
                <w:rFonts w:ascii="宋体" w:cs="仿宋_GB2312"/>
                <w:sz w:val="24"/>
                <w:szCs w:val="24"/>
              </w:rPr>
            </w:pPr>
            <w:r>
              <w:rPr>
                <w:rFonts w:ascii="宋体" w:hAnsi="宋体" w:cs="仿宋_GB2312"/>
                <w:sz w:val="24"/>
                <w:szCs w:val="24"/>
              </w:rPr>
              <w:t>6</w:t>
            </w:r>
          </w:p>
        </w:tc>
        <w:tc>
          <w:tcPr>
            <w:tcW w:w="3031" w:type="dxa"/>
            <w:vAlign w:val="center"/>
          </w:tcPr>
          <w:p>
            <w:pPr>
              <w:jc w:val="center"/>
              <w:rPr>
                <w:rFonts w:ascii="宋体" w:cs="仿宋_GB2312"/>
                <w:sz w:val="24"/>
                <w:szCs w:val="24"/>
              </w:rPr>
            </w:pPr>
          </w:p>
        </w:tc>
        <w:tc>
          <w:tcPr>
            <w:tcW w:w="2755" w:type="dxa"/>
            <w:vAlign w:val="center"/>
          </w:tcPr>
          <w:p>
            <w:pPr>
              <w:jc w:val="center"/>
              <w:rPr>
                <w:rFonts w:ascii="宋体" w:cs="仿宋_GB2312"/>
                <w:sz w:val="24"/>
                <w:szCs w:val="24"/>
              </w:rPr>
            </w:pPr>
          </w:p>
        </w:tc>
        <w:tc>
          <w:tcPr>
            <w:tcW w:w="1364"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5" w:type="dxa"/>
            <w:vAlign w:val="center"/>
          </w:tcPr>
          <w:p>
            <w:pPr>
              <w:jc w:val="center"/>
              <w:rPr>
                <w:rFonts w:ascii="宋体" w:cs="仿宋_GB2312"/>
                <w:sz w:val="24"/>
                <w:szCs w:val="24"/>
              </w:rPr>
            </w:pPr>
            <w:r>
              <w:rPr>
                <w:rFonts w:ascii="宋体" w:hAnsi="宋体" w:cs="仿宋_GB2312"/>
                <w:sz w:val="24"/>
                <w:szCs w:val="24"/>
              </w:rPr>
              <w:t>7</w:t>
            </w:r>
          </w:p>
        </w:tc>
        <w:tc>
          <w:tcPr>
            <w:tcW w:w="3031" w:type="dxa"/>
            <w:vAlign w:val="center"/>
          </w:tcPr>
          <w:p>
            <w:pPr>
              <w:jc w:val="center"/>
              <w:rPr>
                <w:rFonts w:ascii="宋体" w:cs="仿宋_GB2312"/>
                <w:sz w:val="24"/>
                <w:szCs w:val="24"/>
              </w:rPr>
            </w:pPr>
          </w:p>
        </w:tc>
        <w:tc>
          <w:tcPr>
            <w:tcW w:w="2755" w:type="dxa"/>
            <w:vAlign w:val="center"/>
          </w:tcPr>
          <w:p>
            <w:pPr>
              <w:jc w:val="center"/>
              <w:rPr>
                <w:rFonts w:ascii="宋体" w:cs="仿宋_GB2312"/>
                <w:sz w:val="24"/>
                <w:szCs w:val="24"/>
              </w:rPr>
            </w:pPr>
          </w:p>
        </w:tc>
        <w:tc>
          <w:tcPr>
            <w:tcW w:w="1364"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5" w:type="dxa"/>
            <w:vAlign w:val="center"/>
          </w:tcPr>
          <w:p>
            <w:pPr>
              <w:jc w:val="center"/>
              <w:rPr>
                <w:rFonts w:ascii="宋体" w:cs="仿宋_GB2312"/>
                <w:sz w:val="24"/>
                <w:szCs w:val="24"/>
              </w:rPr>
            </w:pPr>
            <w:r>
              <w:rPr>
                <w:rFonts w:hint="eastAsia" w:ascii="宋体" w:hAnsi="宋体" w:cs="仿宋_GB2312"/>
                <w:sz w:val="24"/>
                <w:szCs w:val="24"/>
              </w:rPr>
              <w:t>…</w:t>
            </w:r>
          </w:p>
        </w:tc>
        <w:tc>
          <w:tcPr>
            <w:tcW w:w="3031" w:type="dxa"/>
            <w:vAlign w:val="center"/>
          </w:tcPr>
          <w:p>
            <w:pPr>
              <w:jc w:val="center"/>
              <w:rPr>
                <w:rFonts w:ascii="宋体" w:cs="仿宋_GB2312"/>
                <w:sz w:val="24"/>
                <w:szCs w:val="24"/>
              </w:rPr>
            </w:pPr>
          </w:p>
        </w:tc>
        <w:tc>
          <w:tcPr>
            <w:tcW w:w="2755" w:type="dxa"/>
            <w:vAlign w:val="center"/>
          </w:tcPr>
          <w:p>
            <w:pPr>
              <w:jc w:val="center"/>
              <w:rPr>
                <w:rFonts w:ascii="宋体" w:cs="仿宋_GB2312"/>
                <w:sz w:val="24"/>
                <w:szCs w:val="24"/>
              </w:rPr>
            </w:pPr>
          </w:p>
        </w:tc>
        <w:tc>
          <w:tcPr>
            <w:tcW w:w="1364"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bl>
    <w:p>
      <w:pPr>
        <w:spacing w:line="360" w:lineRule="auto"/>
        <w:ind w:left="1092" w:hanging="1092" w:hangingChars="455"/>
        <w:jc w:val="left"/>
        <w:rPr>
          <w:rFonts w:ascii="宋体"/>
          <w:sz w:val="24"/>
          <w:szCs w:val="24"/>
        </w:rPr>
      </w:pPr>
      <w:r>
        <w:rPr>
          <w:rFonts w:hint="eastAsia" w:ascii="宋体" w:hAnsi="宋体" w:cs="Corbel"/>
          <w:sz w:val="24"/>
          <w:szCs w:val="24"/>
        </w:rPr>
        <w:t>说明：</w:t>
      </w:r>
      <w:r>
        <w:rPr>
          <w:rFonts w:ascii="宋体" w:hAnsi="宋体" w:cs="Corbel"/>
          <w:sz w:val="24"/>
          <w:szCs w:val="24"/>
        </w:rPr>
        <w:t>1</w:t>
      </w:r>
      <w:r>
        <w:rPr>
          <w:rFonts w:hint="eastAsia" w:ascii="宋体" w:hAnsi="宋体" w:cs="Corbel"/>
          <w:sz w:val="24"/>
          <w:szCs w:val="24"/>
        </w:rPr>
        <w:t>．投标人应按招标文件第三章“项目技术、服务及商务要求”中“技术、服务要求”条款逐项说明是否满足要求，如有偏离</w:t>
      </w:r>
      <w:r>
        <w:rPr>
          <w:rFonts w:ascii="宋体" w:cs="Corbel"/>
          <w:sz w:val="24"/>
          <w:szCs w:val="24"/>
        </w:rPr>
        <w:t>,</w:t>
      </w:r>
      <w:r>
        <w:rPr>
          <w:rFonts w:hint="eastAsia" w:ascii="宋体" w:hAnsi="宋体" w:cs="Corbel"/>
          <w:sz w:val="24"/>
          <w:szCs w:val="24"/>
        </w:rPr>
        <w:t>投标人应详细说明。未按照要求填写此表或仅注明“符合”、“满足”的，</w:t>
      </w:r>
      <w:r>
        <w:rPr>
          <w:rFonts w:hint="eastAsia" w:ascii="宋体" w:hAnsi="宋体"/>
          <w:sz w:val="24"/>
          <w:szCs w:val="24"/>
        </w:rPr>
        <w:t>导致的后果由投标人自行承担。</w:t>
      </w:r>
    </w:p>
    <w:p>
      <w:pPr>
        <w:spacing w:line="360" w:lineRule="auto"/>
        <w:ind w:left="1061" w:leftChars="339" w:hanging="350" w:hangingChars="146"/>
        <w:jc w:val="left"/>
        <w:rPr>
          <w:rFonts w:ascii="宋体" w:cs="Corbel"/>
          <w:sz w:val="24"/>
          <w:szCs w:val="24"/>
        </w:rPr>
      </w:pPr>
      <w:r>
        <w:rPr>
          <w:rFonts w:ascii="宋体" w:hAnsi="宋体" w:cs="Corbel"/>
          <w:sz w:val="24"/>
          <w:szCs w:val="24"/>
        </w:rPr>
        <w:t>2</w:t>
      </w:r>
      <w:r>
        <w:rPr>
          <w:rFonts w:hint="eastAsia" w:ascii="宋体" w:hAnsi="宋体" w:cs="Corbel"/>
          <w:sz w:val="24"/>
          <w:szCs w:val="24"/>
        </w:rPr>
        <w:t>．投标人提供的相关证明文件对应的页码填写到上表“投标文件对应的页码”中。如未提供页码或内容页码完全不一致的，</w:t>
      </w:r>
      <w:r>
        <w:rPr>
          <w:rFonts w:hint="eastAsia" w:ascii="宋体" w:hAnsi="宋体"/>
          <w:sz w:val="24"/>
          <w:szCs w:val="24"/>
        </w:rPr>
        <w:t>导致的后果由投标人自行承担。</w:t>
      </w:r>
    </w:p>
    <w:p>
      <w:pPr>
        <w:spacing w:before="100" w:beforeAutospacing="1" w:after="100" w:afterAutospacing="1" w:line="360" w:lineRule="auto"/>
        <w:ind w:firstLine="3316" w:firstLineChars="1382"/>
        <w:rPr>
          <w:rFonts w:hAnsi="宋体"/>
          <w:b/>
          <w:bCs/>
          <w:sz w:val="24"/>
          <w:u w:val="single"/>
        </w:rPr>
      </w:pPr>
      <w:r>
        <w:rPr>
          <w:rFonts w:hint="eastAsia" w:hAnsi="宋体"/>
          <w:b/>
          <w:bCs/>
          <w:sz w:val="24"/>
        </w:rPr>
        <w:t>投标人（公章）：</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投标人</w:t>
      </w:r>
      <w:r>
        <w:rPr>
          <w:rFonts w:hint="eastAsia" w:hAnsi="宋体"/>
          <w:b/>
          <w:bCs/>
          <w:sz w:val="24"/>
        </w:rPr>
        <w:t>授权代表（签字）：</w:t>
      </w:r>
    </w:p>
    <w:p>
      <w:pPr>
        <w:spacing w:before="100" w:beforeAutospacing="1" w:after="100" w:afterAutospacing="1" w:line="360" w:lineRule="auto"/>
        <w:ind w:firstLine="3316" w:firstLineChars="1382"/>
      </w:pPr>
      <w:r>
        <w:rPr>
          <w:rFonts w:hint="eastAsia" w:ascii="宋体" w:hAnsi="宋体"/>
          <w:b/>
          <w:bCs/>
          <w:sz w:val="24"/>
          <w:szCs w:val="21"/>
          <w:lang w:val="zh-CN"/>
        </w:rPr>
        <w:t>投标</w:t>
      </w:r>
      <w:r>
        <w:rPr>
          <w:rFonts w:hint="eastAsia" w:hAnsi="宋体"/>
          <w:b/>
          <w:bCs/>
          <w:sz w:val="24"/>
        </w:rPr>
        <w:t>时间：</w:t>
      </w:r>
    </w:p>
    <w:p>
      <w:r>
        <w:br w:type="page"/>
      </w:r>
    </w:p>
    <w:p>
      <w:pPr>
        <w:pStyle w:val="4"/>
        <w:numPr>
          <w:ilvl w:val="0"/>
          <w:numId w:val="61"/>
        </w:numPr>
        <w:spacing w:before="100" w:beforeAutospacing="1" w:afterLines="50" w:line="360" w:lineRule="auto"/>
        <w:ind w:left="1610" w:hanging="1610"/>
        <w:rPr>
          <w:rFonts w:ascii="宋体"/>
        </w:rPr>
      </w:pPr>
      <w:bookmarkStart w:id="264" w:name="_Toc494721120"/>
      <w:bookmarkStart w:id="265" w:name="_Toc494665020"/>
      <w:bookmarkStart w:id="266" w:name="_Toc494665573"/>
      <w:bookmarkStart w:id="267" w:name="_Toc494702290"/>
      <w:bookmarkStart w:id="268" w:name="_Toc494745337"/>
      <w:bookmarkStart w:id="269" w:name="_Toc494665970"/>
      <w:bookmarkStart w:id="270" w:name="_Toc106268647"/>
      <w:bookmarkStart w:id="271" w:name="_Toc329859066"/>
      <w:r>
        <w:rPr>
          <w:rFonts w:hint="eastAsia" w:ascii="宋体" w:hAnsi="宋体"/>
        </w:rPr>
        <w:t>技术、服务要求“★”号条款响应、偏离说明表</w:t>
      </w:r>
      <w:bookmarkEnd w:id="264"/>
      <w:bookmarkEnd w:id="265"/>
      <w:bookmarkEnd w:id="266"/>
      <w:bookmarkEnd w:id="267"/>
      <w:bookmarkEnd w:id="268"/>
      <w:bookmarkEnd w:id="269"/>
      <w:bookmarkEnd w:id="270"/>
    </w:p>
    <w:p>
      <w:pPr>
        <w:spacing w:line="360" w:lineRule="auto"/>
        <w:jc w:val="left"/>
        <w:rPr>
          <w:rFonts w:hAnsi="宋体"/>
          <w:b/>
          <w:sz w:val="24"/>
        </w:rPr>
      </w:pPr>
      <w:r>
        <w:rPr>
          <w:rFonts w:hint="eastAsia" w:hAnsi="宋体"/>
          <w:b/>
          <w:sz w:val="24"/>
        </w:rPr>
        <w:t>投标人：</w:t>
      </w:r>
    </w:p>
    <w:p>
      <w:pPr>
        <w:spacing w:line="360" w:lineRule="auto"/>
        <w:jc w:val="left"/>
        <w:rPr>
          <w:rFonts w:hAnsi="宋体"/>
          <w:b/>
          <w:sz w:val="24"/>
        </w:rPr>
      </w:pPr>
      <w:r>
        <w:rPr>
          <w:rFonts w:hint="eastAsia" w:ascii="宋体" w:hAnsi="宋体"/>
          <w:b/>
          <w:sz w:val="24"/>
          <w:szCs w:val="21"/>
          <w:lang w:val="zh-CN"/>
        </w:rPr>
        <w:t>项目编号：</w:t>
      </w:r>
      <w:r>
        <w:rPr>
          <w:rFonts w:hint="eastAsia" w:ascii="宋体" w:hAnsi="宋体"/>
          <w:b/>
          <w:bCs/>
          <w:sz w:val="24"/>
          <w:szCs w:val="21"/>
          <w:lang w:val="zh-CN"/>
        </w:rPr>
        <w:t>所投包号：</w:t>
      </w:r>
    </w:p>
    <w:tbl>
      <w:tblPr>
        <w:tblStyle w:val="28"/>
        <w:tblW w:w="951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2"/>
        <w:gridCol w:w="2767"/>
        <w:gridCol w:w="2877"/>
        <w:gridCol w:w="1509"/>
        <w:gridCol w:w="1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742" w:type="dxa"/>
            <w:shd w:val="clear" w:color="auto" w:fill="F2F2F2"/>
            <w:vAlign w:val="center"/>
          </w:tcPr>
          <w:p>
            <w:pPr>
              <w:jc w:val="center"/>
              <w:rPr>
                <w:rFonts w:ascii="宋体" w:cs="仿宋_GB2312"/>
                <w:sz w:val="24"/>
                <w:szCs w:val="24"/>
              </w:rPr>
            </w:pPr>
            <w:r>
              <w:rPr>
                <w:rFonts w:hint="eastAsia" w:ascii="宋体" w:hAnsi="宋体" w:cs="仿宋_GB2312"/>
                <w:sz w:val="24"/>
                <w:szCs w:val="24"/>
              </w:rPr>
              <w:t>序号</w:t>
            </w:r>
          </w:p>
        </w:tc>
        <w:tc>
          <w:tcPr>
            <w:tcW w:w="2767" w:type="dxa"/>
            <w:shd w:val="clear" w:color="auto" w:fill="F2F2F2"/>
            <w:vAlign w:val="center"/>
          </w:tcPr>
          <w:p>
            <w:pPr>
              <w:jc w:val="center"/>
              <w:rPr>
                <w:rFonts w:ascii="宋体" w:cs="仿宋_GB2312"/>
                <w:sz w:val="24"/>
                <w:szCs w:val="24"/>
              </w:rPr>
            </w:pPr>
            <w:r>
              <w:rPr>
                <w:rFonts w:hint="eastAsia" w:ascii="宋体" w:hAnsi="宋体" w:cs="仿宋_GB2312"/>
                <w:sz w:val="24"/>
                <w:szCs w:val="24"/>
              </w:rPr>
              <w:t>招标文件</w:t>
            </w:r>
            <w:r>
              <w:rPr>
                <w:rFonts w:hint="eastAsia" w:ascii="宋体" w:hAnsi="宋体" w:cs="Corbel"/>
                <w:sz w:val="24"/>
                <w:szCs w:val="24"/>
              </w:rPr>
              <w:t>技术、服务要求“★”号条款</w:t>
            </w:r>
          </w:p>
        </w:tc>
        <w:tc>
          <w:tcPr>
            <w:tcW w:w="2877" w:type="dxa"/>
            <w:shd w:val="clear" w:color="auto" w:fill="F2F2F2"/>
            <w:vAlign w:val="center"/>
          </w:tcPr>
          <w:p>
            <w:pPr>
              <w:jc w:val="center"/>
              <w:rPr>
                <w:rFonts w:ascii="宋体" w:cs="仿宋_GB2312"/>
                <w:sz w:val="24"/>
                <w:szCs w:val="24"/>
              </w:rPr>
            </w:pPr>
            <w:r>
              <w:rPr>
                <w:rFonts w:hint="eastAsia" w:ascii="宋体" w:hAnsi="宋体" w:cs="仿宋_GB2312"/>
                <w:sz w:val="24"/>
                <w:szCs w:val="24"/>
              </w:rPr>
              <w:t>投标响应内容对应简述</w:t>
            </w:r>
          </w:p>
        </w:tc>
        <w:tc>
          <w:tcPr>
            <w:tcW w:w="1509" w:type="dxa"/>
            <w:shd w:val="clear" w:color="auto" w:fill="F2F2F2"/>
            <w:vAlign w:val="center"/>
          </w:tcPr>
          <w:p>
            <w:pPr>
              <w:jc w:val="center"/>
              <w:rPr>
                <w:rFonts w:ascii="宋体" w:cs="仿宋_GB2312"/>
                <w:sz w:val="24"/>
                <w:szCs w:val="24"/>
              </w:rPr>
            </w:pPr>
            <w:r>
              <w:rPr>
                <w:rFonts w:hint="eastAsia" w:ascii="宋体" w:hAnsi="宋体" w:cs="仿宋_GB2312"/>
                <w:sz w:val="24"/>
                <w:szCs w:val="24"/>
              </w:rPr>
              <w:t>偏离说明</w:t>
            </w:r>
          </w:p>
        </w:tc>
        <w:tc>
          <w:tcPr>
            <w:tcW w:w="1619" w:type="dxa"/>
            <w:shd w:val="clear" w:color="auto" w:fill="F2F2F2"/>
          </w:tcPr>
          <w:p>
            <w:pPr>
              <w:jc w:val="center"/>
              <w:rPr>
                <w:rFonts w:ascii="宋体" w:cs="仿宋_GB2312"/>
                <w:sz w:val="24"/>
                <w:szCs w:val="24"/>
              </w:rPr>
            </w:pPr>
            <w:r>
              <w:rPr>
                <w:rFonts w:hint="eastAsia" w:ascii="宋体" w:hAnsi="宋体" w:cs="仿宋_GB2312"/>
                <w:sz w:val="24"/>
                <w:szCs w:val="24"/>
              </w:rPr>
              <w:t>投标文件对应的页码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1</w:t>
            </w:r>
          </w:p>
        </w:tc>
        <w:tc>
          <w:tcPr>
            <w:tcW w:w="2767" w:type="dxa"/>
            <w:vAlign w:val="center"/>
          </w:tcPr>
          <w:p>
            <w:pPr>
              <w:jc w:val="center"/>
              <w:rPr>
                <w:rFonts w:ascii="宋体" w:cs="仿宋_GB2312"/>
                <w:sz w:val="24"/>
                <w:szCs w:val="24"/>
              </w:rPr>
            </w:pPr>
          </w:p>
        </w:tc>
        <w:tc>
          <w:tcPr>
            <w:tcW w:w="2877" w:type="dxa"/>
            <w:vAlign w:val="center"/>
          </w:tcPr>
          <w:p>
            <w:pPr>
              <w:jc w:val="center"/>
              <w:rPr>
                <w:rFonts w:ascii="宋体" w:cs="仿宋_GB2312"/>
                <w:sz w:val="24"/>
                <w:szCs w:val="24"/>
              </w:rPr>
            </w:pPr>
          </w:p>
        </w:tc>
        <w:tc>
          <w:tcPr>
            <w:tcW w:w="150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2</w:t>
            </w:r>
          </w:p>
        </w:tc>
        <w:tc>
          <w:tcPr>
            <w:tcW w:w="2767" w:type="dxa"/>
            <w:vAlign w:val="center"/>
          </w:tcPr>
          <w:p>
            <w:pPr>
              <w:jc w:val="center"/>
              <w:rPr>
                <w:rFonts w:ascii="宋体" w:cs="仿宋_GB2312"/>
                <w:sz w:val="24"/>
                <w:szCs w:val="24"/>
              </w:rPr>
            </w:pPr>
          </w:p>
        </w:tc>
        <w:tc>
          <w:tcPr>
            <w:tcW w:w="2877" w:type="dxa"/>
            <w:vAlign w:val="center"/>
          </w:tcPr>
          <w:p>
            <w:pPr>
              <w:jc w:val="center"/>
              <w:rPr>
                <w:rFonts w:ascii="宋体" w:cs="仿宋_GB2312"/>
                <w:sz w:val="24"/>
                <w:szCs w:val="24"/>
              </w:rPr>
            </w:pPr>
          </w:p>
        </w:tc>
        <w:tc>
          <w:tcPr>
            <w:tcW w:w="150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3</w:t>
            </w:r>
          </w:p>
        </w:tc>
        <w:tc>
          <w:tcPr>
            <w:tcW w:w="2767" w:type="dxa"/>
            <w:vAlign w:val="center"/>
          </w:tcPr>
          <w:p>
            <w:pPr>
              <w:jc w:val="center"/>
              <w:rPr>
                <w:rFonts w:ascii="宋体" w:cs="仿宋_GB2312"/>
                <w:sz w:val="24"/>
                <w:szCs w:val="24"/>
              </w:rPr>
            </w:pPr>
          </w:p>
        </w:tc>
        <w:tc>
          <w:tcPr>
            <w:tcW w:w="2877" w:type="dxa"/>
            <w:vAlign w:val="center"/>
          </w:tcPr>
          <w:p>
            <w:pPr>
              <w:jc w:val="center"/>
              <w:rPr>
                <w:rFonts w:ascii="宋体" w:cs="仿宋_GB2312"/>
                <w:sz w:val="24"/>
                <w:szCs w:val="24"/>
              </w:rPr>
            </w:pPr>
          </w:p>
        </w:tc>
        <w:tc>
          <w:tcPr>
            <w:tcW w:w="150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4</w:t>
            </w:r>
          </w:p>
        </w:tc>
        <w:tc>
          <w:tcPr>
            <w:tcW w:w="2767" w:type="dxa"/>
            <w:vAlign w:val="center"/>
          </w:tcPr>
          <w:p>
            <w:pPr>
              <w:jc w:val="center"/>
              <w:rPr>
                <w:rFonts w:ascii="宋体" w:cs="仿宋_GB2312"/>
                <w:sz w:val="24"/>
                <w:szCs w:val="24"/>
              </w:rPr>
            </w:pPr>
          </w:p>
        </w:tc>
        <w:tc>
          <w:tcPr>
            <w:tcW w:w="2877" w:type="dxa"/>
            <w:vAlign w:val="center"/>
          </w:tcPr>
          <w:p>
            <w:pPr>
              <w:jc w:val="center"/>
              <w:rPr>
                <w:rFonts w:ascii="宋体" w:cs="仿宋_GB2312"/>
                <w:sz w:val="24"/>
                <w:szCs w:val="24"/>
              </w:rPr>
            </w:pPr>
          </w:p>
        </w:tc>
        <w:tc>
          <w:tcPr>
            <w:tcW w:w="150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5</w:t>
            </w:r>
          </w:p>
        </w:tc>
        <w:tc>
          <w:tcPr>
            <w:tcW w:w="2767" w:type="dxa"/>
            <w:vAlign w:val="center"/>
          </w:tcPr>
          <w:p>
            <w:pPr>
              <w:jc w:val="center"/>
              <w:rPr>
                <w:rFonts w:ascii="宋体" w:cs="仿宋_GB2312"/>
                <w:sz w:val="24"/>
                <w:szCs w:val="24"/>
              </w:rPr>
            </w:pPr>
          </w:p>
        </w:tc>
        <w:tc>
          <w:tcPr>
            <w:tcW w:w="2877" w:type="dxa"/>
            <w:vAlign w:val="center"/>
          </w:tcPr>
          <w:p>
            <w:pPr>
              <w:jc w:val="center"/>
              <w:rPr>
                <w:rFonts w:ascii="宋体" w:cs="仿宋_GB2312"/>
                <w:sz w:val="24"/>
                <w:szCs w:val="24"/>
              </w:rPr>
            </w:pPr>
          </w:p>
        </w:tc>
        <w:tc>
          <w:tcPr>
            <w:tcW w:w="150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ascii="宋体" w:hAnsi="宋体" w:cs="仿宋_GB2312"/>
                <w:sz w:val="24"/>
                <w:szCs w:val="24"/>
              </w:rPr>
              <w:t>6</w:t>
            </w:r>
          </w:p>
        </w:tc>
        <w:tc>
          <w:tcPr>
            <w:tcW w:w="2767" w:type="dxa"/>
            <w:vAlign w:val="center"/>
          </w:tcPr>
          <w:p>
            <w:pPr>
              <w:jc w:val="center"/>
              <w:rPr>
                <w:rFonts w:ascii="宋体" w:cs="仿宋_GB2312"/>
                <w:sz w:val="24"/>
                <w:szCs w:val="24"/>
              </w:rPr>
            </w:pPr>
          </w:p>
        </w:tc>
        <w:tc>
          <w:tcPr>
            <w:tcW w:w="2877" w:type="dxa"/>
            <w:vAlign w:val="center"/>
          </w:tcPr>
          <w:p>
            <w:pPr>
              <w:jc w:val="center"/>
              <w:rPr>
                <w:rFonts w:ascii="宋体" w:cs="仿宋_GB2312"/>
                <w:sz w:val="24"/>
                <w:szCs w:val="24"/>
              </w:rPr>
            </w:pPr>
          </w:p>
        </w:tc>
        <w:tc>
          <w:tcPr>
            <w:tcW w:w="150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742" w:type="dxa"/>
            <w:vAlign w:val="center"/>
          </w:tcPr>
          <w:p>
            <w:pPr>
              <w:jc w:val="center"/>
              <w:rPr>
                <w:rFonts w:ascii="宋体" w:cs="仿宋_GB2312"/>
                <w:sz w:val="24"/>
                <w:szCs w:val="24"/>
              </w:rPr>
            </w:pPr>
            <w:r>
              <w:rPr>
                <w:rFonts w:hint="eastAsia" w:ascii="宋体" w:hAnsi="宋体" w:cs="仿宋_GB2312"/>
                <w:sz w:val="24"/>
                <w:szCs w:val="24"/>
              </w:rPr>
              <w:t>…</w:t>
            </w:r>
          </w:p>
        </w:tc>
        <w:tc>
          <w:tcPr>
            <w:tcW w:w="2767" w:type="dxa"/>
            <w:vAlign w:val="center"/>
          </w:tcPr>
          <w:p>
            <w:pPr>
              <w:jc w:val="center"/>
              <w:rPr>
                <w:rFonts w:ascii="宋体" w:cs="仿宋_GB2312"/>
                <w:sz w:val="24"/>
                <w:szCs w:val="24"/>
              </w:rPr>
            </w:pPr>
          </w:p>
        </w:tc>
        <w:tc>
          <w:tcPr>
            <w:tcW w:w="2877" w:type="dxa"/>
            <w:vAlign w:val="center"/>
          </w:tcPr>
          <w:p>
            <w:pPr>
              <w:jc w:val="center"/>
              <w:rPr>
                <w:rFonts w:ascii="宋体" w:cs="仿宋_GB2312"/>
                <w:sz w:val="24"/>
                <w:szCs w:val="24"/>
              </w:rPr>
            </w:pPr>
          </w:p>
        </w:tc>
        <w:tc>
          <w:tcPr>
            <w:tcW w:w="1509" w:type="dxa"/>
            <w:vAlign w:val="center"/>
          </w:tcPr>
          <w:p>
            <w:pPr>
              <w:jc w:val="center"/>
              <w:rPr>
                <w:rFonts w:ascii="宋体" w:cs="仿宋_GB2312"/>
                <w:sz w:val="24"/>
                <w:szCs w:val="24"/>
              </w:rPr>
            </w:pPr>
          </w:p>
        </w:tc>
        <w:tc>
          <w:tcPr>
            <w:tcW w:w="1619" w:type="dxa"/>
            <w:vAlign w:val="center"/>
          </w:tcPr>
          <w:p>
            <w:pPr>
              <w:jc w:val="center"/>
              <w:rPr>
                <w:rFonts w:ascii="宋体" w:cs="仿宋_GB2312"/>
                <w:sz w:val="24"/>
                <w:szCs w:val="24"/>
              </w:rPr>
            </w:pPr>
          </w:p>
        </w:tc>
      </w:tr>
    </w:tbl>
    <w:p>
      <w:pPr>
        <w:spacing w:line="360" w:lineRule="auto"/>
        <w:ind w:left="936" w:hanging="936" w:hangingChars="390"/>
        <w:jc w:val="left"/>
        <w:rPr>
          <w:rFonts w:ascii="宋体" w:cs="Corbel"/>
          <w:sz w:val="24"/>
          <w:szCs w:val="24"/>
        </w:rPr>
      </w:pPr>
      <w:r>
        <w:rPr>
          <w:rFonts w:hint="eastAsia" w:ascii="宋体" w:hAnsi="宋体" w:cs="Corbel"/>
          <w:sz w:val="24"/>
          <w:szCs w:val="24"/>
        </w:rPr>
        <w:t>说明：</w:t>
      </w:r>
      <w:r>
        <w:rPr>
          <w:rFonts w:ascii="宋体" w:hAnsi="宋体" w:cs="Corbel"/>
          <w:sz w:val="24"/>
          <w:szCs w:val="24"/>
        </w:rPr>
        <w:t>1</w:t>
      </w:r>
      <w:r>
        <w:rPr>
          <w:rFonts w:hint="eastAsia" w:ascii="宋体" w:hAnsi="宋体" w:cs="Corbel"/>
          <w:sz w:val="24"/>
          <w:szCs w:val="24"/>
        </w:rPr>
        <w:t>．投标人应按招标文件第三章“项目技术、服务及商务要求”中技术、服务要求</w:t>
      </w:r>
      <w:r>
        <w:rPr>
          <w:rFonts w:hint="eastAsia" w:ascii="Times New Roman" w:hAnsi="宋体"/>
          <w:sz w:val="24"/>
          <w:szCs w:val="24"/>
        </w:rPr>
        <w:t>“★”号</w:t>
      </w:r>
      <w:r>
        <w:rPr>
          <w:rFonts w:hint="eastAsia" w:ascii="宋体" w:hAnsi="宋体" w:cs="Corbel"/>
          <w:sz w:val="24"/>
          <w:szCs w:val="24"/>
        </w:rPr>
        <w:t>条款进行逐项说明是否满足要求，如有偏离</w:t>
      </w:r>
      <w:r>
        <w:rPr>
          <w:rFonts w:ascii="宋体" w:cs="Corbel"/>
          <w:sz w:val="24"/>
          <w:szCs w:val="24"/>
        </w:rPr>
        <w:t>,</w:t>
      </w:r>
      <w:r>
        <w:rPr>
          <w:rFonts w:hint="eastAsia" w:ascii="宋体" w:hAnsi="宋体" w:cs="Corbel"/>
          <w:sz w:val="24"/>
          <w:szCs w:val="24"/>
        </w:rPr>
        <w:t>投标人应详细说明。未按照要求填写此表或仅注明“符合”、“满足”的，</w:t>
      </w:r>
      <w:r>
        <w:rPr>
          <w:rFonts w:hint="eastAsia" w:ascii="宋体" w:hAnsi="宋体"/>
          <w:sz w:val="24"/>
          <w:szCs w:val="24"/>
        </w:rPr>
        <w:t>导致的后果由投标人自行承担。</w:t>
      </w:r>
    </w:p>
    <w:p>
      <w:pPr>
        <w:spacing w:line="360" w:lineRule="auto"/>
        <w:ind w:left="1006" w:leftChars="306" w:hanging="364" w:hangingChars="152"/>
        <w:jc w:val="left"/>
        <w:rPr>
          <w:rFonts w:ascii="宋体" w:cs="Corbel"/>
          <w:sz w:val="24"/>
          <w:szCs w:val="24"/>
        </w:rPr>
      </w:pPr>
      <w:r>
        <w:rPr>
          <w:rFonts w:ascii="宋体" w:hAnsi="宋体" w:cs="Corbel"/>
          <w:sz w:val="24"/>
          <w:szCs w:val="24"/>
        </w:rPr>
        <w:t>2</w:t>
      </w:r>
      <w:r>
        <w:rPr>
          <w:rFonts w:hint="eastAsia" w:ascii="宋体" w:hAnsi="宋体" w:cs="Corbel"/>
          <w:sz w:val="24"/>
          <w:szCs w:val="24"/>
        </w:rPr>
        <w:t>．投标人提供的相关证明文件对应的页码填写到上表“投标文件对应的页码”中。如未提供页码或内容页码完全不一致的，</w:t>
      </w:r>
      <w:r>
        <w:rPr>
          <w:rFonts w:hint="eastAsia" w:ascii="宋体" w:hAnsi="宋体"/>
          <w:sz w:val="24"/>
          <w:szCs w:val="24"/>
        </w:rPr>
        <w:t>导致的后果由投标人自行承担。</w:t>
      </w:r>
    </w:p>
    <w:bookmarkEnd w:id="271"/>
    <w:p>
      <w:pPr>
        <w:spacing w:before="100" w:beforeAutospacing="1" w:after="100" w:afterAutospacing="1" w:line="360" w:lineRule="auto"/>
        <w:ind w:firstLine="3316" w:firstLineChars="1382"/>
        <w:rPr>
          <w:rFonts w:hAnsi="宋体"/>
          <w:b/>
          <w:bCs/>
          <w:sz w:val="24"/>
          <w:u w:val="single"/>
        </w:rPr>
      </w:pPr>
      <w:r>
        <w:rPr>
          <w:rFonts w:hint="eastAsia" w:hAnsi="宋体"/>
          <w:b/>
          <w:bCs/>
          <w:sz w:val="24"/>
        </w:rPr>
        <w:t>投标人（公章）：</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投标人</w:t>
      </w:r>
      <w:r>
        <w:rPr>
          <w:rFonts w:hint="eastAsia" w:hAnsi="宋体"/>
          <w:b/>
          <w:bCs/>
          <w:sz w:val="24"/>
        </w:rPr>
        <w:t>授权代表（签字）：</w:t>
      </w:r>
    </w:p>
    <w:p>
      <w:pPr>
        <w:spacing w:before="100" w:beforeAutospacing="1" w:after="100" w:afterAutospacing="1" w:line="360" w:lineRule="auto"/>
        <w:ind w:firstLine="3316" w:firstLineChars="1382"/>
      </w:pPr>
      <w:r>
        <w:rPr>
          <w:rFonts w:hint="eastAsia" w:ascii="宋体" w:hAnsi="宋体"/>
          <w:b/>
          <w:bCs/>
          <w:sz w:val="24"/>
          <w:szCs w:val="21"/>
          <w:lang w:val="zh-CN"/>
        </w:rPr>
        <w:t>投标</w:t>
      </w:r>
      <w:r>
        <w:rPr>
          <w:rFonts w:hint="eastAsia" w:hAnsi="宋体"/>
          <w:b/>
          <w:bCs/>
          <w:sz w:val="24"/>
        </w:rPr>
        <w:t>时间：</w:t>
      </w:r>
    </w:p>
    <w:p>
      <w:r>
        <w:br w:type="page"/>
      </w:r>
    </w:p>
    <w:p>
      <w:pPr>
        <w:pStyle w:val="4"/>
        <w:numPr>
          <w:ilvl w:val="0"/>
          <w:numId w:val="61"/>
        </w:numPr>
        <w:spacing w:before="100" w:beforeAutospacing="1" w:afterLines="50" w:line="360" w:lineRule="auto"/>
        <w:ind w:left="1610" w:hanging="1610"/>
        <w:rPr>
          <w:rFonts w:ascii="宋体"/>
        </w:rPr>
      </w:pPr>
      <w:bookmarkStart w:id="272" w:name="_Toc494702291"/>
      <w:bookmarkStart w:id="273" w:name="_Toc494665574"/>
      <w:bookmarkStart w:id="274" w:name="_Toc494745338"/>
      <w:bookmarkStart w:id="275" w:name="_Toc494665021"/>
      <w:bookmarkStart w:id="276" w:name="_Toc106268648"/>
      <w:bookmarkStart w:id="277" w:name="_Toc494665971"/>
      <w:bookmarkStart w:id="278" w:name="_Toc494721121"/>
      <w:r>
        <w:rPr>
          <w:rFonts w:hint="eastAsia" w:ascii="宋体" w:hAnsi="宋体"/>
        </w:rPr>
        <w:t>技术、服务评议对照表</w:t>
      </w:r>
      <w:bookmarkEnd w:id="272"/>
      <w:bookmarkEnd w:id="273"/>
      <w:bookmarkEnd w:id="274"/>
      <w:bookmarkEnd w:id="275"/>
      <w:bookmarkEnd w:id="276"/>
      <w:bookmarkEnd w:id="277"/>
      <w:bookmarkEnd w:id="278"/>
    </w:p>
    <w:p>
      <w:pPr>
        <w:spacing w:line="360" w:lineRule="auto"/>
        <w:jc w:val="left"/>
        <w:rPr>
          <w:rFonts w:hAnsi="宋体"/>
          <w:b/>
          <w:sz w:val="24"/>
        </w:rPr>
      </w:pPr>
      <w:r>
        <w:rPr>
          <w:rFonts w:hint="eastAsia" w:hAnsi="宋体"/>
          <w:b/>
          <w:sz w:val="24"/>
        </w:rPr>
        <w:t>投标人：</w:t>
      </w:r>
    </w:p>
    <w:p>
      <w:pPr>
        <w:spacing w:line="360" w:lineRule="auto"/>
        <w:jc w:val="left"/>
        <w:rPr>
          <w:rFonts w:hAnsi="宋体"/>
          <w:b/>
          <w:sz w:val="24"/>
        </w:rPr>
      </w:pPr>
      <w:r>
        <w:rPr>
          <w:rFonts w:hint="eastAsia" w:ascii="宋体" w:hAnsi="宋体"/>
          <w:b/>
          <w:sz w:val="24"/>
          <w:szCs w:val="21"/>
          <w:lang w:val="zh-CN"/>
        </w:rPr>
        <w:t>项目编号：</w:t>
      </w:r>
      <w:r>
        <w:rPr>
          <w:rFonts w:hint="eastAsia" w:ascii="宋体" w:hAnsi="宋体"/>
          <w:b/>
          <w:bCs/>
          <w:sz w:val="24"/>
          <w:szCs w:val="21"/>
          <w:lang w:val="zh-CN"/>
        </w:rPr>
        <w:t>所投包号：</w:t>
      </w:r>
    </w:p>
    <w:tbl>
      <w:tblPr>
        <w:tblStyle w:val="28"/>
        <w:tblW w:w="951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9"/>
        <w:gridCol w:w="2389"/>
        <w:gridCol w:w="3227"/>
        <w:gridCol w:w="1256"/>
        <w:gridCol w:w="1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659" w:type="dxa"/>
            <w:shd w:val="clear" w:color="auto" w:fill="F2F2F2"/>
            <w:vAlign w:val="center"/>
          </w:tcPr>
          <w:p>
            <w:pPr>
              <w:ind w:left="-37" w:leftChars="-18" w:right="-48" w:rightChars="-23"/>
              <w:jc w:val="center"/>
              <w:rPr>
                <w:rFonts w:ascii="宋体" w:cs="仿宋_GB2312"/>
                <w:sz w:val="24"/>
                <w:szCs w:val="24"/>
              </w:rPr>
            </w:pPr>
            <w:r>
              <w:rPr>
                <w:rFonts w:hint="eastAsia" w:ascii="宋体" w:hAnsi="宋体" w:cs="仿宋_GB2312"/>
                <w:sz w:val="24"/>
                <w:szCs w:val="24"/>
              </w:rPr>
              <w:t>序号</w:t>
            </w:r>
          </w:p>
        </w:tc>
        <w:tc>
          <w:tcPr>
            <w:tcW w:w="2389" w:type="dxa"/>
            <w:shd w:val="clear" w:color="auto" w:fill="F2F2F2"/>
            <w:vAlign w:val="center"/>
          </w:tcPr>
          <w:p>
            <w:pPr>
              <w:jc w:val="center"/>
              <w:rPr>
                <w:rFonts w:ascii="宋体" w:cs="仿宋_GB2312"/>
                <w:sz w:val="24"/>
                <w:szCs w:val="24"/>
              </w:rPr>
            </w:pPr>
            <w:r>
              <w:rPr>
                <w:rFonts w:hint="eastAsia" w:ascii="宋体" w:hAnsi="宋体" w:cs="仿宋_GB2312"/>
                <w:sz w:val="24"/>
                <w:szCs w:val="24"/>
              </w:rPr>
              <w:t>招标文件技术、服务评分标准</w:t>
            </w:r>
          </w:p>
        </w:tc>
        <w:tc>
          <w:tcPr>
            <w:tcW w:w="3227" w:type="dxa"/>
            <w:shd w:val="clear" w:color="auto" w:fill="F2F2F2"/>
            <w:vAlign w:val="center"/>
          </w:tcPr>
          <w:p>
            <w:pPr>
              <w:jc w:val="center"/>
              <w:rPr>
                <w:rFonts w:ascii="宋体" w:cs="仿宋_GB2312"/>
                <w:sz w:val="24"/>
                <w:szCs w:val="24"/>
              </w:rPr>
            </w:pPr>
            <w:r>
              <w:rPr>
                <w:rFonts w:hint="eastAsia" w:ascii="宋体" w:hAnsi="宋体" w:cs="仿宋_GB2312"/>
                <w:sz w:val="24"/>
                <w:szCs w:val="24"/>
              </w:rPr>
              <w:t>投标响应内容对应简述</w:t>
            </w:r>
          </w:p>
        </w:tc>
        <w:tc>
          <w:tcPr>
            <w:tcW w:w="1256" w:type="dxa"/>
            <w:shd w:val="clear" w:color="auto" w:fill="F2F2F2"/>
            <w:vAlign w:val="center"/>
          </w:tcPr>
          <w:p>
            <w:pPr>
              <w:jc w:val="center"/>
              <w:rPr>
                <w:rFonts w:ascii="宋体" w:cs="仿宋_GB2312"/>
                <w:sz w:val="24"/>
                <w:szCs w:val="24"/>
              </w:rPr>
            </w:pPr>
            <w:r>
              <w:rPr>
                <w:rFonts w:hint="eastAsia" w:ascii="宋体" w:hAnsi="宋体" w:cs="仿宋_GB2312"/>
                <w:sz w:val="24"/>
                <w:szCs w:val="24"/>
              </w:rPr>
              <w:t>偏离说明</w:t>
            </w:r>
          </w:p>
        </w:tc>
        <w:tc>
          <w:tcPr>
            <w:tcW w:w="1983" w:type="dxa"/>
            <w:shd w:val="clear" w:color="auto" w:fill="F2F2F2"/>
          </w:tcPr>
          <w:p>
            <w:pPr>
              <w:jc w:val="center"/>
              <w:rPr>
                <w:rFonts w:ascii="宋体" w:cs="仿宋_GB2312"/>
                <w:sz w:val="24"/>
                <w:szCs w:val="24"/>
              </w:rPr>
            </w:pPr>
            <w:r>
              <w:rPr>
                <w:rFonts w:hint="eastAsia" w:ascii="宋体" w:hAnsi="宋体" w:cs="仿宋_GB2312"/>
                <w:sz w:val="24"/>
                <w:szCs w:val="24"/>
              </w:rPr>
              <w:t>投标文件对应的页码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659" w:type="dxa"/>
            <w:vAlign w:val="center"/>
          </w:tcPr>
          <w:p>
            <w:pPr>
              <w:numPr>
                <w:ilvl w:val="0"/>
                <w:numId w:val="65"/>
              </w:numPr>
              <w:jc w:val="center"/>
              <w:rPr>
                <w:rFonts w:ascii="宋体" w:cs="仿宋_GB2312"/>
                <w:sz w:val="24"/>
                <w:szCs w:val="24"/>
              </w:rPr>
            </w:pPr>
          </w:p>
        </w:tc>
        <w:tc>
          <w:tcPr>
            <w:tcW w:w="2389" w:type="dxa"/>
            <w:vAlign w:val="center"/>
          </w:tcPr>
          <w:p>
            <w:pPr>
              <w:jc w:val="center"/>
              <w:rPr>
                <w:rFonts w:ascii="宋体" w:cs="仿宋_GB2312"/>
                <w:sz w:val="24"/>
                <w:szCs w:val="24"/>
              </w:rPr>
            </w:pPr>
          </w:p>
        </w:tc>
        <w:tc>
          <w:tcPr>
            <w:tcW w:w="3227" w:type="dxa"/>
            <w:vAlign w:val="center"/>
          </w:tcPr>
          <w:p>
            <w:pPr>
              <w:jc w:val="center"/>
              <w:rPr>
                <w:rFonts w:ascii="宋体" w:cs="仿宋_GB2312"/>
                <w:sz w:val="24"/>
                <w:szCs w:val="24"/>
              </w:rPr>
            </w:pPr>
          </w:p>
        </w:tc>
        <w:tc>
          <w:tcPr>
            <w:tcW w:w="1256" w:type="dxa"/>
            <w:vAlign w:val="center"/>
          </w:tcPr>
          <w:p>
            <w:pPr>
              <w:jc w:val="center"/>
              <w:rPr>
                <w:rFonts w:ascii="宋体" w:cs="仿宋_GB2312"/>
                <w:sz w:val="24"/>
                <w:szCs w:val="24"/>
              </w:rPr>
            </w:pPr>
          </w:p>
        </w:tc>
        <w:tc>
          <w:tcPr>
            <w:tcW w:w="1983"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659" w:type="dxa"/>
            <w:vAlign w:val="center"/>
          </w:tcPr>
          <w:p>
            <w:pPr>
              <w:numPr>
                <w:ilvl w:val="0"/>
                <w:numId w:val="65"/>
              </w:numPr>
              <w:jc w:val="center"/>
              <w:rPr>
                <w:rFonts w:ascii="宋体" w:cs="仿宋_GB2312"/>
                <w:sz w:val="24"/>
                <w:szCs w:val="24"/>
              </w:rPr>
            </w:pPr>
          </w:p>
        </w:tc>
        <w:tc>
          <w:tcPr>
            <w:tcW w:w="2389" w:type="dxa"/>
            <w:vAlign w:val="center"/>
          </w:tcPr>
          <w:p>
            <w:pPr>
              <w:jc w:val="center"/>
              <w:rPr>
                <w:rFonts w:ascii="宋体" w:cs="仿宋_GB2312"/>
                <w:sz w:val="24"/>
                <w:szCs w:val="24"/>
              </w:rPr>
            </w:pPr>
          </w:p>
        </w:tc>
        <w:tc>
          <w:tcPr>
            <w:tcW w:w="3227" w:type="dxa"/>
            <w:vAlign w:val="center"/>
          </w:tcPr>
          <w:p>
            <w:pPr>
              <w:jc w:val="center"/>
              <w:rPr>
                <w:rFonts w:ascii="宋体" w:cs="仿宋_GB2312"/>
                <w:sz w:val="24"/>
                <w:szCs w:val="24"/>
              </w:rPr>
            </w:pPr>
          </w:p>
        </w:tc>
        <w:tc>
          <w:tcPr>
            <w:tcW w:w="1256" w:type="dxa"/>
            <w:vAlign w:val="center"/>
          </w:tcPr>
          <w:p>
            <w:pPr>
              <w:jc w:val="center"/>
              <w:rPr>
                <w:rFonts w:ascii="宋体" w:cs="仿宋_GB2312"/>
                <w:sz w:val="24"/>
                <w:szCs w:val="24"/>
              </w:rPr>
            </w:pPr>
          </w:p>
        </w:tc>
        <w:tc>
          <w:tcPr>
            <w:tcW w:w="1983"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659" w:type="dxa"/>
            <w:vAlign w:val="center"/>
          </w:tcPr>
          <w:p>
            <w:pPr>
              <w:numPr>
                <w:ilvl w:val="0"/>
                <w:numId w:val="65"/>
              </w:numPr>
              <w:jc w:val="center"/>
              <w:rPr>
                <w:rFonts w:ascii="宋体" w:cs="仿宋_GB2312"/>
                <w:sz w:val="24"/>
                <w:szCs w:val="24"/>
              </w:rPr>
            </w:pPr>
          </w:p>
        </w:tc>
        <w:tc>
          <w:tcPr>
            <w:tcW w:w="2389" w:type="dxa"/>
            <w:vAlign w:val="center"/>
          </w:tcPr>
          <w:p>
            <w:pPr>
              <w:jc w:val="center"/>
              <w:rPr>
                <w:rFonts w:ascii="宋体" w:cs="仿宋_GB2312"/>
                <w:sz w:val="24"/>
                <w:szCs w:val="24"/>
              </w:rPr>
            </w:pPr>
          </w:p>
        </w:tc>
        <w:tc>
          <w:tcPr>
            <w:tcW w:w="3227" w:type="dxa"/>
            <w:vAlign w:val="center"/>
          </w:tcPr>
          <w:p>
            <w:pPr>
              <w:jc w:val="center"/>
              <w:rPr>
                <w:rFonts w:ascii="宋体" w:cs="仿宋_GB2312"/>
                <w:sz w:val="24"/>
                <w:szCs w:val="24"/>
              </w:rPr>
            </w:pPr>
          </w:p>
        </w:tc>
        <w:tc>
          <w:tcPr>
            <w:tcW w:w="1256" w:type="dxa"/>
            <w:vAlign w:val="center"/>
          </w:tcPr>
          <w:p>
            <w:pPr>
              <w:jc w:val="center"/>
              <w:rPr>
                <w:rFonts w:ascii="宋体" w:cs="仿宋_GB2312"/>
                <w:sz w:val="24"/>
                <w:szCs w:val="24"/>
              </w:rPr>
            </w:pPr>
          </w:p>
        </w:tc>
        <w:tc>
          <w:tcPr>
            <w:tcW w:w="1983"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659" w:type="dxa"/>
            <w:vAlign w:val="center"/>
          </w:tcPr>
          <w:p>
            <w:pPr>
              <w:numPr>
                <w:ilvl w:val="0"/>
                <w:numId w:val="65"/>
              </w:numPr>
              <w:jc w:val="center"/>
              <w:rPr>
                <w:rFonts w:ascii="宋体" w:cs="仿宋_GB2312"/>
                <w:sz w:val="24"/>
                <w:szCs w:val="24"/>
              </w:rPr>
            </w:pPr>
          </w:p>
        </w:tc>
        <w:tc>
          <w:tcPr>
            <w:tcW w:w="2389" w:type="dxa"/>
            <w:vAlign w:val="center"/>
          </w:tcPr>
          <w:p>
            <w:pPr>
              <w:jc w:val="center"/>
              <w:rPr>
                <w:rFonts w:ascii="宋体" w:cs="仿宋_GB2312"/>
                <w:sz w:val="24"/>
                <w:szCs w:val="24"/>
              </w:rPr>
            </w:pPr>
          </w:p>
        </w:tc>
        <w:tc>
          <w:tcPr>
            <w:tcW w:w="3227" w:type="dxa"/>
            <w:vAlign w:val="center"/>
          </w:tcPr>
          <w:p>
            <w:pPr>
              <w:jc w:val="center"/>
              <w:rPr>
                <w:rFonts w:ascii="宋体" w:cs="仿宋_GB2312"/>
                <w:sz w:val="24"/>
                <w:szCs w:val="24"/>
              </w:rPr>
            </w:pPr>
          </w:p>
        </w:tc>
        <w:tc>
          <w:tcPr>
            <w:tcW w:w="1256" w:type="dxa"/>
            <w:vAlign w:val="center"/>
          </w:tcPr>
          <w:p>
            <w:pPr>
              <w:jc w:val="center"/>
              <w:rPr>
                <w:rFonts w:ascii="宋体" w:cs="仿宋_GB2312"/>
                <w:sz w:val="24"/>
                <w:szCs w:val="24"/>
              </w:rPr>
            </w:pPr>
          </w:p>
        </w:tc>
        <w:tc>
          <w:tcPr>
            <w:tcW w:w="1983"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659" w:type="dxa"/>
            <w:vAlign w:val="center"/>
          </w:tcPr>
          <w:p>
            <w:pPr>
              <w:numPr>
                <w:ilvl w:val="0"/>
                <w:numId w:val="65"/>
              </w:numPr>
              <w:jc w:val="center"/>
              <w:rPr>
                <w:rFonts w:ascii="宋体" w:cs="仿宋_GB2312"/>
                <w:sz w:val="24"/>
                <w:szCs w:val="24"/>
              </w:rPr>
            </w:pPr>
          </w:p>
        </w:tc>
        <w:tc>
          <w:tcPr>
            <w:tcW w:w="2389" w:type="dxa"/>
            <w:vAlign w:val="center"/>
          </w:tcPr>
          <w:p>
            <w:pPr>
              <w:jc w:val="center"/>
              <w:rPr>
                <w:rFonts w:ascii="宋体" w:cs="仿宋_GB2312"/>
                <w:sz w:val="24"/>
                <w:szCs w:val="24"/>
              </w:rPr>
            </w:pPr>
          </w:p>
        </w:tc>
        <w:tc>
          <w:tcPr>
            <w:tcW w:w="3227" w:type="dxa"/>
            <w:vAlign w:val="center"/>
          </w:tcPr>
          <w:p>
            <w:pPr>
              <w:jc w:val="center"/>
              <w:rPr>
                <w:rFonts w:ascii="宋体" w:cs="仿宋_GB2312"/>
                <w:sz w:val="24"/>
                <w:szCs w:val="24"/>
              </w:rPr>
            </w:pPr>
          </w:p>
        </w:tc>
        <w:tc>
          <w:tcPr>
            <w:tcW w:w="1256" w:type="dxa"/>
            <w:vAlign w:val="center"/>
          </w:tcPr>
          <w:p>
            <w:pPr>
              <w:jc w:val="center"/>
              <w:rPr>
                <w:rFonts w:ascii="宋体" w:cs="仿宋_GB2312"/>
                <w:sz w:val="24"/>
                <w:szCs w:val="24"/>
              </w:rPr>
            </w:pPr>
          </w:p>
        </w:tc>
        <w:tc>
          <w:tcPr>
            <w:tcW w:w="1983"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trPr>
        <w:tc>
          <w:tcPr>
            <w:tcW w:w="659" w:type="dxa"/>
            <w:vAlign w:val="center"/>
          </w:tcPr>
          <w:p>
            <w:pPr>
              <w:numPr>
                <w:ilvl w:val="0"/>
                <w:numId w:val="65"/>
              </w:numPr>
              <w:jc w:val="center"/>
              <w:rPr>
                <w:rFonts w:ascii="宋体" w:cs="仿宋_GB2312"/>
                <w:sz w:val="24"/>
                <w:szCs w:val="24"/>
              </w:rPr>
            </w:pPr>
          </w:p>
        </w:tc>
        <w:tc>
          <w:tcPr>
            <w:tcW w:w="2389" w:type="dxa"/>
            <w:vAlign w:val="center"/>
          </w:tcPr>
          <w:p>
            <w:pPr>
              <w:jc w:val="center"/>
              <w:rPr>
                <w:rFonts w:ascii="宋体" w:cs="仿宋_GB2312"/>
                <w:sz w:val="24"/>
                <w:szCs w:val="24"/>
              </w:rPr>
            </w:pPr>
          </w:p>
        </w:tc>
        <w:tc>
          <w:tcPr>
            <w:tcW w:w="3227" w:type="dxa"/>
            <w:vAlign w:val="center"/>
          </w:tcPr>
          <w:p>
            <w:pPr>
              <w:jc w:val="center"/>
              <w:rPr>
                <w:rFonts w:ascii="宋体" w:cs="仿宋_GB2312"/>
                <w:sz w:val="24"/>
                <w:szCs w:val="24"/>
              </w:rPr>
            </w:pPr>
          </w:p>
        </w:tc>
        <w:tc>
          <w:tcPr>
            <w:tcW w:w="1256" w:type="dxa"/>
            <w:vAlign w:val="center"/>
          </w:tcPr>
          <w:p>
            <w:pPr>
              <w:jc w:val="center"/>
              <w:rPr>
                <w:rFonts w:ascii="宋体" w:cs="仿宋_GB2312"/>
                <w:sz w:val="24"/>
                <w:szCs w:val="24"/>
              </w:rPr>
            </w:pPr>
          </w:p>
        </w:tc>
        <w:tc>
          <w:tcPr>
            <w:tcW w:w="1983" w:type="dxa"/>
            <w:vAlign w:val="center"/>
          </w:tcPr>
          <w:p>
            <w:pPr>
              <w:jc w:val="center"/>
              <w:rPr>
                <w:rFonts w:ascii="宋体"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752" w:hRule="atLeast"/>
        </w:trPr>
        <w:tc>
          <w:tcPr>
            <w:tcW w:w="659" w:type="dxa"/>
            <w:vAlign w:val="center"/>
          </w:tcPr>
          <w:p>
            <w:pPr>
              <w:jc w:val="center"/>
              <w:rPr>
                <w:rFonts w:ascii="宋体" w:cs="仿宋_GB2312"/>
                <w:sz w:val="24"/>
                <w:szCs w:val="24"/>
              </w:rPr>
            </w:pPr>
            <w:r>
              <w:rPr>
                <w:rFonts w:hint="eastAsia" w:ascii="宋体" w:hAnsi="宋体" w:cs="仿宋_GB2312"/>
                <w:sz w:val="24"/>
                <w:szCs w:val="24"/>
              </w:rPr>
              <w:t>…</w:t>
            </w:r>
          </w:p>
        </w:tc>
        <w:tc>
          <w:tcPr>
            <w:tcW w:w="2389" w:type="dxa"/>
            <w:vAlign w:val="center"/>
          </w:tcPr>
          <w:p>
            <w:pPr>
              <w:jc w:val="center"/>
              <w:rPr>
                <w:rFonts w:ascii="宋体" w:cs="仿宋_GB2312"/>
                <w:sz w:val="24"/>
                <w:szCs w:val="24"/>
              </w:rPr>
            </w:pPr>
          </w:p>
        </w:tc>
        <w:tc>
          <w:tcPr>
            <w:tcW w:w="3227" w:type="dxa"/>
            <w:vAlign w:val="center"/>
          </w:tcPr>
          <w:p>
            <w:pPr>
              <w:jc w:val="center"/>
              <w:rPr>
                <w:rFonts w:ascii="宋体" w:cs="仿宋_GB2312"/>
                <w:sz w:val="24"/>
                <w:szCs w:val="24"/>
              </w:rPr>
            </w:pPr>
          </w:p>
        </w:tc>
        <w:tc>
          <w:tcPr>
            <w:tcW w:w="1256" w:type="dxa"/>
            <w:vAlign w:val="center"/>
          </w:tcPr>
          <w:p>
            <w:pPr>
              <w:jc w:val="center"/>
              <w:rPr>
                <w:rFonts w:ascii="宋体" w:cs="仿宋_GB2312"/>
                <w:sz w:val="24"/>
                <w:szCs w:val="24"/>
              </w:rPr>
            </w:pPr>
          </w:p>
        </w:tc>
        <w:tc>
          <w:tcPr>
            <w:tcW w:w="1983" w:type="dxa"/>
            <w:vAlign w:val="center"/>
          </w:tcPr>
          <w:p>
            <w:pPr>
              <w:jc w:val="center"/>
              <w:rPr>
                <w:rFonts w:ascii="宋体" w:cs="仿宋_GB2312"/>
                <w:sz w:val="24"/>
                <w:szCs w:val="24"/>
              </w:rPr>
            </w:pPr>
          </w:p>
        </w:tc>
      </w:tr>
    </w:tbl>
    <w:p>
      <w:pPr>
        <w:spacing w:line="360" w:lineRule="auto"/>
        <w:ind w:left="1092" w:hanging="1092" w:hangingChars="455"/>
        <w:jc w:val="left"/>
        <w:rPr>
          <w:rFonts w:ascii="宋体" w:cs="Corbel"/>
          <w:sz w:val="24"/>
          <w:szCs w:val="24"/>
        </w:rPr>
      </w:pPr>
      <w:r>
        <w:rPr>
          <w:rFonts w:hint="eastAsia" w:ascii="宋体" w:hAnsi="宋体" w:cs="Corbel"/>
          <w:sz w:val="24"/>
          <w:szCs w:val="24"/>
        </w:rPr>
        <w:t>说明：</w:t>
      </w:r>
      <w:r>
        <w:rPr>
          <w:rFonts w:ascii="宋体" w:hAnsi="宋体" w:cs="Corbel"/>
          <w:sz w:val="24"/>
          <w:szCs w:val="24"/>
        </w:rPr>
        <w:t>1</w:t>
      </w:r>
      <w:r>
        <w:rPr>
          <w:rFonts w:hint="eastAsia" w:ascii="宋体" w:hAnsi="宋体" w:cs="Corbel"/>
          <w:sz w:val="24"/>
          <w:szCs w:val="24"/>
        </w:rPr>
        <w:t>．投标人应按招标文件第五章“评标方法、程序及标准”中“技术、服务评议”的评分标准逐项说明是否满足要求，如有偏离</w:t>
      </w:r>
      <w:r>
        <w:rPr>
          <w:rFonts w:ascii="宋体" w:cs="Corbel"/>
          <w:sz w:val="24"/>
          <w:szCs w:val="24"/>
        </w:rPr>
        <w:t>,</w:t>
      </w:r>
      <w:r>
        <w:rPr>
          <w:rFonts w:hint="eastAsia" w:ascii="宋体" w:hAnsi="宋体" w:cs="Corbel"/>
          <w:sz w:val="24"/>
          <w:szCs w:val="24"/>
        </w:rPr>
        <w:t>投标人应详细说明。未按照要求填写此表或仅注明“符合”、“满足”的，</w:t>
      </w:r>
      <w:r>
        <w:rPr>
          <w:rFonts w:hint="eastAsia" w:ascii="宋体" w:hAnsi="宋体"/>
          <w:sz w:val="24"/>
          <w:szCs w:val="24"/>
        </w:rPr>
        <w:t>导致的后果由投标人自行承担。</w:t>
      </w:r>
    </w:p>
    <w:p>
      <w:pPr>
        <w:spacing w:line="360" w:lineRule="auto"/>
        <w:ind w:left="1006" w:leftChars="306" w:hanging="364" w:hangingChars="152"/>
        <w:jc w:val="left"/>
        <w:rPr>
          <w:rFonts w:ascii="宋体" w:cs="Corbel"/>
          <w:sz w:val="24"/>
          <w:szCs w:val="24"/>
        </w:rPr>
      </w:pPr>
      <w:r>
        <w:rPr>
          <w:rFonts w:ascii="宋体" w:hAnsi="宋体" w:cs="Corbel"/>
          <w:sz w:val="24"/>
          <w:szCs w:val="24"/>
        </w:rPr>
        <w:t>2</w:t>
      </w:r>
      <w:r>
        <w:rPr>
          <w:rFonts w:hint="eastAsia" w:ascii="宋体" w:hAnsi="宋体" w:cs="Corbel"/>
          <w:sz w:val="24"/>
          <w:szCs w:val="24"/>
        </w:rPr>
        <w:t>．投标人提供的相关证明文件对应的页码填写到上表“投标文件对应的页码”中。如未提供页码或内容页码完全不一致的，</w:t>
      </w:r>
      <w:r>
        <w:rPr>
          <w:rFonts w:hint="eastAsia" w:ascii="宋体" w:hAnsi="宋体"/>
          <w:sz w:val="24"/>
          <w:szCs w:val="24"/>
        </w:rPr>
        <w:t>导致的后果由投标人自行承担。</w:t>
      </w:r>
    </w:p>
    <w:p>
      <w:pPr>
        <w:adjustRightInd w:val="0"/>
        <w:snapToGrid w:val="0"/>
        <w:spacing w:line="300" w:lineRule="auto"/>
        <w:ind w:left="720" w:hanging="720" w:hangingChars="300"/>
        <w:rPr>
          <w:rFonts w:ascii="宋体" w:cs="Corbel"/>
          <w:sz w:val="24"/>
          <w:szCs w:val="24"/>
        </w:rPr>
      </w:pPr>
    </w:p>
    <w:p>
      <w:pPr>
        <w:spacing w:before="100" w:beforeAutospacing="1" w:after="100" w:afterAutospacing="1" w:line="360" w:lineRule="auto"/>
        <w:ind w:firstLine="3316" w:firstLineChars="1382"/>
        <w:rPr>
          <w:rFonts w:hAnsi="宋体"/>
          <w:b/>
          <w:bCs/>
          <w:sz w:val="24"/>
          <w:u w:val="single"/>
        </w:rPr>
      </w:pPr>
      <w:r>
        <w:rPr>
          <w:rFonts w:hint="eastAsia" w:hAnsi="宋体"/>
          <w:b/>
          <w:bCs/>
          <w:sz w:val="24"/>
        </w:rPr>
        <w:t>投标人（公章）：</w:t>
      </w:r>
    </w:p>
    <w:p>
      <w:pPr>
        <w:spacing w:before="100" w:beforeAutospacing="1" w:after="100" w:afterAutospacing="1" w:line="360" w:lineRule="auto"/>
        <w:ind w:firstLine="3316" w:firstLineChars="1382"/>
        <w:rPr>
          <w:rFonts w:hAnsi="宋体"/>
          <w:b/>
          <w:bCs/>
          <w:sz w:val="24"/>
          <w:u w:val="single"/>
        </w:rPr>
      </w:pPr>
      <w:r>
        <w:rPr>
          <w:rFonts w:hint="eastAsia" w:ascii="宋体" w:hAnsi="宋体"/>
          <w:b/>
          <w:bCs/>
          <w:sz w:val="24"/>
          <w:szCs w:val="21"/>
          <w:lang w:val="zh-CN"/>
        </w:rPr>
        <w:t>投标人</w:t>
      </w:r>
      <w:r>
        <w:rPr>
          <w:rFonts w:hint="eastAsia" w:hAnsi="宋体"/>
          <w:b/>
          <w:bCs/>
          <w:sz w:val="24"/>
        </w:rPr>
        <w:t>授权代表（签字）：</w:t>
      </w:r>
    </w:p>
    <w:p>
      <w:pPr>
        <w:spacing w:before="100" w:beforeAutospacing="1" w:after="100" w:afterAutospacing="1" w:line="360" w:lineRule="auto"/>
        <w:ind w:firstLine="3316" w:firstLineChars="1382"/>
      </w:pPr>
      <w:r>
        <w:rPr>
          <w:rFonts w:hint="eastAsia" w:ascii="宋体" w:hAnsi="宋体"/>
          <w:b/>
          <w:bCs/>
          <w:sz w:val="24"/>
          <w:szCs w:val="21"/>
          <w:lang w:val="zh-CN"/>
        </w:rPr>
        <w:t>投标</w:t>
      </w:r>
      <w:r>
        <w:rPr>
          <w:rFonts w:hint="eastAsia" w:hAnsi="宋体"/>
          <w:b/>
          <w:bCs/>
          <w:sz w:val="24"/>
        </w:rPr>
        <w:t>时间：</w:t>
      </w:r>
    </w:p>
    <w:p/>
    <w:sectPr>
      <w:pgSz w:w="11906" w:h="16838"/>
      <w:pgMar w:top="1134" w:right="1191" w:bottom="1134" w:left="1191" w:header="851" w:footer="851" w:gutter="0"/>
      <w:cols w:space="425"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Helvetica">
    <w:altName w:val="Arial"/>
    <w:panose1 w:val="020B0604020202020204"/>
    <w:charset w:val="00"/>
    <w:family w:val="swiss"/>
    <w:pitch w:val="default"/>
    <w:sig w:usb0="00000000" w:usb1="00000000" w:usb2="00000009" w:usb3="00000000" w:csb0="000001FF"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MS Gothic">
    <w:panose1 w:val="020B0609070205080204"/>
    <w:charset w:val="80"/>
    <w:family w:val="modern"/>
    <w:pitch w:val="default"/>
    <w:sig w:usb0="E00002FF" w:usb1="6AC7FDFB" w:usb2="08000012" w:usb3="00000000" w:csb0="4002009F" w:csb1="DFD70000"/>
  </w:font>
  <w:font w:name="Corbel">
    <w:panose1 w:val="020B0503020204020204"/>
    <w:charset w:val="00"/>
    <w:family w:val="swiss"/>
    <w:pitch w:val="default"/>
    <w:sig w:usb0="A00002EF" w:usb1="4000A44B"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20358"/>
    </w:sdtPr>
    <w:sdtContent>
      <w:sdt>
        <w:sdtPr>
          <w:id w:val="171357217"/>
        </w:sdtPr>
        <w:sdtContent>
          <w:p>
            <w:pPr>
              <w:pStyle w:val="20"/>
              <w:jc w:val="center"/>
            </w:pPr>
            <w:r>
              <w:rPr>
                <w:b/>
                <w:sz w:val="24"/>
                <w:szCs w:val="24"/>
              </w:rPr>
              <w:fldChar w:fldCharType="begin"/>
            </w:r>
            <w:r>
              <w:rPr>
                <w:b/>
              </w:rPr>
              <w:instrText xml:space="preserve">PAGE</w:instrText>
            </w:r>
            <w:r>
              <w:rPr>
                <w:b/>
                <w:sz w:val="24"/>
                <w:szCs w:val="24"/>
              </w:rPr>
              <w:fldChar w:fldCharType="separate"/>
            </w:r>
            <w:r>
              <w:rPr>
                <w:b/>
              </w:rPr>
              <w:t>2</w:t>
            </w:r>
            <w:r>
              <w:rPr>
                <w:b/>
                <w:sz w:val="24"/>
                <w:szCs w:val="24"/>
              </w:rPr>
              <w:fldChar w:fldCharType="end"/>
            </w:r>
          </w:p>
        </w:sdtContent>
      </w:sdt>
    </w:sdtContent>
  </w:sdt>
  <w:p>
    <w:pPr>
      <w:pStyle w:val="20"/>
      <w:pBdr>
        <w:top w:val="single" w:color="000000" w:sz="4" w:space="1"/>
      </w:pBdr>
      <w:tabs>
        <w:tab w:val="clear" w:pos="4153"/>
        <w:tab w:val="clear" w:pos="8306"/>
      </w:tabs>
      <w:ind w:right="-9"/>
      <w:jc w:val="center"/>
      <w:rPr>
        <w:rFonts w:ascii="宋体"/>
        <w:b/>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221178"/>
    </w:sdtPr>
    <w:sdtContent>
      <w:sdt>
        <w:sdtPr>
          <w:id w:val="17221179"/>
        </w:sdtPr>
        <w:sdtContent>
          <w:p>
            <w:pPr>
              <w:pStyle w:val="20"/>
              <w:jc w:val="center"/>
            </w:pPr>
            <w:r>
              <w:rPr>
                <w:b/>
                <w:sz w:val="24"/>
                <w:szCs w:val="24"/>
              </w:rPr>
              <w:fldChar w:fldCharType="begin"/>
            </w:r>
            <w:r>
              <w:rPr>
                <w:b/>
              </w:rPr>
              <w:instrText xml:space="preserve">PAGE</w:instrText>
            </w:r>
            <w:r>
              <w:rPr>
                <w:b/>
                <w:sz w:val="24"/>
                <w:szCs w:val="24"/>
              </w:rPr>
              <w:fldChar w:fldCharType="separate"/>
            </w:r>
            <w:r>
              <w:rPr>
                <w:b/>
              </w:rPr>
              <w:t>80</w:t>
            </w:r>
            <w:r>
              <w:rPr>
                <w:b/>
                <w:sz w:val="24"/>
                <w:szCs w:val="24"/>
              </w:rPr>
              <w:fldChar w:fldCharType="end"/>
            </w:r>
          </w:p>
        </w:sdtContent>
      </w:sdt>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tabs>
        <w:tab w:val="clear" w:pos="4153"/>
      </w:tabs>
      <w:jc w:val="left"/>
      <w:rPr>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6A8489A"/>
    <w:multiLevelType w:val="singleLevel"/>
    <w:tmpl w:val="E6A8489A"/>
    <w:lvl w:ilvl="0" w:tentative="0">
      <w:start w:val="1"/>
      <w:numFmt w:val="chineseCounting"/>
      <w:suff w:val="nothing"/>
      <w:lvlText w:val="%1、"/>
      <w:lvlJc w:val="left"/>
      <w:rPr>
        <w:rFonts w:hint="eastAsia"/>
      </w:rPr>
    </w:lvl>
  </w:abstractNum>
  <w:abstractNum w:abstractNumId="1">
    <w:nsid w:val="00317788"/>
    <w:multiLevelType w:val="multilevel"/>
    <w:tmpl w:val="00317788"/>
    <w:lvl w:ilvl="0" w:tentative="0">
      <w:start w:val="1"/>
      <w:numFmt w:val="decimal"/>
      <w:lvlText w:val="3.%1 "/>
      <w:lvlJc w:val="left"/>
      <w:pPr>
        <w:ind w:left="3681" w:hanging="420"/>
      </w:pPr>
      <w:rPr>
        <w:rFonts w:hint="default" w:ascii="仿宋" w:hAnsi="仿宋" w:eastAsia="仿宋" w:cs="Times New Roman"/>
        <w:b w:val="0"/>
        <w:strike w:val="0"/>
        <w:color w:val="auto"/>
      </w:rPr>
    </w:lvl>
    <w:lvl w:ilvl="1" w:tentative="0">
      <w:start w:val="1"/>
      <w:numFmt w:val="lowerLetter"/>
      <w:lvlText w:val="%2)"/>
      <w:lvlJc w:val="left"/>
      <w:pPr>
        <w:ind w:left="3643" w:hanging="420"/>
      </w:pPr>
      <w:rPr>
        <w:rFonts w:cs="Times New Roman"/>
      </w:rPr>
    </w:lvl>
    <w:lvl w:ilvl="2" w:tentative="0">
      <w:start w:val="1"/>
      <w:numFmt w:val="lowerRoman"/>
      <w:lvlText w:val="%3."/>
      <w:lvlJc w:val="right"/>
      <w:pPr>
        <w:ind w:left="4063" w:hanging="420"/>
      </w:pPr>
      <w:rPr>
        <w:rFonts w:cs="Times New Roman"/>
      </w:rPr>
    </w:lvl>
    <w:lvl w:ilvl="3" w:tentative="0">
      <w:start w:val="1"/>
      <w:numFmt w:val="decimal"/>
      <w:lvlText w:val="%4."/>
      <w:lvlJc w:val="left"/>
      <w:pPr>
        <w:ind w:left="4483" w:hanging="420"/>
      </w:pPr>
      <w:rPr>
        <w:rFonts w:cs="Times New Roman"/>
      </w:rPr>
    </w:lvl>
    <w:lvl w:ilvl="4" w:tentative="0">
      <w:start w:val="1"/>
      <w:numFmt w:val="lowerLetter"/>
      <w:lvlText w:val="%5)"/>
      <w:lvlJc w:val="left"/>
      <w:pPr>
        <w:ind w:left="4903" w:hanging="420"/>
      </w:pPr>
      <w:rPr>
        <w:rFonts w:cs="Times New Roman"/>
      </w:rPr>
    </w:lvl>
    <w:lvl w:ilvl="5" w:tentative="0">
      <w:start w:val="1"/>
      <w:numFmt w:val="lowerRoman"/>
      <w:lvlText w:val="%6."/>
      <w:lvlJc w:val="right"/>
      <w:pPr>
        <w:ind w:left="5323" w:hanging="420"/>
      </w:pPr>
      <w:rPr>
        <w:rFonts w:cs="Times New Roman"/>
      </w:rPr>
    </w:lvl>
    <w:lvl w:ilvl="6" w:tentative="0">
      <w:start w:val="1"/>
      <w:numFmt w:val="decimal"/>
      <w:lvlText w:val="%7."/>
      <w:lvlJc w:val="left"/>
      <w:pPr>
        <w:ind w:left="5743" w:hanging="420"/>
      </w:pPr>
      <w:rPr>
        <w:rFonts w:cs="Times New Roman"/>
      </w:rPr>
    </w:lvl>
    <w:lvl w:ilvl="7" w:tentative="0">
      <w:start w:val="1"/>
      <w:numFmt w:val="lowerLetter"/>
      <w:lvlText w:val="%8)"/>
      <w:lvlJc w:val="left"/>
      <w:pPr>
        <w:ind w:left="6163" w:hanging="420"/>
      </w:pPr>
      <w:rPr>
        <w:rFonts w:cs="Times New Roman"/>
      </w:rPr>
    </w:lvl>
    <w:lvl w:ilvl="8" w:tentative="0">
      <w:start w:val="1"/>
      <w:numFmt w:val="lowerRoman"/>
      <w:lvlText w:val="%9."/>
      <w:lvlJc w:val="right"/>
      <w:pPr>
        <w:ind w:left="6583" w:hanging="420"/>
      </w:pPr>
      <w:rPr>
        <w:rFonts w:cs="Times New Roman"/>
      </w:rPr>
    </w:lvl>
  </w:abstractNum>
  <w:abstractNum w:abstractNumId="2">
    <w:nsid w:val="0068509E"/>
    <w:multiLevelType w:val="multilevel"/>
    <w:tmpl w:val="0068509E"/>
    <w:lvl w:ilvl="0" w:tentative="0">
      <w:start w:val="1"/>
      <w:numFmt w:val="decimal"/>
      <w:lvlText w:val="35.%1"/>
      <w:lvlJc w:val="left"/>
      <w:pPr>
        <w:ind w:left="420" w:hanging="420"/>
      </w:pPr>
      <w:rPr>
        <w:rFonts w:hint="default" w:ascii="仿宋" w:hAnsi="仿宋" w:eastAsia="仿宋" w:cs="Times New Roman"/>
        <w:b w:val="0"/>
        <w:strike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3">
    <w:nsid w:val="01BC443A"/>
    <w:multiLevelType w:val="multilevel"/>
    <w:tmpl w:val="01BC443A"/>
    <w:lvl w:ilvl="0" w:tentative="0">
      <w:start w:val="1"/>
      <w:numFmt w:val="chineseCountingThousand"/>
      <w:lvlText w:val="%1、"/>
      <w:lvlJc w:val="left"/>
      <w:pPr>
        <w:ind w:left="1271" w:hanging="420"/>
      </w:pPr>
      <w:rPr>
        <w:rFonts w:hint="default" w:ascii="宋体" w:hAnsi="宋体" w:eastAsia="宋体" w:cs="Times New Roman"/>
        <w:b/>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4">
    <w:nsid w:val="03226416"/>
    <w:multiLevelType w:val="multilevel"/>
    <w:tmpl w:val="03226416"/>
    <w:lvl w:ilvl="0" w:tentative="0">
      <w:start w:val="1"/>
      <w:numFmt w:val="chineseCountingThousand"/>
      <w:lvlText w:val="%1、"/>
      <w:lvlJc w:val="left"/>
      <w:pPr>
        <w:ind w:left="420" w:hanging="420"/>
      </w:pPr>
      <w:rPr>
        <w:rFonts w:hint="eastAsia" w:cs="Times New Roman"/>
        <w:sz w:val="30"/>
        <w:szCs w:val="30"/>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5">
    <w:nsid w:val="038000C8"/>
    <w:multiLevelType w:val="multilevel"/>
    <w:tmpl w:val="038000C8"/>
    <w:lvl w:ilvl="0" w:tentative="0">
      <w:start w:val="1"/>
      <w:numFmt w:val="decimal"/>
      <w:lvlText w:val="%1"/>
      <w:lvlJc w:val="center"/>
      <w:pPr>
        <w:ind w:left="420" w:hanging="420"/>
      </w:pPr>
      <w:rPr>
        <w:rFonts w:hint="eastAsia"/>
        <w:b w:val="0"/>
        <w:i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08112400"/>
    <w:multiLevelType w:val="multilevel"/>
    <w:tmpl w:val="08112400"/>
    <w:lvl w:ilvl="0" w:tentative="0">
      <w:start w:val="1"/>
      <w:numFmt w:val="decimal"/>
      <w:lvlText w:val="8.%1"/>
      <w:lvlJc w:val="left"/>
      <w:pPr>
        <w:ind w:left="988" w:hanging="420"/>
      </w:pPr>
      <w:rPr>
        <w:rFonts w:hint="default" w:ascii="仿宋" w:hAnsi="仿宋" w:eastAsia="仿宋" w:cs="Times New Roman"/>
        <w:b w:val="0"/>
        <w:color w:val="auto"/>
      </w:rPr>
    </w:lvl>
    <w:lvl w:ilvl="1" w:tentative="0">
      <w:start w:val="1"/>
      <w:numFmt w:val="lowerLetter"/>
      <w:lvlText w:val="%2)"/>
      <w:lvlJc w:val="left"/>
      <w:pPr>
        <w:ind w:left="1408" w:hanging="420"/>
      </w:pPr>
      <w:rPr>
        <w:rFonts w:cs="Times New Roman"/>
      </w:rPr>
    </w:lvl>
    <w:lvl w:ilvl="2" w:tentative="0">
      <w:start w:val="1"/>
      <w:numFmt w:val="lowerRoman"/>
      <w:lvlText w:val="%3."/>
      <w:lvlJc w:val="right"/>
      <w:pPr>
        <w:ind w:left="1828" w:hanging="420"/>
      </w:pPr>
      <w:rPr>
        <w:rFonts w:cs="Times New Roman"/>
      </w:rPr>
    </w:lvl>
    <w:lvl w:ilvl="3" w:tentative="0">
      <w:start w:val="1"/>
      <w:numFmt w:val="decimal"/>
      <w:lvlText w:val="%4."/>
      <w:lvlJc w:val="left"/>
      <w:pPr>
        <w:ind w:left="2248" w:hanging="420"/>
      </w:pPr>
      <w:rPr>
        <w:rFonts w:cs="Times New Roman"/>
      </w:rPr>
    </w:lvl>
    <w:lvl w:ilvl="4" w:tentative="0">
      <w:start w:val="1"/>
      <w:numFmt w:val="lowerLetter"/>
      <w:lvlText w:val="%5)"/>
      <w:lvlJc w:val="left"/>
      <w:pPr>
        <w:ind w:left="2668" w:hanging="420"/>
      </w:pPr>
      <w:rPr>
        <w:rFonts w:cs="Times New Roman"/>
      </w:rPr>
    </w:lvl>
    <w:lvl w:ilvl="5" w:tentative="0">
      <w:start w:val="1"/>
      <w:numFmt w:val="lowerRoman"/>
      <w:lvlText w:val="%6."/>
      <w:lvlJc w:val="right"/>
      <w:pPr>
        <w:ind w:left="3088" w:hanging="420"/>
      </w:pPr>
      <w:rPr>
        <w:rFonts w:cs="Times New Roman"/>
      </w:rPr>
    </w:lvl>
    <w:lvl w:ilvl="6" w:tentative="0">
      <w:start w:val="1"/>
      <w:numFmt w:val="decimal"/>
      <w:lvlText w:val="%7."/>
      <w:lvlJc w:val="left"/>
      <w:pPr>
        <w:ind w:left="3508" w:hanging="420"/>
      </w:pPr>
      <w:rPr>
        <w:rFonts w:cs="Times New Roman"/>
      </w:rPr>
    </w:lvl>
    <w:lvl w:ilvl="7" w:tentative="0">
      <w:start w:val="1"/>
      <w:numFmt w:val="lowerLetter"/>
      <w:lvlText w:val="%8)"/>
      <w:lvlJc w:val="left"/>
      <w:pPr>
        <w:ind w:left="3928" w:hanging="420"/>
      </w:pPr>
      <w:rPr>
        <w:rFonts w:cs="Times New Roman"/>
      </w:rPr>
    </w:lvl>
    <w:lvl w:ilvl="8" w:tentative="0">
      <w:start w:val="1"/>
      <w:numFmt w:val="lowerRoman"/>
      <w:lvlText w:val="%9."/>
      <w:lvlJc w:val="right"/>
      <w:pPr>
        <w:ind w:left="4348" w:hanging="420"/>
      </w:pPr>
      <w:rPr>
        <w:rFonts w:cs="Times New Roman"/>
      </w:rPr>
    </w:lvl>
  </w:abstractNum>
  <w:abstractNum w:abstractNumId="7">
    <w:nsid w:val="092D2B91"/>
    <w:multiLevelType w:val="multilevel"/>
    <w:tmpl w:val="092D2B91"/>
    <w:lvl w:ilvl="0" w:tentative="0">
      <w:start w:val="1"/>
      <w:numFmt w:val="decimal"/>
      <w:lvlText w:val="3.%1"/>
      <w:lvlJc w:val="left"/>
      <w:pPr>
        <w:ind w:left="420" w:hanging="420"/>
      </w:pPr>
      <w:rPr>
        <w:rFonts w:hint="default" w:ascii="仿宋" w:hAnsi="仿宋" w:eastAsia="仿宋" w:cs="Times New Roman"/>
        <w:b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8">
    <w:nsid w:val="0EB600DC"/>
    <w:multiLevelType w:val="multilevel"/>
    <w:tmpl w:val="0EB600DC"/>
    <w:lvl w:ilvl="0" w:tentative="0">
      <w:start w:val="1"/>
      <w:numFmt w:val="decimal"/>
      <w:lvlText w:val="27.%1"/>
      <w:lvlJc w:val="left"/>
      <w:pPr>
        <w:ind w:left="420" w:hanging="420"/>
      </w:pPr>
      <w:rPr>
        <w:rFonts w:hint="default" w:ascii="仿宋" w:hAnsi="仿宋" w:eastAsia="仿宋" w:cs="Times New Roman"/>
        <w:b w:val="0"/>
        <w:strike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9">
    <w:nsid w:val="0F196355"/>
    <w:multiLevelType w:val="multilevel"/>
    <w:tmpl w:val="0F196355"/>
    <w:lvl w:ilvl="0" w:tentative="0">
      <w:start w:val="1"/>
      <w:numFmt w:val="decimal"/>
      <w:lvlText w:val="15.%1"/>
      <w:lvlJc w:val="left"/>
      <w:pPr>
        <w:ind w:left="420" w:hanging="420"/>
      </w:pPr>
      <w:rPr>
        <w:rFonts w:hint="default" w:ascii="仿宋" w:hAnsi="仿宋" w:eastAsia="仿宋" w:cs="Times New Roman"/>
        <w:b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10">
    <w:nsid w:val="100F5420"/>
    <w:multiLevelType w:val="multilevel"/>
    <w:tmpl w:val="100F5420"/>
    <w:lvl w:ilvl="0" w:tentative="0">
      <w:start w:val="1"/>
      <w:numFmt w:val="decimal"/>
      <w:lvlText w:val="12.3.%1 "/>
      <w:lvlJc w:val="left"/>
      <w:pPr>
        <w:ind w:left="643" w:hanging="420"/>
      </w:pPr>
      <w:rPr>
        <w:rFonts w:hint="default" w:ascii="楷体" w:hAnsi="楷体" w:eastAsia="楷体" w:cs="Times New Roman"/>
        <w:b w:val="0"/>
        <w:strike w:val="0"/>
        <w:color w:val="auto"/>
      </w:rPr>
    </w:lvl>
    <w:lvl w:ilvl="1" w:tentative="0">
      <w:start w:val="1"/>
      <w:numFmt w:val="lowerLetter"/>
      <w:lvlText w:val="%2)"/>
      <w:lvlJc w:val="left"/>
      <w:pPr>
        <w:ind w:left="1063" w:hanging="420"/>
      </w:pPr>
      <w:rPr>
        <w:rFonts w:cs="Times New Roman"/>
      </w:rPr>
    </w:lvl>
    <w:lvl w:ilvl="2" w:tentative="0">
      <w:start w:val="1"/>
      <w:numFmt w:val="lowerRoman"/>
      <w:lvlText w:val="%3."/>
      <w:lvlJc w:val="right"/>
      <w:pPr>
        <w:ind w:left="1483" w:hanging="420"/>
      </w:pPr>
      <w:rPr>
        <w:rFonts w:cs="Times New Roman"/>
      </w:rPr>
    </w:lvl>
    <w:lvl w:ilvl="3" w:tentative="0">
      <w:start w:val="1"/>
      <w:numFmt w:val="decimal"/>
      <w:lvlText w:val="%4."/>
      <w:lvlJc w:val="left"/>
      <w:pPr>
        <w:ind w:left="1903" w:hanging="420"/>
      </w:pPr>
      <w:rPr>
        <w:rFonts w:cs="Times New Roman"/>
      </w:rPr>
    </w:lvl>
    <w:lvl w:ilvl="4" w:tentative="0">
      <w:start w:val="1"/>
      <w:numFmt w:val="lowerLetter"/>
      <w:lvlText w:val="%5)"/>
      <w:lvlJc w:val="left"/>
      <w:pPr>
        <w:ind w:left="2323" w:hanging="420"/>
      </w:pPr>
      <w:rPr>
        <w:rFonts w:cs="Times New Roman"/>
      </w:rPr>
    </w:lvl>
    <w:lvl w:ilvl="5" w:tentative="0">
      <w:start w:val="1"/>
      <w:numFmt w:val="lowerRoman"/>
      <w:lvlText w:val="%6."/>
      <w:lvlJc w:val="right"/>
      <w:pPr>
        <w:ind w:left="2743" w:hanging="420"/>
      </w:pPr>
      <w:rPr>
        <w:rFonts w:cs="Times New Roman"/>
      </w:rPr>
    </w:lvl>
    <w:lvl w:ilvl="6" w:tentative="0">
      <w:start w:val="1"/>
      <w:numFmt w:val="decimal"/>
      <w:lvlText w:val="%7."/>
      <w:lvlJc w:val="left"/>
      <w:pPr>
        <w:ind w:left="3163" w:hanging="420"/>
      </w:pPr>
      <w:rPr>
        <w:rFonts w:cs="Times New Roman"/>
      </w:rPr>
    </w:lvl>
    <w:lvl w:ilvl="7" w:tentative="0">
      <w:start w:val="1"/>
      <w:numFmt w:val="lowerLetter"/>
      <w:lvlText w:val="%8)"/>
      <w:lvlJc w:val="left"/>
      <w:pPr>
        <w:ind w:left="3583" w:hanging="420"/>
      </w:pPr>
      <w:rPr>
        <w:rFonts w:cs="Times New Roman"/>
      </w:rPr>
    </w:lvl>
    <w:lvl w:ilvl="8" w:tentative="0">
      <w:start w:val="1"/>
      <w:numFmt w:val="lowerRoman"/>
      <w:lvlText w:val="%9."/>
      <w:lvlJc w:val="right"/>
      <w:pPr>
        <w:ind w:left="4003" w:hanging="420"/>
      </w:pPr>
      <w:rPr>
        <w:rFonts w:cs="Times New Roman"/>
      </w:rPr>
    </w:lvl>
  </w:abstractNum>
  <w:abstractNum w:abstractNumId="11">
    <w:nsid w:val="12F3169F"/>
    <w:multiLevelType w:val="multilevel"/>
    <w:tmpl w:val="12F3169F"/>
    <w:lvl w:ilvl="0" w:tentative="0">
      <w:start w:val="1"/>
      <w:numFmt w:val="decimal"/>
      <w:lvlText w:val="18.%1"/>
      <w:lvlJc w:val="left"/>
      <w:pPr>
        <w:ind w:left="420" w:hanging="420"/>
      </w:pPr>
      <w:rPr>
        <w:rFonts w:hint="default" w:ascii="仿宋" w:hAnsi="仿宋" w:eastAsia="仿宋" w:cs="Times New Roman"/>
        <w:b w:val="0"/>
        <w:strike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12">
    <w:nsid w:val="143A1834"/>
    <w:multiLevelType w:val="multilevel"/>
    <w:tmpl w:val="143A1834"/>
    <w:lvl w:ilvl="0" w:tentative="0">
      <w:start w:val="1"/>
      <w:numFmt w:val="chineseCountingThousand"/>
      <w:lvlText w:val="附件%1、"/>
      <w:lvlJc w:val="left"/>
      <w:pPr>
        <w:ind w:left="1470" w:hanging="420"/>
      </w:pPr>
      <w:rPr>
        <w:rFonts w:hint="eastAsia" w:ascii="宋体" w:hAnsi="宋体" w:eastAsia="宋体" w:cs="Times New Roman"/>
        <w:b/>
        <w:i w:val="0"/>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13">
    <w:nsid w:val="15DE1A41"/>
    <w:multiLevelType w:val="multilevel"/>
    <w:tmpl w:val="15DE1A41"/>
    <w:lvl w:ilvl="0" w:tentative="0">
      <w:start w:val="1"/>
      <w:numFmt w:val="decimal"/>
      <w:lvlText w:val="4.6.%1 "/>
      <w:lvlJc w:val="left"/>
      <w:pPr>
        <w:ind w:left="1271" w:hanging="420"/>
      </w:pPr>
      <w:rPr>
        <w:rFonts w:hint="default" w:ascii="楷体" w:hAnsi="楷体" w:eastAsia="楷体" w:cs="Times New Roman"/>
        <w:b w:val="0"/>
        <w:strike w:val="0"/>
        <w:color w:val="auto"/>
      </w:rPr>
    </w:lvl>
    <w:lvl w:ilvl="1" w:tentative="0">
      <w:start w:val="1"/>
      <w:numFmt w:val="lowerLetter"/>
      <w:lvlText w:val="%2)"/>
      <w:lvlJc w:val="left"/>
      <w:pPr>
        <w:ind w:left="1691" w:hanging="420"/>
      </w:pPr>
      <w:rPr>
        <w:rFonts w:cs="Times New Roman"/>
      </w:rPr>
    </w:lvl>
    <w:lvl w:ilvl="2" w:tentative="0">
      <w:start w:val="1"/>
      <w:numFmt w:val="lowerRoman"/>
      <w:lvlText w:val="%3."/>
      <w:lvlJc w:val="right"/>
      <w:pPr>
        <w:ind w:left="2111" w:hanging="420"/>
      </w:pPr>
      <w:rPr>
        <w:rFonts w:cs="Times New Roman"/>
      </w:rPr>
    </w:lvl>
    <w:lvl w:ilvl="3" w:tentative="0">
      <w:start w:val="1"/>
      <w:numFmt w:val="decimal"/>
      <w:lvlText w:val="%4."/>
      <w:lvlJc w:val="left"/>
      <w:pPr>
        <w:ind w:left="2531" w:hanging="420"/>
      </w:pPr>
      <w:rPr>
        <w:rFonts w:cs="Times New Roman"/>
      </w:rPr>
    </w:lvl>
    <w:lvl w:ilvl="4" w:tentative="0">
      <w:start w:val="1"/>
      <w:numFmt w:val="lowerLetter"/>
      <w:lvlText w:val="%5)"/>
      <w:lvlJc w:val="left"/>
      <w:pPr>
        <w:ind w:left="2951" w:hanging="420"/>
      </w:pPr>
      <w:rPr>
        <w:rFonts w:cs="Times New Roman"/>
      </w:rPr>
    </w:lvl>
    <w:lvl w:ilvl="5" w:tentative="0">
      <w:start w:val="1"/>
      <w:numFmt w:val="lowerRoman"/>
      <w:lvlText w:val="%6."/>
      <w:lvlJc w:val="right"/>
      <w:pPr>
        <w:ind w:left="3371" w:hanging="420"/>
      </w:pPr>
      <w:rPr>
        <w:rFonts w:cs="Times New Roman"/>
      </w:rPr>
    </w:lvl>
    <w:lvl w:ilvl="6" w:tentative="0">
      <w:start w:val="1"/>
      <w:numFmt w:val="decimal"/>
      <w:lvlText w:val="%7."/>
      <w:lvlJc w:val="left"/>
      <w:pPr>
        <w:ind w:left="3791" w:hanging="420"/>
      </w:pPr>
      <w:rPr>
        <w:rFonts w:cs="Times New Roman"/>
      </w:rPr>
    </w:lvl>
    <w:lvl w:ilvl="7" w:tentative="0">
      <w:start w:val="1"/>
      <w:numFmt w:val="lowerLetter"/>
      <w:lvlText w:val="%8)"/>
      <w:lvlJc w:val="left"/>
      <w:pPr>
        <w:ind w:left="4211" w:hanging="420"/>
      </w:pPr>
      <w:rPr>
        <w:rFonts w:cs="Times New Roman"/>
      </w:rPr>
    </w:lvl>
    <w:lvl w:ilvl="8" w:tentative="0">
      <w:start w:val="1"/>
      <w:numFmt w:val="lowerRoman"/>
      <w:lvlText w:val="%9."/>
      <w:lvlJc w:val="right"/>
      <w:pPr>
        <w:ind w:left="4631" w:hanging="420"/>
      </w:pPr>
      <w:rPr>
        <w:rFonts w:cs="Times New Roman"/>
      </w:rPr>
    </w:lvl>
  </w:abstractNum>
  <w:abstractNum w:abstractNumId="14">
    <w:nsid w:val="15F76080"/>
    <w:multiLevelType w:val="multilevel"/>
    <w:tmpl w:val="15F76080"/>
    <w:lvl w:ilvl="0" w:tentative="0">
      <w:start w:val="1"/>
      <w:numFmt w:val="decimal"/>
      <w:lvlText w:val="4.%1 "/>
      <w:lvlJc w:val="left"/>
      <w:pPr>
        <w:ind w:left="3681" w:hanging="420"/>
      </w:pPr>
      <w:rPr>
        <w:rFonts w:hint="default" w:ascii="仿宋" w:hAnsi="仿宋" w:eastAsia="仿宋" w:cs="Times New Roman"/>
        <w:b w:val="0"/>
        <w:strike w:val="0"/>
        <w:color w:val="auto"/>
      </w:rPr>
    </w:lvl>
    <w:lvl w:ilvl="1" w:tentative="0">
      <w:start w:val="1"/>
      <w:numFmt w:val="lowerLetter"/>
      <w:lvlText w:val="%2)"/>
      <w:lvlJc w:val="left"/>
      <w:pPr>
        <w:ind w:left="3643" w:hanging="420"/>
      </w:pPr>
      <w:rPr>
        <w:rFonts w:cs="Times New Roman"/>
      </w:rPr>
    </w:lvl>
    <w:lvl w:ilvl="2" w:tentative="0">
      <w:start w:val="1"/>
      <w:numFmt w:val="lowerRoman"/>
      <w:lvlText w:val="%3."/>
      <w:lvlJc w:val="right"/>
      <w:pPr>
        <w:ind w:left="4063" w:hanging="420"/>
      </w:pPr>
      <w:rPr>
        <w:rFonts w:cs="Times New Roman"/>
      </w:rPr>
    </w:lvl>
    <w:lvl w:ilvl="3" w:tentative="0">
      <w:start w:val="1"/>
      <w:numFmt w:val="decimal"/>
      <w:lvlText w:val="%4."/>
      <w:lvlJc w:val="left"/>
      <w:pPr>
        <w:ind w:left="4483" w:hanging="420"/>
      </w:pPr>
      <w:rPr>
        <w:rFonts w:cs="Times New Roman"/>
      </w:rPr>
    </w:lvl>
    <w:lvl w:ilvl="4" w:tentative="0">
      <w:start w:val="1"/>
      <w:numFmt w:val="lowerLetter"/>
      <w:lvlText w:val="%5)"/>
      <w:lvlJc w:val="left"/>
      <w:pPr>
        <w:ind w:left="4903" w:hanging="420"/>
      </w:pPr>
      <w:rPr>
        <w:rFonts w:cs="Times New Roman"/>
      </w:rPr>
    </w:lvl>
    <w:lvl w:ilvl="5" w:tentative="0">
      <w:start w:val="1"/>
      <w:numFmt w:val="lowerRoman"/>
      <w:lvlText w:val="%6."/>
      <w:lvlJc w:val="right"/>
      <w:pPr>
        <w:ind w:left="5323" w:hanging="420"/>
      </w:pPr>
      <w:rPr>
        <w:rFonts w:cs="Times New Roman"/>
      </w:rPr>
    </w:lvl>
    <w:lvl w:ilvl="6" w:tentative="0">
      <w:start w:val="1"/>
      <w:numFmt w:val="decimal"/>
      <w:lvlText w:val="%7."/>
      <w:lvlJc w:val="left"/>
      <w:pPr>
        <w:ind w:left="5743" w:hanging="420"/>
      </w:pPr>
      <w:rPr>
        <w:rFonts w:cs="Times New Roman"/>
      </w:rPr>
    </w:lvl>
    <w:lvl w:ilvl="7" w:tentative="0">
      <w:start w:val="1"/>
      <w:numFmt w:val="lowerLetter"/>
      <w:lvlText w:val="%8)"/>
      <w:lvlJc w:val="left"/>
      <w:pPr>
        <w:ind w:left="6163" w:hanging="420"/>
      </w:pPr>
      <w:rPr>
        <w:rFonts w:cs="Times New Roman"/>
      </w:rPr>
    </w:lvl>
    <w:lvl w:ilvl="8" w:tentative="0">
      <w:start w:val="1"/>
      <w:numFmt w:val="lowerRoman"/>
      <w:lvlText w:val="%9."/>
      <w:lvlJc w:val="right"/>
      <w:pPr>
        <w:ind w:left="6583" w:hanging="420"/>
      </w:pPr>
      <w:rPr>
        <w:rFonts w:cs="Times New Roman"/>
      </w:rPr>
    </w:lvl>
  </w:abstractNum>
  <w:abstractNum w:abstractNumId="15">
    <w:nsid w:val="1636573F"/>
    <w:multiLevelType w:val="multilevel"/>
    <w:tmpl w:val="1636573F"/>
    <w:lvl w:ilvl="0" w:tentative="0">
      <w:start w:val="1"/>
      <w:numFmt w:val="decimal"/>
      <w:lvlText w:val="1.%1"/>
      <w:lvlJc w:val="left"/>
      <w:pPr>
        <w:ind w:left="420" w:hanging="420"/>
      </w:pPr>
      <w:rPr>
        <w:rFonts w:hint="eastAsia" w:cs="Times New Roman"/>
        <w:b w:val="0"/>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16">
    <w:nsid w:val="16962145"/>
    <w:multiLevelType w:val="multilevel"/>
    <w:tmpl w:val="16962145"/>
    <w:lvl w:ilvl="0" w:tentative="0">
      <w:start w:val="1"/>
      <w:numFmt w:val="decimal"/>
      <w:lvlText w:val="2.%1"/>
      <w:lvlJc w:val="left"/>
      <w:pPr>
        <w:ind w:left="420" w:hanging="420"/>
      </w:pPr>
      <w:rPr>
        <w:rFonts w:hint="default" w:ascii="仿宋" w:hAnsi="仿宋" w:eastAsia="仿宋" w:cs="Times New Roman"/>
        <w:b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17">
    <w:nsid w:val="25015415"/>
    <w:multiLevelType w:val="multilevel"/>
    <w:tmpl w:val="25015415"/>
    <w:lvl w:ilvl="0" w:tentative="0">
      <w:start w:val="1"/>
      <w:numFmt w:val="decimal"/>
      <w:lvlText w:val="%1. "/>
      <w:lvlJc w:val="left"/>
      <w:pPr>
        <w:ind w:left="2121" w:hanging="420"/>
      </w:pPr>
      <w:rPr>
        <w:rFonts w:hint="default" w:ascii="宋体" w:hAnsi="宋体" w:eastAsia="宋体" w:cs="Times New Roman"/>
        <w:b/>
        <w:strike w:val="0"/>
        <w:color w:val="auto"/>
      </w:rPr>
    </w:lvl>
    <w:lvl w:ilvl="1" w:tentative="0">
      <w:start w:val="1"/>
      <w:numFmt w:val="lowerLetter"/>
      <w:lvlText w:val="%2)"/>
      <w:lvlJc w:val="left"/>
      <w:pPr>
        <w:ind w:left="2881" w:hanging="420"/>
      </w:pPr>
      <w:rPr>
        <w:rFonts w:cs="Times New Roman"/>
      </w:rPr>
    </w:lvl>
    <w:lvl w:ilvl="2" w:tentative="0">
      <w:start w:val="1"/>
      <w:numFmt w:val="lowerRoman"/>
      <w:lvlText w:val="%3."/>
      <w:lvlJc w:val="right"/>
      <w:pPr>
        <w:ind w:left="3301" w:hanging="420"/>
      </w:pPr>
      <w:rPr>
        <w:rFonts w:cs="Times New Roman"/>
      </w:rPr>
    </w:lvl>
    <w:lvl w:ilvl="3" w:tentative="0">
      <w:start w:val="1"/>
      <w:numFmt w:val="decimal"/>
      <w:lvlText w:val="%4."/>
      <w:lvlJc w:val="left"/>
      <w:pPr>
        <w:ind w:left="3721" w:hanging="420"/>
      </w:pPr>
      <w:rPr>
        <w:rFonts w:cs="Times New Roman"/>
      </w:rPr>
    </w:lvl>
    <w:lvl w:ilvl="4" w:tentative="0">
      <w:start w:val="1"/>
      <w:numFmt w:val="lowerLetter"/>
      <w:lvlText w:val="%5)"/>
      <w:lvlJc w:val="left"/>
      <w:pPr>
        <w:ind w:left="4141" w:hanging="420"/>
      </w:pPr>
      <w:rPr>
        <w:rFonts w:cs="Times New Roman"/>
      </w:rPr>
    </w:lvl>
    <w:lvl w:ilvl="5" w:tentative="0">
      <w:start w:val="1"/>
      <w:numFmt w:val="lowerRoman"/>
      <w:lvlText w:val="%6."/>
      <w:lvlJc w:val="right"/>
      <w:pPr>
        <w:ind w:left="4561" w:hanging="420"/>
      </w:pPr>
      <w:rPr>
        <w:rFonts w:cs="Times New Roman"/>
      </w:rPr>
    </w:lvl>
    <w:lvl w:ilvl="6" w:tentative="0">
      <w:start w:val="1"/>
      <w:numFmt w:val="decimal"/>
      <w:lvlText w:val="%7."/>
      <w:lvlJc w:val="left"/>
      <w:pPr>
        <w:ind w:left="4981" w:hanging="420"/>
      </w:pPr>
      <w:rPr>
        <w:rFonts w:cs="Times New Roman"/>
      </w:rPr>
    </w:lvl>
    <w:lvl w:ilvl="7" w:tentative="0">
      <w:start w:val="1"/>
      <w:numFmt w:val="lowerLetter"/>
      <w:lvlText w:val="%8)"/>
      <w:lvlJc w:val="left"/>
      <w:pPr>
        <w:ind w:left="5401" w:hanging="420"/>
      </w:pPr>
      <w:rPr>
        <w:rFonts w:cs="Times New Roman"/>
      </w:rPr>
    </w:lvl>
    <w:lvl w:ilvl="8" w:tentative="0">
      <w:start w:val="1"/>
      <w:numFmt w:val="lowerRoman"/>
      <w:lvlText w:val="%9."/>
      <w:lvlJc w:val="right"/>
      <w:pPr>
        <w:ind w:left="5821" w:hanging="420"/>
      </w:pPr>
      <w:rPr>
        <w:rFonts w:cs="Times New Roman"/>
      </w:rPr>
    </w:lvl>
  </w:abstractNum>
  <w:abstractNum w:abstractNumId="18">
    <w:nsid w:val="251B2B6C"/>
    <w:multiLevelType w:val="multilevel"/>
    <w:tmpl w:val="251B2B6C"/>
    <w:lvl w:ilvl="0" w:tentative="0">
      <w:start w:val="1"/>
      <w:numFmt w:val="chineseCountingThousand"/>
      <w:lvlText w:val="（%1） "/>
      <w:lvlJc w:val="left"/>
      <w:pPr>
        <w:ind w:left="902" w:hanging="420"/>
      </w:pPr>
      <w:rPr>
        <w:rFonts w:hint="eastAsia" w:cs="Times New Roman"/>
        <w:b/>
        <w:strike w:val="0"/>
      </w:rPr>
    </w:lvl>
    <w:lvl w:ilvl="1" w:tentative="0">
      <w:start w:val="1"/>
      <w:numFmt w:val="lowerLetter"/>
      <w:lvlText w:val="%2)"/>
      <w:lvlJc w:val="left"/>
      <w:pPr>
        <w:ind w:left="1322" w:hanging="420"/>
      </w:pPr>
      <w:rPr>
        <w:rFonts w:cs="Times New Roman"/>
      </w:rPr>
    </w:lvl>
    <w:lvl w:ilvl="2" w:tentative="0">
      <w:start w:val="1"/>
      <w:numFmt w:val="lowerRoman"/>
      <w:lvlText w:val="%3."/>
      <w:lvlJc w:val="right"/>
      <w:pPr>
        <w:ind w:left="1742" w:hanging="420"/>
      </w:pPr>
      <w:rPr>
        <w:rFonts w:cs="Times New Roman"/>
      </w:rPr>
    </w:lvl>
    <w:lvl w:ilvl="3" w:tentative="0">
      <w:start w:val="1"/>
      <w:numFmt w:val="decimal"/>
      <w:lvlText w:val="%4."/>
      <w:lvlJc w:val="left"/>
      <w:pPr>
        <w:ind w:left="2162" w:hanging="420"/>
      </w:pPr>
      <w:rPr>
        <w:rFonts w:cs="Times New Roman"/>
      </w:rPr>
    </w:lvl>
    <w:lvl w:ilvl="4" w:tentative="0">
      <w:start w:val="1"/>
      <w:numFmt w:val="lowerLetter"/>
      <w:lvlText w:val="%5)"/>
      <w:lvlJc w:val="left"/>
      <w:pPr>
        <w:ind w:left="2582" w:hanging="420"/>
      </w:pPr>
      <w:rPr>
        <w:rFonts w:cs="Times New Roman"/>
      </w:rPr>
    </w:lvl>
    <w:lvl w:ilvl="5" w:tentative="0">
      <w:start w:val="1"/>
      <w:numFmt w:val="lowerRoman"/>
      <w:lvlText w:val="%6."/>
      <w:lvlJc w:val="right"/>
      <w:pPr>
        <w:ind w:left="3002" w:hanging="420"/>
      </w:pPr>
      <w:rPr>
        <w:rFonts w:cs="Times New Roman"/>
      </w:rPr>
    </w:lvl>
    <w:lvl w:ilvl="6" w:tentative="0">
      <w:start w:val="1"/>
      <w:numFmt w:val="decimal"/>
      <w:lvlText w:val="%7."/>
      <w:lvlJc w:val="left"/>
      <w:pPr>
        <w:ind w:left="3422" w:hanging="420"/>
      </w:pPr>
      <w:rPr>
        <w:rFonts w:cs="Times New Roman"/>
      </w:rPr>
    </w:lvl>
    <w:lvl w:ilvl="7" w:tentative="0">
      <w:start w:val="1"/>
      <w:numFmt w:val="lowerLetter"/>
      <w:lvlText w:val="%8)"/>
      <w:lvlJc w:val="left"/>
      <w:pPr>
        <w:ind w:left="3842" w:hanging="420"/>
      </w:pPr>
      <w:rPr>
        <w:rFonts w:cs="Times New Roman"/>
      </w:rPr>
    </w:lvl>
    <w:lvl w:ilvl="8" w:tentative="0">
      <w:start w:val="1"/>
      <w:numFmt w:val="lowerRoman"/>
      <w:lvlText w:val="%9."/>
      <w:lvlJc w:val="right"/>
      <w:pPr>
        <w:ind w:left="4262" w:hanging="420"/>
      </w:pPr>
      <w:rPr>
        <w:rFonts w:cs="Times New Roman"/>
      </w:rPr>
    </w:lvl>
  </w:abstractNum>
  <w:abstractNum w:abstractNumId="19">
    <w:nsid w:val="279A794F"/>
    <w:multiLevelType w:val="multilevel"/>
    <w:tmpl w:val="279A794F"/>
    <w:lvl w:ilvl="0" w:tentative="0">
      <w:start w:val="1"/>
      <w:numFmt w:val="decimal"/>
      <w:lvlText w:val="3.%1 "/>
      <w:lvlJc w:val="left"/>
      <w:pPr>
        <w:ind w:left="3681" w:hanging="420"/>
      </w:pPr>
      <w:rPr>
        <w:rFonts w:hint="default" w:ascii="仿宋" w:hAnsi="仿宋" w:eastAsia="仿宋" w:cs="Times New Roman"/>
        <w:b w:val="0"/>
        <w:strike w:val="0"/>
        <w:color w:val="auto"/>
      </w:rPr>
    </w:lvl>
    <w:lvl w:ilvl="1" w:tentative="0">
      <w:start w:val="1"/>
      <w:numFmt w:val="lowerLetter"/>
      <w:lvlText w:val="%2)"/>
      <w:lvlJc w:val="left"/>
      <w:pPr>
        <w:ind w:left="3643" w:hanging="420"/>
      </w:pPr>
      <w:rPr>
        <w:rFonts w:cs="Times New Roman"/>
      </w:rPr>
    </w:lvl>
    <w:lvl w:ilvl="2" w:tentative="0">
      <w:start w:val="1"/>
      <w:numFmt w:val="lowerRoman"/>
      <w:lvlText w:val="%3."/>
      <w:lvlJc w:val="right"/>
      <w:pPr>
        <w:ind w:left="4063" w:hanging="420"/>
      </w:pPr>
      <w:rPr>
        <w:rFonts w:cs="Times New Roman"/>
      </w:rPr>
    </w:lvl>
    <w:lvl w:ilvl="3" w:tentative="0">
      <w:start w:val="1"/>
      <w:numFmt w:val="decimal"/>
      <w:lvlText w:val="%4."/>
      <w:lvlJc w:val="left"/>
      <w:pPr>
        <w:ind w:left="4483" w:hanging="420"/>
      </w:pPr>
      <w:rPr>
        <w:rFonts w:cs="Times New Roman"/>
      </w:rPr>
    </w:lvl>
    <w:lvl w:ilvl="4" w:tentative="0">
      <w:start w:val="1"/>
      <w:numFmt w:val="lowerLetter"/>
      <w:lvlText w:val="%5)"/>
      <w:lvlJc w:val="left"/>
      <w:pPr>
        <w:ind w:left="4903" w:hanging="420"/>
      </w:pPr>
      <w:rPr>
        <w:rFonts w:cs="Times New Roman"/>
      </w:rPr>
    </w:lvl>
    <w:lvl w:ilvl="5" w:tentative="0">
      <w:start w:val="1"/>
      <w:numFmt w:val="lowerRoman"/>
      <w:lvlText w:val="%6."/>
      <w:lvlJc w:val="right"/>
      <w:pPr>
        <w:ind w:left="5323" w:hanging="420"/>
      </w:pPr>
      <w:rPr>
        <w:rFonts w:cs="Times New Roman"/>
      </w:rPr>
    </w:lvl>
    <w:lvl w:ilvl="6" w:tentative="0">
      <w:start w:val="1"/>
      <w:numFmt w:val="decimal"/>
      <w:lvlText w:val="%7."/>
      <w:lvlJc w:val="left"/>
      <w:pPr>
        <w:ind w:left="5743" w:hanging="420"/>
      </w:pPr>
      <w:rPr>
        <w:rFonts w:cs="Times New Roman"/>
      </w:rPr>
    </w:lvl>
    <w:lvl w:ilvl="7" w:tentative="0">
      <w:start w:val="1"/>
      <w:numFmt w:val="lowerLetter"/>
      <w:lvlText w:val="%8)"/>
      <w:lvlJc w:val="left"/>
      <w:pPr>
        <w:ind w:left="6163" w:hanging="420"/>
      </w:pPr>
      <w:rPr>
        <w:rFonts w:cs="Times New Roman"/>
      </w:rPr>
    </w:lvl>
    <w:lvl w:ilvl="8" w:tentative="0">
      <w:start w:val="1"/>
      <w:numFmt w:val="lowerRoman"/>
      <w:lvlText w:val="%9."/>
      <w:lvlJc w:val="right"/>
      <w:pPr>
        <w:ind w:left="6583" w:hanging="420"/>
      </w:pPr>
      <w:rPr>
        <w:rFonts w:cs="Times New Roman"/>
      </w:rPr>
    </w:lvl>
  </w:abstractNum>
  <w:abstractNum w:abstractNumId="20">
    <w:nsid w:val="27FE7BA7"/>
    <w:multiLevelType w:val="multilevel"/>
    <w:tmpl w:val="27FE7BA7"/>
    <w:lvl w:ilvl="0" w:tentative="0">
      <w:start w:val="1"/>
      <w:numFmt w:val="decimal"/>
      <w:lvlText w:val="27.1.%1 "/>
      <w:lvlJc w:val="left"/>
      <w:pPr>
        <w:ind w:left="643" w:hanging="420"/>
      </w:pPr>
      <w:rPr>
        <w:rFonts w:hint="default" w:ascii="楷体" w:hAnsi="楷体" w:eastAsia="楷体" w:cs="Times New Roman"/>
        <w:b w:val="0"/>
        <w:strike w:val="0"/>
        <w:color w:val="auto"/>
      </w:rPr>
    </w:lvl>
    <w:lvl w:ilvl="1" w:tentative="0">
      <w:start w:val="1"/>
      <w:numFmt w:val="lowerLetter"/>
      <w:lvlText w:val="%2)"/>
      <w:lvlJc w:val="left"/>
      <w:pPr>
        <w:ind w:left="1063" w:hanging="420"/>
      </w:pPr>
      <w:rPr>
        <w:rFonts w:cs="Times New Roman"/>
      </w:rPr>
    </w:lvl>
    <w:lvl w:ilvl="2" w:tentative="0">
      <w:start w:val="1"/>
      <w:numFmt w:val="lowerRoman"/>
      <w:lvlText w:val="%3."/>
      <w:lvlJc w:val="right"/>
      <w:pPr>
        <w:ind w:left="1483" w:hanging="420"/>
      </w:pPr>
      <w:rPr>
        <w:rFonts w:cs="Times New Roman"/>
      </w:rPr>
    </w:lvl>
    <w:lvl w:ilvl="3" w:tentative="0">
      <w:start w:val="1"/>
      <w:numFmt w:val="decimal"/>
      <w:lvlText w:val="%4."/>
      <w:lvlJc w:val="left"/>
      <w:pPr>
        <w:ind w:left="1903" w:hanging="420"/>
      </w:pPr>
      <w:rPr>
        <w:rFonts w:cs="Times New Roman"/>
      </w:rPr>
    </w:lvl>
    <w:lvl w:ilvl="4" w:tentative="0">
      <w:start w:val="1"/>
      <w:numFmt w:val="lowerLetter"/>
      <w:lvlText w:val="%5)"/>
      <w:lvlJc w:val="left"/>
      <w:pPr>
        <w:ind w:left="2323" w:hanging="420"/>
      </w:pPr>
      <w:rPr>
        <w:rFonts w:cs="Times New Roman"/>
      </w:rPr>
    </w:lvl>
    <w:lvl w:ilvl="5" w:tentative="0">
      <w:start w:val="1"/>
      <w:numFmt w:val="lowerRoman"/>
      <w:lvlText w:val="%6."/>
      <w:lvlJc w:val="right"/>
      <w:pPr>
        <w:ind w:left="2743" w:hanging="420"/>
      </w:pPr>
      <w:rPr>
        <w:rFonts w:cs="Times New Roman"/>
      </w:rPr>
    </w:lvl>
    <w:lvl w:ilvl="6" w:tentative="0">
      <w:start w:val="1"/>
      <w:numFmt w:val="decimal"/>
      <w:lvlText w:val="%7."/>
      <w:lvlJc w:val="left"/>
      <w:pPr>
        <w:ind w:left="3163" w:hanging="420"/>
      </w:pPr>
      <w:rPr>
        <w:rFonts w:cs="Times New Roman"/>
      </w:rPr>
    </w:lvl>
    <w:lvl w:ilvl="7" w:tentative="0">
      <w:start w:val="1"/>
      <w:numFmt w:val="lowerLetter"/>
      <w:lvlText w:val="%8)"/>
      <w:lvlJc w:val="left"/>
      <w:pPr>
        <w:ind w:left="3583" w:hanging="420"/>
      </w:pPr>
      <w:rPr>
        <w:rFonts w:cs="Times New Roman"/>
      </w:rPr>
    </w:lvl>
    <w:lvl w:ilvl="8" w:tentative="0">
      <w:start w:val="1"/>
      <w:numFmt w:val="lowerRoman"/>
      <w:lvlText w:val="%9."/>
      <w:lvlJc w:val="right"/>
      <w:pPr>
        <w:ind w:left="4003" w:hanging="420"/>
      </w:pPr>
      <w:rPr>
        <w:rFonts w:cs="Times New Roman"/>
      </w:rPr>
    </w:lvl>
  </w:abstractNum>
  <w:abstractNum w:abstractNumId="21">
    <w:nsid w:val="28394228"/>
    <w:multiLevelType w:val="multilevel"/>
    <w:tmpl w:val="28394228"/>
    <w:lvl w:ilvl="0" w:tentative="0">
      <w:start w:val="1"/>
      <w:numFmt w:val="decimal"/>
      <w:lvlText w:val="%1"/>
      <w:lvlJc w:val="center"/>
      <w:pPr>
        <w:ind w:left="420" w:hanging="420"/>
      </w:pPr>
      <w:rPr>
        <w:rFonts w:hint="eastAsia" w:cs="Times New Roman"/>
        <w:b w:val="0"/>
        <w:i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22">
    <w:nsid w:val="28AA4AF5"/>
    <w:multiLevelType w:val="multilevel"/>
    <w:tmpl w:val="28AA4AF5"/>
    <w:lvl w:ilvl="0" w:tentative="0">
      <w:start w:val="1"/>
      <w:numFmt w:val="decimal"/>
      <w:lvlText w:val="%1. "/>
      <w:lvlJc w:val="left"/>
      <w:pPr>
        <w:ind w:left="824" w:hanging="420"/>
      </w:pPr>
      <w:rPr>
        <w:rFonts w:hint="default" w:ascii="宋体" w:hAnsi="宋体" w:eastAsia="宋体" w:cs="Times New Roman"/>
        <w:b/>
        <w:strike w:val="0"/>
        <w:color w:val="auto"/>
      </w:rPr>
    </w:lvl>
    <w:lvl w:ilvl="1" w:tentative="0">
      <w:start w:val="1"/>
      <w:numFmt w:val="lowerLetter"/>
      <w:lvlText w:val="%2)"/>
      <w:lvlJc w:val="left"/>
      <w:pPr>
        <w:ind w:left="1244" w:hanging="420"/>
      </w:pPr>
      <w:rPr>
        <w:rFonts w:cs="Times New Roman"/>
      </w:rPr>
    </w:lvl>
    <w:lvl w:ilvl="2" w:tentative="0">
      <w:start w:val="1"/>
      <w:numFmt w:val="lowerRoman"/>
      <w:lvlText w:val="%3."/>
      <w:lvlJc w:val="right"/>
      <w:pPr>
        <w:ind w:left="1664" w:hanging="420"/>
      </w:pPr>
      <w:rPr>
        <w:rFonts w:cs="Times New Roman"/>
      </w:rPr>
    </w:lvl>
    <w:lvl w:ilvl="3" w:tentative="0">
      <w:start w:val="1"/>
      <w:numFmt w:val="decimal"/>
      <w:lvlText w:val="%4."/>
      <w:lvlJc w:val="left"/>
      <w:pPr>
        <w:ind w:left="2084" w:hanging="420"/>
      </w:pPr>
      <w:rPr>
        <w:rFonts w:cs="Times New Roman"/>
      </w:rPr>
    </w:lvl>
    <w:lvl w:ilvl="4" w:tentative="0">
      <w:start w:val="1"/>
      <w:numFmt w:val="lowerLetter"/>
      <w:lvlText w:val="%5)"/>
      <w:lvlJc w:val="left"/>
      <w:pPr>
        <w:ind w:left="2504" w:hanging="420"/>
      </w:pPr>
      <w:rPr>
        <w:rFonts w:cs="Times New Roman"/>
      </w:rPr>
    </w:lvl>
    <w:lvl w:ilvl="5" w:tentative="0">
      <w:start w:val="1"/>
      <w:numFmt w:val="lowerRoman"/>
      <w:lvlText w:val="%6."/>
      <w:lvlJc w:val="right"/>
      <w:pPr>
        <w:ind w:left="2924" w:hanging="420"/>
      </w:pPr>
      <w:rPr>
        <w:rFonts w:cs="Times New Roman"/>
      </w:rPr>
    </w:lvl>
    <w:lvl w:ilvl="6" w:tentative="0">
      <w:start w:val="1"/>
      <w:numFmt w:val="decimal"/>
      <w:lvlText w:val="%7."/>
      <w:lvlJc w:val="left"/>
      <w:pPr>
        <w:ind w:left="3344" w:hanging="420"/>
      </w:pPr>
      <w:rPr>
        <w:rFonts w:cs="Times New Roman"/>
      </w:rPr>
    </w:lvl>
    <w:lvl w:ilvl="7" w:tentative="0">
      <w:start w:val="1"/>
      <w:numFmt w:val="lowerLetter"/>
      <w:lvlText w:val="%8)"/>
      <w:lvlJc w:val="left"/>
      <w:pPr>
        <w:ind w:left="3764" w:hanging="420"/>
      </w:pPr>
      <w:rPr>
        <w:rFonts w:cs="Times New Roman"/>
      </w:rPr>
    </w:lvl>
    <w:lvl w:ilvl="8" w:tentative="0">
      <w:start w:val="1"/>
      <w:numFmt w:val="lowerRoman"/>
      <w:lvlText w:val="%9."/>
      <w:lvlJc w:val="right"/>
      <w:pPr>
        <w:ind w:left="4184" w:hanging="420"/>
      </w:pPr>
      <w:rPr>
        <w:rFonts w:cs="Times New Roman"/>
      </w:rPr>
    </w:lvl>
  </w:abstractNum>
  <w:abstractNum w:abstractNumId="23">
    <w:nsid w:val="29735AF9"/>
    <w:multiLevelType w:val="multilevel"/>
    <w:tmpl w:val="29735AF9"/>
    <w:lvl w:ilvl="0" w:tentative="0">
      <w:start w:val="1"/>
      <w:numFmt w:val="decimal"/>
      <w:lvlText w:val="11.%1"/>
      <w:lvlJc w:val="left"/>
      <w:pPr>
        <w:ind w:left="420" w:hanging="420"/>
      </w:pPr>
      <w:rPr>
        <w:rFonts w:hint="default" w:ascii="仿宋" w:hAnsi="仿宋" w:eastAsia="仿宋" w:cs="Times New Roman"/>
        <w:b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24">
    <w:nsid w:val="2ABF2833"/>
    <w:multiLevelType w:val="multilevel"/>
    <w:tmpl w:val="2ABF2833"/>
    <w:lvl w:ilvl="0" w:tentative="0">
      <w:start w:val="1"/>
      <w:numFmt w:val="decimal"/>
      <w:lvlText w:val="12.%1"/>
      <w:lvlJc w:val="left"/>
      <w:pPr>
        <w:ind w:left="420" w:hanging="420"/>
      </w:pPr>
      <w:rPr>
        <w:rFonts w:hint="default" w:ascii="仿宋" w:hAnsi="仿宋" w:eastAsia="仿宋" w:cs="Times New Roman"/>
        <w:b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25">
    <w:nsid w:val="2CC65A04"/>
    <w:multiLevelType w:val="multilevel"/>
    <w:tmpl w:val="2CC65A04"/>
    <w:lvl w:ilvl="0" w:tentative="0">
      <w:start w:val="1"/>
      <w:numFmt w:val="decimal"/>
      <w:lvlText w:val="32.%1"/>
      <w:lvlJc w:val="left"/>
      <w:pPr>
        <w:ind w:left="420" w:hanging="420"/>
      </w:pPr>
      <w:rPr>
        <w:rFonts w:hint="default" w:ascii="仿宋" w:hAnsi="仿宋" w:eastAsia="仿宋" w:cs="Times New Roman"/>
        <w:b w:val="0"/>
        <w:strike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26">
    <w:nsid w:val="2D665F38"/>
    <w:multiLevelType w:val="multilevel"/>
    <w:tmpl w:val="2D665F38"/>
    <w:lvl w:ilvl="0" w:tentative="0">
      <w:start w:val="1"/>
      <w:numFmt w:val="decimal"/>
      <w:lvlText w:val="5.%1 "/>
      <w:lvlJc w:val="left"/>
      <w:pPr>
        <w:ind w:left="3681" w:hanging="420"/>
      </w:pPr>
      <w:rPr>
        <w:rFonts w:hint="default" w:ascii="仿宋" w:hAnsi="仿宋" w:eastAsia="仿宋" w:cs="Times New Roman"/>
        <w:b w:val="0"/>
        <w:strike w:val="0"/>
        <w:color w:val="auto"/>
      </w:rPr>
    </w:lvl>
    <w:lvl w:ilvl="1" w:tentative="0">
      <w:start w:val="1"/>
      <w:numFmt w:val="lowerLetter"/>
      <w:lvlText w:val="%2)"/>
      <w:lvlJc w:val="left"/>
      <w:pPr>
        <w:ind w:left="3643" w:hanging="420"/>
      </w:pPr>
      <w:rPr>
        <w:rFonts w:cs="Times New Roman"/>
      </w:rPr>
    </w:lvl>
    <w:lvl w:ilvl="2" w:tentative="0">
      <w:start w:val="1"/>
      <w:numFmt w:val="lowerRoman"/>
      <w:lvlText w:val="%3."/>
      <w:lvlJc w:val="right"/>
      <w:pPr>
        <w:ind w:left="4063" w:hanging="420"/>
      </w:pPr>
      <w:rPr>
        <w:rFonts w:cs="Times New Roman"/>
      </w:rPr>
    </w:lvl>
    <w:lvl w:ilvl="3" w:tentative="0">
      <w:start w:val="1"/>
      <w:numFmt w:val="decimal"/>
      <w:lvlText w:val="%4."/>
      <w:lvlJc w:val="left"/>
      <w:pPr>
        <w:ind w:left="4483" w:hanging="420"/>
      </w:pPr>
      <w:rPr>
        <w:rFonts w:cs="Times New Roman"/>
      </w:rPr>
    </w:lvl>
    <w:lvl w:ilvl="4" w:tentative="0">
      <w:start w:val="1"/>
      <w:numFmt w:val="lowerLetter"/>
      <w:lvlText w:val="%5)"/>
      <w:lvlJc w:val="left"/>
      <w:pPr>
        <w:ind w:left="4903" w:hanging="420"/>
      </w:pPr>
      <w:rPr>
        <w:rFonts w:cs="Times New Roman"/>
      </w:rPr>
    </w:lvl>
    <w:lvl w:ilvl="5" w:tentative="0">
      <w:start w:val="1"/>
      <w:numFmt w:val="lowerRoman"/>
      <w:lvlText w:val="%6."/>
      <w:lvlJc w:val="right"/>
      <w:pPr>
        <w:ind w:left="5323" w:hanging="420"/>
      </w:pPr>
      <w:rPr>
        <w:rFonts w:cs="Times New Roman"/>
      </w:rPr>
    </w:lvl>
    <w:lvl w:ilvl="6" w:tentative="0">
      <w:start w:val="1"/>
      <w:numFmt w:val="decimal"/>
      <w:lvlText w:val="%7."/>
      <w:lvlJc w:val="left"/>
      <w:pPr>
        <w:ind w:left="5743" w:hanging="420"/>
      </w:pPr>
      <w:rPr>
        <w:rFonts w:cs="Times New Roman"/>
      </w:rPr>
    </w:lvl>
    <w:lvl w:ilvl="7" w:tentative="0">
      <w:start w:val="1"/>
      <w:numFmt w:val="lowerLetter"/>
      <w:lvlText w:val="%8)"/>
      <w:lvlJc w:val="left"/>
      <w:pPr>
        <w:ind w:left="6163" w:hanging="420"/>
      </w:pPr>
      <w:rPr>
        <w:rFonts w:cs="Times New Roman"/>
      </w:rPr>
    </w:lvl>
    <w:lvl w:ilvl="8" w:tentative="0">
      <w:start w:val="1"/>
      <w:numFmt w:val="lowerRoman"/>
      <w:lvlText w:val="%9."/>
      <w:lvlJc w:val="right"/>
      <w:pPr>
        <w:ind w:left="6583" w:hanging="420"/>
      </w:pPr>
      <w:rPr>
        <w:rFonts w:cs="Times New Roman"/>
      </w:rPr>
    </w:lvl>
  </w:abstractNum>
  <w:abstractNum w:abstractNumId="27">
    <w:nsid w:val="2D850054"/>
    <w:multiLevelType w:val="multilevel"/>
    <w:tmpl w:val="2D850054"/>
    <w:lvl w:ilvl="0" w:tentative="0">
      <w:start w:val="1"/>
      <w:numFmt w:val="decimal"/>
      <w:lvlText w:val="%1. "/>
      <w:lvlJc w:val="left"/>
      <w:pPr>
        <w:ind w:left="840" w:hanging="420"/>
      </w:pPr>
      <w:rPr>
        <w:rFonts w:hint="default" w:ascii="宋体" w:hAnsi="宋体" w:eastAsia="宋体" w:cs="Times New Roman"/>
        <w:b/>
        <w:strike w:val="0"/>
        <w:color w:val="auto"/>
      </w:rPr>
    </w:lvl>
    <w:lvl w:ilvl="1" w:tentative="0">
      <w:start w:val="1"/>
      <w:numFmt w:val="lowerLetter"/>
      <w:lvlText w:val="%2)"/>
      <w:lvlJc w:val="left"/>
      <w:pPr>
        <w:ind w:left="1260" w:hanging="420"/>
      </w:pPr>
      <w:rPr>
        <w:rFonts w:cs="Times New Roman"/>
      </w:rPr>
    </w:lvl>
    <w:lvl w:ilvl="2" w:tentative="0">
      <w:start w:val="1"/>
      <w:numFmt w:val="lowerRoman"/>
      <w:lvlText w:val="%3."/>
      <w:lvlJc w:val="right"/>
      <w:pPr>
        <w:ind w:left="1680" w:hanging="420"/>
      </w:pPr>
      <w:rPr>
        <w:rFonts w:cs="Times New Roman"/>
      </w:rPr>
    </w:lvl>
    <w:lvl w:ilvl="3" w:tentative="0">
      <w:start w:val="1"/>
      <w:numFmt w:val="decimal"/>
      <w:lvlText w:val="%4."/>
      <w:lvlJc w:val="left"/>
      <w:pPr>
        <w:ind w:left="2100" w:hanging="420"/>
      </w:pPr>
      <w:rPr>
        <w:rFonts w:cs="Times New Roman"/>
      </w:rPr>
    </w:lvl>
    <w:lvl w:ilvl="4" w:tentative="0">
      <w:start w:val="1"/>
      <w:numFmt w:val="lowerLetter"/>
      <w:lvlText w:val="%5)"/>
      <w:lvlJc w:val="left"/>
      <w:pPr>
        <w:ind w:left="2520" w:hanging="420"/>
      </w:pPr>
      <w:rPr>
        <w:rFonts w:cs="Times New Roman"/>
      </w:rPr>
    </w:lvl>
    <w:lvl w:ilvl="5" w:tentative="0">
      <w:start w:val="1"/>
      <w:numFmt w:val="lowerRoman"/>
      <w:lvlText w:val="%6."/>
      <w:lvlJc w:val="right"/>
      <w:pPr>
        <w:ind w:left="2940" w:hanging="420"/>
      </w:pPr>
      <w:rPr>
        <w:rFonts w:cs="Times New Roman"/>
      </w:rPr>
    </w:lvl>
    <w:lvl w:ilvl="6" w:tentative="0">
      <w:start w:val="1"/>
      <w:numFmt w:val="decimal"/>
      <w:lvlText w:val="%7."/>
      <w:lvlJc w:val="left"/>
      <w:pPr>
        <w:ind w:left="3360" w:hanging="420"/>
      </w:pPr>
      <w:rPr>
        <w:rFonts w:cs="Times New Roman"/>
      </w:rPr>
    </w:lvl>
    <w:lvl w:ilvl="7" w:tentative="0">
      <w:start w:val="1"/>
      <w:numFmt w:val="lowerLetter"/>
      <w:lvlText w:val="%8)"/>
      <w:lvlJc w:val="left"/>
      <w:pPr>
        <w:ind w:left="3780" w:hanging="420"/>
      </w:pPr>
      <w:rPr>
        <w:rFonts w:cs="Times New Roman"/>
      </w:rPr>
    </w:lvl>
    <w:lvl w:ilvl="8" w:tentative="0">
      <w:start w:val="1"/>
      <w:numFmt w:val="lowerRoman"/>
      <w:lvlText w:val="%9."/>
      <w:lvlJc w:val="right"/>
      <w:pPr>
        <w:ind w:left="4200" w:hanging="420"/>
      </w:pPr>
      <w:rPr>
        <w:rFonts w:cs="Times New Roman"/>
      </w:rPr>
    </w:lvl>
  </w:abstractNum>
  <w:abstractNum w:abstractNumId="28">
    <w:nsid w:val="2E825AFA"/>
    <w:multiLevelType w:val="multilevel"/>
    <w:tmpl w:val="2E825AFA"/>
    <w:lvl w:ilvl="0" w:tentative="0">
      <w:start w:val="1"/>
      <w:numFmt w:val="decimal"/>
      <w:lvlText w:val="2.%1"/>
      <w:lvlJc w:val="left"/>
      <w:pPr>
        <w:ind w:left="420" w:hanging="420"/>
      </w:pPr>
      <w:rPr>
        <w:rFonts w:hint="eastAsia" w:cs="Times New Roman"/>
        <w:b w:val="0"/>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29">
    <w:nsid w:val="311832AE"/>
    <w:multiLevelType w:val="multilevel"/>
    <w:tmpl w:val="311832AE"/>
    <w:lvl w:ilvl="0" w:tentative="0">
      <w:start w:val="1"/>
      <w:numFmt w:val="decimal"/>
      <w:lvlText w:val="19.%1"/>
      <w:lvlJc w:val="left"/>
      <w:pPr>
        <w:ind w:left="420" w:hanging="420"/>
      </w:pPr>
      <w:rPr>
        <w:rFonts w:hint="default" w:ascii="仿宋" w:hAnsi="仿宋" w:eastAsia="仿宋" w:cs="Times New Roman"/>
        <w:b w:val="0"/>
        <w:strike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30">
    <w:nsid w:val="315F4B3A"/>
    <w:multiLevelType w:val="multilevel"/>
    <w:tmpl w:val="315F4B3A"/>
    <w:lvl w:ilvl="0" w:tentative="0">
      <w:start w:val="1"/>
      <w:numFmt w:val="decimal"/>
      <w:lvlText w:val="7.%1"/>
      <w:lvlJc w:val="left"/>
      <w:pPr>
        <w:ind w:left="988" w:hanging="420"/>
      </w:pPr>
      <w:rPr>
        <w:rFonts w:hint="default" w:ascii="仿宋" w:hAnsi="仿宋" w:eastAsia="仿宋" w:cs="Times New Roman"/>
        <w:b w:val="0"/>
        <w:color w:val="auto"/>
      </w:rPr>
    </w:lvl>
    <w:lvl w:ilvl="1" w:tentative="0">
      <w:start w:val="1"/>
      <w:numFmt w:val="lowerLetter"/>
      <w:lvlText w:val="%2)"/>
      <w:lvlJc w:val="left"/>
      <w:pPr>
        <w:ind w:left="1408" w:hanging="420"/>
      </w:pPr>
      <w:rPr>
        <w:rFonts w:cs="Times New Roman"/>
      </w:rPr>
    </w:lvl>
    <w:lvl w:ilvl="2" w:tentative="0">
      <w:start w:val="1"/>
      <w:numFmt w:val="lowerRoman"/>
      <w:lvlText w:val="%3."/>
      <w:lvlJc w:val="right"/>
      <w:pPr>
        <w:ind w:left="1828" w:hanging="420"/>
      </w:pPr>
      <w:rPr>
        <w:rFonts w:cs="Times New Roman"/>
      </w:rPr>
    </w:lvl>
    <w:lvl w:ilvl="3" w:tentative="0">
      <w:start w:val="1"/>
      <w:numFmt w:val="decimal"/>
      <w:lvlText w:val="%4."/>
      <w:lvlJc w:val="left"/>
      <w:pPr>
        <w:ind w:left="2248" w:hanging="420"/>
      </w:pPr>
      <w:rPr>
        <w:rFonts w:cs="Times New Roman"/>
      </w:rPr>
    </w:lvl>
    <w:lvl w:ilvl="4" w:tentative="0">
      <w:start w:val="1"/>
      <w:numFmt w:val="lowerLetter"/>
      <w:lvlText w:val="%5)"/>
      <w:lvlJc w:val="left"/>
      <w:pPr>
        <w:ind w:left="2668" w:hanging="420"/>
      </w:pPr>
      <w:rPr>
        <w:rFonts w:cs="Times New Roman"/>
      </w:rPr>
    </w:lvl>
    <w:lvl w:ilvl="5" w:tentative="0">
      <w:start w:val="1"/>
      <w:numFmt w:val="lowerRoman"/>
      <w:lvlText w:val="%6."/>
      <w:lvlJc w:val="right"/>
      <w:pPr>
        <w:ind w:left="3088" w:hanging="420"/>
      </w:pPr>
      <w:rPr>
        <w:rFonts w:cs="Times New Roman"/>
      </w:rPr>
    </w:lvl>
    <w:lvl w:ilvl="6" w:tentative="0">
      <w:start w:val="1"/>
      <w:numFmt w:val="decimal"/>
      <w:lvlText w:val="%7."/>
      <w:lvlJc w:val="left"/>
      <w:pPr>
        <w:ind w:left="3508" w:hanging="420"/>
      </w:pPr>
      <w:rPr>
        <w:rFonts w:cs="Times New Roman"/>
      </w:rPr>
    </w:lvl>
    <w:lvl w:ilvl="7" w:tentative="0">
      <w:start w:val="1"/>
      <w:numFmt w:val="lowerLetter"/>
      <w:lvlText w:val="%8)"/>
      <w:lvlJc w:val="left"/>
      <w:pPr>
        <w:ind w:left="3928" w:hanging="420"/>
      </w:pPr>
      <w:rPr>
        <w:rFonts w:cs="Times New Roman"/>
      </w:rPr>
    </w:lvl>
    <w:lvl w:ilvl="8" w:tentative="0">
      <w:start w:val="1"/>
      <w:numFmt w:val="lowerRoman"/>
      <w:lvlText w:val="%9."/>
      <w:lvlJc w:val="right"/>
      <w:pPr>
        <w:ind w:left="4348" w:hanging="420"/>
      </w:pPr>
      <w:rPr>
        <w:rFonts w:cs="Times New Roman"/>
      </w:rPr>
    </w:lvl>
  </w:abstractNum>
  <w:abstractNum w:abstractNumId="31">
    <w:nsid w:val="33020AE6"/>
    <w:multiLevelType w:val="multilevel"/>
    <w:tmpl w:val="33020AE6"/>
    <w:lvl w:ilvl="0" w:tentative="0">
      <w:start w:val="1"/>
      <w:numFmt w:val="decimal"/>
      <w:lvlText w:val="%1"/>
      <w:lvlJc w:val="left"/>
      <w:pPr>
        <w:ind w:left="420" w:hanging="420"/>
      </w:pPr>
      <w:rPr>
        <w:rFonts w:hint="default" w:ascii="宋体" w:hAnsi="宋体" w:eastAsia="宋体" w:cs="Times New Roman"/>
        <w:b/>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32">
    <w:nsid w:val="35442C9F"/>
    <w:multiLevelType w:val="multilevel"/>
    <w:tmpl w:val="35442C9F"/>
    <w:lvl w:ilvl="0" w:tentative="0">
      <w:start w:val="1"/>
      <w:numFmt w:val="decimal"/>
      <w:lvlText w:val="（%1）"/>
      <w:lvlJc w:val="left"/>
      <w:pPr>
        <w:ind w:left="840" w:hanging="420"/>
      </w:pPr>
      <w:rPr>
        <w:rFonts w:hint="eastAsia" w:ascii="仿宋" w:hAnsi="仿宋" w:eastAsia="仿宋" w:cs="Times New Roman"/>
        <w:b w:val="0"/>
        <w:caps w:val="0"/>
        <w:strike w:val="0"/>
        <w:dstrike w:val="0"/>
        <w:vanish w:val="0"/>
        <w:color w:val="auto"/>
        <w:vertAlign w:val="baseline"/>
      </w:rPr>
    </w:lvl>
    <w:lvl w:ilvl="1" w:tentative="0">
      <w:start w:val="1"/>
      <w:numFmt w:val="lowerLetter"/>
      <w:lvlText w:val="%2)"/>
      <w:lvlJc w:val="left"/>
      <w:pPr>
        <w:ind w:left="1260" w:hanging="420"/>
      </w:pPr>
      <w:rPr>
        <w:rFonts w:cs="Times New Roman"/>
      </w:rPr>
    </w:lvl>
    <w:lvl w:ilvl="2" w:tentative="0">
      <w:start w:val="1"/>
      <w:numFmt w:val="lowerRoman"/>
      <w:lvlText w:val="%3."/>
      <w:lvlJc w:val="right"/>
      <w:pPr>
        <w:ind w:left="1680" w:hanging="420"/>
      </w:pPr>
      <w:rPr>
        <w:rFonts w:cs="Times New Roman"/>
      </w:rPr>
    </w:lvl>
    <w:lvl w:ilvl="3" w:tentative="0">
      <w:start w:val="1"/>
      <w:numFmt w:val="decimal"/>
      <w:lvlText w:val="%4."/>
      <w:lvlJc w:val="left"/>
      <w:pPr>
        <w:ind w:left="2100" w:hanging="420"/>
      </w:pPr>
      <w:rPr>
        <w:rFonts w:cs="Times New Roman"/>
      </w:rPr>
    </w:lvl>
    <w:lvl w:ilvl="4" w:tentative="0">
      <w:start w:val="1"/>
      <w:numFmt w:val="lowerLetter"/>
      <w:lvlText w:val="%5)"/>
      <w:lvlJc w:val="left"/>
      <w:pPr>
        <w:ind w:left="2520" w:hanging="420"/>
      </w:pPr>
      <w:rPr>
        <w:rFonts w:cs="Times New Roman"/>
      </w:rPr>
    </w:lvl>
    <w:lvl w:ilvl="5" w:tentative="0">
      <w:start w:val="1"/>
      <w:numFmt w:val="lowerRoman"/>
      <w:lvlText w:val="%6."/>
      <w:lvlJc w:val="right"/>
      <w:pPr>
        <w:ind w:left="2940" w:hanging="420"/>
      </w:pPr>
      <w:rPr>
        <w:rFonts w:cs="Times New Roman"/>
      </w:rPr>
    </w:lvl>
    <w:lvl w:ilvl="6" w:tentative="0">
      <w:start w:val="1"/>
      <w:numFmt w:val="decimal"/>
      <w:lvlText w:val="%7."/>
      <w:lvlJc w:val="left"/>
      <w:pPr>
        <w:ind w:left="3360" w:hanging="420"/>
      </w:pPr>
      <w:rPr>
        <w:rFonts w:cs="Times New Roman"/>
      </w:rPr>
    </w:lvl>
    <w:lvl w:ilvl="7" w:tentative="0">
      <w:start w:val="1"/>
      <w:numFmt w:val="lowerLetter"/>
      <w:lvlText w:val="%8)"/>
      <w:lvlJc w:val="left"/>
      <w:pPr>
        <w:ind w:left="3780" w:hanging="420"/>
      </w:pPr>
      <w:rPr>
        <w:rFonts w:cs="Times New Roman"/>
      </w:rPr>
    </w:lvl>
    <w:lvl w:ilvl="8" w:tentative="0">
      <w:start w:val="1"/>
      <w:numFmt w:val="lowerRoman"/>
      <w:lvlText w:val="%9."/>
      <w:lvlJc w:val="right"/>
      <w:pPr>
        <w:ind w:left="4200" w:hanging="420"/>
      </w:pPr>
      <w:rPr>
        <w:rFonts w:cs="Times New Roman"/>
      </w:rPr>
    </w:lvl>
  </w:abstractNum>
  <w:abstractNum w:abstractNumId="33">
    <w:nsid w:val="37C132BF"/>
    <w:multiLevelType w:val="multilevel"/>
    <w:tmpl w:val="37C132BF"/>
    <w:lvl w:ilvl="0" w:tentative="0">
      <w:start w:val="1"/>
      <w:numFmt w:val="decimal"/>
      <w:lvlText w:val="4.%1"/>
      <w:lvlJc w:val="left"/>
      <w:pPr>
        <w:ind w:left="420" w:hanging="420"/>
      </w:pPr>
      <w:rPr>
        <w:rFonts w:hint="default" w:ascii="仿宋" w:hAnsi="仿宋" w:eastAsia="仿宋" w:cs="Times New Roman"/>
        <w:b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34">
    <w:nsid w:val="38F606C2"/>
    <w:multiLevelType w:val="multilevel"/>
    <w:tmpl w:val="38F606C2"/>
    <w:lvl w:ilvl="0" w:tentative="0">
      <w:start w:val="1"/>
      <w:numFmt w:val="chineseCountingThousand"/>
      <w:lvlText w:val="%1、"/>
      <w:lvlJc w:val="left"/>
      <w:pPr>
        <w:ind w:left="420" w:hanging="420"/>
      </w:pPr>
      <w:rPr>
        <w:rFonts w:hint="eastAsia" w:cs="Times New Roman"/>
        <w:sz w:val="30"/>
        <w:szCs w:val="30"/>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35">
    <w:nsid w:val="3DE06FC6"/>
    <w:multiLevelType w:val="multilevel"/>
    <w:tmpl w:val="3DE06FC6"/>
    <w:lvl w:ilvl="0" w:tentative="0">
      <w:start w:val="1"/>
      <w:numFmt w:val="decimal"/>
      <w:lvlText w:val="20.%1"/>
      <w:lvlJc w:val="left"/>
      <w:pPr>
        <w:ind w:left="420" w:hanging="420"/>
      </w:pPr>
      <w:rPr>
        <w:rFonts w:hint="default" w:ascii="仿宋" w:hAnsi="仿宋" w:eastAsia="仿宋" w:cs="Times New Roman"/>
        <w:b w:val="0"/>
        <w:strike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36">
    <w:nsid w:val="3FF72387"/>
    <w:multiLevelType w:val="multilevel"/>
    <w:tmpl w:val="3FF72387"/>
    <w:lvl w:ilvl="0" w:tentative="0">
      <w:start w:val="1"/>
      <w:numFmt w:val="decimal"/>
      <w:lvlText w:val="%1. "/>
      <w:lvlJc w:val="left"/>
      <w:pPr>
        <w:ind w:left="824" w:hanging="420"/>
      </w:pPr>
      <w:rPr>
        <w:rFonts w:hint="default" w:ascii="宋体" w:hAnsi="宋体" w:eastAsia="宋体" w:cs="Times New Roman"/>
        <w:b/>
        <w:strike w:val="0"/>
        <w:color w:val="auto"/>
      </w:rPr>
    </w:lvl>
    <w:lvl w:ilvl="1" w:tentative="0">
      <w:start w:val="1"/>
      <w:numFmt w:val="lowerLetter"/>
      <w:lvlText w:val="%2)"/>
      <w:lvlJc w:val="left"/>
      <w:pPr>
        <w:ind w:left="1244" w:hanging="420"/>
      </w:pPr>
      <w:rPr>
        <w:rFonts w:cs="Times New Roman"/>
      </w:rPr>
    </w:lvl>
    <w:lvl w:ilvl="2" w:tentative="0">
      <w:start w:val="1"/>
      <w:numFmt w:val="lowerRoman"/>
      <w:lvlText w:val="%3."/>
      <w:lvlJc w:val="right"/>
      <w:pPr>
        <w:ind w:left="1664" w:hanging="420"/>
      </w:pPr>
      <w:rPr>
        <w:rFonts w:cs="Times New Roman"/>
      </w:rPr>
    </w:lvl>
    <w:lvl w:ilvl="3" w:tentative="0">
      <w:start w:val="1"/>
      <w:numFmt w:val="decimal"/>
      <w:lvlText w:val="%4."/>
      <w:lvlJc w:val="left"/>
      <w:pPr>
        <w:ind w:left="2084" w:hanging="420"/>
      </w:pPr>
      <w:rPr>
        <w:rFonts w:cs="Times New Roman"/>
      </w:rPr>
    </w:lvl>
    <w:lvl w:ilvl="4" w:tentative="0">
      <w:start w:val="1"/>
      <w:numFmt w:val="lowerLetter"/>
      <w:lvlText w:val="%5)"/>
      <w:lvlJc w:val="left"/>
      <w:pPr>
        <w:ind w:left="2504" w:hanging="420"/>
      </w:pPr>
      <w:rPr>
        <w:rFonts w:cs="Times New Roman"/>
      </w:rPr>
    </w:lvl>
    <w:lvl w:ilvl="5" w:tentative="0">
      <w:start w:val="1"/>
      <w:numFmt w:val="lowerRoman"/>
      <w:lvlText w:val="%6."/>
      <w:lvlJc w:val="right"/>
      <w:pPr>
        <w:ind w:left="2924" w:hanging="420"/>
      </w:pPr>
      <w:rPr>
        <w:rFonts w:cs="Times New Roman"/>
      </w:rPr>
    </w:lvl>
    <w:lvl w:ilvl="6" w:tentative="0">
      <w:start w:val="1"/>
      <w:numFmt w:val="decimal"/>
      <w:lvlText w:val="%7."/>
      <w:lvlJc w:val="left"/>
      <w:pPr>
        <w:ind w:left="3344" w:hanging="420"/>
      </w:pPr>
      <w:rPr>
        <w:rFonts w:cs="Times New Roman"/>
      </w:rPr>
    </w:lvl>
    <w:lvl w:ilvl="7" w:tentative="0">
      <w:start w:val="1"/>
      <w:numFmt w:val="lowerLetter"/>
      <w:lvlText w:val="%8)"/>
      <w:lvlJc w:val="left"/>
      <w:pPr>
        <w:ind w:left="3764" w:hanging="420"/>
      </w:pPr>
      <w:rPr>
        <w:rFonts w:cs="Times New Roman"/>
      </w:rPr>
    </w:lvl>
    <w:lvl w:ilvl="8" w:tentative="0">
      <w:start w:val="1"/>
      <w:numFmt w:val="lowerRoman"/>
      <w:lvlText w:val="%9."/>
      <w:lvlJc w:val="right"/>
      <w:pPr>
        <w:ind w:left="4184" w:hanging="420"/>
      </w:pPr>
      <w:rPr>
        <w:rFonts w:cs="Times New Roman"/>
      </w:rPr>
    </w:lvl>
  </w:abstractNum>
  <w:abstractNum w:abstractNumId="37">
    <w:nsid w:val="40E6015E"/>
    <w:multiLevelType w:val="multilevel"/>
    <w:tmpl w:val="40E6015E"/>
    <w:lvl w:ilvl="0" w:tentative="0">
      <w:start w:val="1"/>
      <w:numFmt w:val="decimal"/>
      <w:lvlText w:val="29.2.%1 "/>
      <w:lvlJc w:val="left"/>
      <w:pPr>
        <w:ind w:left="643" w:hanging="420"/>
      </w:pPr>
      <w:rPr>
        <w:rFonts w:hint="default" w:ascii="楷体" w:hAnsi="楷体" w:eastAsia="楷体" w:cs="Times New Roman"/>
        <w:b w:val="0"/>
        <w:strike w:val="0"/>
        <w:color w:val="auto"/>
      </w:rPr>
    </w:lvl>
    <w:lvl w:ilvl="1" w:tentative="0">
      <w:start w:val="1"/>
      <w:numFmt w:val="lowerLetter"/>
      <w:lvlText w:val="%2)"/>
      <w:lvlJc w:val="left"/>
      <w:pPr>
        <w:ind w:left="1063" w:hanging="420"/>
      </w:pPr>
      <w:rPr>
        <w:rFonts w:cs="Times New Roman"/>
      </w:rPr>
    </w:lvl>
    <w:lvl w:ilvl="2" w:tentative="0">
      <w:start w:val="1"/>
      <w:numFmt w:val="lowerRoman"/>
      <w:lvlText w:val="%3."/>
      <w:lvlJc w:val="right"/>
      <w:pPr>
        <w:ind w:left="1483" w:hanging="420"/>
      </w:pPr>
      <w:rPr>
        <w:rFonts w:cs="Times New Roman"/>
      </w:rPr>
    </w:lvl>
    <w:lvl w:ilvl="3" w:tentative="0">
      <w:start w:val="1"/>
      <w:numFmt w:val="decimal"/>
      <w:lvlText w:val="%4."/>
      <w:lvlJc w:val="left"/>
      <w:pPr>
        <w:ind w:left="1903" w:hanging="420"/>
      </w:pPr>
      <w:rPr>
        <w:rFonts w:cs="Times New Roman"/>
      </w:rPr>
    </w:lvl>
    <w:lvl w:ilvl="4" w:tentative="0">
      <w:start w:val="1"/>
      <w:numFmt w:val="lowerLetter"/>
      <w:lvlText w:val="%5)"/>
      <w:lvlJc w:val="left"/>
      <w:pPr>
        <w:ind w:left="2323" w:hanging="420"/>
      </w:pPr>
      <w:rPr>
        <w:rFonts w:cs="Times New Roman"/>
      </w:rPr>
    </w:lvl>
    <w:lvl w:ilvl="5" w:tentative="0">
      <w:start w:val="1"/>
      <w:numFmt w:val="lowerRoman"/>
      <w:lvlText w:val="%6."/>
      <w:lvlJc w:val="right"/>
      <w:pPr>
        <w:ind w:left="2743" w:hanging="420"/>
      </w:pPr>
      <w:rPr>
        <w:rFonts w:cs="Times New Roman"/>
      </w:rPr>
    </w:lvl>
    <w:lvl w:ilvl="6" w:tentative="0">
      <w:start w:val="1"/>
      <w:numFmt w:val="decimal"/>
      <w:lvlText w:val="%7."/>
      <w:lvlJc w:val="left"/>
      <w:pPr>
        <w:ind w:left="3163" w:hanging="420"/>
      </w:pPr>
      <w:rPr>
        <w:rFonts w:cs="Times New Roman"/>
      </w:rPr>
    </w:lvl>
    <w:lvl w:ilvl="7" w:tentative="0">
      <w:start w:val="1"/>
      <w:numFmt w:val="lowerLetter"/>
      <w:lvlText w:val="%8)"/>
      <w:lvlJc w:val="left"/>
      <w:pPr>
        <w:ind w:left="3583" w:hanging="420"/>
      </w:pPr>
      <w:rPr>
        <w:rFonts w:cs="Times New Roman"/>
      </w:rPr>
    </w:lvl>
    <w:lvl w:ilvl="8" w:tentative="0">
      <w:start w:val="1"/>
      <w:numFmt w:val="lowerRoman"/>
      <w:lvlText w:val="%9."/>
      <w:lvlJc w:val="right"/>
      <w:pPr>
        <w:ind w:left="4003" w:hanging="420"/>
      </w:pPr>
      <w:rPr>
        <w:rFonts w:cs="Times New Roman"/>
      </w:rPr>
    </w:lvl>
  </w:abstractNum>
  <w:abstractNum w:abstractNumId="38">
    <w:nsid w:val="41730A17"/>
    <w:multiLevelType w:val="multilevel"/>
    <w:tmpl w:val="41730A17"/>
    <w:lvl w:ilvl="0" w:tentative="0">
      <w:start w:val="1"/>
      <w:numFmt w:val="decimal"/>
      <w:lvlText w:val="21.%1"/>
      <w:lvlJc w:val="left"/>
      <w:pPr>
        <w:ind w:left="562" w:hanging="420"/>
      </w:pPr>
      <w:rPr>
        <w:rFonts w:hint="default" w:ascii="仿宋" w:hAnsi="仿宋" w:eastAsia="仿宋" w:cs="Times New Roman"/>
        <w:b w:val="0"/>
        <w:strike w:val="0"/>
        <w:color w:val="auto"/>
      </w:rPr>
    </w:lvl>
    <w:lvl w:ilvl="1" w:tentative="0">
      <w:start w:val="1"/>
      <w:numFmt w:val="lowerLetter"/>
      <w:lvlText w:val="%2)"/>
      <w:lvlJc w:val="left"/>
      <w:pPr>
        <w:ind w:left="982" w:hanging="420"/>
      </w:pPr>
      <w:rPr>
        <w:rFonts w:cs="Times New Roman"/>
      </w:rPr>
    </w:lvl>
    <w:lvl w:ilvl="2" w:tentative="0">
      <w:start w:val="1"/>
      <w:numFmt w:val="lowerRoman"/>
      <w:lvlText w:val="%3."/>
      <w:lvlJc w:val="right"/>
      <w:pPr>
        <w:ind w:left="1402" w:hanging="420"/>
      </w:pPr>
      <w:rPr>
        <w:rFonts w:cs="Times New Roman"/>
      </w:rPr>
    </w:lvl>
    <w:lvl w:ilvl="3" w:tentative="0">
      <w:start w:val="1"/>
      <w:numFmt w:val="decimal"/>
      <w:lvlText w:val="%4."/>
      <w:lvlJc w:val="left"/>
      <w:pPr>
        <w:ind w:left="1822" w:hanging="420"/>
      </w:pPr>
      <w:rPr>
        <w:rFonts w:cs="Times New Roman"/>
      </w:rPr>
    </w:lvl>
    <w:lvl w:ilvl="4" w:tentative="0">
      <w:start w:val="1"/>
      <w:numFmt w:val="lowerLetter"/>
      <w:lvlText w:val="%5)"/>
      <w:lvlJc w:val="left"/>
      <w:pPr>
        <w:ind w:left="2242" w:hanging="420"/>
      </w:pPr>
      <w:rPr>
        <w:rFonts w:cs="Times New Roman"/>
      </w:rPr>
    </w:lvl>
    <w:lvl w:ilvl="5" w:tentative="0">
      <w:start w:val="1"/>
      <w:numFmt w:val="lowerRoman"/>
      <w:lvlText w:val="%6."/>
      <w:lvlJc w:val="right"/>
      <w:pPr>
        <w:ind w:left="2662" w:hanging="420"/>
      </w:pPr>
      <w:rPr>
        <w:rFonts w:cs="Times New Roman"/>
      </w:rPr>
    </w:lvl>
    <w:lvl w:ilvl="6" w:tentative="0">
      <w:start w:val="1"/>
      <w:numFmt w:val="decimal"/>
      <w:lvlText w:val="%7."/>
      <w:lvlJc w:val="left"/>
      <w:pPr>
        <w:ind w:left="3082" w:hanging="420"/>
      </w:pPr>
      <w:rPr>
        <w:rFonts w:cs="Times New Roman"/>
      </w:rPr>
    </w:lvl>
    <w:lvl w:ilvl="7" w:tentative="0">
      <w:start w:val="1"/>
      <w:numFmt w:val="lowerLetter"/>
      <w:lvlText w:val="%8)"/>
      <w:lvlJc w:val="left"/>
      <w:pPr>
        <w:ind w:left="3502" w:hanging="420"/>
      </w:pPr>
      <w:rPr>
        <w:rFonts w:cs="Times New Roman"/>
      </w:rPr>
    </w:lvl>
    <w:lvl w:ilvl="8" w:tentative="0">
      <w:start w:val="1"/>
      <w:numFmt w:val="lowerRoman"/>
      <w:lvlText w:val="%9."/>
      <w:lvlJc w:val="right"/>
      <w:pPr>
        <w:ind w:left="3922" w:hanging="420"/>
      </w:pPr>
      <w:rPr>
        <w:rFonts w:cs="Times New Roman"/>
      </w:rPr>
    </w:lvl>
  </w:abstractNum>
  <w:abstractNum w:abstractNumId="39">
    <w:nsid w:val="440821F5"/>
    <w:multiLevelType w:val="multilevel"/>
    <w:tmpl w:val="440821F5"/>
    <w:lvl w:ilvl="0" w:tentative="0">
      <w:start w:val="1"/>
      <w:numFmt w:val="decimal"/>
      <w:lvlText w:val="%1."/>
      <w:lvlJc w:val="left"/>
      <w:pPr>
        <w:ind w:left="420" w:hanging="420"/>
      </w:pPr>
      <w:rPr>
        <w:rFonts w:hint="default" w:ascii="宋体" w:hAnsi="宋体" w:eastAsia="宋体" w:cs="Times New Roman"/>
        <w:b/>
        <w:strike w:val="0"/>
        <w:color w:val="auto"/>
        <w:sz w:val="24"/>
        <w:szCs w:val="24"/>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40">
    <w:nsid w:val="445F2796"/>
    <w:multiLevelType w:val="multilevel"/>
    <w:tmpl w:val="445F2796"/>
    <w:lvl w:ilvl="0" w:tentative="0">
      <w:start w:val="1"/>
      <w:numFmt w:val="decimal"/>
      <w:lvlText w:val="2.%1 "/>
      <w:lvlJc w:val="left"/>
      <w:pPr>
        <w:ind w:left="840" w:hanging="420"/>
      </w:pPr>
      <w:rPr>
        <w:rFonts w:hint="eastAsia" w:ascii="仿宋" w:hAnsi="仿宋" w:eastAsia="仿宋" w:cs="Times New Roman"/>
        <w:b w:val="0"/>
        <w:caps w:val="0"/>
        <w:strike w:val="0"/>
        <w:dstrike w:val="0"/>
        <w:vanish w:val="0"/>
        <w:color w:val="auto"/>
        <w:vertAlign w:val="baseline"/>
      </w:rPr>
    </w:lvl>
    <w:lvl w:ilvl="1" w:tentative="0">
      <w:start w:val="1"/>
      <w:numFmt w:val="lowerLetter"/>
      <w:lvlText w:val="%2)"/>
      <w:lvlJc w:val="left"/>
      <w:pPr>
        <w:ind w:left="1260" w:hanging="420"/>
      </w:pPr>
      <w:rPr>
        <w:rFonts w:cs="Times New Roman"/>
      </w:rPr>
    </w:lvl>
    <w:lvl w:ilvl="2" w:tentative="0">
      <w:start w:val="1"/>
      <w:numFmt w:val="lowerRoman"/>
      <w:lvlText w:val="%3."/>
      <w:lvlJc w:val="right"/>
      <w:pPr>
        <w:ind w:left="1680" w:hanging="420"/>
      </w:pPr>
      <w:rPr>
        <w:rFonts w:cs="Times New Roman"/>
      </w:rPr>
    </w:lvl>
    <w:lvl w:ilvl="3" w:tentative="0">
      <w:start w:val="1"/>
      <w:numFmt w:val="decimal"/>
      <w:lvlText w:val="%4."/>
      <w:lvlJc w:val="left"/>
      <w:pPr>
        <w:ind w:left="2100" w:hanging="420"/>
      </w:pPr>
      <w:rPr>
        <w:rFonts w:cs="Times New Roman"/>
      </w:rPr>
    </w:lvl>
    <w:lvl w:ilvl="4" w:tentative="0">
      <w:start w:val="1"/>
      <w:numFmt w:val="lowerLetter"/>
      <w:lvlText w:val="%5)"/>
      <w:lvlJc w:val="left"/>
      <w:pPr>
        <w:ind w:left="2520" w:hanging="420"/>
      </w:pPr>
      <w:rPr>
        <w:rFonts w:cs="Times New Roman"/>
      </w:rPr>
    </w:lvl>
    <w:lvl w:ilvl="5" w:tentative="0">
      <w:start w:val="1"/>
      <w:numFmt w:val="lowerRoman"/>
      <w:lvlText w:val="%6."/>
      <w:lvlJc w:val="right"/>
      <w:pPr>
        <w:ind w:left="2940" w:hanging="420"/>
      </w:pPr>
      <w:rPr>
        <w:rFonts w:cs="Times New Roman"/>
      </w:rPr>
    </w:lvl>
    <w:lvl w:ilvl="6" w:tentative="0">
      <w:start w:val="1"/>
      <w:numFmt w:val="decimal"/>
      <w:lvlText w:val="%7."/>
      <w:lvlJc w:val="left"/>
      <w:pPr>
        <w:ind w:left="3360" w:hanging="420"/>
      </w:pPr>
      <w:rPr>
        <w:rFonts w:cs="Times New Roman"/>
      </w:rPr>
    </w:lvl>
    <w:lvl w:ilvl="7" w:tentative="0">
      <w:start w:val="1"/>
      <w:numFmt w:val="lowerLetter"/>
      <w:lvlText w:val="%8)"/>
      <w:lvlJc w:val="left"/>
      <w:pPr>
        <w:ind w:left="3780" w:hanging="420"/>
      </w:pPr>
      <w:rPr>
        <w:rFonts w:cs="Times New Roman"/>
      </w:rPr>
    </w:lvl>
    <w:lvl w:ilvl="8" w:tentative="0">
      <w:start w:val="1"/>
      <w:numFmt w:val="lowerRoman"/>
      <w:lvlText w:val="%9."/>
      <w:lvlJc w:val="right"/>
      <w:pPr>
        <w:ind w:left="4200" w:hanging="420"/>
      </w:pPr>
      <w:rPr>
        <w:rFonts w:cs="Times New Roman"/>
      </w:rPr>
    </w:lvl>
  </w:abstractNum>
  <w:abstractNum w:abstractNumId="41">
    <w:nsid w:val="4D575265"/>
    <w:multiLevelType w:val="multilevel"/>
    <w:tmpl w:val="4D575265"/>
    <w:lvl w:ilvl="0" w:tentative="0">
      <w:start w:val="1"/>
      <w:numFmt w:val="decimal"/>
      <w:lvlText w:val="4.%1  "/>
      <w:lvlJc w:val="left"/>
      <w:pPr>
        <w:ind w:left="846" w:hanging="420"/>
      </w:pPr>
      <w:rPr>
        <w:rFonts w:hint="default" w:ascii="仿宋" w:hAnsi="仿宋" w:eastAsia="仿宋" w:cs="Times New Roman"/>
        <w:b w:val="0"/>
        <w:strike w:val="0"/>
        <w:color w:val="auto"/>
      </w:rPr>
    </w:lvl>
    <w:lvl w:ilvl="1" w:tentative="0">
      <w:start w:val="1"/>
      <w:numFmt w:val="lowerLetter"/>
      <w:lvlText w:val="%2)"/>
      <w:lvlJc w:val="left"/>
      <w:pPr>
        <w:ind w:left="3643" w:hanging="420"/>
      </w:pPr>
      <w:rPr>
        <w:rFonts w:cs="Times New Roman"/>
      </w:rPr>
    </w:lvl>
    <w:lvl w:ilvl="2" w:tentative="0">
      <w:start w:val="1"/>
      <w:numFmt w:val="lowerRoman"/>
      <w:lvlText w:val="%3."/>
      <w:lvlJc w:val="right"/>
      <w:pPr>
        <w:ind w:left="4063" w:hanging="420"/>
      </w:pPr>
      <w:rPr>
        <w:rFonts w:cs="Times New Roman"/>
      </w:rPr>
    </w:lvl>
    <w:lvl w:ilvl="3" w:tentative="0">
      <w:start w:val="1"/>
      <w:numFmt w:val="decimal"/>
      <w:lvlText w:val="%4."/>
      <w:lvlJc w:val="left"/>
      <w:pPr>
        <w:ind w:left="4483" w:hanging="420"/>
      </w:pPr>
      <w:rPr>
        <w:rFonts w:cs="Times New Roman"/>
      </w:rPr>
    </w:lvl>
    <w:lvl w:ilvl="4" w:tentative="0">
      <w:start w:val="1"/>
      <w:numFmt w:val="lowerLetter"/>
      <w:lvlText w:val="%5)"/>
      <w:lvlJc w:val="left"/>
      <w:pPr>
        <w:ind w:left="4903" w:hanging="420"/>
      </w:pPr>
      <w:rPr>
        <w:rFonts w:cs="Times New Roman"/>
      </w:rPr>
    </w:lvl>
    <w:lvl w:ilvl="5" w:tentative="0">
      <w:start w:val="1"/>
      <w:numFmt w:val="lowerRoman"/>
      <w:lvlText w:val="%6."/>
      <w:lvlJc w:val="right"/>
      <w:pPr>
        <w:ind w:left="5323" w:hanging="420"/>
      </w:pPr>
      <w:rPr>
        <w:rFonts w:cs="Times New Roman"/>
      </w:rPr>
    </w:lvl>
    <w:lvl w:ilvl="6" w:tentative="0">
      <w:start w:val="1"/>
      <w:numFmt w:val="decimal"/>
      <w:lvlText w:val="%7."/>
      <w:lvlJc w:val="left"/>
      <w:pPr>
        <w:ind w:left="5743" w:hanging="420"/>
      </w:pPr>
      <w:rPr>
        <w:rFonts w:cs="Times New Roman"/>
      </w:rPr>
    </w:lvl>
    <w:lvl w:ilvl="7" w:tentative="0">
      <w:start w:val="1"/>
      <w:numFmt w:val="lowerLetter"/>
      <w:lvlText w:val="%8)"/>
      <w:lvlJc w:val="left"/>
      <w:pPr>
        <w:ind w:left="6163" w:hanging="420"/>
      </w:pPr>
      <w:rPr>
        <w:rFonts w:cs="Times New Roman"/>
      </w:rPr>
    </w:lvl>
    <w:lvl w:ilvl="8" w:tentative="0">
      <w:start w:val="1"/>
      <w:numFmt w:val="lowerRoman"/>
      <w:lvlText w:val="%9."/>
      <w:lvlJc w:val="right"/>
      <w:pPr>
        <w:ind w:left="6583" w:hanging="420"/>
      </w:pPr>
      <w:rPr>
        <w:rFonts w:cs="Times New Roman"/>
      </w:rPr>
    </w:lvl>
  </w:abstractNum>
  <w:abstractNum w:abstractNumId="42">
    <w:nsid w:val="4EAF5455"/>
    <w:multiLevelType w:val="multilevel"/>
    <w:tmpl w:val="4EAF5455"/>
    <w:lvl w:ilvl="0" w:tentative="0">
      <w:start w:val="1"/>
      <w:numFmt w:val="chineseCountingThousand"/>
      <w:lvlText w:val="第%1章  "/>
      <w:lvlJc w:val="left"/>
      <w:pPr>
        <w:ind w:left="420" w:hanging="420"/>
      </w:pPr>
      <w:rPr>
        <w:rFonts w:hint="eastAsia"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43">
    <w:nsid w:val="505F200A"/>
    <w:multiLevelType w:val="multilevel"/>
    <w:tmpl w:val="505F200A"/>
    <w:lvl w:ilvl="0" w:tentative="0">
      <w:start w:val="1"/>
      <w:numFmt w:val="decimal"/>
      <w:lvlText w:val="1.%1 "/>
      <w:lvlJc w:val="left"/>
      <w:pPr>
        <w:ind w:left="840" w:hanging="420"/>
      </w:pPr>
      <w:rPr>
        <w:rFonts w:hint="eastAsia" w:ascii="仿宋" w:hAnsi="仿宋" w:eastAsia="仿宋" w:cs="Times New Roman"/>
        <w:b w:val="0"/>
        <w:caps w:val="0"/>
        <w:strike w:val="0"/>
        <w:dstrike w:val="0"/>
        <w:vanish w:val="0"/>
        <w:color w:val="auto"/>
        <w:vertAlign w:val="baseline"/>
      </w:rPr>
    </w:lvl>
    <w:lvl w:ilvl="1" w:tentative="0">
      <w:start w:val="1"/>
      <w:numFmt w:val="lowerLetter"/>
      <w:lvlText w:val="%2)"/>
      <w:lvlJc w:val="left"/>
      <w:pPr>
        <w:ind w:left="1260" w:hanging="420"/>
      </w:pPr>
      <w:rPr>
        <w:rFonts w:cs="Times New Roman"/>
      </w:rPr>
    </w:lvl>
    <w:lvl w:ilvl="2" w:tentative="0">
      <w:start w:val="1"/>
      <w:numFmt w:val="lowerRoman"/>
      <w:lvlText w:val="%3."/>
      <w:lvlJc w:val="right"/>
      <w:pPr>
        <w:ind w:left="1680" w:hanging="420"/>
      </w:pPr>
      <w:rPr>
        <w:rFonts w:cs="Times New Roman"/>
      </w:rPr>
    </w:lvl>
    <w:lvl w:ilvl="3" w:tentative="0">
      <w:start w:val="1"/>
      <w:numFmt w:val="decimal"/>
      <w:lvlText w:val="%4."/>
      <w:lvlJc w:val="left"/>
      <w:pPr>
        <w:ind w:left="2100" w:hanging="420"/>
      </w:pPr>
      <w:rPr>
        <w:rFonts w:cs="Times New Roman"/>
      </w:rPr>
    </w:lvl>
    <w:lvl w:ilvl="4" w:tentative="0">
      <w:start w:val="1"/>
      <w:numFmt w:val="lowerLetter"/>
      <w:lvlText w:val="%5)"/>
      <w:lvlJc w:val="left"/>
      <w:pPr>
        <w:ind w:left="2520" w:hanging="420"/>
      </w:pPr>
      <w:rPr>
        <w:rFonts w:cs="Times New Roman"/>
      </w:rPr>
    </w:lvl>
    <w:lvl w:ilvl="5" w:tentative="0">
      <w:start w:val="1"/>
      <w:numFmt w:val="lowerRoman"/>
      <w:lvlText w:val="%6."/>
      <w:lvlJc w:val="right"/>
      <w:pPr>
        <w:ind w:left="2940" w:hanging="420"/>
      </w:pPr>
      <w:rPr>
        <w:rFonts w:cs="Times New Roman"/>
      </w:rPr>
    </w:lvl>
    <w:lvl w:ilvl="6" w:tentative="0">
      <w:start w:val="1"/>
      <w:numFmt w:val="decimal"/>
      <w:lvlText w:val="%7."/>
      <w:lvlJc w:val="left"/>
      <w:pPr>
        <w:ind w:left="3360" w:hanging="420"/>
      </w:pPr>
      <w:rPr>
        <w:rFonts w:cs="Times New Roman"/>
      </w:rPr>
    </w:lvl>
    <w:lvl w:ilvl="7" w:tentative="0">
      <w:start w:val="1"/>
      <w:numFmt w:val="lowerLetter"/>
      <w:lvlText w:val="%8)"/>
      <w:lvlJc w:val="left"/>
      <w:pPr>
        <w:ind w:left="3780" w:hanging="420"/>
      </w:pPr>
      <w:rPr>
        <w:rFonts w:cs="Times New Roman"/>
      </w:rPr>
    </w:lvl>
    <w:lvl w:ilvl="8" w:tentative="0">
      <w:start w:val="1"/>
      <w:numFmt w:val="lowerRoman"/>
      <w:lvlText w:val="%9."/>
      <w:lvlJc w:val="right"/>
      <w:pPr>
        <w:ind w:left="4200" w:hanging="420"/>
      </w:pPr>
      <w:rPr>
        <w:rFonts w:cs="Times New Roman"/>
      </w:rPr>
    </w:lvl>
  </w:abstractNum>
  <w:abstractNum w:abstractNumId="44">
    <w:nsid w:val="54AC2495"/>
    <w:multiLevelType w:val="multilevel"/>
    <w:tmpl w:val="54AC2495"/>
    <w:lvl w:ilvl="0" w:tentative="0">
      <w:start w:val="1"/>
      <w:numFmt w:val="decimal"/>
      <w:lvlText w:val="26.%1"/>
      <w:lvlJc w:val="left"/>
      <w:pPr>
        <w:ind w:left="420" w:hanging="420"/>
      </w:pPr>
      <w:rPr>
        <w:rFonts w:hint="default" w:ascii="仿宋" w:hAnsi="仿宋" w:eastAsia="仿宋" w:cs="Times New Roman"/>
        <w:b w:val="0"/>
        <w:strike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45">
    <w:nsid w:val="570117E4"/>
    <w:multiLevelType w:val="multilevel"/>
    <w:tmpl w:val="570117E4"/>
    <w:lvl w:ilvl="0" w:tentative="0">
      <w:start w:val="1"/>
      <w:numFmt w:val="decimal"/>
      <w:lvlText w:val="23.%1"/>
      <w:lvlJc w:val="left"/>
      <w:pPr>
        <w:ind w:left="420" w:hanging="420"/>
      </w:pPr>
      <w:rPr>
        <w:rFonts w:hint="default" w:ascii="仿宋" w:hAnsi="仿宋" w:eastAsia="仿宋" w:cs="Times New Roman"/>
        <w:b w:val="0"/>
        <w:strike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46">
    <w:nsid w:val="577C0B87"/>
    <w:multiLevelType w:val="multilevel"/>
    <w:tmpl w:val="577C0B87"/>
    <w:lvl w:ilvl="0" w:tentative="0">
      <w:start w:val="1"/>
      <w:numFmt w:val="chineseCountingThousand"/>
      <w:lvlText w:val="%1、"/>
      <w:lvlJc w:val="left"/>
      <w:pPr>
        <w:ind w:left="420" w:hanging="420"/>
      </w:pPr>
      <w:rPr>
        <w:rFonts w:hint="eastAsia" w:cs="Times New Roman"/>
        <w:sz w:val="30"/>
        <w:szCs w:val="30"/>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47">
    <w:nsid w:val="59A852BA"/>
    <w:multiLevelType w:val="multilevel"/>
    <w:tmpl w:val="59A852BA"/>
    <w:lvl w:ilvl="0" w:tentative="0">
      <w:start w:val="1"/>
      <w:numFmt w:val="decimal"/>
      <w:lvlText w:val="6.%1"/>
      <w:lvlJc w:val="left"/>
      <w:pPr>
        <w:ind w:left="988" w:hanging="420"/>
      </w:pPr>
      <w:rPr>
        <w:rFonts w:hint="default" w:ascii="仿宋" w:hAnsi="仿宋" w:eastAsia="仿宋" w:cs="Times New Roman"/>
        <w:b w:val="0"/>
        <w:color w:val="auto"/>
      </w:rPr>
    </w:lvl>
    <w:lvl w:ilvl="1" w:tentative="0">
      <w:start w:val="1"/>
      <w:numFmt w:val="lowerLetter"/>
      <w:lvlText w:val="%2)"/>
      <w:lvlJc w:val="left"/>
      <w:pPr>
        <w:ind w:left="1408" w:hanging="420"/>
      </w:pPr>
      <w:rPr>
        <w:rFonts w:cs="Times New Roman"/>
      </w:rPr>
    </w:lvl>
    <w:lvl w:ilvl="2" w:tentative="0">
      <w:start w:val="1"/>
      <w:numFmt w:val="lowerRoman"/>
      <w:lvlText w:val="%3."/>
      <w:lvlJc w:val="right"/>
      <w:pPr>
        <w:ind w:left="1828" w:hanging="420"/>
      </w:pPr>
      <w:rPr>
        <w:rFonts w:cs="Times New Roman"/>
      </w:rPr>
    </w:lvl>
    <w:lvl w:ilvl="3" w:tentative="0">
      <w:start w:val="1"/>
      <w:numFmt w:val="decimal"/>
      <w:lvlText w:val="%4."/>
      <w:lvlJc w:val="left"/>
      <w:pPr>
        <w:ind w:left="2248" w:hanging="420"/>
      </w:pPr>
      <w:rPr>
        <w:rFonts w:cs="Times New Roman"/>
      </w:rPr>
    </w:lvl>
    <w:lvl w:ilvl="4" w:tentative="0">
      <w:start w:val="1"/>
      <w:numFmt w:val="lowerLetter"/>
      <w:lvlText w:val="%5)"/>
      <w:lvlJc w:val="left"/>
      <w:pPr>
        <w:ind w:left="2668" w:hanging="420"/>
      </w:pPr>
      <w:rPr>
        <w:rFonts w:cs="Times New Roman"/>
      </w:rPr>
    </w:lvl>
    <w:lvl w:ilvl="5" w:tentative="0">
      <w:start w:val="1"/>
      <w:numFmt w:val="lowerRoman"/>
      <w:lvlText w:val="%6."/>
      <w:lvlJc w:val="right"/>
      <w:pPr>
        <w:ind w:left="3088" w:hanging="420"/>
      </w:pPr>
      <w:rPr>
        <w:rFonts w:cs="Times New Roman"/>
      </w:rPr>
    </w:lvl>
    <w:lvl w:ilvl="6" w:tentative="0">
      <w:start w:val="1"/>
      <w:numFmt w:val="decimal"/>
      <w:lvlText w:val="%7."/>
      <w:lvlJc w:val="left"/>
      <w:pPr>
        <w:ind w:left="3508" w:hanging="420"/>
      </w:pPr>
      <w:rPr>
        <w:rFonts w:cs="Times New Roman"/>
      </w:rPr>
    </w:lvl>
    <w:lvl w:ilvl="7" w:tentative="0">
      <w:start w:val="1"/>
      <w:numFmt w:val="lowerLetter"/>
      <w:lvlText w:val="%8)"/>
      <w:lvlJc w:val="left"/>
      <w:pPr>
        <w:ind w:left="3928" w:hanging="420"/>
      </w:pPr>
      <w:rPr>
        <w:rFonts w:cs="Times New Roman"/>
      </w:rPr>
    </w:lvl>
    <w:lvl w:ilvl="8" w:tentative="0">
      <w:start w:val="1"/>
      <w:numFmt w:val="lowerRoman"/>
      <w:lvlText w:val="%9."/>
      <w:lvlJc w:val="right"/>
      <w:pPr>
        <w:ind w:left="4348" w:hanging="420"/>
      </w:pPr>
      <w:rPr>
        <w:rFonts w:cs="Times New Roman"/>
      </w:rPr>
    </w:lvl>
  </w:abstractNum>
  <w:abstractNum w:abstractNumId="48">
    <w:nsid w:val="5A02CE94"/>
    <w:multiLevelType w:val="multilevel"/>
    <w:tmpl w:val="5A02CE94"/>
    <w:lvl w:ilvl="0" w:tentative="0">
      <w:start w:val="1"/>
      <w:numFmt w:val="decimal"/>
      <w:lvlText w:val="3.2.%1"/>
      <w:lvlJc w:val="left"/>
      <w:pPr>
        <w:ind w:left="987" w:hanging="420"/>
      </w:pPr>
      <w:rPr>
        <w:rFonts w:ascii="楷体" w:hAnsi="楷体" w:eastAsia="楷体" w:cs="Times New Roman"/>
        <w:strike w:val="0"/>
      </w:rPr>
    </w:lvl>
    <w:lvl w:ilvl="1" w:tentative="0">
      <w:start w:val="1"/>
      <w:numFmt w:val="lowerLetter"/>
      <w:lvlText w:val="%2)"/>
      <w:lvlJc w:val="left"/>
      <w:pPr>
        <w:ind w:left="1407" w:hanging="420"/>
      </w:pPr>
      <w:rPr>
        <w:rFonts w:cs="Times New Roman"/>
      </w:rPr>
    </w:lvl>
    <w:lvl w:ilvl="2" w:tentative="0">
      <w:start w:val="1"/>
      <w:numFmt w:val="lowerRoman"/>
      <w:lvlText w:val="%3."/>
      <w:lvlJc w:val="right"/>
      <w:pPr>
        <w:ind w:left="1827" w:hanging="420"/>
      </w:pPr>
      <w:rPr>
        <w:rFonts w:cs="Times New Roman"/>
      </w:rPr>
    </w:lvl>
    <w:lvl w:ilvl="3" w:tentative="0">
      <w:start w:val="1"/>
      <w:numFmt w:val="decimal"/>
      <w:lvlText w:val="%4."/>
      <w:lvlJc w:val="left"/>
      <w:pPr>
        <w:ind w:left="2247" w:hanging="420"/>
      </w:pPr>
      <w:rPr>
        <w:rFonts w:cs="Times New Roman"/>
      </w:rPr>
    </w:lvl>
    <w:lvl w:ilvl="4" w:tentative="0">
      <w:start w:val="1"/>
      <w:numFmt w:val="lowerLetter"/>
      <w:lvlText w:val="%5)"/>
      <w:lvlJc w:val="left"/>
      <w:pPr>
        <w:ind w:left="2667" w:hanging="420"/>
      </w:pPr>
      <w:rPr>
        <w:rFonts w:cs="Times New Roman"/>
      </w:rPr>
    </w:lvl>
    <w:lvl w:ilvl="5" w:tentative="0">
      <w:start w:val="1"/>
      <w:numFmt w:val="lowerRoman"/>
      <w:lvlText w:val="%6."/>
      <w:lvlJc w:val="right"/>
      <w:pPr>
        <w:ind w:left="3087" w:hanging="420"/>
      </w:pPr>
      <w:rPr>
        <w:rFonts w:cs="Times New Roman"/>
      </w:rPr>
    </w:lvl>
    <w:lvl w:ilvl="6" w:tentative="0">
      <w:start w:val="1"/>
      <w:numFmt w:val="decimal"/>
      <w:lvlText w:val="%7."/>
      <w:lvlJc w:val="left"/>
      <w:pPr>
        <w:ind w:left="3507" w:hanging="420"/>
      </w:pPr>
      <w:rPr>
        <w:rFonts w:cs="Times New Roman"/>
      </w:rPr>
    </w:lvl>
    <w:lvl w:ilvl="7" w:tentative="0">
      <w:start w:val="1"/>
      <w:numFmt w:val="lowerLetter"/>
      <w:lvlText w:val="%8)"/>
      <w:lvlJc w:val="left"/>
      <w:pPr>
        <w:ind w:left="3927" w:hanging="420"/>
      </w:pPr>
      <w:rPr>
        <w:rFonts w:cs="Times New Roman"/>
      </w:rPr>
    </w:lvl>
    <w:lvl w:ilvl="8" w:tentative="0">
      <w:start w:val="1"/>
      <w:numFmt w:val="lowerRoman"/>
      <w:lvlText w:val="%9."/>
      <w:lvlJc w:val="right"/>
      <w:pPr>
        <w:ind w:left="4347" w:hanging="420"/>
      </w:pPr>
      <w:rPr>
        <w:rFonts w:cs="Times New Roman"/>
      </w:rPr>
    </w:lvl>
  </w:abstractNum>
  <w:abstractNum w:abstractNumId="49">
    <w:nsid w:val="5A0B11B2"/>
    <w:multiLevelType w:val="multilevel"/>
    <w:tmpl w:val="5A0B11B2"/>
    <w:lvl w:ilvl="0" w:tentative="0">
      <w:start w:val="1"/>
      <w:numFmt w:val="decimal"/>
      <w:lvlText w:val="%1. "/>
      <w:lvlJc w:val="left"/>
      <w:pPr>
        <w:ind w:left="2121" w:hanging="420"/>
      </w:pPr>
      <w:rPr>
        <w:rFonts w:hint="default" w:ascii="宋体" w:hAnsi="宋体" w:eastAsia="宋体" w:cs="Times New Roman"/>
        <w:b/>
        <w:strike w:val="0"/>
        <w:color w:val="auto"/>
      </w:rPr>
    </w:lvl>
    <w:lvl w:ilvl="1" w:tentative="0">
      <w:start w:val="1"/>
      <w:numFmt w:val="lowerLetter"/>
      <w:lvlText w:val="%2)"/>
      <w:lvlJc w:val="left"/>
      <w:pPr>
        <w:ind w:left="2881" w:hanging="420"/>
      </w:pPr>
      <w:rPr>
        <w:rFonts w:cs="Times New Roman"/>
      </w:rPr>
    </w:lvl>
    <w:lvl w:ilvl="2" w:tentative="0">
      <w:start w:val="1"/>
      <w:numFmt w:val="lowerRoman"/>
      <w:lvlText w:val="%3."/>
      <w:lvlJc w:val="right"/>
      <w:pPr>
        <w:ind w:left="3301" w:hanging="420"/>
      </w:pPr>
      <w:rPr>
        <w:rFonts w:cs="Times New Roman"/>
      </w:rPr>
    </w:lvl>
    <w:lvl w:ilvl="3" w:tentative="0">
      <w:start w:val="1"/>
      <w:numFmt w:val="decimal"/>
      <w:lvlText w:val="%4."/>
      <w:lvlJc w:val="left"/>
      <w:pPr>
        <w:ind w:left="3721" w:hanging="420"/>
      </w:pPr>
      <w:rPr>
        <w:rFonts w:cs="Times New Roman"/>
      </w:rPr>
    </w:lvl>
    <w:lvl w:ilvl="4" w:tentative="0">
      <w:start w:val="1"/>
      <w:numFmt w:val="lowerLetter"/>
      <w:lvlText w:val="%5)"/>
      <w:lvlJc w:val="left"/>
      <w:pPr>
        <w:ind w:left="4141" w:hanging="420"/>
      </w:pPr>
      <w:rPr>
        <w:rFonts w:cs="Times New Roman"/>
      </w:rPr>
    </w:lvl>
    <w:lvl w:ilvl="5" w:tentative="0">
      <w:start w:val="1"/>
      <w:numFmt w:val="lowerRoman"/>
      <w:lvlText w:val="%6."/>
      <w:lvlJc w:val="right"/>
      <w:pPr>
        <w:ind w:left="4561" w:hanging="420"/>
      </w:pPr>
      <w:rPr>
        <w:rFonts w:cs="Times New Roman"/>
      </w:rPr>
    </w:lvl>
    <w:lvl w:ilvl="6" w:tentative="0">
      <w:start w:val="1"/>
      <w:numFmt w:val="decimal"/>
      <w:lvlText w:val="%7."/>
      <w:lvlJc w:val="left"/>
      <w:pPr>
        <w:ind w:left="4981" w:hanging="420"/>
      </w:pPr>
      <w:rPr>
        <w:rFonts w:cs="Times New Roman"/>
      </w:rPr>
    </w:lvl>
    <w:lvl w:ilvl="7" w:tentative="0">
      <w:start w:val="1"/>
      <w:numFmt w:val="lowerLetter"/>
      <w:lvlText w:val="%8)"/>
      <w:lvlJc w:val="left"/>
      <w:pPr>
        <w:ind w:left="5401" w:hanging="420"/>
      </w:pPr>
      <w:rPr>
        <w:rFonts w:cs="Times New Roman"/>
      </w:rPr>
    </w:lvl>
    <w:lvl w:ilvl="8" w:tentative="0">
      <w:start w:val="1"/>
      <w:numFmt w:val="lowerRoman"/>
      <w:lvlText w:val="%9."/>
      <w:lvlJc w:val="right"/>
      <w:pPr>
        <w:ind w:left="5821" w:hanging="420"/>
      </w:pPr>
      <w:rPr>
        <w:rFonts w:cs="Times New Roman"/>
      </w:rPr>
    </w:lvl>
  </w:abstractNum>
  <w:abstractNum w:abstractNumId="50">
    <w:nsid w:val="5F062FD0"/>
    <w:multiLevelType w:val="multilevel"/>
    <w:tmpl w:val="5F062FD0"/>
    <w:lvl w:ilvl="0" w:tentative="0">
      <w:start w:val="4"/>
      <w:numFmt w:val="chineseCountingThousand"/>
      <w:lvlText w:val="第%1章  "/>
      <w:lvlJc w:val="left"/>
      <w:pPr>
        <w:ind w:left="420" w:hanging="420"/>
      </w:pPr>
      <w:rPr>
        <w:rFonts w:hint="eastAsia" w:cs="Times New Roman"/>
      </w:rPr>
    </w:lvl>
    <w:lvl w:ilvl="1" w:tentative="0">
      <w:start w:val="1"/>
      <w:numFmt w:val="lowerLetter"/>
      <w:lvlText w:val="%2)"/>
      <w:lvlJc w:val="left"/>
      <w:pPr>
        <w:ind w:left="840" w:hanging="420"/>
      </w:pPr>
      <w:rPr>
        <w:rFonts w:hint="eastAsia" w:cs="Times New Roman"/>
      </w:rPr>
    </w:lvl>
    <w:lvl w:ilvl="2" w:tentative="0">
      <w:start w:val="1"/>
      <w:numFmt w:val="lowerRoman"/>
      <w:lvlText w:val="%3."/>
      <w:lvlJc w:val="right"/>
      <w:pPr>
        <w:ind w:left="1260" w:hanging="420"/>
      </w:pPr>
      <w:rPr>
        <w:rFonts w:hint="eastAsia" w:cs="Times New Roman"/>
      </w:rPr>
    </w:lvl>
    <w:lvl w:ilvl="3" w:tentative="0">
      <w:start w:val="1"/>
      <w:numFmt w:val="decimal"/>
      <w:lvlText w:val="%4."/>
      <w:lvlJc w:val="left"/>
      <w:pPr>
        <w:ind w:left="1680" w:hanging="420"/>
      </w:pPr>
      <w:rPr>
        <w:rFonts w:hint="eastAsia" w:cs="Times New Roman"/>
      </w:rPr>
    </w:lvl>
    <w:lvl w:ilvl="4" w:tentative="0">
      <w:start w:val="1"/>
      <w:numFmt w:val="lowerLetter"/>
      <w:lvlText w:val="%5)"/>
      <w:lvlJc w:val="left"/>
      <w:pPr>
        <w:ind w:left="2100" w:hanging="420"/>
      </w:pPr>
      <w:rPr>
        <w:rFonts w:hint="eastAsia" w:cs="Times New Roman"/>
      </w:rPr>
    </w:lvl>
    <w:lvl w:ilvl="5" w:tentative="0">
      <w:start w:val="1"/>
      <w:numFmt w:val="lowerRoman"/>
      <w:lvlText w:val="%6."/>
      <w:lvlJc w:val="right"/>
      <w:pPr>
        <w:ind w:left="2520" w:hanging="420"/>
      </w:pPr>
      <w:rPr>
        <w:rFonts w:hint="eastAsia" w:cs="Times New Roman"/>
      </w:rPr>
    </w:lvl>
    <w:lvl w:ilvl="6" w:tentative="0">
      <w:start w:val="1"/>
      <w:numFmt w:val="decimal"/>
      <w:lvlText w:val="%7."/>
      <w:lvlJc w:val="left"/>
      <w:pPr>
        <w:ind w:left="2940" w:hanging="420"/>
      </w:pPr>
      <w:rPr>
        <w:rFonts w:hint="eastAsia" w:cs="Times New Roman"/>
      </w:rPr>
    </w:lvl>
    <w:lvl w:ilvl="7" w:tentative="0">
      <w:start w:val="1"/>
      <w:numFmt w:val="lowerLetter"/>
      <w:lvlText w:val="%8)"/>
      <w:lvlJc w:val="left"/>
      <w:pPr>
        <w:ind w:left="3360" w:hanging="420"/>
      </w:pPr>
      <w:rPr>
        <w:rFonts w:hint="eastAsia" w:cs="Times New Roman"/>
      </w:rPr>
    </w:lvl>
    <w:lvl w:ilvl="8" w:tentative="0">
      <w:start w:val="1"/>
      <w:numFmt w:val="lowerRoman"/>
      <w:lvlText w:val="%9."/>
      <w:lvlJc w:val="right"/>
      <w:pPr>
        <w:ind w:left="3780" w:hanging="420"/>
      </w:pPr>
      <w:rPr>
        <w:rFonts w:hint="eastAsia" w:cs="Times New Roman"/>
      </w:rPr>
    </w:lvl>
  </w:abstractNum>
  <w:abstractNum w:abstractNumId="51">
    <w:nsid w:val="61F95093"/>
    <w:multiLevelType w:val="multilevel"/>
    <w:tmpl w:val="61F95093"/>
    <w:lvl w:ilvl="0" w:tentative="0">
      <w:start w:val="1"/>
      <w:numFmt w:val="decimal"/>
      <w:lvlText w:val="31.%1"/>
      <w:lvlJc w:val="left"/>
      <w:pPr>
        <w:ind w:left="420" w:hanging="420"/>
      </w:pPr>
      <w:rPr>
        <w:rFonts w:hint="default" w:ascii="仿宋" w:hAnsi="仿宋" w:eastAsia="仿宋" w:cs="Times New Roman"/>
        <w:b w:val="0"/>
        <w:strike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52">
    <w:nsid w:val="643B08CA"/>
    <w:multiLevelType w:val="multilevel"/>
    <w:tmpl w:val="643B08CA"/>
    <w:lvl w:ilvl="0" w:tentative="0">
      <w:start w:val="1"/>
      <w:numFmt w:val="decimal"/>
      <w:lvlText w:val="3.1.%1 "/>
      <w:lvlJc w:val="left"/>
      <w:pPr>
        <w:ind w:left="643" w:hanging="420"/>
      </w:pPr>
      <w:rPr>
        <w:rFonts w:hint="default" w:ascii="楷体" w:hAnsi="楷体" w:eastAsia="楷体" w:cs="Times New Roman"/>
        <w:b w:val="0"/>
        <w:strike w:val="0"/>
        <w:color w:val="auto"/>
      </w:rPr>
    </w:lvl>
    <w:lvl w:ilvl="1" w:tentative="0">
      <w:start w:val="1"/>
      <w:numFmt w:val="lowerLetter"/>
      <w:lvlText w:val="%2)"/>
      <w:lvlJc w:val="left"/>
      <w:pPr>
        <w:ind w:left="1063" w:hanging="420"/>
      </w:pPr>
      <w:rPr>
        <w:rFonts w:cs="Times New Roman"/>
      </w:rPr>
    </w:lvl>
    <w:lvl w:ilvl="2" w:tentative="0">
      <w:start w:val="1"/>
      <w:numFmt w:val="lowerRoman"/>
      <w:lvlText w:val="%3."/>
      <w:lvlJc w:val="right"/>
      <w:pPr>
        <w:ind w:left="1483" w:hanging="420"/>
      </w:pPr>
      <w:rPr>
        <w:rFonts w:cs="Times New Roman"/>
      </w:rPr>
    </w:lvl>
    <w:lvl w:ilvl="3" w:tentative="0">
      <w:start w:val="1"/>
      <w:numFmt w:val="decimal"/>
      <w:lvlText w:val="%4."/>
      <w:lvlJc w:val="left"/>
      <w:pPr>
        <w:ind w:left="1903" w:hanging="420"/>
      </w:pPr>
      <w:rPr>
        <w:rFonts w:cs="Times New Roman"/>
      </w:rPr>
    </w:lvl>
    <w:lvl w:ilvl="4" w:tentative="0">
      <w:start w:val="1"/>
      <w:numFmt w:val="lowerLetter"/>
      <w:lvlText w:val="%5)"/>
      <w:lvlJc w:val="left"/>
      <w:pPr>
        <w:ind w:left="2323" w:hanging="420"/>
      </w:pPr>
      <w:rPr>
        <w:rFonts w:cs="Times New Roman"/>
      </w:rPr>
    </w:lvl>
    <w:lvl w:ilvl="5" w:tentative="0">
      <w:start w:val="1"/>
      <w:numFmt w:val="lowerRoman"/>
      <w:lvlText w:val="%6."/>
      <w:lvlJc w:val="right"/>
      <w:pPr>
        <w:ind w:left="2743" w:hanging="420"/>
      </w:pPr>
      <w:rPr>
        <w:rFonts w:cs="Times New Roman"/>
      </w:rPr>
    </w:lvl>
    <w:lvl w:ilvl="6" w:tentative="0">
      <w:start w:val="1"/>
      <w:numFmt w:val="decimal"/>
      <w:lvlText w:val="%7."/>
      <w:lvlJc w:val="left"/>
      <w:pPr>
        <w:ind w:left="3163" w:hanging="420"/>
      </w:pPr>
      <w:rPr>
        <w:rFonts w:cs="Times New Roman"/>
      </w:rPr>
    </w:lvl>
    <w:lvl w:ilvl="7" w:tentative="0">
      <w:start w:val="1"/>
      <w:numFmt w:val="lowerLetter"/>
      <w:lvlText w:val="%8)"/>
      <w:lvlJc w:val="left"/>
      <w:pPr>
        <w:ind w:left="3583" w:hanging="420"/>
      </w:pPr>
      <w:rPr>
        <w:rFonts w:cs="Times New Roman"/>
      </w:rPr>
    </w:lvl>
    <w:lvl w:ilvl="8" w:tentative="0">
      <w:start w:val="1"/>
      <w:numFmt w:val="lowerRoman"/>
      <w:lvlText w:val="%9."/>
      <w:lvlJc w:val="right"/>
      <w:pPr>
        <w:ind w:left="4003" w:hanging="420"/>
      </w:pPr>
      <w:rPr>
        <w:rFonts w:cs="Times New Roman"/>
      </w:rPr>
    </w:lvl>
  </w:abstractNum>
  <w:abstractNum w:abstractNumId="53">
    <w:nsid w:val="64E31E93"/>
    <w:multiLevelType w:val="multilevel"/>
    <w:tmpl w:val="64E31E93"/>
    <w:lvl w:ilvl="0" w:tentative="0">
      <w:start w:val="1"/>
      <w:numFmt w:val="decimal"/>
      <w:lvlText w:val="29.%1"/>
      <w:lvlJc w:val="left"/>
      <w:pPr>
        <w:ind w:left="420" w:hanging="420"/>
      </w:pPr>
      <w:rPr>
        <w:rFonts w:hint="default" w:ascii="仿宋" w:hAnsi="仿宋" w:eastAsia="仿宋" w:cs="Times New Roman"/>
        <w:b w:val="0"/>
        <w:strike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54">
    <w:nsid w:val="69647823"/>
    <w:multiLevelType w:val="multilevel"/>
    <w:tmpl w:val="69647823"/>
    <w:lvl w:ilvl="0" w:tentative="0">
      <w:start w:val="1"/>
      <w:numFmt w:val="decimal"/>
      <w:lvlText w:val="34.%1"/>
      <w:lvlJc w:val="left"/>
      <w:pPr>
        <w:ind w:left="420" w:hanging="420"/>
      </w:pPr>
      <w:rPr>
        <w:rFonts w:hint="default" w:ascii="仿宋" w:hAnsi="仿宋" w:eastAsia="仿宋" w:cs="Times New Roman"/>
        <w:b w:val="0"/>
        <w:strike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55">
    <w:nsid w:val="70DD1B88"/>
    <w:multiLevelType w:val="multilevel"/>
    <w:tmpl w:val="70DD1B88"/>
    <w:lvl w:ilvl="0" w:tentative="0">
      <w:start w:val="1"/>
      <w:numFmt w:val="decimal"/>
      <w:lvlText w:val="%1. "/>
      <w:lvlJc w:val="left"/>
      <w:pPr>
        <w:ind w:left="1117" w:hanging="420"/>
      </w:pPr>
      <w:rPr>
        <w:rFonts w:hint="default" w:ascii="仿宋" w:hAnsi="仿宋" w:eastAsia="仿宋" w:cs="Times New Roman"/>
        <w:b w:val="0"/>
        <w:strike w:val="0"/>
        <w:color w:val="auto"/>
      </w:rPr>
    </w:lvl>
    <w:lvl w:ilvl="1" w:tentative="0">
      <w:start w:val="1"/>
      <w:numFmt w:val="lowerLetter"/>
      <w:lvlText w:val="%2)"/>
      <w:lvlJc w:val="left"/>
      <w:pPr>
        <w:ind w:left="1537" w:hanging="420"/>
      </w:pPr>
      <w:rPr>
        <w:rFonts w:cs="Times New Roman"/>
      </w:rPr>
    </w:lvl>
    <w:lvl w:ilvl="2" w:tentative="0">
      <w:start w:val="1"/>
      <w:numFmt w:val="lowerRoman"/>
      <w:lvlText w:val="%3."/>
      <w:lvlJc w:val="right"/>
      <w:pPr>
        <w:ind w:left="1957" w:hanging="420"/>
      </w:pPr>
      <w:rPr>
        <w:rFonts w:cs="Times New Roman"/>
      </w:rPr>
    </w:lvl>
    <w:lvl w:ilvl="3" w:tentative="0">
      <w:start w:val="1"/>
      <w:numFmt w:val="decimal"/>
      <w:lvlText w:val="%4. "/>
      <w:lvlJc w:val="left"/>
      <w:pPr>
        <w:ind w:left="704" w:hanging="420"/>
      </w:pPr>
      <w:rPr>
        <w:rFonts w:hint="eastAsia" w:cs="Times New Roman"/>
        <w:b/>
      </w:rPr>
    </w:lvl>
    <w:lvl w:ilvl="4" w:tentative="0">
      <w:start w:val="1"/>
      <w:numFmt w:val="lowerLetter"/>
      <w:lvlText w:val="%5)"/>
      <w:lvlJc w:val="left"/>
      <w:pPr>
        <w:ind w:left="2797" w:hanging="420"/>
      </w:pPr>
      <w:rPr>
        <w:rFonts w:cs="Times New Roman"/>
      </w:rPr>
    </w:lvl>
    <w:lvl w:ilvl="5" w:tentative="0">
      <w:start w:val="1"/>
      <w:numFmt w:val="lowerRoman"/>
      <w:lvlText w:val="%6."/>
      <w:lvlJc w:val="right"/>
      <w:pPr>
        <w:ind w:left="3217" w:hanging="420"/>
      </w:pPr>
      <w:rPr>
        <w:rFonts w:cs="Times New Roman"/>
      </w:rPr>
    </w:lvl>
    <w:lvl w:ilvl="6" w:tentative="0">
      <w:start w:val="1"/>
      <w:numFmt w:val="decimal"/>
      <w:lvlText w:val="%7."/>
      <w:lvlJc w:val="left"/>
      <w:pPr>
        <w:ind w:left="3637" w:hanging="420"/>
      </w:pPr>
      <w:rPr>
        <w:rFonts w:cs="Times New Roman"/>
      </w:rPr>
    </w:lvl>
    <w:lvl w:ilvl="7" w:tentative="0">
      <w:start w:val="1"/>
      <w:numFmt w:val="lowerLetter"/>
      <w:lvlText w:val="%8)"/>
      <w:lvlJc w:val="left"/>
      <w:pPr>
        <w:ind w:left="4057" w:hanging="420"/>
      </w:pPr>
      <w:rPr>
        <w:rFonts w:cs="Times New Roman"/>
      </w:rPr>
    </w:lvl>
    <w:lvl w:ilvl="8" w:tentative="0">
      <w:start w:val="1"/>
      <w:numFmt w:val="lowerRoman"/>
      <w:lvlText w:val="%9."/>
      <w:lvlJc w:val="right"/>
      <w:pPr>
        <w:ind w:left="4477" w:hanging="420"/>
      </w:pPr>
      <w:rPr>
        <w:rFonts w:cs="Times New Roman"/>
      </w:rPr>
    </w:lvl>
  </w:abstractNum>
  <w:abstractNum w:abstractNumId="56">
    <w:nsid w:val="71581402"/>
    <w:multiLevelType w:val="multilevel"/>
    <w:tmpl w:val="71581402"/>
    <w:lvl w:ilvl="0" w:tentative="0">
      <w:start w:val="1"/>
      <w:numFmt w:val="decimal"/>
      <w:lvlText w:val="24.%1"/>
      <w:lvlJc w:val="left"/>
      <w:pPr>
        <w:ind w:left="420" w:hanging="420"/>
      </w:pPr>
      <w:rPr>
        <w:rFonts w:hint="default" w:ascii="仿宋" w:hAnsi="仿宋" w:eastAsia="仿宋" w:cs="Times New Roman"/>
        <w:b w:val="0"/>
        <w:strike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57">
    <w:nsid w:val="71731B18"/>
    <w:multiLevelType w:val="multilevel"/>
    <w:tmpl w:val="71731B18"/>
    <w:lvl w:ilvl="0" w:tentative="0">
      <w:start w:val="1"/>
      <w:numFmt w:val="decimal"/>
      <w:lvlText w:val="28.%1"/>
      <w:lvlJc w:val="left"/>
      <w:pPr>
        <w:ind w:left="420" w:hanging="420"/>
      </w:pPr>
      <w:rPr>
        <w:rFonts w:hint="default" w:ascii="仿宋" w:hAnsi="仿宋" w:eastAsia="仿宋" w:cs="Times New Roman"/>
        <w:b w:val="0"/>
        <w:strike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58">
    <w:nsid w:val="730B37A3"/>
    <w:multiLevelType w:val="multilevel"/>
    <w:tmpl w:val="730B37A3"/>
    <w:lvl w:ilvl="0" w:tentative="0">
      <w:start w:val="1"/>
      <w:numFmt w:val="decimal"/>
      <w:lvlText w:val="2.%1"/>
      <w:lvlJc w:val="left"/>
      <w:pPr>
        <w:ind w:left="372" w:hanging="420"/>
      </w:pPr>
      <w:rPr>
        <w:rFonts w:hint="default" w:ascii="仿宋" w:hAnsi="仿宋" w:eastAsia="仿宋" w:cs="Times New Roman"/>
        <w:b w:val="0"/>
        <w:color w:val="auto"/>
      </w:rPr>
    </w:lvl>
    <w:lvl w:ilvl="1" w:tentative="0">
      <w:start w:val="1"/>
      <w:numFmt w:val="lowerLetter"/>
      <w:lvlText w:val="%2)"/>
      <w:lvlJc w:val="left"/>
      <w:pPr>
        <w:ind w:left="792" w:hanging="420"/>
      </w:pPr>
      <w:rPr>
        <w:rFonts w:cs="Times New Roman"/>
      </w:rPr>
    </w:lvl>
    <w:lvl w:ilvl="2" w:tentative="0">
      <w:start w:val="1"/>
      <w:numFmt w:val="lowerRoman"/>
      <w:lvlText w:val="%3."/>
      <w:lvlJc w:val="right"/>
      <w:pPr>
        <w:ind w:left="1212" w:hanging="420"/>
      </w:pPr>
      <w:rPr>
        <w:rFonts w:cs="Times New Roman"/>
      </w:rPr>
    </w:lvl>
    <w:lvl w:ilvl="3" w:tentative="0">
      <w:start w:val="1"/>
      <w:numFmt w:val="decimal"/>
      <w:lvlText w:val="%4."/>
      <w:lvlJc w:val="left"/>
      <w:pPr>
        <w:ind w:left="1632" w:hanging="420"/>
      </w:pPr>
      <w:rPr>
        <w:rFonts w:cs="Times New Roman"/>
      </w:rPr>
    </w:lvl>
    <w:lvl w:ilvl="4" w:tentative="0">
      <w:start w:val="1"/>
      <w:numFmt w:val="lowerLetter"/>
      <w:lvlText w:val="%5)"/>
      <w:lvlJc w:val="left"/>
      <w:pPr>
        <w:ind w:left="2052" w:hanging="420"/>
      </w:pPr>
      <w:rPr>
        <w:rFonts w:cs="Times New Roman"/>
      </w:rPr>
    </w:lvl>
    <w:lvl w:ilvl="5" w:tentative="0">
      <w:start w:val="1"/>
      <w:numFmt w:val="lowerRoman"/>
      <w:lvlText w:val="%6."/>
      <w:lvlJc w:val="right"/>
      <w:pPr>
        <w:ind w:left="2472" w:hanging="420"/>
      </w:pPr>
      <w:rPr>
        <w:rFonts w:cs="Times New Roman"/>
      </w:rPr>
    </w:lvl>
    <w:lvl w:ilvl="6" w:tentative="0">
      <w:start w:val="1"/>
      <w:numFmt w:val="decimal"/>
      <w:lvlText w:val="%7."/>
      <w:lvlJc w:val="left"/>
      <w:pPr>
        <w:ind w:left="2892" w:hanging="420"/>
      </w:pPr>
      <w:rPr>
        <w:rFonts w:cs="Times New Roman"/>
      </w:rPr>
    </w:lvl>
    <w:lvl w:ilvl="7" w:tentative="0">
      <w:start w:val="1"/>
      <w:numFmt w:val="lowerLetter"/>
      <w:lvlText w:val="%8)"/>
      <w:lvlJc w:val="left"/>
      <w:pPr>
        <w:ind w:left="3312" w:hanging="420"/>
      </w:pPr>
      <w:rPr>
        <w:rFonts w:cs="Times New Roman"/>
      </w:rPr>
    </w:lvl>
    <w:lvl w:ilvl="8" w:tentative="0">
      <w:start w:val="1"/>
      <w:numFmt w:val="lowerRoman"/>
      <w:lvlText w:val="%9."/>
      <w:lvlJc w:val="right"/>
      <w:pPr>
        <w:ind w:left="3732" w:hanging="420"/>
      </w:pPr>
      <w:rPr>
        <w:rFonts w:cs="Times New Roman"/>
      </w:rPr>
    </w:lvl>
  </w:abstractNum>
  <w:abstractNum w:abstractNumId="59">
    <w:nsid w:val="768933D5"/>
    <w:multiLevelType w:val="multilevel"/>
    <w:tmpl w:val="768933D5"/>
    <w:lvl w:ilvl="0" w:tentative="0">
      <w:start w:val="1"/>
      <w:numFmt w:val="decimal"/>
      <w:lvlText w:val="%1. "/>
      <w:lvlJc w:val="left"/>
      <w:pPr>
        <w:ind w:left="824" w:hanging="420"/>
      </w:pPr>
      <w:rPr>
        <w:rFonts w:hint="default" w:ascii="宋体" w:hAnsi="宋体" w:eastAsia="宋体" w:cs="Times New Roman"/>
        <w:b/>
        <w:strike w:val="0"/>
        <w:color w:val="auto"/>
      </w:rPr>
    </w:lvl>
    <w:lvl w:ilvl="1" w:tentative="0">
      <w:start w:val="1"/>
      <w:numFmt w:val="lowerLetter"/>
      <w:lvlText w:val="%2)"/>
      <w:lvlJc w:val="left"/>
      <w:pPr>
        <w:ind w:left="1244" w:hanging="420"/>
      </w:pPr>
      <w:rPr>
        <w:rFonts w:cs="Times New Roman"/>
      </w:rPr>
    </w:lvl>
    <w:lvl w:ilvl="2" w:tentative="0">
      <w:start w:val="1"/>
      <w:numFmt w:val="lowerRoman"/>
      <w:lvlText w:val="%3."/>
      <w:lvlJc w:val="right"/>
      <w:pPr>
        <w:ind w:left="1664" w:hanging="420"/>
      </w:pPr>
      <w:rPr>
        <w:rFonts w:cs="Times New Roman"/>
      </w:rPr>
    </w:lvl>
    <w:lvl w:ilvl="3" w:tentative="0">
      <w:start w:val="1"/>
      <w:numFmt w:val="decimal"/>
      <w:lvlText w:val="%4."/>
      <w:lvlJc w:val="left"/>
      <w:pPr>
        <w:ind w:left="2084" w:hanging="420"/>
      </w:pPr>
      <w:rPr>
        <w:rFonts w:cs="Times New Roman"/>
      </w:rPr>
    </w:lvl>
    <w:lvl w:ilvl="4" w:tentative="0">
      <w:start w:val="1"/>
      <w:numFmt w:val="lowerLetter"/>
      <w:lvlText w:val="%5)"/>
      <w:lvlJc w:val="left"/>
      <w:pPr>
        <w:ind w:left="2504" w:hanging="420"/>
      </w:pPr>
      <w:rPr>
        <w:rFonts w:cs="Times New Roman"/>
      </w:rPr>
    </w:lvl>
    <w:lvl w:ilvl="5" w:tentative="0">
      <w:start w:val="1"/>
      <w:numFmt w:val="lowerRoman"/>
      <w:lvlText w:val="%6."/>
      <w:lvlJc w:val="right"/>
      <w:pPr>
        <w:ind w:left="2924" w:hanging="420"/>
      </w:pPr>
      <w:rPr>
        <w:rFonts w:cs="Times New Roman"/>
      </w:rPr>
    </w:lvl>
    <w:lvl w:ilvl="6" w:tentative="0">
      <w:start w:val="1"/>
      <w:numFmt w:val="decimal"/>
      <w:lvlText w:val="%7."/>
      <w:lvlJc w:val="left"/>
      <w:pPr>
        <w:ind w:left="3344" w:hanging="420"/>
      </w:pPr>
      <w:rPr>
        <w:rFonts w:cs="Times New Roman"/>
      </w:rPr>
    </w:lvl>
    <w:lvl w:ilvl="7" w:tentative="0">
      <w:start w:val="1"/>
      <w:numFmt w:val="lowerLetter"/>
      <w:lvlText w:val="%8)"/>
      <w:lvlJc w:val="left"/>
      <w:pPr>
        <w:ind w:left="3764" w:hanging="420"/>
      </w:pPr>
      <w:rPr>
        <w:rFonts w:cs="Times New Roman"/>
      </w:rPr>
    </w:lvl>
    <w:lvl w:ilvl="8" w:tentative="0">
      <w:start w:val="1"/>
      <w:numFmt w:val="lowerRoman"/>
      <w:lvlText w:val="%9."/>
      <w:lvlJc w:val="right"/>
      <w:pPr>
        <w:ind w:left="4184" w:hanging="420"/>
      </w:pPr>
      <w:rPr>
        <w:rFonts w:cs="Times New Roman"/>
      </w:rPr>
    </w:lvl>
  </w:abstractNum>
  <w:abstractNum w:abstractNumId="60">
    <w:nsid w:val="774C7C21"/>
    <w:multiLevelType w:val="multilevel"/>
    <w:tmpl w:val="774C7C21"/>
    <w:lvl w:ilvl="0" w:tentative="0">
      <w:start w:val="1"/>
      <w:numFmt w:val="decimal"/>
      <w:lvlText w:val="16.%1"/>
      <w:lvlJc w:val="left"/>
      <w:pPr>
        <w:ind w:left="420" w:hanging="420"/>
      </w:pPr>
      <w:rPr>
        <w:rFonts w:hint="default" w:ascii="仿宋" w:hAnsi="仿宋" w:eastAsia="仿宋" w:cs="Times New Roman"/>
        <w:b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61">
    <w:nsid w:val="786B7301"/>
    <w:multiLevelType w:val="multilevel"/>
    <w:tmpl w:val="786B7301"/>
    <w:lvl w:ilvl="0" w:tentative="0">
      <w:start w:val="1"/>
      <w:numFmt w:val="decimal"/>
      <w:lvlText w:val="25.%1"/>
      <w:lvlJc w:val="left"/>
      <w:pPr>
        <w:ind w:left="420" w:hanging="420"/>
      </w:pPr>
      <w:rPr>
        <w:rFonts w:hint="default" w:ascii="仿宋" w:hAnsi="仿宋" w:eastAsia="仿宋" w:cs="Times New Roman"/>
        <w:b w:val="0"/>
        <w:strike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62">
    <w:nsid w:val="797F553B"/>
    <w:multiLevelType w:val="multilevel"/>
    <w:tmpl w:val="797F553B"/>
    <w:lvl w:ilvl="0" w:tentative="0">
      <w:start w:val="1"/>
      <w:numFmt w:val="decimal"/>
      <w:lvlText w:val="%1. "/>
      <w:lvlJc w:val="left"/>
      <w:pPr>
        <w:ind w:left="988" w:hanging="420"/>
      </w:pPr>
      <w:rPr>
        <w:rFonts w:hint="default" w:ascii="宋体" w:hAnsi="宋体" w:eastAsia="宋体" w:cs="Times New Roman"/>
        <w:b/>
        <w:strike w:val="0"/>
        <w:color w:val="auto"/>
      </w:rPr>
    </w:lvl>
    <w:lvl w:ilvl="1" w:tentative="0">
      <w:start w:val="1"/>
      <w:numFmt w:val="lowerLetter"/>
      <w:lvlText w:val="%2)"/>
      <w:lvlJc w:val="left"/>
      <w:pPr>
        <w:ind w:left="2881" w:hanging="420"/>
      </w:pPr>
      <w:rPr>
        <w:rFonts w:cs="Times New Roman"/>
      </w:rPr>
    </w:lvl>
    <w:lvl w:ilvl="2" w:tentative="0">
      <w:start w:val="1"/>
      <w:numFmt w:val="lowerRoman"/>
      <w:lvlText w:val="%3."/>
      <w:lvlJc w:val="right"/>
      <w:pPr>
        <w:ind w:left="3301" w:hanging="420"/>
      </w:pPr>
      <w:rPr>
        <w:rFonts w:cs="Times New Roman"/>
      </w:rPr>
    </w:lvl>
    <w:lvl w:ilvl="3" w:tentative="0">
      <w:start w:val="1"/>
      <w:numFmt w:val="decimal"/>
      <w:lvlText w:val="%4."/>
      <w:lvlJc w:val="left"/>
      <w:pPr>
        <w:ind w:left="3721" w:hanging="420"/>
      </w:pPr>
      <w:rPr>
        <w:rFonts w:cs="Times New Roman"/>
      </w:rPr>
    </w:lvl>
    <w:lvl w:ilvl="4" w:tentative="0">
      <w:start w:val="1"/>
      <w:numFmt w:val="lowerLetter"/>
      <w:lvlText w:val="%5)"/>
      <w:lvlJc w:val="left"/>
      <w:pPr>
        <w:ind w:left="4141" w:hanging="420"/>
      </w:pPr>
      <w:rPr>
        <w:rFonts w:cs="Times New Roman"/>
      </w:rPr>
    </w:lvl>
    <w:lvl w:ilvl="5" w:tentative="0">
      <w:start w:val="1"/>
      <w:numFmt w:val="lowerRoman"/>
      <w:lvlText w:val="%6."/>
      <w:lvlJc w:val="right"/>
      <w:pPr>
        <w:ind w:left="4561" w:hanging="420"/>
      </w:pPr>
      <w:rPr>
        <w:rFonts w:cs="Times New Roman"/>
      </w:rPr>
    </w:lvl>
    <w:lvl w:ilvl="6" w:tentative="0">
      <w:start w:val="1"/>
      <w:numFmt w:val="decimal"/>
      <w:lvlText w:val="%7."/>
      <w:lvlJc w:val="left"/>
      <w:pPr>
        <w:ind w:left="4981" w:hanging="420"/>
      </w:pPr>
      <w:rPr>
        <w:rFonts w:cs="Times New Roman"/>
      </w:rPr>
    </w:lvl>
    <w:lvl w:ilvl="7" w:tentative="0">
      <w:start w:val="1"/>
      <w:numFmt w:val="lowerLetter"/>
      <w:lvlText w:val="%8)"/>
      <w:lvlJc w:val="left"/>
      <w:pPr>
        <w:ind w:left="5401" w:hanging="420"/>
      </w:pPr>
      <w:rPr>
        <w:rFonts w:cs="Times New Roman"/>
      </w:rPr>
    </w:lvl>
    <w:lvl w:ilvl="8" w:tentative="0">
      <w:start w:val="1"/>
      <w:numFmt w:val="lowerRoman"/>
      <w:lvlText w:val="%9."/>
      <w:lvlJc w:val="right"/>
      <w:pPr>
        <w:ind w:left="5821" w:hanging="420"/>
      </w:pPr>
      <w:rPr>
        <w:rFonts w:cs="Times New Roman"/>
      </w:rPr>
    </w:lvl>
  </w:abstractNum>
  <w:abstractNum w:abstractNumId="63">
    <w:nsid w:val="7A0C6CFB"/>
    <w:multiLevelType w:val="multilevel"/>
    <w:tmpl w:val="7A0C6CFB"/>
    <w:lvl w:ilvl="0" w:tentative="0">
      <w:start w:val="1"/>
      <w:numFmt w:val="decimal"/>
      <w:lvlText w:val="22.%1"/>
      <w:lvlJc w:val="left"/>
      <w:pPr>
        <w:ind w:left="420" w:hanging="420"/>
      </w:pPr>
      <w:rPr>
        <w:rFonts w:hint="default" w:ascii="仿宋" w:hAnsi="仿宋" w:eastAsia="仿宋" w:cs="Times New Roman"/>
        <w:b w:val="0"/>
        <w:strike w:val="0"/>
        <w:color w:val="auto"/>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64">
    <w:nsid w:val="7ECB03B9"/>
    <w:multiLevelType w:val="multilevel"/>
    <w:tmpl w:val="7ECB03B9"/>
    <w:lvl w:ilvl="0" w:tentative="0">
      <w:start w:val="1"/>
      <w:numFmt w:val="decimal"/>
      <w:lvlText w:val="%1. "/>
      <w:lvlJc w:val="left"/>
      <w:pPr>
        <w:ind w:left="2121" w:hanging="420"/>
      </w:pPr>
      <w:rPr>
        <w:rFonts w:hint="default" w:ascii="宋体" w:hAnsi="宋体" w:eastAsia="宋体" w:cs="Times New Roman"/>
        <w:b/>
        <w:strike w:val="0"/>
        <w:color w:val="auto"/>
      </w:rPr>
    </w:lvl>
    <w:lvl w:ilvl="1" w:tentative="0">
      <w:start w:val="1"/>
      <w:numFmt w:val="lowerLetter"/>
      <w:lvlText w:val="%2)"/>
      <w:lvlJc w:val="left"/>
      <w:pPr>
        <w:ind w:left="2881" w:hanging="420"/>
      </w:pPr>
      <w:rPr>
        <w:rFonts w:cs="Times New Roman"/>
      </w:rPr>
    </w:lvl>
    <w:lvl w:ilvl="2" w:tentative="0">
      <w:start w:val="1"/>
      <w:numFmt w:val="lowerRoman"/>
      <w:lvlText w:val="%3."/>
      <w:lvlJc w:val="right"/>
      <w:pPr>
        <w:ind w:left="3301" w:hanging="420"/>
      </w:pPr>
      <w:rPr>
        <w:rFonts w:cs="Times New Roman"/>
      </w:rPr>
    </w:lvl>
    <w:lvl w:ilvl="3" w:tentative="0">
      <w:start w:val="1"/>
      <w:numFmt w:val="decimal"/>
      <w:lvlText w:val="%4."/>
      <w:lvlJc w:val="left"/>
      <w:pPr>
        <w:ind w:left="3721" w:hanging="420"/>
      </w:pPr>
      <w:rPr>
        <w:rFonts w:cs="Times New Roman"/>
      </w:rPr>
    </w:lvl>
    <w:lvl w:ilvl="4" w:tentative="0">
      <w:start w:val="1"/>
      <w:numFmt w:val="lowerLetter"/>
      <w:lvlText w:val="%5)"/>
      <w:lvlJc w:val="left"/>
      <w:pPr>
        <w:ind w:left="4141" w:hanging="420"/>
      </w:pPr>
      <w:rPr>
        <w:rFonts w:cs="Times New Roman"/>
      </w:rPr>
    </w:lvl>
    <w:lvl w:ilvl="5" w:tentative="0">
      <w:start w:val="1"/>
      <w:numFmt w:val="lowerRoman"/>
      <w:lvlText w:val="%6."/>
      <w:lvlJc w:val="right"/>
      <w:pPr>
        <w:ind w:left="4561" w:hanging="420"/>
      </w:pPr>
      <w:rPr>
        <w:rFonts w:cs="Times New Roman"/>
      </w:rPr>
    </w:lvl>
    <w:lvl w:ilvl="6" w:tentative="0">
      <w:start w:val="1"/>
      <w:numFmt w:val="decimal"/>
      <w:lvlText w:val="%7."/>
      <w:lvlJc w:val="left"/>
      <w:pPr>
        <w:ind w:left="4981" w:hanging="420"/>
      </w:pPr>
      <w:rPr>
        <w:rFonts w:cs="Times New Roman"/>
      </w:rPr>
    </w:lvl>
    <w:lvl w:ilvl="7" w:tentative="0">
      <w:start w:val="1"/>
      <w:numFmt w:val="lowerLetter"/>
      <w:lvlText w:val="%8)"/>
      <w:lvlJc w:val="left"/>
      <w:pPr>
        <w:ind w:left="5401" w:hanging="420"/>
      </w:pPr>
      <w:rPr>
        <w:rFonts w:cs="Times New Roman"/>
      </w:rPr>
    </w:lvl>
    <w:lvl w:ilvl="8" w:tentative="0">
      <w:start w:val="1"/>
      <w:numFmt w:val="lowerRoman"/>
      <w:lvlText w:val="%9."/>
      <w:lvlJc w:val="right"/>
      <w:pPr>
        <w:ind w:left="5821" w:hanging="420"/>
      </w:pPr>
      <w:rPr>
        <w:rFonts w:cs="Times New Roman"/>
      </w:rPr>
    </w:lvl>
  </w:abstractNum>
  <w:num w:numId="1">
    <w:abstractNumId w:val="42"/>
  </w:num>
  <w:num w:numId="2">
    <w:abstractNumId w:val="3"/>
  </w:num>
  <w:num w:numId="3">
    <w:abstractNumId w:val="31"/>
  </w:num>
  <w:num w:numId="4">
    <w:abstractNumId w:val="4"/>
  </w:num>
  <w:num w:numId="5">
    <w:abstractNumId w:val="39"/>
  </w:num>
  <w:num w:numId="6">
    <w:abstractNumId w:val="16"/>
  </w:num>
  <w:num w:numId="7">
    <w:abstractNumId w:val="7"/>
  </w:num>
  <w:num w:numId="8">
    <w:abstractNumId w:val="52"/>
  </w:num>
  <w:num w:numId="9">
    <w:abstractNumId w:val="33"/>
  </w:num>
  <w:num w:numId="10">
    <w:abstractNumId w:val="47"/>
  </w:num>
  <w:num w:numId="11">
    <w:abstractNumId w:val="30"/>
  </w:num>
  <w:num w:numId="12">
    <w:abstractNumId w:val="6"/>
  </w:num>
  <w:num w:numId="13">
    <w:abstractNumId w:val="23"/>
  </w:num>
  <w:num w:numId="14">
    <w:abstractNumId w:val="24"/>
  </w:num>
  <w:num w:numId="15">
    <w:abstractNumId w:val="10"/>
  </w:num>
  <w:num w:numId="16">
    <w:abstractNumId w:val="9"/>
  </w:num>
  <w:num w:numId="17">
    <w:abstractNumId w:val="60"/>
  </w:num>
  <w:num w:numId="18">
    <w:abstractNumId w:val="11"/>
  </w:num>
  <w:num w:numId="19">
    <w:abstractNumId w:val="29"/>
  </w:num>
  <w:num w:numId="20">
    <w:abstractNumId w:val="35"/>
  </w:num>
  <w:num w:numId="21">
    <w:abstractNumId w:val="38"/>
  </w:num>
  <w:num w:numId="22">
    <w:abstractNumId w:val="63"/>
  </w:num>
  <w:num w:numId="23">
    <w:abstractNumId w:val="45"/>
  </w:num>
  <w:num w:numId="24">
    <w:abstractNumId w:val="56"/>
  </w:num>
  <w:num w:numId="25">
    <w:abstractNumId w:val="61"/>
  </w:num>
  <w:num w:numId="26">
    <w:abstractNumId w:val="44"/>
  </w:num>
  <w:num w:numId="27">
    <w:abstractNumId w:val="8"/>
  </w:num>
  <w:num w:numId="28">
    <w:abstractNumId w:val="20"/>
  </w:num>
  <w:num w:numId="29">
    <w:abstractNumId w:val="57"/>
  </w:num>
  <w:num w:numId="30">
    <w:abstractNumId w:val="53"/>
  </w:num>
  <w:num w:numId="31">
    <w:abstractNumId w:val="37"/>
  </w:num>
  <w:num w:numId="32">
    <w:abstractNumId w:val="51"/>
  </w:num>
  <w:num w:numId="33">
    <w:abstractNumId w:val="25"/>
  </w:num>
  <w:num w:numId="34">
    <w:abstractNumId w:val="54"/>
  </w:num>
  <w:num w:numId="35">
    <w:abstractNumId w:val="2"/>
  </w:num>
  <w:num w:numId="36">
    <w:abstractNumId w:val="0"/>
  </w:num>
  <w:num w:numId="37">
    <w:abstractNumId w:val="50"/>
  </w:num>
  <w:num w:numId="38">
    <w:abstractNumId w:val="46"/>
  </w:num>
  <w:num w:numId="39">
    <w:abstractNumId w:val="27"/>
  </w:num>
  <w:num w:numId="40">
    <w:abstractNumId w:val="43"/>
  </w:num>
  <w:num w:numId="41">
    <w:abstractNumId w:val="32"/>
  </w:num>
  <w:num w:numId="42">
    <w:abstractNumId w:val="40"/>
  </w:num>
  <w:num w:numId="43">
    <w:abstractNumId w:val="34"/>
  </w:num>
  <w:num w:numId="44">
    <w:abstractNumId w:val="18"/>
  </w:num>
  <w:num w:numId="45">
    <w:abstractNumId w:val="49"/>
  </w:num>
  <w:num w:numId="46">
    <w:abstractNumId w:val="64"/>
  </w:num>
  <w:num w:numId="47">
    <w:abstractNumId w:val="19"/>
  </w:num>
  <w:num w:numId="48">
    <w:abstractNumId w:val="17"/>
  </w:num>
  <w:num w:numId="49">
    <w:abstractNumId w:val="1"/>
  </w:num>
  <w:num w:numId="50">
    <w:abstractNumId w:val="48"/>
    <w:lvlOverride w:ilvl="0">
      <w:startOverride w:val="1"/>
    </w:lvlOverride>
  </w:num>
  <w:num w:numId="51">
    <w:abstractNumId w:val="14"/>
  </w:num>
  <w:num w:numId="52">
    <w:abstractNumId w:val="26"/>
  </w:num>
  <w:num w:numId="53">
    <w:abstractNumId w:val="62"/>
  </w:num>
  <w:num w:numId="54">
    <w:abstractNumId w:val="55"/>
  </w:num>
  <w:num w:numId="55">
    <w:abstractNumId w:val="41"/>
  </w:num>
  <w:num w:numId="56">
    <w:abstractNumId w:val="13"/>
  </w:num>
  <w:num w:numId="57">
    <w:abstractNumId w:val="22"/>
  </w:num>
  <w:num w:numId="58">
    <w:abstractNumId w:val="58"/>
  </w:num>
  <w:num w:numId="59">
    <w:abstractNumId w:val="36"/>
  </w:num>
  <w:num w:numId="60">
    <w:abstractNumId w:val="59"/>
  </w:num>
  <w:num w:numId="61">
    <w:abstractNumId w:val="12"/>
  </w:num>
  <w:num w:numId="62">
    <w:abstractNumId w:val="21"/>
  </w:num>
  <w:num w:numId="63">
    <w:abstractNumId w:val="5"/>
  </w:num>
  <w:num w:numId="64">
    <w:abstractNumId w:val="15"/>
  </w:num>
  <w:num w:numId="65">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1"/>
  <w:bordersDoNotSurroundFooter w:val="1"/>
  <w:hideSpellingErrors/>
  <w:doNotTrackMoves/>
  <w:documentProtection w:enforcement="0"/>
  <w:defaultTabStop w:val="420"/>
  <w:drawingGridHorizontalSpacing w:val="105"/>
  <w:drawingGridVerticalSpacing w:val="156"/>
  <w:noPunctuationKerning w:val="1"/>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RiY2M3YzMzZWNlOWE3NDRiZTY5NzY0ZmJhNjkxZGEifQ=="/>
  </w:docVars>
  <w:rsids>
    <w:rsidRoot w:val="00095415"/>
    <w:rsid w:val="0000512C"/>
    <w:rsid w:val="000061E5"/>
    <w:rsid w:val="00006AA6"/>
    <w:rsid w:val="00006BB0"/>
    <w:rsid w:val="00016562"/>
    <w:rsid w:val="00017BE8"/>
    <w:rsid w:val="00020344"/>
    <w:rsid w:val="00022B4A"/>
    <w:rsid w:val="00024BAB"/>
    <w:rsid w:val="00031DB8"/>
    <w:rsid w:val="00034E5B"/>
    <w:rsid w:val="00037562"/>
    <w:rsid w:val="00040B72"/>
    <w:rsid w:val="00040BE7"/>
    <w:rsid w:val="00041CAD"/>
    <w:rsid w:val="00046B1A"/>
    <w:rsid w:val="00046CAA"/>
    <w:rsid w:val="000516A9"/>
    <w:rsid w:val="00055435"/>
    <w:rsid w:val="00061F79"/>
    <w:rsid w:val="0006378B"/>
    <w:rsid w:val="0006475E"/>
    <w:rsid w:val="000658A4"/>
    <w:rsid w:val="000661BE"/>
    <w:rsid w:val="0007117C"/>
    <w:rsid w:val="00071FE7"/>
    <w:rsid w:val="000744E5"/>
    <w:rsid w:val="00074F20"/>
    <w:rsid w:val="00076596"/>
    <w:rsid w:val="00076C9D"/>
    <w:rsid w:val="000775A6"/>
    <w:rsid w:val="00077E85"/>
    <w:rsid w:val="000812D6"/>
    <w:rsid w:val="00081EFC"/>
    <w:rsid w:val="0008285D"/>
    <w:rsid w:val="00084EA4"/>
    <w:rsid w:val="000855FE"/>
    <w:rsid w:val="00085F3D"/>
    <w:rsid w:val="00092450"/>
    <w:rsid w:val="00094AE2"/>
    <w:rsid w:val="00094E32"/>
    <w:rsid w:val="0009528B"/>
    <w:rsid w:val="00095415"/>
    <w:rsid w:val="0009720A"/>
    <w:rsid w:val="000A0B80"/>
    <w:rsid w:val="000A0C66"/>
    <w:rsid w:val="000A299D"/>
    <w:rsid w:val="000A3F3D"/>
    <w:rsid w:val="000A6D2C"/>
    <w:rsid w:val="000A760D"/>
    <w:rsid w:val="000B1EA5"/>
    <w:rsid w:val="000B3053"/>
    <w:rsid w:val="000B3E89"/>
    <w:rsid w:val="000B42CE"/>
    <w:rsid w:val="000B5793"/>
    <w:rsid w:val="000B5B61"/>
    <w:rsid w:val="000B7FD8"/>
    <w:rsid w:val="000C1DBB"/>
    <w:rsid w:val="000C2224"/>
    <w:rsid w:val="000C4666"/>
    <w:rsid w:val="000C46E9"/>
    <w:rsid w:val="000C6B25"/>
    <w:rsid w:val="000D16F4"/>
    <w:rsid w:val="000D274B"/>
    <w:rsid w:val="000E0271"/>
    <w:rsid w:val="000E1A9C"/>
    <w:rsid w:val="000E34D2"/>
    <w:rsid w:val="000E4686"/>
    <w:rsid w:val="000E5848"/>
    <w:rsid w:val="000E5BAE"/>
    <w:rsid w:val="000E7968"/>
    <w:rsid w:val="000F15CA"/>
    <w:rsid w:val="000F1711"/>
    <w:rsid w:val="000F64E0"/>
    <w:rsid w:val="00100461"/>
    <w:rsid w:val="00100585"/>
    <w:rsid w:val="00101CD2"/>
    <w:rsid w:val="00103C80"/>
    <w:rsid w:val="001045D2"/>
    <w:rsid w:val="00105BC5"/>
    <w:rsid w:val="00107E82"/>
    <w:rsid w:val="00115DB7"/>
    <w:rsid w:val="00120164"/>
    <w:rsid w:val="0012120B"/>
    <w:rsid w:val="00122C84"/>
    <w:rsid w:val="00127302"/>
    <w:rsid w:val="0012756D"/>
    <w:rsid w:val="00130269"/>
    <w:rsid w:val="001331E2"/>
    <w:rsid w:val="00133220"/>
    <w:rsid w:val="001338E8"/>
    <w:rsid w:val="001461ED"/>
    <w:rsid w:val="001641C9"/>
    <w:rsid w:val="00167B2F"/>
    <w:rsid w:val="0017100D"/>
    <w:rsid w:val="001728F9"/>
    <w:rsid w:val="00177C62"/>
    <w:rsid w:val="001822E8"/>
    <w:rsid w:val="001835BA"/>
    <w:rsid w:val="00183C52"/>
    <w:rsid w:val="001841D3"/>
    <w:rsid w:val="0018504A"/>
    <w:rsid w:val="00185DDE"/>
    <w:rsid w:val="00185E9A"/>
    <w:rsid w:val="001945D0"/>
    <w:rsid w:val="001966C8"/>
    <w:rsid w:val="001A0AB1"/>
    <w:rsid w:val="001A1335"/>
    <w:rsid w:val="001A2B2A"/>
    <w:rsid w:val="001A54E8"/>
    <w:rsid w:val="001A55A7"/>
    <w:rsid w:val="001A58BE"/>
    <w:rsid w:val="001B03BB"/>
    <w:rsid w:val="001B1888"/>
    <w:rsid w:val="001B2246"/>
    <w:rsid w:val="001B38CD"/>
    <w:rsid w:val="001B557B"/>
    <w:rsid w:val="001B625C"/>
    <w:rsid w:val="001B729D"/>
    <w:rsid w:val="001C1EC0"/>
    <w:rsid w:val="001C2AA9"/>
    <w:rsid w:val="001C45B3"/>
    <w:rsid w:val="001C61DF"/>
    <w:rsid w:val="001C7B23"/>
    <w:rsid w:val="001D0AFC"/>
    <w:rsid w:val="001D2460"/>
    <w:rsid w:val="001D3EE7"/>
    <w:rsid w:val="001D4DBD"/>
    <w:rsid w:val="001D4F8A"/>
    <w:rsid w:val="001D5374"/>
    <w:rsid w:val="001E157C"/>
    <w:rsid w:val="001E4137"/>
    <w:rsid w:val="001E5D69"/>
    <w:rsid w:val="001E6E28"/>
    <w:rsid w:val="001E7CEA"/>
    <w:rsid w:val="001F002C"/>
    <w:rsid w:val="001F03EA"/>
    <w:rsid w:val="001F3A45"/>
    <w:rsid w:val="001F4C0B"/>
    <w:rsid w:val="001F7499"/>
    <w:rsid w:val="001F7843"/>
    <w:rsid w:val="001F7DE8"/>
    <w:rsid w:val="00200FD6"/>
    <w:rsid w:val="002043D7"/>
    <w:rsid w:val="002078AD"/>
    <w:rsid w:val="00207B46"/>
    <w:rsid w:val="00210102"/>
    <w:rsid w:val="00215D81"/>
    <w:rsid w:val="002164D1"/>
    <w:rsid w:val="00220470"/>
    <w:rsid w:val="00222756"/>
    <w:rsid w:val="002227C0"/>
    <w:rsid w:val="00222B0D"/>
    <w:rsid w:val="00223408"/>
    <w:rsid w:val="00223DCE"/>
    <w:rsid w:val="002241CA"/>
    <w:rsid w:val="00226247"/>
    <w:rsid w:val="00230945"/>
    <w:rsid w:val="002320D1"/>
    <w:rsid w:val="0023243F"/>
    <w:rsid w:val="002334D5"/>
    <w:rsid w:val="00233A6A"/>
    <w:rsid w:val="002352B3"/>
    <w:rsid w:val="002354B3"/>
    <w:rsid w:val="002358D8"/>
    <w:rsid w:val="00236772"/>
    <w:rsid w:val="002409B2"/>
    <w:rsid w:val="002426EA"/>
    <w:rsid w:val="00243361"/>
    <w:rsid w:val="002446C6"/>
    <w:rsid w:val="002476EA"/>
    <w:rsid w:val="00250A52"/>
    <w:rsid w:val="002538A8"/>
    <w:rsid w:val="002541E5"/>
    <w:rsid w:val="002579A0"/>
    <w:rsid w:val="00262B2C"/>
    <w:rsid w:val="002633EA"/>
    <w:rsid w:val="0026342E"/>
    <w:rsid w:val="0026370B"/>
    <w:rsid w:val="00263A8B"/>
    <w:rsid w:val="002641B5"/>
    <w:rsid w:val="002644FA"/>
    <w:rsid w:val="0026474D"/>
    <w:rsid w:val="002653EC"/>
    <w:rsid w:val="00266440"/>
    <w:rsid w:val="00267E2B"/>
    <w:rsid w:val="002701E0"/>
    <w:rsid w:val="002706AE"/>
    <w:rsid w:val="002714F8"/>
    <w:rsid w:val="00272600"/>
    <w:rsid w:val="00276CFD"/>
    <w:rsid w:val="00277541"/>
    <w:rsid w:val="00281517"/>
    <w:rsid w:val="00281D77"/>
    <w:rsid w:val="00285EA2"/>
    <w:rsid w:val="0029005E"/>
    <w:rsid w:val="00290AE3"/>
    <w:rsid w:val="002916C8"/>
    <w:rsid w:val="00293211"/>
    <w:rsid w:val="0029330A"/>
    <w:rsid w:val="00295F64"/>
    <w:rsid w:val="0029788B"/>
    <w:rsid w:val="002A0A8B"/>
    <w:rsid w:val="002A0D31"/>
    <w:rsid w:val="002A1D0F"/>
    <w:rsid w:val="002A2E09"/>
    <w:rsid w:val="002A599B"/>
    <w:rsid w:val="002A6635"/>
    <w:rsid w:val="002A6BE6"/>
    <w:rsid w:val="002A7170"/>
    <w:rsid w:val="002B4DEA"/>
    <w:rsid w:val="002B609E"/>
    <w:rsid w:val="002B7581"/>
    <w:rsid w:val="002C38E4"/>
    <w:rsid w:val="002C797B"/>
    <w:rsid w:val="002C7FA6"/>
    <w:rsid w:val="002D07BB"/>
    <w:rsid w:val="002D3FDE"/>
    <w:rsid w:val="002D412B"/>
    <w:rsid w:val="002D4DD4"/>
    <w:rsid w:val="002D4E92"/>
    <w:rsid w:val="00300F0A"/>
    <w:rsid w:val="00307CBC"/>
    <w:rsid w:val="00310B7E"/>
    <w:rsid w:val="00310F98"/>
    <w:rsid w:val="00312406"/>
    <w:rsid w:val="00314B08"/>
    <w:rsid w:val="00315064"/>
    <w:rsid w:val="0031535F"/>
    <w:rsid w:val="00316026"/>
    <w:rsid w:val="0031658D"/>
    <w:rsid w:val="00316A7B"/>
    <w:rsid w:val="00320639"/>
    <w:rsid w:val="00320ACF"/>
    <w:rsid w:val="00323356"/>
    <w:rsid w:val="00323F1C"/>
    <w:rsid w:val="003252D2"/>
    <w:rsid w:val="00326B3A"/>
    <w:rsid w:val="00326ED2"/>
    <w:rsid w:val="0032742F"/>
    <w:rsid w:val="003328F1"/>
    <w:rsid w:val="00332AD7"/>
    <w:rsid w:val="00333225"/>
    <w:rsid w:val="0033323B"/>
    <w:rsid w:val="00333A59"/>
    <w:rsid w:val="00342A50"/>
    <w:rsid w:val="00343DA3"/>
    <w:rsid w:val="00346B92"/>
    <w:rsid w:val="0035116A"/>
    <w:rsid w:val="00352AE1"/>
    <w:rsid w:val="00353542"/>
    <w:rsid w:val="00353AE1"/>
    <w:rsid w:val="003540BC"/>
    <w:rsid w:val="00357243"/>
    <w:rsid w:val="00360712"/>
    <w:rsid w:val="00360E26"/>
    <w:rsid w:val="00362A6B"/>
    <w:rsid w:val="0036309F"/>
    <w:rsid w:val="003642BA"/>
    <w:rsid w:val="0036474B"/>
    <w:rsid w:val="003661C8"/>
    <w:rsid w:val="00366613"/>
    <w:rsid w:val="00366E30"/>
    <w:rsid w:val="003741BF"/>
    <w:rsid w:val="00374804"/>
    <w:rsid w:val="00376A4E"/>
    <w:rsid w:val="00377B5F"/>
    <w:rsid w:val="0038106C"/>
    <w:rsid w:val="00383221"/>
    <w:rsid w:val="00385B81"/>
    <w:rsid w:val="00390B11"/>
    <w:rsid w:val="00393E94"/>
    <w:rsid w:val="00394A84"/>
    <w:rsid w:val="003A0FAB"/>
    <w:rsid w:val="003A141E"/>
    <w:rsid w:val="003A1F78"/>
    <w:rsid w:val="003A206A"/>
    <w:rsid w:val="003A3B23"/>
    <w:rsid w:val="003A5BB4"/>
    <w:rsid w:val="003A6AD6"/>
    <w:rsid w:val="003B052A"/>
    <w:rsid w:val="003B0D5A"/>
    <w:rsid w:val="003B2605"/>
    <w:rsid w:val="003B3EFE"/>
    <w:rsid w:val="003B4F8E"/>
    <w:rsid w:val="003B718F"/>
    <w:rsid w:val="003B7A0D"/>
    <w:rsid w:val="003C2008"/>
    <w:rsid w:val="003C2241"/>
    <w:rsid w:val="003C2BC3"/>
    <w:rsid w:val="003C3D3C"/>
    <w:rsid w:val="003C4040"/>
    <w:rsid w:val="003C6083"/>
    <w:rsid w:val="003D00C1"/>
    <w:rsid w:val="003D0BC7"/>
    <w:rsid w:val="003D1759"/>
    <w:rsid w:val="003D484E"/>
    <w:rsid w:val="003D5E80"/>
    <w:rsid w:val="003D638D"/>
    <w:rsid w:val="003E1E74"/>
    <w:rsid w:val="003E4421"/>
    <w:rsid w:val="003F0ED2"/>
    <w:rsid w:val="003F160C"/>
    <w:rsid w:val="003F2B92"/>
    <w:rsid w:val="003F2BB1"/>
    <w:rsid w:val="003F3007"/>
    <w:rsid w:val="003F60E4"/>
    <w:rsid w:val="003F7066"/>
    <w:rsid w:val="00401874"/>
    <w:rsid w:val="0040329E"/>
    <w:rsid w:val="0040679C"/>
    <w:rsid w:val="00406BC4"/>
    <w:rsid w:val="00407B84"/>
    <w:rsid w:val="004110F8"/>
    <w:rsid w:val="004117AA"/>
    <w:rsid w:val="00414695"/>
    <w:rsid w:val="00414A80"/>
    <w:rsid w:val="00414FED"/>
    <w:rsid w:val="00415613"/>
    <w:rsid w:val="004161BA"/>
    <w:rsid w:val="0041758C"/>
    <w:rsid w:val="00430EBC"/>
    <w:rsid w:val="004316A5"/>
    <w:rsid w:val="004349F3"/>
    <w:rsid w:val="0043503C"/>
    <w:rsid w:val="004359F2"/>
    <w:rsid w:val="00436CC2"/>
    <w:rsid w:val="0044193D"/>
    <w:rsid w:val="004437A5"/>
    <w:rsid w:val="004475F1"/>
    <w:rsid w:val="00452690"/>
    <w:rsid w:val="0045270A"/>
    <w:rsid w:val="0045387B"/>
    <w:rsid w:val="00453889"/>
    <w:rsid w:val="00454752"/>
    <w:rsid w:val="004560E2"/>
    <w:rsid w:val="00457308"/>
    <w:rsid w:val="004605F3"/>
    <w:rsid w:val="00461DFE"/>
    <w:rsid w:val="00464096"/>
    <w:rsid w:val="004653A6"/>
    <w:rsid w:val="004670CA"/>
    <w:rsid w:val="004729D1"/>
    <w:rsid w:val="004730EC"/>
    <w:rsid w:val="00475BE5"/>
    <w:rsid w:val="004765CB"/>
    <w:rsid w:val="00476E59"/>
    <w:rsid w:val="00481878"/>
    <w:rsid w:val="0048308E"/>
    <w:rsid w:val="004843B7"/>
    <w:rsid w:val="004871A8"/>
    <w:rsid w:val="00492369"/>
    <w:rsid w:val="004932BD"/>
    <w:rsid w:val="004939CB"/>
    <w:rsid w:val="004A0792"/>
    <w:rsid w:val="004A0C1E"/>
    <w:rsid w:val="004A1B5B"/>
    <w:rsid w:val="004A29C7"/>
    <w:rsid w:val="004A4F81"/>
    <w:rsid w:val="004A7634"/>
    <w:rsid w:val="004B0CC2"/>
    <w:rsid w:val="004B0D97"/>
    <w:rsid w:val="004B118F"/>
    <w:rsid w:val="004B1C48"/>
    <w:rsid w:val="004B21CD"/>
    <w:rsid w:val="004B2779"/>
    <w:rsid w:val="004B2A20"/>
    <w:rsid w:val="004B3E6E"/>
    <w:rsid w:val="004B48BF"/>
    <w:rsid w:val="004B4BED"/>
    <w:rsid w:val="004B53B4"/>
    <w:rsid w:val="004B58B9"/>
    <w:rsid w:val="004B67A1"/>
    <w:rsid w:val="004C1027"/>
    <w:rsid w:val="004C16D9"/>
    <w:rsid w:val="004C3048"/>
    <w:rsid w:val="004C62F7"/>
    <w:rsid w:val="004C69C0"/>
    <w:rsid w:val="004C750B"/>
    <w:rsid w:val="004D548F"/>
    <w:rsid w:val="004D632B"/>
    <w:rsid w:val="004E00F2"/>
    <w:rsid w:val="004E26AC"/>
    <w:rsid w:val="004E40B4"/>
    <w:rsid w:val="004E48AF"/>
    <w:rsid w:val="004E4B2D"/>
    <w:rsid w:val="004E5A44"/>
    <w:rsid w:val="004E5ED0"/>
    <w:rsid w:val="004E6A02"/>
    <w:rsid w:val="004E6F0C"/>
    <w:rsid w:val="004F21F4"/>
    <w:rsid w:val="004F3CF8"/>
    <w:rsid w:val="004F43AD"/>
    <w:rsid w:val="005025B6"/>
    <w:rsid w:val="00511E96"/>
    <w:rsid w:val="005130B9"/>
    <w:rsid w:val="00513E93"/>
    <w:rsid w:val="00517763"/>
    <w:rsid w:val="005219FF"/>
    <w:rsid w:val="00522D80"/>
    <w:rsid w:val="00525A93"/>
    <w:rsid w:val="00526B68"/>
    <w:rsid w:val="00526E93"/>
    <w:rsid w:val="00530C44"/>
    <w:rsid w:val="00530F82"/>
    <w:rsid w:val="00532511"/>
    <w:rsid w:val="0053726A"/>
    <w:rsid w:val="0054201E"/>
    <w:rsid w:val="00543557"/>
    <w:rsid w:val="005437D7"/>
    <w:rsid w:val="005438EE"/>
    <w:rsid w:val="005445A9"/>
    <w:rsid w:val="00545B0F"/>
    <w:rsid w:val="00545EDA"/>
    <w:rsid w:val="00552BFE"/>
    <w:rsid w:val="00554E57"/>
    <w:rsid w:val="00555C32"/>
    <w:rsid w:val="00555DFB"/>
    <w:rsid w:val="00556850"/>
    <w:rsid w:val="00556E21"/>
    <w:rsid w:val="00557241"/>
    <w:rsid w:val="00557620"/>
    <w:rsid w:val="00560801"/>
    <w:rsid w:val="00560FA5"/>
    <w:rsid w:val="00561E5D"/>
    <w:rsid w:val="00562A12"/>
    <w:rsid w:val="00564F1F"/>
    <w:rsid w:val="005658F4"/>
    <w:rsid w:val="005659F9"/>
    <w:rsid w:val="0056688F"/>
    <w:rsid w:val="00570898"/>
    <w:rsid w:val="00570A76"/>
    <w:rsid w:val="00570FCF"/>
    <w:rsid w:val="00573437"/>
    <w:rsid w:val="005745C5"/>
    <w:rsid w:val="0057573F"/>
    <w:rsid w:val="00575ED4"/>
    <w:rsid w:val="00580FFF"/>
    <w:rsid w:val="005813AA"/>
    <w:rsid w:val="00581E88"/>
    <w:rsid w:val="0058351A"/>
    <w:rsid w:val="00583D04"/>
    <w:rsid w:val="0059020F"/>
    <w:rsid w:val="00590709"/>
    <w:rsid w:val="00590E5E"/>
    <w:rsid w:val="00592CCB"/>
    <w:rsid w:val="00595AE7"/>
    <w:rsid w:val="005967BA"/>
    <w:rsid w:val="0059682C"/>
    <w:rsid w:val="005A0205"/>
    <w:rsid w:val="005A1795"/>
    <w:rsid w:val="005A1E32"/>
    <w:rsid w:val="005A1FD5"/>
    <w:rsid w:val="005A446C"/>
    <w:rsid w:val="005A58A0"/>
    <w:rsid w:val="005A592A"/>
    <w:rsid w:val="005B12FC"/>
    <w:rsid w:val="005B42CF"/>
    <w:rsid w:val="005B6D3E"/>
    <w:rsid w:val="005B713A"/>
    <w:rsid w:val="005C0E67"/>
    <w:rsid w:val="005C15D2"/>
    <w:rsid w:val="005C31D8"/>
    <w:rsid w:val="005C405D"/>
    <w:rsid w:val="005D1341"/>
    <w:rsid w:val="005D14FD"/>
    <w:rsid w:val="005D1519"/>
    <w:rsid w:val="005D3022"/>
    <w:rsid w:val="005D430E"/>
    <w:rsid w:val="005D6632"/>
    <w:rsid w:val="005E0293"/>
    <w:rsid w:val="005E07B6"/>
    <w:rsid w:val="005E0E27"/>
    <w:rsid w:val="005E3CD4"/>
    <w:rsid w:val="005E791F"/>
    <w:rsid w:val="005F0F8E"/>
    <w:rsid w:val="005F13D5"/>
    <w:rsid w:val="005F1588"/>
    <w:rsid w:val="005F29EC"/>
    <w:rsid w:val="005F315C"/>
    <w:rsid w:val="005F5FFD"/>
    <w:rsid w:val="00601112"/>
    <w:rsid w:val="00601990"/>
    <w:rsid w:val="00601D24"/>
    <w:rsid w:val="00605C0D"/>
    <w:rsid w:val="00607850"/>
    <w:rsid w:val="00612032"/>
    <w:rsid w:val="00612DD3"/>
    <w:rsid w:val="006144D9"/>
    <w:rsid w:val="0061761C"/>
    <w:rsid w:val="00622C04"/>
    <w:rsid w:val="00623CBB"/>
    <w:rsid w:val="006256CD"/>
    <w:rsid w:val="006302AC"/>
    <w:rsid w:val="0063218E"/>
    <w:rsid w:val="006367E3"/>
    <w:rsid w:val="00636A51"/>
    <w:rsid w:val="00640A3F"/>
    <w:rsid w:val="006416AB"/>
    <w:rsid w:val="00642B69"/>
    <w:rsid w:val="006440C5"/>
    <w:rsid w:val="0064486B"/>
    <w:rsid w:val="00647032"/>
    <w:rsid w:val="00647167"/>
    <w:rsid w:val="00651541"/>
    <w:rsid w:val="00652912"/>
    <w:rsid w:val="006535E2"/>
    <w:rsid w:val="0065484A"/>
    <w:rsid w:val="00655089"/>
    <w:rsid w:val="006550B1"/>
    <w:rsid w:val="006558B8"/>
    <w:rsid w:val="00656105"/>
    <w:rsid w:val="00657C7B"/>
    <w:rsid w:val="00663B35"/>
    <w:rsid w:val="006648A1"/>
    <w:rsid w:val="00666B23"/>
    <w:rsid w:val="0067038D"/>
    <w:rsid w:val="0067259B"/>
    <w:rsid w:val="006732D3"/>
    <w:rsid w:val="0067786F"/>
    <w:rsid w:val="0068082C"/>
    <w:rsid w:val="00680A96"/>
    <w:rsid w:val="00681BD3"/>
    <w:rsid w:val="006822F5"/>
    <w:rsid w:val="006837CD"/>
    <w:rsid w:val="00683D1B"/>
    <w:rsid w:val="00683E3A"/>
    <w:rsid w:val="00690659"/>
    <w:rsid w:val="006929A9"/>
    <w:rsid w:val="00693D36"/>
    <w:rsid w:val="0069565B"/>
    <w:rsid w:val="00696D07"/>
    <w:rsid w:val="006975FB"/>
    <w:rsid w:val="006A163A"/>
    <w:rsid w:val="006A2333"/>
    <w:rsid w:val="006A302C"/>
    <w:rsid w:val="006A6C1D"/>
    <w:rsid w:val="006A6C51"/>
    <w:rsid w:val="006A7A3D"/>
    <w:rsid w:val="006B4217"/>
    <w:rsid w:val="006B424C"/>
    <w:rsid w:val="006B55E1"/>
    <w:rsid w:val="006B6251"/>
    <w:rsid w:val="006B6E12"/>
    <w:rsid w:val="006B7EF6"/>
    <w:rsid w:val="006C0B5F"/>
    <w:rsid w:val="006C0B7B"/>
    <w:rsid w:val="006C1AF1"/>
    <w:rsid w:val="006C6657"/>
    <w:rsid w:val="006C66C3"/>
    <w:rsid w:val="006C68EE"/>
    <w:rsid w:val="006C692F"/>
    <w:rsid w:val="006C6FDC"/>
    <w:rsid w:val="006D1D6E"/>
    <w:rsid w:val="006D7198"/>
    <w:rsid w:val="006D7CAD"/>
    <w:rsid w:val="006E7987"/>
    <w:rsid w:val="006F0D07"/>
    <w:rsid w:val="0070046B"/>
    <w:rsid w:val="00703B90"/>
    <w:rsid w:val="007040C2"/>
    <w:rsid w:val="00707951"/>
    <w:rsid w:val="0071296E"/>
    <w:rsid w:val="00714550"/>
    <w:rsid w:val="00715A2B"/>
    <w:rsid w:val="00715DBB"/>
    <w:rsid w:val="00715E44"/>
    <w:rsid w:val="00717123"/>
    <w:rsid w:val="00722075"/>
    <w:rsid w:val="00723103"/>
    <w:rsid w:val="007238E9"/>
    <w:rsid w:val="00725525"/>
    <w:rsid w:val="00725899"/>
    <w:rsid w:val="00725F67"/>
    <w:rsid w:val="007308BA"/>
    <w:rsid w:val="007318D6"/>
    <w:rsid w:val="007319BA"/>
    <w:rsid w:val="00732E91"/>
    <w:rsid w:val="00734B9A"/>
    <w:rsid w:val="00737211"/>
    <w:rsid w:val="00742D69"/>
    <w:rsid w:val="0074507D"/>
    <w:rsid w:val="00745278"/>
    <w:rsid w:val="00745AEC"/>
    <w:rsid w:val="00745C53"/>
    <w:rsid w:val="00747133"/>
    <w:rsid w:val="007475F4"/>
    <w:rsid w:val="00751240"/>
    <w:rsid w:val="00755382"/>
    <w:rsid w:val="007614EC"/>
    <w:rsid w:val="00761CC9"/>
    <w:rsid w:val="00764CF4"/>
    <w:rsid w:val="00766857"/>
    <w:rsid w:val="0076687F"/>
    <w:rsid w:val="0077003E"/>
    <w:rsid w:val="0077270B"/>
    <w:rsid w:val="00773A2C"/>
    <w:rsid w:val="007747B7"/>
    <w:rsid w:val="00774EB7"/>
    <w:rsid w:val="00774F8B"/>
    <w:rsid w:val="007752FD"/>
    <w:rsid w:val="00775A96"/>
    <w:rsid w:val="00780DBA"/>
    <w:rsid w:val="00782541"/>
    <w:rsid w:val="00782900"/>
    <w:rsid w:val="00784AEB"/>
    <w:rsid w:val="00784ED7"/>
    <w:rsid w:val="0078535C"/>
    <w:rsid w:val="00786E84"/>
    <w:rsid w:val="0079240C"/>
    <w:rsid w:val="00794258"/>
    <w:rsid w:val="007952E5"/>
    <w:rsid w:val="0079580F"/>
    <w:rsid w:val="00795C74"/>
    <w:rsid w:val="007A27DA"/>
    <w:rsid w:val="007A2D91"/>
    <w:rsid w:val="007A3BD6"/>
    <w:rsid w:val="007A427D"/>
    <w:rsid w:val="007A6F5F"/>
    <w:rsid w:val="007B45F0"/>
    <w:rsid w:val="007B586D"/>
    <w:rsid w:val="007B74BE"/>
    <w:rsid w:val="007C0DA7"/>
    <w:rsid w:val="007C1145"/>
    <w:rsid w:val="007C132C"/>
    <w:rsid w:val="007C1D03"/>
    <w:rsid w:val="007C240A"/>
    <w:rsid w:val="007C3EE7"/>
    <w:rsid w:val="007C419C"/>
    <w:rsid w:val="007C44A7"/>
    <w:rsid w:val="007C5E31"/>
    <w:rsid w:val="007D0B71"/>
    <w:rsid w:val="007D5E2D"/>
    <w:rsid w:val="007D5F7A"/>
    <w:rsid w:val="007D6602"/>
    <w:rsid w:val="007D72CF"/>
    <w:rsid w:val="007D7868"/>
    <w:rsid w:val="007D7BDF"/>
    <w:rsid w:val="007E3D3C"/>
    <w:rsid w:val="007E41BD"/>
    <w:rsid w:val="007F3A45"/>
    <w:rsid w:val="007F504A"/>
    <w:rsid w:val="007F51A0"/>
    <w:rsid w:val="007F6863"/>
    <w:rsid w:val="007F6C9C"/>
    <w:rsid w:val="007F6F97"/>
    <w:rsid w:val="007F7F91"/>
    <w:rsid w:val="00802536"/>
    <w:rsid w:val="0080354A"/>
    <w:rsid w:val="00804419"/>
    <w:rsid w:val="00804553"/>
    <w:rsid w:val="00810D9B"/>
    <w:rsid w:val="0081114F"/>
    <w:rsid w:val="008115AC"/>
    <w:rsid w:val="008116C0"/>
    <w:rsid w:val="00813D75"/>
    <w:rsid w:val="00816067"/>
    <w:rsid w:val="008162A4"/>
    <w:rsid w:val="008166F7"/>
    <w:rsid w:val="00816910"/>
    <w:rsid w:val="0081737C"/>
    <w:rsid w:val="00820E08"/>
    <w:rsid w:val="00821B9A"/>
    <w:rsid w:val="008230E2"/>
    <w:rsid w:val="0082486D"/>
    <w:rsid w:val="00831288"/>
    <w:rsid w:val="008320F7"/>
    <w:rsid w:val="00834C9A"/>
    <w:rsid w:val="00836CC2"/>
    <w:rsid w:val="0084024C"/>
    <w:rsid w:val="0084106E"/>
    <w:rsid w:val="008456E3"/>
    <w:rsid w:val="00846D67"/>
    <w:rsid w:val="00856BA8"/>
    <w:rsid w:val="00856F44"/>
    <w:rsid w:val="00863D06"/>
    <w:rsid w:val="00863EDD"/>
    <w:rsid w:val="008719BB"/>
    <w:rsid w:val="00875A9E"/>
    <w:rsid w:val="00875AE6"/>
    <w:rsid w:val="008768F3"/>
    <w:rsid w:val="00876E59"/>
    <w:rsid w:val="00877211"/>
    <w:rsid w:val="0088257E"/>
    <w:rsid w:val="008828CA"/>
    <w:rsid w:val="00882F4A"/>
    <w:rsid w:val="008835F8"/>
    <w:rsid w:val="0088586B"/>
    <w:rsid w:val="00885926"/>
    <w:rsid w:val="008879F9"/>
    <w:rsid w:val="00892207"/>
    <w:rsid w:val="00893CDE"/>
    <w:rsid w:val="008951D6"/>
    <w:rsid w:val="00895EDA"/>
    <w:rsid w:val="008966BE"/>
    <w:rsid w:val="008A025A"/>
    <w:rsid w:val="008A0DE2"/>
    <w:rsid w:val="008A132C"/>
    <w:rsid w:val="008A15F4"/>
    <w:rsid w:val="008A30BA"/>
    <w:rsid w:val="008A515A"/>
    <w:rsid w:val="008A5E80"/>
    <w:rsid w:val="008B045E"/>
    <w:rsid w:val="008B49DB"/>
    <w:rsid w:val="008B4F03"/>
    <w:rsid w:val="008B4F32"/>
    <w:rsid w:val="008B5601"/>
    <w:rsid w:val="008B6529"/>
    <w:rsid w:val="008C05E4"/>
    <w:rsid w:val="008C3EA2"/>
    <w:rsid w:val="008C6DF0"/>
    <w:rsid w:val="008D0DE2"/>
    <w:rsid w:val="008D35F1"/>
    <w:rsid w:val="008D3612"/>
    <w:rsid w:val="008D5777"/>
    <w:rsid w:val="008D73DF"/>
    <w:rsid w:val="008D7D59"/>
    <w:rsid w:val="008E2203"/>
    <w:rsid w:val="008E2C25"/>
    <w:rsid w:val="008E6135"/>
    <w:rsid w:val="008E66D9"/>
    <w:rsid w:val="008F1B81"/>
    <w:rsid w:val="008F1CB2"/>
    <w:rsid w:val="008F3383"/>
    <w:rsid w:val="008F5D4B"/>
    <w:rsid w:val="008F70CF"/>
    <w:rsid w:val="008F7F91"/>
    <w:rsid w:val="00900A76"/>
    <w:rsid w:val="009020C7"/>
    <w:rsid w:val="0090240A"/>
    <w:rsid w:val="0090257D"/>
    <w:rsid w:val="00903A2D"/>
    <w:rsid w:val="00905D3B"/>
    <w:rsid w:val="00905DCC"/>
    <w:rsid w:val="00907388"/>
    <w:rsid w:val="00907B86"/>
    <w:rsid w:val="00913F05"/>
    <w:rsid w:val="00914F14"/>
    <w:rsid w:val="00915835"/>
    <w:rsid w:val="00915D07"/>
    <w:rsid w:val="00916480"/>
    <w:rsid w:val="009221A3"/>
    <w:rsid w:val="00924DED"/>
    <w:rsid w:val="00932841"/>
    <w:rsid w:val="00933750"/>
    <w:rsid w:val="009341B5"/>
    <w:rsid w:val="00935992"/>
    <w:rsid w:val="00935E05"/>
    <w:rsid w:val="009360D3"/>
    <w:rsid w:val="00936EDE"/>
    <w:rsid w:val="0093723A"/>
    <w:rsid w:val="00940165"/>
    <w:rsid w:val="009402E6"/>
    <w:rsid w:val="00943A67"/>
    <w:rsid w:val="00943F98"/>
    <w:rsid w:val="00944F52"/>
    <w:rsid w:val="00946B36"/>
    <w:rsid w:val="00947542"/>
    <w:rsid w:val="00952B07"/>
    <w:rsid w:val="00953683"/>
    <w:rsid w:val="00954A2F"/>
    <w:rsid w:val="00956AAC"/>
    <w:rsid w:val="00957FB9"/>
    <w:rsid w:val="009615B0"/>
    <w:rsid w:val="00963269"/>
    <w:rsid w:val="00963EB0"/>
    <w:rsid w:val="00967D22"/>
    <w:rsid w:val="00970717"/>
    <w:rsid w:val="0097080D"/>
    <w:rsid w:val="009714FE"/>
    <w:rsid w:val="00973398"/>
    <w:rsid w:val="009755EA"/>
    <w:rsid w:val="00975B36"/>
    <w:rsid w:val="00976CFD"/>
    <w:rsid w:val="00982A7C"/>
    <w:rsid w:val="00982AD3"/>
    <w:rsid w:val="00983519"/>
    <w:rsid w:val="009849C0"/>
    <w:rsid w:val="00986CFD"/>
    <w:rsid w:val="0098750E"/>
    <w:rsid w:val="0098774A"/>
    <w:rsid w:val="00987F3F"/>
    <w:rsid w:val="00993B91"/>
    <w:rsid w:val="009944A9"/>
    <w:rsid w:val="00996DEE"/>
    <w:rsid w:val="009A027B"/>
    <w:rsid w:val="009A4401"/>
    <w:rsid w:val="009A62D6"/>
    <w:rsid w:val="009A63C1"/>
    <w:rsid w:val="009A7244"/>
    <w:rsid w:val="009B08EA"/>
    <w:rsid w:val="009B11C0"/>
    <w:rsid w:val="009B1D58"/>
    <w:rsid w:val="009B2B1C"/>
    <w:rsid w:val="009B3048"/>
    <w:rsid w:val="009B3424"/>
    <w:rsid w:val="009B3D93"/>
    <w:rsid w:val="009B4934"/>
    <w:rsid w:val="009C2588"/>
    <w:rsid w:val="009C297D"/>
    <w:rsid w:val="009C3BE3"/>
    <w:rsid w:val="009C41FF"/>
    <w:rsid w:val="009C6614"/>
    <w:rsid w:val="009C6E6D"/>
    <w:rsid w:val="009C7E19"/>
    <w:rsid w:val="009D0C36"/>
    <w:rsid w:val="009D0F38"/>
    <w:rsid w:val="009D2C02"/>
    <w:rsid w:val="009D36C0"/>
    <w:rsid w:val="009D7D59"/>
    <w:rsid w:val="009E04AF"/>
    <w:rsid w:val="009E16E2"/>
    <w:rsid w:val="009E1D27"/>
    <w:rsid w:val="009E2C89"/>
    <w:rsid w:val="009E5294"/>
    <w:rsid w:val="009E7365"/>
    <w:rsid w:val="009E7560"/>
    <w:rsid w:val="009F0F5E"/>
    <w:rsid w:val="009F20BE"/>
    <w:rsid w:val="00A05AF5"/>
    <w:rsid w:val="00A0777C"/>
    <w:rsid w:val="00A15F4D"/>
    <w:rsid w:val="00A17955"/>
    <w:rsid w:val="00A17F59"/>
    <w:rsid w:val="00A22C32"/>
    <w:rsid w:val="00A24657"/>
    <w:rsid w:val="00A24711"/>
    <w:rsid w:val="00A26ACC"/>
    <w:rsid w:val="00A30AE5"/>
    <w:rsid w:val="00A30DFD"/>
    <w:rsid w:val="00A32A18"/>
    <w:rsid w:val="00A33A80"/>
    <w:rsid w:val="00A353F0"/>
    <w:rsid w:val="00A3568F"/>
    <w:rsid w:val="00A36FFA"/>
    <w:rsid w:val="00A37DA2"/>
    <w:rsid w:val="00A40B66"/>
    <w:rsid w:val="00A40BC9"/>
    <w:rsid w:val="00A41D18"/>
    <w:rsid w:val="00A46DEF"/>
    <w:rsid w:val="00A475F8"/>
    <w:rsid w:val="00A47BC3"/>
    <w:rsid w:val="00A50E91"/>
    <w:rsid w:val="00A51D8F"/>
    <w:rsid w:val="00A51F43"/>
    <w:rsid w:val="00A52091"/>
    <w:rsid w:val="00A52A2B"/>
    <w:rsid w:val="00A5368A"/>
    <w:rsid w:val="00A53D91"/>
    <w:rsid w:val="00A53E9D"/>
    <w:rsid w:val="00A550CB"/>
    <w:rsid w:val="00A55BD8"/>
    <w:rsid w:val="00A57B0E"/>
    <w:rsid w:val="00A62860"/>
    <w:rsid w:val="00A64B40"/>
    <w:rsid w:val="00A678FB"/>
    <w:rsid w:val="00A74E55"/>
    <w:rsid w:val="00A755F7"/>
    <w:rsid w:val="00A813D2"/>
    <w:rsid w:val="00A82717"/>
    <w:rsid w:val="00A8470B"/>
    <w:rsid w:val="00A879DB"/>
    <w:rsid w:val="00A916E2"/>
    <w:rsid w:val="00A93759"/>
    <w:rsid w:val="00AA040E"/>
    <w:rsid w:val="00AA12F5"/>
    <w:rsid w:val="00AA2A89"/>
    <w:rsid w:val="00AA35CD"/>
    <w:rsid w:val="00AA697C"/>
    <w:rsid w:val="00AB1B9A"/>
    <w:rsid w:val="00AB2B17"/>
    <w:rsid w:val="00AB3343"/>
    <w:rsid w:val="00AB3524"/>
    <w:rsid w:val="00AC0282"/>
    <w:rsid w:val="00AC1DCF"/>
    <w:rsid w:val="00AC23BD"/>
    <w:rsid w:val="00AC2E4A"/>
    <w:rsid w:val="00AC2FAF"/>
    <w:rsid w:val="00AC3584"/>
    <w:rsid w:val="00AC3829"/>
    <w:rsid w:val="00AC399F"/>
    <w:rsid w:val="00AC39EF"/>
    <w:rsid w:val="00AC4561"/>
    <w:rsid w:val="00AC584B"/>
    <w:rsid w:val="00AC6ADD"/>
    <w:rsid w:val="00AD18FC"/>
    <w:rsid w:val="00AD2520"/>
    <w:rsid w:val="00AD52A3"/>
    <w:rsid w:val="00AD634F"/>
    <w:rsid w:val="00AE02A5"/>
    <w:rsid w:val="00AE18A8"/>
    <w:rsid w:val="00AE3B8E"/>
    <w:rsid w:val="00AE5FAE"/>
    <w:rsid w:val="00AF07AA"/>
    <w:rsid w:val="00AF09B4"/>
    <w:rsid w:val="00AF18BF"/>
    <w:rsid w:val="00B002B6"/>
    <w:rsid w:val="00B0070A"/>
    <w:rsid w:val="00B0144D"/>
    <w:rsid w:val="00B02172"/>
    <w:rsid w:val="00B02306"/>
    <w:rsid w:val="00B161F2"/>
    <w:rsid w:val="00B20FD9"/>
    <w:rsid w:val="00B21461"/>
    <w:rsid w:val="00B2510B"/>
    <w:rsid w:val="00B26D91"/>
    <w:rsid w:val="00B270B1"/>
    <w:rsid w:val="00B30D88"/>
    <w:rsid w:val="00B36D9B"/>
    <w:rsid w:val="00B449D4"/>
    <w:rsid w:val="00B466B4"/>
    <w:rsid w:val="00B46A88"/>
    <w:rsid w:val="00B52013"/>
    <w:rsid w:val="00B52520"/>
    <w:rsid w:val="00B526E6"/>
    <w:rsid w:val="00B53C27"/>
    <w:rsid w:val="00B55636"/>
    <w:rsid w:val="00B609C0"/>
    <w:rsid w:val="00B64D81"/>
    <w:rsid w:val="00B64E12"/>
    <w:rsid w:val="00B6772B"/>
    <w:rsid w:val="00B67CCB"/>
    <w:rsid w:val="00B70263"/>
    <w:rsid w:val="00B72333"/>
    <w:rsid w:val="00B729C6"/>
    <w:rsid w:val="00B73011"/>
    <w:rsid w:val="00B76C13"/>
    <w:rsid w:val="00B7744F"/>
    <w:rsid w:val="00B84A3B"/>
    <w:rsid w:val="00B84EF5"/>
    <w:rsid w:val="00B9017C"/>
    <w:rsid w:val="00B915CB"/>
    <w:rsid w:val="00B93512"/>
    <w:rsid w:val="00B956F2"/>
    <w:rsid w:val="00BA1987"/>
    <w:rsid w:val="00BA438A"/>
    <w:rsid w:val="00BA4681"/>
    <w:rsid w:val="00BA4C8C"/>
    <w:rsid w:val="00BA4CAA"/>
    <w:rsid w:val="00BA526A"/>
    <w:rsid w:val="00BB0971"/>
    <w:rsid w:val="00BB2370"/>
    <w:rsid w:val="00BB23BD"/>
    <w:rsid w:val="00BB5861"/>
    <w:rsid w:val="00BB78CC"/>
    <w:rsid w:val="00BC2AA9"/>
    <w:rsid w:val="00BC386C"/>
    <w:rsid w:val="00BC3AA1"/>
    <w:rsid w:val="00BC3BDD"/>
    <w:rsid w:val="00BC3E14"/>
    <w:rsid w:val="00BC5077"/>
    <w:rsid w:val="00BC590B"/>
    <w:rsid w:val="00BD0C54"/>
    <w:rsid w:val="00BD2144"/>
    <w:rsid w:val="00BD2D34"/>
    <w:rsid w:val="00BD37E6"/>
    <w:rsid w:val="00BD40E8"/>
    <w:rsid w:val="00BD62C1"/>
    <w:rsid w:val="00BD64E1"/>
    <w:rsid w:val="00BD681B"/>
    <w:rsid w:val="00BE3563"/>
    <w:rsid w:val="00BE4640"/>
    <w:rsid w:val="00BE78A5"/>
    <w:rsid w:val="00BF24A9"/>
    <w:rsid w:val="00BF5732"/>
    <w:rsid w:val="00BF6275"/>
    <w:rsid w:val="00BF7385"/>
    <w:rsid w:val="00BF770E"/>
    <w:rsid w:val="00C0257A"/>
    <w:rsid w:val="00C03AD5"/>
    <w:rsid w:val="00C040D1"/>
    <w:rsid w:val="00C05C57"/>
    <w:rsid w:val="00C06FE6"/>
    <w:rsid w:val="00C07745"/>
    <w:rsid w:val="00C0782D"/>
    <w:rsid w:val="00C12696"/>
    <w:rsid w:val="00C12B54"/>
    <w:rsid w:val="00C137C1"/>
    <w:rsid w:val="00C139A6"/>
    <w:rsid w:val="00C1497B"/>
    <w:rsid w:val="00C1592E"/>
    <w:rsid w:val="00C20F34"/>
    <w:rsid w:val="00C224A3"/>
    <w:rsid w:val="00C22634"/>
    <w:rsid w:val="00C26B68"/>
    <w:rsid w:val="00C32C5F"/>
    <w:rsid w:val="00C37FEA"/>
    <w:rsid w:val="00C4038F"/>
    <w:rsid w:val="00C461BB"/>
    <w:rsid w:val="00C46260"/>
    <w:rsid w:val="00C469B0"/>
    <w:rsid w:val="00C505CD"/>
    <w:rsid w:val="00C52140"/>
    <w:rsid w:val="00C64D3E"/>
    <w:rsid w:val="00C6643D"/>
    <w:rsid w:val="00C6680F"/>
    <w:rsid w:val="00C66ACC"/>
    <w:rsid w:val="00C67885"/>
    <w:rsid w:val="00C717D0"/>
    <w:rsid w:val="00C72415"/>
    <w:rsid w:val="00C72E69"/>
    <w:rsid w:val="00C730AB"/>
    <w:rsid w:val="00C77E82"/>
    <w:rsid w:val="00C843CA"/>
    <w:rsid w:val="00C8468C"/>
    <w:rsid w:val="00C8650E"/>
    <w:rsid w:val="00C8676B"/>
    <w:rsid w:val="00C8730B"/>
    <w:rsid w:val="00C9289E"/>
    <w:rsid w:val="00C92F51"/>
    <w:rsid w:val="00C94718"/>
    <w:rsid w:val="00C94A65"/>
    <w:rsid w:val="00C9776F"/>
    <w:rsid w:val="00CA0F95"/>
    <w:rsid w:val="00CA174A"/>
    <w:rsid w:val="00CA36AC"/>
    <w:rsid w:val="00CA4E2C"/>
    <w:rsid w:val="00CA6A29"/>
    <w:rsid w:val="00CB06C2"/>
    <w:rsid w:val="00CB10F9"/>
    <w:rsid w:val="00CB1755"/>
    <w:rsid w:val="00CB1A01"/>
    <w:rsid w:val="00CB1DCA"/>
    <w:rsid w:val="00CB3DF8"/>
    <w:rsid w:val="00CB413B"/>
    <w:rsid w:val="00CB424C"/>
    <w:rsid w:val="00CC2B72"/>
    <w:rsid w:val="00CC312A"/>
    <w:rsid w:val="00CC6900"/>
    <w:rsid w:val="00CD01BB"/>
    <w:rsid w:val="00CD1E14"/>
    <w:rsid w:val="00CD3BBA"/>
    <w:rsid w:val="00CD3F1B"/>
    <w:rsid w:val="00CD7AC6"/>
    <w:rsid w:val="00CD7D4B"/>
    <w:rsid w:val="00CE17AC"/>
    <w:rsid w:val="00CE2113"/>
    <w:rsid w:val="00CE6426"/>
    <w:rsid w:val="00CF2E1C"/>
    <w:rsid w:val="00CF66FA"/>
    <w:rsid w:val="00CF76A5"/>
    <w:rsid w:val="00D0061F"/>
    <w:rsid w:val="00D0127E"/>
    <w:rsid w:val="00D013BB"/>
    <w:rsid w:val="00D020A7"/>
    <w:rsid w:val="00D02B44"/>
    <w:rsid w:val="00D035B0"/>
    <w:rsid w:val="00D117EB"/>
    <w:rsid w:val="00D123DC"/>
    <w:rsid w:val="00D12DD8"/>
    <w:rsid w:val="00D143B0"/>
    <w:rsid w:val="00D14987"/>
    <w:rsid w:val="00D14E3A"/>
    <w:rsid w:val="00D15423"/>
    <w:rsid w:val="00D154A5"/>
    <w:rsid w:val="00D16B33"/>
    <w:rsid w:val="00D17056"/>
    <w:rsid w:val="00D2040D"/>
    <w:rsid w:val="00D204F5"/>
    <w:rsid w:val="00D218B4"/>
    <w:rsid w:val="00D237EA"/>
    <w:rsid w:val="00D2519C"/>
    <w:rsid w:val="00D270C8"/>
    <w:rsid w:val="00D27E65"/>
    <w:rsid w:val="00D32F66"/>
    <w:rsid w:val="00D33439"/>
    <w:rsid w:val="00D40589"/>
    <w:rsid w:val="00D471EB"/>
    <w:rsid w:val="00D473DB"/>
    <w:rsid w:val="00D47AA0"/>
    <w:rsid w:val="00D5042D"/>
    <w:rsid w:val="00D52BF4"/>
    <w:rsid w:val="00D52FEC"/>
    <w:rsid w:val="00D544F8"/>
    <w:rsid w:val="00D565E1"/>
    <w:rsid w:val="00D60B97"/>
    <w:rsid w:val="00D64AB9"/>
    <w:rsid w:val="00D7177A"/>
    <w:rsid w:val="00D72286"/>
    <w:rsid w:val="00D731D3"/>
    <w:rsid w:val="00D738C4"/>
    <w:rsid w:val="00D77C37"/>
    <w:rsid w:val="00D81253"/>
    <w:rsid w:val="00D86AA0"/>
    <w:rsid w:val="00D87082"/>
    <w:rsid w:val="00D90694"/>
    <w:rsid w:val="00D919B1"/>
    <w:rsid w:val="00D92285"/>
    <w:rsid w:val="00D92922"/>
    <w:rsid w:val="00D9318A"/>
    <w:rsid w:val="00D940F3"/>
    <w:rsid w:val="00D94CD4"/>
    <w:rsid w:val="00D958BA"/>
    <w:rsid w:val="00D96EDD"/>
    <w:rsid w:val="00DA2BEA"/>
    <w:rsid w:val="00DA4143"/>
    <w:rsid w:val="00DB00B6"/>
    <w:rsid w:val="00DB0D8C"/>
    <w:rsid w:val="00DB39F6"/>
    <w:rsid w:val="00DB3AF3"/>
    <w:rsid w:val="00DB3C8A"/>
    <w:rsid w:val="00DB4C8A"/>
    <w:rsid w:val="00DB50CA"/>
    <w:rsid w:val="00DB553D"/>
    <w:rsid w:val="00DB6528"/>
    <w:rsid w:val="00DB67FF"/>
    <w:rsid w:val="00DB6E77"/>
    <w:rsid w:val="00DC0994"/>
    <w:rsid w:val="00DC1070"/>
    <w:rsid w:val="00DC305C"/>
    <w:rsid w:val="00DC4938"/>
    <w:rsid w:val="00DD6657"/>
    <w:rsid w:val="00DE09C8"/>
    <w:rsid w:val="00DE10D8"/>
    <w:rsid w:val="00DE4A9E"/>
    <w:rsid w:val="00DE7352"/>
    <w:rsid w:val="00DE7750"/>
    <w:rsid w:val="00DF1B81"/>
    <w:rsid w:val="00DF3EAE"/>
    <w:rsid w:val="00DF57E1"/>
    <w:rsid w:val="00DF6377"/>
    <w:rsid w:val="00E00226"/>
    <w:rsid w:val="00E003E0"/>
    <w:rsid w:val="00E004D0"/>
    <w:rsid w:val="00E00FB8"/>
    <w:rsid w:val="00E02B75"/>
    <w:rsid w:val="00E03A50"/>
    <w:rsid w:val="00E05B42"/>
    <w:rsid w:val="00E06A2E"/>
    <w:rsid w:val="00E130E9"/>
    <w:rsid w:val="00E14D3C"/>
    <w:rsid w:val="00E15A50"/>
    <w:rsid w:val="00E17337"/>
    <w:rsid w:val="00E2065B"/>
    <w:rsid w:val="00E2218E"/>
    <w:rsid w:val="00E22388"/>
    <w:rsid w:val="00E2369D"/>
    <w:rsid w:val="00E23B08"/>
    <w:rsid w:val="00E30F31"/>
    <w:rsid w:val="00E312EA"/>
    <w:rsid w:val="00E315DC"/>
    <w:rsid w:val="00E32C21"/>
    <w:rsid w:val="00E3432C"/>
    <w:rsid w:val="00E34D2C"/>
    <w:rsid w:val="00E35131"/>
    <w:rsid w:val="00E371B7"/>
    <w:rsid w:val="00E3763E"/>
    <w:rsid w:val="00E40818"/>
    <w:rsid w:val="00E41743"/>
    <w:rsid w:val="00E42AC9"/>
    <w:rsid w:val="00E51B2A"/>
    <w:rsid w:val="00E54453"/>
    <w:rsid w:val="00E54B7B"/>
    <w:rsid w:val="00E54FFA"/>
    <w:rsid w:val="00E606E7"/>
    <w:rsid w:val="00E623EC"/>
    <w:rsid w:val="00E63531"/>
    <w:rsid w:val="00E63A29"/>
    <w:rsid w:val="00E6429B"/>
    <w:rsid w:val="00E65BD2"/>
    <w:rsid w:val="00E70E2B"/>
    <w:rsid w:val="00E71EB0"/>
    <w:rsid w:val="00E75386"/>
    <w:rsid w:val="00E76D22"/>
    <w:rsid w:val="00E830B1"/>
    <w:rsid w:val="00E8375F"/>
    <w:rsid w:val="00E85793"/>
    <w:rsid w:val="00E90610"/>
    <w:rsid w:val="00E93B70"/>
    <w:rsid w:val="00E940BB"/>
    <w:rsid w:val="00E94199"/>
    <w:rsid w:val="00E94F8D"/>
    <w:rsid w:val="00E971BC"/>
    <w:rsid w:val="00EA0C6D"/>
    <w:rsid w:val="00EA1BA4"/>
    <w:rsid w:val="00EB196A"/>
    <w:rsid w:val="00EB1DB9"/>
    <w:rsid w:val="00EB1E3A"/>
    <w:rsid w:val="00EB1EA0"/>
    <w:rsid w:val="00EB2723"/>
    <w:rsid w:val="00EB4033"/>
    <w:rsid w:val="00EB47D7"/>
    <w:rsid w:val="00EC4DCA"/>
    <w:rsid w:val="00EC7445"/>
    <w:rsid w:val="00ED0545"/>
    <w:rsid w:val="00ED0E04"/>
    <w:rsid w:val="00ED234A"/>
    <w:rsid w:val="00EE0993"/>
    <w:rsid w:val="00EE0F73"/>
    <w:rsid w:val="00EE3C83"/>
    <w:rsid w:val="00EE3CD6"/>
    <w:rsid w:val="00EE4B78"/>
    <w:rsid w:val="00EE4C1F"/>
    <w:rsid w:val="00EE509B"/>
    <w:rsid w:val="00EE715C"/>
    <w:rsid w:val="00EE7314"/>
    <w:rsid w:val="00EF0101"/>
    <w:rsid w:val="00EF238E"/>
    <w:rsid w:val="00EF605F"/>
    <w:rsid w:val="00F04B4C"/>
    <w:rsid w:val="00F05FC4"/>
    <w:rsid w:val="00F06BE7"/>
    <w:rsid w:val="00F15169"/>
    <w:rsid w:val="00F152FA"/>
    <w:rsid w:val="00F17360"/>
    <w:rsid w:val="00F23119"/>
    <w:rsid w:val="00F242DA"/>
    <w:rsid w:val="00F24BF3"/>
    <w:rsid w:val="00F276B8"/>
    <w:rsid w:val="00F30B5D"/>
    <w:rsid w:val="00F3104A"/>
    <w:rsid w:val="00F31498"/>
    <w:rsid w:val="00F36573"/>
    <w:rsid w:val="00F40AFB"/>
    <w:rsid w:val="00F40F39"/>
    <w:rsid w:val="00F42178"/>
    <w:rsid w:val="00F42684"/>
    <w:rsid w:val="00F450C7"/>
    <w:rsid w:val="00F46BAC"/>
    <w:rsid w:val="00F47226"/>
    <w:rsid w:val="00F50E16"/>
    <w:rsid w:val="00F535F5"/>
    <w:rsid w:val="00F54CA5"/>
    <w:rsid w:val="00F55144"/>
    <w:rsid w:val="00F5567D"/>
    <w:rsid w:val="00F6023C"/>
    <w:rsid w:val="00F60980"/>
    <w:rsid w:val="00F6116D"/>
    <w:rsid w:val="00F621DC"/>
    <w:rsid w:val="00F63420"/>
    <w:rsid w:val="00F649FD"/>
    <w:rsid w:val="00F65491"/>
    <w:rsid w:val="00F65E26"/>
    <w:rsid w:val="00F66C97"/>
    <w:rsid w:val="00F671E8"/>
    <w:rsid w:val="00F701CE"/>
    <w:rsid w:val="00F71D83"/>
    <w:rsid w:val="00F72F6C"/>
    <w:rsid w:val="00F7337F"/>
    <w:rsid w:val="00F755B3"/>
    <w:rsid w:val="00F7655C"/>
    <w:rsid w:val="00F84A01"/>
    <w:rsid w:val="00F84C33"/>
    <w:rsid w:val="00F84E43"/>
    <w:rsid w:val="00F85147"/>
    <w:rsid w:val="00F86EC0"/>
    <w:rsid w:val="00F929EA"/>
    <w:rsid w:val="00F92C8A"/>
    <w:rsid w:val="00F9684C"/>
    <w:rsid w:val="00F97CFB"/>
    <w:rsid w:val="00FA00B1"/>
    <w:rsid w:val="00FA6E87"/>
    <w:rsid w:val="00FB1A26"/>
    <w:rsid w:val="00FB2B31"/>
    <w:rsid w:val="00FB392B"/>
    <w:rsid w:val="00FB68D5"/>
    <w:rsid w:val="00FB7BA0"/>
    <w:rsid w:val="00FC2E73"/>
    <w:rsid w:val="00FC348B"/>
    <w:rsid w:val="00FC7621"/>
    <w:rsid w:val="00FD44A8"/>
    <w:rsid w:val="00FD6554"/>
    <w:rsid w:val="00FD656D"/>
    <w:rsid w:val="00FD6789"/>
    <w:rsid w:val="00FE2024"/>
    <w:rsid w:val="00FE2793"/>
    <w:rsid w:val="00FE3631"/>
    <w:rsid w:val="00FE4695"/>
    <w:rsid w:val="00FE51C1"/>
    <w:rsid w:val="00FE78CC"/>
    <w:rsid w:val="00FF242A"/>
    <w:rsid w:val="00FF3A5C"/>
    <w:rsid w:val="00FF4DBC"/>
    <w:rsid w:val="00FF4FBA"/>
    <w:rsid w:val="00FF6E00"/>
    <w:rsid w:val="00FF6E40"/>
    <w:rsid w:val="011A2A33"/>
    <w:rsid w:val="01EC2A9F"/>
    <w:rsid w:val="034306F9"/>
    <w:rsid w:val="03E5205C"/>
    <w:rsid w:val="04D26A6F"/>
    <w:rsid w:val="05622DBA"/>
    <w:rsid w:val="05976399"/>
    <w:rsid w:val="060E2E3D"/>
    <w:rsid w:val="068A0E1A"/>
    <w:rsid w:val="06C93CBD"/>
    <w:rsid w:val="0717624F"/>
    <w:rsid w:val="07850737"/>
    <w:rsid w:val="07FB2627"/>
    <w:rsid w:val="08224A4A"/>
    <w:rsid w:val="08572104"/>
    <w:rsid w:val="08A46588"/>
    <w:rsid w:val="0914186D"/>
    <w:rsid w:val="0A6E1A15"/>
    <w:rsid w:val="0AC915C3"/>
    <w:rsid w:val="0AF40970"/>
    <w:rsid w:val="0B4630F0"/>
    <w:rsid w:val="0C3B597F"/>
    <w:rsid w:val="0C3D4C51"/>
    <w:rsid w:val="0D7F037C"/>
    <w:rsid w:val="0E706188"/>
    <w:rsid w:val="0EB7362A"/>
    <w:rsid w:val="0EC2708E"/>
    <w:rsid w:val="0F2543FC"/>
    <w:rsid w:val="10453C9F"/>
    <w:rsid w:val="10587F6E"/>
    <w:rsid w:val="105F6DA2"/>
    <w:rsid w:val="10A63EFD"/>
    <w:rsid w:val="11923040"/>
    <w:rsid w:val="11B059FF"/>
    <w:rsid w:val="12450A0F"/>
    <w:rsid w:val="128D7900"/>
    <w:rsid w:val="129925B6"/>
    <w:rsid w:val="13555FA9"/>
    <w:rsid w:val="1392395B"/>
    <w:rsid w:val="13CE2C6F"/>
    <w:rsid w:val="150E1ACE"/>
    <w:rsid w:val="159A33B0"/>
    <w:rsid w:val="159D50B4"/>
    <w:rsid w:val="179F2F6B"/>
    <w:rsid w:val="17ED60AB"/>
    <w:rsid w:val="18FD04FF"/>
    <w:rsid w:val="19676C63"/>
    <w:rsid w:val="1998445B"/>
    <w:rsid w:val="19DE4971"/>
    <w:rsid w:val="1AA57D6D"/>
    <w:rsid w:val="1BD81C37"/>
    <w:rsid w:val="1D0202A9"/>
    <w:rsid w:val="1D1E0FDA"/>
    <w:rsid w:val="1DED6636"/>
    <w:rsid w:val="1DF7130B"/>
    <w:rsid w:val="1E6B0F00"/>
    <w:rsid w:val="1F5178B4"/>
    <w:rsid w:val="1FA365B7"/>
    <w:rsid w:val="1FD76F1A"/>
    <w:rsid w:val="207F5CB9"/>
    <w:rsid w:val="20E13EA4"/>
    <w:rsid w:val="22114FB3"/>
    <w:rsid w:val="228A4D57"/>
    <w:rsid w:val="22E206AE"/>
    <w:rsid w:val="235D24E6"/>
    <w:rsid w:val="23E90717"/>
    <w:rsid w:val="240777CF"/>
    <w:rsid w:val="241D638C"/>
    <w:rsid w:val="245A1771"/>
    <w:rsid w:val="25D44344"/>
    <w:rsid w:val="265E3355"/>
    <w:rsid w:val="268E05AF"/>
    <w:rsid w:val="26F855C1"/>
    <w:rsid w:val="28434F37"/>
    <w:rsid w:val="28565325"/>
    <w:rsid w:val="286D4BBC"/>
    <w:rsid w:val="286D6C55"/>
    <w:rsid w:val="298D1422"/>
    <w:rsid w:val="29B9437E"/>
    <w:rsid w:val="2BBC1800"/>
    <w:rsid w:val="2BC71CF4"/>
    <w:rsid w:val="2C0C59B5"/>
    <w:rsid w:val="2C866858"/>
    <w:rsid w:val="2CF14664"/>
    <w:rsid w:val="2D985FF2"/>
    <w:rsid w:val="2E26202F"/>
    <w:rsid w:val="2ED072D6"/>
    <w:rsid w:val="2F2F73AC"/>
    <w:rsid w:val="31410555"/>
    <w:rsid w:val="31614F93"/>
    <w:rsid w:val="31C85C35"/>
    <w:rsid w:val="32016992"/>
    <w:rsid w:val="32274393"/>
    <w:rsid w:val="32E15527"/>
    <w:rsid w:val="339877FC"/>
    <w:rsid w:val="34866B14"/>
    <w:rsid w:val="36B14A67"/>
    <w:rsid w:val="372B59D5"/>
    <w:rsid w:val="37807901"/>
    <w:rsid w:val="37AD6DFB"/>
    <w:rsid w:val="37CC25F4"/>
    <w:rsid w:val="37E461EB"/>
    <w:rsid w:val="381137C5"/>
    <w:rsid w:val="38B95AFF"/>
    <w:rsid w:val="38FC317C"/>
    <w:rsid w:val="394546B9"/>
    <w:rsid w:val="3A4A4207"/>
    <w:rsid w:val="3BF4213D"/>
    <w:rsid w:val="3C425216"/>
    <w:rsid w:val="3C94654F"/>
    <w:rsid w:val="3CA456E3"/>
    <w:rsid w:val="3CF100AE"/>
    <w:rsid w:val="3D0A60F9"/>
    <w:rsid w:val="3D252046"/>
    <w:rsid w:val="3D9004FC"/>
    <w:rsid w:val="3DD16D47"/>
    <w:rsid w:val="3E57185B"/>
    <w:rsid w:val="3E7E17ED"/>
    <w:rsid w:val="3E833416"/>
    <w:rsid w:val="3EC6621A"/>
    <w:rsid w:val="3F8A0B9D"/>
    <w:rsid w:val="3FC52949"/>
    <w:rsid w:val="3FDF1464"/>
    <w:rsid w:val="416353E3"/>
    <w:rsid w:val="41C32F69"/>
    <w:rsid w:val="41FD6677"/>
    <w:rsid w:val="4271557B"/>
    <w:rsid w:val="431E1BF0"/>
    <w:rsid w:val="439E6E7F"/>
    <w:rsid w:val="43AC2B2F"/>
    <w:rsid w:val="43BD0DE5"/>
    <w:rsid w:val="43CB25A0"/>
    <w:rsid w:val="44E0725E"/>
    <w:rsid w:val="456E09EC"/>
    <w:rsid w:val="46144A0A"/>
    <w:rsid w:val="46CD2C70"/>
    <w:rsid w:val="49710D06"/>
    <w:rsid w:val="4B1A07E2"/>
    <w:rsid w:val="4BAE4373"/>
    <w:rsid w:val="4BC56A83"/>
    <w:rsid w:val="4BE807E9"/>
    <w:rsid w:val="4D6F4E65"/>
    <w:rsid w:val="4DE82C75"/>
    <w:rsid w:val="4EB70BA8"/>
    <w:rsid w:val="4F196525"/>
    <w:rsid w:val="4F4C03C0"/>
    <w:rsid w:val="50181825"/>
    <w:rsid w:val="5057347D"/>
    <w:rsid w:val="51A020D4"/>
    <w:rsid w:val="51BA6E0F"/>
    <w:rsid w:val="520C7001"/>
    <w:rsid w:val="5294199E"/>
    <w:rsid w:val="53192F0F"/>
    <w:rsid w:val="54CF3676"/>
    <w:rsid w:val="54FF32E3"/>
    <w:rsid w:val="5564656B"/>
    <w:rsid w:val="56FF5069"/>
    <w:rsid w:val="57637140"/>
    <w:rsid w:val="57684DB6"/>
    <w:rsid w:val="580210A8"/>
    <w:rsid w:val="58283C15"/>
    <w:rsid w:val="59A81D54"/>
    <w:rsid w:val="59CF254B"/>
    <w:rsid w:val="59E10688"/>
    <w:rsid w:val="5A253BD9"/>
    <w:rsid w:val="5AA90B0C"/>
    <w:rsid w:val="5AEA71A2"/>
    <w:rsid w:val="5B1343C7"/>
    <w:rsid w:val="5B4C228C"/>
    <w:rsid w:val="5BE76303"/>
    <w:rsid w:val="5C806763"/>
    <w:rsid w:val="5CA755CB"/>
    <w:rsid w:val="5CAE6F8A"/>
    <w:rsid w:val="5CBB1214"/>
    <w:rsid w:val="5D324BFE"/>
    <w:rsid w:val="5DA2745F"/>
    <w:rsid w:val="5F01496B"/>
    <w:rsid w:val="60A5245B"/>
    <w:rsid w:val="610A316D"/>
    <w:rsid w:val="62141D8D"/>
    <w:rsid w:val="63672FD7"/>
    <w:rsid w:val="64302E6F"/>
    <w:rsid w:val="65032EA9"/>
    <w:rsid w:val="66CB247F"/>
    <w:rsid w:val="672029F6"/>
    <w:rsid w:val="679A3ABD"/>
    <w:rsid w:val="6832250E"/>
    <w:rsid w:val="6843113C"/>
    <w:rsid w:val="6858417B"/>
    <w:rsid w:val="693A4206"/>
    <w:rsid w:val="6A0827BB"/>
    <w:rsid w:val="6A7C249B"/>
    <w:rsid w:val="6A8E19B2"/>
    <w:rsid w:val="6BDD7046"/>
    <w:rsid w:val="6CDC2865"/>
    <w:rsid w:val="6D1E19C3"/>
    <w:rsid w:val="6EF01958"/>
    <w:rsid w:val="6F545E48"/>
    <w:rsid w:val="70781F99"/>
    <w:rsid w:val="70C13A20"/>
    <w:rsid w:val="71A8329A"/>
    <w:rsid w:val="721A0E59"/>
    <w:rsid w:val="72357334"/>
    <w:rsid w:val="730E3D71"/>
    <w:rsid w:val="733304D4"/>
    <w:rsid w:val="73753F3D"/>
    <w:rsid w:val="74D87B7D"/>
    <w:rsid w:val="76154180"/>
    <w:rsid w:val="761E1943"/>
    <w:rsid w:val="765B6084"/>
    <w:rsid w:val="76FB3F44"/>
    <w:rsid w:val="771D492C"/>
    <w:rsid w:val="7831603D"/>
    <w:rsid w:val="792B2F97"/>
    <w:rsid w:val="797D47A8"/>
    <w:rsid w:val="79880A8D"/>
    <w:rsid w:val="79EF25EE"/>
    <w:rsid w:val="7A297F96"/>
    <w:rsid w:val="7AC56904"/>
    <w:rsid w:val="7AF14BD0"/>
    <w:rsid w:val="7B2B094E"/>
    <w:rsid w:val="7B357434"/>
    <w:rsid w:val="7B582781"/>
    <w:rsid w:val="7B913066"/>
    <w:rsid w:val="7BAB0903"/>
    <w:rsid w:val="7BF11898"/>
    <w:rsid w:val="7C0C30AF"/>
    <w:rsid w:val="7C595B69"/>
    <w:rsid w:val="7CAF22BF"/>
    <w:rsid w:val="7D0B5EA6"/>
    <w:rsid w:val="7D2B03BA"/>
    <w:rsid w:val="7D883202"/>
    <w:rsid w:val="7DF4626B"/>
    <w:rsid w:val="7E7948E4"/>
    <w:rsid w:val="7F0C3269"/>
    <w:rsid w:val="7FB0551D"/>
    <w:rsid w:val="7FF61D08"/>
  </w:rsids>
  <m:mathPr>
    <m:mathFont m:val="Cambria Math"/>
    <m:brkBin m:val="before"/>
    <m:brkBinSub m:val="--"/>
    <m:smallFrac m:val="1"/>
    <m:dispDef/>
    <m:lMargin m:val="0"/>
    <m:rMargin m:val="0"/>
    <m:defJc m:val="centerGroup"/>
    <m:wrapIndent m:val="1440"/>
    <m:intLim m:val="subSup"/>
    <m:naryLim m:val="undOvr"/>
  </m:mathPr>
  <w:attachedSchema w:val="urn:schemas-microsoft-com:office:smarttags"/>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39" w:semiHidden="0" w:name="toc 1"/>
    <w:lsdException w:qFormat="1" w:unhideWhenUsed="0" w:uiPriority="39" w:semiHidden="0" w:name="toc 2"/>
    <w:lsdException w:qFormat="1" w:unhideWhenUsed="0" w:uiPriority="99" w:semiHidden="0" w:name="toc 3"/>
    <w:lsdException w:qFormat="1" w:unhideWhenUsed="0" w:uiPriority="99" w:semiHidden="0" w:name="toc 4" w:locked="1"/>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iPriority="99" w:name="footnote text" w:locked="1"/>
    <w:lsdException w:qFormat="1" w:unhideWhenUsed="0" w:uiPriority="99" w:semiHidden="0" w:name="annotation text"/>
    <w:lsdException w:qFormat="1" w:unhideWhenUsed="0" w:uiPriority="99" w:semiHidden="0" w:name="header"/>
    <w:lsdException w:qFormat="1" w:unhideWhenUsed="0" w:uiPriority="99" w:semiHidden="0" w:name="footer"/>
    <w:lsdException w:uiPriority="99" w:name="index heading" w:locked="1"/>
    <w:lsdException w:qFormat="1" w:uiPriority="0" w:name="caption"/>
    <w:lsdException w:uiPriority="99" w:name="table of figures" w:locked="1"/>
    <w:lsdException w:uiPriority="99" w:name="envelope address" w:locked="1"/>
    <w:lsdException w:uiPriority="99" w:name="envelope return" w:locked="1"/>
    <w:lsdException w:uiPriority="99" w:name="footnote reference" w:locked="1"/>
    <w:lsdException w:qFormat="1" w:unhideWhenUsed="0" w:uiPriority="99" w:semiHidden="0" w:name="annotation reference"/>
    <w:lsdException w:uiPriority="99" w:name="line number" w:locked="1"/>
    <w:lsdException w:uiPriority="99" w:name="page number" w:locked="1"/>
    <w:lsdException w:qFormat="1" w:unhideWhenUsed="0" w:uiPriority="99" w:semiHidden="0" w:name="endnote reference"/>
    <w:lsdException w:qFormat="1" w:unhideWhenUsed="0" w:uiPriority="99" w:semiHidden="0" w:name="endnote text"/>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0" w:semiHidden="0" w:name="Title"/>
    <w:lsdException w:uiPriority="99" w:name="Closing" w:locked="1"/>
    <w:lsdException w:uiPriority="99" w:name="Signature" w:locked="1"/>
    <w:lsdException w:qFormat="1" w:uiPriority="1" w:name="Default Paragraph Font"/>
    <w:lsdException w:uiPriority="99" w:name="Body Text" w:locked="1"/>
    <w:lsdException w:uiPriority="99" w:name="Body Text Indent" w:locked="1"/>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0" w:semiHidden="0" w:name="Subtitle"/>
    <w:lsdException w:uiPriority="99" w:name="Salutation" w:locked="1"/>
    <w:lsdException w:qFormat="1" w:unhideWhenUsed="0" w:uiPriority="99" w:semiHidden="0" w:name="Date" w:locked="1"/>
    <w:lsdException w:uiPriority="99" w:name="Body Text First Indent" w:locked="1"/>
    <w:lsdException w:uiPriority="99" w:name="Body Text First Indent 2" w:locked="1"/>
    <w:lsdException w:uiPriority="99" w:name="Note Heading" w:locked="1"/>
    <w:lsdException w:uiPriority="99" w:name="Body Text 2" w:locked="1"/>
    <w:lsdException w:uiPriority="99" w:name="Body Text 3" w:locked="1"/>
    <w:lsdException w:uiPriority="99" w:name="Body Text Indent 2" w:locked="1"/>
    <w:lsdException w:uiPriority="99" w:name="Body Text Indent 3" w:locked="1"/>
    <w:lsdException w:uiPriority="99" w:name="Block Text" w:locked="1"/>
    <w:lsdException w:qFormat="1" w:unhideWhenUsed="0" w:uiPriority="99" w:semiHidden="0" w:name="Hyperlink"/>
    <w:lsdException w:uiPriority="99" w:name="FollowedHyperlink" w:locked="1"/>
    <w:lsdException w:qFormat="1" w:unhideWhenUsed="0" w:uiPriority="99" w:semiHidden="0" w:name="Strong"/>
    <w:lsdException w:qFormat="1" w:unhideWhenUsed="0" w:uiPriority="0" w:semiHidden="0" w:name="Emphasis"/>
    <w:lsdException w:qFormat="1" w:uiPriority="99" w:name="Document Map" w:locked="1"/>
    <w:lsdException w:qFormat="1" w:unhideWhenUsed="0" w:uiPriority="99" w:semiHidden="0" w:name="Plain Text"/>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uiPriority="99" w:name="HTML Preformatted" w:locked="1"/>
    <w:lsdException w:uiPriority="99" w:name="HTML Sample" w:locked="1"/>
    <w:lsdException w:uiPriority="99" w:name="HTML Typewriter" w:locked="1"/>
    <w:lsdException w:uiPriority="99" w:name="HTML Variable" w:locked="1"/>
    <w:lsdException w:qFormat="1" w:uiPriority="99" w:name="Normal Table"/>
    <w:lsdException w:qFormat="1" w:unhideWhenUsed="0" w:uiPriority="99" w:semiHidden="0" w:name="annotation subject"/>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semiHidden="0" w:name="Balloon Text"/>
    <w:lsdException w:qFormat="1" w:unhideWhenUsed="0" w:uiPriority="99" w:semiHidden="0" w:name="Table Grid"/>
    <w:lsdException w:uiPriority="99" w:name="Table Theme" w:locked="1"/>
    <w:lsdException w:qFormat="1" w:uiPriority="99" w:semiHidden="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1"/>
    <w:basedOn w:val="1"/>
    <w:next w:val="1"/>
    <w:link w:val="36"/>
    <w:qFormat/>
    <w:uiPriority w:val="99"/>
    <w:pPr>
      <w:keepNext/>
      <w:keepLines/>
      <w:spacing w:before="340" w:after="330" w:line="578" w:lineRule="auto"/>
      <w:outlineLvl w:val="0"/>
    </w:pPr>
    <w:rPr>
      <w:rFonts w:ascii="Times New Roman" w:hAnsi="Times New Roman"/>
      <w:b/>
      <w:bCs/>
      <w:kern w:val="44"/>
      <w:sz w:val="44"/>
      <w:szCs w:val="44"/>
    </w:rPr>
  </w:style>
  <w:style w:type="paragraph" w:styleId="4">
    <w:name w:val="heading 2"/>
    <w:basedOn w:val="1"/>
    <w:next w:val="1"/>
    <w:link w:val="37"/>
    <w:qFormat/>
    <w:uiPriority w:val="99"/>
    <w:pPr>
      <w:keepNext/>
      <w:keepLines/>
      <w:spacing w:before="260" w:after="260" w:line="416" w:lineRule="auto"/>
      <w:outlineLvl w:val="1"/>
    </w:pPr>
    <w:rPr>
      <w:rFonts w:ascii="Cambria" w:hAnsi="Cambria"/>
      <w:b/>
      <w:bCs/>
      <w:kern w:val="0"/>
      <w:sz w:val="32"/>
      <w:szCs w:val="32"/>
    </w:rPr>
  </w:style>
  <w:style w:type="paragraph" w:styleId="5">
    <w:name w:val="heading 3"/>
    <w:basedOn w:val="1"/>
    <w:next w:val="1"/>
    <w:link w:val="38"/>
    <w:qFormat/>
    <w:uiPriority w:val="0"/>
    <w:pPr>
      <w:keepNext/>
      <w:keepLines/>
      <w:spacing w:before="260" w:after="260" w:line="416" w:lineRule="auto"/>
      <w:outlineLvl w:val="2"/>
    </w:pPr>
    <w:rPr>
      <w:b/>
      <w:bCs/>
      <w:sz w:val="32"/>
      <w:szCs w:val="32"/>
    </w:rPr>
  </w:style>
  <w:style w:type="paragraph" w:styleId="6">
    <w:name w:val="heading 4"/>
    <w:basedOn w:val="1"/>
    <w:next w:val="1"/>
    <w:link w:val="39"/>
    <w:qFormat/>
    <w:uiPriority w:val="0"/>
    <w:pPr>
      <w:keepNext/>
      <w:keepLines/>
      <w:spacing w:before="280" w:after="290" w:line="376" w:lineRule="auto"/>
      <w:outlineLvl w:val="3"/>
    </w:pPr>
    <w:rPr>
      <w:rFonts w:ascii="Cambria" w:hAnsi="Cambria"/>
      <w:b/>
      <w:bCs/>
      <w:sz w:val="28"/>
      <w:szCs w:val="28"/>
    </w:rPr>
  </w:style>
  <w:style w:type="paragraph" w:styleId="7">
    <w:name w:val="heading 5"/>
    <w:basedOn w:val="1"/>
    <w:next w:val="1"/>
    <w:link w:val="35"/>
    <w:qFormat/>
    <w:uiPriority w:val="0"/>
    <w:pPr>
      <w:keepNext/>
      <w:keepLines/>
      <w:spacing w:before="280" w:after="290" w:line="376" w:lineRule="auto"/>
      <w:outlineLvl w:val="4"/>
    </w:pPr>
    <w:rPr>
      <w:b/>
      <w:bCs/>
      <w:sz w:val="28"/>
      <w:szCs w:val="28"/>
    </w:rPr>
  </w:style>
  <w:style w:type="paragraph" w:styleId="8">
    <w:name w:val="heading 6"/>
    <w:basedOn w:val="1"/>
    <w:next w:val="1"/>
    <w:link w:val="69"/>
    <w:semiHidden/>
    <w:unhideWhenUsed/>
    <w:qFormat/>
    <w:uiPriority w:val="0"/>
    <w:pPr>
      <w:keepNext/>
      <w:keepLines/>
      <w:spacing w:before="240" w:after="64" w:line="317" w:lineRule="auto"/>
      <w:outlineLvl w:val="5"/>
    </w:pPr>
    <w:rPr>
      <w:rFonts w:ascii="Arial" w:hAnsi="Arial" w:eastAsia="黑体"/>
      <w:b/>
      <w:sz w:val="24"/>
    </w:rPr>
  </w:style>
  <w:style w:type="paragraph" w:styleId="9">
    <w:name w:val="heading 7"/>
    <w:basedOn w:val="1"/>
    <w:next w:val="1"/>
    <w:link w:val="70"/>
    <w:semiHidden/>
    <w:unhideWhenUsed/>
    <w:qFormat/>
    <w:uiPriority w:val="0"/>
    <w:pPr>
      <w:keepNext/>
      <w:keepLines/>
      <w:spacing w:before="240" w:after="64" w:line="317" w:lineRule="auto"/>
      <w:outlineLvl w:val="6"/>
    </w:pPr>
    <w:rPr>
      <w:b/>
      <w:sz w:val="24"/>
    </w:rPr>
  </w:style>
  <w:style w:type="paragraph" w:styleId="10">
    <w:name w:val="heading 8"/>
    <w:basedOn w:val="1"/>
    <w:next w:val="1"/>
    <w:link w:val="71"/>
    <w:semiHidden/>
    <w:unhideWhenUsed/>
    <w:qFormat/>
    <w:uiPriority w:val="0"/>
    <w:pPr>
      <w:keepNext/>
      <w:keepLines/>
      <w:spacing w:before="240" w:after="64" w:line="317" w:lineRule="auto"/>
      <w:outlineLvl w:val="7"/>
    </w:pPr>
    <w:rPr>
      <w:rFonts w:ascii="Arial" w:hAnsi="Arial" w:eastAsia="黑体"/>
      <w:sz w:val="24"/>
    </w:rPr>
  </w:style>
  <w:style w:type="paragraph" w:styleId="11">
    <w:name w:val="heading 9"/>
    <w:basedOn w:val="1"/>
    <w:next w:val="1"/>
    <w:link w:val="72"/>
    <w:semiHidden/>
    <w:unhideWhenUsed/>
    <w:qFormat/>
    <w:uiPriority w:val="0"/>
    <w:pPr>
      <w:keepNext/>
      <w:keepLines/>
      <w:spacing w:before="240" w:after="64" w:line="317" w:lineRule="auto"/>
      <w:ind w:left="1583" w:hanging="1583"/>
      <w:outlineLvl w:val="8"/>
    </w:pPr>
    <w:rPr>
      <w:rFonts w:ascii="Arial" w:hAnsi="Arial" w:eastAsia="黑体"/>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customStyle="1" w:styleId="2">
    <w:name w:val="正文（缩进）"/>
    <w:basedOn w:val="1"/>
    <w:qFormat/>
    <w:uiPriority w:val="0"/>
  </w:style>
  <w:style w:type="paragraph" w:styleId="12">
    <w:name w:val="Normal Indent"/>
    <w:basedOn w:val="1"/>
    <w:link w:val="51"/>
    <w:qFormat/>
    <w:uiPriority w:val="99"/>
    <w:pPr>
      <w:ind w:firstLine="420"/>
    </w:pPr>
  </w:style>
  <w:style w:type="paragraph" w:styleId="13">
    <w:name w:val="Document Map"/>
    <w:basedOn w:val="1"/>
    <w:link w:val="77"/>
    <w:semiHidden/>
    <w:unhideWhenUsed/>
    <w:qFormat/>
    <w:locked/>
    <w:uiPriority w:val="99"/>
    <w:rPr>
      <w:rFonts w:ascii="宋体"/>
      <w:sz w:val="18"/>
      <w:szCs w:val="18"/>
    </w:rPr>
  </w:style>
  <w:style w:type="paragraph" w:styleId="14">
    <w:name w:val="annotation text"/>
    <w:basedOn w:val="1"/>
    <w:link w:val="40"/>
    <w:qFormat/>
    <w:uiPriority w:val="99"/>
    <w:pPr>
      <w:jc w:val="left"/>
    </w:pPr>
    <w:rPr>
      <w:rFonts w:ascii="Times New Roman" w:hAnsi="Times New Roman"/>
      <w:kern w:val="0"/>
      <w:sz w:val="20"/>
      <w:szCs w:val="20"/>
    </w:rPr>
  </w:style>
  <w:style w:type="paragraph" w:styleId="15">
    <w:name w:val="toc 3"/>
    <w:basedOn w:val="1"/>
    <w:next w:val="1"/>
    <w:qFormat/>
    <w:uiPriority w:val="99"/>
    <w:pPr>
      <w:widowControl/>
      <w:spacing w:after="100" w:line="276" w:lineRule="auto"/>
      <w:ind w:left="440"/>
      <w:jc w:val="left"/>
    </w:pPr>
    <w:rPr>
      <w:kern w:val="0"/>
      <w:sz w:val="22"/>
    </w:rPr>
  </w:style>
  <w:style w:type="paragraph" w:styleId="16">
    <w:name w:val="Plain Text"/>
    <w:basedOn w:val="1"/>
    <w:link w:val="42"/>
    <w:qFormat/>
    <w:uiPriority w:val="99"/>
    <w:rPr>
      <w:rFonts w:ascii="宋体" w:hAnsi="Courier New"/>
      <w:kern w:val="0"/>
      <w:szCs w:val="20"/>
    </w:rPr>
  </w:style>
  <w:style w:type="paragraph" w:styleId="17">
    <w:name w:val="Date"/>
    <w:basedOn w:val="1"/>
    <w:next w:val="1"/>
    <w:link w:val="66"/>
    <w:qFormat/>
    <w:locked/>
    <w:uiPriority w:val="99"/>
    <w:pPr>
      <w:ind w:left="100" w:leftChars="2500"/>
    </w:pPr>
    <w:rPr>
      <w:rFonts w:ascii="Times New Roman" w:hAnsi="Times New Roman"/>
      <w:kern w:val="0"/>
      <w:sz w:val="24"/>
      <w:szCs w:val="20"/>
    </w:rPr>
  </w:style>
  <w:style w:type="paragraph" w:styleId="18">
    <w:name w:val="endnote text"/>
    <w:basedOn w:val="1"/>
    <w:link w:val="43"/>
    <w:qFormat/>
    <w:uiPriority w:val="99"/>
    <w:pPr>
      <w:snapToGrid w:val="0"/>
      <w:jc w:val="left"/>
    </w:pPr>
    <w:rPr>
      <w:rFonts w:ascii="Times New Roman" w:hAnsi="Times New Roman"/>
      <w:kern w:val="0"/>
      <w:sz w:val="20"/>
      <w:szCs w:val="20"/>
    </w:rPr>
  </w:style>
  <w:style w:type="paragraph" w:styleId="19">
    <w:name w:val="Balloon Text"/>
    <w:basedOn w:val="1"/>
    <w:link w:val="44"/>
    <w:qFormat/>
    <w:uiPriority w:val="99"/>
    <w:rPr>
      <w:rFonts w:ascii="Times New Roman" w:hAnsi="Times New Roman"/>
      <w:kern w:val="0"/>
      <w:sz w:val="18"/>
      <w:szCs w:val="18"/>
    </w:rPr>
  </w:style>
  <w:style w:type="paragraph" w:styleId="20">
    <w:name w:val="footer"/>
    <w:basedOn w:val="1"/>
    <w:link w:val="45"/>
    <w:qFormat/>
    <w:uiPriority w:val="99"/>
    <w:pPr>
      <w:tabs>
        <w:tab w:val="center" w:pos="4153"/>
        <w:tab w:val="right" w:pos="8306"/>
      </w:tabs>
      <w:snapToGrid w:val="0"/>
      <w:jc w:val="left"/>
    </w:pPr>
    <w:rPr>
      <w:rFonts w:ascii="Times New Roman" w:hAnsi="Times New Roman"/>
      <w:kern w:val="0"/>
      <w:sz w:val="18"/>
      <w:szCs w:val="18"/>
    </w:rPr>
  </w:style>
  <w:style w:type="paragraph" w:styleId="21">
    <w:name w:val="header"/>
    <w:basedOn w:val="1"/>
    <w:link w:val="46"/>
    <w:qFormat/>
    <w:uiPriority w:val="99"/>
    <w:pPr>
      <w:pBdr>
        <w:bottom w:val="single" w:color="auto" w:sz="6" w:space="1"/>
      </w:pBdr>
      <w:tabs>
        <w:tab w:val="center" w:pos="4153"/>
        <w:tab w:val="right" w:pos="8306"/>
      </w:tabs>
      <w:snapToGrid w:val="0"/>
      <w:jc w:val="center"/>
    </w:pPr>
    <w:rPr>
      <w:rFonts w:ascii="Times New Roman" w:hAnsi="Times New Roman"/>
      <w:kern w:val="0"/>
      <w:sz w:val="18"/>
      <w:szCs w:val="18"/>
    </w:rPr>
  </w:style>
  <w:style w:type="paragraph" w:styleId="22">
    <w:name w:val="toc 1"/>
    <w:basedOn w:val="23"/>
    <w:next w:val="3"/>
    <w:qFormat/>
    <w:uiPriority w:val="39"/>
    <w:pPr>
      <w:widowControl/>
      <w:spacing w:line="440" w:lineRule="exact"/>
      <w:jc w:val="left"/>
    </w:pPr>
    <w:rPr>
      <w:rFonts w:eastAsia="黑体"/>
      <w:b/>
      <w:i w:val="0"/>
      <w:sz w:val="28"/>
    </w:rPr>
  </w:style>
  <w:style w:type="paragraph" w:customStyle="1" w:styleId="23">
    <w:name w:val="引用1"/>
    <w:basedOn w:val="1"/>
    <w:next w:val="1"/>
    <w:link w:val="50"/>
    <w:qFormat/>
    <w:uiPriority w:val="99"/>
    <w:rPr>
      <w:rFonts w:ascii="Times New Roman" w:hAnsi="Times New Roman"/>
      <w:i/>
      <w:iCs/>
      <w:color w:val="000000"/>
      <w:kern w:val="0"/>
      <w:sz w:val="20"/>
      <w:szCs w:val="20"/>
    </w:rPr>
  </w:style>
  <w:style w:type="paragraph" w:styleId="24">
    <w:name w:val="toc 4"/>
    <w:basedOn w:val="1"/>
    <w:next w:val="1"/>
    <w:qFormat/>
    <w:locked/>
    <w:uiPriority w:val="99"/>
    <w:pPr>
      <w:ind w:left="1260" w:leftChars="600"/>
    </w:pPr>
    <w:rPr>
      <w:rFonts w:ascii="Times New Roman" w:hAnsi="Times New Roman"/>
      <w:szCs w:val="24"/>
    </w:rPr>
  </w:style>
  <w:style w:type="paragraph" w:styleId="25">
    <w:name w:val="toc 2"/>
    <w:basedOn w:val="23"/>
    <w:next w:val="4"/>
    <w:qFormat/>
    <w:uiPriority w:val="39"/>
    <w:pPr>
      <w:widowControl/>
      <w:tabs>
        <w:tab w:val="left" w:pos="756"/>
        <w:tab w:val="left" w:pos="966"/>
        <w:tab w:val="left" w:pos="1204"/>
        <w:tab w:val="left" w:pos="1442"/>
        <w:tab w:val="right" w:leader="dot" w:pos="9514"/>
      </w:tabs>
      <w:spacing w:line="276" w:lineRule="auto"/>
      <w:ind w:left="220"/>
      <w:jc w:val="left"/>
    </w:pPr>
    <w:rPr>
      <w:rFonts w:ascii="宋体" w:hAnsi="宋体"/>
      <w:i w:val="0"/>
      <w:sz w:val="24"/>
    </w:rPr>
  </w:style>
  <w:style w:type="paragraph" w:styleId="26">
    <w:name w:val="Normal (Web)"/>
    <w:basedOn w:val="1"/>
    <w:qFormat/>
    <w:uiPriority w:val="99"/>
    <w:pPr>
      <w:widowControl/>
      <w:spacing w:before="100" w:beforeAutospacing="1" w:after="100" w:afterAutospacing="1"/>
      <w:jc w:val="left"/>
    </w:pPr>
    <w:rPr>
      <w:rFonts w:ascii="宋体" w:hAnsi="宋体" w:cs="宋体"/>
      <w:kern w:val="0"/>
      <w:sz w:val="24"/>
      <w:szCs w:val="24"/>
    </w:rPr>
  </w:style>
  <w:style w:type="paragraph" w:styleId="27">
    <w:name w:val="annotation subject"/>
    <w:basedOn w:val="14"/>
    <w:next w:val="14"/>
    <w:link w:val="41"/>
    <w:qFormat/>
    <w:uiPriority w:val="99"/>
    <w:rPr>
      <w:b/>
      <w:bCs/>
    </w:rPr>
  </w:style>
  <w:style w:type="table" w:styleId="29">
    <w:name w:val="Table Grid"/>
    <w:basedOn w:val="28"/>
    <w:qFormat/>
    <w:uiPriority w:val="9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1">
    <w:name w:val="Strong"/>
    <w:qFormat/>
    <w:uiPriority w:val="99"/>
    <w:rPr>
      <w:rFonts w:cs="Times New Roman"/>
      <w:b/>
    </w:rPr>
  </w:style>
  <w:style w:type="character" w:styleId="32">
    <w:name w:val="endnote reference"/>
    <w:qFormat/>
    <w:uiPriority w:val="99"/>
    <w:rPr>
      <w:rFonts w:cs="Times New Roman"/>
      <w:vertAlign w:val="superscript"/>
    </w:rPr>
  </w:style>
  <w:style w:type="character" w:styleId="33">
    <w:name w:val="Hyperlink"/>
    <w:qFormat/>
    <w:uiPriority w:val="99"/>
    <w:rPr>
      <w:rFonts w:cs="Times New Roman"/>
      <w:color w:val="0000FF"/>
      <w:u w:val="single"/>
    </w:rPr>
  </w:style>
  <w:style w:type="character" w:styleId="34">
    <w:name w:val="annotation reference"/>
    <w:qFormat/>
    <w:uiPriority w:val="99"/>
    <w:rPr>
      <w:rFonts w:cs="Times New Roman"/>
      <w:sz w:val="21"/>
    </w:rPr>
  </w:style>
  <w:style w:type="character" w:customStyle="1" w:styleId="35">
    <w:name w:val="标题 5 Char"/>
    <w:link w:val="7"/>
    <w:qFormat/>
    <w:locked/>
    <w:uiPriority w:val="99"/>
    <w:rPr>
      <w:rFonts w:ascii="Calibri" w:hAnsi="Calibri" w:eastAsia="宋体"/>
      <w:b/>
      <w:kern w:val="2"/>
      <w:sz w:val="28"/>
    </w:rPr>
  </w:style>
  <w:style w:type="character" w:customStyle="1" w:styleId="36">
    <w:name w:val="标题 1 Char"/>
    <w:link w:val="3"/>
    <w:qFormat/>
    <w:locked/>
    <w:uiPriority w:val="99"/>
    <w:rPr>
      <w:b/>
      <w:kern w:val="44"/>
      <w:sz w:val="44"/>
    </w:rPr>
  </w:style>
  <w:style w:type="character" w:customStyle="1" w:styleId="37">
    <w:name w:val="标题 2 Char"/>
    <w:link w:val="4"/>
    <w:qFormat/>
    <w:locked/>
    <w:uiPriority w:val="99"/>
    <w:rPr>
      <w:rFonts w:ascii="Cambria" w:hAnsi="Cambria" w:eastAsia="宋体"/>
      <w:b/>
      <w:sz w:val="32"/>
    </w:rPr>
  </w:style>
  <w:style w:type="character" w:customStyle="1" w:styleId="38">
    <w:name w:val="标题 3 Char"/>
    <w:link w:val="5"/>
    <w:semiHidden/>
    <w:qFormat/>
    <w:locked/>
    <w:uiPriority w:val="99"/>
    <w:rPr>
      <w:rFonts w:ascii="Calibri" w:hAnsi="Calibri" w:eastAsia="宋体"/>
      <w:b/>
      <w:kern w:val="2"/>
      <w:sz w:val="32"/>
    </w:rPr>
  </w:style>
  <w:style w:type="character" w:customStyle="1" w:styleId="39">
    <w:name w:val="标题 4 Char"/>
    <w:link w:val="6"/>
    <w:semiHidden/>
    <w:qFormat/>
    <w:locked/>
    <w:uiPriority w:val="99"/>
    <w:rPr>
      <w:rFonts w:ascii="Cambria" w:hAnsi="Cambria" w:eastAsia="宋体"/>
      <w:b/>
      <w:kern w:val="2"/>
      <w:sz w:val="28"/>
    </w:rPr>
  </w:style>
  <w:style w:type="character" w:customStyle="1" w:styleId="40">
    <w:name w:val="批注文字 Char"/>
    <w:basedOn w:val="30"/>
    <w:link w:val="14"/>
    <w:qFormat/>
    <w:locked/>
    <w:uiPriority w:val="99"/>
  </w:style>
  <w:style w:type="character" w:customStyle="1" w:styleId="41">
    <w:name w:val="批注主题 Char"/>
    <w:link w:val="27"/>
    <w:semiHidden/>
    <w:qFormat/>
    <w:locked/>
    <w:uiPriority w:val="99"/>
    <w:rPr>
      <w:b/>
    </w:rPr>
  </w:style>
  <w:style w:type="character" w:customStyle="1" w:styleId="42">
    <w:name w:val="纯文本 Char"/>
    <w:link w:val="16"/>
    <w:qFormat/>
    <w:locked/>
    <w:uiPriority w:val="99"/>
    <w:rPr>
      <w:rFonts w:ascii="宋体" w:hAnsi="Courier New"/>
      <w:sz w:val="21"/>
    </w:rPr>
  </w:style>
  <w:style w:type="character" w:customStyle="1" w:styleId="43">
    <w:name w:val="尾注文本 Char"/>
    <w:basedOn w:val="30"/>
    <w:link w:val="18"/>
    <w:semiHidden/>
    <w:qFormat/>
    <w:locked/>
    <w:uiPriority w:val="99"/>
  </w:style>
  <w:style w:type="character" w:customStyle="1" w:styleId="44">
    <w:name w:val="批注框文本 Char"/>
    <w:link w:val="19"/>
    <w:semiHidden/>
    <w:qFormat/>
    <w:locked/>
    <w:uiPriority w:val="99"/>
    <w:rPr>
      <w:sz w:val="18"/>
    </w:rPr>
  </w:style>
  <w:style w:type="character" w:customStyle="1" w:styleId="45">
    <w:name w:val="页脚 Char"/>
    <w:link w:val="20"/>
    <w:qFormat/>
    <w:locked/>
    <w:uiPriority w:val="99"/>
    <w:rPr>
      <w:sz w:val="18"/>
    </w:rPr>
  </w:style>
  <w:style w:type="character" w:customStyle="1" w:styleId="46">
    <w:name w:val="页眉 Char"/>
    <w:link w:val="21"/>
    <w:qFormat/>
    <w:locked/>
    <w:uiPriority w:val="99"/>
    <w:rPr>
      <w:sz w:val="18"/>
    </w:rPr>
  </w:style>
  <w:style w:type="paragraph" w:customStyle="1" w:styleId="47">
    <w:name w:val="列出段落1"/>
    <w:basedOn w:val="1"/>
    <w:qFormat/>
    <w:uiPriority w:val="99"/>
    <w:pPr>
      <w:ind w:firstLine="420" w:firstLineChars="200"/>
    </w:pPr>
  </w:style>
  <w:style w:type="paragraph" w:customStyle="1" w:styleId="48">
    <w:name w:val="TOC 标题1"/>
    <w:basedOn w:val="3"/>
    <w:next w:val="1"/>
    <w:qFormat/>
    <w:uiPriority w:val="99"/>
    <w:pPr>
      <w:widowControl/>
      <w:spacing w:before="480" w:after="0" w:line="276" w:lineRule="auto"/>
      <w:jc w:val="left"/>
      <w:outlineLvl w:val="9"/>
    </w:pPr>
    <w:rPr>
      <w:rFonts w:ascii="Cambria" w:hAnsi="Cambria"/>
      <w:color w:val="365F91"/>
      <w:kern w:val="0"/>
      <w:sz w:val="28"/>
      <w:szCs w:val="28"/>
    </w:rPr>
  </w:style>
  <w:style w:type="character" w:customStyle="1" w:styleId="49">
    <w:name w:val="纯文本 Char1"/>
    <w:semiHidden/>
    <w:qFormat/>
    <w:uiPriority w:val="99"/>
    <w:rPr>
      <w:rFonts w:ascii="宋体" w:hAnsi="Courier New" w:eastAsia="宋体"/>
      <w:sz w:val="21"/>
    </w:rPr>
  </w:style>
  <w:style w:type="character" w:customStyle="1" w:styleId="50">
    <w:name w:val="引用 Char"/>
    <w:link w:val="23"/>
    <w:qFormat/>
    <w:locked/>
    <w:uiPriority w:val="99"/>
    <w:rPr>
      <w:i/>
      <w:color w:val="000000"/>
    </w:rPr>
  </w:style>
  <w:style w:type="character" w:customStyle="1" w:styleId="51">
    <w:name w:val="正文缩进 Char"/>
    <w:link w:val="12"/>
    <w:qFormat/>
    <w:locked/>
    <w:uiPriority w:val="99"/>
  </w:style>
  <w:style w:type="paragraph" w:styleId="52">
    <w:name w:val="List Paragraph"/>
    <w:basedOn w:val="1"/>
    <w:qFormat/>
    <w:uiPriority w:val="99"/>
    <w:pPr>
      <w:ind w:firstLine="420" w:firstLineChars="200"/>
    </w:pPr>
  </w:style>
  <w:style w:type="paragraph" w:customStyle="1" w:styleId="53">
    <w:name w:val="模板正文"/>
    <w:basedOn w:val="1"/>
    <w:link w:val="54"/>
    <w:qFormat/>
    <w:uiPriority w:val="99"/>
    <w:pPr>
      <w:wordWrap w:val="0"/>
      <w:spacing w:line="360" w:lineRule="auto"/>
      <w:ind w:firstLine="200" w:firstLineChars="200"/>
    </w:pPr>
    <w:rPr>
      <w:rFonts w:ascii="Times New Roman" w:hAnsi="Times New Roman" w:eastAsia="仿宋_GB2312"/>
      <w:szCs w:val="20"/>
    </w:rPr>
  </w:style>
  <w:style w:type="character" w:customStyle="1" w:styleId="54">
    <w:name w:val="模板正文 Char"/>
    <w:link w:val="53"/>
    <w:qFormat/>
    <w:locked/>
    <w:uiPriority w:val="99"/>
    <w:rPr>
      <w:rFonts w:eastAsia="仿宋_GB2312"/>
      <w:kern w:val="2"/>
      <w:sz w:val="21"/>
    </w:rPr>
  </w:style>
  <w:style w:type="paragraph" w:customStyle="1" w:styleId="55">
    <w:name w:val="标书正文"/>
    <w:basedOn w:val="1"/>
    <w:link w:val="56"/>
    <w:qFormat/>
    <w:uiPriority w:val="99"/>
    <w:pPr>
      <w:spacing w:line="360" w:lineRule="auto"/>
      <w:ind w:firstLine="480" w:firstLineChars="200"/>
      <w:jc w:val="left"/>
    </w:pPr>
    <w:rPr>
      <w:rFonts w:ascii="Times New Roman" w:hAnsi="Times New Roman" w:eastAsia="仿宋_GB2312"/>
      <w:color w:val="000000"/>
      <w:sz w:val="24"/>
      <w:szCs w:val="20"/>
      <w:lang w:val="zh-CN"/>
    </w:rPr>
  </w:style>
  <w:style w:type="character" w:customStyle="1" w:styleId="56">
    <w:name w:val="标书正文 Char Char"/>
    <w:link w:val="55"/>
    <w:qFormat/>
    <w:locked/>
    <w:uiPriority w:val="99"/>
    <w:rPr>
      <w:rFonts w:eastAsia="仿宋_GB2312"/>
      <w:color w:val="000000"/>
      <w:kern w:val="2"/>
      <w:sz w:val="24"/>
      <w:lang w:val="zh-CN"/>
    </w:rPr>
  </w:style>
  <w:style w:type="character" w:customStyle="1" w:styleId="57">
    <w:name w:val="表格正文 Char"/>
    <w:link w:val="58"/>
    <w:qFormat/>
    <w:locked/>
    <w:uiPriority w:val="99"/>
    <w:rPr>
      <w:rFonts w:eastAsia="仿宋_GB2312"/>
      <w:color w:val="000000"/>
      <w:sz w:val="28"/>
    </w:rPr>
  </w:style>
  <w:style w:type="paragraph" w:customStyle="1" w:styleId="58">
    <w:name w:val="表格正文"/>
    <w:basedOn w:val="1"/>
    <w:link w:val="57"/>
    <w:qFormat/>
    <w:uiPriority w:val="99"/>
    <w:pPr>
      <w:jc w:val="left"/>
    </w:pPr>
    <w:rPr>
      <w:rFonts w:ascii="Times New Roman" w:hAnsi="Times New Roman" w:eastAsia="仿宋_GB2312"/>
      <w:color w:val="000000"/>
      <w:kern w:val="0"/>
      <w:sz w:val="28"/>
      <w:szCs w:val="20"/>
    </w:rPr>
  </w:style>
  <w:style w:type="character" w:customStyle="1" w:styleId="59">
    <w:name w:val="标书正文 Char"/>
    <w:qFormat/>
    <w:locked/>
    <w:uiPriority w:val="99"/>
    <w:rPr>
      <w:rFonts w:ascii="仿宋_GB2312" w:eastAsia="仿宋_GB2312"/>
      <w:kern w:val="2"/>
      <w:sz w:val="22"/>
    </w:rPr>
  </w:style>
  <w:style w:type="paragraph" w:customStyle="1" w:styleId="60">
    <w:name w:val="正文1"/>
    <w:basedOn w:val="1"/>
    <w:link w:val="61"/>
    <w:qFormat/>
    <w:uiPriority w:val="99"/>
    <w:pPr>
      <w:adjustRightInd w:val="0"/>
      <w:snapToGrid w:val="0"/>
      <w:spacing w:before="120" w:line="360" w:lineRule="auto"/>
      <w:ind w:firstLine="200" w:firstLineChars="200"/>
      <w:textAlignment w:val="baseline"/>
    </w:pPr>
    <w:rPr>
      <w:rFonts w:ascii="Times New Roman" w:hAnsi="Times New Roman" w:eastAsia="仿宋_GB2312"/>
      <w:kern w:val="0"/>
      <w:sz w:val="28"/>
      <w:szCs w:val="20"/>
    </w:rPr>
  </w:style>
  <w:style w:type="character" w:customStyle="1" w:styleId="61">
    <w:name w:val="正文1 Char"/>
    <w:link w:val="60"/>
    <w:qFormat/>
    <w:locked/>
    <w:uiPriority w:val="99"/>
    <w:rPr>
      <w:rFonts w:eastAsia="仿宋_GB2312"/>
      <w:sz w:val="28"/>
    </w:rPr>
  </w:style>
  <w:style w:type="paragraph" w:customStyle="1" w:styleId="62">
    <w:name w:val="段"/>
    <w:next w:val="1"/>
    <w:qFormat/>
    <w:uiPriority w:val="99"/>
    <w:pPr>
      <w:autoSpaceDE w:val="0"/>
      <w:autoSpaceDN w:val="0"/>
      <w:ind w:firstLine="200" w:firstLineChars="200"/>
      <w:jc w:val="both"/>
    </w:pPr>
    <w:rPr>
      <w:rFonts w:ascii="宋体" w:hAnsi="Calibri" w:eastAsia="宋体" w:cs="Times New Roman"/>
      <w:sz w:val="21"/>
      <w:szCs w:val="22"/>
      <w:lang w:val="en-US" w:eastAsia="zh-CN" w:bidi="ar-SA"/>
    </w:rPr>
  </w:style>
  <w:style w:type="paragraph" w:customStyle="1" w:styleId="63">
    <w:name w:val="Table Paragraph"/>
    <w:basedOn w:val="1"/>
    <w:qFormat/>
    <w:uiPriority w:val="0"/>
    <w:rPr>
      <w:rFonts w:ascii="宋体" w:cs="黑体"/>
      <w:kern w:val="0"/>
      <w:sz w:val="34"/>
      <w:szCs w:val="20"/>
    </w:rPr>
  </w:style>
  <w:style w:type="character" w:customStyle="1" w:styleId="64">
    <w:name w:val="ca-2"/>
    <w:qFormat/>
    <w:uiPriority w:val="99"/>
    <w:rPr>
      <w:rFonts w:ascii="Times New Roman" w:hAnsi="Times New Roman" w:eastAsia="宋体"/>
    </w:rPr>
  </w:style>
  <w:style w:type="paragraph" w:customStyle="1" w:styleId="65">
    <w:name w:val="正文文本 21"/>
    <w:basedOn w:val="1"/>
    <w:qFormat/>
    <w:uiPriority w:val="99"/>
    <w:pPr>
      <w:jc w:val="center"/>
    </w:pPr>
    <w:rPr>
      <w:rFonts w:ascii="宋体" w:hAnsi="Times New Roman"/>
      <w:b/>
      <w:sz w:val="44"/>
      <w:szCs w:val="20"/>
    </w:rPr>
  </w:style>
  <w:style w:type="character" w:customStyle="1" w:styleId="66">
    <w:name w:val="日期 Char"/>
    <w:link w:val="17"/>
    <w:qFormat/>
    <w:locked/>
    <w:uiPriority w:val="99"/>
    <w:rPr>
      <w:sz w:val="24"/>
    </w:rPr>
  </w:style>
  <w:style w:type="character" w:customStyle="1" w:styleId="67">
    <w:name w:val="font61"/>
    <w:basedOn w:val="30"/>
    <w:qFormat/>
    <w:uiPriority w:val="0"/>
    <w:rPr>
      <w:rFonts w:hint="eastAsia" w:ascii="宋体" w:hAnsi="宋体" w:eastAsia="宋体" w:cs="宋体"/>
      <w:color w:val="FF0000"/>
      <w:sz w:val="28"/>
      <w:szCs w:val="28"/>
      <w:u w:val="none"/>
    </w:rPr>
  </w:style>
  <w:style w:type="character" w:customStyle="1" w:styleId="68">
    <w:name w:val="font41"/>
    <w:basedOn w:val="30"/>
    <w:qFormat/>
    <w:uiPriority w:val="0"/>
    <w:rPr>
      <w:rFonts w:hint="eastAsia" w:ascii="宋体" w:hAnsi="宋体" w:eastAsia="宋体" w:cs="宋体"/>
      <w:color w:val="FF0000"/>
      <w:sz w:val="20"/>
      <w:szCs w:val="20"/>
      <w:u w:val="none"/>
    </w:rPr>
  </w:style>
  <w:style w:type="character" w:customStyle="1" w:styleId="69">
    <w:name w:val="标题 6 Char"/>
    <w:basedOn w:val="30"/>
    <w:link w:val="8"/>
    <w:semiHidden/>
    <w:qFormat/>
    <w:uiPriority w:val="0"/>
    <w:rPr>
      <w:rFonts w:ascii="Arial" w:hAnsi="Arial" w:eastAsia="黑体"/>
      <w:b/>
      <w:kern w:val="2"/>
      <w:sz w:val="24"/>
      <w:szCs w:val="22"/>
    </w:rPr>
  </w:style>
  <w:style w:type="character" w:customStyle="1" w:styleId="70">
    <w:name w:val="标题 7 Char"/>
    <w:basedOn w:val="30"/>
    <w:link w:val="9"/>
    <w:semiHidden/>
    <w:qFormat/>
    <w:uiPriority w:val="0"/>
    <w:rPr>
      <w:rFonts w:ascii="Calibri" w:hAnsi="Calibri"/>
      <w:b/>
      <w:kern w:val="2"/>
      <w:sz w:val="24"/>
      <w:szCs w:val="22"/>
    </w:rPr>
  </w:style>
  <w:style w:type="character" w:customStyle="1" w:styleId="71">
    <w:name w:val="标题 8 Char"/>
    <w:basedOn w:val="30"/>
    <w:link w:val="10"/>
    <w:semiHidden/>
    <w:qFormat/>
    <w:uiPriority w:val="0"/>
    <w:rPr>
      <w:rFonts w:ascii="Arial" w:hAnsi="Arial" w:eastAsia="黑体"/>
      <w:kern w:val="2"/>
      <w:sz w:val="24"/>
      <w:szCs w:val="22"/>
    </w:rPr>
  </w:style>
  <w:style w:type="character" w:customStyle="1" w:styleId="72">
    <w:name w:val="标题 9 Char"/>
    <w:basedOn w:val="30"/>
    <w:link w:val="11"/>
    <w:semiHidden/>
    <w:qFormat/>
    <w:uiPriority w:val="0"/>
    <w:rPr>
      <w:rFonts w:ascii="Arial" w:hAnsi="Arial" w:eastAsia="黑体"/>
      <w:kern w:val="2"/>
      <w:sz w:val="21"/>
      <w:szCs w:val="22"/>
    </w:rPr>
  </w:style>
  <w:style w:type="character" w:customStyle="1" w:styleId="73">
    <w:name w:val="font31"/>
    <w:basedOn w:val="30"/>
    <w:qFormat/>
    <w:uiPriority w:val="0"/>
    <w:rPr>
      <w:rFonts w:hint="eastAsia" w:ascii="宋体" w:hAnsi="宋体" w:eastAsia="宋体" w:cs="宋体"/>
      <w:color w:val="000000"/>
      <w:sz w:val="21"/>
      <w:szCs w:val="21"/>
      <w:u w:val="none"/>
    </w:rPr>
  </w:style>
  <w:style w:type="character" w:customStyle="1" w:styleId="74">
    <w:name w:val="font11"/>
    <w:basedOn w:val="30"/>
    <w:qFormat/>
    <w:uiPriority w:val="0"/>
    <w:rPr>
      <w:rFonts w:hint="eastAsia" w:ascii="宋体" w:hAnsi="宋体" w:eastAsia="宋体" w:cs="宋体"/>
      <w:color w:val="000000"/>
      <w:sz w:val="21"/>
      <w:szCs w:val="21"/>
      <w:u w:val="none"/>
    </w:rPr>
  </w:style>
  <w:style w:type="character" w:customStyle="1" w:styleId="75">
    <w:name w:val="font51"/>
    <w:basedOn w:val="30"/>
    <w:qFormat/>
    <w:uiPriority w:val="0"/>
    <w:rPr>
      <w:rFonts w:hint="eastAsia" w:ascii="宋体" w:hAnsi="宋体" w:eastAsia="宋体" w:cs="宋体"/>
      <w:color w:val="FF0000"/>
      <w:sz w:val="21"/>
      <w:szCs w:val="21"/>
      <w:u w:val="none"/>
    </w:rPr>
  </w:style>
  <w:style w:type="character" w:customStyle="1" w:styleId="76">
    <w:name w:val="font01"/>
    <w:basedOn w:val="30"/>
    <w:qFormat/>
    <w:uiPriority w:val="0"/>
    <w:rPr>
      <w:rFonts w:hint="default" w:ascii="Arial" w:hAnsi="Arial" w:cs="Arial"/>
      <w:color w:val="000000"/>
      <w:sz w:val="21"/>
      <w:szCs w:val="21"/>
      <w:u w:val="none"/>
    </w:rPr>
  </w:style>
  <w:style w:type="character" w:customStyle="1" w:styleId="77">
    <w:name w:val="文档结构图 Char"/>
    <w:basedOn w:val="30"/>
    <w:link w:val="13"/>
    <w:semiHidden/>
    <w:qFormat/>
    <w:uiPriority w:val="99"/>
    <w:rPr>
      <w:rFonts w:ascii="宋体" w:hAnsi="Calibri"/>
      <w:kern w:val="2"/>
      <w:sz w:val="18"/>
      <w:szCs w:val="18"/>
    </w:rPr>
  </w:style>
  <w:style w:type="character" w:styleId="78">
    <w:name w:val="Placeholder Text"/>
    <w:basedOn w:val="30"/>
    <w:unhideWhenUsed/>
    <w:qFormat/>
    <w:uiPriority w:val="99"/>
    <w:rPr>
      <w:color w:val="808080"/>
    </w:rPr>
  </w:style>
  <w:style w:type="paragraph" w:styleId="79">
    <w:name w:val="No Spacing"/>
    <w:link w:val="80"/>
    <w:qFormat/>
    <w:uiPriority w:val="1"/>
    <w:rPr>
      <w:rFonts w:asciiTheme="minorHAnsi" w:hAnsiTheme="minorHAnsi" w:eastAsiaTheme="minorEastAsia" w:cstheme="minorBidi"/>
      <w:sz w:val="22"/>
      <w:szCs w:val="22"/>
      <w:lang w:val="en-US" w:eastAsia="zh-CN" w:bidi="ar-SA"/>
    </w:rPr>
  </w:style>
  <w:style w:type="character" w:customStyle="1" w:styleId="80">
    <w:name w:val="无间隔 Char"/>
    <w:basedOn w:val="30"/>
    <w:link w:val="79"/>
    <w:qFormat/>
    <w:uiPriority w:val="1"/>
    <w:rPr>
      <w:rFonts w:asciiTheme="minorHAnsi" w:hAnsiTheme="minorHAnsi" w:eastAsiaTheme="minorEastAsia" w:cstheme="minorBidi"/>
      <w:sz w:val="22"/>
      <w:szCs w:val="22"/>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1.emf"/><Relationship Id="rId7" Type="http://schemas.openxmlformats.org/officeDocument/2006/relationships/oleObject" Target="embeddings/oleObject1.bin"/><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2.xml"/><Relationship Id="rId10" Type="http://schemas.openxmlformats.org/officeDocument/2006/relationships/numbering" Target="numbering.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01E3931-53C1-42A9-9FB6-5E62B5F264FB}">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80</Pages>
  <Words>49078</Words>
  <Characters>51973</Characters>
  <Lines>417</Lines>
  <Paragraphs>117</Paragraphs>
  <TotalTime>14</TotalTime>
  <ScaleCrop>false</ScaleCrop>
  <LinksUpToDate>false</LinksUpToDate>
  <CharactersWithSpaces>52708</CharactersWithSpaces>
  <Application>WPS Office_11.1.0.12300_F1E327BC-269C-435d-A152-05C5408002CA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2022-08-01T03:50:00Z</dcterms:created>
  <dc:creator>Administrator</dc:creator>
  <cp:lastModifiedBy>，</cp:lastModifiedBy>
  <cp:lastPrinted>2022-08-03T04:16:00Z</cp:lastPrinted>
  <dcterms:modified xsi:type="dcterms:W3CDTF">2022-08-04T09:51:24Z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2052-11.1.0.12300</vt:lpwstr>
  </property>
  <property fmtid="{D5CDD505-2E9C-101B-9397-08002B2CF9AE}" pid="3" name="ICV">
    <vt:lpwstr>248FF9109C8345E69E3F81E8C763DDA3</vt:lpwstr>
  </property>
</Properties>
</file>