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verflowPunct w:val="0"/>
        <w:autoSpaceDE w:val="0"/>
        <w:autoSpaceDN w:val="0"/>
        <w:spacing w:line="579" w:lineRule="exact"/>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rPr>
      </w:pPr>
    </w:p>
    <w:p>
      <w:pPr>
        <w:overflowPunct w:val="0"/>
        <w:autoSpaceDE w:val="0"/>
        <w:autoSpaceDN w:val="0"/>
        <w:spacing w:line="760" w:lineRule="exact"/>
        <w:jc w:val="center"/>
        <w:rPr>
          <w:rFonts w:hint="eastAsia" w:ascii="方正小标宋_GBK" w:hAnsi="Times New Roman" w:eastAsia="方正小标宋_GBK"/>
          <w:color w:val="auto"/>
          <w:sz w:val="52"/>
          <w:szCs w:val="52"/>
          <w:lang w:val="en-US" w:eastAsia="zh-CN"/>
        </w:rPr>
      </w:pPr>
      <w:r>
        <w:rPr>
          <w:rFonts w:hint="eastAsia" w:ascii="方正小标宋_GBK" w:hAnsi="Times New Roman" w:eastAsia="方正小标宋_GBK"/>
          <w:color w:val="auto"/>
          <w:sz w:val="52"/>
          <w:szCs w:val="52"/>
          <w:lang w:val="en-US" w:eastAsia="zh-CN"/>
        </w:rPr>
        <w:t>年产200万平方米单面线路板智能自动化技术改造生产线</w:t>
      </w:r>
    </w:p>
    <w:p>
      <w:pPr>
        <w:overflowPunct w:val="0"/>
        <w:autoSpaceDE w:val="0"/>
        <w:autoSpaceDN w:val="0"/>
        <w:spacing w:line="760" w:lineRule="exact"/>
        <w:jc w:val="center"/>
        <w:rPr>
          <w:rFonts w:hint="eastAsia" w:ascii="方正小标宋_GBK" w:hAnsi="Times New Roman" w:eastAsia="方正小标宋_GBK"/>
          <w:color w:val="auto"/>
          <w:sz w:val="56"/>
          <w:szCs w:val="56"/>
        </w:rPr>
      </w:pPr>
      <w:r>
        <w:rPr>
          <w:rFonts w:hint="eastAsia" w:ascii="方正小标宋_GBK" w:hAnsi="Times New Roman" w:eastAsia="方正小标宋_GBK"/>
          <w:color w:val="auto"/>
          <w:sz w:val="56"/>
          <w:szCs w:val="56"/>
        </w:rPr>
        <w:t>消 防 设 计 专 篇</w:t>
      </w: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overflowPunct w:val="0"/>
        <w:autoSpaceDE w:val="0"/>
        <w:autoSpaceDN w:val="0"/>
        <w:spacing w:line="579" w:lineRule="exact"/>
        <w:ind w:firstLine="640" w:firstLineChars="200"/>
        <w:rPr>
          <w:rFonts w:ascii="Times New Roman" w:hAnsi="Times New Roman" w:eastAsia="仿宋_GB2312"/>
          <w:color w:val="auto"/>
          <w:sz w:val="32"/>
          <w:szCs w:val="32"/>
        </w:rPr>
      </w:pPr>
    </w:p>
    <w:p>
      <w:pPr>
        <w:jc w:val="center"/>
        <w:rPr>
          <w:rFonts w:hint="default" w:eastAsia="宋体"/>
          <w:color w:val="auto"/>
          <w:sz w:val="30"/>
          <w:lang w:val="en-US" w:eastAsia="zh-CN"/>
        </w:rPr>
      </w:pPr>
      <w:r>
        <w:rPr>
          <w:rFonts w:hint="eastAsia"/>
          <w:color w:val="auto"/>
          <w:sz w:val="30"/>
          <w:lang w:val="en-US" w:eastAsia="zh-CN"/>
        </w:rPr>
        <w:t>缔博国际设计有限公司</w:t>
      </w:r>
    </w:p>
    <w:p>
      <w:pPr>
        <w:jc w:val="center"/>
        <w:rPr>
          <w:rFonts w:hint="eastAsia" w:ascii="楷体_GB2312" w:hAnsi="Times New Roman" w:eastAsia="楷体_GB2312"/>
          <w:color w:val="auto"/>
          <w:sz w:val="34"/>
          <w:szCs w:val="34"/>
        </w:rPr>
      </w:pPr>
      <w:r>
        <w:rPr>
          <w:rFonts w:hint="eastAsia" w:ascii="楷体_GB2312" w:hAnsi="Times New Roman" w:eastAsia="楷体_GB2312"/>
          <w:color w:val="auto"/>
          <w:sz w:val="34"/>
          <w:szCs w:val="34"/>
        </w:rPr>
        <w:t xml:space="preserve">日期： </w:t>
      </w:r>
      <w:r>
        <w:rPr>
          <w:rFonts w:hint="eastAsia" w:ascii="楷体_GB2312" w:hAnsi="Times New Roman" w:eastAsia="楷体_GB2312"/>
          <w:color w:val="auto"/>
          <w:sz w:val="34"/>
          <w:szCs w:val="34"/>
          <w:lang w:val="en-US" w:eastAsia="zh-CN"/>
        </w:rPr>
        <w:t>2023</w:t>
      </w:r>
      <w:r>
        <w:rPr>
          <w:rFonts w:hint="eastAsia" w:ascii="楷体_GB2312" w:hAnsi="Times New Roman" w:eastAsia="楷体_GB2312"/>
          <w:color w:val="auto"/>
          <w:sz w:val="34"/>
          <w:szCs w:val="34"/>
        </w:rPr>
        <w:t xml:space="preserve">年 </w:t>
      </w:r>
      <w:r>
        <w:rPr>
          <w:rFonts w:hint="eastAsia" w:ascii="楷体_GB2312" w:hAnsi="Times New Roman" w:eastAsia="楷体_GB2312"/>
          <w:color w:val="auto"/>
          <w:sz w:val="34"/>
          <w:szCs w:val="34"/>
          <w:lang w:val="en-US" w:eastAsia="zh-CN"/>
        </w:rPr>
        <w:t>09</w:t>
      </w:r>
      <w:r>
        <w:rPr>
          <w:rFonts w:hint="eastAsia" w:ascii="楷体_GB2312" w:hAnsi="Times New Roman" w:eastAsia="楷体_GB2312"/>
          <w:color w:val="auto"/>
          <w:sz w:val="34"/>
          <w:szCs w:val="34"/>
        </w:rPr>
        <w:t xml:space="preserve">月 </w:t>
      </w:r>
      <w:r>
        <w:rPr>
          <w:rFonts w:hint="eastAsia" w:ascii="楷体_GB2312" w:hAnsi="Times New Roman" w:eastAsia="楷体_GB2312"/>
          <w:color w:val="auto"/>
          <w:sz w:val="34"/>
          <w:szCs w:val="34"/>
          <w:lang w:val="en-US" w:eastAsia="zh-CN"/>
        </w:rPr>
        <w:t>20</w:t>
      </w:r>
      <w:r>
        <w:rPr>
          <w:rFonts w:hint="eastAsia" w:ascii="楷体_GB2312" w:hAnsi="Times New Roman" w:eastAsia="楷体_GB2312"/>
          <w:color w:val="auto"/>
          <w:sz w:val="34"/>
          <w:szCs w:val="34"/>
        </w:rPr>
        <w:t>日</w:t>
      </w:r>
    </w:p>
    <w:p>
      <w:pPr>
        <w:overflowPunct w:val="0"/>
        <w:autoSpaceDE w:val="0"/>
        <w:autoSpaceDN w:val="0"/>
        <w:spacing w:line="579" w:lineRule="exact"/>
        <w:ind w:firstLine="680" w:firstLineChars="200"/>
        <w:jc w:val="center"/>
        <w:rPr>
          <w:rFonts w:hint="eastAsia" w:ascii="楷体_GB2312" w:hAnsi="Times New Roman" w:eastAsia="楷体_GB2312"/>
          <w:color w:val="auto"/>
          <w:sz w:val="34"/>
          <w:szCs w:val="34"/>
        </w:rPr>
        <w:sectPr>
          <w:footerReference r:id="rId3" w:type="default"/>
          <w:pgSz w:w="11906" w:h="16838"/>
          <w:pgMar w:top="1871" w:right="1531" w:bottom="2211" w:left="1531" w:header="851" w:footer="1191" w:gutter="0"/>
          <w:cols w:space="720" w:num="1"/>
          <w:docGrid w:type="lines" w:linePitch="312" w:charSpace="0"/>
        </w:sectPr>
      </w:pPr>
    </w:p>
    <w:p>
      <w:pPr>
        <w:spacing w:beforeLines="0" w:afterLines="0"/>
        <w:jc w:val="left"/>
        <w:rPr>
          <w:rFonts w:hint="default" w:ascii="Times New Roman" w:hAnsi="Times New Roman" w:eastAsia="仿宋_GB2312"/>
          <w:color w:val="auto"/>
          <w:sz w:val="24"/>
          <w:lang w:val="en-US" w:eastAsia="zh-CN"/>
        </w:rPr>
      </w:pPr>
      <w:r>
        <w:rPr>
          <w:rFonts w:hint="eastAsia" w:ascii="Times New Roman" w:hAnsi="Times New Roman" w:eastAsia="仿宋_GB2312"/>
          <w:color w:val="auto"/>
          <w:sz w:val="24"/>
        </w:rPr>
        <w:t xml:space="preserve">工程名称：年产200万平方米单面线路板智能自动化技术改造生产线          </w:t>
      </w:r>
      <w:r>
        <w:rPr>
          <w:rFonts w:ascii="Times New Roman" w:hAnsi="Times New Roman" w:eastAsia="仿宋_GB2312"/>
          <w:color w:val="auto"/>
          <w:sz w:val="24"/>
        </w:rPr>
        <w:t xml:space="preserve">    </w:t>
      </w:r>
      <w:r>
        <w:rPr>
          <w:rFonts w:hint="eastAsia" w:ascii="Times New Roman" w:hAnsi="Times New Roman" w:eastAsia="仿宋_GB2312"/>
          <w:color w:val="auto"/>
          <w:sz w:val="24"/>
        </w:rPr>
        <w:t xml:space="preserve">    日期：</w:t>
      </w:r>
      <w:r>
        <w:rPr>
          <w:rFonts w:hint="eastAsia" w:ascii="Times New Roman" w:hAnsi="Times New Roman" w:eastAsia="仿宋_GB2312"/>
          <w:color w:val="auto"/>
          <w:sz w:val="24"/>
          <w:lang w:val="en-US" w:eastAsia="zh-CN"/>
        </w:rPr>
        <w:t>2023年09月20日</w:t>
      </w:r>
    </w:p>
    <w:tbl>
      <w:tblPr>
        <w:tblStyle w:val="4"/>
        <w:tblW w:w="4924" w:type="pct"/>
        <w:jc w:val="center"/>
        <w:tblBorders>
          <w:top w:val="none" w:color="auto" w:sz="0" w:space="0"/>
          <w:left w:val="single" w:color="000000" w:sz="8" w:space="0"/>
          <w:bottom w:val="none" w:color="auto" w:sz="0" w:space="0"/>
          <w:right w:val="single" w:color="000000" w:sz="8" w:space="0"/>
          <w:insideH w:val="none" w:color="auto" w:sz="0" w:space="0"/>
          <w:insideV w:val="none" w:color="auto" w:sz="0" w:space="0"/>
        </w:tblBorders>
        <w:tblLayout w:type="autofit"/>
        <w:tblCellMar>
          <w:top w:w="0" w:type="dxa"/>
          <w:left w:w="108" w:type="dxa"/>
          <w:bottom w:w="0" w:type="dxa"/>
          <w:right w:w="108" w:type="dxa"/>
        </w:tblCellMar>
      </w:tblPr>
      <w:tblGrid>
        <w:gridCol w:w="2534"/>
        <w:gridCol w:w="1711"/>
        <w:gridCol w:w="3696"/>
        <w:gridCol w:w="2063"/>
        <w:gridCol w:w="1568"/>
        <w:gridCol w:w="1400"/>
      </w:tblGrid>
      <w:tr>
        <w:tblPrEx>
          <w:tblBorders>
            <w:top w:val="none" w:color="auto" w:sz="0" w:space="0"/>
            <w:left w:val="single" w:color="000000" w:sz="8" w:space="0"/>
            <w:bottom w:val="none" w:color="auto" w:sz="0" w:space="0"/>
            <w:right w:val="single" w:color="000000" w:sz="8" w:space="0"/>
            <w:insideH w:val="none" w:color="auto" w:sz="0" w:space="0"/>
            <w:insideV w:val="none" w:color="auto" w:sz="0" w:space="0"/>
          </w:tblBorders>
        </w:tblPrEx>
        <w:trPr>
          <w:trHeight w:val="840" w:hRule="atLeast"/>
          <w:jc w:val="center"/>
        </w:trPr>
        <w:tc>
          <w:tcPr>
            <w:tcW w:w="1117" w:type="pct"/>
            <w:tcBorders>
              <w:top w:val="single" w:color="auto" w:sz="8" w:space="0"/>
              <w:left w:val="single" w:color="auto" w:sz="8" w:space="0"/>
              <w:bottom w:val="single" w:color="auto" w:sz="4" w:space="0"/>
              <w:right w:val="single" w:color="auto"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编制单位</w:t>
            </w:r>
          </w:p>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名称</w:t>
            </w:r>
          </w:p>
        </w:tc>
        <w:tc>
          <w:tcPr>
            <w:tcW w:w="1675" w:type="pct"/>
            <w:gridSpan w:val="2"/>
            <w:tcBorders>
              <w:top w:val="single" w:color="auto" w:sz="8" w:space="0"/>
              <w:left w:val="single" w:color="auto" w:sz="4" w:space="0"/>
              <w:bottom w:val="single" w:color="auto" w:sz="4" w:space="0"/>
              <w:right w:val="single" w:color="auto"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hint="eastAsia" w:ascii="Times New Roman" w:hAnsi="Times New Roman" w:eastAsia="仿宋_GB2312" w:cs="Times New Roman"/>
                <w:color w:val="auto"/>
                <w:kern w:val="0"/>
                <w:sz w:val="22"/>
                <w:szCs w:val="22"/>
                <w:lang w:val="en-US" w:eastAsia="zh-CN"/>
              </w:rPr>
              <w:t>缔博国际设计有限公司</w:t>
            </w:r>
            <w:r>
              <w:rPr>
                <w:rFonts w:ascii="Times New Roman" w:hAnsi="Times New Roman" w:eastAsia="仿宋_GB2312" w:cs="Times New Roman"/>
                <w:color w:val="auto"/>
                <w:kern w:val="0"/>
                <w:sz w:val="22"/>
                <w:szCs w:val="22"/>
              </w:rPr>
              <w:t>（盖章）</w:t>
            </w:r>
          </w:p>
        </w:tc>
        <w:tc>
          <w:tcPr>
            <w:tcW w:w="907" w:type="pct"/>
            <w:tcBorders>
              <w:top w:val="single" w:color="auto" w:sz="8" w:space="0"/>
              <w:left w:val="single" w:color="auto" w:sz="4" w:space="0"/>
              <w:bottom w:val="single" w:color="auto" w:sz="4" w:space="0"/>
              <w:right w:val="single" w:color="auto" w:sz="4" w:space="0"/>
            </w:tcBorders>
            <w:noWrap/>
            <w:vAlign w:val="center"/>
          </w:tcPr>
          <w:p>
            <w:pPr>
              <w:overflowPunct w:val="0"/>
              <w:autoSpaceDE w:val="0"/>
              <w:autoSpaceDN w:val="0"/>
              <w:jc w:val="center"/>
              <w:rPr>
                <w:rFonts w:hint="eastAsia" w:ascii="Times New Roman" w:hAnsi="Times New Roman" w:eastAsia="仿宋_GB2312"/>
                <w:color w:val="auto"/>
                <w:kern w:val="0"/>
                <w:sz w:val="22"/>
                <w:szCs w:val="22"/>
                <w:lang w:eastAsia="zh-CN"/>
              </w:rPr>
            </w:pPr>
            <w:r>
              <w:rPr>
                <w:rFonts w:ascii="Times New Roman" w:hAnsi="Times New Roman" w:eastAsia="仿宋_GB2312"/>
                <w:color w:val="auto"/>
                <w:kern w:val="0"/>
                <w:sz w:val="22"/>
                <w:szCs w:val="22"/>
              </w:rPr>
              <w:t>设计单位资质</w:t>
            </w:r>
          </w:p>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证书编号</w:t>
            </w:r>
          </w:p>
        </w:tc>
        <w:tc>
          <w:tcPr>
            <w:tcW w:w="1299" w:type="pct"/>
            <w:gridSpan w:val="2"/>
            <w:tcBorders>
              <w:top w:val="single" w:color="auto" w:sz="8" w:space="0"/>
              <w:left w:val="single" w:color="auto" w:sz="4" w:space="0"/>
              <w:bottom w:val="single" w:color="auto" w:sz="4" w:space="0"/>
              <w:right w:val="single" w:color="auto" w:sz="8"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hint="eastAsia" w:ascii="Times New Roman" w:hAnsi="Times New Roman" w:eastAsia="仿宋_GB2312"/>
                <w:color w:val="auto"/>
                <w:kern w:val="0"/>
                <w:sz w:val="22"/>
                <w:szCs w:val="22"/>
              </w:rPr>
              <w:t>A246002618</w:t>
            </w:r>
          </w:p>
        </w:tc>
      </w:tr>
      <w:tr>
        <w:tblPrEx>
          <w:tblBorders>
            <w:top w:val="none" w:color="auto" w:sz="0" w:space="0"/>
            <w:left w:val="single" w:color="000000" w:sz="8" w:space="0"/>
            <w:bottom w:val="none" w:color="auto" w:sz="0" w:space="0"/>
            <w:right w:val="single" w:color="000000" w:sz="8" w:space="0"/>
            <w:insideH w:val="none" w:color="auto" w:sz="0" w:space="0"/>
            <w:insideV w:val="none" w:color="auto" w:sz="0" w:space="0"/>
          </w:tblBorders>
        </w:tblPrEx>
        <w:trPr>
          <w:trHeight w:val="672" w:hRule="atLeast"/>
          <w:jc w:val="center"/>
        </w:trPr>
        <w:tc>
          <w:tcPr>
            <w:tcW w:w="1117" w:type="pct"/>
            <w:tcBorders>
              <w:top w:val="nil"/>
              <w:left w:val="single" w:color="auto" w:sz="8" w:space="0"/>
              <w:bottom w:val="single" w:color="000000" w:sz="4" w:space="0"/>
              <w:right w:val="single" w:color="000000"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工程名称</w:t>
            </w:r>
          </w:p>
        </w:tc>
        <w:tc>
          <w:tcPr>
            <w:tcW w:w="1675" w:type="pct"/>
            <w:gridSpan w:val="2"/>
            <w:tcBorders>
              <w:top w:val="nil"/>
              <w:left w:val="nil"/>
              <w:bottom w:val="single" w:color="000000" w:sz="4" w:space="0"/>
              <w:right w:val="single" w:color="auto" w:sz="4" w:space="0"/>
            </w:tcBorders>
            <w:noWrap/>
            <w:vAlign w:val="center"/>
          </w:tcPr>
          <w:p>
            <w:pPr>
              <w:overflowPunct w:val="0"/>
              <w:autoSpaceDE w:val="0"/>
              <w:autoSpaceDN w:val="0"/>
              <w:jc w:val="center"/>
              <w:rPr>
                <w:rFonts w:hint="eastAsia" w:ascii="Times New Roman" w:hAnsi="Times New Roman" w:eastAsia="仿宋_GB2312"/>
                <w:color w:val="auto"/>
                <w:kern w:val="0"/>
                <w:sz w:val="22"/>
                <w:szCs w:val="22"/>
                <w:lang w:eastAsia="zh-CN"/>
              </w:rPr>
            </w:pPr>
            <w:r>
              <w:rPr>
                <w:rFonts w:hint="eastAsia" w:ascii="Times New Roman" w:hAnsi="Times New Roman" w:eastAsia="仿宋_GB2312"/>
                <w:color w:val="auto"/>
                <w:sz w:val="24"/>
              </w:rPr>
              <w:t>年产200万平方米单面线路板智能自动化技术改造生产线</w:t>
            </w:r>
          </w:p>
        </w:tc>
        <w:tc>
          <w:tcPr>
            <w:tcW w:w="907" w:type="pct"/>
            <w:tcBorders>
              <w:top w:val="nil"/>
              <w:left w:val="single" w:color="auto" w:sz="4" w:space="0"/>
              <w:bottom w:val="single" w:color="auto" w:sz="4" w:space="0"/>
              <w:right w:val="single" w:color="auto" w:sz="4" w:space="0"/>
            </w:tcBorders>
            <w:noWrap/>
            <w:vAlign w:val="center"/>
          </w:tcPr>
          <w:p>
            <w:pPr>
              <w:overflowPunct w:val="0"/>
              <w:autoSpaceDE w:val="0"/>
              <w:autoSpaceDN w:val="0"/>
              <w:jc w:val="center"/>
              <w:rPr>
                <w:rFonts w:ascii="Times New Roman" w:hAnsi="Times New Roman" w:eastAsia="仿宋_GB2312"/>
                <w:color w:val="auto"/>
                <w:kern w:val="0"/>
                <w:sz w:val="22"/>
                <w:szCs w:val="22"/>
              </w:rPr>
            </w:pPr>
            <w:r>
              <w:rPr>
                <w:rFonts w:ascii="Times New Roman" w:hAnsi="Times New Roman" w:eastAsia="仿宋_GB2312"/>
                <w:color w:val="auto"/>
                <w:kern w:val="0"/>
                <w:sz w:val="22"/>
                <w:szCs w:val="22"/>
              </w:rPr>
              <w:t>工程地址</w:t>
            </w:r>
          </w:p>
        </w:tc>
        <w:tc>
          <w:tcPr>
            <w:tcW w:w="1299" w:type="pct"/>
            <w:gridSpan w:val="2"/>
            <w:tcBorders>
              <w:top w:val="nil"/>
              <w:left w:val="single" w:color="auto" w:sz="4" w:space="0"/>
              <w:bottom w:val="single" w:color="000000" w:sz="4" w:space="0"/>
              <w:right w:val="single" w:color="auto" w:sz="8" w:space="0"/>
            </w:tcBorders>
            <w:noWrap/>
            <w:vAlign w:val="center"/>
          </w:tcPr>
          <w:p>
            <w:pPr>
              <w:overflowPunct w:val="0"/>
              <w:autoSpaceDE w:val="0"/>
              <w:autoSpaceDN w:val="0"/>
              <w:jc w:val="center"/>
              <w:rPr>
                <w:rFonts w:hint="default" w:ascii="Times New Roman" w:hAnsi="Times New Roman" w:eastAsia="仿宋_GB2312"/>
                <w:color w:val="auto"/>
                <w:kern w:val="0"/>
                <w:sz w:val="22"/>
                <w:szCs w:val="22"/>
                <w:lang w:val="en-US" w:eastAsia="zh-CN"/>
              </w:rPr>
            </w:pPr>
            <w:r>
              <w:rPr>
                <w:rFonts w:hint="eastAsia" w:ascii="Times New Roman" w:hAnsi="Times New Roman" w:eastAsia="仿宋_GB2312"/>
                <w:color w:val="auto"/>
                <w:kern w:val="0"/>
                <w:sz w:val="22"/>
                <w:szCs w:val="22"/>
                <w:lang w:val="en-US" w:eastAsia="zh-CN"/>
              </w:rPr>
              <w:t>湖北省黄石市</w:t>
            </w:r>
          </w:p>
        </w:tc>
      </w:tr>
      <w:tr>
        <w:tblPrEx>
          <w:tblBorders>
            <w:top w:val="none" w:color="auto" w:sz="0" w:space="0"/>
            <w:left w:val="single" w:color="000000" w:sz="8" w:space="0"/>
            <w:bottom w:val="none" w:color="auto" w:sz="0" w:space="0"/>
            <w:right w:val="single" w:color="000000" w:sz="8" w:space="0"/>
            <w:insideH w:val="none" w:color="auto" w:sz="0" w:space="0"/>
            <w:insideV w:val="none" w:color="auto" w:sz="0" w:space="0"/>
          </w:tblBorders>
        </w:tblPrEx>
        <w:trPr>
          <w:trHeight w:val="555" w:hRule="atLeast"/>
          <w:jc w:val="center"/>
        </w:trPr>
        <w:tc>
          <w:tcPr>
            <w:tcW w:w="5000" w:type="pct"/>
            <w:gridSpan w:val="6"/>
            <w:tcBorders>
              <w:top w:val="nil"/>
              <w:left w:val="single" w:color="auto" w:sz="8" w:space="0"/>
              <w:bottom w:val="single" w:color="auto" w:sz="8" w:space="0"/>
              <w:right w:val="single" w:color="auto" w:sz="8" w:space="0"/>
            </w:tcBorders>
            <w:noWrap/>
            <w:vAlign w:val="center"/>
          </w:tcPr>
          <w:p>
            <w:pPr>
              <w:overflowPunct w:val="0"/>
              <w:autoSpaceDE w:val="0"/>
              <w:autoSpaceDN w:val="0"/>
              <w:jc w:val="center"/>
              <w:rPr>
                <w:rFonts w:ascii="Times New Roman" w:hAnsi="Times New Roman" w:eastAsia="仿宋_GB2312"/>
                <w:color w:val="auto"/>
                <w:kern w:val="0"/>
                <w:sz w:val="22"/>
                <w:szCs w:val="22"/>
                <w:highlight w:val="darkYellow"/>
                <w:shd w:val="clear" w:color="FFFFFF" w:fill="D9D9D9"/>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72" w:hRule="atLeast"/>
          <w:tblHeader/>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岗位</w:t>
            </w:r>
          </w:p>
        </w:tc>
        <w:tc>
          <w:tcPr>
            <w:tcW w:w="52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姓名</w:t>
            </w:r>
          </w:p>
        </w:tc>
        <w:tc>
          <w:tcPr>
            <w:tcW w:w="114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身份证号码</w:t>
            </w:r>
          </w:p>
        </w:tc>
        <w:tc>
          <w:tcPr>
            <w:tcW w:w="90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负责专业</w:t>
            </w:r>
          </w:p>
        </w:tc>
        <w:tc>
          <w:tcPr>
            <w:tcW w:w="68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签名或授权印章</w:t>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3"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法定代表人</w:t>
            </w:r>
          </w:p>
        </w:tc>
        <w:tc>
          <w:tcPr>
            <w:tcW w:w="527" w:type="pct"/>
            <w:noWrap/>
            <w:vAlign w:val="center"/>
          </w:tcPr>
          <w:p>
            <w:pPr>
              <w:jc w:val="center"/>
              <w:rPr>
                <w:rFonts w:hint="default" w:ascii="宋体" w:hAnsi="Calibri" w:eastAsia="宋体" w:cs="Times New Roman"/>
                <w:color w:val="auto"/>
                <w:kern w:val="2"/>
                <w:sz w:val="21"/>
                <w:szCs w:val="21"/>
                <w:lang w:val="en-US" w:eastAsia="zh-CN" w:bidi="ar-SA"/>
              </w:rPr>
            </w:pPr>
            <w:r>
              <w:rPr>
                <w:rFonts w:hint="eastAsia" w:ascii="宋体" w:hAnsi="宋体"/>
                <w:color w:val="auto"/>
                <w:szCs w:val="21"/>
                <w:lang w:val="en-US" w:eastAsia="zh-CN"/>
              </w:rPr>
              <w:t>李文熠</w:t>
            </w:r>
          </w:p>
        </w:tc>
        <w:tc>
          <w:tcPr>
            <w:tcW w:w="1147" w:type="pct"/>
            <w:noWrap/>
            <w:vAlign w:val="center"/>
          </w:tcPr>
          <w:p>
            <w:pPr>
              <w:jc w:val="center"/>
              <w:rPr>
                <w:rFonts w:ascii="宋体" w:hAnsi="Calibri" w:eastAsia="宋体" w:cs="Times New Roman"/>
                <w:color w:val="auto"/>
                <w:kern w:val="2"/>
                <w:sz w:val="21"/>
                <w:szCs w:val="21"/>
                <w:lang w:val="en-US" w:eastAsia="zh-CN" w:bidi="ar-SA"/>
              </w:rPr>
            </w:pPr>
            <w:bookmarkStart w:id="0" w:name="_GoBack"/>
            <w:bookmarkEnd w:id="0"/>
          </w:p>
        </w:tc>
        <w:tc>
          <w:tcPr>
            <w:tcW w:w="907" w:type="pct"/>
            <w:noWrap/>
            <w:vAlign w:val="center"/>
          </w:tcPr>
          <w:p>
            <w:pPr>
              <w:overflowPunct w:val="0"/>
              <w:autoSpaceDE w:val="0"/>
              <w:autoSpaceDN w:val="0"/>
              <w:jc w:val="center"/>
              <w:rPr>
                <w:rFonts w:ascii="Times New Roman" w:hAnsi="Times New Roman" w:eastAsia="仿宋_GB2312"/>
                <w:color w:val="auto"/>
                <w:sz w:val="22"/>
                <w:szCs w:val="22"/>
              </w:rPr>
            </w:pPr>
          </w:p>
        </w:tc>
        <w:tc>
          <w:tcPr>
            <w:tcW w:w="687" w:type="pct"/>
            <w:noWrap/>
            <w:vAlign w:val="center"/>
          </w:tcPr>
          <w:p>
            <w:pPr>
              <w:overflowPunct w:val="0"/>
              <w:autoSpaceDE w:val="0"/>
              <w:autoSpaceDN w:val="0"/>
              <w:jc w:val="center"/>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668020" cy="367665"/>
                  <wp:effectExtent l="0" t="0" r="17780" b="13335"/>
                  <wp:docPr id="1" name="图片 1" descr="6cad56a3fc9e60067452d3f2330a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cad56a3fc9e60067452d3f2330ae7f"/>
                          <pic:cNvPicPr>
                            <a:picLocks noChangeAspect="1"/>
                          </pic:cNvPicPr>
                        </pic:nvPicPr>
                        <pic:blipFill>
                          <a:blip r:embed="rId5"/>
                          <a:stretch>
                            <a:fillRect/>
                          </a:stretch>
                        </pic:blipFill>
                        <pic:spPr>
                          <a:xfrm>
                            <a:off x="0" y="0"/>
                            <a:ext cx="668020" cy="367665"/>
                          </a:xfrm>
                          <a:prstGeom prst="rect">
                            <a:avLst/>
                          </a:prstGeom>
                        </pic:spPr>
                      </pic:pic>
                    </a:graphicData>
                  </a:graphic>
                </wp:inline>
              </w:drawing>
            </w:r>
          </w:p>
        </w:tc>
        <w:tc>
          <w:tcPr>
            <w:tcW w:w="612" w:type="pct"/>
            <w:noWrap/>
            <w:vAlign w:val="center"/>
          </w:tcPr>
          <w:p>
            <w:pPr>
              <w:overflowPunct w:val="0"/>
              <w:autoSpaceDE w:val="0"/>
              <w:autoSpaceDN w:val="0"/>
              <w:jc w:val="center"/>
              <w:rPr>
                <w:rFonts w:hint="default" w:ascii="Times New Roman" w:hAnsi="Times New Roman" w:eastAsia="仿宋_GB2312"/>
                <w:color w:val="auto"/>
                <w:sz w:val="22"/>
                <w:szCs w:val="22"/>
                <w:lang w:val="en-US" w:eastAsia="zh-CN"/>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4"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技术总负责人</w:t>
            </w:r>
          </w:p>
        </w:tc>
        <w:tc>
          <w:tcPr>
            <w:tcW w:w="527" w:type="pct"/>
            <w:noWrap/>
            <w:vAlign w:val="center"/>
          </w:tcPr>
          <w:p>
            <w:pPr>
              <w:jc w:val="center"/>
              <w:rPr>
                <w:rFonts w:hint="default" w:ascii="宋体" w:hAnsi="Calibri" w:eastAsia="宋体" w:cs="Times New Roman"/>
                <w:color w:val="auto"/>
                <w:kern w:val="2"/>
                <w:sz w:val="21"/>
                <w:szCs w:val="21"/>
                <w:lang w:val="en-US" w:eastAsia="zh-CN" w:bidi="ar-SA"/>
              </w:rPr>
            </w:pPr>
            <w:r>
              <w:rPr>
                <w:rFonts w:hint="eastAsia" w:ascii="宋体" w:hAnsi="宋体"/>
                <w:color w:val="auto"/>
                <w:szCs w:val="21"/>
                <w:lang w:val="en-US" w:eastAsia="zh-CN"/>
              </w:rPr>
              <w:t>冯永新</w:t>
            </w:r>
          </w:p>
        </w:tc>
        <w:tc>
          <w:tcPr>
            <w:tcW w:w="1147" w:type="pct"/>
            <w:noWrap/>
            <w:vAlign w:val="center"/>
          </w:tcPr>
          <w:p>
            <w:pPr>
              <w:jc w:val="center"/>
              <w:rPr>
                <w:rFonts w:hint="eastAsia" w:ascii="宋体" w:hAnsi="Calibri" w:eastAsia="宋体" w:cs="Times New Roman"/>
                <w:color w:val="auto"/>
                <w:kern w:val="2"/>
                <w:sz w:val="21"/>
                <w:szCs w:val="21"/>
                <w:lang w:val="en-US" w:eastAsia="zh-CN" w:bidi="ar-SA"/>
              </w:rPr>
            </w:pPr>
          </w:p>
        </w:tc>
        <w:tc>
          <w:tcPr>
            <w:tcW w:w="907" w:type="pct"/>
            <w:noWrap/>
            <w:vAlign w:val="center"/>
          </w:tcPr>
          <w:p>
            <w:pPr>
              <w:overflowPunct w:val="0"/>
              <w:autoSpaceDE w:val="0"/>
              <w:autoSpaceDN w:val="0"/>
              <w:jc w:val="center"/>
              <w:rPr>
                <w:rFonts w:ascii="Times New Roman" w:hAnsi="Times New Roman" w:eastAsia="仿宋_GB2312"/>
                <w:color w:val="auto"/>
                <w:sz w:val="22"/>
                <w:szCs w:val="22"/>
              </w:rPr>
            </w:pP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05485" cy="293370"/>
                  <wp:effectExtent l="0" t="0" r="18415" b="11430"/>
                  <wp:docPr id="2" name="图片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
                          <pic:cNvPicPr>
                            <a:picLocks noChangeAspect="1"/>
                          </pic:cNvPicPr>
                        </pic:nvPicPr>
                        <pic:blipFill>
                          <a:blip r:embed="rId6"/>
                          <a:stretch>
                            <a:fillRect/>
                          </a:stretch>
                        </pic:blipFill>
                        <pic:spPr>
                          <a:xfrm>
                            <a:off x="0" y="0"/>
                            <a:ext cx="705485" cy="293370"/>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4"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项目总负责人</w:t>
            </w:r>
          </w:p>
        </w:tc>
        <w:tc>
          <w:tcPr>
            <w:tcW w:w="527" w:type="pct"/>
            <w:noWrap/>
            <w:vAlign w:val="center"/>
          </w:tcPr>
          <w:p>
            <w:pPr>
              <w:jc w:val="center"/>
              <w:rPr>
                <w:rFonts w:hint="eastAsia" w:ascii="宋体" w:hAnsi="Calibri" w:eastAsia="宋体" w:cs="Times New Roman"/>
                <w:color w:val="auto"/>
                <w:kern w:val="2"/>
                <w:sz w:val="21"/>
                <w:szCs w:val="21"/>
                <w:lang w:val="en-US" w:eastAsia="zh-CN" w:bidi="ar-SA"/>
              </w:rPr>
            </w:pPr>
            <w:r>
              <w:rPr>
                <w:rFonts w:hint="eastAsia" w:ascii="宋体" w:hAnsi="宋体"/>
                <w:color w:val="auto"/>
                <w:szCs w:val="21"/>
                <w:lang w:val="en-US" w:eastAsia="zh-CN"/>
              </w:rPr>
              <w:t>冯永新</w:t>
            </w:r>
          </w:p>
        </w:tc>
        <w:tc>
          <w:tcPr>
            <w:tcW w:w="1147" w:type="pct"/>
            <w:noWrap/>
            <w:vAlign w:val="center"/>
          </w:tcPr>
          <w:p>
            <w:pPr>
              <w:jc w:val="center"/>
              <w:rPr>
                <w:rFonts w:hint="default" w:ascii="宋体" w:hAnsi="Calibri" w:eastAsia="宋体" w:cs="Times New Roman"/>
                <w:color w:val="auto"/>
                <w:kern w:val="2"/>
                <w:sz w:val="21"/>
                <w:szCs w:val="21"/>
                <w:lang w:val="en-US" w:eastAsia="zh-CN" w:bidi="ar-SA"/>
              </w:rPr>
            </w:pPr>
          </w:p>
        </w:tc>
        <w:tc>
          <w:tcPr>
            <w:tcW w:w="907" w:type="pct"/>
            <w:noWrap/>
            <w:vAlign w:val="center"/>
          </w:tcPr>
          <w:p>
            <w:pPr>
              <w:overflowPunct w:val="0"/>
              <w:autoSpaceDE w:val="0"/>
              <w:autoSpaceDN w:val="0"/>
              <w:jc w:val="center"/>
              <w:rPr>
                <w:rFonts w:hint="eastAsia" w:ascii="Times New Roman" w:hAnsi="Times New Roman" w:eastAsia="宋体"/>
                <w:color w:val="auto"/>
                <w:sz w:val="22"/>
                <w:szCs w:val="22"/>
                <w:lang w:val="en-US" w:eastAsia="zh-CN"/>
              </w:rPr>
            </w:pPr>
            <w:r>
              <w:rPr>
                <w:rFonts w:hint="eastAsia" w:ascii="宋体" w:hAnsi="宋体"/>
                <w:color w:val="auto"/>
                <w:szCs w:val="21"/>
                <w:lang w:val="en-US" w:eastAsia="zh-CN"/>
              </w:rPr>
              <w:t>建筑</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05485" cy="293370"/>
                  <wp:effectExtent l="0" t="0" r="18415" b="1143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6"/>
                          <a:stretch>
                            <a:fillRect/>
                          </a:stretch>
                        </pic:blipFill>
                        <pic:spPr>
                          <a:xfrm>
                            <a:off x="0" y="0"/>
                            <a:ext cx="705485" cy="293370"/>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9"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设计人（水）</w:t>
            </w:r>
          </w:p>
        </w:tc>
        <w:tc>
          <w:tcPr>
            <w:tcW w:w="527" w:type="pct"/>
            <w:noWrap/>
            <w:vAlign w:val="center"/>
          </w:tcPr>
          <w:p>
            <w:pPr>
              <w:jc w:val="center"/>
              <w:rPr>
                <w:rFonts w:hint="default" w:ascii="宋体" w:hAnsi="Calibri" w:eastAsia="宋体" w:cs="Times New Roman"/>
                <w:color w:val="auto"/>
                <w:kern w:val="2"/>
                <w:sz w:val="21"/>
                <w:szCs w:val="21"/>
                <w:lang w:val="en-US" w:eastAsia="zh-CN" w:bidi="ar-SA"/>
              </w:rPr>
            </w:pPr>
            <w:r>
              <w:rPr>
                <w:rFonts w:hint="eastAsia" w:ascii="宋体" w:cs="Times New Roman"/>
                <w:color w:val="auto"/>
                <w:kern w:val="2"/>
                <w:sz w:val="21"/>
                <w:szCs w:val="21"/>
                <w:lang w:val="en-US" w:eastAsia="zh-CN" w:bidi="ar-SA"/>
              </w:rPr>
              <w:t>范伟娜</w:t>
            </w:r>
          </w:p>
        </w:tc>
        <w:tc>
          <w:tcPr>
            <w:tcW w:w="1147" w:type="pct"/>
            <w:noWrap/>
            <w:vAlign w:val="center"/>
          </w:tcPr>
          <w:p>
            <w:pPr>
              <w:jc w:val="center"/>
              <w:rPr>
                <w:rFonts w:ascii="宋体" w:hAnsi="Calibri" w:eastAsia="宋体" w:cs="Times New Roman"/>
                <w:color w:val="auto"/>
                <w:kern w:val="2"/>
                <w:sz w:val="21"/>
                <w:szCs w:val="21"/>
                <w:lang w:val="en-US" w:eastAsia="zh-CN" w:bidi="ar-SA"/>
              </w:rPr>
            </w:pPr>
          </w:p>
        </w:tc>
        <w:tc>
          <w:tcPr>
            <w:tcW w:w="907" w:type="pct"/>
            <w:noWrap/>
            <w:vAlign w:val="center"/>
          </w:tcPr>
          <w:p>
            <w:pPr>
              <w:jc w:val="center"/>
              <w:rPr>
                <w:rFonts w:ascii="宋体" w:hAnsi="Calibri" w:eastAsia="宋体" w:cs="Times New Roman"/>
                <w:color w:val="auto"/>
                <w:kern w:val="2"/>
                <w:sz w:val="21"/>
                <w:szCs w:val="21"/>
                <w:lang w:val="en-US" w:eastAsia="zh-CN" w:bidi="ar-SA"/>
              </w:rPr>
            </w:pPr>
            <w:r>
              <w:rPr>
                <w:rFonts w:hint="eastAsia" w:ascii="宋体" w:hAnsi="宋体"/>
                <w:color w:val="auto"/>
                <w:szCs w:val="21"/>
              </w:rPr>
              <w:t>给排水</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683260" cy="325755"/>
                  <wp:effectExtent l="0" t="0" r="2540" b="17145"/>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7"/>
                          <a:stretch>
                            <a:fillRect/>
                          </a:stretch>
                        </pic:blipFill>
                        <pic:spPr>
                          <a:xfrm>
                            <a:off x="0" y="0"/>
                            <a:ext cx="683260" cy="325755"/>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0" w:hRule="atLeast"/>
          <w:jc w:val="center"/>
        </w:trPr>
        <w:tc>
          <w:tcPr>
            <w:tcW w:w="1117" w:type="pct"/>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设计人（电）</w:t>
            </w:r>
          </w:p>
        </w:tc>
        <w:tc>
          <w:tcPr>
            <w:tcW w:w="527" w:type="pct"/>
            <w:noWrap/>
            <w:vAlign w:val="center"/>
          </w:tcPr>
          <w:p>
            <w:pPr>
              <w:spacing w:beforeLines="0" w:afterLines="0"/>
              <w:jc w:val="center"/>
              <w:rPr>
                <w:rFonts w:hint="default" w:ascii="宋体" w:hAnsi="Calibri" w:eastAsia="宋体" w:cs="Times New Roman"/>
                <w:color w:val="auto"/>
                <w:kern w:val="2"/>
                <w:sz w:val="21"/>
                <w:szCs w:val="21"/>
                <w:lang w:val="en-US" w:eastAsia="zh-CN" w:bidi="ar-SA"/>
              </w:rPr>
            </w:pPr>
            <w:r>
              <w:rPr>
                <w:rFonts w:hint="eastAsia" w:ascii="宋体" w:cs="Times New Roman"/>
                <w:color w:val="auto"/>
                <w:kern w:val="2"/>
                <w:sz w:val="21"/>
                <w:szCs w:val="21"/>
                <w:lang w:val="en-US" w:eastAsia="zh-CN" w:bidi="ar-SA"/>
              </w:rPr>
              <w:t>邢增晶</w:t>
            </w:r>
          </w:p>
        </w:tc>
        <w:tc>
          <w:tcPr>
            <w:tcW w:w="1147" w:type="pct"/>
            <w:noWrap/>
            <w:vAlign w:val="center"/>
          </w:tcPr>
          <w:p>
            <w:pPr>
              <w:jc w:val="center"/>
              <w:rPr>
                <w:rFonts w:hint="default" w:ascii="宋体" w:hAnsi="Calibri" w:eastAsia="宋体" w:cs="Times New Roman"/>
                <w:color w:val="auto"/>
                <w:kern w:val="2"/>
                <w:sz w:val="21"/>
                <w:szCs w:val="21"/>
                <w:lang w:val="en-US" w:eastAsia="zh-CN" w:bidi="ar-SA"/>
              </w:rPr>
            </w:pPr>
          </w:p>
        </w:tc>
        <w:tc>
          <w:tcPr>
            <w:tcW w:w="907" w:type="pct"/>
            <w:noWrap/>
            <w:vAlign w:val="center"/>
          </w:tcPr>
          <w:p>
            <w:pPr>
              <w:jc w:val="center"/>
              <w:rPr>
                <w:rFonts w:ascii="宋体" w:hAnsi="Calibri" w:eastAsia="宋体" w:cs="Times New Roman"/>
                <w:color w:val="auto"/>
                <w:kern w:val="2"/>
                <w:sz w:val="21"/>
                <w:szCs w:val="21"/>
                <w:lang w:val="en-US" w:eastAsia="zh-CN" w:bidi="ar-SA"/>
              </w:rPr>
            </w:pPr>
            <w:r>
              <w:rPr>
                <w:rFonts w:hint="eastAsia" w:ascii="宋体" w:hAnsi="宋体"/>
                <w:color w:val="auto"/>
                <w:szCs w:val="21"/>
              </w:rPr>
              <w:t>电气</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31520" cy="341630"/>
                  <wp:effectExtent l="0" t="0" r="11430" b="1270"/>
                  <wp:docPr id="3"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
                          <pic:cNvPicPr>
                            <a:picLocks noChangeAspect="1"/>
                          </pic:cNvPicPr>
                        </pic:nvPicPr>
                        <pic:blipFill>
                          <a:blip r:embed="rId8"/>
                          <a:stretch>
                            <a:fillRect/>
                          </a:stretch>
                        </pic:blipFill>
                        <pic:spPr>
                          <a:xfrm>
                            <a:off x="0" y="0"/>
                            <a:ext cx="731520" cy="341630"/>
                          </a:xfrm>
                          <a:prstGeom prst="rect">
                            <a:avLst/>
                          </a:prstGeom>
                        </pic:spPr>
                      </pic:pic>
                    </a:graphicData>
                  </a:graphic>
                </wp:inline>
              </w:drawing>
            </w:r>
          </w:p>
        </w:tc>
        <w:tc>
          <w:tcPr>
            <w:tcW w:w="612" w:type="pct"/>
            <w:noWrap/>
            <w:vAlign w:val="center"/>
          </w:tcPr>
          <w:p>
            <w:pPr>
              <w:overflowPunct w:val="0"/>
              <w:autoSpaceDE w:val="0"/>
              <w:autoSpaceDN w:val="0"/>
              <w:jc w:val="center"/>
              <w:rPr>
                <w:rFonts w:ascii="Times New Roman" w:hAnsi="Times New Roman" w:eastAsia="仿宋_GB2312"/>
                <w:color w:val="auto"/>
                <w:sz w:val="22"/>
                <w:szCs w:val="22"/>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0" w:hRule="atLeast"/>
          <w:jc w:val="center"/>
        </w:trPr>
        <w:tc>
          <w:tcPr>
            <w:tcW w:w="2856" w:type="dxa"/>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设计人（风）</w:t>
            </w:r>
          </w:p>
        </w:tc>
        <w:tc>
          <w:tcPr>
            <w:tcW w:w="1348" w:type="dxa"/>
            <w:noWrap/>
            <w:vAlign w:val="center"/>
          </w:tcPr>
          <w:p>
            <w:pPr>
              <w:jc w:val="center"/>
              <w:rPr>
                <w:rFonts w:hint="eastAsia" w:ascii="宋体" w:cs="Times New Roman"/>
                <w:color w:val="auto"/>
                <w:kern w:val="2"/>
                <w:sz w:val="21"/>
                <w:szCs w:val="21"/>
                <w:lang w:val="en-US" w:eastAsia="zh-CN" w:bidi="ar-SA"/>
              </w:rPr>
            </w:pPr>
            <w:r>
              <w:rPr>
                <w:rFonts w:hint="eastAsia" w:ascii="宋体" w:hAnsi="宋体"/>
                <w:color w:val="auto"/>
                <w:szCs w:val="21"/>
                <w:lang w:val="en-US" w:eastAsia="zh-CN"/>
              </w:rPr>
              <w:t>林禄泉</w:t>
            </w:r>
          </w:p>
        </w:tc>
        <w:tc>
          <w:tcPr>
            <w:tcW w:w="2932" w:type="dxa"/>
            <w:noWrap/>
            <w:vAlign w:val="center"/>
          </w:tcPr>
          <w:p>
            <w:pPr>
              <w:jc w:val="center"/>
              <w:rPr>
                <w:rFonts w:hint="default" w:ascii="宋体" w:hAnsi="Calibri" w:eastAsia="宋体" w:cs="Times New Roman"/>
                <w:color w:val="auto"/>
                <w:kern w:val="2"/>
                <w:sz w:val="21"/>
                <w:szCs w:val="21"/>
                <w:lang w:val="en-US" w:eastAsia="zh-CN" w:bidi="ar-SA"/>
              </w:rPr>
            </w:pPr>
          </w:p>
        </w:tc>
        <w:tc>
          <w:tcPr>
            <w:tcW w:w="2319" w:type="dxa"/>
            <w:noWrap/>
            <w:vAlign w:val="center"/>
          </w:tcPr>
          <w:p>
            <w:pPr>
              <w:jc w:val="center"/>
              <w:rPr>
                <w:rFonts w:hint="eastAsia" w:ascii="宋体" w:hAnsi="宋体"/>
                <w:color w:val="auto"/>
                <w:szCs w:val="21"/>
              </w:rPr>
            </w:pPr>
            <w:r>
              <w:rPr>
                <w:rFonts w:hint="eastAsia" w:ascii="宋体" w:hAnsi="宋体"/>
                <w:color w:val="auto"/>
                <w:szCs w:val="21"/>
                <w:lang w:eastAsia="zh-CN"/>
              </w:rPr>
              <w:t>暖通</w:t>
            </w:r>
          </w:p>
        </w:tc>
        <w:tc>
          <w:tcPr>
            <w:tcW w:w="687" w:type="pct"/>
            <w:noWrap/>
            <w:vAlign w:val="center"/>
          </w:tcPr>
          <w:p>
            <w:pPr>
              <w:overflowPunct w:val="0"/>
              <w:autoSpaceDE w:val="0"/>
              <w:autoSpaceDN w:val="0"/>
              <w:jc w:val="both"/>
              <w:rPr>
                <w:rFonts w:hint="eastAsia" w:ascii="Times New Roman" w:hAnsi="Times New Roman" w:eastAsia="仿宋_GB2312"/>
                <w:color w:val="auto"/>
                <w:sz w:val="22"/>
                <w:szCs w:val="22"/>
                <w:lang w:eastAsia="zh-CN"/>
              </w:rPr>
            </w:pPr>
            <w:r>
              <w:rPr>
                <w:rFonts w:hint="eastAsia" w:ascii="Times New Roman" w:hAnsi="Times New Roman" w:eastAsia="仿宋_GB2312"/>
                <w:color w:val="auto"/>
                <w:sz w:val="22"/>
                <w:szCs w:val="22"/>
                <w:lang w:eastAsia="zh-CN"/>
              </w:rPr>
              <w:drawing>
                <wp:inline distT="0" distB="0" distL="114300" distR="114300">
                  <wp:extent cx="782955" cy="293370"/>
                  <wp:effectExtent l="0" t="0" r="17145" b="11430"/>
                  <wp:docPr id="6" name="图片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
                          <pic:cNvPicPr>
                            <a:picLocks noChangeAspect="1"/>
                          </pic:cNvPicPr>
                        </pic:nvPicPr>
                        <pic:blipFill>
                          <a:blip r:embed="rId9"/>
                          <a:stretch>
                            <a:fillRect/>
                          </a:stretch>
                        </pic:blipFill>
                        <pic:spPr>
                          <a:xfrm>
                            <a:off x="0" y="0"/>
                            <a:ext cx="782955" cy="293370"/>
                          </a:xfrm>
                          <a:prstGeom prst="rect">
                            <a:avLst/>
                          </a:prstGeom>
                        </pic:spPr>
                      </pic:pic>
                    </a:graphicData>
                  </a:graphic>
                </wp:inline>
              </w:drawing>
            </w:r>
          </w:p>
        </w:tc>
        <w:tc>
          <w:tcPr>
            <w:tcW w:w="612" w:type="pct"/>
            <w:noWrap/>
            <w:vAlign w:val="center"/>
          </w:tcPr>
          <w:p>
            <w:pPr>
              <w:overflowPunct w:val="0"/>
              <w:autoSpaceDE w:val="0"/>
              <w:autoSpaceDN w:val="0"/>
              <w:jc w:val="center"/>
              <w:rPr>
                <w:rFonts w:hint="eastAsia" w:ascii="Times New Roman" w:hAnsi="Times New Roman" w:eastAsia="仿宋_GB2312"/>
                <w:color w:val="auto"/>
                <w:sz w:val="22"/>
                <w:szCs w:val="22"/>
                <w:lang w:val="en-US" w:eastAsia="zh-CN"/>
              </w:rPr>
            </w:pPr>
            <w:r>
              <w:rPr>
                <w:rFonts w:hint="eastAsia" w:ascii="Times New Roman" w:hAnsi="Times New Roman" w:eastAsia="仿宋_GB2312"/>
                <w:color w:val="auto"/>
                <w:sz w:val="22"/>
                <w:szCs w:val="22"/>
                <w:lang w:val="en-US" w:eastAsia="zh-CN"/>
              </w:rPr>
              <w:t>2023.09.20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0" w:hRule="atLeast"/>
          <w:jc w:val="center"/>
        </w:trPr>
        <w:tc>
          <w:tcPr>
            <w:tcW w:w="2856" w:type="dxa"/>
            <w:noWrap/>
            <w:vAlign w:val="center"/>
          </w:tcPr>
          <w:p>
            <w:pPr>
              <w:overflowPunct w:val="0"/>
              <w:autoSpaceDE w:val="0"/>
              <w:autoSpaceDN w:val="0"/>
              <w:jc w:val="center"/>
              <w:rPr>
                <w:rFonts w:ascii="Times New Roman" w:hAnsi="Times New Roman" w:eastAsia="仿宋_GB2312"/>
                <w:color w:val="auto"/>
                <w:sz w:val="22"/>
                <w:szCs w:val="22"/>
              </w:rPr>
            </w:pPr>
            <w:r>
              <w:rPr>
                <w:rFonts w:ascii="Times New Roman" w:hAnsi="Times New Roman" w:eastAsia="仿宋_GB2312"/>
                <w:color w:val="auto"/>
                <w:sz w:val="22"/>
                <w:szCs w:val="22"/>
              </w:rPr>
              <w:t>（根据实际或分专业填写）</w:t>
            </w:r>
          </w:p>
        </w:tc>
        <w:tc>
          <w:tcPr>
            <w:tcW w:w="1348" w:type="dxa"/>
            <w:noWrap/>
            <w:vAlign w:val="center"/>
          </w:tcPr>
          <w:p>
            <w:pPr>
              <w:overflowPunct w:val="0"/>
              <w:autoSpaceDE w:val="0"/>
              <w:autoSpaceDN w:val="0"/>
              <w:jc w:val="center"/>
              <w:rPr>
                <w:rFonts w:hint="eastAsia" w:ascii="宋体" w:cs="Times New Roman"/>
                <w:color w:val="auto"/>
                <w:kern w:val="2"/>
                <w:sz w:val="21"/>
                <w:szCs w:val="21"/>
                <w:lang w:val="en-US" w:eastAsia="zh-CN" w:bidi="ar-SA"/>
              </w:rPr>
            </w:pPr>
          </w:p>
        </w:tc>
        <w:tc>
          <w:tcPr>
            <w:tcW w:w="2932" w:type="dxa"/>
            <w:noWrap/>
            <w:vAlign w:val="center"/>
          </w:tcPr>
          <w:p>
            <w:pPr>
              <w:overflowPunct w:val="0"/>
              <w:autoSpaceDE w:val="0"/>
              <w:autoSpaceDN w:val="0"/>
              <w:jc w:val="center"/>
              <w:rPr>
                <w:rFonts w:hint="default" w:ascii="宋体" w:hAnsi="Calibri" w:eastAsia="宋体" w:cs="Times New Roman"/>
                <w:color w:val="auto"/>
                <w:kern w:val="2"/>
                <w:sz w:val="21"/>
                <w:szCs w:val="21"/>
                <w:lang w:val="en-US" w:eastAsia="zh-CN" w:bidi="ar-SA"/>
              </w:rPr>
            </w:pPr>
          </w:p>
        </w:tc>
        <w:tc>
          <w:tcPr>
            <w:tcW w:w="2319" w:type="dxa"/>
            <w:noWrap/>
            <w:vAlign w:val="center"/>
          </w:tcPr>
          <w:p>
            <w:pPr>
              <w:overflowPunct w:val="0"/>
              <w:autoSpaceDE w:val="0"/>
              <w:autoSpaceDN w:val="0"/>
              <w:jc w:val="center"/>
              <w:rPr>
                <w:rFonts w:hint="eastAsia" w:ascii="宋体" w:hAnsi="宋体"/>
                <w:color w:val="auto"/>
                <w:szCs w:val="21"/>
              </w:rPr>
            </w:pPr>
          </w:p>
        </w:tc>
        <w:tc>
          <w:tcPr>
            <w:tcW w:w="1756" w:type="dxa"/>
            <w:noWrap/>
            <w:vAlign w:val="center"/>
          </w:tcPr>
          <w:p>
            <w:pPr>
              <w:overflowPunct w:val="0"/>
              <w:autoSpaceDE w:val="0"/>
              <w:autoSpaceDN w:val="0"/>
              <w:jc w:val="center"/>
              <w:rPr>
                <w:rFonts w:hint="eastAsia" w:ascii="Times New Roman" w:hAnsi="Times New Roman" w:eastAsia="仿宋_GB2312"/>
                <w:color w:val="auto"/>
                <w:sz w:val="22"/>
                <w:szCs w:val="22"/>
                <w:lang w:eastAsia="zh-CN"/>
              </w:rPr>
            </w:pPr>
          </w:p>
        </w:tc>
        <w:tc>
          <w:tcPr>
            <w:tcW w:w="1564" w:type="dxa"/>
            <w:noWrap/>
            <w:vAlign w:val="center"/>
          </w:tcPr>
          <w:p>
            <w:pPr>
              <w:overflowPunct w:val="0"/>
              <w:autoSpaceDE w:val="0"/>
              <w:autoSpaceDN w:val="0"/>
              <w:jc w:val="center"/>
              <w:rPr>
                <w:rFonts w:hint="eastAsia" w:ascii="Times New Roman" w:hAnsi="Times New Roman" w:eastAsia="仿宋_GB2312"/>
                <w:color w:val="auto"/>
                <w:sz w:val="22"/>
                <w:szCs w:val="22"/>
                <w:lang w:val="en-US" w:eastAsia="zh-CN"/>
              </w:rPr>
            </w:pPr>
          </w:p>
        </w:tc>
      </w:tr>
    </w:tbl>
    <w:p>
      <w:pPr>
        <w:overflowPunct w:val="0"/>
        <w:autoSpaceDE w:val="0"/>
        <w:autoSpaceDN w:val="0"/>
        <w:rPr>
          <w:rFonts w:ascii="仿宋" w:hAnsi="仿宋" w:eastAsia="仿宋" w:cs="仿宋"/>
          <w:color w:val="auto"/>
          <w:sz w:val="22"/>
          <w:szCs w:val="22"/>
        </w:rPr>
        <w:sectPr>
          <w:pgSz w:w="16838" w:h="11906" w:orient="landscape"/>
          <w:pgMar w:top="1531" w:right="1871" w:bottom="1531" w:left="2211" w:header="851" w:footer="1191" w:gutter="0"/>
          <w:cols w:space="720" w:num="1"/>
          <w:docGrid w:type="lines" w:linePitch="312" w:charSpace="0"/>
        </w:sectPr>
      </w:pPr>
    </w:p>
    <w:p>
      <w:pPr>
        <w:overflowPunct w:val="0"/>
        <w:autoSpaceDE w:val="0"/>
        <w:autoSpaceDN w:val="0"/>
        <w:spacing w:line="579" w:lineRule="exact"/>
        <w:rPr>
          <w:rFonts w:ascii="Times New Roman" w:hAnsi="Times New Roman" w:eastAsia="仿宋_GB2312"/>
          <w:color w:val="auto"/>
          <w:sz w:val="32"/>
          <w:szCs w:val="32"/>
        </w:rPr>
      </w:pPr>
      <w:r>
        <w:rPr>
          <w:rFonts w:hint="eastAsia" w:ascii="黑体" w:hAnsi="黑体" w:eastAsia="黑体"/>
          <w:color w:val="auto"/>
          <w:sz w:val="32"/>
          <w:szCs w:val="32"/>
        </w:rPr>
        <w:t>设计文件目录：</w:t>
      </w:r>
    </w:p>
    <w:p>
      <w:pPr>
        <w:overflowPunct w:val="0"/>
        <w:autoSpaceDE w:val="0"/>
        <w:autoSpaceDN w:val="0"/>
        <w:spacing w:line="579" w:lineRule="exact"/>
        <w:ind w:firstLine="640" w:firstLineChars="200"/>
        <w:rPr>
          <w:rFonts w:ascii="Times New Roman" w:hAnsi="Times New Roman" w:eastAsia="仿宋_GB2312"/>
          <w:color w:val="auto"/>
          <w:sz w:val="32"/>
          <w:szCs w:val="32"/>
        </w:rPr>
      </w:pPr>
      <w:r>
        <w:rPr>
          <w:rFonts w:hint="eastAsia" w:ascii="Times New Roman" w:hAnsi="Times New Roman" w:eastAsia="仿宋_GB2312"/>
          <w:color w:val="auto"/>
          <w:sz w:val="32"/>
          <w:szCs w:val="32"/>
        </w:rPr>
        <w:t>一、封面</w:t>
      </w:r>
    </w:p>
    <w:p>
      <w:pPr>
        <w:overflowPunct w:val="0"/>
        <w:autoSpaceDE w:val="0"/>
        <w:autoSpaceDN w:val="0"/>
        <w:spacing w:line="579" w:lineRule="exact"/>
        <w:ind w:firstLine="640" w:firstLineChars="200"/>
        <w:rPr>
          <w:rFonts w:ascii="Times New Roman" w:hAnsi="Times New Roman" w:eastAsia="仿宋_GB2312"/>
          <w:color w:val="auto"/>
          <w:sz w:val="32"/>
          <w:szCs w:val="32"/>
        </w:rPr>
      </w:pPr>
      <w:r>
        <w:rPr>
          <w:rFonts w:hint="eastAsia" w:ascii="Times New Roman" w:hAnsi="Times New Roman" w:eastAsia="仿宋_GB2312"/>
          <w:color w:val="auto"/>
          <w:sz w:val="32"/>
          <w:szCs w:val="32"/>
        </w:rPr>
        <w:t>二、扉页</w:t>
      </w:r>
    </w:p>
    <w:p>
      <w:pPr>
        <w:overflowPunct w:val="0"/>
        <w:autoSpaceDE w:val="0"/>
        <w:autoSpaceDN w:val="0"/>
        <w:spacing w:line="579" w:lineRule="exact"/>
        <w:ind w:firstLine="640" w:firstLineChars="200"/>
        <w:rPr>
          <w:rFonts w:ascii="Times New Roman" w:hAnsi="Times New Roman" w:eastAsia="仿宋_GB2312"/>
          <w:color w:val="auto"/>
          <w:sz w:val="32"/>
          <w:szCs w:val="32"/>
        </w:rPr>
      </w:pPr>
      <w:r>
        <w:rPr>
          <w:rFonts w:hint="eastAsia" w:ascii="Times New Roman" w:hAnsi="Times New Roman" w:eastAsia="仿宋_GB2312"/>
          <w:color w:val="auto"/>
          <w:sz w:val="32"/>
          <w:szCs w:val="32"/>
        </w:rPr>
        <w:t>三、设计说明书</w:t>
      </w: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r>
        <w:rPr>
          <w:rFonts w:hint="eastAsia" w:ascii="Times New Roman" w:hAnsi="Times New Roman" w:eastAsia="仿宋_GB2312"/>
          <w:color w:val="auto"/>
          <w:sz w:val="32"/>
          <w:szCs w:val="32"/>
        </w:rPr>
        <w:t>四、设计图纸</w:t>
      </w:r>
      <w:r>
        <w:rPr>
          <w:rFonts w:hint="eastAsia" w:ascii="Times New Roman" w:hAnsi="Times New Roman" w:eastAsia="仿宋_GB2312"/>
          <w:color w:val="auto"/>
          <w:sz w:val="32"/>
          <w:szCs w:val="32"/>
          <w:lang w:eastAsia="zh-CN"/>
        </w:rPr>
        <w:t>—见图纸文件</w:t>
      </w: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0" w:firstLineChars="200"/>
        <w:rPr>
          <w:rFonts w:hint="eastAsia" w:ascii="Times New Roman" w:hAnsi="Times New Roman" w:eastAsia="仿宋_GB2312"/>
          <w:color w:val="auto"/>
          <w:sz w:val="32"/>
          <w:szCs w:val="32"/>
          <w:lang w:eastAsia="zh-CN"/>
        </w:rPr>
      </w:pPr>
    </w:p>
    <w:p>
      <w:pPr>
        <w:overflowPunct w:val="0"/>
        <w:autoSpaceDE w:val="0"/>
        <w:autoSpaceDN w:val="0"/>
        <w:spacing w:line="579" w:lineRule="exact"/>
        <w:ind w:firstLine="643" w:firstLineChars="200"/>
        <w:rPr>
          <w:rFonts w:hint="default" w:ascii="Times New Roman" w:hAnsi="Times New Roman" w:eastAsia="仿宋_GB2312"/>
          <w:b/>
          <w:bCs/>
          <w:color w:val="auto"/>
          <w:sz w:val="32"/>
          <w:szCs w:val="32"/>
          <w:lang w:val="en-US" w:eastAsia="zh-CN"/>
        </w:rPr>
      </w:pPr>
      <w:r>
        <w:rPr>
          <w:rFonts w:hint="eastAsia" w:ascii="Times New Roman" w:hAnsi="Times New Roman" w:eastAsia="仿宋_GB2312"/>
          <w:b/>
          <w:bCs/>
          <w:color w:val="auto"/>
          <w:sz w:val="32"/>
          <w:szCs w:val="32"/>
          <w:lang w:eastAsia="zh-CN"/>
        </w:rPr>
        <w:t xml:space="preserve"> </w:t>
      </w:r>
    </w:p>
    <w:p>
      <w:pPr>
        <w:overflowPunct w:val="0"/>
        <w:autoSpaceDE w:val="0"/>
        <w:autoSpaceDN w:val="0"/>
        <w:spacing w:line="579" w:lineRule="exact"/>
        <w:rPr>
          <w:rFonts w:ascii="黑体" w:hAnsi="黑体" w:eastAsia="黑体"/>
          <w:color w:val="auto"/>
          <w:sz w:val="32"/>
          <w:szCs w:val="32"/>
        </w:rPr>
      </w:pPr>
      <w:r>
        <w:rPr>
          <w:rFonts w:hint="eastAsia" w:ascii="仿宋" w:hAnsi="仿宋" w:eastAsia="仿宋" w:cs="仿宋"/>
          <w:color w:val="auto"/>
          <w:sz w:val="22"/>
          <w:szCs w:val="22"/>
        </w:rPr>
        <w:br w:type="page"/>
      </w:r>
      <w:r>
        <w:rPr>
          <w:rFonts w:hint="eastAsia" w:ascii="黑体" w:hAnsi="黑体" w:eastAsia="黑体"/>
          <w:color w:val="auto"/>
          <w:sz w:val="32"/>
          <w:szCs w:val="32"/>
        </w:rPr>
        <w:t>设计说明书：</w:t>
      </w:r>
    </w:p>
    <w:p>
      <w:pPr>
        <w:overflowPunct w:val="0"/>
        <w:autoSpaceDE w:val="0"/>
        <w:autoSpaceDN w:val="0"/>
        <w:spacing w:before="12" w:beforeLines="4" w:after="62" w:afterLines="20" w:line="579" w:lineRule="exact"/>
        <w:rPr>
          <w:rFonts w:hint="eastAsia" w:ascii="Times New Roman" w:hAnsi="Times New Roman" w:eastAsia="仿宋_GB2312"/>
          <w:color w:val="auto"/>
          <w:sz w:val="24"/>
        </w:rPr>
      </w:pPr>
      <w:r>
        <w:rPr>
          <w:rFonts w:hint="eastAsia" w:ascii="Times New Roman" w:hAnsi="Times New Roman" w:eastAsia="仿宋_GB2312"/>
          <w:color w:val="auto"/>
          <w:sz w:val="24"/>
        </w:rPr>
        <w:t>工程名称：</w:t>
      </w:r>
      <w:r>
        <w:rPr>
          <w:rFonts w:hint="eastAsia" w:ascii="Times New Roman" w:hAnsi="Times New Roman" w:eastAsia="仿宋_GB2312"/>
          <w:color w:val="auto"/>
          <w:sz w:val="24"/>
          <w:lang w:val="en-US" w:eastAsia="zh-CN"/>
        </w:rPr>
        <w:t>年产200万平方米单面线路板智能自动化技术改造生产线</w:t>
      </w:r>
    </w:p>
    <w:p>
      <w:pPr>
        <w:overflowPunct w:val="0"/>
        <w:autoSpaceDE w:val="0"/>
        <w:autoSpaceDN w:val="0"/>
        <w:spacing w:before="12" w:beforeLines="4" w:after="62" w:afterLines="20" w:line="579" w:lineRule="exact"/>
        <w:rPr>
          <w:rFonts w:ascii="Times New Roman" w:hAnsi="Times New Roman" w:eastAsia="仿宋_GB2312"/>
          <w:color w:val="auto"/>
          <w:sz w:val="24"/>
        </w:rPr>
      </w:pPr>
      <w:r>
        <w:rPr>
          <w:rFonts w:hint="eastAsia" w:ascii="Times New Roman" w:hAnsi="Times New Roman" w:eastAsia="仿宋_GB2312"/>
          <w:color w:val="auto"/>
          <w:sz w:val="24"/>
        </w:rPr>
        <w:t>日期：</w:t>
      </w:r>
      <w:r>
        <w:rPr>
          <w:rFonts w:hint="eastAsia" w:ascii="Times New Roman" w:hAnsi="Times New Roman" w:eastAsia="仿宋_GB2312"/>
          <w:color w:val="auto"/>
          <w:sz w:val="24"/>
          <w:lang w:val="en-US" w:eastAsia="zh-CN"/>
        </w:rPr>
        <w:t>2023年09月</w:t>
      </w:r>
    </w:p>
    <w:tbl>
      <w:tblPr>
        <w:tblStyle w:val="4"/>
        <w:tblW w:w="88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45"/>
        <w:gridCol w:w="673"/>
        <w:gridCol w:w="1497"/>
        <w:gridCol w:w="164"/>
        <w:gridCol w:w="11"/>
        <w:gridCol w:w="504"/>
        <w:gridCol w:w="558"/>
        <w:gridCol w:w="319"/>
        <w:gridCol w:w="331"/>
        <w:gridCol w:w="565"/>
        <w:gridCol w:w="272"/>
        <w:gridCol w:w="310"/>
        <w:gridCol w:w="555"/>
        <w:gridCol w:w="376"/>
        <w:gridCol w:w="634"/>
        <w:gridCol w:w="240"/>
        <w:gridCol w:w="21"/>
        <w:gridCol w:w="441"/>
        <w:gridCol w:w="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1218" w:type="dxa"/>
            <w:gridSpan w:val="2"/>
            <w:noWrap w:val="0"/>
            <w:vAlign w:val="center"/>
          </w:tcPr>
          <w:p>
            <w:pPr>
              <w:overflowPunct w:val="0"/>
              <w:autoSpaceDE w:val="0"/>
              <w:autoSpaceDN w:val="0"/>
              <w:jc w:val="center"/>
              <w:rPr>
                <w:rFonts w:hint="eastAsia" w:ascii="Times New Roman" w:hAnsi="Times New Roman" w:eastAsia="仿宋_GB2312"/>
                <w:color w:val="auto"/>
                <w:kern w:val="0"/>
                <w:sz w:val="22"/>
                <w:szCs w:val="22"/>
              </w:rPr>
            </w:pPr>
            <w:r>
              <w:rPr>
                <w:rFonts w:hint="eastAsia" w:ascii="Times New Roman" w:hAnsi="Times New Roman" w:eastAsia="仿宋_GB2312"/>
                <w:color w:val="auto"/>
                <w:kern w:val="0"/>
                <w:sz w:val="22"/>
                <w:szCs w:val="22"/>
              </w:rPr>
              <w:t>建设单位</w:t>
            </w:r>
          </w:p>
        </w:tc>
        <w:tc>
          <w:tcPr>
            <w:tcW w:w="3053" w:type="dxa"/>
            <w:gridSpan w:val="6"/>
            <w:noWrap w:val="0"/>
            <w:vAlign w:val="center"/>
          </w:tcPr>
          <w:p>
            <w:pPr>
              <w:overflowPunct w:val="0"/>
              <w:autoSpaceDE w:val="0"/>
              <w:autoSpaceDN w:val="0"/>
              <w:jc w:val="center"/>
              <w:rPr>
                <w:rFonts w:hint="eastAsia" w:ascii="Times New Roman" w:hAnsi="Times New Roman" w:eastAsia="仿宋_GB2312"/>
                <w:color w:val="auto"/>
                <w:kern w:val="0"/>
                <w:sz w:val="22"/>
                <w:szCs w:val="22"/>
                <w:lang w:eastAsia="zh-CN"/>
              </w:rPr>
            </w:pPr>
            <w:r>
              <w:rPr>
                <w:rFonts w:hint="eastAsia" w:ascii="Times New Roman" w:hAnsi="Times New Roman" w:eastAsia="仿宋_GB2312"/>
                <w:color w:val="auto"/>
                <w:sz w:val="24"/>
                <w:lang w:val="en-US" w:eastAsia="zh-CN"/>
              </w:rPr>
              <w:t>湖北中培电子科技有限公司</w:t>
            </w:r>
          </w:p>
        </w:tc>
        <w:tc>
          <w:tcPr>
            <w:tcW w:w="1478" w:type="dxa"/>
            <w:gridSpan w:val="4"/>
            <w:noWrap w:val="0"/>
            <w:vAlign w:val="center"/>
          </w:tcPr>
          <w:p>
            <w:pPr>
              <w:overflowPunct w:val="0"/>
              <w:autoSpaceDE w:val="0"/>
              <w:autoSpaceDN w:val="0"/>
              <w:jc w:val="center"/>
              <w:textAlignment w:val="center"/>
              <w:rPr>
                <w:rFonts w:hint="default" w:ascii="Times New Roman" w:hAnsi="Times New Roman" w:eastAsia="仿宋_GB2312"/>
                <w:color w:val="auto"/>
                <w:lang w:val="en-US" w:eastAsia="zh-CN"/>
              </w:rPr>
            </w:pPr>
            <w:r>
              <w:rPr>
                <w:rFonts w:hint="eastAsia" w:ascii="Times New Roman" w:hAnsi="Times New Roman" w:eastAsia="仿宋_GB2312"/>
                <w:color w:val="auto"/>
                <w:kern w:val="0"/>
                <w:lang w:val="en-US" w:eastAsia="zh-CN"/>
              </w:rPr>
              <w:t>统一社会信用代码</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9142022208232629XT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工程名称</w:t>
            </w:r>
          </w:p>
        </w:tc>
        <w:tc>
          <w:tcPr>
            <w:tcW w:w="3053" w:type="dxa"/>
            <w:gridSpan w:val="6"/>
            <w:noWrap w:val="0"/>
            <w:vAlign w:val="center"/>
          </w:tcPr>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olor w:val="auto"/>
                <w:sz w:val="24"/>
                <w:lang w:val="en-US" w:eastAsia="zh-CN"/>
              </w:rPr>
              <w:t>年产200万平方米单面线路板智能自动化技术改造生产线</w:t>
            </w:r>
          </w:p>
        </w:tc>
        <w:tc>
          <w:tcPr>
            <w:tcW w:w="1478" w:type="dxa"/>
            <w:gridSpan w:val="4"/>
            <w:noWrap w:val="0"/>
            <w:vAlign w:val="center"/>
          </w:tcPr>
          <w:p>
            <w:pPr>
              <w:overflowPunct w:val="0"/>
              <w:autoSpaceDE w:val="0"/>
              <w:autoSpaceDN w:val="0"/>
              <w:jc w:val="center"/>
              <w:textAlignment w:val="center"/>
              <w:rPr>
                <w:rFonts w:hint="eastAsia" w:ascii="Times New Roman" w:hAnsi="Times New Roman" w:eastAsia="仿宋_GB2312"/>
                <w:color w:val="auto"/>
                <w:lang w:eastAsia="zh-CN"/>
              </w:rPr>
            </w:pPr>
            <w:r>
              <w:rPr>
                <w:rFonts w:ascii="Times New Roman" w:hAnsi="Times New Roman" w:eastAsia="仿宋_GB2312"/>
                <w:color w:val="auto"/>
                <w:kern w:val="0"/>
              </w:rPr>
              <w:t>工程</w:t>
            </w:r>
            <w:r>
              <w:rPr>
                <w:rFonts w:hint="eastAsia" w:ascii="Times New Roman" w:hAnsi="Times New Roman" w:eastAsia="仿宋_GB2312"/>
                <w:color w:val="auto"/>
                <w:kern w:val="0"/>
                <w:lang w:eastAsia="zh-CN"/>
              </w:rPr>
              <w:t>地址</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kern w:val="0"/>
                <w:sz w:val="22"/>
                <w:szCs w:val="22"/>
                <w:lang w:val="en-US" w:eastAsia="zh-CN"/>
              </w:rPr>
              <w:t>湖北省黄石市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0"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工程投资额（万元）</w:t>
            </w:r>
          </w:p>
        </w:tc>
        <w:tc>
          <w:tcPr>
            <w:tcW w:w="3053" w:type="dxa"/>
            <w:gridSpan w:val="6"/>
            <w:noWrap w:val="0"/>
            <w:vAlign w:val="center"/>
          </w:tcPr>
          <w:p>
            <w:pPr>
              <w:overflowPunct w:val="0"/>
              <w:autoSpaceDE w:val="0"/>
              <w:autoSpaceDN w:val="0"/>
              <w:jc w:val="center"/>
              <w:rPr>
                <w:rFonts w:hint="default" w:ascii="Times New Roman" w:hAnsi="Times New Roman" w:eastAsia="宋体"/>
                <w:color w:val="auto"/>
                <w:lang w:val="en-US" w:eastAsia="zh-CN"/>
              </w:rPr>
            </w:pPr>
            <w:r>
              <w:rPr>
                <w:rFonts w:hint="eastAsia" w:ascii="Arial" w:hAnsi="Arial" w:cs="Arial"/>
                <w:i w:val="0"/>
                <w:iCs w:val="0"/>
                <w:caps w:val="0"/>
                <w:color w:val="auto"/>
                <w:spacing w:val="0"/>
                <w:sz w:val="21"/>
                <w:szCs w:val="21"/>
                <w:shd w:val="clear" w:fill="FCFCFC"/>
                <w:lang w:val="en-US" w:eastAsia="zh-CN"/>
              </w:rPr>
              <w:t>12033</w:t>
            </w:r>
          </w:p>
        </w:tc>
        <w:tc>
          <w:tcPr>
            <w:tcW w:w="1478" w:type="dxa"/>
            <w:gridSpan w:val="4"/>
            <w:noWrap/>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使用性质</w:t>
            </w:r>
          </w:p>
        </w:tc>
        <w:tc>
          <w:tcPr>
            <w:tcW w:w="3065" w:type="dxa"/>
            <w:gridSpan w:val="7"/>
            <w:noWrap w:val="0"/>
            <w:vAlign w:val="center"/>
          </w:tcPr>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olor w:val="auto"/>
                <w:lang w:val="en-US" w:eastAsia="zh-CN"/>
              </w:rPr>
              <w:t>工业</w:t>
            </w:r>
            <w:r>
              <w:rPr>
                <w:rFonts w:hint="eastAsia" w:ascii="Times New Roman" w:hAnsi="Times New Roman" w:eastAsia="仿宋_GB2312"/>
                <w:color w:val="auto"/>
                <w:lang w:eastAsia="zh-CN"/>
              </w:rPr>
              <w:t>用地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总用地面积</w:t>
            </w:r>
          </w:p>
        </w:tc>
        <w:tc>
          <w:tcPr>
            <w:tcW w:w="3053" w:type="dxa"/>
            <w:gridSpan w:val="6"/>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24324.00</w:t>
            </w:r>
            <w:r>
              <w:rPr>
                <w:rFonts w:hint="eastAsia" w:ascii="Times New Roman" w:hAnsi="Times New Roman" w:eastAsia="仿宋_GB2312"/>
                <w:color w:val="auto"/>
                <w:lang w:eastAsia="zh-CN"/>
              </w:rPr>
              <w:t>平方</w:t>
            </w:r>
          </w:p>
        </w:tc>
        <w:tc>
          <w:tcPr>
            <w:tcW w:w="1478" w:type="dxa"/>
            <w:gridSpan w:val="4"/>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总建筑面积</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32669.27</w:t>
            </w:r>
            <w:r>
              <w:rPr>
                <w:rFonts w:hint="eastAsia" w:ascii="Times New Roman" w:hAnsi="Times New Roman" w:eastAsia="仿宋_GB2312"/>
                <w:color w:val="auto"/>
                <w:lang w:eastAsia="zh-CN"/>
              </w:rPr>
              <w:t>平方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hint="eastAsia" w:ascii="Times New Roman" w:hAnsi="Times New Roman" w:eastAsia="仿宋_GB2312"/>
                <w:color w:val="auto"/>
                <w:kern w:val="0"/>
                <w:lang w:val="en-US" w:eastAsia="zh-CN"/>
              </w:rPr>
              <w:t>本次送审</w:t>
            </w:r>
            <w:r>
              <w:rPr>
                <w:rFonts w:ascii="Times New Roman" w:hAnsi="Times New Roman" w:eastAsia="仿宋_GB2312"/>
                <w:color w:val="auto"/>
                <w:kern w:val="0"/>
              </w:rPr>
              <w:t>建筑面积</w:t>
            </w:r>
          </w:p>
        </w:tc>
        <w:tc>
          <w:tcPr>
            <w:tcW w:w="3053" w:type="dxa"/>
            <w:gridSpan w:val="6"/>
            <w:noWrap w:val="0"/>
            <w:vAlign w:val="center"/>
          </w:tcPr>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olor w:val="auto"/>
                <w:lang w:val="en-US" w:eastAsia="zh-CN"/>
              </w:rPr>
              <w:t>10531.83</w:t>
            </w:r>
            <w:r>
              <w:rPr>
                <w:rFonts w:hint="eastAsia" w:ascii="Times New Roman" w:hAnsi="Times New Roman" w:eastAsia="仿宋_GB2312"/>
                <w:color w:val="auto"/>
                <w:lang w:eastAsia="zh-CN"/>
              </w:rPr>
              <w:t>平方</w:t>
            </w:r>
          </w:p>
        </w:tc>
        <w:tc>
          <w:tcPr>
            <w:tcW w:w="1478" w:type="dxa"/>
            <w:gridSpan w:val="4"/>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建筑高度</w:t>
            </w:r>
          </w:p>
        </w:tc>
        <w:tc>
          <w:tcPr>
            <w:tcW w:w="3065" w:type="dxa"/>
            <w:gridSpan w:val="7"/>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17.85m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使用性质</w:t>
            </w:r>
          </w:p>
        </w:tc>
        <w:tc>
          <w:tcPr>
            <w:tcW w:w="3053" w:type="dxa"/>
            <w:gridSpan w:val="6"/>
            <w:noWrap w:val="0"/>
            <w:vAlign w:val="center"/>
          </w:tcPr>
          <w:p>
            <w:pPr>
              <w:overflowPunct w:val="0"/>
              <w:autoSpaceDE w:val="0"/>
              <w:autoSpaceDN w:val="0"/>
              <w:jc w:val="center"/>
              <w:rPr>
                <w:rFonts w:hint="default" w:ascii="Times New Roman" w:hAnsi="Times New Roman" w:eastAsia="仿宋_GB2312"/>
                <w:color w:val="auto"/>
                <w:lang w:val="en-US"/>
              </w:rPr>
            </w:pPr>
            <w:r>
              <w:rPr>
                <w:rFonts w:hint="eastAsia" w:ascii="Times New Roman" w:hAnsi="Times New Roman" w:eastAsia="仿宋_GB2312"/>
                <w:color w:val="auto"/>
                <w:lang w:val="en-US" w:eastAsia="zh-CN"/>
              </w:rPr>
              <w:t>丙类生产车间</w:t>
            </w:r>
          </w:p>
        </w:tc>
        <w:tc>
          <w:tcPr>
            <w:tcW w:w="1478" w:type="dxa"/>
            <w:gridSpan w:val="4"/>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单体数量</w:t>
            </w:r>
          </w:p>
        </w:tc>
        <w:tc>
          <w:tcPr>
            <w:tcW w:w="3065" w:type="dxa"/>
            <w:gridSpan w:val="7"/>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1栋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占地面积</w:t>
            </w:r>
          </w:p>
        </w:tc>
        <w:tc>
          <w:tcPr>
            <w:tcW w:w="1661"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highlight w:val="none"/>
                <w:lang w:val="en-US" w:eastAsia="zh-CN"/>
              </w:rPr>
              <w:t>3349.41</w:t>
            </w:r>
          </w:p>
        </w:tc>
        <w:tc>
          <w:tcPr>
            <w:tcW w:w="1392" w:type="dxa"/>
            <w:gridSpan w:val="4"/>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消防车登高面</w:t>
            </w:r>
          </w:p>
        </w:tc>
        <w:tc>
          <w:tcPr>
            <w:tcW w:w="2033" w:type="dxa"/>
            <w:gridSpan w:val="5"/>
            <w:noWrap w:val="0"/>
            <w:vAlign w:val="center"/>
          </w:tcPr>
          <w:p>
            <w:pPr>
              <w:overflowPunct w:val="0"/>
              <w:autoSpaceDE w:val="0"/>
              <w:autoSpaceDN w:val="0"/>
              <w:jc w:val="center"/>
              <w:rPr>
                <w:rFonts w:hint="eastAsia" w:ascii="Times New Roman" w:hAnsi="Times New Roman" w:eastAsia="仿宋_GB2312"/>
                <w:color w:val="auto"/>
                <w:lang w:val="en-US" w:eastAsia="zh-CN"/>
              </w:rPr>
            </w:pPr>
          </w:p>
        </w:tc>
        <w:tc>
          <w:tcPr>
            <w:tcW w:w="1271" w:type="dxa"/>
            <w:gridSpan w:val="4"/>
            <w:noWrap w:val="0"/>
            <w:vAlign w:val="center"/>
          </w:tcPr>
          <w:p>
            <w:pPr>
              <w:overflowPunct w:val="0"/>
              <w:autoSpaceDE w:val="0"/>
              <w:autoSpaceDN w:val="0"/>
              <w:jc w:val="center"/>
              <w:rPr>
                <w:rFonts w:hint="eastAsia" w:ascii="Times New Roman" w:hAnsi="Times New Roman" w:eastAsia="仿宋_GB2312"/>
                <w:color w:val="auto"/>
                <w:lang w:val="en-US" w:eastAsia="zh-CN"/>
              </w:rPr>
            </w:pPr>
            <w:r>
              <w:rPr>
                <w:rFonts w:hint="eastAsia" w:ascii="Times New Roman" w:hAnsi="Times New Roman" w:eastAsia="仿宋_GB2312"/>
                <w:color w:val="auto"/>
                <w:lang w:val="en-US" w:eastAsia="zh-CN"/>
              </w:rPr>
              <w:t>防火间距</w:t>
            </w:r>
          </w:p>
        </w:tc>
        <w:tc>
          <w:tcPr>
            <w:tcW w:w="1239"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＞10米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6" w:hRule="atLeast"/>
          <w:jc w:val="center"/>
        </w:trPr>
        <w:tc>
          <w:tcPr>
            <w:tcW w:w="1218" w:type="dxa"/>
            <w:gridSpan w:val="2"/>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消防控制室</w:t>
            </w:r>
          </w:p>
        </w:tc>
        <w:tc>
          <w:tcPr>
            <w:tcW w:w="1661"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已建门房</w:t>
            </w:r>
          </w:p>
        </w:tc>
        <w:tc>
          <w:tcPr>
            <w:tcW w:w="1392" w:type="dxa"/>
            <w:gridSpan w:val="4"/>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消防水泵房</w:t>
            </w:r>
          </w:p>
        </w:tc>
        <w:tc>
          <w:tcPr>
            <w:tcW w:w="2033" w:type="dxa"/>
            <w:gridSpan w:val="5"/>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1#厂房地下室</w:t>
            </w:r>
          </w:p>
        </w:tc>
        <w:tc>
          <w:tcPr>
            <w:tcW w:w="1271" w:type="dxa"/>
            <w:gridSpan w:val="4"/>
            <w:noWrap w:val="0"/>
            <w:vAlign w:val="center"/>
          </w:tcPr>
          <w:p>
            <w:pPr>
              <w:overflowPunct w:val="0"/>
              <w:autoSpaceDE w:val="0"/>
              <w:autoSpaceDN w:val="0"/>
              <w:jc w:val="center"/>
              <w:textAlignment w:val="top"/>
              <w:rPr>
                <w:rFonts w:ascii="Times New Roman" w:hAnsi="Times New Roman" w:eastAsia="仿宋_GB2312"/>
                <w:color w:val="auto"/>
              </w:rPr>
            </w:pPr>
            <w:r>
              <w:rPr>
                <w:rFonts w:ascii="Times New Roman" w:hAnsi="Times New Roman" w:eastAsia="仿宋_GB2312"/>
                <w:color w:val="auto"/>
                <w:kern w:val="0"/>
              </w:rPr>
              <w:t>建筑类别</w:t>
            </w:r>
          </w:p>
        </w:tc>
        <w:tc>
          <w:tcPr>
            <w:tcW w:w="1239" w:type="dxa"/>
            <w:gridSpan w:val="2"/>
            <w:noWrap w:val="0"/>
            <w:vAlign w:val="center"/>
          </w:tcPr>
          <w:p>
            <w:pPr>
              <w:overflowPunct w:val="0"/>
              <w:autoSpaceDE w:val="0"/>
              <w:autoSpaceDN w:val="0"/>
              <w:jc w:val="center"/>
              <w:rPr>
                <w:rFonts w:hint="default" w:ascii="Times New Roman" w:hAnsi="Times New Roman" w:eastAsia="仿宋_GB2312"/>
                <w:color w:val="auto"/>
                <w:lang w:val="en-US" w:eastAsia="zh-CN"/>
              </w:rPr>
            </w:pPr>
            <w:r>
              <w:rPr>
                <w:rFonts w:hint="eastAsia" w:ascii="Times New Roman" w:hAnsi="Times New Roman" w:eastAsia="仿宋_GB2312"/>
                <w:color w:val="auto"/>
                <w:lang w:val="en-US" w:eastAsia="zh-CN"/>
              </w:rPr>
              <w:t>多层厂房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jc w:val="center"/>
        </w:trPr>
        <w:tc>
          <w:tcPr>
            <w:tcW w:w="1218" w:type="dxa"/>
            <w:gridSpan w:val="2"/>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单体建筑</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名称</w:t>
            </w:r>
          </w:p>
        </w:tc>
        <w:tc>
          <w:tcPr>
            <w:tcW w:w="1497"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结构类型</w:t>
            </w:r>
          </w:p>
        </w:tc>
        <w:tc>
          <w:tcPr>
            <w:tcW w:w="679" w:type="dxa"/>
            <w:gridSpan w:val="3"/>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耐火</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等级</w:t>
            </w:r>
          </w:p>
        </w:tc>
        <w:tc>
          <w:tcPr>
            <w:tcW w:w="1208"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层 数</w:t>
            </w:r>
          </w:p>
        </w:tc>
        <w:tc>
          <w:tcPr>
            <w:tcW w:w="837" w:type="dxa"/>
            <w:gridSpan w:val="2"/>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建筑</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高度（m）</w:t>
            </w:r>
          </w:p>
        </w:tc>
        <w:tc>
          <w:tcPr>
            <w:tcW w:w="865" w:type="dxa"/>
            <w:gridSpan w:val="2"/>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占地</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面积（m</w:t>
            </w:r>
            <w:r>
              <w:rPr>
                <w:rFonts w:hint="default" w:ascii="Times New Roman" w:hAnsi="Times New Roman" w:eastAsia="仿宋_GB2312"/>
                <w:color w:val="auto"/>
                <w:kern w:val="0"/>
              </w:rPr>
              <w:t>2</w:t>
            </w:r>
            <w:r>
              <w:rPr>
                <w:rFonts w:ascii="Times New Roman" w:hAnsi="Times New Roman" w:eastAsia="仿宋_GB2312"/>
                <w:color w:val="auto"/>
                <w:kern w:val="0"/>
              </w:rPr>
              <w:t>）</w:t>
            </w:r>
          </w:p>
        </w:tc>
        <w:tc>
          <w:tcPr>
            <w:tcW w:w="1712" w:type="dxa"/>
            <w:gridSpan w:val="5"/>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建筑面积（m</w:t>
            </w:r>
            <w:r>
              <w:rPr>
                <w:rFonts w:hint="default" w:ascii="Times New Roman" w:hAnsi="Times New Roman" w:eastAsia="仿宋_GB2312"/>
                <w:color w:val="auto"/>
                <w:kern w:val="0"/>
              </w:rPr>
              <w:t>2</w:t>
            </w:r>
            <w:r>
              <w:rPr>
                <w:rFonts w:ascii="Times New Roman" w:hAnsi="Times New Roman" w:eastAsia="仿宋_GB2312"/>
                <w:color w:val="auto"/>
                <w:kern w:val="0"/>
              </w:rPr>
              <w:t>）</w:t>
            </w:r>
          </w:p>
        </w:tc>
        <w:tc>
          <w:tcPr>
            <w:tcW w:w="798" w:type="dxa"/>
            <w:vMerge w:val="restart"/>
            <w:noWrap/>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使用</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jc w:val="center"/>
        </w:trPr>
        <w:tc>
          <w:tcPr>
            <w:tcW w:w="1218" w:type="dxa"/>
            <w:gridSpan w:val="2"/>
            <w:vMerge w:val="continue"/>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eastAsia="zh-CN"/>
              </w:rPr>
              <w:t>C</w:t>
            </w:r>
            <w:r>
              <w:rPr>
                <w:rFonts w:hint="eastAsia" w:ascii="Times New Roman" w:hAnsi="Times New Roman" w:eastAsia="仿宋_GB2312"/>
                <w:color w:val="auto"/>
                <w:kern w:val="0"/>
                <w:lang w:val="en-US" w:eastAsia="zh-CN"/>
              </w:rPr>
              <w:t>z</w:t>
            </w:r>
          </w:p>
        </w:tc>
        <w:tc>
          <w:tcPr>
            <w:tcW w:w="1497"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679" w:type="dxa"/>
            <w:gridSpan w:val="3"/>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558" w:type="dxa"/>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地上</w:t>
            </w:r>
          </w:p>
        </w:tc>
        <w:tc>
          <w:tcPr>
            <w:tcW w:w="650" w:type="dxa"/>
            <w:gridSpan w:val="2"/>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地下</w:t>
            </w:r>
          </w:p>
        </w:tc>
        <w:tc>
          <w:tcPr>
            <w:tcW w:w="837" w:type="dxa"/>
            <w:gridSpan w:val="2"/>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865" w:type="dxa"/>
            <w:gridSpan w:val="2"/>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1010" w:type="dxa"/>
            <w:gridSpan w:val="2"/>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地上</w:t>
            </w:r>
          </w:p>
        </w:tc>
        <w:tc>
          <w:tcPr>
            <w:tcW w:w="702"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地下</w:t>
            </w:r>
          </w:p>
        </w:tc>
        <w:tc>
          <w:tcPr>
            <w:tcW w:w="798" w:type="dxa"/>
            <w:vMerge w:val="continue"/>
            <w:noWrap/>
            <w:vAlign w:val="center"/>
          </w:tcPr>
          <w:p>
            <w:pPr>
              <w:overflowPunct w:val="0"/>
              <w:autoSpaceDE w:val="0"/>
              <w:autoSpaceDN w:val="0"/>
              <w:jc w:val="center"/>
              <w:textAlignment w:val="center"/>
              <w:rPr>
                <w:rFonts w:ascii="Times New Roman" w:hAnsi="Times New Roman" w:eastAsia="仿宋_GB2312"/>
                <w:color w:val="auto"/>
                <w:kern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2" w:hRule="atLeast"/>
          <w:jc w:val="center"/>
        </w:trPr>
        <w:tc>
          <w:tcPr>
            <w:tcW w:w="1218" w:type="dxa"/>
            <w:gridSpan w:val="2"/>
            <w:noWrap w:val="0"/>
            <w:vAlign w:val="top"/>
          </w:tcPr>
          <w:p>
            <w:pPr>
              <w:overflowPunct w:val="0"/>
              <w:autoSpaceDE w:val="0"/>
              <w:autoSpaceDN w:val="0"/>
              <w:jc w:val="both"/>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w:t>
            </w:r>
          </w:p>
        </w:tc>
        <w:tc>
          <w:tcPr>
            <w:tcW w:w="1497" w:type="dxa"/>
            <w:noWrap w:val="0"/>
            <w:vAlign w:val="top"/>
          </w:tcPr>
          <w:p>
            <w:pPr>
              <w:overflowPunct w:val="0"/>
              <w:autoSpaceDE w:val="0"/>
              <w:autoSpaceDN w:val="0"/>
              <w:jc w:val="center"/>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框架</w:t>
            </w:r>
            <w:r>
              <w:rPr>
                <w:rFonts w:hint="eastAsia" w:ascii="Times New Roman" w:hAnsi="Times New Roman" w:eastAsia="仿宋_GB2312"/>
                <w:color w:val="auto"/>
                <w:kern w:val="0"/>
              </w:rPr>
              <w:t>结构</w:t>
            </w:r>
          </w:p>
        </w:tc>
        <w:tc>
          <w:tcPr>
            <w:tcW w:w="679" w:type="dxa"/>
            <w:gridSpan w:val="3"/>
            <w:noWrap w:val="0"/>
            <w:vAlign w:val="top"/>
          </w:tcPr>
          <w:p>
            <w:pPr>
              <w:overflowPunct w:val="0"/>
              <w:autoSpaceDE w:val="0"/>
              <w:autoSpaceDN w:val="0"/>
              <w:jc w:val="center"/>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eastAsia="zh-CN"/>
              </w:rPr>
              <w:t>二</w:t>
            </w:r>
            <w:r>
              <w:rPr>
                <w:rFonts w:hint="eastAsia" w:ascii="Times New Roman" w:hAnsi="Times New Roman" w:eastAsia="仿宋_GB2312"/>
                <w:color w:val="auto"/>
                <w:kern w:val="0"/>
              </w:rPr>
              <w:t>级</w:t>
            </w:r>
          </w:p>
        </w:tc>
        <w:tc>
          <w:tcPr>
            <w:tcW w:w="558" w:type="dxa"/>
            <w:noWrap w:val="0"/>
            <w:vAlign w:val="top"/>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3层</w:t>
            </w:r>
          </w:p>
        </w:tc>
        <w:tc>
          <w:tcPr>
            <w:tcW w:w="650" w:type="dxa"/>
            <w:gridSpan w:val="2"/>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1层</w:t>
            </w:r>
          </w:p>
        </w:tc>
        <w:tc>
          <w:tcPr>
            <w:tcW w:w="837" w:type="dxa"/>
            <w:gridSpan w:val="2"/>
            <w:noWrap w:val="0"/>
            <w:vAlign w:val="top"/>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17.85</w:t>
            </w:r>
          </w:p>
        </w:tc>
        <w:tc>
          <w:tcPr>
            <w:tcW w:w="865" w:type="dxa"/>
            <w:gridSpan w:val="2"/>
            <w:noWrap w:val="0"/>
            <w:vAlign w:val="top"/>
          </w:tcPr>
          <w:p>
            <w:pPr>
              <w:overflowPunct w:val="0"/>
              <w:autoSpaceDE w:val="0"/>
              <w:autoSpaceDN w:val="0"/>
              <w:jc w:val="center"/>
              <w:textAlignment w:val="center"/>
              <w:rPr>
                <w:rFonts w:hint="default" w:ascii="Times New Roman" w:hAnsi="Times New Roman" w:eastAsia="仿宋_GB2312"/>
                <w:color w:val="auto"/>
                <w:kern w:val="0"/>
                <w:highlight w:val="none"/>
                <w:lang w:val="en-US" w:eastAsia="zh-CN"/>
              </w:rPr>
            </w:pPr>
            <w:r>
              <w:rPr>
                <w:rFonts w:hint="eastAsia" w:ascii="Times New Roman" w:hAnsi="Times New Roman" w:eastAsia="仿宋_GB2312"/>
                <w:color w:val="auto"/>
                <w:highlight w:val="none"/>
                <w:lang w:val="en-US" w:eastAsia="zh-CN"/>
              </w:rPr>
              <w:t>3349.41</w:t>
            </w:r>
          </w:p>
        </w:tc>
        <w:tc>
          <w:tcPr>
            <w:tcW w:w="1010" w:type="dxa"/>
            <w:gridSpan w:val="2"/>
            <w:noWrap w:val="0"/>
            <w:vAlign w:val="top"/>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highlight w:val="none"/>
                <w:lang w:val="en-US" w:eastAsia="zh-CN"/>
              </w:rPr>
              <w:t>10151.55</w:t>
            </w:r>
          </w:p>
        </w:tc>
        <w:tc>
          <w:tcPr>
            <w:tcW w:w="702" w:type="dxa"/>
            <w:gridSpan w:val="3"/>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380.28</w:t>
            </w:r>
          </w:p>
        </w:tc>
        <w:tc>
          <w:tcPr>
            <w:tcW w:w="798" w:type="dxa"/>
            <w:noWrap/>
            <w:vAlign w:val="top"/>
          </w:tcPr>
          <w:p>
            <w:pPr>
              <w:overflowPunct w:val="0"/>
              <w:autoSpaceDE w:val="0"/>
              <w:autoSpaceDN w:val="0"/>
              <w:jc w:val="center"/>
              <w:textAlignment w:val="center"/>
              <w:rPr>
                <w:rFonts w:hint="default" w:ascii="Times New Roman" w:hAnsi="Times New Roman" w:eastAsia="仿宋_GB2312"/>
                <w:color w:val="auto"/>
                <w:kern w:val="0"/>
                <w:sz w:val="15"/>
                <w:szCs w:val="15"/>
                <w:lang w:val="en-US" w:eastAsia="zh-CN"/>
              </w:rPr>
            </w:pPr>
            <w:r>
              <w:rPr>
                <w:rFonts w:hint="eastAsia" w:ascii="Times New Roman" w:hAnsi="Times New Roman" w:eastAsia="仿宋_GB2312"/>
                <w:color w:val="auto"/>
                <w:kern w:val="0"/>
                <w:sz w:val="24"/>
                <w:szCs w:val="24"/>
                <w:lang w:val="en-US" w:eastAsia="zh-CN"/>
              </w:rPr>
              <w:t>丙类厂房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73" w:hRule="atLeast"/>
          <w:jc w:val="center"/>
        </w:trPr>
        <w:tc>
          <w:tcPr>
            <w:tcW w:w="1218" w:type="dxa"/>
            <w:gridSpan w:val="2"/>
            <w:vMerge w:val="restart"/>
            <w:noWrap w:val="0"/>
            <w:vAlign w:val="center"/>
          </w:tcPr>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消防设施及其他</w:t>
            </w:r>
          </w:p>
        </w:tc>
        <w:tc>
          <w:tcPr>
            <w:tcW w:w="7596" w:type="dxa"/>
            <w:gridSpan w:val="17"/>
            <w:noWrap w:val="0"/>
            <w:vAlign w:val="center"/>
          </w:tcPr>
          <w:p>
            <w:pPr>
              <w:overflowPunct w:val="0"/>
              <w:autoSpaceDE w:val="0"/>
              <w:autoSpaceDN w:val="0"/>
              <w:textAlignment w:val="center"/>
              <w:rPr>
                <w:rFonts w:ascii="仿宋_GB2312" w:hAnsi="Times New Roman" w:eastAsia="仿宋_GB2312"/>
                <w:color w:val="auto"/>
                <w:kern w:val="0"/>
              </w:rPr>
            </w:pPr>
            <w:r>
              <w:rPr>
                <w:rFonts w:hint="eastAsia" w:eastAsia="宋体" w:cs="宋体"/>
                <w:color w:val="auto"/>
                <w:kern w:val="0"/>
                <w:sz w:val="21"/>
                <w:szCs w:val="21"/>
              </w:rPr>
              <w:t>■</w:t>
            </w:r>
            <w:r>
              <w:rPr>
                <w:rFonts w:hint="eastAsia" w:ascii="仿宋_GB2312" w:hAnsi="Times New Roman" w:eastAsia="仿宋_GB2312"/>
                <w:color w:val="auto"/>
                <w:kern w:val="0"/>
              </w:rPr>
              <w:t xml:space="preserve">室内消火栓系统 </w:t>
            </w:r>
            <w:r>
              <w:rPr>
                <w:rFonts w:hint="eastAsia" w:eastAsia="宋体" w:cs="宋体"/>
                <w:color w:val="auto"/>
                <w:kern w:val="0"/>
                <w:sz w:val="21"/>
                <w:szCs w:val="21"/>
              </w:rPr>
              <w:t>■</w:t>
            </w:r>
            <w:r>
              <w:rPr>
                <w:rFonts w:hint="eastAsia" w:ascii="仿宋_GB2312" w:hAnsi="Times New Roman" w:eastAsia="仿宋_GB2312"/>
                <w:color w:val="auto"/>
                <w:kern w:val="0"/>
              </w:rPr>
              <w:t xml:space="preserve">室外消火栓系统 </w:t>
            </w:r>
            <w:r>
              <w:rPr>
                <w:rFonts w:hint="eastAsia" w:eastAsia="宋体" w:cs="宋体"/>
                <w:color w:val="auto"/>
                <w:kern w:val="0"/>
                <w:sz w:val="21"/>
                <w:szCs w:val="21"/>
              </w:rPr>
              <w:t>■</w:t>
            </w:r>
            <w:r>
              <w:rPr>
                <w:rFonts w:hint="eastAsia" w:ascii="仿宋_GB2312" w:hAnsi="Times New Roman" w:eastAsia="仿宋_GB2312"/>
                <w:color w:val="auto"/>
                <w:kern w:val="0"/>
              </w:rPr>
              <w:t>火灾自动报警系统</w:t>
            </w:r>
          </w:p>
          <w:p>
            <w:pPr>
              <w:overflowPunct w:val="0"/>
              <w:autoSpaceDE w:val="0"/>
              <w:autoSpaceDN w:val="0"/>
              <w:textAlignment w:val="center"/>
              <w:rPr>
                <w:rFonts w:hint="eastAsia" w:ascii="仿宋_GB2312" w:hAnsi="Times New Roman" w:eastAsia="仿宋_GB2312"/>
                <w:color w:val="auto"/>
              </w:rPr>
            </w:pPr>
            <w:r>
              <w:rPr>
                <w:rFonts w:hint="eastAsia" w:eastAsia="宋体" w:cs="宋体"/>
                <w:color w:val="auto"/>
                <w:kern w:val="0"/>
                <w:sz w:val="21"/>
                <w:szCs w:val="21"/>
              </w:rPr>
              <w:t>■</w:t>
            </w:r>
            <w:r>
              <w:rPr>
                <w:rFonts w:hint="eastAsia" w:ascii="仿宋_GB2312" w:hAnsi="Times New Roman" w:eastAsia="仿宋_GB2312"/>
                <w:color w:val="auto"/>
                <w:kern w:val="0"/>
              </w:rPr>
              <w:t>自动喷水灭火系统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4" w:hRule="atLeast"/>
          <w:jc w:val="center"/>
        </w:trPr>
        <w:tc>
          <w:tcPr>
            <w:tcW w:w="1218" w:type="dxa"/>
            <w:gridSpan w:val="2"/>
            <w:vMerge w:val="continue"/>
            <w:noWrap w:val="0"/>
            <w:vAlign w:val="center"/>
          </w:tcPr>
          <w:p>
            <w:pPr>
              <w:overflowPunct w:val="0"/>
              <w:autoSpaceDE w:val="0"/>
              <w:autoSpaceDN w:val="0"/>
              <w:jc w:val="center"/>
              <w:rPr>
                <w:rFonts w:ascii="Times New Roman" w:hAnsi="Times New Roman" w:eastAsia="仿宋_GB2312"/>
                <w:color w:val="auto"/>
              </w:rPr>
            </w:pPr>
          </w:p>
        </w:tc>
        <w:tc>
          <w:tcPr>
            <w:tcW w:w="7596" w:type="dxa"/>
            <w:gridSpan w:val="17"/>
            <w:noWrap w:val="0"/>
            <w:vAlign w:val="center"/>
          </w:tcPr>
          <w:p>
            <w:pPr>
              <w:overflowPunct w:val="0"/>
              <w:autoSpaceDE w:val="0"/>
              <w:autoSpaceDN w:val="0"/>
              <w:textAlignment w:val="center"/>
              <w:rPr>
                <w:rFonts w:hint="eastAsia" w:ascii="仿宋_GB2312" w:hAnsi="Times New Roman" w:eastAsia="仿宋_GB2312"/>
                <w:color w:val="auto"/>
              </w:rPr>
            </w:pPr>
            <w:r>
              <w:rPr>
                <w:rFonts w:hint="eastAsia" w:ascii="仿宋_GB2312" w:hAnsi="Times New Roman" w:eastAsia="仿宋_GB2312"/>
                <w:color w:val="auto"/>
                <w:kern w:val="0"/>
              </w:rPr>
              <w:t xml:space="preserve">□气体灭火系统    </w:t>
            </w:r>
            <w:r>
              <w:rPr>
                <w:rFonts w:hint="eastAsia" w:ascii="仿宋_GB2312" w:hAnsi="Times New Roman" w:eastAsia="仿宋_GB2312"/>
                <w:color w:val="auto"/>
                <w:kern w:val="0"/>
                <w:lang w:eastAsia="zh-CN"/>
              </w:rPr>
              <w:t>□</w:t>
            </w:r>
            <w:r>
              <w:rPr>
                <w:rFonts w:hint="eastAsia" w:ascii="仿宋_GB2312" w:hAnsi="Times New Roman" w:eastAsia="仿宋_GB2312"/>
                <w:color w:val="auto"/>
                <w:kern w:val="0"/>
              </w:rPr>
              <w:t>泡沫灭火系统    □其他灭火系统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4" w:hRule="atLeast"/>
          <w:jc w:val="center"/>
        </w:trPr>
        <w:tc>
          <w:tcPr>
            <w:tcW w:w="1218" w:type="dxa"/>
            <w:gridSpan w:val="2"/>
            <w:vMerge w:val="continue"/>
            <w:noWrap w:val="0"/>
            <w:vAlign w:val="center"/>
          </w:tcPr>
          <w:p>
            <w:pPr>
              <w:overflowPunct w:val="0"/>
              <w:autoSpaceDE w:val="0"/>
              <w:autoSpaceDN w:val="0"/>
              <w:jc w:val="center"/>
              <w:rPr>
                <w:rFonts w:ascii="Times New Roman" w:hAnsi="Times New Roman" w:eastAsia="仿宋_GB2312"/>
                <w:color w:val="auto"/>
              </w:rPr>
            </w:pPr>
          </w:p>
        </w:tc>
        <w:tc>
          <w:tcPr>
            <w:tcW w:w="7596" w:type="dxa"/>
            <w:gridSpan w:val="17"/>
            <w:noWrap w:val="0"/>
            <w:vAlign w:val="center"/>
          </w:tcPr>
          <w:p>
            <w:pPr>
              <w:overflowPunct w:val="0"/>
              <w:autoSpaceDE w:val="0"/>
              <w:autoSpaceDN w:val="0"/>
              <w:textAlignment w:val="center"/>
              <w:rPr>
                <w:rFonts w:hint="eastAsia" w:ascii="仿宋_GB2312" w:hAnsi="Times New Roman" w:eastAsia="仿宋_GB2312"/>
                <w:color w:val="auto"/>
              </w:rPr>
            </w:pPr>
            <w:r>
              <w:rPr>
                <w:rFonts w:hint="eastAsia" w:eastAsia="宋体" w:cs="宋体"/>
                <w:color w:val="auto"/>
                <w:kern w:val="0"/>
                <w:sz w:val="21"/>
                <w:szCs w:val="21"/>
              </w:rPr>
              <w:t>■</w:t>
            </w:r>
            <w:r>
              <w:rPr>
                <w:rFonts w:hint="eastAsia" w:ascii="仿宋_GB2312" w:hAnsi="Times New Roman" w:eastAsia="仿宋_GB2312"/>
                <w:color w:val="auto"/>
                <w:kern w:val="0"/>
              </w:rPr>
              <w:t xml:space="preserve">疏散指示标志   </w:t>
            </w:r>
            <w:r>
              <w:rPr>
                <w:rFonts w:hint="eastAsia" w:eastAsia="宋体" w:cs="宋体"/>
                <w:color w:val="auto"/>
                <w:kern w:val="0"/>
                <w:sz w:val="21"/>
                <w:szCs w:val="21"/>
              </w:rPr>
              <w:t>■</w:t>
            </w:r>
            <w:r>
              <w:rPr>
                <w:rFonts w:hint="eastAsia" w:ascii="仿宋_GB2312" w:hAnsi="Times New Roman" w:eastAsia="仿宋_GB2312"/>
                <w:color w:val="auto"/>
                <w:kern w:val="0"/>
              </w:rPr>
              <w:t>消防应急照明    □防烟排烟系统      □消防电梯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4" w:hRule="atLeast"/>
          <w:jc w:val="center"/>
        </w:trPr>
        <w:tc>
          <w:tcPr>
            <w:tcW w:w="1218" w:type="dxa"/>
            <w:gridSpan w:val="2"/>
            <w:vMerge w:val="continue"/>
            <w:noWrap w:val="0"/>
            <w:vAlign w:val="center"/>
          </w:tcPr>
          <w:p>
            <w:pPr>
              <w:overflowPunct w:val="0"/>
              <w:autoSpaceDE w:val="0"/>
              <w:autoSpaceDN w:val="0"/>
              <w:jc w:val="center"/>
              <w:rPr>
                <w:rFonts w:ascii="Times New Roman" w:hAnsi="Times New Roman" w:eastAsia="仿宋_GB2312"/>
                <w:color w:val="auto"/>
              </w:rPr>
            </w:pPr>
          </w:p>
        </w:tc>
        <w:tc>
          <w:tcPr>
            <w:tcW w:w="7596" w:type="dxa"/>
            <w:gridSpan w:val="17"/>
            <w:noWrap w:val="0"/>
            <w:vAlign w:val="center"/>
          </w:tcPr>
          <w:p>
            <w:pPr>
              <w:overflowPunct w:val="0"/>
              <w:autoSpaceDE w:val="0"/>
              <w:autoSpaceDN w:val="0"/>
              <w:textAlignment w:val="center"/>
              <w:rPr>
                <w:rFonts w:hint="eastAsia" w:ascii="仿宋_GB2312" w:hAnsi="Times New Roman" w:eastAsia="仿宋_GB2312"/>
                <w:color w:val="auto"/>
              </w:rPr>
            </w:pPr>
            <w:r>
              <w:rPr>
                <w:rFonts w:hint="eastAsia" w:eastAsia="宋体" w:cs="宋体"/>
                <w:color w:val="auto"/>
                <w:kern w:val="0"/>
                <w:sz w:val="21"/>
                <w:szCs w:val="21"/>
              </w:rPr>
              <w:t>■</w:t>
            </w:r>
            <w:r>
              <w:rPr>
                <w:rFonts w:hint="eastAsia" w:ascii="仿宋_GB2312" w:hAnsi="Times New Roman" w:eastAsia="仿宋_GB2312"/>
                <w:color w:val="auto"/>
                <w:kern w:val="0"/>
              </w:rPr>
              <w:t>灭火器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26" w:hRule="atLeast"/>
          <w:jc w:val="center"/>
        </w:trPr>
        <w:tc>
          <w:tcPr>
            <w:tcW w:w="1218" w:type="dxa"/>
            <w:gridSpan w:val="2"/>
            <w:vMerge w:val="restart"/>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设计依据</w:t>
            </w:r>
          </w:p>
        </w:tc>
        <w:tc>
          <w:tcPr>
            <w:tcW w:w="1672" w:type="dxa"/>
            <w:gridSpan w:val="3"/>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建设工程规划许可文件</w:t>
            </w:r>
          </w:p>
        </w:tc>
        <w:tc>
          <w:tcPr>
            <w:tcW w:w="2277" w:type="dxa"/>
            <w:gridSpan w:val="5"/>
            <w:noWrap w:val="0"/>
            <w:vAlign w:val="center"/>
          </w:tcPr>
          <w:p>
            <w:pPr>
              <w:overflowPunct w:val="0"/>
              <w:autoSpaceDE w:val="0"/>
              <w:autoSpaceDN w:val="0"/>
              <w:jc w:val="center"/>
              <w:rPr>
                <w:rFonts w:ascii="Times New Roman" w:hAnsi="Times New Roman" w:eastAsia="仿宋_GB2312"/>
                <w:color w:val="auto"/>
              </w:rPr>
            </w:pPr>
          </w:p>
        </w:tc>
        <w:tc>
          <w:tcPr>
            <w:tcW w:w="1513" w:type="dxa"/>
            <w:gridSpan w:val="4"/>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临时性建筑</w:t>
            </w:r>
          </w:p>
          <w:p>
            <w:pPr>
              <w:overflowPunct w:val="0"/>
              <w:autoSpaceDE w:val="0"/>
              <w:autoSpaceDN w:val="0"/>
              <w:jc w:val="center"/>
              <w:textAlignment w:val="center"/>
              <w:rPr>
                <w:rFonts w:ascii="Times New Roman" w:hAnsi="Times New Roman" w:eastAsia="仿宋_GB2312"/>
                <w:color w:val="auto"/>
              </w:rPr>
            </w:pPr>
            <w:r>
              <w:rPr>
                <w:rFonts w:ascii="Times New Roman" w:hAnsi="Times New Roman" w:eastAsia="仿宋_GB2312"/>
                <w:color w:val="auto"/>
                <w:kern w:val="0"/>
              </w:rPr>
              <w:t>批准文件</w:t>
            </w:r>
          </w:p>
        </w:tc>
        <w:tc>
          <w:tcPr>
            <w:tcW w:w="2134" w:type="dxa"/>
            <w:gridSpan w:val="5"/>
            <w:noWrap w:val="0"/>
            <w:vAlign w:val="center"/>
          </w:tcPr>
          <w:p>
            <w:pPr>
              <w:overflowPunct w:val="0"/>
              <w:autoSpaceDE w:val="0"/>
              <w:autoSpaceDN w:val="0"/>
              <w:jc w:val="center"/>
              <w:rPr>
                <w:rFonts w:ascii="Times New Roman" w:hAnsi="Times New Roman" w:eastAsia="仿宋_GB2312"/>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26" w:hRule="atLeast"/>
          <w:jc w:val="center"/>
        </w:trPr>
        <w:tc>
          <w:tcPr>
            <w:tcW w:w="1218" w:type="dxa"/>
            <w:gridSpan w:val="2"/>
            <w:vMerge w:val="continue"/>
            <w:noWrap w:val="0"/>
            <w:vAlign w:val="center"/>
          </w:tcPr>
          <w:p>
            <w:pPr>
              <w:overflowPunct w:val="0"/>
              <w:autoSpaceDE w:val="0"/>
              <w:autoSpaceDN w:val="0"/>
              <w:rPr>
                <w:rFonts w:ascii="Times New Roman" w:hAnsi="Times New Roman" w:eastAsia="仿宋_GB2312"/>
                <w:color w:val="auto"/>
              </w:rPr>
            </w:pPr>
          </w:p>
        </w:tc>
        <w:tc>
          <w:tcPr>
            <w:tcW w:w="1672" w:type="dxa"/>
            <w:gridSpan w:val="3"/>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设计文件执行的主要法律法规</w:t>
            </w:r>
          </w:p>
        </w:tc>
        <w:tc>
          <w:tcPr>
            <w:tcW w:w="5924" w:type="dxa"/>
            <w:gridSpan w:val="14"/>
            <w:noWrap w:val="0"/>
            <w:vAlign w:val="center"/>
          </w:tcPr>
          <w:p>
            <w:pPr>
              <w:overflowPunct w:val="0"/>
              <w:autoSpaceDE w:val="0"/>
              <w:autoSpaceDN w:val="0"/>
              <w:textAlignment w:val="center"/>
              <w:rPr>
                <w:rFonts w:ascii="Times New Roman" w:hAnsi="Times New Roman" w:eastAsia="仿宋_GB2312"/>
                <w:color w:val="auto"/>
              </w:rPr>
            </w:pPr>
            <w:r>
              <w:rPr>
                <w:rFonts w:hint="eastAsia" w:ascii="Times New Roman" w:hAnsi="Times New Roman" w:eastAsia="仿宋_GB2312" w:cs="Times New Roman"/>
                <w:color w:val="auto"/>
                <w:kern w:val="0"/>
                <w:lang w:eastAsia="zh-CN"/>
              </w:rPr>
              <w:t>《民用建筑通用规范》（GB55031-2022）、《建筑设计防火规范》GB50016-2014(2018年版)、《民用建筑设计</w:t>
            </w:r>
            <w:r>
              <w:rPr>
                <w:rFonts w:hint="eastAsia" w:ascii="Times New Roman" w:hAnsi="Times New Roman" w:eastAsia="仿宋_GB2312" w:cs="Times New Roman"/>
                <w:color w:val="auto"/>
                <w:kern w:val="0"/>
                <w:lang w:val="en-US" w:eastAsia="zh-CN"/>
              </w:rPr>
              <w:t>统一标准</w:t>
            </w:r>
            <w:r>
              <w:rPr>
                <w:rFonts w:hint="eastAsia" w:ascii="Times New Roman" w:hAnsi="Times New Roman" w:eastAsia="仿宋_GB2312" w:cs="Times New Roman"/>
                <w:color w:val="auto"/>
                <w:kern w:val="0"/>
                <w:lang w:eastAsia="zh-CN"/>
              </w:rPr>
              <w:t>》GB50352-20</w:t>
            </w:r>
            <w:r>
              <w:rPr>
                <w:rFonts w:hint="eastAsia" w:ascii="Times New Roman" w:hAnsi="Times New Roman" w:eastAsia="仿宋_GB2312" w:cs="Times New Roman"/>
                <w:color w:val="auto"/>
                <w:kern w:val="0"/>
                <w:lang w:val="en-US" w:eastAsia="zh-CN"/>
              </w:rPr>
              <w:t>19</w:t>
            </w:r>
            <w:r>
              <w:rPr>
                <w:rFonts w:hint="eastAsia" w:ascii="Times New Roman" w:hAnsi="Times New Roman" w:eastAsia="仿宋_GB2312" w:cs="Times New Roman"/>
                <w:color w:val="auto"/>
                <w:kern w:val="0"/>
                <w:lang w:eastAsia="zh-CN"/>
              </w:rPr>
              <w:t>、《建筑内部装修设计防火规范》GB50222-2017、《</w:t>
            </w:r>
            <w:r>
              <w:rPr>
                <w:rFonts w:hint="eastAsia" w:ascii="Times New Roman" w:hAnsi="Times New Roman" w:eastAsia="仿宋_GB2312" w:cs="Times New Roman"/>
                <w:color w:val="auto"/>
                <w:kern w:val="0"/>
                <w:lang w:val="en-US" w:eastAsia="zh-CN"/>
              </w:rPr>
              <w:t>民用建筑热工设计规范</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GB50176-2016、</w:t>
            </w:r>
            <w:r>
              <w:rPr>
                <w:rFonts w:hint="eastAsia" w:ascii="Times New Roman" w:hAnsi="Times New Roman" w:eastAsia="仿宋_GB2312" w:cs="Times New Roman"/>
                <w:color w:val="auto"/>
                <w:kern w:val="0"/>
                <w:lang w:eastAsia="zh-CN"/>
              </w:rPr>
              <w:t>《民用建筑工程室内环境污染控制规范》GB50325-20</w:t>
            </w:r>
            <w:r>
              <w:rPr>
                <w:rFonts w:hint="eastAsia" w:ascii="Times New Roman" w:hAnsi="Times New Roman" w:eastAsia="仿宋_GB2312" w:cs="Times New Roman"/>
                <w:color w:val="auto"/>
                <w:kern w:val="0"/>
                <w:lang w:val="en-US" w:eastAsia="zh-CN"/>
              </w:rPr>
              <w:t>20</w:t>
            </w:r>
            <w:r>
              <w:rPr>
                <w:rFonts w:hint="eastAsia" w:ascii="Times New Roman" w:hAnsi="Times New Roman" w:eastAsia="仿宋_GB2312" w:cs="Times New Roman"/>
                <w:color w:val="auto"/>
                <w:kern w:val="0"/>
                <w:lang w:eastAsia="zh-CN"/>
              </w:rPr>
              <w:t>、《公共建筑节能设计标准》（GB 50189-2015 ）、《建筑防火通用规范》（GB55037-2022）、《</w:t>
            </w:r>
            <w:r>
              <w:rPr>
                <w:rFonts w:hint="eastAsia" w:ascii="Times New Roman" w:hAnsi="Times New Roman" w:eastAsia="仿宋_GB2312" w:cs="Times New Roman"/>
                <w:color w:val="auto"/>
                <w:kern w:val="0"/>
                <w:lang w:val="en-US" w:eastAsia="zh-CN"/>
              </w:rPr>
              <w:t>建筑防护栏杆技术标准</w:t>
            </w:r>
            <w:r>
              <w:rPr>
                <w:rFonts w:hint="eastAsia" w:ascii="Times New Roman" w:hAnsi="Times New Roman" w:eastAsia="仿宋_GB2312" w:cs="Times New Roman"/>
                <w:color w:val="auto"/>
                <w:kern w:val="0"/>
                <w:lang w:eastAsia="zh-CN"/>
              </w:rPr>
              <w:t xml:space="preserve">》（JGJ </w:t>
            </w:r>
            <w:r>
              <w:rPr>
                <w:rFonts w:hint="eastAsia" w:ascii="Times New Roman" w:hAnsi="Times New Roman" w:eastAsia="仿宋_GB2312" w:cs="Times New Roman"/>
                <w:color w:val="auto"/>
                <w:kern w:val="0"/>
                <w:lang w:val="en-US" w:eastAsia="zh-CN"/>
              </w:rPr>
              <w:t>/T470</w:t>
            </w:r>
            <w:r>
              <w:rPr>
                <w:rFonts w:hint="eastAsia" w:ascii="Times New Roman" w:hAnsi="Times New Roman" w:eastAsia="仿宋_GB2312" w:cs="Times New Roman"/>
                <w:color w:val="auto"/>
                <w:kern w:val="0"/>
                <w:lang w:eastAsia="zh-CN"/>
              </w:rPr>
              <w:t>-201</w:t>
            </w:r>
            <w:r>
              <w:rPr>
                <w:rFonts w:hint="eastAsia" w:ascii="Times New Roman" w:hAnsi="Times New Roman" w:eastAsia="仿宋_GB2312" w:cs="Times New Roman"/>
                <w:color w:val="auto"/>
                <w:kern w:val="0"/>
                <w:lang w:val="en-US" w:eastAsia="zh-CN"/>
              </w:rPr>
              <w:t>9</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消防应急照明和疏散指示系统标准</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GB51309-2018、</w:t>
            </w:r>
            <w:r>
              <w:rPr>
                <w:rFonts w:hint="eastAsia" w:ascii="Times New Roman" w:hAnsi="Times New Roman" w:eastAsia="仿宋_GB2312" w:cs="Times New Roman"/>
                <w:color w:val="auto"/>
                <w:kern w:val="0"/>
                <w:lang w:eastAsia="zh-CN"/>
              </w:rPr>
              <w:t>《消防给水及消火栓系统技术规范》（GB50974-2014）、等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26" w:hRule="atLeast"/>
          <w:jc w:val="center"/>
        </w:trPr>
        <w:tc>
          <w:tcPr>
            <w:tcW w:w="1218" w:type="dxa"/>
            <w:gridSpan w:val="2"/>
            <w:vMerge w:val="continue"/>
            <w:noWrap w:val="0"/>
            <w:vAlign w:val="center"/>
          </w:tcPr>
          <w:p>
            <w:pPr>
              <w:overflowPunct w:val="0"/>
              <w:autoSpaceDE w:val="0"/>
              <w:autoSpaceDN w:val="0"/>
              <w:rPr>
                <w:rFonts w:ascii="Times New Roman" w:hAnsi="Times New Roman" w:eastAsia="仿宋_GB2312"/>
                <w:color w:val="auto"/>
              </w:rPr>
            </w:pPr>
          </w:p>
        </w:tc>
        <w:tc>
          <w:tcPr>
            <w:tcW w:w="1672" w:type="dxa"/>
            <w:gridSpan w:val="3"/>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建设单位需求</w:t>
            </w:r>
          </w:p>
        </w:tc>
        <w:tc>
          <w:tcPr>
            <w:tcW w:w="5924" w:type="dxa"/>
            <w:gridSpan w:val="14"/>
            <w:noWrap w:val="0"/>
            <w:vAlign w:val="center"/>
          </w:tcPr>
          <w:p>
            <w:pPr>
              <w:overflowPunct w:val="0"/>
              <w:autoSpaceDE w:val="0"/>
              <w:autoSpaceDN w:val="0"/>
              <w:textAlignment w:val="center"/>
              <w:rPr>
                <w:rFonts w:ascii="Times New Roman" w:hAnsi="Times New Roman" w:eastAsia="仿宋_GB2312"/>
                <w:color w:val="auto"/>
              </w:rPr>
            </w:pPr>
            <w:r>
              <w:rPr>
                <w:rFonts w:hint="eastAsia" w:ascii="Times New Roman" w:hAnsi="Times New Roman" w:eastAsia="仿宋_GB2312" w:cs="Times New Roman"/>
                <w:color w:val="auto"/>
                <w:kern w:val="0"/>
                <w:lang w:eastAsia="zh-CN"/>
              </w:rPr>
              <w:t>满足各功能空间需求，造型美观，节能环保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79" w:hRule="atLeast"/>
          <w:jc w:val="center"/>
        </w:trPr>
        <w:tc>
          <w:tcPr>
            <w:tcW w:w="2890" w:type="dxa"/>
            <w:gridSpan w:val="5"/>
            <w:noWrap w:val="0"/>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eastAsia="zh-CN"/>
              </w:rPr>
              <w:t>消防技术标准强制性条文执行情况说明</w:t>
            </w:r>
          </w:p>
        </w:tc>
        <w:tc>
          <w:tcPr>
            <w:tcW w:w="5924" w:type="dxa"/>
            <w:gridSpan w:val="14"/>
            <w:noWrap/>
            <w:vAlign w:val="center"/>
          </w:tcPr>
          <w:p>
            <w:pPr>
              <w:overflowPunct w:val="0"/>
              <w:autoSpaceDE w:val="0"/>
              <w:autoSpaceDN w:val="0"/>
              <w:textAlignment w:val="center"/>
              <w:rPr>
                <w:rFonts w:hint="default" w:ascii="Times New Roman" w:hAnsi="Times New Roman" w:eastAsia="仿宋_GB2312" w:cs="Times New Roman"/>
                <w:b/>
                <w:bCs/>
                <w:color w:val="auto"/>
                <w:kern w:val="0"/>
                <w:lang w:val="en-US" w:eastAsia="zh-CN"/>
              </w:rPr>
            </w:pPr>
            <w:r>
              <w:rPr>
                <w:rFonts w:hint="eastAsia" w:ascii="Times New Roman" w:hAnsi="Times New Roman" w:eastAsia="仿宋_GB2312" w:cs="Times New Roman"/>
                <w:b/>
                <w:bCs/>
                <w:color w:val="auto"/>
                <w:kern w:val="0"/>
                <w:lang w:val="en-US" w:eastAsia="zh-CN"/>
              </w:rPr>
              <w:t>无</w:t>
            </w:r>
          </w:p>
          <w:p>
            <w:pPr>
              <w:overflowPunct w:val="0"/>
              <w:autoSpaceDE w:val="0"/>
              <w:autoSpaceDN w:val="0"/>
              <w:textAlignment w:val="center"/>
              <w:rPr>
                <w:rFonts w:hint="default" w:ascii="Times New Roman" w:hAnsi="Times New Roman" w:eastAsia="仿宋_GB2312" w:cs="Times New Roman"/>
                <w:b/>
                <w:bCs/>
                <w:color w:val="auto"/>
                <w:kern w:val="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47" w:hRule="atLeast"/>
          <w:jc w:val="center"/>
        </w:trPr>
        <w:tc>
          <w:tcPr>
            <w:tcW w:w="2890" w:type="dxa"/>
            <w:gridSpan w:val="5"/>
            <w:noWrap w:val="0"/>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带有“严禁”、“必须”、“应”、“不应”、“不得”要求的非强制性条文的情况说明</w:t>
            </w:r>
          </w:p>
        </w:tc>
        <w:tc>
          <w:tcPr>
            <w:tcW w:w="5924" w:type="dxa"/>
            <w:gridSpan w:val="14"/>
            <w:noWrap/>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eastAsia="zh-CN"/>
              </w:rPr>
              <w:t>本工程室内装修材料符合《建筑内部装修设计防火规范》 GB50222-2017中强制性条文的规定。1、所有管道井及电缆井内壁均用20厚水泥砂浆随砌随抹光，保证管道井密实，内侧平整，底部垃圾清理干净。管道井及电缆井在每层的楼板处用相当于楼板耐火极限的不燃体作防火分隔或楼板后浇。</w:t>
            </w:r>
          </w:p>
          <w:p>
            <w:pPr>
              <w:overflowPunct w:val="0"/>
              <w:autoSpaceDE w:val="0"/>
              <w:autoSpaceDN w:val="0"/>
              <w:jc w:val="center"/>
              <w:rPr>
                <w:rFonts w:ascii="Times New Roman" w:hAnsi="Times New Roman" w:eastAsia="仿宋_GB2312"/>
                <w:color w:val="auto"/>
              </w:rPr>
            </w:pPr>
            <w:r>
              <w:rPr>
                <w:rFonts w:hint="eastAsia" w:ascii="Times New Roman" w:hAnsi="Times New Roman" w:eastAsia="仿宋_GB2312" w:cs="Times New Roman"/>
                <w:color w:val="auto"/>
                <w:kern w:val="0"/>
                <w:lang w:eastAsia="zh-CN"/>
              </w:rPr>
              <w:t>2、设备管道穿墙预留的孔洞待安装完毕后，应堵严后再做面层装修，其空隙用不燃体紧密填塞。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9" w:hRule="atLeast"/>
          <w:jc w:val="center"/>
        </w:trPr>
        <w:tc>
          <w:tcPr>
            <w:tcW w:w="2890" w:type="dxa"/>
            <w:gridSpan w:val="5"/>
            <w:noWrap w:val="0"/>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eastAsia="zh-CN"/>
              </w:rPr>
              <w:t>其他情况说明</w:t>
            </w:r>
          </w:p>
        </w:tc>
        <w:tc>
          <w:tcPr>
            <w:tcW w:w="5924" w:type="dxa"/>
            <w:gridSpan w:val="14"/>
            <w:noWrap/>
            <w:vAlign w:val="center"/>
          </w:tcPr>
          <w:p>
            <w:pPr>
              <w:overflowPunct w:val="0"/>
              <w:autoSpaceDE w:val="0"/>
              <w:autoSpaceDN w:val="0"/>
              <w:textAlignment w:val="center"/>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4" w:hRule="atLeast"/>
          <w:jc w:val="center"/>
        </w:trPr>
        <w:tc>
          <w:tcPr>
            <w:tcW w:w="2890" w:type="dxa"/>
            <w:gridSpan w:val="5"/>
            <w:noWrap w:val="0"/>
            <w:vAlign w:val="center"/>
          </w:tcPr>
          <w:p>
            <w:pPr>
              <w:overflowPunct w:val="0"/>
              <w:autoSpaceDE w:val="0"/>
              <w:autoSpaceDN w:val="0"/>
              <w:jc w:val="center"/>
              <w:rPr>
                <w:rFonts w:ascii="Times New Roman" w:hAnsi="Times New Roman" w:eastAsia="仿宋_GB2312"/>
                <w:color w:val="auto"/>
                <w:kern w:val="0"/>
              </w:rPr>
            </w:pPr>
            <w:r>
              <w:rPr>
                <w:rFonts w:ascii="Times New Roman" w:hAnsi="Times New Roman" w:eastAsia="仿宋_GB2312"/>
                <w:color w:val="auto"/>
                <w:kern w:val="0"/>
              </w:rPr>
              <w:t>子项类别</w:t>
            </w:r>
          </w:p>
        </w:tc>
        <w:tc>
          <w:tcPr>
            <w:tcW w:w="4664" w:type="dxa"/>
            <w:gridSpan w:val="11"/>
            <w:noWrap/>
            <w:vAlign w:val="center"/>
          </w:tcPr>
          <w:p>
            <w:pPr>
              <w:overflowPunct w:val="0"/>
              <w:autoSpaceDE w:val="0"/>
              <w:autoSpaceDN w:val="0"/>
              <w:jc w:val="center"/>
              <w:rPr>
                <w:rFonts w:ascii="Times New Roman" w:hAnsi="Times New Roman" w:eastAsia="仿宋_GB2312"/>
                <w:color w:val="auto"/>
              </w:rPr>
            </w:pPr>
            <w:r>
              <w:rPr>
                <w:rFonts w:ascii="Times New Roman" w:hAnsi="Times New Roman" w:eastAsia="仿宋_GB2312"/>
                <w:color w:val="auto"/>
                <w:kern w:val="0"/>
              </w:rPr>
              <w:t>情况简述</w:t>
            </w:r>
          </w:p>
        </w:tc>
        <w:tc>
          <w:tcPr>
            <w:tcW w:w="1260" w:type="dxa"/>
            <w:gridSpan w:val="3"/>
            <w:noWrap w:val="0"/>
            <w:vAlign w:val="center"/>
          </w:tcPr>
          <w:p>
            <w:pPr>
              <w:overflowPunct w:val="0"/>
              <w:autoSpaceDE w:val="0"/>
              <w:autoSpaceDN w:val="0"/>
              <w:jc w:val="center"/>
              <w:rPr>
                <w:rFonts w:ascii="Times New Roman" w:hAnsi="Times New Roman" w:eastAsia="仿宋_GB2312"/>
                <w:color w:val="auto"/>
              </w:rPr>
            </w:pPr>
            <w:r>
              <w:rPr>
                <w:rFonts w:ascii="Times New Roman" w:hAnsi="Times New Roman" w:eastAsia="仿宋_GB2312"/>
                <w:color w:val="auto"/>
              </w:rPr>
              <w:t>图纸编号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总平面图</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工程批准的规划许可技术条件</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lang w:eastAsia="zh-CN"/>
              </w:rPr>
              <w:t>本建设工程符合城乡规划要求</w:t>
            </w:r>
          </w:p>
        </w:tc>
        <w:tc>
          <w:tcPr>
            <w:tcW w:w="1260" w:type="dxa"/>
            <w:gridSpan w:val="3"/>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s="Times New Roman"/>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场地所在地的名称及城市中的位置</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s="Times New Roman"/>
                <w:color w:val="auto"/>
                <w:kern w:val="0"/>
                <w:lang w:eastAsia="zh-CN"/>
              </w:rPr>
              <w:t>本项目位于湖北省</w:t>
            </w:r>
            <w:r>
              <w:rPr>
                <w:rFonts w:hint="eastAsia" w:ascii="Times New Roman" w:hAnsi="Times New Roman" w:eastAsia="仿宋_GB2312" w:cs="Times New Roman"/>
                <w:color w:val="auto"/>
                <w:kern w:val="0"/>
                <w:lang w:val="en-US" w:eastAsia="zh-CN"/>
              </w:rPr>
              <w:t>黄石市</w:t>
            </w:r>
          </w:p>
        </w:tc>
        <w:tc>
          <w:tcPr>
            <w:tcW w:w="1260" w:type="dxa"/>
            <w:gridSpan w:val="3"/>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s="Times New Roman"/>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场地内原有建筑物保留、拆除的情况</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eastAsia="zh-CN"/>
              </w:rPr>
              <w:t>场地内无原有建筑保留、拆除情况</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7"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建筑物满足防火间距情况</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eastAsia="zh-CN"/>
              </w:rPr>
              <w:t xml:space="preserve"> </w:t>
            </w:r>
            <w:r>
              <w:rPr>
                <w:rFonts w:hint="eastAsia" w:ascii="Times New Roman" w:hAnsi="Times New Roman" w:eastAsia="仿宋_GB2312"/>
                <w:color w:val="auto"/>
                <w:kern w:val="0"/>
                <w:lang w:val="en-US" w:eastAsia="zh-CN"/>
              </w:rPr>
              <w:t>本机建筑与周边的其它建筑物的防火间距均符合防火规范的要求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3"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功能分区</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1#厂房为丙类生产厂房</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8"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竖向布置方式</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本项目基地基本平坦。</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人流和车流的组织、出入口、停车场（库）的布置及停车数量</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本项目在宝成南路设有一个12米机动车出入口，在塘挽大道设有一个5米机动车出入口，沿建筑物均设有消防车道。</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rPr>
              <w:t>消防车道及高层建筑消防车登高操作场地、对应安全出口及救援窗的布置</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olor w:val="auto"/>
                <w:lang w:val="en-US" w:eastAsia="zh-CN"/>
              </w:rPr>
              <w:t>本工程室外延建筑物设置环形消防车道，建筑每层都设有间距不大于20米的消防救援窗。</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道路主要的设计技术条件</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rPr>
            </w:pPr>
            <w:r>
              <w:rPr>
                <w:rFonts w:hint="eastAsia" w:ascii="Times New Roman" w:hAnsi="Times New Roman" w:eastAsia="仿宋_GB2312"/>
                <w:color w:val="auto"/>
                <w:kern w:val="0"/>
                <w:lang w:eastAsia="zh-CN"/>
              </w:rPr>
              <w:t>消防车道宽度不小于</w:t>
            </w:r>
            <w:r>
              <w:rPr>
                <w:rFonts w:hint="eastAsia" w:ascii="Times New Roman" w:hAnsi="Times New Roman" w:eastAsia="仿宋_GB2312"/>
                <w:color w:val="auto"/>
                <w:kern w:val="0"/>
                <w:lang w:val="en-US" w:eastAsia="zh-CN"/>
              </w:rPr>
              <w:t>4m，坡道不大于8%，场地坡度不大于3%，荷载满足消防车要求。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总平面图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61" w:hRule="atLeast"/>
          <w:jc w:val="center"/>
        </w:trPr>
        <w:tc>
          <w:tcPr>
            <w:tcW w:w="545" w:type="dxa"/>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平面布置</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安全出口、疏散走道、疏散楼梯的宽度计算</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1#厂房为多层厂房，耐火等级为二级，根据</w:t>
            </w:r>
            <w:r>
              <w:rPr>
                <w:rFonts w:hint="eastAsia" w:ascii="Times New Roman" w:hAnsi="Times New Roman" w:eastAsia="仿宋_GB2312" w:cs="Times New Roman"/>
                <w:color w:val="auto"/>
                <w:kern w:val="0"/>
                <w:lang w:eastAsia="zh-CN"/>
              </w:rPr>
              <w:t>《建筑设计防火规范》GB50016-2014(2018年版)</w:t>
            </w:r>
            <w:r>
              <w:rPr>
                <w:rFonts w:hint="eastAsia" w:ascii="Times New Roman" w:hAnsi="Times New Roman" w:eastAsia="仿宋_GB2312" w:cs="Times New Roman"/>
                <w:color w:val="auto"/>
                <w:kern w:val="0"/>
                <w:lang w:val="en-US" w:eastAsia="zh-CN"/>
              </w:rPr>
              <w:t>第3.3.1条规定</w:t>
            </w:r>
            <w:r>
              <w:rPr>
                <w:rFonts w:hint="eastAsia" w:ascii="Times New Roman" w:hAnsi="Times New Roman" w:eastAsia="仿宋_GB2312" w:cs="Times New Roman"/>
                <w:color w:val="auto"/>
                <w:kern w:val="0"/>
                <w:lang w:eastAsia="zh-CN"/>
              </w:rPr>
              <w:t>，</w:t>
            </w:r>
            <w:r>
              <w:rPr>
                <w:rFonts w:hint="eastAsia" w:ascii="Times New Roman" w:hAnsi="Times New Roman" w:eastAsia="仿宋_GB2312" w:cs="Times New Roman"/>
                <w:color w:val="auto"/>
                <w:kern w:val="0"/>
                <w:lang w:val="en-US" w:eastAsia="zh-CN"/>
              </w:rPr>
              <w:t>其防火分区面积不大于4000㎡，厂房内任一点至最近安全出口的直线距离＜60米，</w:t>
            </w:r>
            <w:r>
              <w:rPr>
                <w:rFonts w:hint="eastAsia" w:ascii="Times New Roman" w:hAnsi="Times New Roman" w:eastAsia="仿宋_GB2312"/>
                <w:color w:val="auto"/>
                <w:kern w:val="0"/>
                <w:lang w:val="en-US" w:eastAsia="zh-CN"/>
              </w:rPr>
              <w:t>每层设有两部疏散楼梯，疏散距离及疏散宽度均满足规范要求。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6" w:hRule="atLeast"/>
          <w:jc w:val="center"/>
        </w:trPr>
        <w:tc>
          <w:tcPr>
            <w:tcW w:w="545" w:type="dxa"/>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建筑</w:t>
            </w:r>
          </w:p>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和</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结构</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项目设计规模等级</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val="en-US" w:eastAsia="zh-CN"/>
              </w:rPr>
              <w:t>小</w:t>
            </w:r>
            <w:r>
              <w:rPr>
                <w:rFonts w:hint="eastAsia" w:ascii="Times New Roman" w:hAnsi="Times New Roman" w:eastAsia="仿宋_GB2312"/>
                <w:color w:val="auto"/>
                <w:kern w:val="0"/>
                <w:lang w:eastAsia="zh-CN"/>
              </w:rPr>
              <w:t>型</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6"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建筑面积</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1#厂房总建筑面积：10531.83平方米</w:t>
            </w:r>
            <w:r>
              <w:rPr>
                <w:rFonts w:hint="eastAsia" w:ascii="Times New Roman" w:hAnsi="Times New Roman" w:eastAsia="仿宋_GB2312"/>
                <w:color w:val="auto"/>
                <w:kern w:val="0"/>
                <w:lang w:eastAsia="zh-CN"/>
              </w:rPr>
              <w:t>；</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6"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建筑层数和建筑高度</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val="en-US" w:eastAsia="zh-CN"/>
              </w:rPr>
              <w:t>1#厂房建筑层数为3层，建筑高度为17.85米；</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主要结构类型</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均为框架结构</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各子项结构设计总说明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建筑结构安全等级</w:t>
            </w:r>
          </w:p>
        </w:tc>
        <w:tc>
          <w:tcPr>
            <w:tcW w:w="4664" w:type="dxa"/>
            <w:gridSpan w:val="11"/>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二级</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各子项结构设计总说明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建筑防火分类和耐火等级</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二级</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安全疏散设施</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1#厂房每层设有两部疏散楼梯，所有疏散出口、疏散距离均满足《建筑设计防火规范》 GB 50016-2014</w:t>
            </w:r>
            <w:r>
              <w:rPr>
                <w:rFonts w:hint="eastAsia" w:ascii="Times New Roman" w:hAnsi="Times New Roman" w:eastAsia="仿宋_GB2312" w:cs="Times New Roman"/>
                <w:color w:val="auto"/>
                <w:kern w:val="0"/>
                <w:lang w:eastAsia="zh-CN"/>
              </w:rPr>
              <w:t>(2018年版)</w:t>
            </w:r>
            <w:r>
              <w:rPr>
                <w:rFonts w:hint="eastAsia" w:ascii="Times New Roman" w:hAnsi="Times New Roman" w:eastAsia="仿宋_GB2312"/>
                <w:color w:val="auto"/>
                <w:kern w:val="0"/>
                <w:lang w:val="en-US" w:eastAsia="zh-CN"/>
              </w:rPr>
              <w:t>的要求。</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灭火救援条件</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lang w:val="en-US" w:eastAsia="zh-CN"/>
              </w:rPr>
              <w:t>消火栓。</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门窗防火性能</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s="Times New Roman"/>
                <w:color w:val="auto"/>
                <w:kern w:val="0"/>
                <w:lang w:val="en-US" w:eastAsia="zh-CN"/>
              </w:rPr>
              <w:t>本项目门窗防火性能满足规范要求，门窗玻璃的选用应该遵照《建筑玻璃应用技术规程》JGJ113-2015 、《建筑安全玻璃管理规定》（发改运行号[2003]2116）及地方主管部门的有关规定。</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用料说明</w:t>
            </w:r>
          </w:p>
        </w:tc>
        <w:tc>
          <w:tcPr>
            <w:tcW w:w="4664" w:type="dxa"/>
            <w:gridSpan w:val="11"/>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lang w:val="en-US" w:eastAsia="zh-CN"/>
              </w:rPr>
              <w:t>外门窗：所有外门及窗除注明外均选用断热铝合金门窗，门窗洞口尺寸、樘数详门窗表，参照塑钢立面分格图。采用高档塑钢框料、中空玻璃，用料系列由制作安装企业经计算确定； 塑钢门窗均为明框形式制作及安装，其制作、安装均应达到国家标准。所有平开门均装门轧头，所有外门窗开启扇均应预留纱窗轨道。住宅应采取防止外窗、外墙装饰及其他附属设施等坠落或坠落伤人的措施；推拉窗应有自锁装置，有效防止外窗玻璃坠落伤人。</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before="31" w:beforeLines="10" w:after="31" w:afterLines="10"/>
              <w:textAlignment w:val="center"/>
              <w:rPr>
                <w:rFonts w:ascii="Times New Roman" w:hAnsi="Times New Roman" w:eastAsia="仿宋_GB2312"/>
                <w:color w:val="auto"/>
              </w:rPr>
            </w:pPr>
            <w:r>
              <w:rPr>
                <w:rFonts w:ascii="Times New Roman" w:hAnsi="Times New Roman" w:eastAsia="仿宋_GB2312"/>
                <w:color w:val="auto"/>
                <w:kern w:val="0"/>
              </w:rPr>
              <w:t>室内外装修，幕墙工程及特殊屋面工程的防火技术要求</w:t>
            </w:r>
          </w:p>
        </w:tc>
        <w:tc>
          <w:tcPr>
            <w:tcW w:w="4664" w:type="dxa"/>
            <w:gridSpan w:val="11"/>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lang w:val="en-US" w:eastAsia="zh-CN"/>
              </w:rPr>
              <w:t>本工程室内装修材料符合《建筑内部装修设计防火规范》（GB 50222-2017）中强制性条文的规定。建筑物内的建筑缝隙必须采用防火封堵材料封堵。建筑缝隙防火封堵应根据防火分隔构件类型、缝隙位置、缝隙伸缩率、缝隙宽度和深度以及环境温度、湿度条件、防水等具体情况，选用相适应的防火封堵材料。电缆井、管道井、排烟道、排气道、垃圾道等竖向井道,应分别独立设置耐火极限不应低于1.00h,井壁上的检查门应采用丙级防火门。楼梯间内不应设置甲乙丙类液体管道。</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建筑设计防火设计说明</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建筑构造防火设计：</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1、所有管道井及电缆井内壁均用20厚水泥砂浆随砌随抹光，保证管道井密实，内侧平整，底部垃圾清理干净。管道井及电缆井在每层的楼板处用相当于楼板耐火极限的不燃体作防火分隔或楼板后浇。</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2、设备管道穿墙预留的孔洞待安装完毕后，应堵严后再做面层装修，其空隙用不燃体紧密填塞。防火建筑构造</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1) 管井内每层在楼板处均采用不低于同层楼面耐火等级的不燃烧体材料封堵；</w:t>
            </w:r>
          </w:p>
          <w:p>
            <w:pPr>
              <w:overflowPunct w:val="0"/>
              <w:autoSpaceDE w:val="0"/>
              <w:autoSpaceDN w:val="0"/>
              <w:jc w:val="left"/>
              <w:textAlignment w:val="center"/>
              <w:rPr>
                <w:rFonts w:hint="eastAsia" w:ascii="Times New Roman" w:hAnsi="Times New Roman" w:eastAsia="仿宋_GB2312" w:cs="Times New Roman"/>
                <w:color w:val="auto"/>
                <w:kern w:val="0"/>
                <w:lang w:val="en-US" w:eastAsia="zh-CN"/>
              </w:rPr>
            </w:pPr>
            <w:r>
              <w:rPr>
                <w:rFonts w:hint="eastAsia" w:ascii="Times New Roman" w:hAnsi="Times New Roman" w:eastAsia="仿宋_GB2312" w:cs="Times New Roman"/>
                <w:color w:val="auto"/>
                <w:kern w:val="0"/>
                <w:lang w:val="en-US" w:eastAsia="zh-CN"/>
              </w:rPr>
              <w:t>2) 防火墙、走道、楼梯间的防火门应具有自行关闭的功能。常开的防火门,当火灾发生时,应具有自行关闭和信号反馈的功能;防火门关闭后应能从任何一侧手动开启,双扇防火门还应具有按顺序关闭的功能。</w:t>
            </w:r>
          </w:p>
          <w:p>
            <w:pPr>
              <w:overflowPunct w:val="0"/>
              <w:autoSpaceDE w:val="0"/>
              <w:autoSpaceDN w:val="0"/>
              <w:jc w:val="left"/>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lang w:val="en-US" w:eastAsia="zh-CN"/>
              </w:rPr>
              <w:t>3) 防火卷帘应安装在建筑的承重构件上，卷帘上部如不到顶，上部空间应用耐火极限与墙体相同的防火材料封闭。</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各子项建筑设计总说明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建筑电气</w:t>
            </w: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消防电源</w:t>
            </w:r>
          </w:p>
        </w:tc>
        <w:tc>
          <w:tcPr>
            <w:tcW w:w="4664" w:type="dxa"/>
            <w:gridSpan w:val="11"/>
            <w:noWrap w:val="0"/>
            <w:vAlign w:val="center"/>
          </w:tcPr>
          <w:p>
            <w:pPr>
              <w:overflowPunct w:val="0"/>
              <w:autoSpaceDE w:val="0"/>
              <w:autoSpaceDN w:val="0"/>
              <w:jc w:val="left"/>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rPr>
              <w:t>本建筑室外消防用水量为40L／s，消防负荷为二级负荷，其他负荷均为三级负荷。电源由城市电网引入</w:t>
            </w:r>
            <w:r>
              <w:rPr>
                <w:rFonts w:hint="eastAsia" w:ascii="Times New Roman" w:hAnsi="Times New Roman" w:eastAsia="仿宋_GB2312"/>
                <w:color w:val="auto"/>
                <w:kern w:val="0"/>
                <w:lang w:val="en-US" w:eastAsia="zh-CN"/>
              </w:rPr>
              <w:t>一路</w:t>
            </w:r>
            <w:r>
              <w:rPr>
                <w:rFonts w:hint="eastAsia" w:ascii="Times New Roman" w:hAnsi="Times New Roman" w:eastAsia="仿宋_GB2312"/>
                <w:color w:val="auto"/>
                <w:kern w:val="0"/>
              </w:rPr>
              <w:t>10KV电源至配电房高压开关柜内</w:t>
            </w:r>
            <w:r>
              <w:rPr>
                <w:rFonts w:hint="eastAsia" w:ascii="Times New Roman" w:hAnsi="Times New Roman" w:eastAsia="仿宋_GB2312"/>
                <w:color w:val="auto"/>
                <w:kern w:val="0"/>
                <w:lang w:eastAsia="zh-CN"/>
              </w:rPr>
              <w:t>。</w:t>
            </w:r>
            <w:r>
              <w:rPr>
                <w:rFonts w:hint="eastAsia" w:ascii="Times New Roman" w:hAnsi="Times New Roman" w:eastAsia="仿宋_GB2312"/>
                <w:color w:val="auto"/>
                <w:kern w:val="0"/>
                <w:lang w:val="en-US" w:eastAsia="zh-CN"/>
              </w:rPr>
              <w:t>新建</w:t>
            </w:r>
            <w:r>
              <w:rPr>
                <w:rFonts w:hint="eastAsia" w:ascii="Times New Roman" w:hAnsi="Times New Roman" w:eastAsia="仿宋_GB2312"/>
                <w:color w:val="auto"/>
                <w:kern w:val="0"/>
                <w:lang w:eastAsia="zh-CN"/>
              </w:rPr>
              <w:t>应急柴油发电机组</w:t>
            </w:r>
            <w:r>
              <w:rPr>
                <w:rFonts w:hint="eastAsia" w:ascii="Times New Roman" w:hAnsi="Times New Roman" w:eastAsia="仿宋_GB2312"/>
                <w:color w:val="auto"/>
                <w:kern w:val="0"/>
                <w:lang w:val="en-US" w:eastAsia="zh-CN"/>
              </w:rPr>
              <w:t>作为应急电源，保证</w:t>
            </w:r>
            <w:r>
              <w:rPr>
                <w:rFonts w:hint="eastAsia" w:ascii="Times New Roman" w:hAnsi="Times New Roman" w:eastAsia="仿宋_GB2312"/>
                <w:color w:val="auto"/>
                <w:kern w:val="0"/>
                <w:lang w:eastAsia="zh-CN"/>
              </w:rPr>
              <w:t>本工程消防负荷用电</w:t>
            </w:r>
          </w:p>
        </w:tc>
        <w:tc>
          <w:tcPr>
            <w:tcW w:w="1260" w:type="dxa"/>
            <w:gridSpan w:val="3"/>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配电线路</w:t>
            </w:r>
          </w:p>
        </w:tc>
        <w:tc>
          <w:tcPr>
            <w:tcW w:w="4664" w:type="dxa"/>
            <w:gridSpan w:val="11"/>
            <w:noWrap w:val="0"/>
            <w:vAlign w:val="center"/>
          </w:tcPr>
          <w:p>
            <w:pPr>
              <w:overflowPunct w:val="0"/>
              <w:autoSpaceDE w:val="0"/>
              <w:autoSpaceDN w:val="0"/>
              <w:jc w:val="left"/>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rPr>
              <w:t>本工程消防设备供电及控制线路采用耐火阻燃型无卤低烟聚氯乙烯绝缘铜芯电缆,普通供电线路采用阻燃型无卤低烟聚氯乙烯绝缘铜芯电缆.室内敷设的各绝缘导体工作电压的要求:火灾自动报警系统传输线路和50V以下供电控制线路的多股绝缘电线或电缆不应低于0.3/0.5KV,交流220/380V供电或控制的交流用电设备线路的塑料绝缘电线不应低于0.45/0.75KV,电力电缆不应低于0.6/1KV。</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电器装置</w:t>
            </w:r>
          </w:p>
        </w:tc>
        <w:tc>
          <w:tcPr>
            <w:tcW w:w="4664" w:type="dxa"/>
            <w:gridSpan w:val="11"/>
            <w:noWrap w:val="0"/>
            <w:vAlign w:val="center"/>
          </w:tcPr>
          <w:p>
            <w:pPr>
              <w:overflowPunct w:val="0"/>
              <w:autoSpaceDE w:val="0"/>
              <w:autoSpaceDN w:val="0"/>
              <w:jc w:val="left"/>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1.按正常环境选择电器设备。</w:t>
            </w:r>
          </w:p>
          <w:p>
            <w:pPr>
              <w:overflowPunct w:val="0"/>
              <w:autoSpaceDE w:val="0"/>
              <w:autoSpaceDN w:val="0"/>
              <w:jc w:val="left"/>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2．消防配电/控制箱内断路器只做短路保护不做过负荷保护，过负荷发出声光报警。</w:t>
            </w:r>
          </w:p>
          <w:p>
            <w:pPr>
              <w:overflowPunct w:val="0"/>
              <w:autoSpaceDE w:val="0"/>
              <w:autoSpaceDN w:val="0"/>
              <w:jc w:val="left"/>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3．消防配电箱应有明显的标志和操作说明。</w:t>
            </w:r>
          </w:p>
          <w:p>
            <w:pPr>
              <w:overflowPunct w:val="0"/>
              <w:autoSpaceDE w:val="0"/>
              <w:autoSpaceDN w:val="0"/>
              <w:jc w:val="left"/>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rPr>
              <w:t>4．消防水泵、火灾自动报警、电气火灾监控系统、火灾事故照明、疏散指示标志等消防控制室的各种控制装置等的用电设备。</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before="31" w:beforeLines="10" w:after="31" w:afterLines="10"/>
              <w:textAlignment w:val="center"/>
              <w:rPr>
                <w:rFonts w:ascii="Times New Roman" w:hAnsi="Times New Roman" w:eastAsia="仿宋_GB2312"/>
                <w:color w:val="auto"/>
              </w:rPr>
            </w:pPr>
            <w:r>
              <w:rPr>
                <w:rFonts w:ascii="Times New Roman" w:hAnsi="Times New Roman" w:eastAsia="仿宋_GB2312"/>
                <w:color w:val="auto"/>
                <w:kern w:val="0"/>
              </w:rPr>
              <w:t>消防应急照明和疏散指示系统</w:t>
            </w:r>
          </w:p>
        </w:tc>
        <w:tc>
          <w:tcPr>
            <w:tcW w:w="4664" w:type="dxa"/>
            <w:gridSpan w:val="11"/>
            <w:noWrap w:val="0"/>
            <w:vAlign w:val="center"/>
          </w:tcPr>
          <w:p>
            <w:pPr>
              <w:pStyle w:val="9"/>
              <w:overflowPunct w:val="0"/>
              <w:autoSpaceDE w:val="0"/>
              <w:autoSpaceDN w:val="0"/>
              <w:ind w:left="0" w:leftChars="0" w:firstLine="0" w:firstLineChars="0"/>
              <w:jc w:val="left"/>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sz w:val="21"/>
                <w:szCs w:val="24"/>
                <w:lang w:val="en-US" w:eastAsia="zh-CN" w:bidi="ar-SA"/>
              </w:rPr>
              <w:t>设置A型集中控制型照明系统。建筑内的疏散走道，前室及楼梯间设置疏散照明。在安全出口和人员密集的场所的疏散门的正上方以及在疏散走道及其转角处距地面高度1．0m以下的墙面或地面上设置疏散指示标识。</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火灾自动报警系统</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olor w:val="auto"/>
                <w:kern w:val="0"/>
              </w:rPr>
            </w:pPr>
            <w:r>
              <w:rPr>
                <w:rFonts w:hint="eastAsia" w:ascii="Times New Roman" w:hAnsi="Times New Roman" w:eastAsia="仿宋_GB2312"/>
                <w:color w:val="auto"/>
                <w:kern w:val="0"/>
              </w:rPr>
              <w:t>采用集中火灾自动报警系统。</w:t>
            </w:r>
            <w:r>
              <w:rPr>
                <w:rFonts w:hint="eastAsia" w:ascii="Times New Roman" w:hAnsi="Times New Roman" w:eastAsia="仿宋_GB2312"/>
                <w:color w:val="auto"/>
                <w:kern w:val="0"/>
                <w:lang w:val="en-US" w:eastAsia="zh-CN"/>
              </w:rPr>
              <w:t>利用厂区原有</w:t>
            </w:r>
            <w:r>
              <w:rPr>
                <w:rFonts w:hint="eastAsia" w:ascii="Times New Roman" w:hAnsi="Times New Roman" w:eastAsia="仿宋_GB2312"/>
                <w:color w:val="auto"/>
                <w:kern w:val="0"/>
              </w:rPr>
              <w:t>消防控制室。含有火灾自动报警系统，消防设备电源监控系统，电气火灾监控系统。</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电气火灾监控系统</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hint="default"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val="en-US" w:eastAsia="zh-CN"/>
              </w:rPr>
              <w:t xml:space="preserve"> 采用剩余电流式电气火灾监控系统。</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消防设备电源监控系统</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rPr>
              <w:t>用于监控消防设备电源工作状态，在电源发生过压、欠压、过流、缺相等故障时能发出报警信号的监控系统，由消防设备电源状态监控器、电压传感器、电流传感器、电压/电流传感器等部分或全部设备组成</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防火门监控系统</w:t>
            </w:r>
          </w:p>
        </w:tc>
        <w:tc>
          <w:tcPr>
            <w:tcW w:w="4664" w:type="dxa"/>
            <w:gridSpan w:val="11"/>
            <w:noWrap w:val="0"/>
            <w:vAlign w:val="center"/>
          </w:tcPr>
          <w:p>
            <w:pPr>
              <w:overflowPunct w:val="0"/>
              <w:autoSpaceDE w:val="0"/>
              <w:autoSpaceDN w:val="0"/>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防火门系统的联动控制设计，应符合下列规定：</w:t>
            </w:r>
          </w:p>
          <w:p>
            <w:pPr>
              <w:overflowPunct w:val="0"/>
              <w:autoSpaceDE w:val="0"/>
              <w:autoSpaceDN w:val="0"/>
              <w:textAlignment w:val="center"/>
              <w:rPr>
                <w:rFonts w:hint="eastAsia" w:ascii="Times New Roman" w:hAnsi="Times New Roman" w:eastAsia="仿宋_GB2312"/>
                <w:color w:val="auto"/>
                <w:kern w:val="0"/>
              </w:rPr>
            </w:pPr>
            <w:r>
              <w:rPr>
                <w:rFonts w:hint="eastAsia" w:ascii="Times New Roman" w:hAnsi="Times New Roman" w:eastAsia="仿宋_GB2312"/>
                <w:color w:val="auto"/>
                <w:kern w:val="0"/>
              </w:rPr>
              <w:t>1 应由常开防火门所在防火分区内的两只独立的火灾探测器或一只火灾探测器与一只手动火灾报警按钮的报警信号，作为常开防火门关闭的联动触发信号，联动触发信号应由火灾报警控制器或消防联动控制器发出，并应由消防联动控制器或防火门监控器联动控制防火门关闭。</w:t>
            </w:r>
          </w:p>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rPr>
              <w:t>2 疏散通道上各防火门的开启、关闭及故障状态信号应反馈至防火门监控器。</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kern w:val="0"/>
              </w:rPr>
            </w:pPr>
            <w:r>
              <w:rPr>
                <w:rFonts w:ascii="Times New Roman" w:hAnsi="Times New Roman" w:eastAsia="仿宋_GB2312"/>
                <w:color w:val="auto"/>
                <w:kern w:val="0"/>
              </w:rPr>
              <w:t>消防应急广播</w:t>
            </w:r>
          </w:p>
        </w:tc>
        <w:tc>
          <w:tcPr>
            <w:tcW w:w="4664" w:type="dxa"/>
            <w:gridSpan w:val="11"/>
            <w:noWrap w:val="0"/>
            <w:vAlign w:val="center"/>
          </w:tcPr>
          <w:p>
            <w:pPr>
              <w:pStyle w:val="9"/>
              <w:numPr>
                <w:ilvl w:val="0"/>
                <w:numId w:val="0"/>
              </w:numPr>
              <w:overflowPunct w:val="0"/>
              <w:autoSpaceDE w:val="0"/>
              <w:autoSpaceDN w:val="0"/>
              <w:ind w:leftChars="0"/>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sz w:val="21"/>
                <w:szCs w:val="24"/>
                <w:lang w:val="en-US" w:eastAsia="zh-CN" w:bidi="ar-SA"/>
              </w:rPr>
              <w:t>消防应急广播扬声器的设置，应符合下列规定：</w:t>
            </w:r>
          </w:p>
          <w:p>
            <w:pPr>
              <w:pStyle w:val="9"/>
              <w:numPr>
                <w:ilvl w:val="0"/>
                <w:numId w:val="0"/>
              </w:numPr>
              <w:overflowPunct w:val="0"/>
              <w:autoSpaceDE w:val="0"/>
              <w:autoSpaceDN w:val="0"/>
              <w:ind w:leftChars="0"/>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sz w:val="21"/>
                <w:szCs w:val="24"/>
                <w:lang w:val="en-US" w:eastAsia="zh-CN" w:bidi="ar-SA"/>
              </w:rPr>
              <w:t>    1 民用建筑内扬声器应设置在走道和大厅等公共场所。每个扬声器的额定功率不应小于3W，其数量应能保证从一个防火分区内的任何部位到最近一个扬声器的直线距离不大于25m，走道末端距最近的扬声器距离不应大于12．5m。</w:t>
            </w:r>
          </w:p>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s="Times New Roman"/>
                <w:color w:val="auto"/>
                <w:kern w:val="0"/>
                <w:sz w:val="21"/>
                <w:szCs w:val="24"/>
                <w:lang w:val="en-US" w:eastAsia="zh-CN" w:bidi="ar-SA"/>
              </w:rPr>
              <w:t>    2 在环境噪声大于60dB的场所设置的扬声器，在其播放范围内最远点的播放声压级应高于背景噪声15dB。</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spacing w:line="640" w:lineRule="exact"/>
              <w:textAlignment w:val="center"/>
              <w:rPr>
                <w:rFonts w:ascii="Times New Roman" w:hAnsi="Times New Roman" w:eastAsia="仿宋_GB2312"/>
                <w:color w:val="auto"/>
              </w:rPr>
            </w:pPr>
            <w:r>
              <w:rPr>
                <w:rFonts w:ascii="Times New Roman" w:hAnsi="Times New Roman" w:eastAsia="仿宋_GB2312"/>
                <w:color w:val="auto"/>
                <w:kern w:val="0"/>
              </w:rPr>
              <w:t>电气防火措施</w:t>
            </w:r>
          </w:p>
        </w:tc>
        <w:tc>
          <w:tcPr>
            <w:tcW w:w="4664" w:type="dxa"/>
            <w:gridSpan w:val="11"/>
            <w:noWrap w:val="0"/>
            <w:vAlign w:val="center"/>
          </w:tcPr>
          <w:p>
            <w:pPr>
              <w:pStyle w:val="9"/>
              <w:numPr>
                <w:ilvl w:val="0"/>
                <w:numId w:val="0"/>
              </w:numPr>
              <w:overflowPunct w:val="0"/>
              <w:autoSpaceDE w:val="0"/>
              <w:autoSpaceDN w:val="0"/>
              <w:ind w:left="0" w:leftChars="0" w:firstLine="0" w:firstLineChars="0"/>
              <w:textAlignment w:val="center"/>
              <w:rPr>
                <w:rFonts w:ascii="Times New Roman" w:hAnsi="Times New Roman" w:eastAsia="仿宋_GB2312"/>
                <w:color w:val="auto"/>
                <w:kern w:val="0"/>
              </w:rPr>
            </w:pPr>
            <w:r>
              <w:rPr>
                <w:rFonts w:hint="eastAsia" w:ascii="Times New Roman" w:hAnsi="Times New Roman" w:eastAsia="仿宋_GB2312" w:cs="Times New Roman"/>
                <w:color w:val="auto"/>
                <w:kern w:val="0"/>
                <w:sz w:val="21"/>
                <w:szCs w:val="24"/>
                <w:lang w:val="en-US" w:eastAsia="zh-CN" w:bidi="ar-SA"/>
              </w:rPr>
              <w:t>电源进线电缆沿管井内防火梯型金属桥架敷设，双电源两回路在穿同一桥架时，用防火隔板隔开。电力、照明支干线，当消防与非消防线路同线槽敷设时采用耐火型线槽，同时线槽内设隔板，将消防与非消防线路分开敷设。所有用于消防的金属桥架均选用耐火性槽式、桥架外涂刷防火涂料，线缆穿越楼板、墙体的孔洞应用不燃材料严密封堵。电缆管井要求每层在楼板处用相当于楼板耐火极限的不燃烧体作防火分隔，电缆管井与房间、走道等相连通的孔洞，其空隙应采用不燃烧材料填塞密实。</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各子项电气设计说明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78" w:hRule="atLeast"/>
          <w:jc w:val="center"/>
        </w:trPr>
        <w:tc>
          <w:tcPr>
            <w:tcW w:w="545" w:type="dxa"/>
            <w:vMerge w:val="restart"/>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消防给水和灭火设施</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消防水源</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hint="eastAsia" w:ascii="仿宋_GB2312" w:hAnsi="仿宋_GB2312" w:eastAsia="仿宋_GB2312" w:cs="仿宋_GB2312"/>
                <w:color w:val="auto"/>
                <w:spacing w:val="10"/>
                <w:sz w:val="21"/>
                <w:szCs w:val="21"/>
                <w:lang w:val="en-US" w:eastAsia="zh-CN"/>
              </w:rPr>
              <w:t>本工程给水水源为市政供水管，从周边市政引入二根DN150市政给水管，市政给水管供水压力0.30MPa。</w:t>
            </w:r>
            <w:r>
              <w:rPr>
                <w:rFonts w:hint="eastAsia" w:ascii="Times New Roman" w:hAnsi="Times New Roman" w:eastAsia="仿宋_GB2312"/>
                <w:color w:val="auto"/>
                <w:kern w:val="0"/>
                <w:lang w:val="en-US" w:eastAsia="zh-CN"/>
              </w:rPr>
              <w:t>地下消防水池储存一次室内消防用水量，消防水池有效容积不小于324m3，室外消防用水由市政管网直接供给。</w:t>
            </w:r>
            <w:r>
              <w:rPr>
                <w:rFonts w:hint="eastAsia" w:ascii="仿宋_GB2312" w:hAnsi="仿宋_GB2312" w:eastAsia="仿宋_GB2312" w:cs="仿宋_GB2312"/>
                <w:color w:val="auto"/>
                <w:spacing w:val="10"/>
                <w:sz w:val="21"/>
                <w:szCs w:val="21"/>
                <w:lang w:val="en-US" w:eastAsia="zh-CN"/>
              </w:rPr>
              <w:t>在屋顶设置有效水容积为18m</w:t>
            </w:r>
            <w:r>
              <w:rPr>
                <w:rFonts w:hint="eastAsia" w:ascii="仿宋_GB2312" w:hAnsi="仿宋_GB2312" w:eastAsia="仿宋_GB2312" w:cs="仿宋_GB2312"/>
                <w:color w:val="auto"/>
                <w:spacing w:val="10"/>
                <w:sz w:val="21"/>
                <w:szCs w:val="21"/>
                <w:vertAlign w:val="superscript"/>
                <w:lang w:val="en-US" w:eastAsia="zh-CN"/>
              </w:rPr>
              <w:t>3</w:t>
            </w:r>
            <w:r>
              <w:rPr>
                <w:rFonts w:hint="eastAsia" w:ascii="仿宋_GB2312" w:hAnsi="仿宋_GB2312" w:eastAsia="仿宋_GB2312" w:cs="仿宋_GB2312"/>
                <w:color w:val="auto"/>
                <w:spacing w:val="10"/>
                <w:sz w:val="21"/>
                <w:szCs w:val="21"/>
                <w:lang w:val="en-US" w:eastAsia="zh-CN"/>
              </w:rPr>
              <w:t>的消防水箱。</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7"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消防水泵房</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地下室消防水池有效容积324m3，消防泵房设室内消火栓加压泵二台，一用一备。水泵参数：Q=20L/s H=60m，N=45kW；喷淋加压泵二台，一用一备。水泵参数：Q=30L/s H=60m，N=55kW；屋面设有效容积18m3的消防水箱。</w:t>
            </w:r>
          </w:p>
        </w:tc>
        <w:tc>
          <w:tcPr>
            <w:tcW w:w="1260" w:type="dxa"/>
            <w:gridSpan w:val="3"/>
            <w:noWrap w:val="0"/>
            <w:vAlign w:val="center"/>
          </w:tcPr>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地下一层水泵房详图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室外消防给水和室外消火栓系统</w:t>
            </w:r>
          </w:p>
        </w:tc>
        <w:tc>
          <w:tcPr>
            <w:tcW w:w="4664" w:type="dxa"/>
            <w:gridSpan w:val="11"/>
            <w:noWrap w:val="0"/>
            <w:vAlign w:val="center"/>
          </w:tcPr>
          <w:p>
            <w:pPr>
              <w:spacing w:line="240" w:lineRule="auto"/>
              <w:ind w:firstLine="520" w:firstLineChars="0"/>
              <w:jc w:val="left"/>
              <w:rPr>
                <w:rFonts w:hint="eastAsia" w:ascii="Times New Roman" w:hAnsi="Times New Roman" w:eastAsia="仿宋_GB2312"/>
                <w:color w:val="auto"/>
                <w:kern w:val="0"/>
                <w:lang w:eastAsia="zh-CN"/>
              </w:rPr>
            </w:pPr>
            <w:r>
              <w:rPr>
                <w:rFonts w:hint="eastAsia" w:ascii="Times New Roman" w:hAnsi="Times New Roman" w:eastAsia="仿宋_GB2312"/>
                <w:color w:val="auto"/>
                <w:kern w:val="0"/>
              </w:rPr>
              <w:t>室外消火栓流量40L/S，火灾持续时间</w:t>
            </w:r>
            <w:r>
              <w:rPr>
                <w:rFonts w:hint="eastAsia" w:ascii="Times New Roman" w:hAnsi="Times New Roman" w:eastAsia="仿宋_GB2312"/>
                <w:color w:val="auto"/>
                <w:kern w:val="0"/>
                <w:lang w:val="en-US" w:eastAsia="zh-CN"/>
              </w:rPr>
              <w:t>3</w:t>
            </w:r>
            <w:r>
              <w:rPr>
                <w:rFonts w:hint="eastAsia" w:ascii="Times New Roman" w:hAnsi="Times New Roman" w:eastAsia="仿宋_GB2312"/>
                <w:color w:val="auto"/>
                <w:kern w:val="0"/>
              </w:rPr>
              <w:t>小时。基地内DN150室外环状给水管网上设有若干套地上式室外消火栓，室外消火栓的数量根据室外消火栓设计流量和保护半径计算确定，其间距不超过120m，保护半径不大于150m，每个室外消火栓的出流量按10L/s~15L/s计算；室外消火栓沿建筑周围均匀布置；室外消火栓距道路边不大于2.0m，距建筑物外墙不小于5.0m。</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原给排水及消防总图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室内消火栓系统</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室内消火栓设计流量为20L/s,火灾延时间为3h。任何区域均有两股水柱同时到达，栓口动压不小于0.35MPa，充实水柱不小于13m。消火检箱内设SNW65消火栓1个,配备Φ19mm口径水枪及DN65,25米长衬胶水龙带,并设消火栓报警按钮。</w:t>
            </w:r>
          </w:p>
          <w:p>
            <w:pPr>
              <w:overflowPunct w:val="0"/>
              <w:autoSpaceDE w:val="0"/>
              <w:autoSpaceDN w:val="0"/>
              <w:jc w:val="center"/>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消火栓栓口的安装高度距地面高度宜为1.1m;其出水方向应便于消防水带的敷设,并宜与设置消火栓的墙面成90度,消火栓箱门颜色应与箱门四周墙壁的装饰材料颜色有明显区别，箱门上应有“消火栓”、“火警119”醒目标志。</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w:t>
            </w:r>
            <w:r>
              <w:rPr>
                <w:rFonts w:hint="eastAsia" w:ascii="Times New Roman" w:hAnsi="Times New Roman" w:eastAsia="仿宋_GB2312"/>
                <w:color w:val="auto"/>
                <w:kern w:val="0"/>
                <w:lang w:val="en-US" w:eastAsia="zh-CN"/>
              </w:rPr>
              <w:t>及消防平面图、系统图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自动喷水系统</w:t>
            </w:r>
          </w:p>
        </w:tc>
        <w:tc>
          <w:tcPr>
            <w:tcW w:w="4664" w:type="dxa"/>
            <w:gridSpan w:val="11"/>
            <w:noWrap w:val="0"/>
            <w:vAlign w:val="center"/>
          </w:tcPr>
          <w:p>
            <w:pPr>
              <w:spacing w:line="240" w:lineRule="auto"/>
              <w:jc w:val="left"/>
              <w:rPr>
                <w:rFonts w:hint="eastAsia" w:ascii="Times New Roman" w:hAnsi="Times New Roman" w:eastAsia="仿宋_GB2312"/>
                <w:color w:val="auto"/>
                <w:kern w:val="0"/>
                <w:lang w:eastAsia="zh-CN"/>
              </w:rPr>
            </w:pPr>
            <w:r>
              <w:rPr>
                <w:rFonts w:hint="eastAsia" w:ascii="Times New Roman" w:hAnsi="Times New Roman" w:eastAsia="仿宋_GB2312"/>
                <w:color w:val="auto"/>
                <w:kern w:val="0"/>
              </w:rPr>
              <w:t>按中危险级II级设计。自喷喷水强度：8L/min·m</w:t>
            </w:r>
            <w:r>
              <w:rPr>
                <w:rFonts w:hint="eastAsia" w:ascii="Times New Roman" w:hAnsi="Times New Roman" w:eastAsia="仿宋_GB2312"/>
                <w:color w:val="auto"/>
                <w:kern w:val="0"/>
                <w:lang w:val="en-US" w:eastAsia="zh-CN"/>
              </w:rPr>
              <w:t>2</w:t>
            </w:r>
            <w:r>
              <w:rPr>
                <w:rFonts w:hint="eastAsia" w:ascii="Times New Roman" w:hAnsi="Times New Roman" w:eastAsia="仿宋_GB2312"/>
                <w:color w:val="auto"/>
                <w:kern w:val="0"/>
              </w:rPr>
              <w:t>，作用面积160m</w:t>
            </w:r>
            <w:r>
              <w:rPr>
                <w:rFonts w:hint="eastAsia" w:ascii="Times New Roman" w:hAnsi="Times New Roman" w:eastAsia="仿宋_GB2312"/>
                <w:color w:val="auto"/>
                <w:kern w:val="0"/>
                <w:lang w:val="en-US" w:eastAsia="zh-CN"/>
              </w:rPr>
              <w:t>2</w:t>
            </w:r>
            <w:r>
              <w:rPr>
                <w:rFonts w:hint="eastAsia" w:ascii="Times New Roman" w:hAnsi="Times New Roman" w:eastAsia="仿宋_GB2312"/>
                <w:color w:val="auto"/>
                <w:kern w:val="0"/>
              </w:rPr>
              <w:t>；自动喷水灭火系统设计用水量为取</w:t>
            </w:r>
            <w:r>
              <w:rPr>
                <w:rFonts w:hint="eastAsia" w:ascii="Times New Roman" w:hAnsi="Times New Roman" w:eastAsia="仿宋_GB2312"/>
                <w:color w:val="auto"/>
                <w:kern w:val="0"/>
                <w:lang w:val="en-US" w:eastAsia="zh-CN"/>
              </w:rPr>
              <w:t>3</w:t>
            </w:r>
            <w:r>
              <w:rPr>
                <w:rFonts w:hint="eastAsia" w:ascii="Times New Roman" w:hAnsi="Times New Roman" w:eastAsia="仿宋_GB2312"/>
                <w:color w:val="auto"/>
                <w:kern w:val="0"/>
              </w:rPr>
              <w:t>0L/s，火灾持续时间</w:t>
            </w:r>
            <w:r>
              <w:rPr>
                <w:rFonts w:hint="eastAsia" w:ascii="Times New Roman" w:hAnsi="Times New Roman" w:eastAsia="仿宋_GB2312"/>
                <w:color w:val="auto"/>
                <w:kern w:val="0"/>
                <w:lang w:val="en-US" w:eastAsia="zh-CN"/>
              </w:rPr>
              <w:t>1</w:t>
            </w:r>
            <w:r>
              <w:rPr>
                <w:rFonts w:hint="eastAsia" w:ascii="Times New Roman" w:hAnsi="Times New Roman" w:eastAsia="仿宋_GB2312"/>
                <w:color w:val="auto"/>
                <w:kern w:val="0"/>
              </w:rPr>
              <w:t>h。屋顶层设有高位消防水箱一座，有效容积</w:t>
            </w:r>
            <w:r>
              <w:rPr>
                <w:rFonts w:hint="eastAsia" w:ascii="Times New Roman" w:hAnsi="Times New Roman" w:eastAsia="仿宋_GB2312"/>
                <w:color w:val="auto"/>
                <w:kern w:val="0"/>
                <w:lang w:val="en-US" w:eastAsia="zh-CN"/>
              </w:rPr>
              <w:t>18</w:t>
            </w:r>
            <w:r>
              <w:rPr>
                <w:rFonts w:hint="eastAsia" w:ascii="Times New Roman" w:hAnsi="Times New Roman" w:eastAsia="仿宋_GB2312"/>
                <w:color w:val="auto"/>
                <w:kern w:val="0"/>
              </w:rPr>
              <w:t>m</w:t>
            </w:r>
            <w:r>
              <w:rPr>
                <w:rFonts w:hint="eastAsia" w:ascii="Times New Roman" w:hAnsi="Times New Roman" w:eastAsia="仿宋_GB2312"/>
                <w:color w:val="auto"/>
                <w:kern w:val="0"/>
                <w:lang w:val="en-US" w:eastAsia="zh-CN"/>
              </w:rPr>
              <w:t>3。</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w:t>
            </w:r>
            <w:r>
              <w:rPr>
                <w:rFonts w:hint="eastAsia" w:ascii="Times New Roman" w:hAnsi="Times New Roman" w:eastAsia="仿宋_GB2312"/>
                <w:color w:val="auto"/>
                <w:kern w:val="0"/>
                <w:lang w:val="en-US" w:eastAsia="zh-CN"/>
              </w:rPr>
              <w:t>及自动喷淋平面图、系统图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灭火器及其他灭火设施</w:t>
            </w:r>
          </w:p>
        </w:tc>
        <w:tc>
          <w:tcPr>
            <w:tcW w:w="4664" w:type="dxa"/>
            <w:gridSpan w:val="11"/>
            <w:noWrap w:val="0"/>
            <w:vAlign w:val="center"/>
          </w:tcPr>
          <w:p>
            <w:pPr>
              <w:overflowPunct w:val="0"/>
              <w:autoSpaceDE w:val="0"/>
              <w:autoSpaceDN w:val="0"/>
              <w:spacing w:line="240" w:lineRule="auto"/>
              <w:jc w:val="both"/>
              <w:textAlignment w:val="center"/>
              <w:rPr>
                <w:rFonts w:hint="default" w:ascii="仿宋_GB2312" w:hAnsi="仿宋_GB2312" w:eastAsia="仿宋_GB2312" w:cs="仿宋_GB2312"/>
                <w:color w:val="auto"/>
                <w:sz w:val="21"/>
                <w:szCs w:val="21"/>
                <w:lang w:val="en-US" w:eastAsia="zh-CN"/>
              </w:rPr>
            </w:pPr>
            <w:r>
              <w:rPr>
                <w:rFonts w:hint="eastAsia" w:ascii="Times New Roman" w:hAnsi="Times New Roman" w:eastAsia="仿宋_GB2312"/>
                <w:color w:val="auto"/>
                <w:kern w:val="0"/>
              </w:rPr>
              <w:t>本项目为A类火灾，危险等级为中危险级，单具灭火器最小配置级别为2A，最大保护距离为20m，单位灭火级别最大保护面积为75m</w:t>
            </w:r>
            <w:r>
              <w:rPr>
                <w:rFonts w:hint="eastAsia" w:ascii="Times New Roman" w:hAnsi="Times New Roman" w:eastAsia="仿宋_GB2312"/>
                <w:color w:val="auto"/>
                <w:kern w:val="0"/>
                <w:lang w:val="en-US" w:eastAsia="zh-CN"/>
              </w:rPr>
              <w:t>2</w:t>
            </w:r>
            <w:r>
              <w:rPr>
                <w:rFonts w:hint="eastAsia" w:ascii="Times New Roman" w:hAnsi="Times New Roman" w:eastAsia="仿宋_GB2312"/>
                <w:color w:val="auto"/>
                <w:kern w:val="0"/>
              </w:rPr>
              <w:t>。灭火器应设置在位置明显和便于取用的地点，且不得影响安全疏散。灭火器不得设置在超出其使用温度范围的地点。灭火器的摆放应稳固，其铭牌应朝外。手提式灭火器宜设置在灭火器箱内或挂钩、托架上，其顶部离地面高度不应大于1.50m；底部离地面高度不宜小于0.08m。灭火器箱不得上锁。灭火器应定期维护、维修和报废。灭火器报废后，应按照等效替代的原则更换。</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w:t>
            </w:r>
            <w:r>
              <w:rPr>
                <w:rFonts w:hint="eastAsia" w:ascii="Times New Roman" w:hAnsi="Times New Roman" w:eastAsia="仿宋_GB2312"/>
                <w:color w:val="auto"/>
                <w:kern w:val="0"/>
                <w:lang w:eastAsia="zh-CN"/>
              </w:rPr>
              <w:t>给排水设计说明、给排水平面图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restart"/>
            <w:noWrap w:val="0"/>
            <w:vAlign w:val="center"/>
          </w:tcPr>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供暖通风</w:t>
            </w:r>
          </w:p>
          <w:p>
            <w:pPr>
              <w:overflowPunct w:val="0"/>
              <w:autoSpaceDE w:val="0"/>
              <w:autoSpaceDN w:val="0"/>
              <w:jc w:val="center"/>
              <w:textAlignment w:val="center"/>
              <w:rPr>
                <w:rFonts w:hint="eastAsia" w:ascii="Times New Roman" w:hAnsi="Times New Roman" w:eastAsia="仿宋_GB2312"/>
                <w:color w:val="auto"/>
                <w:kern w:val="0"/>
                <w:lang w:eastAsia="zh-CN"/>
              </w:rPr>
            </w:pPr>
            <w:r>
              <w:rPr>
                <w:rFonts w:ascii="Times New Roman" w:hAnsi="Times New Roman" w:eastAsia="仿宋_GB2312"/>
                <w:color w:val="auto"/>
                <w:kern w:val="0"/>
              </w:rPr>
              <w:t>与</w:t>
            </w:r>
          </w:p>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空气调节</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设置防排烟的区域及其方式</w:t>
            </w:r>
          </w:p>
        </w:tc>
        <w:tc>
          <w:tcPr>
            <w:tcW w:w="4664" w:type="dxa"/>
            <w:gridSpan w:val="11"/>
            <w:noWrap w:val="0"/>
            <w:vAlign w:val="center"/>
          </w:tcPr>
          <w:p>
            <w:pPr>
              <w:numPr>
                <w:ilvl w:val="0"/>
                <w:numId w:val="1"/>
              </w:numPr>
              <w:overflowPunct w:val="0"/>
              <w:autoSpaceDE w:val="0"/>
              <w:autoSpaceDN w:val="0"/>
              <w:jc w:val="center"/>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设置防烟设施的区域：楼梯间。方式自然通风送风。</w:t>
            </w:r>
          </w:p>
          <w:p>
            <w:pPr>
              <w:overflowPunct w:val="0"/>
              <w:autoSpaceDE w:val="0"/>
              <w:autoSpaceDN w:val="0"/>
              <w:textAlignment w:val="center"/>
              <w:rPr>
                <w:rFonts w:hint="default"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2、设置排烟设施的区域：按规范要求需设置排烟设施的厂房、房间。方式自然排烟。</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防排烟系统风量确定</w:t>
            </w:r>
          </w:p>
        </w:tc>
        <w:tc>
          <w:tcPr>
            <w:tcW w:w="4664" w:type="dxa"/>
            <w:gridSpan w:val="11"/>
            <w:noWrap w:val="0"/>
            <w:vAlign w:val="center"/>
          </w:tcPr>
          <w:p>
            <w:pPr>
              <w:numPr>
                <w:ilvl w:val="0"/>
                <w:numId w:val="0"/>
              </w:numPr>
              <w:overflowPunct w:val="0"/>
              <w:autoSpaceDE w:val="0"/>
              <w:autoSpaceDN w:val="0"/>
              <w:jc w:val="both"/>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1、地面防烟楼梯间每五层开窗面积不低于2个平方</w:t>
            </w:r>
          </w:p>
          <w:p>
            <w:pPr>
              <w:numPr>
                <w:ilvl w:val="0"/>
                <w:numId w:val="0"/>
              </w:numPr>
              <w:overflowPunct w:val="0"/>
              <w:autoSpaceDE w:val="0"/>
              <w:autoSpaceDN w:val="0"/>
              <w:ind w:left="0" w:leftChars="0" w:firstLine="0" w:firstLineChars="0"/>
              <w:jc w:val="both"/>
              <w:textAlignment w:val="center"/>
              <w:rPr>
                <w:rFonts w:ascii="Times New Roman" w:hAnsi="Times New Roman" w:eastAsia="仿宋_GB2312"/>
                <w:color w:val="auto"/>
                <w:kern w:val="0"/>
                <w:lang w:val="en-US" w:eastAsia="zh-CN"/>
              </w:rPr>
            </w:pPr>
            <w:r>
              <w:rPr>
                <w:rFonts w:hint="eastAsia" w:ascii="Times New Roman" w:hAnsi="Times New Roman" w:eastAsia="仿宋_GB2312" w:cs="Times New Roman"/>
                <w:color w:val="auto"/>
                <w:lang w:val="en-US" w:eastAsia="zh-CN"/>
              </w:rPr>
              <w:t>2、</w:t>
            </w:r>
            <w:r>
              <w:rPr>
                <w:rFonts w:hint="eastAsia" w:ascii="Times New Roman" w:hAnsi="Times New Roman" w:eastAsia="仿宋_GB2312" w:cs="Times New Roman"/>
                <w:color w:val="auto"/>
              </w:rPr>
              <w:t>防烟分区排烟量应根据场所内的热释放速率以及《建筑防烟排烟系统技术标准》（GB51251-2017）底4.6.6条~第4.6.13条</w:t>
            </w:r>
            <w:r>
              <w:rPr>
                <w:rFonts w:hint="eastAsia" w:ascii="Times New Roman" w:hAnsi="Times New Roman" w:eastAsia="仿宋_GB2312" w:cs="Times New Roman"/>
                <w:color w:val="auto"/>
                <w:lang w:val="en-US" w:eastAsia="zh-CN"/>
              </w:rPr>
              <w:t>计算确定。且不小于表4.6.3的数值</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防排烟系统及其设施配置</w:t>
            </w:r>
          </w:p>
        </w:tc>
        <w:tc>
          <w:tcPr>
            <w:tcW w:w="4664" w:type="dxa"/>
            <w:gridSpan w:val="11"/>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1、采取自然通风或自然排烟的区域，设置可开启外窗，对外自然通风或者自然排烟；</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控制方式简述</w:t>
            </w:r>
          </w:p>
        </w:tc>
        <w:tc>
          <w:tcPr>
            <w:tcW w:w="4664" w:type="dxa"/>
            <w:gridSpan w:val="11"/>
            <w:noWrap w:val="0"/>
            <w:vAlign w:val="center"/>
          </w:tcPr>
          <w:p>
            <w:pPr>
              <w:numPr>
                <w:ilvl w:val="0"/>
                <w:numId w:val="0"/>
              </w:numPr>
              <w:spacing w:line="240" w:lineRule="auto"/>
              <w:rPr>
                <w:rFonts w:hint="eastAsia" w:ascii="Times New Roman" w:hAnsi="Times New Roman" w:eastAsia="仿宋_GB2312" w:cs="Times New Roman"/>
                <w:color w:val="auto"/>
                <w:kern w:val="0"/>
                <w:lang w:eastAsia="zh-CN"/>
              </w:rPr>
            </w:pPr>
            <w:r>
              <w:rPr>
                <w:rFonts w:hint="eastAsia" w:ascii="Times New Roman" w:hAnsi="Times New Roman" w:eastAsia="仿宋_GB2312" w:cs="Times New Roman"/>
                <w:color w:val="auto"/>
                <w:kern w:val="0"/>
                <w:lang w:val="en-US" w:eastAsia="zh-CN"/>
              </w:rPr>
              <w:t>1、</w:t>
            </w:r>
            <w:r>
              <w:rPr>
                <w:rFonts w:hint="eastAsia" w:ascii="Times New Roman" w:hAnsi="Times New Roman" w:eastAsia="仿宋_GB2312" w:cs="Times New Roman"/>
                <w:color w:val="auto"/>
                <w:kern w:val="0"/>
                <w:lang w:eastAsia="zh-CN"/>
              </w:rPr>
              <w:t>可开启外窗方便直接开启，设置在高处不便于直接开启的可开启外窗在距地面高度为1.3m～1.5m的位置设置手动开启装置。</w:t>
            </w:r>
          </w:p>
          <w:p>
            <w:pPr>
              <w:numPr>
                <w:ilvl w:val="0"/>
                <w:numId w:val="0"/>
              </w:numPr>
              <w:spacing w:line="240" w:lineRule="auto"/>
              <w:ind w:left="0" w:leftChars="0" w:firstLine="0" w:firstLineChars="0"/>
              <w:rPr>
                <w:rFonts w:ascii="Times New Roman" w:hAnsi="Times New Roman" w:eastAsia="仿宋_GB2312"/>
                <w:color w:val="auto"/>
                <w:kern w:val="0"/>
                <w:lang w:val="en-US" w:eastAsia="zh-CN"/>
              </w:rPr>
            </w:pPr>
            <w:r>
              <w:rPr>
                <w:rFonts w:hint="eastAsia" w:ascii="Times New Roman" w:hAnsi="Times New Roman" w:eastAsia="仿宋_GB2312" w:cs="Times New Roman"/>
                <w:color w:val="auto"/>
                <w:kern w:val="0"/>
                <w:lang w:val="en-US" w:eastAsia="zh-CN"/>
              </w:rPr>
              <w:t>2、</w:t>
            </w:r>
            <w:r>
              <w:rPr>
                <w:rFonts w:hint="eastAsia" w:ascii="Times New Roman" w:hAnsi="Times New Roman" w:eastAsia="仿宋_GB2312" w:cs="Times New Roman"/>
                <w:color w:val="auto"/>
                <w:kern w:val="0"/>
                <w:lang w:eastAsia="zh-CN"/>
              </w:rPr>
              <w:t>自然排烟窗(口)设置手动开启装置，设置在高位不便于直接开启的自然排烟窗(口)，设置距地高度1.3m～1.5m的手动开启装置。</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kern w:val="0"/>
              </w:rPr>
            </w:pPr>
            <w:r>
              <w:rPr>
                <w:rFonts w:ascii="Times New Roman" w:hAnsi="Times New Roman" w:eastAsia="仿宋_GB2312"/>
                <w:color w:val="auto"/>
                <w:kern w:val="0"/>
              </w:rPr>
              <w:t>暖通空调系统的防火措施</w:t>
            </w:r>
          </w:p>
        </w:tc>
        <w:tc>
          <w:tcPr>
            <w:tcW w:w="4664" w:type="dxa"/>
            <w:gridSpan w:val="11"/>
            <w:noWrap w:val="0"/>
            <w:vAlign w:val="center"/>
          </w:tcPr>
          <w:p>
            <w:pPr>
              <w:overflowPunct w:val="0"/>
              <w:autoSpaceDE w:val="0"/>
              <w:autoSpaceDN w:val="0"/>
              <w:textAlignment w:val="center"/>
              <w:rPr>
                <w:rFonts w:hint="eastAsia" w:ascii="Times New Roman" w:hAnsi="Times New Roman" w:eastAsia="仿宋_GB2312"/>
                <w:color w:val="auto"/>
                <w:kern w:val="0"/>
                <w:lang w:val="en-US" w:eastAsia="zh-CN"/>
              </w:rPr>
            </w:pPr>
            <w:r>
              <w:rPr>
                <w:rFonts w:hint="eastAsia" w:ascii="Times New Roman" w:hAnsi="Times New Roman" w:eastAsia="仿宋_GB2312"/>
                <w:color w:val="auto"/>
                <w:lang w:val="en-US" w:eastAsia="zh-CN"/>
              </w:rPr>
              <w:t>通风、空气调节系统的风管在下列部位应设置公称动作温度为70℃的防火阀:1、穿越防火分区处；2、穿越通风、空气调节机房的房间隔墙和楼板处；3、穿越重要或火灾危险性大的场所的房间隔墙和楼板处；4、穿越防火分隔处的变形缝两侧；5、竖向风管与每层水平风管交接处的水平管段上。</w:t>
            </w:r>
          </w:p>
        </w:tc>
        <w:tc>
          <w:tcPr>
            <w:tcW w:w="1260" w:type="dxa"/>
            <w:gridSpan w:val="3"/>
            <w:noWrap w:val="0"/>
            <w:vAlign w:val="center"/>
          </w:tcPr>
          <w:p>
            <w:pPr>
              <w:overflowPunct w:val="0"/>
              <w:autoSpaceDE w:val="0"/>
              <w:autoSpaceDN w:val="0"/>
              <w:textAlignment w:val="center"/>
              <w:rPr>
                <w:rFonts w:ascii="Times New Roman" w:hAnsi="Times New Roman" w:eastAsia="仿宋_GB2312"/>
                <w:color w:val="auto"/>
                <w:kern w:val="0"/>
                <w:lang w:val="en-US" w:eastAsia="zh-CN"/>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1" w:hRule="atLeast"/>
          <w:jc w:val="center"/>
        </w:trPr>
        <w:tc>
          <w:tcPr>
            <w:tcW w:w="545" w:type="dxa"/>
            <w:vMerge w:val="continue"/>
            <w:noWrap w:val="0"/>
            <w:vAlign w:val="center"/>
          </w:tcPr>
          <w:p>
            <w:pPr>
              <w:overflowPunct w:val="0"/>
              <w:autoSpaceDE w:val="0"/>
              <w:autoSpaceDN w:val="0"/>
              <w:jc w:val="center"/>
              <w:textAlignment w:val="center"/>
              <w:rPr>
                <w:rFonts w:ascii="Times New Roman" w:hAnsi="Times New Roman" w:eastAsia="仿宋_GB2312"/>
                <w:color w:val="auto"/>
                <w:kern w:val="0"/>
              </w:rPr>
            </w:pP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空调通风系统的防火、防爆措施</w:t>
            </w:r>
          </w:p>
        </w:tc>
        <w:tc>
          <w:tcPr>
            <w:tcW w:w="4664" w:type="dxa"/>
            <w:gridSpan w:val="11"/>
            <w:noWrap w:val="0"/>
            <w:vAlign w:val="center"/>
          </w:tcPr>
          <w:p>
            <w:pPr>
              <w:overflowPunct w:val="0"/>
              <w:autoSpaceDE w:val="0"/>
              <w:autoSpaceDN w:val="0"/>
              <w:jc w:val="center"/>
              <w:textAlignment w:val="center"/>
              <w:rPr>
                <w:rFonts w:hint="default"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lang w:val="en-US" w:eastAsia="zh-CN"/>
              </w:rPr>
              <w:t>通风、空气调节系统的风管在下列部位应设置公称动作温度为70℃的防火阀:1、穿越防火分区处；2、穿越通风、空气调节机房的房间隔墙和楼板处；3、穿越重要或火灾危险性大的场所的房间隔墙和楼板处；4、穿越防火分隔处的变形缝两侧；5、竖向风管与每层水平风管交接处的水平管段上。</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hint="eastAsia" w:ascii="Times New Roman" w:hAnsi="Times New Roman" w:eastAsia="仿宋_GB2312"/>
                <w:color w:val="auto"/>
                <w:kern w:val="0"/>
                <w:lang w:val="en-US" w:eastAsia="zh-CN"/>
              </w:rPr>
              <w:t>详见设计说明、通风防排烟平面图及系统图。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52" w:hRule="atLeast"/>
          <w:jc w:val="center"/>
        </w:trPr>
        <w:tc>
          <w:tcPr>
            <w:tcW w:w="545" w:type="dxa"/>
            <w:noWrap w:val="0"/>
            <w:vAlign w:val="center"/>
          </w:tcPr>
          <w:p>
            <w:pPr>
              <w:overflowPunct w:val="0"/>
              <w:autoSpaceDE w:val="0"/>
              <w:autoSpaceDN w:val="0"/>
              <w:jc w:val="center"/>
              <w:textAlignment w:val="center"/>
              <w:rPr>
                <w:rFonts w:ascii="Times New Roman" w:hAnsi="Times New Roman" w:eastAsia="仿宋_GB2312"/>
                <w:color w:val="auto"/>
                <w:kern w:val="0"/>
              </w:rPr>
            </w:pPr>
            <w:r>
              <w:rPr>
                <w:rFonts w:ascii="Times New Roman" w:hAnsi="Times New Roman" w:eastAsia="仿宋_GB2312"/>
                <w:color w:val="auto"/>
                <w:kern w:val="0"/>
              </w:rPr>
              <w:t>热能动力</w:t>
            </w:r>
          </w:p>
        </w:tc>
        <w:tc>
          <w:tcPr>
            <w:tcW w:w="2345" w:type="dxa"/>
            <w:gridSpan w:val="4"/>
            <w:noWrap/>
            <w:vAlign w:val="center"/>
          </w:tcPr>
          <w:p>
            <w:pPr>
              <w:overflowPunct w:val="0"/>
              <w:autoSpaceDE w:val="0"/>
              <w:autoSpaceDN w:val="0"/>
              <w:textAlignment w:val="center"/>
              <w:rPr>
                <w:rFonts w:ascii="Times New Roman" w:hAnsi="Times New Roman" w:eastAsia="仿宋_GB2312"/>
                <w:color w:val="auto"/>
              </w:rPr>
            </w:pPr>
            <w:r>
              <w:rPr>
                <w:rFonts w:ascii="Times New Roman" w:hAnsi="Times New Roman" w:eastAsia="仿宋_GB2312"/>
                <w:color w:val="auto"/>
                <w:kern w:val="0"/>
              </w:rPr>
              <w:t>锅炉房、可燃气体站房及可燃气、液体的防火、防爆、消防措施</w:t>
            </w:r>
          </w:p>
        </w:tc>
        <w:tc>
          <w:tcPr>
            <w:tcW w:w="4664" w:type="dxa"/>
            <w:gridSpan w:val="11"/>
            <w:noWrap w:val="0"/>
            <w:vAlign w:val="center"/>
          </w:tcPr>
          <w:p>
            <w:pPr>
              <w:overflowPunct w:val="0"/>
              <w:autoSpaceDE w:val="0"/>
              <w:autoSpaceDN w:val="0"/>
              <w:jc w:val="center"/>
              <w:textAlignment w:val="center"/>
              <w:rPr>
                <w:rFonts w:hint="eastAsia" w:ascii="Times New Roman" w:hAnsi="Times New Roman" w:eastAsia="仿宋_GB2312" w:cs="Times New Roman"/>
                <w:color w:val="auto"/>
                <w:kern w:val="0"/>
                <w:sz w:val="21"/>
                <w:szCs w:val="24"/>
                <w:lang w:val="en-US" w:eastAsia="zh-CN" w:bidi="ar-SA"/>
              </w:rPr>
            </w:pPr>
            <w:r>
              <w:rPr>
                <w:rFonts w:hint="eastAsia" w:ascii="Times New Roman" w:hAnsi="Times New Roman" w:eastAsia="仿宋_GB2312"/>
                <w:color w:val="auto"/>
                <w:kern w:val="0"/>
                <w:lang w:eastAsia="zh-CN"/>
              </w:rPr>
              <w:t>无</w:t>
            </w:r>
          </w:p>
        </w:tc>
        <w:tc>
          <w:tcPr>
            <w:tcW w:w="1260" w:type="dxa"/>
            <w:gridSpan w:val="3"/>
            <w:noWrap w:val="0"/>
            <w:vAlign w:val="center"/>
          </w:tcPr>
          <w:p>
            <w:pPr>
              <w:overflowPunct w:val="0"/>
              <w:autoSpaceDE w:val="0"/>
              <w:autoSpaceDN w:val="0"/>
              <w:jc w:val="center"/>
              <w:textAlignment w:val="center"/>
              <w:rPr>
                <w:rFonts w:ascii="Times New Roman" w:hAnsi="Times New Roman" w:eastAsia="仿宋_GB2312"/>
                <w:color w:val="auto"/>
                <w:kern w:val="0"/>
              </w:rPr>
            </w:pPr>
          </w:p>
        </w:tc>
      </w:tr>
    </w:tbl>
    <w:p>
      <w:pPr>
        <w:overflowPunct w:val="0"/>
        <w:autoSpaceDE w:val="0"/>
        <w:autoSpaceDN w:val="0"/>
        <w:rPr>
          <w:rFonts w:ascii="仿宋" w:hAnsi="仿宋" w:eastAsia="仿宋" w:cs="仿宋"/>
          <w:color w:val="auto"/>
          <w:sz w:val="22"/>
          <w:szCs w:val="22"/>
        </w:rPr>
        <w:sectPr>
          <w:pgSz w:w="11906" w:h="16838"/>
          <w:pgMar w:top="1871" w:right="1531" w:bottom="2211" w:left="1531" w:header="851" w:footer="1191" w:gutter="0"/>
          <w:cols w:space="720" w:num="1"/>
          <w:docGrid w:type="lines" w:linePitch="312" w:charSpace="0"/>
        </w:sectPr>
      </w:pPr>
    </w:p>
    <w:p>
      <w:pPr>
        <w:rPr>
          <w:color w:val="auto"/>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embedRegular r:id="rId1" w:fontKey="{5E1927AF-0ADB-EC3F-E123-E965FD5D7DEA}"/>
  </w:font>
  <w:font w:name="宋体">
    <w:altName w:val="汉仪书宋二KW"/>
    <w:panose1 w:val="02010600030101010101"/>
    <w:charset w:val="7A"/>
    <w:family w:val="auto"/>
    <w:pitch w:val="default"/>
    <w:sig w:usb0="00000000" w:usb1="0000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embedRegular r:id="rId2" w:fontKey="{B1F6539C-6C04-2282-E123-E965FED4CA81}"/>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3" w:fontKey="{A5F6CE38-C61D-C88C-E123-E965FE3C93DC}"/>
  </w:font>
  <w:font w:name="仿宋">
    <w:altName w:val="方正仿宋_GBK"/>
    <w:panose1 w:val="02010609060101010101"/>
    <w:charset w:val="86"/>
    <w:family w:val="modern"/>
    <w:pitch w:val="default"/>
    <w:sig w:usb0="00000000" w:usb1="00000000" w:usb2="00000016" w:usb3="00000000" w:csb0="00040001" w:csb1="00000000"/>
  </w:font>
  <w:font w:name="仿宋_GB2312">
    <w:altName w:val="方正仿宋_GBK"/>
    <w:panose1 w:val="02010609030101010101"/>
    <w:charset w:val="86"/>
    <w:family w:val="modern"/>
    <w:pitch w:val="default"/>
    <w:sig w:usb0="00000000" w:usb1="00000000" w:usb2="00000000" w:usb3="00000000" w:csb0="00040000" w:csb1="00000000"/>
  </w:font>
  <w:font w:name="方正小标宋_GBK">
    <w:panose1 w:val="02000000000000000000"/>
    <w:charset w:val="86"/>
    <w:family w:val="script"/>
    <w:pitch w:val="default"/>
    <w:sig w:usb0="A00002BF" w:usb1="38CF7CFA" w:usb2="00082016" w:usb3="00000000" w:csb0="00040001" w:csb1="00000000"/>
    <w:embedRegular r:id="rId4" w:fontKey="{75F3748A-9725-0246-E123-E9653E4BAD6B}"/>
  </w:font>
  <w:font w:name="楷体_GB2312">
    <w:altName w:val="汉仪楷体简"/>
    <w:panose1 w:val="02010609030101010101"/>
    <w:charset w:val="86"/>
    <w:family w:val="modern"/>
    <w:pitch w:val="default"/>
    <w:sig w:usb0="00000000" w:usb1="00000000" w:usb2="00000000" w:usb3="00000000" w:csb0="0004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楷体简">
    <w:panose1 w:val="02010600000101010101"/>
    <w:charset w:val="86"/>
    <w:family w:val="auto"/>
    <w:pitch w:val="default"/>
    <w:sig w:usb0="00000001" w:usb1="080E0800" w:usb2="00000002" w:usb3="00000000" w:csb0="00040000" w:csb1="00000000"/>
  </w:font>
  <w:font w:name="方正仿宋_GBK">
    <w:panose1 w:val="02000000000000000000"/>
    <w:charset w:val="86"/>
    <w:family w:val="auto"/>
    <w:pitch w:val="default"/>
    <w:sig w:usb0="A00002BF" w:usb1="38CF7CFA" w:usb2="00082016" w:usb3="00000000" w:csb0="00040001"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outside" w:y="1"/>
      <w:jc w:val="center"/>
      <w:rPr>
        <w:rStyle w:val="7"/>
        <w:rFonts w:ascii="宋体" w:hAnsi="宋体"/>
        <w:sz w:val="26"/>
        <w:szCs w:val="26"/>
      </w:rPr>
    </w:pPr>
    <w:r>
      <w:rPr>
        <w:rStyle w:val="7"/>
        <w:rFonts w:ascii="宋体" w:hAnsi="宋体"/>
        <w:sz w:val="26"/>
        <w:szCs w:val="26"/>
      </w:rPr>
      <w:t>—</w:t>
    </w:r>
    <w:r>
      <w:rPr>
        <w:rStyle w:val="7"/>
        <w:rFonts w:hint="eastAsia" w:ascii="宋体" w:hAnsi="宋体"/>
        <w:sz w:val="26"/>
        <w:szCs w:val="26"/>
      </w:rPr>
      <w:t xml:space="preserve"> </w:t>
    </w:r>
    <w:r>
      <w:rPr>
        <w:rFonts w:ascii="Times New Roman" w:hAnsi="Times New Roman"/>
        <w:sz w:val="26"/>
        <w:szCs w:val="26"/>
      </w:rPr>
      <w:fldChar w:fldCharType="begin"/>
    </w:r>
    <w:r>
      <w:rPr>
        <w:rStyle w:val="7"/>
        <w:rFonts w:ascii="Times New Roman" w:hAnsi="Times New Roman"/>
        <w:sz w:val="26"/>
        <w:szCs w:val="26"/>
      </w:rPr>
      <w:instrText xml:space="preserve">PAGE  </w:instrText>
    </w:r>
    <w:r>
      <w:rPr>
        <w:rFonts w:ascii="Times New Roman" w:hAnsi="Times New Roman"/>
        <w:sz w:val="26"/>
        <w:szCs w:val="26"/>
      </w:rPr>
      <w:fldChar w:fldCharType="separate"/>
    </w:r>
    <w:r>
      <w:rPr>
        <w:rStyle w:val="7"/>
        <w:rFonts w:ascii="Times New Roman" w:hAnsi="Times New Roman"/>
        <w:sz w:val="26"/>
        <w:szCs w:val="26"/>
      </w:rPr>
      <w:t>2</w:t>
    </w:r>
    <w:r>
      <w:rPr>
        <w:rFonts w:ascii="Times New Roman" w:hAnsi="Times New Roman"/>
        <w:sz w:val="26"/>
        <w:szCs w:val="26"/>
      </w:rPr>
      <w:fldChar w:fldCharType="end"/>
    </w:r>
    <w:r>
      <w:rPr>
        <w:rStyle w:val="7"/>
        <w:rFonts w:hint="eastAsia" w:ascii="宋体" w:hAnsi="宋体"/>
        <w:sz w:val="26"/>
        <w:szCs w:val="26"/>
      </w:rPr>
      <w:t xml:space="preserve"> </w:t>
    </w:r>
    <w:r>
      <w:rPr>
        <w:rStyle w:val="7"/>
        <w:rFonts w:ascii="宋体" w:hAnsi="宋体"/>
        <w:sz w:val="26"/>
        <w:szCs w:val="26"/>
      </w:rPr>
      <w:t>—</w:t>
    </w:r>
  </w:p>
  <w:p>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462360A"/>
    <w:multiLevelType w:val="singleLevel"/>
    <w:tmpl w:val="F462360A"/>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6"/>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5ZTEzNTZiOTZlNWRkYmQ1MmE4MDBlN2M1NGM3ZGUifQ=="/>
  </w:docVars>
  <w:rsids>
    <w:rsidRoot w:val="00172A27"/>
    <w:rsid w:val="00293521"/>
    <w:rsid w:val="006F2B74"/>
    <w:rsid w:val="00824069"/>
    <w:rsid w:val="00B24C18"/>
    <w:rsid w:val="00C50B26"/>
    <w:rsid w:val="00E1642A"/>
    <w:rsid w:val="01877B89"/>
    <w:rsid w:val="01B9202D"/>
    <w:rsid w:val="01BA00F8"/>
    <w:rsid w:val="01E2240F"/>
    <w:rsid w:val="02664FAB"/>
    <w:rsid w:val="028D6F70"/>
    <w:rsid w:val="02A03172"/>
    <w:rsid w:val="02BB561C"/>
    <w:rsid w:val="02BC3862"/>
    <w:rsid w:val="02C009C0"/>
    <w:rsid w:val="02C027DB"/>
    <w:rsid w:val="02C848FD"/>
    <w:rsid w:val="02DA1F3A"/>
    <w:rsid w:val="02DA4630"/>
    <w:rsid w:val="03160513"/>
    <w:rsid w:val="031D2F36"/>
    <w:rsid w:val="03321D76"/>
    <w:rsid w:val="03D53207"/>
    <w:rsid w:val="03FF3282"/>
    <w:rsid w:val="043B3539"/>
    <w:rsid w:val="043E7D08"/>
    <w:rsid w:val="044A2BAD"/>
    <w:rsid w:val="045201B4"/>
    <w:rsid w:val="045B5A55"/>
    <w:rsid w:val="047859A3"/>
    <w:rsid w:val="04821A50"/>
    <w:rsid w:val="05043902"/>
    <w:rsid w:val="05335E16"/>
    <w:rsid w:val="053717CB"/>
    <w:rsid w:val="0544799F"/>
    <w:rsid w:val="05812B41"/>
    <w:rsid w:val="05CD222A"/>
    <w:rsid w:val="05FB123E"/>
    <w:rsid w:val="06234C64"/>
    <w:rsid w:val="06377B4C"/>
    <w:rsid w:val="06555943"/>
    <w:rsid w:val="06982838"/>
    <w:rsid w:val="06986394"/>
    <w:rsid w:val="06AB4061"/>
    <w:rsid w:val="06BD229F"/>
    <w:rsid w:val="06D80E8E"/>
    <w:rsid w:val="06F176CE"/>
    <w:rsid w:val="06FC25D7"/>
    <w:rsid w:val="07072066"/>
    <w:rsid w:val="071208C4"/>
    <w:rsid w:val="07181283"/>
    <w:rsid w:val="072D3521"/>
    <w:rsid w:val="072D4D2F"/>
    <w:rsid w:val="0737795B"/>
    <w:rsid w:val="07630750"/>
    <w:rsid w:val="076F3599"/>
    <w:rsid w:val="077416B5"/>
    <w:rsid w:val="07CF6959"/>
    <w:rsid w:val="07FC0BE8"/>
    <w:rsid w:val="08283EB1"/>
    <w:rsid w:val="084D31AF"/>
    <w:rsid w:val="089D529E"/>
    <w:rsid w:val="08CB2A51"/>
    <w:rsid w:val="08D57CBF"/>
    <w:rsid w:val="08DA0EE6"/>
    <w:rsid w:val="09080EE5"/>
    <w:rsid w:val="096E6282"/>
    <w:rsid w:val="09B169AE"/>
    <w:rsid w:val="09C14C6F"/>
    <w:rsid w:val="0A4D2545"/>
    <w:rsid w:val="0A9D666F"/>
    <w:rsid w:val="0AA51080"/>
    <w:rsid w:val="0ACE05D7"/>
    <w:rsid w:val="0AD11E75"/>
    <w:rsid w:val="0AD156CF"/>
    <w:rsid w:val="0B847360"/>
    <w:rsid w:val="0BAA1044"/>
    <w:rsid w:val="0BBA0915"/>
    <w:rsid w:val="0BFF2548"/>
    <w:rsid w:val="0BFF49FB"/>
    <w:rsid w:val="0C41127C"/>
    <w:rsid w:val="0C4A6383"/>
    <w:rsid w:val="0C5343FD"/>
    <w:rsid w:val="0C985340"/>
    <w:rsid w:val="0CA2325F"/>
    <w:rsid w:val="0CCA0D02"/>
    <w:rsid w:val="0CD53E4D"/>
    <w:rsid w:val="0CE566C2"/>
    <w:rsid w:val="0CEE002E"/>
    <w:rsid w:val="0CF12CA2"/>
    <w:rsid w:val="0D1B7003"/>
    <w:rsid w:val="0D3D1A44"/>
    <w:rsid w:val="0D470EA5"/>
    <w:rsid w:val="0D533015"/>
    <w:rsid w:val="0D5E12AB"/>
    <w:rsid w:val="0D7C07BE"/>
    <w:rsid w:val="0D8B3E92"/>
    <w:rsid w:val="0DB95E5C"/>
    <w:rsid w:val="0DDC74AE"/>
    <w:rsid w:val="0DE313F3"/>
    <w:rsid w:val="0DE87C01"/>
    <w:rsid w:val="0E26368E"/>
    <w:rsid w:val="0E4C4A90"/>
    <w:rsid w:val="0E8F62CF"/>
    <w:rsid w:val="0EA878EA"/>
    <w:rsid w:val="0ECF1016"/>
    <w:rsid w:val="0F2C6214"/>
    <w:rsid w:val="0FA67D74"/>
    <w:rsid w:val="0FC02573"/>
    <w:rsid w:val="0FD22C29"/>
    <w:rsid w:val="0FD67FB1"/>
    <w:rsid w:val="0FED7751"/>
    <w:rsid w:val="0FF860F6"/>
    <w:rsid w:val="10027894"/>
    <w:rsid w:val="10182D77"/>
    <w:rsid w:val="102564F4"/>
    <w:rsid w:val="10AD0C8E"/>
    <w:rsid w:val="10C02952"/>
    <w:rsid w:val="10F20D97"/>
    <w:rsid w:val="1111746F"/>
    <w:rsid w:val="11202D52"/>
    <w:rsid w:val="11281F7B"/>
    <w:rsid w:val="112D1C30"/>
    <w:rsid w:val="117417AC"/>
    <w:rsid w:val="118E0AC0"/>
    <w:rsid w:val="11A91315"/>
    <w:rsid w:val="120A0758"/>
    <w:rsid w:val="12A54313"/>
    <w:rsid w:val="12C86AF6"/>
    <w:rsid w:val="132719F0"/>
    <w:rsid w:val="132C233E"/>
    <w:rsid w:val="13390EFF"/>
    <w:rsid w:val="13743CE5"/>
    <w:rsid w:val="13A43C0D"/>
    <w:rsid w:val="13B54A2A"/>
    <w:rsid w:val="13BF1404"/>
    <w:rsid w:val="13C95DDF"/>
    <w:rsid w:val="13F774A1"/>
    <w:rsid w:val="144731A8"/>
    <w:rsid w:val="14485B17"/>
    <w:rsid w:val="146124BC"/>
    <w:rsid w:val="146855F8"/>
    <w:rsid w:val="14AF3607"/>
    <w:rsid w:val="14C33176"/>
    <w:rsid w:val="14C7113A"/>
    <w:rsid w:val="152137AA"/>
    <w:rsid w:val="154446FF"/>
    <w:rsid w:val="155E4163"/>
    <w:rsid w:val="15B50D11"/>
    <w:rsid w:val="16314110"/>
    <w:rsid w:val="164E7166"/>
    <w:rsid w:val="165B0058"/>
    <w:rsid w:val="16845D3E"/>
    <w:rsid w:val="16D6456F"/>
    <w:rsid w:val="16F940E7"/>
    <w:rsid w:val="17045380"/>
    <w:rsid w:val="170B670F"/>
    <w:rsid w:val="175E0F34"/>
    <w:rsid w:val="176F2436"/>
    <w:rsid w:val="17971358"/>
    <w:rsid w:val="17DA26EC"/>
    <w:rsid w:val="17E13079"/>
    <w:rsid w:val="17F058C9"/>
    <w:rsid w:val="17FB556C"/>
    <w:rsid w:val="182A0E16"/>
    <w:rsid w:val="18950986"/>
    <w:rsid w:val="18B95787"/>
    <w:rsid w:val="18F71640"/>
    <w:rsid w:val="18FE29CF"/>
    <w:rsid w:val="19407A04"/>
    <w:rsid w:val="194A5C14"/>
    <w:rsid w:val="196F11D7"/>
    <w:rsid w:val="197930F7"/>
    <w:rsid w:val="19AF5A77"/>
    <w:rsid w:val="19F8741E"/>
    <w:rsid w:val="1A7F18ED"/>
    <w:rsid w:val="1A8D37DD"/>
    <w:rsid w:val="1A976C37"/>
    <w:rsid w:val="1ACE017F"/>
    <w:rsid w:val="1AFC5E3E"/>
    <w:rsid w:val="1B103715"/>
    <w:rsid w:val="1B7E3953"/>
    <w:rsid w:val="1C8E66AA"/>
    <w:rsid w:val="1C9553F8"/>
    <w:rsid w:val="1CD06430"/>
    <w:rsid w:val="1D33169F"/>
    <w:rsid w:val="1D50131F"/>
    <w:rsid w:val="1D6D5E16"/>
    <w:rsid w:val="1DAF4298"/>
    <w:rsid w:val="1DD42D48"/>
    <w:rsid w:val="1E2C09AB"/>
    <w:rsid w:val="1E464AD7"/>
    <w:rsid w:val="1E5310C7"/>
    <w:rsid w:val="1E652BA8"/>
    <w:rsid w:val="1EDA17E8"/>
    <w:rsid w:val="1EE241F9"/>
    <w:rsid w:val="1EF86EC7"/>
    <w:rsid w:val="1F1D16D5"/>
    <w:rsid w:val="1F6A4EFD"/>
    <w:rsid w:val="1F750B0E"/>
    <w:rsid w:val="1F8F25D3"/>
    <w:rsid w:val="1F974FE3"/>
    <w:rsid w:val="1FE3088A"/>
    <w:rsid w:val="200D34F7"/>
    <w:rsid w:val="20120B0E"/>
    <w:rsid w:val="202F7912"/>
    <w:rsid w:val="203770D9"/>
    <w:rsid w:val="203C4C10"/>
    <w:rsid w:val="205B0707"/>
    <w:rsid w:val="20656F19"/>
    <w:rsid w:val="207215AC"/>
    <w:rsid w:val="20784D3D"/>
    <w:rsid w:val="208714FC"/>
    <w:rsid w:val="20B561E4"/>
    <w:rsid w:val="20C20786"/>
    <w:rsid w:val="20C93FC6"/>
    <w:rsid w:val="20CA3197"/>
    <w:rsid w:val="20DB35F6"/>
    <w:rsid w:val="21117017"/>
    <w:rsid w:val="21122A7A"/>
    <w:rsid w:val="2128722E"/>
    <w:rsid w:val="215E0285"/>
    <w:rsid w:val="218F687E"/>
    <w:rsid w:val="21A92D89"/>
    <w:rsid w:val="21BE719F"/>
    <w:rsid w:val="21BF3092"/>
    <w:rsid w:val="21C577F6"/>
    <w:rsid w:val="221B63A0"/>
    <w:rsid w:val="22415793"/>
    <w:rsid w:val="2247749B"/>
    <w:rsid w:val="226D64CF"/>
    <w:rsid w:val="22791318"/>
    <w:rsid w:val="22A31EF1"/>
    <w:rsid w:val="22C32D1A"/>
    <w:rsid w:val="22D93B65"/>
    <w:rsid w:val="23103A2A"/>
    <w:rsid w:val="232F1EE9"/>
    <w:rsid w:val="238C3CFC"/>
    <w:rsid w:val="239161EE"/>
    <w:rsid w:val="23C6233B"/>
    <w:rsid w:val="23E7405F"/>
    <w:rsid w:val="23EE53EE"/>
    <w:rsid w:val="240A66CC"/>
    <w:rsid w:val="24151C29"/>
    <w:rsid w:val="241743A5"/>
    <w:rsid w:val="241D1F09"/>
    <w:rsid w:val="243472A5"/>
    <w:rsid w:val="24760F92"/>
    <w:rsid w:val="247D6406"/>
    <w:rsid w:val="248E42DA"/>
    <w:rsid w:val="249146F7"/>
    <w:rsid w:val="2492221D"/>
    <w:rsid w:val="24945F95"/>
    <w:rsid w:val="25271614"/>
    <w:rsid w:val="25950217"/>
    <w:rsid w:val="25A450EF"/>
    <w:rsid w:val="25A8302D"/>
    <w:rsid w:val="25F51453"/>
    <w:rsid w:val="25FF1B34"/>
    <w:rsid w:val="266C388D"/>
    <w:rsid w:val="269F7958"/>
    <w:rsid w:val="26C05943"/>
    <w:rsid w:val="27014B68"/>
    <w:rsid w:val="271E7377"/>
    <w:rsid w:val="27277595"/>
    <w:rsid w:val="272E0923"/>
    <w:rsid w:val="277D6C87"/>
    <w:rsid w:val="27827071"/>
    <w:rsid w:val="278422F1"/>
    <w:rsid w:val="27854DC2"/>
    <w:rsid w:val="278B4098"/>
    <w:rsid w:val="27AB1CB6"/>
    <w:rsid w:val="27EB411E"/>
    <w:rsid w:val="27F51441"/>
    <w:rsid w:val="283006CB"/>
    <w:rsid w:val="283663E8"/>
    <w:rsid w:val="28391D97"/>
    <w:rsid w:val="28405BFA"/>
    <w:rsid w:val="28681C13"/>
    <w:rsid w:val="288F53F1"/>
    <w:rsid w:val="289B3D96"/>
    <w:rsid w:val="28A81DDD"/>
    <w:rsid w:val="28FA524C"/>
    <w:rsid w:val="295E6B72"/>
    <w:rsid w:val="29634188"/>
    <w:rsid w:val="296F0D7F"/>
    <w:rsid w:val="29955A56"/>
    <w:rsid w:val="29B26E1A"/>
    <w:rsid w:val="29FC0524"/>
    <w:rsid w:val="2A4E3762"/>
    <w:rsid w:val="2A527ACB"/>
    <w:rsid w:val="2A7228D5"/>
    <w:rsid w:val="2AB729DE"/>
    <w:rsid w:val="2ACB0186"/>
    <w:rsid w:val="2AED5382"/>
    <w:rsid w:val="2B026B64"/>
    <w:rsid w:val="2B125E66"/>
    <w:rsid w:val="2B807762"/>
    <w:rsid w:val="2B960845"/>
    <w:rsid w:val="2BAA0794"/>
    <w:rsid w:val="2BAB2139"/>
    <w:rsid w:val="2BC90C1A"/>
    <w:rsid w:val="2BD15D21"/>
    <w:rsid w:val="2C0F23A5"/>
    <w:rsid w:val="2C312DD3"/>
    <w:rsid w:val="2C7F39CF"/>
    <w:rsid w:val="2C82701B"/>
    <w:rsid w:val="2CC55886"/>
    <w:rsid w:val="2D533FA5"/>
    <w:rsid w:val="2D9C5EBB"/>
    <w:rsid w:val="2DCA343F"/>
    <w:rsid w:val="2DD41142"/>
    <w:rsid w:val="2DE51610"/>
    <w:rsid w:val="2DF440EB"/>
    <w:rsid w:val="2E150BA5"/>
    <w:rsid w:val="2E293F96"/>
    <w:rsid w:val="2E5E4EEE"/>
    <w:rsid w:val="2E7947E8"/>
    <w:rsid w:val="2E935510"/>
    <w:rsid w:val="2E990F32"/>
    <w:rsid w:val="2F2B4BF0"/>
    <w:rsid w:val="2F650C5A"/>
    <w:rsid w:val="2F762D41"/>
    <w:rsid w:val="2F84625D"/>
    <w:rsid w:val="2FB5289B"/>
    <w:rsid w:val="30161F54"/>
    <w:rsid w:val="30843934"/>
    <w:rsid w:val="30A532D8"/>
    <w:rsid w:val="30B55C11"/>
    <w:rsid w:val="30DF67EA"/>
    <w:rsid w:val="30F91AAF"/>
    <w:rsid w:val="314671C3"/>
    <w:rsid w:val="315E3BB3"/>
    <w:rsid w:val="31780A24"/>
    <w:rsid w:val="319A63C8"/>
    <w:rsid w:val="31A17343"/>
    <w:rsid w:val="31B45EC9"/>
    <w:rsid w:val="31CA3138"/>
    <w:rsid w:val="31DF7699"/>
    <w:rsid w:val="31EC5663"/>
    <w:rsid w:val="3200110E"/>
    <w:rsid w:val="320C546C"/>
    <w:rsid w:val="322272D6"/>
    <w:rsid w:val="323E5792"/>
    <w:rsid w:val="32523F5D"/>
    <w:rsid w:val="3268644D"/>
    <w:rsid w:val="32755658"/>
    <w:rsid w:val="328533C1"/>
    <w:rsid w:val="32957AA8"/>
    <w:rsid w:val="32C2211D"/>
    <w:rsid w:val="32CA1FB9"/>
    <w:rsid w:val="32CD6692"/>
    <w:rsid w:val="32CE168D"/>
    <w:rsid w:val="33006856"/>
    <w:rsid w:val="3330157F"/>
    <w:rsid w:val="33A51F6D"/>
    <w:rsid w:val="33AE487B"/>
    <w:rsid w:val="33F46A50"/>
    <w:rsid w:val="340842AA"/>
    <w:rsid w:val="341E587B"/>
    <w:rsid w:val="342A17E5"/>
    <w:rsid w:val="34351D2A"/>
    <w:rsid w:val="344F3C87"/>
    <w:rsid w:val="34636D8D"/>
    <w:rsid w:val="34740178"/>
    <w:rsid w:val="34837B48"/>
    <w:rsid w:val="34A24703"/>
    <w:rsid w:val="34C060E3"/>
    <w:rsid w:val="34E00D83"/>
    <w:rsid w:val="34EF0FC6"/>
    <w:rsid w:val="351D5B33"/>
    <w:rsid w:val="353D2096"/>
    <w:rsid w:val="356C3370"/>
    <w:rsid w:val="359027A9"/>
    <w:rsid w:val="3591050C"/>
    <w:rsid w:val="35957DBF"/>
    <w:rsid w:val="35A65B28"/>
    <w:rsid w:val="35A770FE"/>
    <w:rsid w:val="35B47072"/>
    <w:rsid w:val="35D02BA5"/>
    <w:rsid w:val="35E94B4D"/>
    <w:rsid w:val="35EF5721"/>
    <w:rsid w:val="36051C95"/>
    <w:rsid w:val="36624145"/>
    <w:rsid w:val="368105F9"/>
    <w:rsid w:val="36E5185A"/>
    <w:rsid w:val="376D611C"/>
    <w:rsid w:val="377F4836"/>
    <w:rsid w:val="37C15077"/>
    <w:rsid w:val="37C85948"/>
    <w:rsid w:val="37DB4D0B"/>
    <w:rsid w:val="38066D52"/>
    <w:rsid w:val="3838181B"/>
    <w:rsid w:val="3842422E"/>
    <w:rsid w:val="38483193"/>
    <w:rsid w:val="385110C5"/>
    <w:rsid w:val="387E7977"/>
    <w:rsid w:val="38B05B38"/>
    <w:rsid w:val="390101ED"/>
    <w:rsid w:val="39233B81"/>
    <w:rsid w:val="39570A5F"/>
    <w:rsid w:val="396F087C"/>
    <w:rsid w:val="397D3044"/>
    <w:rsid w:val="39914BB0"/>
    <w:rsid w:val="39AC709C"/>
    <w:rsid w:val="39CF3994"/>
    <w:rsid w:val="39D30EB6"/>
    <w:rsid w:val="39F26887"/>
    <w:rsid w:val="3A0F6392"/>
    <w:rsid w:val="3A184FE2"/>
    <w:rsid w:val="3A3A30E6"/>
    <w:rsid w:val="3A687E58"/>
    <w:rsid w:val="3A89770A"/>
    <w:rsid w:val="3A8D54B0"/>
    <w:rsid w:val="3A995C5C"/>
    <w:rsid w:val="3AB72586"/>
    <w:rsid w:val="3B1426CE"/>
    <w:rsid w:val="3B767956"/>
    <w:rsid w:val="3B9D1648"/>
    <w:rsid w:val="3BB51A0D"/>
    <w:rsid w:val="3BDF1D94"/>
    <w:rsid w:val="3BEE647B"/>
    <w:rsid w:val="3C12216A"/>
    <w:rsid w:val="3C4D5050"/>
    <w:rsid w:val="3CA35B1C"/>
    <w:rsid w:val="3CC35212"/>
    <w:rsid w:val="3D741B54"/>
    <w:rsid w:val="3D7B789B"/>
    <w:rsid w:val="3E04033A"/>
    <w:rsid w:val="3E0D07D3"/>
    <w:rsid w:val="3E41644E"/>
    <w:rsid w:val="3E594080"/>
    <w:rsid w:val="3EAA48DB"/>
    <w:rsid w:val="3ED823F9"/>
    <w:rsid w:val="3F067638"/>
    <w:rsid w:val="3F516B05"/>
    <w:rsid w:val="3F917849"/>
    <w:rsid w:val="3FA62B83"/>
    <w:rsid w:val="3FCB2D5B"/>
    <w:rsid w:val="3FE34874"/>
    <w:rsid w:val="3FFA53EF"/>
    <w:rsid w:val="40163736"/>
    <w:rsid w:val="401D6920"/>
    <w:rsid w:val="402D5471"/>
    <w:rsid w:val="405368AD"/>
    <w:rsid w:val="406C050A"/>
    <w:rsid w:val="40794850"/>
    <w:rsid w:val="407D1B7C"/>
    <w:rsid w:val="40835030"/>
    <w:rsid w:val="408D0011"/>
    <w:rsid w:val="409C0254"/>
    <w:rsid w:val="40A519CB"/>
    <w:rsid w:val="40EA5463"/>
    <w:rsid w:val="40F462E2"/>
    <w:rsid w:val="41171FD0"/>
    <w:rsid w:val="412563D7"/>
    <w:rsid w:val="41283A14"/>
    <w:rsid w:val="414A5F02"/>
    <w:rsid w:val="41616AC2"/>
    <w:rsid w:val="41A61B5F"/>
    <w:rsid w:val="41A82C28"/>
    <w:rsid w:val="41C52617"/>
    <w:rsid w:val="41C65889"/>
    <w:rsid w:val="4215366B"/>
    <w:rsid w:val="42686FCC"/>
    <w:rsid w:val="42734FE4"/>
    <w:rsid w:val="428D1BB7"/>
    <w:rsid w:val="42947D91"/>
    <w:rsid w:val="429D0435"/>
    <w:rsid w:val="42DF267A"/>
    <w:rsid w:val="42EB1B37"/>
    <w:rsid w:val="42F26851"/>
    <w:rsid w:val="430301DD"/>
    <w:rsid w:val="43155CCD"/>
    <w:rsid w:val="433E7BCA"/>
    <w:rsid w:val="43491BA1"/>
    <w:rsid w:val="43632F12"/>
    <w:rsid w:val="436A63E7"/>
    <w:rsid w:val="43F177F1"/>
    <w:rsid w:val="44227EAB"/>
    <w:rsid w:val="442E1B0B"/>
    <w:rsid w:val="448B2AB9"/>
    <w:rsid w:val="44C71617"/>
    <w:rsid w:val="44CA64E6"/>
    <w:rsid w:val="44EE3D77"/>
    <w:rsid w:val="451D6EF5"/>
    <w:rsid w:val="45BB216A"/>
    <w:rsid w:val="46116D16"/>
    <w:rsid w:val="46277E8E"/>
    <w:rsid w:val="465917BE"/>
    <w:rsid w:val="46805F22"/>
    <w:rsid w:val="468C0D6B"/>
    <w:rsid w:val="46933EA7"/>
    <w:rsid w:val="46E22739"/>
    <w:rsid w:val="47213261"/>
    <w:rsid w:val="473E3532"/>
    <w:rsid w:val="47541D2E"/>
    <w:rsid w:val="47CF50B4"/>
    <w:rsid w:val="47F3094E"/>
    <w:rsid w:val="47FC782A"/>
    <w:rsid w:val="487D6D04"/>
    <w:rsid w:val="48B54826"/>
    <w:rsid w:val="48D04F3E"/>
    <w:rsid w:val="48D92A3A"/>
    <w:rsid w:val="490270C2"/>
    <w:rsid w:val="49110858"/>
    <w:rsid w:val="49157C69"/>
    <w:rsid w:val="493A177E"/>
    <w:rsid w:val="4972249A"/>
    <w:rsid w:val="4983198C"/>
    <w:rsid w:val="499842EA"/>
    <w:rsid w:val="49AB5983"/>
    <w:rsid w:val="49AE2DA6"/>
    <w:rsid w:val="49CA2218"/>
    <w:rsid w:val="49D7304D"/>
    <w:rsid w:val="49DB3367"/>
    <w:rsid w:val="4A050C18"/>
    <w:rsid w:val="4A0B2CB5"/>
    <w:rsid w:val="4A3634C7"/>
    <w:rsid w:val="4A7000CB"/>
    <w:rsid w:val="4A920BB5"/>
    <w:rsid w:val="4A9621B8"/>
    <w:rsid w:val="4AF97BDF"/>
    <w:rsid w:val="4AFF0EAC"/>
    <w:rsid w:val="4B137CD2"/>
    <w:rsid w:val="4B191F7C"/>
    <w:rsid w:val="4BCB7C3F"/>
    <w:rsid w:val="4BD25472"/>
    <w:rsid w:val="4C163FB8"/>
    <w:rsid w:val="4C276021"/>
    <w:rsid w:val="4C3214DD"/>
    <w:rsid w:val="4C490645"/>
    <w:rsid w:val="4CC50B32"/>
    <w:rsid w:val="4CE52EDD"/>
    <w:rsid w:val="4CEF5BAF"/>
    <w:rsid w:val="4CF309DB"/>
    <w:rsid w:val="4D027691"/>
    <w:rsid w:val="4D625E3B"/>
    <w:rsid w:val="4D87403A"/>
    <w:rsid w:val="4D92310A"/>
    <w:rsid w:val="4E0833CC"/>
    <w:rsid w:val="4E3046D1"/>
    <w:rsid w:val="4E343A78"/>
    <w:rsid w:val="4E3E4C6B"/>
    <w:rsid w:val="4E4B32B9"/>
    <w:rsid w:val="4E65437B"/>
    <w:rsid w:val="4EAD3592"/>
    <w:rsid w:val="4EBD30D8"/>
    <w:rsid w:val="4EC5306C"/>
    <w:rsid w:val="4EE259CC"/>
    <w:rsid w:val="4F20253C"/>
    <w:rsid w:val="4F2766C7"/>
    <w:rsid w:val="4F2A4C53"/>
    <w:rsid w:val="4F3705D9"/>
    <w:rsid w:val="4F6C34E7"/>
    <w:rsid w:val="4F770156"/>
    <w:rsid w:val="4FA15887"/>
    <w:rsid w:val="4FA55A32"/>
    <w:rsid w:val="4FB21140"/>
    <w:rsid w:val="4FD712A8"/>
    <w:rsid w:val="4FDA4AAE"/>
    <w:rsid w:val="4FEE65E0"/>
    <w:rsid w:val="4FF21C3E"/>
    <w:rsid w:val="4FFF4529"/>
    <w:rsid w:val="5009487E"/>
    <w:rsid w:val="502D373F"/>
    <w:rsid w:val="5060660C"/>
    <w:rsid w:val="509C5ECA"/>
    <w:rsid w:val="50DB6B76"/>
    <w:rsid w:val="50F47C38"/>
    <w:rsid w:val="50F73284"/>
    <w:rsid w:val="51093CFF"/>
    <w:rsid w:val="515A507F"/>
    <w:rsid w:val="51991E37"/>
    <w:rsid w:val="51B554B6"/>
    <w:rsid w:val="51F0757E"/>
    <w:rsid w:val="523A0AC6"/>
    <w:rsid w:val="52702ADB"/>
    <w:rsid w:val="527B23BF"/>
    <w:rsid w:val="52953F30"/>
    <w:rsid w:val="52CE32A2"/>
    <w:rsid w:val="52D22650"/>
    <w:rsid w:val="52DB4C0C"/>
    <w:rsid w:val="530D7613"/>
    <w:rsid w:val="53364538"/>
    <w:rsid w:val="535D1AC5"/>
    <w:rsid w:val="536051B8"/>
    <w:rsid w:val="538B47B5"/>
    <w:rsid w:val="53A476F3"/>
    <w:rsid w:val="53BD2563"/>
    <w:rsid w:val="540A65D8"/>
    <w:rsid w:val="5411465D"/>
    <w:rsid w:val="544F5F37"/>
    <w:rsid w:val="546B27F0"/>
    <w:rsid w:val="54C067AF"/>
    <w:rsid w:val="54D33338"/>
    <w:rsid w:val="552A1E7A"/>
    <w:rsid w:val="55537669"/>
    <w:rsid w:val="55773692"/>
    <w:rsid w:val="55983288"/>
    <w:rsid w:val="55C37BD9"/>
    <w:rsid w:val="562C12D0"/>
    <w:rsid w:val="564009F8"/>
    <w:rsid w:val="5644163D"/>
    <w:rsid w:val="56576C9F"/>
    <w:rsid w:val="565E65BE"/>
    <w:rsid w:val="568A6434"/>
    <w:rsid w:val="5695400A"/>
    <w:rsid w:val="56972DD7"/>
    <w:rsid w:val="56F52499"/>
    <w:rsid w:val="57256D9D"/>
    <w:rsid w:val="574E44BF"/>
    <w:rsid w:val="575E4DE2"/>
    <w:rsid w:val="57B36157"/>
    <w:rsid w:val="57DA7C2C"/>
    <w:rsid w:val="57F25C9D"/>
    <w:rsid w:val="5846521D"/>
    <w:rsid w:val="58564D34"/>
    <w:rsid w:val="58703450"/>
    <w:rsid w:val="5889335C"/>
    <w:rsid w:val="588E44CE"/>
    <w:rsid w:val="58AE691E"/>
    <w:rsid w:val="58B71934"/>
    <w:rsid w:val="58BD6774"/>
    <w:rsid w:val="58D5034F"/>
    <w:rsid w:val="58EA672E"/>
    <w:rsid w:val="592B22B8"/>
    <w:rsid w:val="5980475F"/>
    <w:rsid w:val="5A064894"/>
    <w:rsid w:val="5A427C66"/>
    <w:rsid w:val="5A7A0BE3"/>
    <w:rsid w:val="5A99350D"/>
    <w:rsid w:val="5AB0697E"/>
    <w:rsid w:val="5AFB0196"/>
    <w:rsid w:val="5B1D1B6B"/>
    <w:rsid w:val="5B417F1E"/>
    <w:rsid w:val="5B4C4FC2"/>
    <w:rsid w:val="5BB71F8E"/>
    <w:rsid w:val="5BE549AC"/>
    <w:rsid w:val="5BED3456"/>
    <w:rsid w:val="5C2F265B"/>
    <w:rsid w:val="5CBF10FA"/>
    <w:rsid w:val="5D1342CE"/>
    <w:rsid w:val="5D35760E"/>
    <w:rsid w:val="5D57778A"/>
    <w:rsid w:val="5D684C04"/>
    <w:rsid w:val="5D6E2BA1"/>
    <w:rsid w:val="5D7F0889"/>
    <w:rsid w:val="5D8440F2"/>
    <w:rsid w:val="5D8F4F70"/>
    <w:rsid w:val="5D972DE5"/>
    <w:rsid w:val="5DD57339"/>
    <w:rsid w:val="5DDC2FED"/>
    <w:rsid w:val="5E280F21"/>
    <w:rsid w:val="5E4115E8"/>
    <w:rsid w:val="5E59557E"/>
    <w:rsid w:val="5E653F23"/>
    <w:rsid w:val="5E750F77"/>
    <w:rsid w:val="5E8B443C"/>
    <w:rsid w:val="5EBA3744"/>
    <w:rsid w:val="5EFC4888"/>
    <w:rsid w:val="5F24519F"/>
    <w:rsid w:val="5F48187B"/>
    <w:rsid w:val="5F731A9A"/>
    <w:rsid w:val="5F8B1768"/>
    <w:rsid w:val="5F8D3732"/>
    <w:rsid w:val="5FB54A36"/>
    <w:rsid w:val="5FBF0998"/>
    <w:rsid w:val="5FCE24F2"/>
    <w:rsid w:val="5FE74B2A"/>
    <w:rsid w:val="5FFC7344"/>
    <w:rsid w:val="603E67DA"/>
    <w:rsid w:val="60402552"/>
    <w:rsid w:val="60430294"/>
    <w:rsid w:val="60452239"/>
    <w:rsid w:val="604B3CA8"/>
    <w:rsid w:val="605D3E6F"/>
    <w:rsid w:val="606E3563"/>
    <w:rsid w:val="60930376"/>
    <w:rsid w:val="60A03E07"/>
    <w:rsid w:val="60C95236"/>
    <w:rsid w:val="60D15084"/>
    <w:rsid w:val="60FF1328"/>
    <w:rsid w:val="614135F9"/>
    <w:rsid w:val="61554209"/>
    <w:rsid w:val="61736957"/>
    <w:rsid w:val="61974B52"/>
    <w:rsid w:val="624920CE"/>
    <w:rsid w:val="626F5370"/>
    <w:rsid w:val="62770FD8"/>
    <w:rsid w:val="62D27E56"/>
    <w:rsid w:val="62E70B7B"/>
    <w:rsid w:val="62EA7E4A"/>
    <w:rsid w:val="6341669D"/>
    <w:rsid w:val="634B0718"/>
    <w:rsid w:val="635F22DE"/>
    <w:rsid w:val="636669F3"/>
    <w:rsid w:val="63751997"/>
    <w:rsid w:val="63A4104A"/>
    <w:rsid w:val="63CA383F"/>
    <w:rsid w:val="64572560"/>
    <w:rsid w:val="645A771F"/>
    <w:rsid w:val="646A6A68"/>
    <w:rsid w:val="64887370"/>
    <w:rsid w:val="64A511BA"/>
    <w:rsid w:val="651F307E"/>
    <w:rsid w:val="653A158F"/>
    <w:rsid w:val="653F050A"/>
    <w:rsid w:val="654725D5"/>
    <w:rsid w:val="658318DC"/>
    <w:rsid w:val="659776D9"/>
    <w:rsid w:val="65CA10E5"/>
    <w:rsid w:val="65EF4D63"/>
    <w:rsid w:val="661C75BD"/>
    <w:rsid w:val="665B5E69"/>
    <w:rsid w:val="66632320"/>
    <w:rsid w:val="666351EC"/>
    <w:rsid w:val="669E6427"/>
    <w:rsid w:val="66FA11E4"/>
    <w:rsid w:val="670818F0"/>
    <w:rsid w:val="674C3266"/>
    <w:rsid w:val="67A46A60"/>
    <w:rsid w:val="67D958E5"/>
    <w:rsid w:val="67DE0344"/>
    <w:rsid w:val="67EB5499"/>
    <w:rsid w:val="67FE4547"/>
    <w:rsid w:val="681A18DB"/>
    <w:rsid w:val="68494705"/>
    <w:rsid w:val="68537976"/>
    <w:rsid w:val="68B65AA7"/>
    <w:rsid w:val="68DB1DDB"/>
    <w:rsid w:val="68F55EA4"/>
    <w:rsid w:val="690D143F"/>
    <w:rsid w:val="691D5B26"/>
    <w:rsid w:val="69531061"/>
    <w:rsid w:val="697119CE"/>
    <w:rsid w:val="699E072A"/>
    <w:rsid w:val="69A25078"/>
    <w:rsid w:val="69B662D2"/>
    <w:rsid w:val="69C2725E"/>
    <w:rsid w:val="6A5E63F6"/>
    <w:rsid w:val="6A773014"/>
    <w:rsid w:val="6AE1287C"/>
    <w:rsid w:val="6B234F4A"/>
    <w:rsid w:val="6B594E10"/>
    <w:rsid w:val="6B8B5B3B"/>
    <w:rsid w:val="6B913BEB"/>
    <w:rsid w:val="6B9C3CAA"/>
    <w:rsid w:val="6BA8544F"/>
    <w:rsid w:val="6BBF1117"/>
    <w:rsid w:val="6BDF3567"/>
    <w:rsid w:val="6BF7225C"/>
    <w:rsid w:val="6C0035B4"/>
    <w:rsid w:val="6C097314"/>
    <w:rsid w:val="6C327B3B"/>
    <w:rsid w:val="6C44161C"/>
    <w:rsid w:val="6C6B0957"/>
    <w:rsid w:val="6CAF2EE1"/>
    <w:rsid w:val="6CFA637E"/>
    <w:rsid w:val="6D013069"/>
    <w:rsid w:val="6D0D7C60"/>
    <w:rsid w:val="6D1E00BF"/>
    <w:rsid w:val="6D26320D"/>
    <w:rsid w:val="6D3B2A1F"/>
    <w:rsid w:val="6D504937"/>
    <w:rsid w:val="6D670C3A"/>
    <w:rsid w:val="6D9D5488"/>
    <w:rsid w:val="6DB620A5"/>
    <w:rsid w:val="6DB93F01"/>
    <w:rsid w:val="6DBB76BC"/>
    <w:rsid w:val="6E1E566C"/>
    <w:rsid w:val="6E296D1B"/>
    <w:rsid w:val="6E58315D"/>
    <w:rsid w:val="6E5D0773"/>
    <w:rsid w:val="6E775CD9"/>
    <w:rsid w:val="6E883A4A"/>
    <w:rsid w:val="6EA43555"/>
    <w:rsid w:val="6EB011EB"/>
    <w:rsid w:val="6ED304EE"/>
    <w:rsid w:val="6F167708"/>
    <w:rsid w:val="6F235519"/>
    <w:rsid w:val="6F4D6237"/>
    <w:rsid w:val="6F694975"/>
    <w:rsid w:val="6F751AEC"/>
    <w:rsid w:val="6FC14546"/>
    <w:rsid w:val="6FE05858"/>
    <w:rsid w:val="6FED7B22"/>
    <w:rsid w:val="6FFE5E6E"/>
    <w:rsid w:val="703025E3"/>
    <w:rsid w:val="7035211A"/>
    <w:rsid w:val="703674CE"/>
    <w:rsid w:val="707441D7"/>
    <w:rsid w:val="709407A5"/>
    <w:rsid w:val="70C53182"/>
    <w:rsid w:val="70D867D7"/>
    <w:rsid w:val="70D87E35"/>
    <w:rsid w:val="713617CD"/>
    <w:rsid w:val="71676A96"/>
    <w:rsid w:val="717A7DCC"/>
    <w:rsid w:val="717B190F"/>
    <w:rsid w:val="71CB331A"/>
    <w:rsid w:val="71DB0C50"/>
    <w:rsid w:val="71E46B06"/>
    <w:rsid w:val="71EF202A"/>
    <w:rsid w:val="71F96A05"/>
    <w:rsid w:val="724F2AC9"/>
    <w:rsid w:val="72620A4E"/>
    <w:rsid w:val="728A58AF"/>
    <w:rsid w:val="728B07CD"/>
    <w:rsid w:val="730B4C41"/>
    <w:rsid w:val="73312B36"/>
    <w:rsid w:val="73700F48"/>
    <w:rsid w:val="73A14B0C"/>
    <w:rsid w:val="73AF1A71"/>
    <w:rsid w:val="7404270E"/>
    <w:rsid w:val="740A6CA7"/>
    <w:rsid w:val="742151E3"/>
    <w:rsid w:val="74493C73"/>
    <w:rsid w:val="745F5629"/>
    <w:rsid w:val="74600FBD"/>
    <w:rsid w:val="746960C4"/>
    <w:rsid w:val="74773FE6"/>
    <w:rsid w:val="74A21B16"/>
    <w:rsid w:val="74B86703"/>
    <w:rsid w:val="74DD0860"/>
    <w:rsid w:val="750F0823"/>
    <w:rsid w:val="752943E7"/>
    <w:rsid w:val="75363ACC"/>
    <w:rsid w:val="755A1EB0"/>
    <w:rsid w:val="75675DB8"/>
    <w:rsid w:val="75A5137D"/>
    <w:rsid w:val="75B67D54"/>
    <w:rsid w:val="75E468FA"/>
    <w:rsid w:val="75F75951"/>
    <w:rsid w:val="761A53C5"/>
    <w:rsid w:val="768B3FFF"/>
    <w:rsid w:val="76A43C1D"/>
    <w:rsid w:val="76B56913"/>
    <w:rsid w:val="770F5DB3"/>
    <w:rsid w:val="771542E1"/>
    <w:rsid w:val="77473FC1"/>
    <w:rsid w:val="77495D38"/>
    <w:rsid w:val="775F44B8"/>
    <w:rsid w:val="77894387"/>
    <w:rsid w:val="779D6084"/>
    <w:rsid w:val="77B471AB"/>
    <w:rsid w:val="77B84C6C"/>
    <w:rsid w:val="77E574F4"/>
    <w:rsid w:val="77F779FD"/>
    <w:rsid w:val="781026A3"/>
    <w:rsid w:val="782B18E2"/>
    <w:rsid w:val="78607237"/>
    <w:rsid w:val="78615304"/>
    <w:rsid w:val="78636BD0"/>
    <w:rsid w:val="7879124D"/>
    <w:rsid w:val="78A60587"/>
    <w:rsid w:val="78AC7A43"/>
    <w:rsid w:val="78B90C9C"/>
    <w:rsid w:val="79030169"/>
    <w:rsid w:val="79432A51"/>
    <w:rsid w:val="79570BE0"/>
    <w:rsid w:val="79697D22"/>
    <w:rsid w:val="798E7B10"/>
    <w:rsid w:val="79A84E8B"/>
    <w:rsid w:val="79C723CF"/>
    <w:rsid w:val="79D66955"/>
    <w:rsid w:val="79DD09BA"/>
    <w:rsid w:val="79F73EC1"/>
    <w:rsid w:val="7A146AD1"/>
    <w:rsid w:val="7A1940E8"/>
    <w:rsid w:val="7A3A3172"/>
    <w:rsid w:val="7A6A04A0"/>
    <w:rsid w:val="7A821B4C"/>
    <w:rsid w:val="7A850200"/>
    <w:rsid w:val="7A8552D9"/>
    <w:rsid w:val="7A9935C9"/>
    <w:rsid w:val="7AC37541"/>
    <w:rsid w:val="7ACC115A"/>
    <w:rsid w:val="7B104D3F"/>
    <w:rsid w:val="7B476666"/>
    <w:rsid w:val="7B634EB6"/>
    <w:rsid w:val="7B641393"/>
    <w:rsid w:val="7B914152"/>
    <w:rsid w:val="7B9239F7"/>
    <w:rsid w:val="7B9C6F89"/>
    <w:rsid w:val="7BDB1D23"/>
    <w:rsid w:val="7BE451FE"/>
    <w:rsid w:val="7BFA4DDF"/>
    <w:rsid w:val="7BFA6A35"/>
    <w:rsid w:val="7C27542C"/>
    <w:rsid w:val="7C39281F"/>
    <w:rsid w:val="7C741BDC"/>
    <w:rsid w:val="7D3F09B9"/>
    <w:rsid w:val="7D3F21FE"/>
    <w:rsid w:val="7D5752D3"/>
    <w:rsid w:val="7D6D017E"/>
    <w:rsid w:val="7D76564E"/>
    <w:rsid w:val="7D963D3B"/>
    <w:rsid w:val="7DA169FD"/>
    <w:rsid w:val="7DCE6F97"/>
    <w:rsid w:val="7DF2712A"/>
    <w:rsid w:val="7DF804B8"/>
    <w:rsid w:val="7E0155BF"/>
    <w:rsid w:val="7E052DFE"/>
    <w:rsid w:val="7E6478FC"/>
    <w:rsid w:val="7E6B0C8A"/>
    <w:rsid w:val="7EAB7A4E"/>
    <w:rsid w:val="7EEA1BAF"/>
    <w:rsid w:val="7F25708B"/>
    <w:rsid w:val="7F3472CE"/>
    <w:rsid w:val="7F416FEF"/>
    <w:rsid w:val="7F484B27"/>
    <w:rsid w:val="7F642F66"/>
    <w:rsid w:val="7F7724CF"/>
    <w:rsid w:val="7F89761A"/>
    <w:rsid w:val="7F8F09A8"/>
    <w:rsid w:val="7FA32445"/>
    <w:rsid w:val="7FA75C66"/>
    <w:rsid w:val="7FC43332"/>
    <w:rsid w:val="7FD93C08"/>
    <w:rsid w:val="7FE92E94"/>
    <w:rsid w:val="8EE984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99"/>
    <w:pPr>
      <w:tabs>
        <w:tab w:val="center" w:pos="4153"/>
        <w:tab w:val="right" w:pos="8306"/>
      </w:tabs>
      <w:snapToGrid w:val="0"/>
      <w:jc w:val="left"/>
    </w:pPr>
    <w:rPr>
      <w:sz w:val="18"/>
      <w:szCs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page number"/>
    <w:qFormat/>
    <w:uiPriority w:val="99"/>
  </w:style>
  <w:style w:type="character" w:customStyle="1" w:styleId="8">
    <w:name w:val="font21"/>
    <w:qFormat/>
    <w:uiPriority w:val="0"/>
    <w:rPr>
      <w:rFonts w:hint="eastAsia" w:ascii="仿宋" w:hAnsi="仿宋" w:eastAsia="仿宋" w:cs="仿宋"/>
      <w:color w:val="000000"/>
      <w:sz w:val="22"/>
      <w:szCs w:val="22"/>
      <w:u w:val="none"/>
      <w:vertAlign w:val="superscript"/>
    </w:rPr>
  </w:style>
  <w:style w:type="paragraph" w:styleId="9">
    <w:name w:val="List Paragraph"/>
    <w:basedOn w:val="1"/>
    <w:unhideWhenUsed/>
    <w:qFormat/>
    <w:uiPriority w:val="99"/>
    <w:pPr>
      <w:ind w:firstLine="420" w:firstLineChars="200"/>
    </w:pPr>
  </w:style>
  <w:style w:type="paragraph" w:customStyle="1" w:styleId="10">
    <w:name w:val="Table Paragraph"/>
    <w:basedOn w:val="1"/>
    <w:qFormat/>
    <w:uiPriority w:val="1"/>
    <w:rPr>
      <w:rFonts w:ascii="仿宋" w:hAnsi="仿宋" w:eastAsia="仿宋" w:cs="仿宋"/>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5638</Words>
  <Characters>6322</Characters>
  <Lines>0</Lines>
  <Paragraphs>0</Paragraphs>
  <TotalTime>3</TotalTime>
  <ScaleCrop>false</ScaleCrop>
  <LinksUpToDate>false</LinksUpToDate>
  <CharactersWithSpaces>6412</CharactersWithSpaces>
  <Application>WPS Office_6.1.0.8274_F1E327BC-269C-435d-A152-05C5408002CA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2021-06-03T09:03:00Z</dcterms:created>
  <dc:creator>Administrator</dc:creator>
  <cp:lastModifiedBy>wz</cp:lastModifiedBy>
  <cp:lastPrinted>2022-08-17T14:57:00Z</cp:lastPrinted>
  <dcterms:modified xsi:type="dcterms:W3CDTF">2024-03-07T10:18:09Z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2052-6.1.0.8274</vt:lpwstr>
  </property>
  <property fmtid="{D5CDD505-2E9C-101B-9397-08002B2CF9AE}" pid="3" name="ICV">
    <vt:lpwstr>29AE7CCF2A6240559BC918BF1767EB3C</vt:lpwstr>
  </property>
</Properties>
</file>