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r>
        <w:rPr>
          <w:rFonts w:ascii="方正小标宋_GBK" w:hAnsi="方正小标宋_GBK" w:eastAsia="方正小标宋_GBK" w:cs="方正小标宋_GBK"/>
          <w:color w:val="000000"/>
          <w:kern w:val="0"/>
          <w:sz w:val="36"/>
          <w:szCs w:val="36"/>
          <w:lang w:val="en-US" w:eastAsia="zh-CN" w:bidi="ar"/>
        </w:rPr>
        <w:t>可再生能源建筑应用</w:t>
      </w:r>
      <w:r>
        <w:rPr>
          <w:rFonts w:hint="eastAsia" w:ascii="方正小标宋_GBK" w:hAnsi="方正小标宋_GBK" w:eastAsia="方正小标宋_GBK" w:cs="方正小标宋_GBK"/>
          <w:color w:val="000000"/>
          <w:kern w:val="0"/>
          <w:sz w:val="36"/>
          <w:szCs w:val="36"/>
          <w:lang w:val="en-US" w:eastAsia="zh-CN" w:bidi="ar"/>
        </w:rPr>
        <w:t>专篇</w:t>
      </w:r>
    </w:p>
    <w:p>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p>
    <w:p>
      <w:pPr>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一、</w:t>
      </w:r>
      <w:r>
        <w:rPr>
          <w:rFonts w:hint="eastAsia" w:asciiTheme="majorEastAsia" w:hAnsiTheme="majorEastAsia" w:eastAsiaTheme="majorEastAsia" w:cstheme="majorEastAsia"/>
          <w:sz w:val="28"/>
          <w:szCs w:val="28"/>
          <w:lang w:val="en-US" w:eastAsia="zh-CN"/>
        </w:rPr>
        <w:t>工程概况</w:t>
      </w:r>
      <w:r>
        <w:rPr>
          <w:rFonts w:hint="eastAsia" w:asciiTheme="majorEastAsia" w:hAnsiTheme="majorEastAsia" w:eastAsiaTheme="majorEastAsia" w:cstheme="majorEastAsia"/>
          <w:sz w:val="28"/>
          <w:szCs w:val="28"/>
          <w:lang w:eastAsia="zh-CN"/>
        </w:rPr>
        <w:t>：</w:t>
      </w:r>
    </w:p>
    <w:p>
      <w:pPr>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1.项目名称：年产200万平方米单面线路板智能自动化技术改造生产线-1#厂房</w:t>
      </w:r>
    </w:p>
    <w:p>
      <w:pPr>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2.建设地点：湖北省黄石市</w:t>
      </w:r>
    </w:p>
    <w:p>
      <w:p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3.建设单位：湖北中培电子科技有限公司</w:t>
      </w:r>
    </w:p>
    <w:p>
      <w:p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4.总建筑面积：10531.83㎡ ，</w:t>
      </w:r>
    </w:p>
    <w:p>
      <w:pPr>
        <w:ind w:firstLine="240" w:firstLineChars="1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地上建筑面积（计容）：10151.55㎡.  </w:t>
      </w:r>
    </w:p>
    <w:p>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二、设计依据：</w:t>
      </w:r>
    </w:p>
    <w:p>
      <w:pP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eastAsia="zh-CN"/>
        </w:rPr>
        <w:t>《建筑节能与可再生能源利用通用规范》GB 55015-2021</w:t>
      </w:r>
    </w:p>
    <w:p>
      <w:p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2.《关于加强可再生能源建筑应用管理的通知》鄂建文〔2022〕54号</w:t>
      </w:r>
    </w:p>
    <w:p>
      <w:p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3.《关于加强太阳能热水系统推广应用和管理的通知》鄂建[2009]89号</w:t>
      </w:r>
    </w:p>
    <w:p>
      <w:pPr>
        <w:numPr>
          <w:ilvl w:val="0"/>
          <w:numId w:val="1"/>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可再生能源建筑设计：</w:t>
      </w:r>
    </w:p>
    <w:p>
      <w:pPr>
        <w:numPr>
          <w:ilvl w:val="0"/>
          <w:numId w:val="2"/>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可再生能源建筑应用系统主要包含太阳能、地源热泵和空气源热泵系统等。可再生能源建筑应用应遵循“安全可靠、因地制宜、高效利用、科学运维”的原则，应满足相关法律法规和标准规范要求。</w:t>
      </w:r>
    </w:p>
    <w:p>
      <w:pPr>
        <w:numPr>
          <w:ilvl w:val="0"/>
          <w:numId w:val="2"/>
        </w:numPr>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本项目根据太阳能系统应做到全年综合利用，根据使用地的气候特征、适用条件、甲方业主的诉求，1#厂房在屋面设置光伏发电，可再生能源应用量不低于该建筑项目总运行能耗的 10％。</w:t>
      </w:r>
    </w:p>
    <w:p>
      <w:pPr>
        <w:numPr>
          <w:ilvl w:val="0"/>
          <w:numId w:val="2"/>
        </w:numPr>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太阳能建筑一体化应用系统的设计应与建筑设计同步完成。建筑物上安装太阳能系统不得降低相邻建筑的日照标准。</w:t>
      </w:r>
    </w:p>
    <w:p>
      <w:pPr>
        <w:numPr>
          <w:ilvl w:val="0"/>
          <w:numId w:val="2"/>
        </w:numPr>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太阳能系统与构件及其安装安全，应符合下列规定：</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1）应满足结构、电气及防火安全的要求；</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2）由太阳能集热器或光伏电池板构成的围护结构构件，应满足相应围护结构构件的安全性及功能性要求；</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3）安装太阳能系统的建筑，应设置安装和运行维护的安全防护措施，以及防止太阳能集热器或光伏电池板损坏后部件坠落伤人的安全防护设施。</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5.太阳能系统应对下列参数进行监测和计量：太阳能光伏发电系统的发电量、光伏组件背板表面温度、室外温度、太阳总辐照量。</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6.太阳能热利用系统应根据不同地区气候条件、使用环境和集热系统类型采取防冻、防结露、防过热、防热水渗漏、防雷、防雹、抗风、抗震和保证电气安全等技术措施。</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7.太阳能热利用系统中的太阳能集热器设计使用寿命应高于15年。太阳能光伏发电系统中的光伏组件设计使用寿命应高于25年，系统中多晶硅、单晶硅、薄膜电池组件自系统运行之日起，一年内的衰减率应分别低于2.5%、3%、5%，之后每年衰减应低于0.7%。</w:t>
      </w:r>
    </w:p>
    <w:p>
      <w:pPr>
        <w:numPr>
          <w:ilvl w:val="0"/>
          <w:numId w:val="0"/>
        </w:numPr>
        <w:ind w:lef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8.光伏发电系统由专业厂家二次深化设计。</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9.可再生能源建筑应用量占建筑项目总运行能耗比例以年为周期进行计算，计算公式见下式： </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drawing>
          <wp:inline distT="0" distB="0" distL="114300" distR="114300">
            <wp:extent cx="2071370" cy="639445"/>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071370" cy="639445"/>
                    </a:xfrm>
                    <a:prstGeom prst="rect">
                      <a:avLst/>
                    </a:prstGeom>
                    <a:noFill/>
                    <a:ln>
                      <a:noFill/>
                    </a:ln>
                  </pic:spPr>
                </pic:pic>
              </a:graphicData>
            </a:graphic>
          </wp:inline>
        </w:drawing>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其中：λ——可再生能源建筑应用量占建筑项目总运行能耗比例； </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Ei——各种可再生能源建筑应用系统的年应用量，kgce/a 或 kWh/a，参考《关于加强可再生能源建筑应用管理的通知》附件二表 1 计算； </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Eb——可再生能源系统服务的建筑项目年总运行能耗量，kgce/a 或 kWh/a，参考《关于加强可再生能源建筑应用管理的通知》附件二表 2 计算；</w:t>
      </w:r>
    </w:p>
    <w:p>
      <w:pPr>
        <w:numPr>
          <w:ilvl w:val="0"/>
          <w:numId w:val="0"/>
        </w:numPr>
        <w:rPr>
          <w:rFonts w:hint="eastAsia" w:asciiTheme="majorEastAsia" w:hAnsiTheme="majorEastAsia" w:eastAsiaTheme="majorEastAsia" w:cstheme="majorEastAsia"/>
          <w:lang w:val="en-US" w:eastAsia="zh-CN"/>
        </w:rPr>
      </w:pPr>
    </w:p>
    <w:p>
      <w:pPr>
        <w:keepNext w:val="0"/>
        <w:keepLines w:val="0"/>
        <w:widowControl/>
        <w:suppressLineNumbers w:val="0"/>
        <w:jc w:val="left"/>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可再生能源利用如下表：</w:t>
      </w:r>
    </w:p>
    <w:tbl>
      <w:tblPr>
        <w:tblStyle w:val="6"/>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1830"/>
        <w:gridCol w:w="2089"/>
        <w:gridCol w:w="1661"/>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tcPr>
          <w:p>
            <w:pPr>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楼栋</w:t>
            </w:r>
          </w:p>
        </w:tc>
        <w:tc>
          <w:tcPr>
            <w:tcW w:w="1830" w:type="dxa"/>
          </w:tcPr>
          <w:p>
            <w:pPr>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eastAsia="zh-CN"/>
              </w:rPr>
              <w:t>光伏面积（㎡）</w:t>
            </w:r>
          </w:p>
        </w:tc>
        <w:tc>
          <w:tcPr>
            <w:tcW w:w="2089" w:type="dxa"/>
            <w:vAlign w:val="top"/>
          </w:tcPr>
          <w:p>
            <w:pPr>
              <w:jc w:val="center"/>
              <w:rPr>
                <w:rFonts w:hint="eastAsia" w:asciiTheme="majorEastAsia" w:hAnsiTheme="majorEastAsia" w:eastAsiaTheme="majorEastAsia" w:cstheme="majorEastAsia"/>
                <w:kern w:val="2"/>
                <w:sz w:val="24"/>
                <w:szCs w:val="24"/>
                <w:vertAlign w:val="baseline"/>
                <w:lang w:val="en-US" w:eastAsia="zh-CN" w:bidi="ar-SA"/>
              </w:rPr>
            </w:pPr>
            <w:r>
              <w:rPr>
                <w:rFonts w:hint="eastAsia" w:asciiTheme="majorEastAsia" w:hAnsiTheme="majorEastAsia" w:eastAsiaTheme="majorEastAsia" w:cstheme="majorEastAsia"/>
                <w:sz w:val="24"/>
                <w:szCs w:val="24"/>
                <w:vertAlign w:val="baseline"/>
                <w:lang w:eastAsia="zh-CN"/>
              </w:rPr>
              <w:t>占总能耗比例（</w:t>
            </w:r>
            <w:r>
              <w:rPr>
                <w:rFonts w:hint="eastAsia" w:asciiTheme="majorEastAsia" w:hAnsiTheme="majorEastAsia" w:eastAsiaTheme="majorEastAsia" w:cstheme="majorEastAsia"/>
                <w:sz w:val="24"/>
                <w:szCs w:val="24"/>
                <w:vertAlign w:val="baseline"/>
                <w:lang w:val="en-US" w:eastAsia="zh-CN"/>
              </w:rPr>
              <w:t>%</w:t>
            </w:r>
            <w:r>
              <w:rPr>
                <w:rFonts w:hint="eastAsia" w:asciiTheme="majorEastAsia" w:hAnsiTheme="majorEastAsia" w:eastAsiaTheme="majorEastAsia" w:cstheme="majorEastAsia"/>
                <w:sz w:val="24"/>
                <w:szCs w:val="24"/>
                <w:vertAlign w:val="baseline"/>
                <w:lang w:eastAsia="zh-CN"/>
              </w:rPr>
              <w:t>）</w:t>
            </w:r>
          </w:p>
        </w:tc>
        <w:tc>
          <w:tcPr>
            <w:tcW w:w="1661" w:type="dxa"/>
          </w:tcPr>
          <w:p>
            <w:pPr>
              <w:jc w:val="center"/>
              <w:rPr>
                <w:rFonts w:hint="default"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屋面面积</w:t>
            </w:r>
            <w:r>
              <w:rPr>
                <w:rFonts w:hint="eastAsia" w:asciiTheme="majorEastAsia" w:hAnsiTheme="majorEastAsia" w:eastAsiaTheme="majorEastAsia" w:cstheme="majorEastAsia"/>
                <w:sz w:val="24"/>
                <w:szCs w:val="24"/>
                <w:vertAlign w:val="baseline"/>
                <w:lang w:eastAsia="zh-CN"/>
              </w:rPr>
              <w:t>（㎡）</w:t>
            </w:r>
          </w:p>
        </w:tc>
        <w:tc>
          <w:tcPr>
            <w:tcW w:w="2029" w:type="dxa"/>
          </w:tcPr>
          <w:p>
            <w:pPr>
              <w:jc w:val="center"/>
              <w:rPr>
                <w:rFonts w:hint="default"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光伏占屋面面积比例</w:t>
            </w:r>
            <w:r>
              <w:rPr>
                <w:rFonts w:hint="eastAsia" w:asciiTheme="majorEastAsia" w:hAnsiTheme="majorEastAsia" w:eastAsiaTheme="majorEastAsia" w:cstheme="majorEastAsia"/>
                <w:sz w:val="24"/>
                <w:szCs w:val="24"/>
                <w:vertAlign w:val="baseline"/>
                <w:lang w:eastAsia="zh-CN"/>
              </w:rPr>
              <w:t>（</w:t>
            </w:r>
            <w:r>
              <w:rPr>
                <w:rFonts w:hint="eastAsia" w:asciiTheme="majorEastAsia" w:hAnsiTheme="majorEastAsia" w:eastAsiaTheme="majorEastAsia" w:cstheme="majorEastAsia"/>
                <w:sz w:val="24"/>
                <w:szCs w:val="24"/>
                <w:vertAlign w:val="baseline"/>
                <w:lang w:val="en-US" w:eastAsia="zh-CN"/>
              </w:rPr>
              <w:t>%</w:t>
            </w:r>
            <w:r>
              <w:rPr>
                <w:rFonts w:hint="eastAsia" w:asciiTheme="majorEastAsia" w:hAnsiTheme="majorEastAsia" w:eastAsiaTheme="majorEastAsia" w:cstheme="majorEastAsia"/>
                <w:sz w:val="24"/>
                <w:szCs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dxa"/>
          </w:tcPr>
          <w:p>
            <w:pPr>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1#厂房</w:t>
            </w:r>
          </w:p>
        </w:tc>
        <w:tc>
          <w:tcPr>
            <w:tcW w:w="1830" w:type="dxa"/>
          </w:tcPr>
          <w:p>
            <w:pPr>
              <w:jc w:val="center"/>
              <w:rPr>
                <w:rFonts w:hint="default"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1009.18</w:t>
            </w:r>
          </w:p>
        </w:tc>
        <w:tc>
          <w:tcPr>
            <w:tcW w:w="2089" w:type="dxa"/>
            <w:vAlign w:val="top"/>
          </w:tcPr>
          <w:p>
            <w:pPr>
              <w:jc w:val="center"/>
              <w:rPr>
                <w:rFonts w:hint="default" w:asciiTheme="majorEastAsia" w:hAnsiTheme="majorEastAsia" w:eastAsiaTheme="majorEastAsia" w:cstheme="majorEastAsia"/>
                <w:kern w:val="2"/>
                <w:sz w:val="24"/>
                <w:szCs w:val="24"/>
                <w:vertAlign w:val="baseline"/>
                <w:lang w:val="en-US" w:eastAsia="zh-CN" w:bidi="ar-SA"/>
              </w:rPr>
            </w:pPr>
            <w:r>
              <w:rPr>
                <w:rFonts w:hint="eastAsia" w:asciiTheme="majorEastAsia" w:hAnsiTheme="majorEastAsia" w:eastAsiaTheme="majorEastAsia" w:cstheme="majorEastAsia"/>
                <w:sz w:val="24"/>
                <w:szCs w:val="24"/>
                <w:vertAlign w:val="baseline"/>
                <w:lang w:val="en-US" w:eastAsia="zh-CN"/>
              </w:rPr>
              <w:t>10.13</w:t>
            </w:r>
          </w:p>
        </w:tc>
        <w:tc>
          <w:tcPr>
            <w:tcW w:w="1661" w:type="dxa"/>
          </w:tcPr>
          <w:p>
            <w:pPr>
              <w:jc w:val="center"/>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3349.41</w:t>
            </w:r>
          </w:p>
        </w:tc>
        <w:tc>
          <w:tcPr>
            <w:tcW w:w="2029" w:type="dxa"/>
          </w:tcPr>
          <w:p>
            <w:pPr>
              <w:jc w:val="center"/>
              <w:rPr>
                <w:rFonts w:hint="default"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30.13</w:t>
            </w:r>
          </w:p>
        </w:tc>
      </w:tr>
    </w:tbl>
    <w:p>
      <w:pPr>
        <w:keepNext w:val="0"/>
        <w:keepLines w:val="0"/>
        <w:widowControl/>
        <w:suppressLineNumbers w:val="0"/>
        <w:ind w:firstLine="480" w:firstLineChars="200"/>
        <w:jc w:val="left"/>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厂房年用电量为641232kwh（详见电施23），为满足鄂建文（2022）54号文件中相关规定，1#厂房光伏装机容量为30KWP，年发电总量为65000kwh，可再生能源占本项目总运行能耗：65000kwh/641232kwh=10.13%，满足不低于该建筑总运行能耗10%的要求。</w:t>
      </w:r>
    </w:p>
    <w:p>
      <w:pPr>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四、可再生能源建筑施工及维护：</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1.施工总承包单位对应用系统施工质量承担责任。应加强专业分包单位管理，按规定对进场的应用系统的材料、构件和设备等进行验收。</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2.在施工前应与光伏发电设备厂家联系，由设备厂家二次深化设计并指导施工。</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建设单位应落实应用系统运维单位（部门），按照实际情况制定应用系统运维管理制度、用能系统操作规程和突发故障应急预案，加强应用系统运行调节、维护保养、巡视检查。鼓励有条件的项目采用合同能源管理方式，配备专业化运营机构进行运维管理。严禁擅自停用、弃置或拆除应用系统。</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4.物业公司负责运维管理时，将应用系统运行维护纳入物业管理合同内容，应当设置应用系统管理岗位，实行能源管理岗位责任制，管理人员应经专业培训考核后持证上岗，应严格执行操作规程并做好记录。应用系统供应商应定期进行维护，确保应用系统安全高效运行。</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5.应用系统的能源计量统计与自动监测功能应正常运行，监测数据接入当地能耗监管平台，统计数据满足对应用系统的评价。</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 </w:t>
      </w:r>
    </w:p>
    <w:p>
      <w:pPr>
        <w:numPr>
          <w:ilvl w:val="0"/>
          <w:numId w:val="0"/>
        </w:numP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                   </w:t>
      </w:r>
      <w:bookmarkStart w:id="0" w:name="_GoBack"/>
      <w:bookmarkEnd w:id="0"/>
    </w:p>
    <w:p>
      <w:pPr>
        <w:numPr>
          <w:ilvl w:val="0"/>
          <w:numId w:val="0"/>
        </w:numPr>
        <w:rPr>
          <w:rFonts w:hint="eastAsia" w:asciiTheme="majorEastAsia" w:hAnsiTheme="majorEastAsia" w:eastAsiaTheme="majorEastAsia" w:cstheme="majorEastAsia"/>
          <w:sz w:val="24"/>
          <w:szCs w:val="24"/>
          <w:lang w:val="en-US" w:eastAsia="zh-CN"/>
        </w:rPr>
      </w:pPr>
    </w:p>
    <w:p>
      <w:pPr>
        <w:numPr>
          <w:ilvl w:val="0"/>
          <w:numId w:val="0"/>
        </w:numPr>
        <w:rPr>
          <w:rFonts w:hint="eastAsia" w:asciiTheme="majorEastAsia" w:hAnsiTheme="majorEastAsia" w:eastAsiaTheme="majorEastAsia" w:cstheme="majorEastAsia"/>
          <w:sz w:val="24"/>
          <w:szCs w:val="24"/>
          <w:lang w:val="en-US" w:eastAsia="zh-CN"/>
        </w:rPr>
      </w:pPr>
    </w:p>
    <w:p>
      <w:pPr>
        <w:numPr>
          <w:ilvl w:val="0"/>
          <w:numId w:val="0"/>
        </w:numPr>
        <w:rPr>
          <w:rFonts w:hint="eastAsia" w:asciiTheme="majorEastAsia" w:hAnsiTheme="majorEastAsia" w:eastAsiaTheme="majorEastAsia" w:cstheme="majorEastAsia"/>
          <w:sz w:val="24"/>
          <w:szCs w:val="24"/>
          <w:lang w:val="en-US" w:eastAsia="zh-CN"/>
        </w:rPr>
      </w:pPr>
    </w:p>
    <w:p>
      <w:pPr>
        <w:numPr>
          <w:ilvl w:val="0"/>
          <w:numId w:val="0"/>
        </w:numPr>
        <w:rPr>
          <w:rFonts w:hint="eastAsia" w:asciiTheme="majorEastAsia" w:hAnsiTheme="majorEastAsia" w:eastAsiaTheme="majorEastAsia" w:cstheme="majorEastAsia"/>
          <w:sz w:val="24"/>
          <w:szCs w:val="24"/>
          <w:lang w:val="en-US" w:eastAsia="zh-CN"/>
        </w:rPr>
      </w:pPr>
    </w:p>
    <w:p>
      <w:pPr>
        <w:numPr>
          <w:ilvl w:val="0"/>
          <w:numId w:val="0"/>
        </w:numPr>
        <w:jc w:val="right"/>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  设计单位：缔博国际设计有限公司（盖章）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489F7266-E9F8-4985-BCAD-EB4B362929C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25EF5"/>
    <w:multiLevelType w:val="singleLevel"/>
    <w:tmpl w:val="89A25EF5"/>
    <w:lvl w:ilvl="0" w:tentative="0">
      <w:start w:val="3"/>
      <w:numFmt w:val="chineseCounting"/>
      <w:suff w:val="nothing"/>
      <w:lvlText w:val="%1、"/>
      <w:lvlJc w:val="left"/>
      <w:rPr>
        <w:rFonts w:hint="eastAsia"/>
      </w:rPr>
    </w:lvl>
  </w:abstractNum>
  <w:abstractNum w:abstractNumId="1">
    <w:nsid w:val="7AC5EF59"/>
    <w:multiLevelType w:val="singleLevel"/>
    <w:tmpl w:val="7AC5EF5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ZTEzNTZiOTZlNWRkYmQ1MmE4MDBlN2M1NGM3ZGUifQ=="/>
  </w:docVars>
  <w:rsids>
    <w:rsidRoot w:val="7B8A62A9"/>
    <w:rsid w:val="032F672A"/>
    <w:rsid w:val="0350044F"/>
    <w:rsid w:val="03912F41"/>
    <w:rsid w:val="05E82BC0"/>
    <w:rsid w:val="066E1317"/>
    <w:rsid w:val="06A967F3"/>
    <w:rsid w:val="07414C7E"/>
    <w:rsid w:val="075F6EB2"/>
    <w:rsid w:val="081B54CF"/>
    <w:rsid w:val="083B791F"/>
    <w:rsid w:val="09282EFB"/>
    <w:rsid w:val="09723D05"/>
    <w:rsid w:val="0B62465D"/>
    <w:rsid w:val="0C912459"/>
    <w:rsid w:val="0CF44F72"/>
    <w:rsid w:val="0D86163D"/>
    <w:rsid w:val="0DB77A48"/>
    <w:rsid w:val="0F1D7D7F"/>
    <w:rsid w:val="1034712E"/>
    <w:rsid w:val="10560A2B"/>
    <w:rsid w:val="11D54941"/>
    <w:rsid w:val="12B26A30"/>
    <w:rsid w:val="14D26A22"/>
    <w:rsid w:val="16E924EF"/>
    <w:rsid w:val="1B851185"/>
    <w:rsid w:val="1C28105F"/>
    <w:rsid w:val="1C35689F"/>
    <w:rsid w:val="1D580EB6"/>
    <w:rsid w:val="211E5AAE"/>
    <w:rsid w:val="22B750A8"/>
    <w:rsid w:val="23DA5DE6"/>
    <w:rsid w:val="245E07C6"/>
    <w:rsid w:val="2561056D"/>
    <w:rsid w:val="265B2DDA"/>
    <w:rsid w:val="27982240"/>
    <w:rsid w:val="29F8727E"/>
    <w:rsid w:val="2BA54F2C"/>
    <w:rsid w:val="2D7758D2"/>
    <w:rsid w:val="2DA336ED"/>
    <w:rsid w:val="2E456552"/>
    <w:rsid w:val="31E22A36"/>
    <w:rsid w:val="322A1CE7"/>
    <w:rsid w:val="32F0218F"/>
    <w:rsid w:val="332B21BB"/>
    <w:rsid w:val="336456CD"/>
    <w:rsid w:val="34AC2E87"/>
    <w:rsid w:val="35B91D00"/>
    <w:rsid w:val="37753A04"/>
    <w:rsid w:val="385E6B8E"/>
    <w:rsid w:val="39916AF0"/>
    <w:rsid w:val="3A0B4AF4"/>
    <w:rsid w:val="3B1874C8"/>
    <w:rsid w:val="3C805325"/>
    <w:rsid w:val="3D840E45"/>
    <w:rsid w:val="3E897E84"/>
    <w:rsid w:val="417967E7"/>
    <w:rsid w:val="42004812"/>
    <w:rsid w:val="431D0ECB"/>
    <w:rsid w:val="44A1408B"/>
    <w:rsid w:val="44B00772"/>
    <w:rsid w:val="46E26BDC"/>
    <w:rsid w:val="478F0B12"/>
    <w:rsid w:val="4A683579"/>
    <w:rsid w:val="4CDD5E7C"/>
    <w:rsid w:val="522E717A"/>
    <w:rsid w:val="535377F2"/>
    <w:rsid w:val="536C1D08"/>
    <w:rsid w:val="53CB2407"/>
    <w:rsid w:val="5415239F"/>
    <w:rsid w:val="54843081"/>
    <w:rsid w:val="55DD7147"/>
    <w:rsid w:val="56A1616C"/>
    <w:rsid w:val="57454D4A"/>
    <w:rsid w:val="575B27BF"/>
    <w:rsid w:val="58164938"/>
    <w:rsid w:val="58C61EBA"/>
    <w:rsid w:val="5B06622A"/>
    <w:rsid w:val="5B2A5155"/>
    <w:rsid w:val="5C0276AD"/>
    <w:rsid w:val="5F463D55"/>
    <w:rsid w:val="5F555D46"/>
    <w:rsid w:val="60D55390"/>
    <w:rsid w:val="681A7B2C"/>
    <w:rsid w:val="6A7A7829"/>
    <w:rsid w:val="6C7C2916"/>
    <w:rsid w:val="6C7F2654"/>
    <w:rsid w:val="6CD24E7A"/>
    <w:rsid w:val="6E336144"/>
    <w:rsid w:val="6F8D4460"/>
    <w:rsid w:val="733C129F"/>
    <w:rsid w:val="746F7452"/>
    <w:rsid w:val="75886BEC"/>
    <w:rsid w:val="76C85441"/>
    <w:rsid w:val="78E55F35"/>
    <w:rsid w:val="78F85C68"/>
    <w:rsid w:val="7B8A62A9"/>
    <w:rsid w:val="7BE37748"/>
    <w:rsid w:val="7E3A2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1555</Words>
  <Characters>1696</Characters>
  <Lines>0</Lines>
  <Paragraphs>0</Paragraphs>
  <TotalTime>1</TotalTime>
  <ScaleCrop>false</ScaleCrop>
  <LinksUpToDate>false</LinksUpToDate>
  <CharactersWithSpaces>1734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2023-04-09T05:29:00Z</dcterms:created>
  <dc:creator>Administrator</dc:creator>
  <cp:lastModifiedBy>笑看人生</cp:lastModifiedBy>
  <cp:lastPrinted>2023-07-04T09:26:00Z</cp:lastPrinted>
  <dcterms:modified xsi:type="dcterms:W3CDTF">2023-10-08T02:18:57Z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B2536A4DAC7646E1811A8545E7B09E52_13</vt:lpwstr>
  </property>
</Properties>
</file>