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黑体"/>
          <w:color w:val="000000" w:themeColor="text1"/>
          <w:w w:val="120"/>
          <w:sz w:val="56"/>
          <w:szCs w:val="56"/>
        </w:rPr>
      </w:pPr>
    </w:p>
    <w:p>
      <w:pPr>
        <w:jc w:val="center"/>
        <w:rPr>
          <w:color w:val="000000" w:themeColor="text1"/>
          <w:w w:val="120"/>
          <w:sz w:val="52"/>
          <w:szCs w:val="52"/>
        </w:rPr>
      </w:pPr>
      <w:r>
        <w:rPr>
          <w:rFonts w:hint="eastAsia" w:ascii="黑体" w:hAnsi="黑体" w:eastAsia="黑体" w:cs="黑体"/>
          <w:color w:val="000000" w:themeColor="text1"/>
          <w:w w:val="120"/>
          <w:sz w:val="56"/>
          <w:szCs w:val="56"/>
        </w:rPr>
        <w:t>阳新县县级政府采购</w:t>
      </w:r>
    </w:p>
    <w:p>
      <w:pPr>
        <w:jc w:val="center"/>
        <w:rPr>
          <w:color w:val="000000" w:themeColor="text1"/>
          <w:w w:val="120"/>
          <w:sz w:val="52"/>
          <w:szCs w:val="52"/>
        </w:rPr>
      </w:pPr>
    </w:p>
    <w:p>
      <w:pPr>
        <w:jc w:val="center"/>
        <w:rPr>
          <w:color w:val="000000" w:themeColor="text1"/>
          <w:w w:val="120"/>
          <w:sz w:val="52"/>
          <w:szCs w:val="52"/>
        </w:rPr>
      </w:pPr>
    </w:p>
    <w:p>
      <w:pPr>
        <w:jc w:val="center"/>
        <w:rPr>
          <w:color w:val="000000" w:themeColor="text1"/>
          <w:w w:val="66"/>
          <w:sz w:val="144"/>
          <w:szCs w:val="144"/>
        </w:rPr>
      </w:pPr>
      <w:r>
        <w:rPr>
          <w:bCs/>
          <w:color w:val="000000" w:themeColor="text1"/>
          <w:w w:val="66"/>
          <w:sz w:val="144"/>
          <w:szCs w:val="144"/>
        </w:rPr>
        <w:t>竞争性谈判文件</w:t>
      </w:r>
    </w:p>
    <w:p>
      <w:pPr>
        <w:jc w:val="center"/>
        <w:rPr>
          <w:color w:val="000000" w:themeColor="text1"/>
          <w:sz w:val="44"/>
        </w:rPr>
      </w:pPr>
    </w:p>
    <w:p>
      <w:pPr>
        <w:jc w:val="center"/>
        <w:rPr>
          <w:color w:val="000000" w:themeColor="text1"/>
          <w:sz w:val="44"/>
        </w:rPr>
      </w:pPr>
    </w:p>
    <w:p>
      <w:pPr>
        <w:jc w:val="center"/>
        <w:rPr>
          <w:color w:val="000000" w:themeColor="text1"/>
          <w:sz w:val="44"/>
        </w:rPr>
      </w:pPr>
    </w:p>
    <w:p>
      <w:pPr>
        <w:jc w:val="center"/>
        <w:rPr>
          <w:color w:val="000000" w:themeColor="text1"/>
          <w:sz w:val="44"/>
        </w:rPr>
      </w:pPr>
    </w:p>
    <w:p>
      <w:pPr>
        <w:rPr>
          <w:bCs/>
          <w:color w:val="000000" w:themeColor="text1"/>
          <w:sz w:val="36"/>
        </w:rPr>
      </w:pPr>
    </w:p>
    <w:p>
      <w:pPr>
        <w:spacing w:line="480" w:lineRule="auto"/>
        <w:ind w:firstLine="640" w:firstLineChars="200"/>
        <w:rPr>
          <w:rFonts w:hint="default" w:eastAsia="宋体"/>
          <w:bCs/>
          <w:color w:val="000000" w:themeColor="text1"/>
          <w:sz w:val="32"/>
          <w:szCs w:val="32"/>
          <w:u w:val="single"/>
          <w:lang w:val="en-US" w:eastAsia="zh-CN"/>
        </w:rPr>
      </w:pPr>
      <w:r>
        <w:rPr>
          <w:bCs/>
          <w:color w:val="000000" w:themeColor="text1"/>
          <w:sz w:val="32"/>
          <w:szCs w:val="32"/>
        </w:rPr>
        <w:t>项目编号：</w:t>
      </w:r>
      <w:r>
        <w:rPr>
          <w:rFonts w:hint="eastAsia"/>
          <w:bCs/>
          <w:color w:val="000000" w:themeColor="text1"/>
          <w:sz w:val="32"/>
          <w:szCs w:val="32"/>
          <w:u w:val="single"/>
        </w:rPr>
        <w:t>131-2020CG-</w:t>
      </w:r>
      <w:r>
        <w:rPr>
          <w:rFonts w:hint="eastAsia"/>
          <w:bCs/>
          <w:color w:val="000000" w:themeColor="text1"/>
          <w:sz w:val="32"/>
          <w:szCs w:val="32"/>
          <w:u w:val="single"/>
          <w:lang w:val="en-US" w:eastAsia="zh-CN"/>
        </w:rPr>
        <w:t>138</w:t>
      </w:r>
    </w:p>
    <w:p>
      <w:pPr>
        <w:spacing w:line="480" w:lineRule="auto"/>
        <w:ind w:firstLine="640" w:firstLineChars="200"/>
        <w:rPr>
          <w:bCs/>
          <w:color w:val="000000" w:themeColor="text1"/>
          <w:sz w:val="32"/>
          <w:szCs w:val="32"/>
          <w:u w:val="single"/>
        </w:rPr>
      </w:pPr>
      <w:r>
        <w:rPr>
          <w:rFonts w:hint="eastAsia"/>
          <w:bCs/>
          <w:color w:val="000000" w:themeColor="text1"/>
          <w:sz w:val="32"/>
          <w:szCs w:val="32"/>
        </w:rPr>
        <w:t>采</w:t>
      </w:r>
      <w:r>
        <w:rPr>
          <w:rFonts w:hint="eastAsia"/>
          <w:bCs/>
          <w:color w:val="000000" w:themeColor="text1"/>
          <w:sz w:val="32"/>
          <w:szCs w:val="32"/>
          <w:lang w:val="en-US" w:eastAsia="zh-CN"/>
        </w:rPr>
        <w:t xml:space="preserve"> </w:t>
      </w:r>
      <w:r>
        <w:rPr>
          <w:rFonts w:hint="eastAsia"/>
          <w:bCs/>
          <w:color w:val="000000" w:themeColor="text1"/>
          <w:sz w:val="32"/>
          <w:szCs w:val="32"/>
        </w:rPr>
        <w:t>购</w:t>
      </w:r>
      <w:r>
        <w:rPr>
          <w:rFonts w:hint="eastAsia"/>
          <w:bCs/>
          <w:color w:val="000000" w:themeColor="text1"/>
          <w:sz w:val="32"/>
          <w:szCs w:val="32"/>
          <w:lang w:val="en-US" w:eastAsia="zh-CN"/>
        </w:rPr>
        <w:t xml:space="preserve"> </w:t>
      </w:r>
      <w:r>
        <w:rPr>
          <w:rFonts w:hint="eastAsia"/>
          <w:bCs/>
          <w:color w:val="000000" w:themeColor="text1"/>
          <w:sz w:val="32"/>
          <w:szCs w:val="32"/>
        </w:rPr>
        <w:t>人：</w:t>
      </w:r>
      <w:r>
        <w:rPr>
          <w:rFonts w:hint="eastAsia"/>
          <w:bCs/>
          <w:color w:val="000000" w:themeColor="text1"/>
          <w:sz w:val="32"/>
          <w:szCs w:val="32"/>
          <w:u w:val="single"/>
          <w:lang w:eastAsia="zh-CN"/>
        </w:rPr>
        <w:t>阳新县人民医院</w:t>
      </w:r>
    </w:p>
    <w:p>
      <w:pPr>
        <w:spacing w:line="480" w:lineRule="auto"/>
        <w:ind w:left="638" w:leftChars="228"/>
        <w:rPr>
          <w:rFonts w:hint="eastAsia" w:eastAsia="宋体"/>
          <w:bCs/>
          <w:color w:val="000000" w:themeColor="text1"/>
          <w:sz w:val="32"/>
          <w:szCs w:val="32"/>
          <w:u w:val="single"/>
          <w:lang w:eastAsia="zh-CN"/>
        </w:rPr>
      </w:pPr>
      <w:r>
        <w:rPr>
          <w:bCs/>
          <w:color w:val="000000" w:themeColor="text1"/>
          <w:sz w:val="32"/>
          <w:szCs w:val="32"/>
        </w:rPr>
        <w:t>项目名称：</w:t>
      </w:r>
      <w:r>
        <w:rPr>
          <w:rFonts w:hint="eastAsia"/>
          <w:bCs/>
          <w:color w:val="000000" w:themeColor="text1"/>
          <w:sz w:val="32"/>
          <w:szCs w:val="32"/>
          <w:u w:val="single"/>
          <w:lang w:eastAsia="zh-CN"/>
        </w:rPr>
        <w:t>阳新县人民医院电动病床一批采购项目</w:t>
      </w:r>
    </w:p>
    <w:p>
      <w:pPr>
        <w:spacing w:line="480" w:lineRule="auto"/>
        <w:ind w:firstLine="640" w:firstLineChars="200"/>
        <w:rPr>
          <w:bCs/>
          <w:color w:val="000000" w:themeColor="text1"/>
          <w:sz w:val="32"/>
          <w:szCs w:val="32"/>
        </w:rPr>
      </w:pPr>
      <w:r>
        <w:rPr>
          <w:rFonts w:hint="eastAsia"/>
          <w:bCs/>
          <w:color w:val="000000" w:themeColor="text1"/>
          <w:sz w:val="32"/>
          <w:szCs w:val="32"/>
        </w:rPr>
        <w:t>采购</w:t>
      </w:r>
      <w:r>
        <w:rPr>
          <w:bCs/>
          <w:color w:val="000000" w:themeColor="text1"/>
          <w:sz w:val="32"/>
          <w:szCs w:val="32"/>
        </w:rPr>
        <w:t>内容：</w:t>
      </w:r>
      <w:r>
        <w:rPr>
          <w:rFonts w:hint="eastAsia"/>
          <w:bCs/>
          <w:color w:val="000000" w:themeColor="text1"/>
          <w:sz w:val="32"/>
          <w:szCs w:val="32"/>
          <w:u w:val="single"/>
          <w:lang w:eastAsia="zh-CN"/>
        </w:rPr>
        <w:t>病床采购</w:t>
      </w:r>
    </w:p>
    <w:p>
      <w:pPr>
        <w:adjustRightInd w:val="0"/>
        <w:snapToGrid w:val="0"/>
        <w:jc w:val="center"/>
        <w:rPr>
          <w:rFonts w:hint="eastAsia" w:eastAsia="宋体"/>
          <w:bCs/>
          <w:snapToGrid w:val="0"/>
          <w:color w:val="000000" w:themeColor="text1"/>
          <w:kern w:val="0"/>
          <w:position w:val="-98"/>
          <w:sz w:val="96"/>
          <w:szCs w:val="96"/>
          <w:lang w:eastAsia="zh-CN"/>
        </w:rPr>
      </w:pPr>
      <w:r>
        <w:rPr>
          <w:rFonts w:hint="eastAsia"/>
          <w:bCs/>
          <w:snapToGrid w:val="0"/>
          <w:color w:val="000000" w:themeColor="text1"/>
          <w:kern w:val="0"/>
          <w:position w:val="-98"/>
          <w:sz w:val="56"/>
          <w:szCs w:val="56"/>
          <w:lang w:eastAsia="zh-CN"/>
        </w:rPr>
        <w:t>立信大华工程咨询有限责任公司</w:t>
      </w:r>
    </w:p>
    <w:p>
      <w:pPr>
        <w:spacing w:line="520" w:lineRule="exact"/>
        <w:jc w:val="center"/>
        <w:rPr>
          <w:color w:val="000000" w:themeColor="text1"/>
          <w:sz w:val="32"/>
          <w:szCs w:val="32"/>
        </w:rPr>
      </w:pPr>
      <w:r>
        <w:rPr>
          <w:rFonts w:hint="eastAsia"/>
          <w:color w:val="000000" w:themeColor="text1"/>
          <w:sz w:val="32"/>
          <w:szCs w:val="32"/>
        </w:rPr>
        <w:t>2020</w:t>
      </w:r>
      <w:r>
        <w:rPr>
          <w:color w:val="000000" w:themeColor="text1"/>
          <w:sz w:val="32"/>
          <w:szCs w:val="32"/>
        </w:rPr>
        <w:t>年</w:t>
      </w:r>
      <w:r>
        <w:rPr>
          <w:rFonts w:hint="eastAsia"/>
          <w:color w:val="000000" w:themeColor="text1"/>
          <w:sz w:val="32"/>
          <w:szCs w:val="32"/>
          <w:lang w:val="en-US" w:eastAsia="zh-CN"/>
        </w:rPr>
        <w:t>8</w:t>
      </w:r>
      <w:r>
        <w:rPr>
          <w:color w:val="000000" w:themeColor="text1"/>
          <w:sz w:val="32"/>
          <w:szCs w:val="32"/>
        </w:rPr>
        <w:t>月</w:t>
      </w:r>
    </w:p>
    <w:p>
      <w:pPr>
        <w:spacing w:line="520" w:lineRule="exact"/>
        <w:jc w:val="center"/>
        <w:rPr>
          <w:color w:val="000000" w:themeColor="text1"/>
          <w:sz w:val="32"/>
          <w:szCs w:val="32"/>
        </w:rPr>
      </w:pPr>
      <w:r>
        <w:rPr>
          <w:color w:val="000000" w:themeColor="text1"/>
          <w:sz w:val="32"/>
          <w:szCs w:val="32"/>
        </w:rPr>
        <w:br w:type="page"/>
      </w:r>
    </w:p>
    <w:tbl>
      <w:tblPr>
        <w:tblStyle w:val="27"/>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5" w:hRule="atLeast"/>
        </w:trPr>
        <w:tc>
          <w:tcPr>
            <w:tcW w:w="9200" w:type="dxa"/>
          </w:tcPr>
          <w:p>
            <w:pPr>
              <w:spacing w:line="520" w:lineRule="exact"/>
              <w:jc w:val="center"/>
              <w:rPr>
                <w:rFonts w:ascii="Calibri" w:hAnsi="Calibri"/>
                <w:color w:val="000000" w:themeColor="text1"/>
                <w:sz w:val="32"/>
                <w:szCs w:val="32"/>
              </w:rPr>
            </w:pPr>
          </w:p>
          <w:p>
            <w:pPr>
              <w:spacing w:line="520" w:lineRule="exact"/>
              <w:rPr>
                <w:rFonts w:hint="eastAsia" w:ascii="Calibri" w:hAnsi="Calibri" w:eastAsia="宋体"/>
                <w:bCs/>
                <w:color w:val="000000" w:themeColor="text1"/>
                <w:sz w:val="32"/>
                <w:szCs w:val="32"/>
                <w:lang w:eastAsia="zh-CN"/>
              </w:rPr>
            </w:pPr>
            <w:r>
              <w:rPr>
                <w:rFonts w:hint="eastAsia" w:ascii="Calibri" w:hAnsi="Calibri"/>
                <w:color w:val="000000" w:themeColor="text1"/>
                <w:sz w:val="32"/>
                <w:szCs w:val="32"/>
              </w:rPr>
              <w:t>项目名称：</w:t>
            </w:r>
            <w:r>
              <w:rPr>
                <w:rFonts w:hint="eastAsia" w:ascii="Calibri" w:hAnsi="Calibri"/>
                <w:color w:val="000000" w:themeColor="text1"/>
                <w:sz w:val="32"/>
                <w:szCs w:val="32"/>
                <w:lang w:eastAsia="zh-CN"/>
              </w:rPr>
              <w:t>阳新县人民医院电动病床一批采购项目</w:t>
            </w: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r>
              <w:rPr>
                <w:rFonts w:hint="eastAsia" w:ascii="Calibri" w:hAnsi="Calibri"/>
                <w:bCs/>
                <w:color w:val="000000" w:themeColor="text1"/>
                <w:sz w:val="32"/>
                <w:szCs w:val="32"/>
              </w:rPr>
              <w:t>采购人意见：</w:t>
            </w:r>
          </w:p>
          <w:p>
            <w:pPr>
              <w:spacing w:line="520" w:lineRule="exact"/>
              <w:jc w:val="left"/>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p>
          <w:p>
            <w:pPr>
              <w:wordWrap w:val="0"/>
              <w:spacing w:line="520" w:lineRule="exact"/>
              <w:jc w:val="right"/>
              <w:rPr>
                <w:rFonts w:ascii="Calibri" w:hAnsi="Calibri"/>
                <w:bCs/>
                <w:color w:val="000000" w:themeColor="text1"/>
                <w:sz w:val="32"/>
                <w:szCs w:val="32"/>
              </w:rPr>
            </w:pPr>
            <w:r>
              <w:rPr>
                <w:rFonts w:hint="eastAsia" w:ascii="Calibri" w:hAnsi="Calibri"/>
                <w:bCs/>
                <w:color w:val="000000" w:themeColor="text1"/>
                <w:sz w:val="32"/>
                <w:szCs w:val="32"/>
              </w:rPr>
              <w:t>2020年   月   日</w:t>
            </w:r>
          </w:p>
        </w:tc>
      </w:tr>
    </w:tbl>
    <w:p>
      <w:pPr>
        <w:spacing w:line="520" w:lineRule="exact"/>
        <w:jc w:val="center"/>
        <w:rPr>
          <w:color w:val="000000" w:themeColor="text1"/>
          <w:sz w:val="32"/>
          <w:szCs w:val="32"/>
        </w:rPr>
        <w:sectPr>
          <w:headerReference r:id="rId3" w:type="first"/>
          <w:footerReference r:id="rId6" w:type="first"/>
          <w:footerReference r:id="rId4" w:type="default"/>
          <w:footerReference r:id="rId5" w:type="even"/>
          <w:pgSz w:w="11906" w:h="16838"/>
          <w:pgMar w:top="1440" w:right="1463" w:bottom="1440" w:left="1463" w:header="851" w:footer="992" w:gutter="0"/>
          <w:cols w:space="0" w:num="1"/>
          <w:titlePg/>
          <w:docGrid w:type="lines" w:linePitch="312" w:charSpace="0"/>
        </w:sectPr>
      </w:pPr>
    </w:p>
    <w:p>
      <w:pPr>
        <w:ind w:firstLine="2"/>
        <w:jc w:val="center"/>
        <w:rPr>
          <w:color w:val="000000" w:themeColor="text1"/>
          <w:sz w:val="36"/>
          <w:szCs w:val="36"/>
        </w:rPr>
      </w:pPr>
    </w:p>
    <w:p>
      <w:pPr>
        <w:ind w:firstLine="2"/>
        <w:jc w:val="center"/>
        <w:rPr>
          <w:color w:val="000000" w:themeColor="text1"/>
          <w:sz w:val="36"/>
          <w:szCs w:val="36"/>
        </w:rPr>
      </w:pPr>
    </w:p>
    <w:p>
      <w:pPr>
        <w:jc w:val="center"/>
        <w:rPr>
          <w:color w:val="000000" w:themeColor="text1"/>
          <w:sz w:val="36"/>
          <w:szCs w:val="36"/>
        </w:rPr>
      </w:pPr>
      <w:r>
        <w:rPr>
          <w:color w:val="000000" w:themeColor="text1"/>
          <w:sz w:val="36"/>
          <w:szCs w:val="36"/>
        </w:rPr>
        <w:t>目录</w:t>
      </w:r>
    </w:p>
    <w:sdt>
      <w:sdtPr>
        <w:rPr>
          <w:rFonts w:ascii="宋体" w:hAnsi="宋体"/>
          <w:kern w:val="0"/>
          <w:sz w:val="21"/>
          <w:szCs w:val="20"/>
        </w:rPr>
        <w:id w:val="147461489"/>
        <w:docPartObj>
          <w:docPartGallery w:val="Table of Contents"/>
          <w:docPartUnique/>
        </w:docPartObj>
      </w:sdtPr>
      <w:sdtEndPr>
        <w:rPr>
          <w:rFonts w:ascii="宋体" w:hAnsi="宋体"/>
          <w:b/>
          <w:bCs/>
          <w:kern w:val="0"/>
          <w:sz w:val="20"/>
          <w:szCs w:val="20"/>
        </w:rPr>
      </w:sdtEndPr>
      <w:sdtContent>
        <w:p>
          <w:pPr>
            <w:jc w:val="center"/>
          </w:pPr>
          <w:bookmarkStart w:id="0" w:name="_Toc15418_WPSOffice_Type2"/>
        </w:p>
        <w:p>
          <w:pPr>
            <w:pStyle w:val="114"/>
            <w:tabs>
              <w:tab w:val="right" w:leader="dot" w:pos="9348"/>
            </w:tabs>
          </w:pPr>
          <w:r>
            <w:fldChar w:fldCharType="begin"/>
          </w:r>
          <w:r>
            <w:instrText xml:space="preserve"> HYPERLINK \l "_Toc29998_WPSOffice_Level1" </w:instrText>
          </w:r>
          <w:r>
            <w:fldChar w:fldCharType="separate"/>
          </w:r>
          <w:r>
            <w:rPr>
              <w:b/>
              <w:bCs/>
            </w:rPr>
            <w:t>第一章谈判邀请函</w:t>
          </w:r>
          <w:r>
            <w:rPr>
              <w:b/>
              <w:bCs/>
            </w:rPr>
            <w:tab/>
          </w:r>
          <w:r>
            <w:rPr>
              <w:rFonts w:hint="eastAsia"/>
              <w:b/>
              <w:bCs/>
            </w:rPr>
            <w:t>2</w:t>
          </w:r>
          <w:r>
            <w:rPr>
              <w:rFonts w:hint="eastAsia"/>
              <w:b/>
              <w:bCs/>
            </w:rPr>
            <w:fldChar w:fldCharType="end"/>
          </w:r>
        </w:p>
        <w:p>
          <w:pPr>
            <w:pStyle w:val="114"/>
            <w:tabs>
              <w:tab w:val="right" w:leader="dot" w:pos="9348"/>
            </w:tabs>
          </w:pPr>
          <w:r>
            <w:fldChar w:fldCharType="begin"/>
          </w:r>
          <w:r>
            <w:instrText xml:space="preserve"> HYPERLINK \l "_Toc4670_WPSOffice_Level1" </w:instrText>
          </w:r>
          <w:r>
            <w:fldChar w:fldCharType="separate"/>
          </w:r>
          <w:sdt>
            <w:sdtPr>
              <w:rPr>
                <w:b/>
                <w:bCs/>
                <w:kern w:val="2"/>
                <w:sz w:val="28"/>
                <w:szCs w:val="24"/>
              </w:rPr>
              <w:id w:val="147461493"/>
              <w:placeholder>
                <w:docPart w:val="{55ccf1eb-eac8-49f1-ad65-864b29cb6a28}"/>
              </w:placeholder>
            </w:sdtPr>
            <w:sdtEndPr>
              <w:rPr>
                <w:b/>
                <w:bCs/>
                <w:kern w:val="2"/>
                <w:sz w:val="28"/>
                <w:szCs w:val="24"/>
              </w:rPr>
            </w:sdtEndPr>
            <w:sdtContent>
              <w:r>
                <w:rPr>
                  <w:b/>
                  <w:bCs/>
                </w:rPr>
                <w:t>第二章谈判须知</w:t>
              </w:r>
            </w:sdtContent>
          </w:sdt>
          <w:r>
            <w:rPr>
              <w:b/>
              <w:bCs/>
            </w:rPr>
            <w:tab/>
          </w:r>
          <w:r>
            <w:rPr>
              <w:rFonts w:hint="eastAsia"/>
              <w:b/>
              <w:bCs/>
            </w:rPr>
            <w:t>4</w:t>
          </w:r>
          <w:r>
            <w:rPr>
              <w:rFonts w:hint="eastAsia"/>
              <w:b/>
              <w:bCs/>
            </w:rPr>
            <w:fldChar w:fldCharType="end"/>
          </w:r>
        </w:p>
        <w:p>
          <w:pPr>
            <w:pStyle w:val="114"/>
            <w:tabs>
              <w:tab w:val="right" w:leader="dot" w:pos="9348"/>
            </w:tabs>
          </w:pPr>
          <w:r>
            <w:fldChar w:fldCharType="begin"/>
          </w:r>
          <w:r>
            <w:instrText xml:space="preserve"> HYPERLINK \l "_Toc15418_WPSOffice_Level1" </w:instrText>
          </w:r>
          <w:r>
            <w:fldChar w:fldCharType="separate"/>
          </w:r>
          <w:r>
            <w:rPr>
              <w:b/>
              <w:bCs/>
            </w:rPr>
            <w:t>第三章 采购服务</w:t>
          </w:r>
          <w:r>
            <w:rPr>
              <w:rFonts w:hint="eastAsia"/>
              <w:b/>
              <w:bCs/>
            </w:rPr>
            <w:t>需</w:t>
          </w:r>
          <w:r>
            <w:rPr>
              <w:b/>
              <w:bCs/>
            </w:rPr>
            <w:t>求</w:t>
          </w:r>
          <w:r>
            <w:rPr>
              <w:b/>
              <w:bCs/>
            </w:rPr>
            <w:tab/>
          </w:r>
          <w:r>
            <w:rPr>
              <w:rFonts w:hint="eastAsia"/>
              <w:b/>
              <w:bCs/>
            </w:rPr>
            <w:t>1</w:t>
          </w:r>
          <w:r>
            <w:rPr>
              <w:rFonts w:hint="eastAsia"/>
              <w:b/>
              <w:bCs/>
            </w:rPr>
            <w:fldChar w:fldCharType="end"/>
          </w:r>
          <w:r>
            <w:rPr>
              <w:rFonts w:hint="eastAsia"/>
              <w:b/>
              <w:bCs/>
            </w:rPr>
            <w:t>3</w:t>
          </w:r>
        </w:p>
        <w:p>
          <w:pPr>
            <w:pStyle w:val="114"/>
            <w:tabs>
              <w:tab w:val="right" w:leader="dot" w:pos="9348"/>
            </w:tabs>
          </w:pPr>
          <w:r>
            <w:fldChar w:fldCharType="begin"/>
          </w:r>
          <w:r>
            <w:instrText xml:space="preserve"> HYPERLINK \l "_Toc26272_WPSOffice_Level1" </w:instrText>
          </w:r>
          <w:r>
            <w:fldChar w:fldCharType="separate"/>
          </w:r>
          <w:r>
            <w:rPr>
              <w:b/>
              <w:bCs/>
            </w:rPr>
            <w:t>第四章</w:t>
          </w:r>
          <w:r>
            <w:rPr>
              <w:rFonts w:hint="eastAsia"/>
              <w:b/>
              <w:bCs/>
            </w:rPr>
            <w:t xml:space="preserve"> </w:t>
          </w:r>
          <w:r>
            <w:rPr>
              <w:b/>
              <w:bCs/>
            </w:rPr>
            <w:t>合同书</w:t>
          </w:r>
          <w:r>
            <w:rPr>
              <w:b/>
              <w:bCs/>
            </w:rPr>
            <w:tab/>
          </w:r>
          <w:r>
            <w:rPr>
              <w:rFonts w:hint="eastAsia"/>
              <w:b/>
              <w:bCs/>
            </w:rPr>
            <w:t>1</w:t>
          </w:r>
          <w:r>
            <w:rPr>
              <w:rFonts w:hint="eastAsia"/>
              <w:b/>
              <w:bCs/>
            </w:rPr>
            <w:fldChar w:fldCharType="end"/>
          </w:r>
          <w:r>
            <w:rPr>
              <w:rFonts w:hint="eastAsia"/>
              <w:b/>
              <w:bCs/>
            </w:rPr>
            <w:t>5</w:t>
          </w:r>
        </w:p>
        <w:p>
          <w:pPr>
            <w:pStyle w:val="114"/>
            <w:tabs>
              <w:tab w:val="right" w:leader="dot" w:pos="9348"/>
            </w:tabs>
          </w:pPr>
          <w:r>
            <w:fldChar w:fldCharType="begin"/>
          </w:r>
          <w:r>
            <w:instrText xml:space="preserve"> HYPERLINK \l "_Toc3996_WPSOffice_Level1" </w:instrText>
          </w:r>
          <w:r>
            <w:fldChar w:fldCharType="separate"/>
          </w:r>
          <w:r>
            <w:rPr>
              <w:b/>
              <w:bCs/>
            </w:rPr>
            <w:t>第五章响应文件格式</w:t>
          </w:r>
          <w:r>
            <w:rPr>
              <w:b/>
              <w:bCs/>
            </w:rPr>
            <w:tab/>
          </w:r>
          <w:r>
            <w:rPr>
              <w:rFonts w:hint="eastAsia"/>
              <w:b/>
              <w:bCs/>
            </w:rPr>
            <w:t>4</w:t>
          </w:r>
          <w:r>
            <w:rPr>
              <w:rFonts w:hint="eastAsia"/>
              <w:b/>
              <w:bCs/>
            </w:rPr>
            <w:fldChar w:fldCharType="end"/>
          </w:r>
          <w:r>
            <w:rPr>
              <w:rFonts w:hint="eastAsia"/>
              <w:b/>
              <w:bCs/>
            </w:rPr>
            <w:t>6</w:t>
          </w:r>
        </w:p>
        <w:p>
          <w:pPr>
            <w:pStyle w:val="115"/>
            <w:tabs>
              <w:tab w:val="right" w:leader="dot" w:pos="9348"/>
            </w:tabs>
            <w:ind w:left="560"/>
          </w:pPr>
        </w:p>
        <w:p>
          <w:pPr>
            <w:pStyle w:val="114"/>
            <w:tabs>
              <w:tab w:val="right" w:leader="dot" w:pos="9348"/>
            </w:tabs>
          </w:pPr>
        </w:p>
      </w:sdtContent>
    </w:sdt>
    <w:bookmarkEnd w:id="0"/>
    <w:p>
      <w:pPr>
        <w:spacing w:line="500" w:lineRule="exact"/>
        <w:ind w:left="-1"/>
        <w:jc w:val="center"/>
        <w:rPr>
          <w:bCs/>
          <w:color w:val="000000" w:themeColor="text1"/>
          <w:sz w:val="10"/>
          <w:szCs w:val="10"/>
        </w:rPr>
      </w:pPr>
      <w:r>
        <w:rPr>
          <w:bCs/>
          <w:color w:val="000000" w:themeColor="text1"/>
          <w:sz w:val="36"/>
          <w:szCs w:val="36"/>
        </w:rPr>
        <w:br w:type="page"/>
      </w:r>
    </w:p>
    <w:p>
      <w:pPr>
        <w:spacing w:line="500" w:lineRule="exact"/>
        <w:ind w:left="-1"/>
        <w:jc w:val="center"/>
        <w:rPr>
          <w:bCs/>
          <w:color w:val="000000" w:themeColor="text1"/>
          <w:sz w:val="36"/>
          <w:szCs w:val="36"/>
        </w:rPr>
      </w:pPr>
      <w:bookmarkStart w:id="1" w:name="_Toc29998_WPSOffice_Level1"/>
      <w:r>
        <w:rPr>
          <w:bCs/>
          <w:color w:val="000000" w:themeColor="text1"/>
          <w:sz w:val="36"/>
          <w:szCs w:val="36"/>
        </w:rPr>
        <w:t>第一章谈判邀请函</w:t>
      </w:r>
      <w:bookmarkEnd w:id="1"/>
    </w:p>
    <w:p>
      <w:pPr>
        <w:spacing w:line="500" w:lineRule="exact"/>
        <w:rPr>
          <w:bCs/>
          <w:color w:val="000000" w:themeColor="text1"/>
          <w:sz w:val="24"/>
          <w:u w:val="single"/>
          <w:lang w:bidi="ar-EG"/>
        </w:rPr>
      </w:pPr>
      <w:r>
        <w:rPr>
          <w:bCs/>
          <w:color w:val="000000" w:themeColor="text1"/>
          <w:sz w:val="24"/>
          <w:u w:val="single"/>
          <w:lang w:bidi="ar-EG"/>
        </w:rPr>
        <w:t>（</w:t>
      </w:r>
      <w:r>
        <w:rPr>
          <w:rFonts w:hint="eastAsia"/>
          <w:bCs/>
          <w:color w:val="000000" w:themeColor="text1"/>
          <w:sz w:val="24"/>
          <w:u w:val="single"/>
          <w:lang w:bidi="ar-EG"/>
        </w:rPr>
        <w:t>受</w:t>
      </w:r>
      <w:r>
        <w:rPr>
          <w:bCs/>
          <w:color w:val="000000" w:themeColor="text1"/>
          <w:sz w:val="24"/>
          <w:u w:val="single"/>
          <w:lang w:bidi="ar-EG"/>
        </w:rPr>
        <w:t>邀请供应商</w:t>
      </w:r>
      <w:r>
        <w:rPr>
          <w:rFonts w:hint="eastAsia"/>
          <w:bCs/>
          <w:color w:val="000000" w:themeColor="text1"/>
          <w:sz w:val="24"/>
          <w:u w:val="single"/>
          <w:lang w:bidi="ar-EG"/>
        </w:rPr>
        <w:t>名称</w:t>
      </w:r>
      <w:r>
        <w:rPr>
          <w:bCs/>
          <w:color w:val="000000" w:themeColor="text1"/>
          <w:sz w:val="24"/>
          <w:u w:val="single"/>
          <w:lang w:bidi="ar-EG"/>
        </w:rPr>
        <w:t>）：</w:t>
      </w:r>
    </w:p>
    <w:p>
      <w:pPr>
        <w:spacing w:line="500" w:lineRule="exact"/>
        <w:ind w:firstLine="480" w:firstLineChars="200"/>
        <w:rPr>
          <w:bCs/>
          <w:color w:val="000000" w:themeColor="text1"/>
          <w:sz w:val="24"/>
          <w:lang w:bidi="ar-EG"/>
        </w:rPr>
      </w:pPr>
      <w:r>
        <w:rPr>
          <w:bCs/>
          <w:color w:val="000000" w:themeColor="text1"/>
          <w:sz w:val="24"/>
          <w:lang w:bidi="ar-EG"/>
        </w:rPr>
        <w:t>谈判</w:t>
      </w:r>
      <w:r>
        <w:rPr>
          <w:bCs/>
          <w:color w:val="000000"/>
          <w:sz w:val="24"/>
          <w:lang w:bidi="ar-EG"/>
        </w:rPr>
        <w:t>小组确定你公司为</w:t>
      </w:r>
      <w:r>
        <w:rPr>
          <w:rFonts w:hint="eastAsia"/>
          <w:bCs/>
          <w:color w:val="000000"/>
          <w:sz w:val="24"/>
          <w:u w:val="single"/>
          <w:lang w:eastAsia="zh-CN" w:bidi="ar-EG"/>
        </w:rPr>
        <w:t>阳新县人民医院电动病床一批采购项目</w:t>
      </w:r>
      <w:r>
        <w:rPr>
          <w:bCs/>
          <w:color w:val="000000" w:themeColor="text1"/>
          <w:sz w:val="24"/>
          <w:lang w:bidi="ar-EG"/>
        </w:rPr>
        <w:t>的谈判供应商，现邀请你公司参加谈判。</w:t>
      </w:r>
    </w:p>
    <w:p>
      <w:pPr>
        <w:spacing w:line="500" w:lineRule="exact"/>
        <w:ind w:firstLine="480" w:firstLineChars="200"/>
        <w:rPr>
          <w:rFonts w:hint="eastAsia" w:eastAsia="宋体"/>
          <w:bCs/>
          <w:color w:val="000000" w:themeColor="text1"/>
          <w:sz w:val="24"/>
          <w:lang w:eastAsia="zh-CN" w:bidi="ar-EG"/>
        </w:rPr>
      </w:pPr>
      <w:r>
        <w:rPr>
          <w:bCs/>
          <w:color w:val="000000" w:themeColor="text1"/>
          <w:sz w:val="24"/>
          <w:lang w:bidi="ar-EG"/>
        </w:rPr>
        <w:t>一、项目编号：</w:t>
      </w:r>
      <w:r>
        <w:rPr>
          <w:rFonts w:hint="eastAsia"/>
          <w:bCs/>
          <w:color w:val="000000" w:themeColor="text1"/>
          <w:sz w:val="24"/>
          <w:lang w:bidi="ar-EG"/>
        </w:rPr>
        <w:t>131-2020CG-</w:t>
      </w:r>
      <w:r>
        <w:rPr>
          <w:rFonts w:hint="eastAsia"/>
          <w:bCs/>
          <w:color w:val="000000" w:themeColor="text1"/>
          <w:sz w:val="24"/>
          <w:lang w:val="en-US" w:eastAsia="zh-CN" w:bidi="ar-EG"/>
        </w:rPr>
        <w:t xml:space="preserve">138 </w:t>
      </w:r>
    </w:p>
    <w:p>
      <w:pPr>
        <w:spacing w:line="500" w:lineRule="exact"/>
        <w:ind w:firstLine="480" w:firstLineChars="200"/>
        <w:rPr>
          <w:bCs/>
          <w:color w:val="000000" w:themeColor="text1"/>
          <w:sz w:val="24"/>
          <w:lang w:bidi="ar-EG"/>
        </w:rPr>
      </w:pPr>
      <w:r>
        <w:rPr>
          <w:bCs/>
          <w:color w:val="000000" w:themeColor="text1"/>
          <w:sz w:val="24"/>
          <w:lang w:bidi="ar-EG"/>
        </w:rPr>
        <w:t>二、项目名称：</w:t>
      </w:r>
      <w:r>
        <w:rPr>
          <w:rFonts w:hint="eastAsia"/>
          <w:bCs/>
          <w:color w:val="000000" w:themeColor="text1"/>
          <w:sz w:val="24"/>
          <w:lang w:eastAsia="zh-CN" w:bidi="ar-EG"/>
        </w:rPr>
        <w:t>阳新县人民医院电动病床一批采购项目</w:t>
      </w:r>
      <w:r>
        <w:rPr>
          <w:rFonts w:hint="eastAsia"/>
          <w:bCs/>
          <w:color w:val="000000" w:themeColor="text1"/>
          <w:sz w:val="24"/>
          <w:lang w:bidi="ar-EG"/>
        </w:rPr>
        <w:t>。</w:t>
      </w:r>
    </w:p>
    <w:p>
      <w:pPr>
        <w:spacing w:line="500" w:lineRule="exact"/>
        <w:ind w:firstLine="480" w:firstLineChars="200"/>
        <w:rPr>
          <w:bCs/>
          <w:color w:val="000000" w:themeColor="text1"/>
          <w:sz w:val="24"/>
          <w:lang w:bidi="ar-EG"/>
        </w:rPr>
      </w:pPr>
      <w:r>
        <w:rPr>
          <w:bCs/>
          <w:color w:val="000000" w:themeColor="text1"/>
          <w:sz w:val="24"/>
          <w:lang w:bidi="ar-EG"/>
        </w:rPr>
        <w:t>三、谈判内容：</w:t>
      </w:r>
      <w:r>
        <w:rPr>
          <w:rFonts w:hint="eastAsia"/>
          <w:bCs/>
          <w:color w:val="000000" w:themeColor="text1"/>
          <w:sz w:val="24"/>
          <w:lang w:eastAsia="zh-CN" w:bidi="ar-EG"/>
        </w:rPr>
        <w:t>电动病床一批</w:t>
      </w:r>
      <w:r>
        <w:rPr>
          <w:rFonts w:hint="eastAsia"/>
          <w:bCs/>
          <w:color w:val="000000" w:themeColor="text1"/>
          <w:sz w:val="24"/>
          <w:lang w:bidi="ar-EG"/>
        </w:rPr>
        <w:t>（详见本文件第三章）。</w:t>
      </w:r>
    </w:p>
    <w:p>
      <w:pPr>
        <w:adjustRightInd w:val="0"/>
        <w:snapToGrid w:val="0"/>
        <w:spacing w:line="500" w:lineRule="exact"/>
        <w:ind w:firstLine="480" w:firstLineChars="200"/>
        <w:rPr>
          <w:sz w:val="24"/>
        </w:rPr>
      </w:pPr>
      <w:r>
        <w:rPr>
          <w:rFonts w:hint="eastAsia"/>
          <w:sz w:val="24"/>
        </w:rPr>
        <w:t>四、采购预算：56万</w:t>
      </w:r>
      <w:r>
        <w:rPr>
          <w:rFonts w:hint="eastAsia"/>
          <w:sz w:val="24"/>
          <w:lang w:eastAsia="zh-CN"/>
        </w:rPr>
        <w:t>元</w:t>
      </w:r>
      <w:r>
        <w:rPr>
          <w:rFonts w:hint="eastAsia"/>
          <w:sz w:val="24"/>
        </w:rPr>
        <w:t>。</w:t>
      </w:r>
    </w:p>
    <w:p>
      <w:pPr>
        <w:adjustRightInd w:val="0"/>
        <w:snapToGrid w:val="0"/>
        <w:spacing w:line="500" w:lineRule="exact"/>
        <w:ind w:firstLine="480" w:firstLineChars="200"/>
        <w:rPr>
          <w:sz w:val="24"/>
        </w:rPr>
      </w:pPr>
      <w:r>
        <w:rPr>
          <w:rFonts w:hint="eastAsia"/>
          <w:sz w:val="24"/>
        </w:rPr>
        <w:t>五、供应商资格条件</w:t>
      </w:r>
    </w:p>
    <w:p>
      <w:pPr>
        <w:adjustRightInd w:val="0"/>
        <w:snapToGrid w:val="0"/>
        <w:spacing w:line="500" w:lineRule="exact"/>
        <w:ind w:firstLine="480" w:firstLineChars="200"/>
        <w:rPr>
          <w:sz w:val="24"/>
        </w:rPr>
      </w:pPr>
      <w:r>
        <w:rPr>
          <w:rFonts w:hint="eastAsia"/>
          <w:sz w:val="24"/>
        </w:rPr>
        <w:t>（一）应具备《政府采购法》第二十二条第一款之规定的基本条件。</w:t>
      </w:r>
    </w:p>
    <w:p>
      <w:pPr>
        <w:adjustRightInd w:val="0"/>
        <w:snapToGrid w:val="0"/>
        <w:spacing w:line="500" w:lineRule="exact"/>
        <w:ind w:firstLine="480" w:firstLineChars="200"/>
        <w:rPr>
          <w:sz w:val="24"/>
        </w:rPr>
      </w:pPr>
      <w:r>
        <w:rPr>
          <w:rFonts w:hint="eastAsia"/>
          <w:sz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中国政府采购”网站（www.ccgp.gov.cn）政府采购严重违法失信行为记录名单（提供网页查询截图）。</w:t>
      </w:r>
    </w:p>
    <w:p>
      <w:pPr>
        <w:pStyle w:val="24"/>
        <w:keepNext w:val="0"/>
        <w:keepLines w:val="0"/>
        <w:widowControl/>
        <w:suppressLineNumbers w:val="0"/>
        <w:spacing w:before="0" w:beforeAutospacing="0" w:after="0" w:afterAutospacing="0" w:line="450" w:lineRule="atLeast"/>
        <w:ind w:left="-226" w:right="-226" w:firstLine="420"/>
        <w:jc w:val="left"/>
        <w:rPr>
          <w:rFonts w:hint="eastAsia"/>
          <w:sz w:val="24"/>
        </w:rPr>
      </w:pPr>
      <w:r>
        <w:rPr>
          <w:rFonts w:hint="eastAsia"/>
          <w:sz w:val="24"/>
        </w:rPr>
        <w:t>（三）特定条件：</w:t>
      </w:r>
    </w:p>
    <w:p>
      <w:pPr>
        <w:pStyle w:val="24"/>
        <w:keepNext w:val="0"/>
        <w:keepLines w:val="0"/>
        <w:widowControl/>
        <w:suppressLineNumbers w:val="0"/>
        <w:spacing w:before="0" w:beforeAutospacing="0" w:after="0" w:afterAutospacing="0" w:line="450" w:lineRule="atLeast"/>
        <w:ind w:left="-226" w:right="-226" w:firstLine="420"/>
        <w:jc w:val="left"/>
        <w:rPr>
          <w:rFonts w:hint="eastAsia" w:ascii="宋体" w:hAnsi="宋体" w:cs="宋体"/>
          <w:color w:val="333333"/>
          <w:sz w:val="24"/>
          <w:shd w:val="clear" w:color="auto" w:fill="FFFFFF"/>
        </w:rPr>
      </w:pPr>
      <w:r>
        <w:rPr>
          <w:rFonts w:hint="eastAsia"/>
          <w:sz w:val="24"/>
          <w:lang w:val="en-US" w:eastAsia="zh-CN"/>
        </w:rPr>
        <w:t>1</w:t>
      </w:r>
      <w:r>
        <w:rPr>
          <w:rFonts w:hint="eastAsia"/>
          <w:sz w:val="24"/>
          <w:lang w:eastAsia="zh-CN"/>
        </w:rPr>
        <w:t>）</w:t>
      </w:r>
      <w:r>
        <w:rPr>
          <w:rFonts w:hint="eastAsia" w:ascii="宋体" w:hAnsi="宋体" w:cs="宋体"/>
          <w:color w:val="333333"/>
          <w:sz w:val="24"/>
          <w:shd w:val="clear" w:color="auto" w:fill="FFFFFF"/>
        </w:rPr>
        <w:t>供应商须具备</w:t>
      </w:r>
      <w:r>
        <w:rPr>
          <w:rFonts w:ascii="Segoe UI" w:hAnsi="Segoe UI" w:eastAsia="Segoe UI" w:cs="Segoe UI"/>
          <w:color w:val="333333"/>
          <w:kern w:val="0"/>
          <w:sz w:val="24"/>
          <w:szCs w:val="24"/>
          <w:lang w:val="en-US" w:eastAsia="zh-CN" w:bidi="ar"/>
        </w:rPr>
        <w:t>医疗器械生产（经营）许可</w:t>
      </w:r>
      <w:r>
        <w:rPr>
          <w:rFonts w:hint="eastAsia" w:ascii="宋体" w:hAnsi="宋体" w:cs="宋体"/>
          <w:color w:val="333333"/>
          <w:sz w:val="24"/>
          <w:shd w:val="clear" w:color="auto" w:fill="FFFFFF"/>
          <w:lang w:val="en-US" w:eastAsia="zh-CN"/>
        </w:rPr>
        <w:t>证；</w:t>
      </w:r>
      <w:r>
        <w:rPr>
          <w:rFonts w:hint="eastAsia" w:ascii="宋体" w:hAnsi="宋体" w:cs="宋体"/>
          <w:color w:val="333333"/>
          <w:sz w:val="24"/>
          <w:shd w:val="clear" w:color="auto" w:fill="FFFFFF"/>
        </w:rPr>
        <w:t xml:space="preserve">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 </w:t>
      </w:r>
    </w:p>
    <w:p>
      <w:pPr>
        <w:spacing w:line="500" w:lineRule="exact"/>
        <w:ind w:firstLine="480"/>
        <w:outlineLvl w:val="0"/>
        <w:rPr>
          <w:color w:val="000000"/>
          <w:sz w:val="24"/>
        </w:rPr>
      </w:pPr>
      <w:r>
        <w:rPr>
          <w:color w:val="000000"/>
          <w:sz w:val="24"/>
        </w:rPr>
        <w:t>六、</w:t>
      </w:r>
      <w:r>
        <w:rPr>
          <w:rFonts w:hint="eastAsia"/>
          <w:color w:val="000000"/>
          <w:sz w:val="24"/>
        </w:rPr>
        <w:t>是否专门面向中小企业、监狱企业、残疾人福利性单位：否。</w:t>
      </w:r>
    </w:p>
    <w:p>
      <w:pPr>
        <w:spacing w:line="500" w:lineRule="exact"/>
        <w:ind w:firstLine="480"/>
        <w:outlineLvl w:val="0"/>
        <w:rPr>
          <w:color w:val="000000"/>
          <w:sz w:val="24"/>
        </w:rPr>
      </w:pPr>
      <w:r>
        <w:rPr>
          <w:rFonts w:hint="eastAsia"/>
          <w:color w:val="000000"/>
          <w:sz w:val="24"/>
        </w:rPr>
        <w:t>七、</w:t>
      </w:r>
      <w:r>
        <w:rPr>
          <w:color w:val="000000"/>
          <w:sz w:val="24"/>
        </w:rPr>
        <w:t>竞争性谈判文件的获得</w:t>
      </w:r>
    </w:p>
    <w:p>
      <w:pPr>
        <w:spacing w:line="500" w:lineRule="exact"/>
        <w:ind w:firstLine="480"/>
        <w:rPr>
          <w:color w:val="000000"/>
          <w:sz w:val="24"/>
          <w:lang w:bidi="ar-EG"/>
        </w:rPr>
      </w:pPr>
      <w:r>
        <w:rPr>
          <w:rFonts w:hint="eastAsia"/>
          <w:color w:val="000000"/>
          <w:sz w:val="24"/>
          <w:lang w:bidi="ar-EG"/>
        </w:rPr>
        <w:t>（一）</w:t>
      </w:r>
      <w:r>
        <w:rPr>
          <w:color w:val="000000"/>
          <w:sz w:val="24"/>
          <w:lang w:bidi="ar-EG"/>
        </w:rPr>
        <w:t>领取时间：</w:t>
      </w:r>
      <w:r>
        <w:rPr>
          <w:rFonts w:hint="eastAsia"/>
          <w:color w:val="000000"/>
          <w:sz w:val="24"/>
          <w:u w:val="single"/>
          <w:lang w:bidi="ar-EG"/>
        </w:rPr>
        <w:t>2020年</w:t>
      </w:r>
      <w:r>
        <w:rPr>
          <w:rFonts w:hint="eastAsia"/>
          <w:color w:val="000000"/>
          <w:sz w:val="24"/>
          <w:u w:val="single"/>
          <w:lang w:val="en-US" w:eastAsia="zh-CN" w:bidi="ar-EG"/>
        </w:rPr>
        <w:t>8</w:t>
      </w:r>
      <w:r>
        <w:rPr>
          <w:rFonts w:hint="eastAsia"/>
          <w:color w:val="000000"/>
          <w:sz w:val="24"/>
          <w:u w:val="single"/>
          <w:lang w:bidi="ar-EG"/>
        </w:rPr>
        <w:t>月</w:t>
      </w:r>
      <w:r>
        <w:rPr>
          <w:rFonts w:hint="eastAsia"/>
          <w:color w:val="000000"/>
          <w:sz w:val="24"/>
          <w:u w:val="single"/>
          <w:lang w:val="en-US" w:eastAsia="zh-CN" w:bidi="ar-EG"/>
        </w:rPr>
        <w:t>28</w:t>
      </w:r>
      <w:r>
        <w:rPr>
          <w:rFonts w:hint="eastAsia"/>
          <w:color w:val="000000"/>
          <w:sz w:val="24"/>
          <w:u w:val="single"/>
          <w:lang w:bidi="ar-EG"/>
        </w:rPr>
        <w:t>日至2020年</w:t>
      </w:r>
      <w:r>
        <w:rPr>
          <w:rFonts w:hint="eastAsia"/>
          <w:color w:val="000000"/>
          <w:sz w:val="24"/>
          <w:u w:val="single"/>
          <w:lang w:val="en-US" w:eastAsia="zh-CN" w:bidi="ar-EG"/>
        </w:rPr>
        <w:t>09</w:t>
      </w:r>
      <w:r>
        <w:rPr>
          <w:rFonts w:hint="eastAsia"/>
          <w:color w:val="000000"/>
          <w:sz w:val="24"/>
          <w:u w:val="single"/>
          <w:lang w:bidi="ar-EG"/>
        </w:rPr>
        <w:t>月</w:t>
      </w:r>
      <w:r>
        <w:rPr>
          <w:rFonts w:hint="eastAsia"/>
          <w:color w:val="000000"/>
          <w:sz w:val="24"/>
          <w:u w:val="single"/>
          <w:lang w:val="en-US" w:eastAsia="zh-CN" w:bidi="ar-EG"/>
        </w:rPr>
        <w:t>01</w:t>
      </w:r>
      <w:r>
        <w:rPr>
          <w:rFonts w:hint="eastAsia"/>
          <w:color w:val="000000"/>
          <w:sz w:val="24"/>
          <w:u w:val="single"/>
          <w:lang w:bidi="ar-EG"/>
        </w:rPr>
        <w:t>日17时30分止</w:t>
      </w:r>
      <w:r>
        <w:rPr>
          <w:color w:val="000000"/>
          <w:sz w:val="24"/>
          <w:lang w:bidi="ar-EG"/>
        </w:rPr>
        <w:t>（工作时间）。</w:t>
      </w:r>
    </w:p>
    <w:p>
      <w:pPr>
        <w:spacing w:line="500" w:lineRule="exact"/>
        <w:ind w:firstLine="480"/>
        <w:rPr>
          <w:color w:val="FF0000"/>
          <w:sz w:val="24"/>
          <w:lang w:bidi="ar-EG"/>
        </w:rPr>
      </w:pPr>
      <w:r>
        <w:rPr>
          <w:rFonts w:hint="eastAsia"/>
          <w:color w:val="000000"/>
          <w:sz w:val="24"/>
          <w:lang w:bidi="ar-EG"/>
        </w:rPr>
        <w:t>（二）</w:t>
      </w:r>
      <w:r>
        <w:rPr>
          <w:color w:val="000000"/>
          <w:sz w:val="24"/>
          <w:lang w:bidi="ar-EG"/>
        </w:rPr>
        <w:t>领取</w:t>
      </w:r>
      <w:r>
        <w:rPr>
          <w:rFonts w:hint="eastAsia"/>
          <w:color w:val="000000"/>
          <w:sz w:val="24"/>
          <w:lang w:bidi="ar-EG"/>
        </w:rPr>
        <w:t>方式</w:t>
      </w:r>
      <w:r>
        <w:rPr>
          <w:color w:val="000000"/>
          <w:sz w:val="24"/>
          <w:lang w:bidi="ar-EG"/>
        </w:rPr>
        <w:t>：</w:t>
      </w:r>
      <w:r>
        <w:rPr>
          <w:rFonts w:hint="eastAsia"/>
          <w:color w:val="FF0000"/>
          <w:sz w:val="24"/>
          <w:lang w:bidi="ar-EG"/>
        </w:rPr>
        <w:t>采购代理公司按谈判小组征集并确定好的供应商发送电子邮件通知其合格，并邀请其前往采购代理公司领取纸质采购文件。本采购文件300元/套。</w:t>
      </w:r>
    </w:p>
    <w:p>
      <w:pPr>
        <w:spacing w:line="500" w:lineRule="exact"/>
        <w:ind w:firstLine="480"/>
        <w:rPr>
          <w:color w:val="000000"/>
          <w:sz w:val="24"/>
          <w:lang w:val="hr-HR" w:bidi="ar-EG"/>
        </w:rPr>
      </w:pPr>
      <w:r>
        <w:rPr>
          <w:rFonts w:hint="eastAsia"/>
          <w:color w:val="000000"/>
          <w:sz w:val="24"/>
          <w:lang w:val="hr-HR" w:bidi="ar-EG"/>
        </w:rPr>
        <w:t>八、</w:t>
      </w:r>
      <w:r>
        <w:rPr>
          <w:color w:val="000000"/>
          <w:sz w:val="24"/>
          <w:lang w:val="hr-HR" w:bidi="ar-EG"/>
        </w:rPr>
        <w:t>递交</w:t>
      </w:r>
      <w:r>
        <w:rPr>
          <w:rFonts w:hint="eastAsia"/>
          <w:color w:val="000000"/>
          <w:sz w:val="24"/>
          <w:lang w:val="hr-HR" w:bidi="ar-EG"/>
        </w:rPr>
        <w:t>竞争性谈判</w:t>
      </w:r>
      <w:r>
        <w:rPr>
          <w:color w:val="000000"/>
          <w:sz w:val="24"/>
          <w:lang w:val="hr-HR" w:bidi="ar-EG"/>
        </w:rPr>
        <w:t>响应文件截止时间和谈判时间</w:t>
      </w:r>
    </w:p>
    <w:p>
      <w:pPr>
        <w:spacing w:line="500" w:lineRule="exact"/>
        <w:ind w:firstLine="480"/>
        <w:rPr>
          <w:color w:val="000000"/>
          <w:sz w:val="24"/>
          <w:lang w:val="hr-HR" w:bidi="ar-EG"/>
        </w:rPr>
      </w:pPr>
      <w:r>
        <w:rPr>
          <w:color w:val="000000"/>
          <w:sz w:val="24"/>
          <w:lang w:val="hr-HR" w:bidi="ar-EG"/>
        </w:rPr>
        <w:t>递交</w:t>
      </w:r>
      <w:r>
        <w:rPr>
          <w:rFonts w:hint="eastAsia"/>
          <w:color w:val="000000"/>
          <w:sz w:val="24"/>
          <w:lang w:val="hr-HR" w:bidi="ar-EG"/>
        </w:rPr>
        <w:t>谈判</w:t>
      </w:r>
      <w:r>
        <w:rPr>
          <w:color w:val="000000"/>
          <w:sz w:val="24"/>
          <w:lang w:val="hr-HR" w:bidi="ar-EG"/>
        </w:rPr>
        <w:t>响应文件截止时间：</w:t>
      </w:r>
      <w:r>
        <w:rPr>
          <w:rFonts w:hint="eastAsia"/>
          <w:color w:val="000000"/>
          <w:sz w:val="24"/>
          <w:u w:val="single"/>
          <w:lang w:bidi="ar-EG"/>
        </w:rPr>
        <w:t xml:space="preserve"> 2020年</w:t>
      </w:r>
      <w:r>
        <w:rPr>
          <w:rFonts w:hint="eastAsia"/>
          <w:color w:val="000000"/>
          <w:sz w:val="24"/>
          <w:u w:val="single"/>
          <w:lang w:val="en-US" w:eastAsia="zh-CN" w:bidi="ar-EG"/>
        </w:rPr>
        <w:t>09</w:t>
      </w:r>
      <w:r>
        <w:rPr>
          <w:rFonts w:hint="eastAsia"/>
          <w:color w:val="000000"/>
          <w:sz w:val="24"/>
          <w:u w:val="single"/>
          <w:lang w:bidi="ar-EG"/>
        </w:rPr>
        <w:t>月</w:t>
      </w:r>
      <w:r>
        <w:rPr>
          <w:rFonts w:hint="eastAsia"/>
          <w:color w:val="000000"/>
          <w:sz w:val="24"/>
          <w:u w:val="single"/>
          <w:lang w:val="en-US" w:eastAsia="zh-CN" w:bidi="ar-EG"/>
        </w:rPr>
        <w:t>15</w:t>
      </w:r>
      <w:r>
        <w:rPr>
          <w:rFonts w:hint="eastAsia"/>
          <w:color w:val="000000"/>
          <w:sz w:val="24"/>
          <w:u w:val="single"/>
          <w:lang w:bidi="ar-EG"/>
        </w:rPr>
        <w:t>日</w:t>
      </w:r>
      <w:r>
        <w:rPr>
          <w:rFonts w:hint="eastAsia"/>
          <w:color w:val="000000"/>
          <w:sz w:val="24"/>
          <w:u w:val="single"/>
          <w:lang w:val="en-US" w:eastAsia="zh-CN" w:bidi="ar-EG"/>
        </w:rPr>
        <w:t xml:space="preserve"> 15 </w:t>
      </w:r>
      <w:r>
        <w:rPr>
          <w:rFonts w:hint="eastAsia"/>
          <w:color w:val="000000"/>
          <w:sz w:val="24"/>
          <w:u w:val="single"/>
          <w:lang w:bidi="ar-EG"/>
        </w:rPr>
        <w:t>点</w:t>
      </w:r>
      <w:r>
        <w:rPr>
          <w:rFonts w:hint="eastAsia"/>
          <w:color w:val="000000"/>
          <w:sz w:val="24"/>
          <w:u w:val="single"/>
          <w:lang w:val="en-US" w:eastAsia="zh-CN" w:bidi="ar-EG"/>
        </w:rPr>
        <w:t>3</w:t>
      </w:r>
      <w:r>
        <w:rPr>
          <w:rFonts w:hint="eastAsia"/>
          <w:color w:val="000000"/>
          <w:sz w:val="24"/>
          <w:u w:val="single"/>
          <w:lang w:bidi="ar-EG"/>
        </w:rPr>
        <w:t>0分</w:t>
      </w:r>
      <w:r>
        <w:rPr>
          <w:color w:val="000000"/>
          <w:sz w:val="24"/>
          <w:lang w:val="hr-HR" w:bidi="ar-EG"/>
        </w:rPr>
        <w:t>（</w:t>
      </w:r>
      <w:r>
        <w:rPr>
          <w:rFonts w:hint="eastAsia"/>
          <w:color w:val="0000FF"/>
          <w:sz w:val="24"/>
          <w:u w:val="single"/>
          <w:lang w:val="en-US" w:eastAsia="zh-CN" w:bidi="ar-EG"/>
        </w:rPr>
        <w:t>14</w:t>
      </w:r>
      <w:r>
        <w:rPr>
          <w:color w:val="0000FF"/>
          <w:sz w:val="24"/>
          <w:u w:val="single"/>
          <w:lang w:val="hr-HR" w:bidi="ar-EG"/>
        </w:rPr>
        <w:t>时</w:t>
      </w:r>
      <w:r>
        <w:rPr>
          <w:rFonts w:hint="eastAsia"/>
          <w:color w:val="0000FF"/>
          <w:sz w:val="24"/>
          <w:u w:val="single"/>
          <w:lang w:bidi="ar-EG"/>
        </w:rPr>
        <w:t>30</w:t>
      </w:r>
      <w:r>
        <w:rPr>
          <w:rFonts w:hint="eastAsia"/>
          <w:color w:val="0000FF"/>
          <w:sz w:val="24"/>
          <w:lang w:bidi="ar-EG"/>
        </w:rPr>
        <w:t>分</w:t>
      </w:r>
      <w:r>
        <w:rPr>
          <w:color w:val="000000"/>
          <w:sz w:val="24"/>
          <w:lang w:val="hr-HR" w:bidi="ar-EG"/>
        </w:rPr>
        <w:t>开始接受</w:t>
      </w:r>
      <w:r>
        <w:rPr>
          <w:rFonts w:hint="eastAsia"/>
          <w:color w:val="000000"/>
          <w:sz w:val="24"/>
          <w:lang w:val="hr-HR" w:bidi="ar-EG"/>
        </w:rPr>
        <w:t>谈判</w:t>
      </w:r>
      <w:r>
        <w:rPr>
          <w:color w:val="000000"/>
          <w:sz w:val="24"/>
          <w:lang w:val="hr-HR" w:bidi="ar-EG"/>
        </w:rPr>
        <w:t>响应文件）。</w:t>
      </w:r>
    </w:p>
    <w:p>
      <w:pPr>
        <w:spacing w:line="500" w:lineRule="exact"/>
        <w:ind w:firstLine="480"/>
        <w:rPr>
          <w:color w:val="000000"/>
          <w:sz w:val="24"/>
          <w:lang w:val="hr-HR" w:bidi="ar-EG"/>
        </w:rPr>
      </w:pPr>
      <w:r>
        <w:rPr>
          <w:color w:val="000000"/>
          <w:sz w:val="24"/>
          <w:lang w:val="hr-HR" w:bidi="ar-EG"/>
        </w:rPr>
        <w:t>递交</w:t>
      </w:r>
      <w:r>
        <w:rPr>
          <w:rFonts w:hint="eastAsia"/>
          <w:color w:val="000000"/>
          <w:sz w:val="24"/>
          <w:lang w:val="hr-HR" w:bidi="ar-EG"/>
        </w:rPr>
        <w:t>谈判</w:t>
      </w:r>
      <w:r>
        <w:rPr>
          <w:color w:val="000000"/>
          <w:sz w:val="24"/>
          <w:lang w:val="hr-HR" w:bidi="ar-EG"/>
        </w:rPr>
        <w:t>响应文件截止时间即为谈判时间，逾期送达的</w:t>
      </w:r>
      <w:r>
        <w:rPr>
          <w:rFonts w:hint="eastAsia"/>
          <w:color w:val="000000"/>
          <w:sz w:val="24"/>
          <w:lang w:val="hr-HR" w:bidi="ar-EG"/>
        </w:rPr>
        <w:t>谈判</w:t>
      </w:r>
      <w:r>
        <w:rPr>
          <w:color w:val="000000"/>
          <w:sz w:val="24"/>
          <w:lang w:val="hr-HR" w:bidi="ar-EG"/>
        </w:rPr>
        <w:t>响应文件概不接受。</w:t>
      </w:r>
    </w:p>
    <w:p>
      <w:pPr>
        <w:widowControl/>
        <w:spacing w:line="500" w:lineRule="exact"/>
        <w:ind w:firstLine="480" w:firstLineChars="200"/>
        <w:textAlignment w:val="baseline"/>
        <w:rPr>
          <w:color w:val="000000"/>
          <w:sz w:val="24"/>
          <w:lang w:val="hr-HR" w:bidi="ar-EG"/>
        </w:rPr>
      </w:pPr>
      <w:r>
        <w:rPr>
          <w:rFonts w:hint="eastAsia"/>
          <w:color w:val="000000"/>
          <w:sz w:val="24"/>
          <w:lang w:val="hr-HR" w:bidi="ar-EG"/>
        </w:rPr>
        <w:t>九</w:t>
      </w:r>
      <w:r>
        <w:rPr>
          <w:color w:val="000000"/>
          <w:sz w:val="24"/>
          <w:lang w:val="hr-HR" w:bidi="ar-EG"/>
        </w:rPr>
        <w:t>、</w:t>
      </w:r>
      <w:r>
        <w:rPr>
          <w:rFonts w:hint="eastAsia"/>
          <w:color w:val="000000"/>
          <w:sz w:val="24"/>
          <w:lang w:val="hr-HR" w:bidi="ar-EG"/>
        </w:rPr>
        <w:t>谈判</w:t>
      </w:r>
      <w:r>
        <w:rPr>
          <w:color w:val="000000"/>
          <w:sz w:val="24"/>
          <w:lang w:val="hr-HR" w:bidi="ar-EG"/>
        </w:rPr>
        <w:t>响应文件送达地点：</w:t>
      </w:r>
      <w:r>
        <w:rPr>
          <w:rFonts w:hint="eastAsia"/>
          <w:color w:val="000000"/>
          <w:sz w:val="24"/>
          <w:lang w:val="hr-HR" w:bidi="ar-EG"/>
        </w:rPr>
        <w:t>阳新县公共资源交易中心楼</w:t>
      </w:r>
      <w:r>
        <w:rPr>
          <w:rFonts w:hint="eastAsia"/>
          <w:color w:val="0000FF"/>
          <w:sz w:val="24"/>
          <w:lang w:val="hr-HR" w:bidi="ar-EG"/>
        </w:rPr>
        <w:t>开标</w:t>
      </w:r>
      <w:r>
        <w:rPr>
          <w:rFonts w:hint="eastAsia"/>
          <w:color w:val="0000FF"/>
          <w:sz w:val="24"/>
          <w:lang w:val="hr-HR" w:eastAsia="zh-CN" w:bidi="ar-EG"/>
        </w:rPr>
        <w:t>一</w:t>
      </w:r>
      <w:r>
        <w:rPr>
          <w:rFonts w:hint="eastAsia"/>
          <w:color w:val="0000FF"/>
          <w:sz w:val="24"/>
          <w:lang w:val="hr-HR" w:bidi="ar-EG"/>
        </w:rPr>
        <w:t>厅</w:t>
      </w:r>
      <w:r>
        <w:rPr>
          <w:rFonts w:hint="eastAsia"/>
          <w:color w:val="000000"/>
          <w:sz w:val="24"/>
          <w:lang w:val="hr-HR" w:bidi="ar-EG"/>
        </w:rPr>
        <w:t>（</w:t>
      </w:r>
      <w:r>
        <w:rPr>
          <w:rFonts w:hint="eastAsia"/>
          <w:sz w:val="24"/>
        </w:rPr>
        <w:t>阳新大道熊家垴安置小区东侧</w:t>
      </w:r>
      <w:r>
        <w:rPr>
          <w:rFonts w:hint="eastAsia"/>
          <w:color w:val="000000"/>
          <w:sz w:val="24"/>
          <w:lang w:val="hr-HR" w:bidi="ar-EG"/>
        </w:rPr>
        <w:t>）</w:t>
      </w:r>
    </w:p>
    <w:p>
      <w:pPr>
        <w:widowControl/>
        <w:spacing w:line="500" w:lineRule="exact"/>
        <w:ind w:firstLine="480" w:firstLineChars="200"/>
        <w:textAlignment w:val="baseline"/>
        <w:rPr>
          <w:rFonts w:cs="宋体"/>
          <w:color w:val="FF0000"/>
          <w:sz w:val="24"/>
        </w:rPr>
      </w:pPr>
      <w:r>
        <w:rPr>
          <w:rFonts w:hint="eastAsia" w:cs="宋体"/>
          <w:color w:val="FF0000"/>
          <w:sz w:val="24"/>
        </w:rPr>
        <w:t>届时请参加谈判的授权代表携带有效身份证、法人身份证明书或法人授权委托书（原件）出席谈判会并参加谈判，否则谈判小组将拒绝供应商参加谈判。</w:t>
      </w:r>
    </w:p>
    <w:p>
      <w:pPr>
        <w:widowControl/>
        <w:spacing w:line="500" w:lineRule="exact"/>
        <w:ind w:firstLine="480" w:firstLineChars="200"/>
        <w:textAlignment w:val="baseline"/>
        <w:rPr>
          <w:color w:val="000000"/>
          <w:sz w:val="24"/>
        </w:rPr>
      </w:pPr>
      <w:r>
        <w:rPr>
          <w:rFonts w:hint="eastAsia"/>
          <w:color w:val="000000"/>
          <w:sz w:val="24"/>
        </w:rPr>
        <w:t>十</w:t>
      </w:r>
      <w:r>
        <w:rPr>
          <w:color w:val="000000"/>
          <w:sz w:val="24"/>
        </w:rPr>
        <w:t>、联系方式</w:t>
      </w:r>
    </w:p>
    <w:p>
      <w:pPr>
        <w:pStyle w:val="24"/>
        <w:widowControl/>
        <w:spacing w:beforeAutospacing="0" w:afterAutospacing="0" w:line="500" w:lineRule="exact"/>
        <w:ind w:firstLine="482"/>
      </w:pPr>
      <w:r>
        <w:rPr>
          <w:rFonts w:hint="eastAsia"/>
        </w:rPr>
        <w:t>采购人：</w:t>
      </w:r>
      <w:r>
        <w:rPr>
          <w:rFonts w:hint="eastAsia"/>
          <w:lang w:eastAsia="zh-CN"/>
        </w:rPr>
        <w:t>阳新县人民医院</w:t>
      </w:r>
      <w:r>
        <w:rPr>
          <w:rFonts w:hint="eastAsia"/>
        </w:rPr>
        <w:t xml:space="preserve"> </w:t>
      </w:r>
    </w:p>
    <w:p>
      <w:pPr>
        <w:pStyle w:val="24"/>
        <w:widowControl/>
        <w:spacing w:beforeAutospacing="0" w:afterAutospacing="0" w:line="500" w:lineRule="exact"/>
        <w:ind w:firstLine="482"/>
        <w:rPr>
          <w:rFonts w:hint="eastAsia"/>
          <w:lang w:eastAsia="zh-CN"/>
        </w:rPr>
      </w:pPr>
      <w:r>
        <w:rPr>
          <w:rFonts w:hint="eastAsia"/>
        </w:rPr>
        <w:t>联系人</w:t>
      </w:r>
      <w:r>
        <w:rPr>
          <w:rFonts w:hint="eastAsia"/>
          <w:lang w:eastAsia="zh-CN"/>
        </w:rPr>
        <w:t xml:space="preserve">：周理河     </w:t>
      </w:r>
    </w:p>
    <w:p>
      <w:pPr>
        <w:pStyle w:val="24"/>
        <w:widowControl/>
        <w:spacing w:beforeAutospacing="0" w:afterAutospacing="0" w:line="500" w:lineRule="exact"/>
        <w:ind w:firstLine="482"/>
        <w:rPr>
          <w:rFonts w:hint="eastAsia"/>
          <w:lang w:eastAsia="zh-CN"/>
        </w:rPr>
      </w:pPr>
      <w:r>
        <w:rPr>
          <w:rFonts w:hint="eastAsia"/>
          <w:lang w:eastAsia="zh-CN"/>
        </w:rPr>
        <w:t>电话：13669042989</w:t>
      </w:r>
    </w:p>
    <w:p>
      <w:pPr>
        <w:pStyle w:val="24"/>
        <w:widowControl/>
        <w:spacing w:beforeAutospacing="0" w:afterAutospacing="0" w:line="500" w:lineRule="exact"/>
        <w:ind w:firstLine="482"/>
      </w:pPr>
      <w:r>
        <w:rPr>
          <w:rFonts w:hint="eastAsia"/>
        </w:rPr>
        <w:t>地址</w:t>
      </w:r>
      <w:r>
        <w:rPr>
          <w:rFonts w:hint="eastAsia"/>
          <w:lang w:eastAsia="zh-CN"/>
        </w:rPr>
        <w:t>： 湖北省黄石市阳新县兴国镇儒学路81号</w:t>
      </w:r>
    </w:p>
    <w:p>
      <w:pPr>
        <w:pStyle w:val="24"/>
        <w:widowControl/>
        <w:spacing w:beforeAutospacing="0" w:afterAutospacing="0" w:line="500" w:lineRule="exact"/>
        <w:ind w:firstLine="482"/>
      </w:pPr>
      <w:r>
        <w:rPr>
          <w:rFonts w:hint="eastAsia"/>
        </w:rPr>
        <w:t>采购代理机构：</w:t>
      </w:r>
      <w:r>
        <w:rPr>
          <w:rFonts w:hint="eastAsia"/>
          <w:lang w:eastAsia="zh-CN"/>
        </w:rPr>
        <w:t>立信大华工程咨询有限责任公司</w:t>
      </w:r>
      <w:r>
        <w:rPr>
          <w:rFonts w:hint="eastAsia"/>
        </w:rPr>
        <w:t xml:space="preserve"> </w:t>
      </w:r>
    </w:p>
    <w:p>
      <w:pPr>
        <w:pStyle w:val="24"/>
        <w:widowControl/>
        <w:spacing w:beforeAutospacing="0" w:afterAutospacing="0" w:line="500" w:lineRule="exact"/>
        <w:ind w:firstLine="482"/>
      </w:pPr>
      <w:r>
        <w:rPr>
          <w:rFonts w:hint="eastAsia"/>
        </w:rPr>
        <w:t>联系人：</w:t>
      </w:r>
      <w:r>
        <w:rPr>
          <w:rFonts w:hint="eastAsia"/>
          <w:lang w:eastAsia="zh-CN"/>
        </w:rPr>
        <w:t>李红云</w:t>
      </w:r>
      <w:r>
        <w:rPr>
          <w:rFonts w:hint="eastAsia"/>
        </w:rPr>
        <w:t xml:space="preserve">    </w:t>
      </w:r>
    </w:p>
    <w:p>
      <w:pPr>
        <w:pStyle w:val="24"/>
        <w:widowControl/>
        <w:spacing w:beforeAutospacing="0" w:afterAutospacing="0" w:line="500" w:lineRule="exact"/>
        <w:ind w:firstLine="482"/>
        <w:rPr>
          <w:rFonts w:hint="default" w:eastAsia="宋体"/>
          <w:lang w:val="en-US" w:eastAsia="zh-CN"/>
        </w:rPr>
      </w:pPr>
      <w:r>
        <w:rPr>
          <w:rFonts w:hint="eastAsia"/>
        </w:rPr>
        <w:t>电话：1</w:t>
      </w:r>
      <w:r>
        <w:rPr>
          <w:rFonts w:hint="eastAsia"/>
          <w:lang w:val="en-US" w:eastAsia="zh-CN"/>
        </w:rPr>
        <w:t>5347299507</w:t>
      </w:r>
    </w:p>
    <w:p>
      <w:pPr>
        <w:pStyle w:val="24"/>
        <w:widowControl/>
        <w:spacing w:beforeAutospacing="0" w:afterAutospacing="0" w:line="500" w:lineRule="exact"/>
        <w:ind w:firstLine="482"/>
      </w:pPr>
      <w:r>
        <w:rPr>
          <w:rFonts w:hint="eastAsia"/>
        </w:rPr>
        <w:t>地址：阳新县财政局隔壁中国平安后面二单元301室</w:t>
      </w:r>
    </w:p>
    <w:p>
      <w:pPr>
        <w:spacing w:line="500" w:lineRule="exact"/>
        <w:jc w:val="right"/>
        <w:rPr>
          <w:rFonts w:hint="eastAsia" w:eastAsia="宋体"/>
          <w:sz w:val="24"/>
          <w:lang w:eastAsia="zh-CN"/>
        </w:rPr>
      </w:pPr>
      <w:r>
        <w:rPr>
          <w:rFonts w:hint="eastAsia"/>
          <w:sz w:val="24"/>
          <w:lang w:eastAsia="zh-CN"/>
        </w:rPr>
        <w:t>立信大华工程咨询有限责任公司</w:t>
      </w:r>
    </w:p>
    <w:p>
      <w:pPr>
        <w:widowControl/>
        <w:spacing w:line="500" w:lineRule="exact"/>
        <w:ind w:firstLine="6840" w:firstLineChars="2850"/>
        <w:jc w:val="right"/>
        <w:rPr>
          <w:sz w:val="24"/>
        </w:rPr>
      </w:pPr>
      <w:r>
        <w:rPr>
          <w:rFonts w:hint="eastAsia"/>
          <w:sz w:val="24"/>
        </w:rPr>
        <w:t>2020年</w:t>
      </w:r>
      <w:r>
        <w:rPr>
          <w:rFonts w:hint="eastAsia"/>
          <w:sz w:val="24"/>
          <w:lang w:val="en-US" w:eastAsia="zh-CN"/>
        </w:rPr>
        <w:t>08</w:t>
      </w:r>
      <w:r>
        <w:rPr>
          <w:rFonts w:hint="eastAsia"/>
          <w:sz w:val="24"/>
        </w:rPr>
        <w:t>月</w:t>
      </w:r>
      <w:r>
        <w:rPr>
          <w:rFonts w:hint="eastAsia"/>
          <w:sz w:val="24"/>
          <w:lang w:val="en-US" w:eastAsia="zh-CN"/>
        </w:rPr>
        <w:t>28</w:t>
      </w:r>
      <w:r>
        <w:rPr>
          <w:rFonts w:hint="eastAsia"/>
          <w:sz w:val="24"/>
        </w:rPr>
        <w:t>日</w:t>
      </w:r>
      <w:r>
        <w:rPr>
          <w:sz w:val="24"/>
        </w:rPr>
        <w:br w:type="page"/>
      </w:r>
    </w:p>
    <w:p>
      <w:pPr>
        <w:adjustRightInd w:val="0"/>
        <w:snapToGrid w:val="0"/>
        <w:ind w:left="-146" w:leftChars="-52" w:right="-196" w:rightChars="-70" w:firstLine="1"/>
        <w:jc w:val="center"/>
        <w:outlineLvl w:val="0"/>
        <w:rPr>
          <w:szCs w:val="28"/>
        </w:rPr>
      </w:pPr>
      <w:bookmarkStart w:id="2" w:name="_Toc19538_WPSOffice_Level1"/>
      <w:bookmarkStart w:id="3" w:name="_Toc4670_WPSOffice_Level1"/>
      <w:r>
        <w:rPr>
          <w:b/>
          <w:color w:val="000000" w:themeColor="text1"/>
          <w:sz w:val="36"/>
          <w:szCs w:val="36"/>
          <w:lang w:val="hr-HR" w:bidi="ar-EG"/>
        </w:rPr>
        <w:t>第二章</w:t>
      </w:r>
      <w:r>
        <w:rPr>
          <w:b/>
          <w:bCs/>
          <w:color w:val="000000" w:themeColor="text1"/>
          <w:sz w:val="36"/>
          <w:szCs w:val="36"/>
        </w:rPr>
        <w:t>谈判须知</w:t>
      </w:r>
      <w:bookmarkEnd w:id="2"/>
      <w:bookmarkEnd w:id="3"/>
    </w:p>
    <w:p>
      <w:pPr>
        <w:jc w:val="center"/>
        <w:rPr>
          <w:szCs w:val="28"/>
        </w:rPr>
      </w:pPr>
      <w:bookmarkStart w:id="4" w:name="_Toc26627_WPSOffice_Level2"/>
      <w:bookmarkStart w:id="5" w:name="_Toc4670_WPSOffice_Level2"/>
      <w:r>
        <w:rPr>
          <w:rFonts w:hint="eastAsia"/>
          <w:szCs w:val="28"/>
        </w:rPr>
        <w:t>谈判</w:t>
      </w:r>
      <w:r>
        <w:rPr>
          <w:szCs w:val="28"/>
        </w:rPr>
        <w:t>须知前附表</w:t>
      </w:r>
      <w:bookmarkEnd w:id="4"/>
      <w:bookmarkEnd w:id="5"/>
    </w:p>
    <w:tbl>
      <w:tblPr>
        <w:tblStyle w:val="26"/>
        <w:tblW w:w="86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182"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182" w:type="dxa"/>
            <w:tcBorders>
              <w:top w:val="single" w:color="auto" w:sz="4" w:space="0"/>
              <w:left w:val="single" w:color="auto" w:sz="4" w:space="0"/>
              <w:bottom w:val="single" w:color="auto" w:sz="4" w:space="0"/>
            </w:tcBorders>
            <w:vAlign w:val="center"/>
          </w:tcPr>
          <w:p>
            <w:pPr>
              <w:jc w:val="left"/>
              <w:rPr>
                <w:rFonts w:hint="eastAsia" w:eastAsia="宋体"/>
                <w:color w:val="FF0000"/>
                <w:sz w:val="24"/>
                <w:lang w:eastAsia="zh-CN"/>
              </w:rPr>
            </w:pPr>
            <w:r>
              <w:rPr>
                <w:rFonts w:hint="eastAsia"/>
                <w:color w:val="FF0000"/>
                <w:sz w:val="24"/>
                <w:lang w:eastAsia="zh-CN"/>
              </w:rPr>
              <w:t>阳新县人民医院电动病床一批采购项目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182" w:type="dxa"/>
            <w:tcBorders>
              <w:top w:val="single" w:color="auto" w:sz="4" w:space="0"/>
              <w:left w:val="single" w:color="auto" w:sz="4" w:space="0"/>
              <w:bottom w:val="single" w:color="auto" w:sz="4" w:space="0"/>
            </w:tcBorders>
            <w:vAlign w:val="center"/>
          </w:tcPr>
          <w:p>
            <w:pPr>
              <w:jc w:val="left"/>
              <w:rPr>
                <w:rFonts w:hint="default" w:eastAsia="宋体"/>
                <w:color w:val="FF0000"/>
                <w:sz w:val="24"/>
                <w:lang w:val="en-US" w:eastAsia="zh-CN"/>
              </w:rPr>
            </w:pPr>
            <w:r>
              <w:rPr>
                <w:rFonts w:hint="eastAsia"/>
                <w:color w:val="FF0000"/>
                <w:sz w:val="24"/>
              </w:rPr>
              <w:t>131-2020CG-</w:t>
            </w:r>
            <w:r>
              <w:rPr>
                <w:rFonts w:hint="eastAsia"/>
                <w:color w:val="FF0000"/>
                <w:sz w:val="24"/>
                <w:lang w:val="en-US" w:eastAsia="zh-CN"/>
              </w:rPr>
              <w:t>138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kern w:val="0"/>
                <w:sz w:val="24"/>
              </w:rPr>
            </w:pPr>
            <w:r>
              <w:rPr>
                <w:rFonts w:hint="eastAsia" w:ascii="宋体" w:hAnsi="宋体" w:cs="宋体"/>
                <w:kern w:val="0"/>
                <w:sz w:val="24"/>
              </w:rPr>
              <w:t>采购人：</w:t>
            </w:r>
            <w:r>
              <w:rPr>
                <w:rFonts w:hint="eastAsia" w:ascii="宋体" w:hAnsi="宋体" w:cs="宋体"/>
                <w:kern w:val="0"/>
                <w:sz w:val="24"/>
                <w:lang w:eastAsia="zh-CN"/>
              </w:rPr>
              <w:t>阳新县人民医院</w:t>
            </w:r>
            <w:r>
              <w:rPr>
                <w:rFonts w:hint="eastAsia" w:ascii="宋体" w:hAnsi="宋体" w:cs="宋体"/>
                <w:kern w:val="0"/>
                <w:sz w:val="24"/>
              </w:rPr>
              <w:t xml:space="preserve"> </w:t>
            </w:r>
          </w:p>
          <w:p>
            <w:pPr>
              <w:ind w:right="-140" w:rightChars="-50"/>
              <w:jc w:val="left"/>
              <w:rPr>
                <w:rFonts w:hint="eastAsia" w:ascii="宋体" w:hAnsi="宋体" w:cs="宋体"/>
                <w:kern w:val="0"/>
                <w:sz w:val="24"/>
                <w:lang w:eastAsia="zh-CN"/>
              </w:rPr>
            </w:pPr>
            <w:r>
              <w:rPr>
                <w:rFonts w:hint="eastAsia" w:ascii="宋体" w:hAnsi="宋体" w:cs="宋体"/>
                <w:kern w:val="0"/>
                <w:sz w:val="24"/>
              </w:rPr>
              <w:t>联系</w:t>
            </w:r>
            <w:r>
              <w:rPr>
                <w:rFonts w:hint="eastAsia" w:ascii="宋体" w:hAnsi="宋体" w:cs="宋体"/>
                <w:kern w:val="0"/>
                <w:sz w:val="24"/>
                <w:lang w:eastAsia="zh-CN"/>
              </w:rPr>
              <w:t xml:space="preserve">人：周理河     </w:t>
            </w:r>
          </w:p>
          <w:p>
            <w:pPr>
              <w:ind w:right="-140" w:rightChars="-50"/>
              <w:jc w:val="left"/>
              <w:rPr>
                <w:rFonts w:hint="eastAsia" w:ascii="宋体" w:hAnsi="宋体" w:cs="宋体"/>
                <w:kern w:val="0"/>
                <w:sz w:val="24"/>
                <w:lang w:eastAsia="zh-CN"/>
              </w:rPr>
            </w:pPr>
            <w:r>
              <w:rPr>
                <w:rFonts w:hint="eastAsia" w:ascii="宋体" w:hAnsi="宋体" w:cs="宋体"/>
                <w:kern w:val="0"/>
                <w:sz w:val="24"/>
                <w:lang w:eastAsia="zh-CN"/>
              </w:rPr>
              <w:t>电话：13669042989</w:t>
            </w:r>
          </w:p>
          <w:p>
            <w:pPr>
              <w:ind w:right="-140" w:rightChars="-50"/>
              <w:jc w:val="left"/>
              <w:rPr>
                <w:rFonts w:ascii="宋体" w:hAnsi="宋体" w:cs="宋体"/>
                <w:kern w:val="0"/>
                <w:sz w:val="24"/>
              </w:rPr>
            </w:pPr>
            <w:r>
              <w:rPr>
                <w:rFonts w:hint="eastAsia" w:ascii="宋体" w:hAnsi="宋体" w:cs="宋体"/>
                <w:kern w:val="0"/>
                <w:sz w:val="24"/>
                <w:lang w:eastAsia="zh-CN"/>
              </w:rPr>
              <w:t>地址： 湖北省黄石市阳新县兴国镇儒学路81号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w:t>
            </w:r>
            <w:r>
              <w:rPr>
                <w:rFonts w:hint="eastAsia" w:hAnsi="宋体"/>
                <w:color w:val="FF0000"/>
                <w:sz w:val="24"/>
              </w:rPr>
              <w:t>代理公司</w:t>
            </w:r>
          </w:p>
        </w:tc>
        <w:tc>
          <w:tcPr>
            <w:tcW w:w="5182"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cs="宋体"/>
                <w:kern w:val="0"/>
                <w:sz w:val="24"/>
                <w:lang w:eastAsia="zh-CN"/>
              </w:rPr>
            </w:pPr>
            <w:r>
              <w:rPr>
                <w:rFonts w:hint="eastAsia" w:ascii="宋体" w:hAnsi="宋体" w:cs="宋体"/>
                <w:kern w:val="0"/>
                <w:sz w:val="24"/>
              </w:rPr>
              <w:t>采购代理机构：</w:t>
            </w:r>
            <w:r>
              <w:rPr>
                <w:rFonts w:hint="eastAsia" w:ascii="宋体" w:hAnsi="宋体" w:cs="宋体"/>
                <w:kern w:val="0"/>
                <w:sz w:val="24"/>
                <w:lang w:eastAsia="zh-CN"/>
              </w:rPr>
              <w:t>立信大华工程咨询有限责任公司</w:t>
            </w:r>
          </w:p>
          <w:p>
            <w:pPr>
              <w:ind w:right="-140" w:rightChars="-50"/>
              <w:jc w:val="left"/>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李红云</w:t>
            </w:r>
          </w:p>
          <w:p>
            <w:pPr>
              <w:ind w:right="-140" w:rightChars="-50"/>
              <w:jc w:val="left"/>
              <w:rPr>
                <w:rFonts w:hint="eastAsia" w:ascii="宋体" w:hAnsi="宋体" w:cs="宋体"/>
                <w:kern w:val="0"/>
                <w:sz w:val="24"/>
              </w:rPr>
            </w:pPr>
            <w:r>
              <w:rPr>
                <w:rFonts w:hint="eastAsia" w:ascii="宋体" w:hAnsi="宋体" w:cs="宋体"/>
                <w:kern w:val="0"/>
                <w:sz w:val="24"/>
              </w:rPr>
              <w:t>电话：1</w:t>
            </w:r>
            <w:r>
              <w:rPr>
                <w:rFonts w:hint="eastAsia" w:ascii="宋体" w:hAnsi="宋体" w:cs="宋体"/>
                <w:kern w:val="0"/>
                <w:sz w:val="24"/>
                <w:lang w:val="en-US" w:eastAsia="zh-CN"/>
              </w:rPr>
              <w:t>5347299507</w:t>
            </w:r>
          </w:p>
          <w:p>
            <w:pPr>
              <w:ind w:right="-140" w:rightChars="-50"/>
              <w:jc w:val="left"/>
              <w:rPr>
                <w:rFonts w:hint="eastAsia" w:ascii="宋体" w:hAnsi="宋体" w:cs="宋体"/>
                <w:kern w:val="0"/>
                <w:sz w:val="24"/>
              </w:rPr>
            </w:pPr>
            <w:r>
              <w:rPr>
                <w:rFonts w:hint="eastAsia" w:ascii="宋体" w:hAnsi="宋体" w:cs="宋体"/>
                <w:kern w:val="0"/>
                <w:sz w:val="24"/>
              </w:rPr>
              <w:t>联系地址：阳新县财政局隔壁中国平安后面二单元301室</w:t>
            </w:r>
            <w:r>
              <w:rPr>
                <w:rFonts w:hint="eastAsia" w:ascii="宋体" w:hAnsi="宋体" w:cs="宋体"/>
                <w:kern w:val="0"/>
                <w:sz w:val="24"/>
              </w:rPr>
              <w:fldChar w:fldCharType="begin"/>
            </w:r>
            <w:r>
              <w:rPr>
                <w:rFonts w:hint="eastAsia" w:ascii="宋体" w:hAnsi="宋体" w:cs="宋体"/>
                <w:kern w:val="0"/>
                <w:sz w:val="24"/>
              </w:rPr>
              <w:instrText xml:space="preserve">&lt;MK&gt;pro.mobile&lt;/MK&gt;</w:instrText>
            </w:r>
            <w:r>
              <w:rPr>
                <w:rFonts w:hint="eastAsia"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投标保证金</w:t>
            </w:r>
          </w:p>
        </w:tc>
        <w:tc>
          <w:tcPr>
            <w:tcW w:w="5182" w:type="dxa"/>
            <w:tcBorders>
              <w:top w:val="single" w:color="auto" w:sz="4" w:space="0"/>
              <w:left w:val="single" w:color="auto" w:sz="4" w:space="0"/>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本项目无须递交投标保证金，该招标文件涉及投标保证金的条款都将不作要求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color w:val="FF0000"/>
                <w:sz w:val="24"/>
              </w:rPr>
              <w:t>保证金账户</w:t>
            </w:r>
          </w:p>
        </w:tc>
        <w:tc>
          <w:tcPr>
            <w:tcW w:w="5182" w:type="dxa"/>
            <w:tcBorders>
              <w:top w:val="single" w:color="auto" w:sz="4" w:space="0"/>
              <w:left w:val="single" w:color="auto" w:sz="4" w:space="0"/>
              <w:bottom w:val="single" w:color="auto" w:sz="4" w:space="0"/>
            </w:tcBorders>
            <w:vAlign w:val="center"/>
          </w:tcPr>
          <w:p>
            <w:pPr>
              <w:widowControl/>
              <w:jc w:val="left"/>
              <w:rPr>
                <w:rFonts w:ascii="宋体" w:hAnsi="宋体" w:cs="宋体"/>
                <w:color w:val="000000"/>
                <w:sz w:val="24"/>
              </w:rPr>
            </w:pPr>
            <w:r>
              <w:rPr>
                <w:rFonts w:hint="eastAsia"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谈判文件份数</w:t>
            </w:r>
          </w:p>
        </w:tc>
        <w:tc>
          <w:tcPr>
            <w:tcW w:w="5182"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w:t>
            </w:r>
            <w:r>
              <w:rPr>
                <w:rFonts w:hint="eastAsia" w:cs="宋体"/>
                <w:color w:val="0D0D0D"/>
                <w:sz w:val="24"/>
                <w:lang w:eastAsia="zh-CN"/>
              </w:rPr>
              <w:t>四</w:t>
            </w:r>
            <w:r>
              <w:rPr>
                <w:rFonts w:hint="eastAsia" w:cs="宋体"/>
                <w:color w:val="0D0D0D"/>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olor w:val="0D0D0D"/>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9</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ascii="宋体" w:hAnsi="宋体" w:cs="宋体"/>
                <w:color w:val="000000"/>
                <w:sz w:val="24"/>
              </w:rPr>
              <w:t>是否专门面向中小企业、</w:t>
            </w:r>
            <w:r>
              <w:rPr>
                <w:rFonts w:hint="eastAsia"/>
                <w:color w:val="000000" w:themeColor="text1"/>
                <w:sz w:val="24"/>
              </w:rPr>
              <w:t>监狱企业、残疾人福利性单位</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FF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10</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rPr>
            </w:pPr>
            <w:r>
              <w:rPr>
                <w:rFonts w:hint="eastAsia"/>
                <w:bCs/>
                <w:color w:val="000000"/>
                <w:sz w:val="24"/>
              </w:rPr>
              <w:t>价格扣除比例</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bCs/>
                <w:color w:val="000000"/>
                <w:sz w:val="24"/>
              </w:rPr>
            </w:pPr>
            <w:r>
              <w:rPr>
                <w:rFonts w:hint="eastAsia"/>
                <w:bCs/>
                <w:color w:val="000000"/>
                <w:sz w:val="24"/>
              </w:rPr>
              <w:t>联合协议中小型、微型企业的协议合同金额占协议合同总金额30%以上的，价格扣除比例</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2%</w:t>
            </w:r>
          </w:p>
        </w:tc>
      </w:tr>
    </w:tbl>
    <w:p>
      <w:pPr>
        <w:widowControl/>
        <w:jc w:val="left"/>
        <w:rPr>
          <w:rFonts w:eastAsia="仿宋_GB2312"/>
          <w:bCs/>
          <w:color w:val="000000" w:themeColor="text1"/>
          <w:sz w:val="24"/>
        </w:rPr>
      </w:pPr>
    </w:p>
    <w:p>
      <w:pPr>
        <w:widowControl/>
        <w:jc w:val="left"/>
        <w:rPr>
          <w:rFonts w:eastAsia="仿宋_GB2312"/>
          <w:bCs/>
          <w:color w:val="000000" w:themeColor="text1"/>
          <w:sz w:val="24"/>
        </w:rPr>
      </w:pPr>
      <w:r>
        <w:rPr>
          <w:rFonts w:eastAsia="仿宋_GB2312"/>
          <w:bCs/>
          <w:color w:val="000000" w:themeColor="text1"/>
          <w:sz w:val="24"/>
        </w:rPr>
        <w:br w:type="page"/>
      </w:r>
    </w:p>
    <w:p>
      <w:pPr>
        <w:spacing w:line="440" w:lineRule="exact"/>
        <w:rPr>
          <w:rFonts w:eastAsia="黑体"/>
          <w:bCs/>
          <w:color w:val="000000" w:themeColor="text1"/>
          <w:sz w:val="24"/>
        </w:rPr>
      </w:pPr>
      <w:bookmarkStart w:id="6" w:name="_Toc8408_WPSOffice_Level2"/>
      <w:r>
        <w:rPr>
          <w:rFonts w:eastAsia="黑体"/>
          <w:bCs/>
          <w:color w:val="000000" w:themeColor="text1"/>
          <w:sz w:val="24"/>
        </w:rPr>
        <w:t>一、总　则</w:t>
      </w:r>
      <w:bookmarkEnd w:id="6"/>
    </w:p>
    <w:p>
      <w:pPr>
        <w:spacing w:line="440" w:lineRule="exact"/>
        <w:ind w:left="420" w:hanging="420"/>
        <w:rPr>
          <w:bCs/>
          <w:color w:val="000000" w:themeColor="text1"/>
          <w:sz w:val="24"/>
        </w:rPr>
      </w:pPr>
      <w:r>
        <w:rPr>
          <w:rFonts w:hint="eastAsia"/>
          <w:bCs/>
          <w:color w:val="000000" w:themeColor="text1"/>
          <w:sz w:val="24"/>
        </w:rPr>
        <w:t>1.适用范围</w:t>
      </w:r>
    </w:p>
    <w:p>
      <w:pPr>
        <w:spacing w:line="440" w:lineRule="exact"/>
        <w:ind w:left="420" w:hanging="420"/>
        <w:rPr>
          <w:bCs/>
          <w:color w:val="000000" w:themeColor="text1"/>
          <w:sz w:val="24"/>
        </w:rPr>
      </w:pPr>
      <w:r>
        <w:rPr>
          <w:rFonts w:hint="eastAsia"/>
          <w:bCs/>
          <w:color w:val="000000" w:themeColor="text1"/>
          <w:sz w:val="24"/>
        </w:rPr>
        <w:t>1.1本文件仅适用于本文件中所叙述的货物、服务类政府采购项目。</w:t>
      </w:r>
    </w:p>
    <w:p>
      <w:pPr>
        <w:spacing w:line="440" w:lineRule="exact"/>
        <w:ind w:left="420" w:hanging="420"/>
        <w:rPr>
          <w:bCs/>
          <w:color w:val="000000" w:themeColor="text1"/>
          <w:sz w:val="24"/>
        </w:rPr>
      </w:pPr>
      <w:r>
        <w:rPr>
          <w:rFonts w:hint="eastAsia"/>
          <w:bCs/>
          <w:color w:val="000000" w:themeColor="text1"/>
          <w:sz w:val="24"/>
        </w:rPr>
        <w:t>2.定义</w:t>
      </w:r>
    </w:p>
    <w:p>
      <w:pPr>
        <w:spacing w:line="440" w:lineRule="exact"/>
        <w:ind w:left="420" w:hanging="420"/>
        <w:rPr>
          <w:bCs/>
          <w:color w:val="000000" w:themeColor="text1"/>
          <w:sz w:val="24"/>
        </w:rPr>
      </w:pPr>
      <w:r>
        <w:rPr>
          <w:rFonts w:hint="eastAsia"/>
          <w:bCs/>
          <w:color w:val="000000" w:themeColor="text1"/>
          <w:sz w:val="24"/>
        </w:rPr>
        <w:t>2.1“采购人”是指：详见《谈判须知前附表》。</w:t>
      </w:r>
    </w:p>
    <w:p>
      <w:pPr>
        <w:spacing w:line="440" w:lineRule="exact"/>
        <w:ind w:left="420" w:hanging="420"/>
        <w:rPr>
          <w:bCs/>
          <w:color w:val="000000" w:themeColor="text1"/>
          <w:sz w:val="24"/>
        </w:rPr>
      </w:pPr>
      <w:r>
        <w:rPr>
          <w:rFonts w:hint="eastAsia"/>
          <w:bCs/>
          <w:color w:val="000000" w:themeColor="text1"/>
          <w:sz w:val="24"/>
        </w:rPr>
        <w:t>2.2“监管部门”是指：</w:t>
      </w:r>
      <w:r>
        <w:rPr>
          <w:rFonts w:hint="eastAsia"/>
          <w:bCs/>
          <w:color w:val="FF0000"/>
          <w:sz w:val="24"/>
        </w:rPr>
        <w:t>阳新县政府采购办公室、阳新县公共资源交易监督管理局。</w:t>
      </w:r>
    </w:p>
    <w:p>
      <w:pPr>
        <w:spacing w:line="440" w:lineRule="exact"/>
        <w:ind w:left="420" w:hanging="420"/>
        <w:rPr>
          <w:bCs/>
          <w:color w:val="000000" w:themeColor="text1"/>
          <w:sz w:val="24"/>
        </w:rPr>
      </w:pPr>
      <w:r>
        <w:rPr>
          <w:rFonts w:hint="eastAsia"/>
          <w:bCs/>
          <w:color w:val="000000" w:themeColor="text1"/>
          <w:sz w:val="24"/>
        </w:rPr>
        <w:t>2.3“集中采购机构”是指：详见《谈判须知前附表》。</w:t>
      </w:r>
    </w:p>
    <w:p>
      <w:pPr>
        <w:spacing w:line="440" w:lineRule="exact"/>
        <w:ind w:left="420" w:hanging="420"/>
        <w:rPr>
          <w:bCs/>
          <w:color w:val="000000" w:themeColor="text1"/>
          <w:sz w:val="24"/>
        </w:rPr>
      </w:pPr>
      <w:r>
        <w:rPr>
          <w:rFonts w:hint="eastAsia"/>
          <w:bCs/>
          <w:color w:val="000000" w:themeColor="text1"/>
          <w:sz w:val="24"/>
        </w:rPr>
        <w:t>2.4“供应商”是指：获得该项目谈判小组确定参加谈判的法人或者其他组织及自然人。如供应商在本次谈判中成交,即成为“成交供应商”。</w:t>
      </w:r>
    </w:p>
    <w:p>
      <w:pPr>
        <w:spacing w:line="440" w:lineRule="exact"/>
        <w:ind w:left="420" w:hanging="420"/>
        <w:rPr>
          <w:bCs/>
          <w:color w:val="000000" w:themeColor="text1"/>
          <w:sz w:val="24"/>
        </w:rPr>
      </w:pPr>
      <w:r>
        <w:rPr>
          <w:rFonts w:hint="eastAsia"/>
          <w:bCs/>
          <w:color w:val="000000" w:themeColor="text1"/>
          <w:sz w:val="24"/>
        </w:rPr>
        <w:t>2.5“货物”是指：是指成交供应商按本文件规定，向采购人提供的一切货物及其相关服务。根据《政府采购法》的相关规定均应是本国货物，另有规定的除外。</w:t>
      </w:r>
    </w:p>
    <w:p>
      <w:pPr>
        <w:spacing w:line="440" w:lineRule="exact"/>
        <w:ind w:left="420" w:hanging="420"/>
        <w:rPr>
          <w:bCs/>
          <w:color w:val="000000" w:themeColor="text1"/>
          <w:sz w:val="24"/>
        </w:rPr>
      </w:pPr>
      <w:r>
        <w:rPr>
          <w:rFonts w:hint="eastAsia"/>
          <w:bCs/>
          <w:color w:val="000000" w:themeColor="text1"/>
          <w:sz w:val="24"/>
        </w:rPr>
        <w:t>2.6 “服务”是指：成交供应商按本文件规定向采购人提供的所有服务。</w:t>
      </w:r>
    </w:p>
    <w:p>
      <w:pPr>
        <w:spacing w:line="440" w:lineRule="exact"/>
        <w:ind w:left="420" w:hanging="420"/>
        <w:rPr>
          <w:bCs/>
          <w:color w:val="000000" w:themeColor="text1"/>
          <w:sz w:val="24"/>
        </w:rPr>
      </w:pPr>
      <w:r>
        <w:rPr>
          <w:rFonts w:hint="eastAsia"/>
          <w:bCs/>
          <w:color w:val="000000" w:themeColor="text1"/>
          <w:sz w:val="24"/>
        </w:rPr>
        <w:t>2.7“响应文件”是指：供应商根据本文件要求编制包含价格、技术、服务和合同草案条款等所有内容的文件。</w:t>
      </w:r>
    </w:p>
    <w:p>
      <w:pPr>
        <w:spacing w:line="440" w:lineRule="exact"/>
        <w:ind w:left="420" w:hanging="420"/>
        <w:rPr>
          <w:bCs/>
          <w:color w:val="000000" w:themeColor="text1"/>
          <w:sz w:val="24"/>
        </w:rPr>
      </w:pPr>
      <w:r>
        <w:rPr>
          <w:rFonts w:hint="eastAsia"/>
          <w:bCs/>
          <w:color w:val="000000" w:themeColor="text1"/>
          <w:sz w:val="24"/>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440" w:lineRule="exact"/>
        <w:ind w:left="420" w:hanging="420"/>
        <w:rPr>
          <w:bCs/>
          <w:color w:val="000000" w:themeColor="text1"/>
          <w:sz w:val="24"/>
        </w:rPr>
      </w:pPr>
      <w:r>
        <w:rPr>
          <w:rFonts w:hint="eastAsia"/>
          <w:bCs/>
          <w:color w:val="000000" w:themeColor="text1"/>
          <w:sz w:val="24"/>
        </w:rPr>
        <w:t>3.1具备《政府采购法》第二十二条第一款规定的条件，并提供以下证明材料：</w:t>
      </w:r>
    </w:p>
    <w:p>
      <w:pPr>
        <w:spacing w:line="440" w:lineRule="exact"/>
        <w:ind w:left="420" w:hanging="420"/>
        <w:rPr>
          <w:bCs/>
          <w:color w:val="000000" w:themeColor="text1"/>
          <w:sz w:val="24"/>
        </w:rPr>
      </w:pPr>
      <w:r>
        <w:rPr>
          <w:rFonts w:hint="eastAsia"/>
          <w:bCs/>
          <w:color w:val="000000" w:themeColor="text1"/>
          <w:sz w:val="24"/>
        </w:rPr>
        <w:t>1）法人或者其他组织的营业执照等证明文件，如供应商是自然人的提供身份证明材料；</w:t>
      </w:r>
    </w:p>
    <w:p>
      <w:pPr>
        <w:spacing w:line="440" w:lineRule="exact"/>
        <w:ind w:left="420" w:hanging="420"/>
        <w:rPr>
          <w:bCs/>
          <w:color w:val="000000" w:themeColor="text1"/>
          <w:sz w:val="24"/>
        </w:rPr>
      </w:pPr>
      <w:r>
        <w:rPr>
          <w:rFonts w:hint="eastAsia"/>
          <w:bCs/>
          <w:color w:val="000000" w:themeColor="text1"/>
          <w:sz w:val="24"/>
        </w:rPr>
        <w:t>2）财务状况报告，依法缴纳税收和社会保障资金的相关材料；</w:t>
      </w:r>
    </w:p>
    <w:p>
      <w:pPr>
        <w:spacing w:line="440" w:lineRule="exact"/>
        <w:ind w:left="420" w:hanging="420"/>
        <w:rPr>
          <w:bCs/>
          <w:color w:val="000000" w:themeColor="text1"/>
          <w:sz w:val="24"/>
        </w:rPr>
      </w:pPr>
      <w:r>
        <w:rPr>
          <w:rFonts w:hint="eastAsia"/>
          <w:bCs/>
          <w:color w:val="000000" w:themeColor="text1"/>
          <w:sz w:val="24"/>
        </w:rPr>
        <w:t>3）具备履行合同所必需的设备和专业技术能力的证明材料；</w:t>
      </w:r>
    </w:p>
    <w:p>
      <w:pPr>
        <w:spacing w:line="440" w:lineRule="exact"/>
        <w:ind w:left="420" w:hanging="420"/>
        <w:rPr>
          <w:bCs/>
          <w:color w:val="000000" w:themeColor="text1"/>
          <w:sz w:val="24"/>
        </w:rPr>
      </w:pPr>
      <w:r>
        <w:rPr>
          <w:rFonts w:hint="eastAsia"/>
          <w:bCs/>
          <w:color w:val="000000" w:themeColor="text1"/>
          <w:sz w:val="24"/>
        </w:rPr>
        <w:t>4）参加政府采购活动前3年内在经营活动中没有重大违法记录的书面声明；</w:t>
      </w:r>
    </w:p>
    <w:p>
      <w:pPr>
        <w:spacing w:line="440" w:lineRule="exact"/>
        <w:ind w:left="420" w:hanging="420"/>
        <w:rPr>
          <w:bCs/>
          <w:color w:val="000000" w:themeColor="text1"/>
          <w:sz w:val="24"/>
        </w:rPr>
      </w:pPr>
      <w:r>
        <w:rPr>
          <w:rFonts w:hint="eastAsia"/>
          <w:bCs/>
          <w:color w:val="000000" w:themeColor="text1"/>
          <w:sz w:val="24"/>
        </w:rPr>
        <w:t>3.2如经营、开发或承担本采购项目的货物、服务国家有相关资质要求、或强制性规范、或行业标准的，应已经取得并提供相应的资质证书；</w:t>
      </w:r>
    </w:p>
    <w:p>
      <w:pPr>
        <w:spacing w:line="440" w:lineRule="exact"/>
        <w:ind w:left="420" w:hanging="420"/>
        <w:rPr>
          <w:bCs/>
          <w:color w:val="000000" w:themeColor="text1"/>
          <w:sz w:val="24"/>
        </w:rPr>
      </w:pPr>
      <w:r>
        <w:rPr>
          <w:rFonts w:hint="eastAsia"/>
          <w:bCs/>
          <w:color w:val="000000" w:themeColor="text1"/>
          <w:sz w:val="24"/>
        </w:rPr>
        <w:t>3.3未被列入“信用中国”网站(www.creditchina. gov.cn)失信被执行人、重大税收违法案件当事人名单、政府采购严重违法失信行为记录名单的网页打印件。</w:t>
      </w:r>
    </w:p>
    <w:p>
      <w:pPr>
        <w:spacing w:line="440" w:lineRule="exact"/>
        <w:ind w:left="420" w:hanging="420"/>
        <w:rPr>
          <w:bCs/>
          <w:color w:val="000000" w:themeColor="text1"/>
          <w:sz w:val="24"/>
        </w:rPr>
      </w:pPr>
      <w:r>
        <w:rPr>
          <w:rFonts w:hint="eastAsia"/>
          <w:bCs/>
          <w:color w:val="000000" w:themeColor="text1"/>
          <w:sz w:val="24"/>
        </w:rPr>
        <w:t>3.4供应商应提供无行贿犯罪记录查询证明（可在中国裁判文书网查询，提供查询结果截图）。</w:t>
      </w:r>
    </w:p>
    <w:p>
      <w:pPr>
        <w:spacing w:line="440" w:lineRule="exact"/>
        <w:ind w:left="420" w:hanging="420"/>
        <w:rPr>
          <w:bCs/>
          <w:color w:val="000000" w:themeColor="text1"/>
          <w:sz w:val="24"/>
        </w:rPr>
      </w:pPr>
      <w:r>
        <w:rPr>
          <w:rFonts w:hint="eastAsia"/>
          <w:bCs/>
          <w:color w:val="000000" w:themeColor="text1"/>
          <w:sz w:val="24"/>
        </w:rPr>
        <w:t>3.5本文件第一章第五条除上述以外的条款。</w:t>
      </w:r>
    </w:p>
    <w:p>
      <w:pPr>
        <w:spacing w:line="440" w:lineRule="exact"/>
        <w:ind w:left="420" w:hanging="420"/>
        <w:rPr>
          <w:bCs/>
          <w:color w:val="000000" w:themeColor="text1"/>
          <w:sz w:val="24"/>
        </w:rPr>
      </w:pPr>
      <w:r>
        <w:rPr>
          <w:rFonts w:hint="eastAsia"/>
          <w:bCs/>
          <w:color w:val="000000" w:themeColor="text1"/>
          <w:sz w:val="24"/>
        </w:rPr>
        <w:t>4. 费用</w:t>
      </w:r>
    </w:p>
    <w:p>
      <w:pPr>
        <w:spacing w:line="440" w:lineRule="exact"/>
        <w:ind w:left="420" w:hanging="420"/>
        <w:rPr>
          <w:bCs/>
          <w:color w:val="000000" w:themeColor="text1"/>
          <w:sz w:val="24"/>
        </w:rPr>
      </w:pPr>
      <w:r>
        <w:rPr>
          <w:rFonts w:hint="eastAsia"/>
          <w:bCs/>
          <w:color w:val="000000" w:themeColor="text1"/>
          <w:sz w:val="24"/>
        </w:rPr>
        <w:t>4.1供应商应自行承担所有与编写和提交响应文件有关的费用，不论谈判结果如何，采购人和采购代理机构在任何情况下无义务和责任承担此类费用。</w:t>
      </w:r>
    </w:p>
    <w:p>
      <w:pPr>
        <w:spacing w:line="440" w:lineRule="exact"/>
        <w:rPr>
          <w:sz w:val="24"/>
        </w:rPr>
      </w:pPr>
      <w:r>
        <w:rPr>
          <w:rFonts w:hint="eastAsia"/>
          <w:bCs/>
          <w:color w:val="000000" w:themeColor="text1"/>
          <w:sz w:val="24"/>
        </w:rPr>
        <w:t>4.2</w:t>
      </w:r>
      <w:r>
        <w:rPr>
          <w:rFonts w:hint="eastAsia" w:ascii="宋体" w:hAnsi="宋体"/>
          <w:sz w:val="24"/>
        </w:rPr>
        <w:t>采购代理服务费</w:t>
      </w:r>
    </w:p>
    <w:p>
      <w:pPr>
        <w:pStyle w:val="112"/>
        <w:ind w:left="420" w:firstLine="0" w:firstLineChars="0"/>
        <w:rPr>
          <w:rFonts w:ascii="宋体" w:hAnsi="宋体"/>
          <w:sz w:val="24"/>
          <w:szCs w:val="24"/>
        </w:rPr>
      </w:pPr>
      <w:r>
        <w:rPr>
          <w:rFonts w:hint="eastAsia" w:ascii="宋体" w:hAnsi="宋体"/>
          <w:sz w:val="24"/>
          <w:szCs w:val="24"/>
        </w:rPr>
        <w:t>按国家发展计划委员会“计价格（2002）1980号”文及相关规定计算，由成交单位支付。采购代理服务费收费标准如下：</w:t>
      </w:r>
    </w:p>
    <w:tbl>
      <w:tblPr>
        <w:tblStyle w:val="2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rPr>
            </w:pPr>
            <w:r>
              <w:rPr>
                <w:rFonts w:ascii="宋体" w:hAnsi="宋体" w:cs="宋体"/>
                <w:sz w:val="24"/>
              </w:rPr>
              <w:pict>
                <v:line id="Line 16" o:spid="_x0000_s1027" o:spt="20" style="position:absolute;left:0pt;flip:x y;margin-left:-1.05pt;margin-top:8pt;height:68.5pt;width:111.1pt;z-index:251661312;mso-width-relative:page;mso-height-relative:page;" coordsize="21600,21600">
                  <v:path arrowok="t"/>
                  <v:fill focussize="0,0"/>
                  <v:stroke/>
                  <v:imagedata o:title=""/>
                  <o:lock v:ext="edit"/>
                </v:line>
              </w:pict>
            </w:r>
            <w:r>
              <w:rPr>
                <w:rFonts w:ascii="宋体" w:hAnsi="宋体" w:cs="宋体"/>
                <w:sz w:val="24"/>
              </w:rPr>
              <w:pict>
                <v:line id="Line 17" o:spid="_x0000_s1028" o:spt="20" style="position:absolute;left:0pt;flip:x y;margin-left:-5.15pt;margin-top:4.3pt;height:33.15pt;width:125.75pt;z-index:251662336;mso-width-relative:page;mso-height-relative:page;" coordsize="21600,21600">
                  <v:path arrowok="t"/>
                  <v:fill focussize="0,0"/>
                  <v:stroke/>
                  <v:imagedata o:title=""/>
                  <o:lock v:ext="edit"/>
                </v:line>
              </w:pict>
            </w:r>
            <w:r>
              <w:rPr>
                <w:rFonts w:ascii="宋体" w:hAnsi="宋体" w:cs="宋体"/>
                <w:sz w:val="24"/>
              </w:rPr>
              <w:pict>
                <v:line id="Line 15" o:spid="_x0000_s1026"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rPr>
            </w:pPr>
            <w:r>
              <w:rPr>
                <w:rFonts w:hint="eastAsia" w:ascii="宋体" w:hAnsi="宋体" w:cs="宋体"/>
                <w:sz w:val="24"/>
              </w:rPr>
              <w:t>100以下</w:t>
            </w:r>
          </w:p>
        </w:tc>
        <w:tc>
          <w:tcPr>
            <w:tcW w:w="2028" w:type="dxa"/>
          </w:tcPr>
          <w:p>
            <w:pPr>
              <w:spacing w:line="300" w:lineRule="auto"/>
              <w:jc w:val="center"/>
              <w:rPr>
                <w:rFonts w:ascii="宋体" w:hAnsi="宋体" w:cs="宋体"/>
                <w:sz w:val="24"/>
              </w:rPr>
            </w:pPr>
            <w:r>
              <w:rPr>
                <w:rFonts w:hint="eastAsia" w:ascii="宋体" w:hAnsi="宋体" w:cs="宋体"/>
                <w:sz w:val="24"/>
              </w:rPr>
              <w:t>1.5%</w:t>
            </w:r>
          </w:p>
        </w:tc>
        <w:tc>
          <w:tcPr>
            <w:tcW w:w="1842" w:type="dxa"/>
          </w:tcPr>
          <w:p>
            <w:pPr>
              <w:spacing w:line="300" w:lineRule="auto"/>
              <w:jc w:val="center"/>
              <w:rPr>
                <w:rFonts w:ascii="宋体" w:hAnsi="宋体" w:cs="宋体"/>
                <w:sz w:val="24"/>
              </w:rPr>
            </w:pPr>
            <w:r>
              <w:rPr>
                <w:rFonts w:hint="eastAsia" w:ascii="宋体" w:hAnsi="宋体" w:cs="宋体"/>
                <w:sz w:val="24"/>
              </w:rPr>
              <w:t>1.5%</w:t>
            </w:r>
          </w:p>
        </w:tc>
        <w:tc>
          <w:tcPr>
            <w:tcW w:w="1985" w:type="dxa"/>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100-500</w:t>
            </w:r>
          </w:p>
        </w:tc>
        <w:tc>
          <w:tcPr>
            <w:tcW w:w="2028" w:type="dxa"/>
          </w:tcPr>
          <w:p>
            <w:pPr>
              <w:spacing w:line="300" w:lineRule="auto"/>
              <w:jc w:val="center"/>
              <w:rPr>
                <w:rFonts w:ascii="宋体" w:hAnsi="宋体" w:cs="宋体"/>
                <w:sz w:val="24"/>
              </w:rPr>
            </w:pPr>
            <w:r>
              <w:rPr>
                <w:rFonts w:hint="eastAsia" w:ascii="宋体" w:hAnsi="宋体" w:cs="宋体"/>
                <w:sz w:val="24"/>
              </w:rPr>
              <w:t>1.1%</w:t>
            </w:r>
          </w:p>
        </w:tc>
        <w:tc>
          <w:tcPr>
            <w:tcW w:w="1842" w:type="dxa"/>
          </w:tcPr>
          <w:p>
            <w:pPr>
              <w:spacing w:line="300" w:lineRule="auto"/>
              <w:jc w:val="center"/>
              <w:rPr>
                <w:rFonts w:ascii="宋体" w:hAnsi="宋体" w:cs="宋体"/>
                <w:sz w:val="24"/>
              </w:rPr>
            </w:pPr>
            <w:r>
              <w:rPr>
                <w:rFonts w:hint="eastAsia" w:ascii="宋体" w:hAnsi="宋体" w:cs="宋体"/>
                <w:sz w:val="24"/>
              </w:rPr>
              <w:t>0.8%</w:t>
            </w:r>
          </w:p>
        </w:tc>
        <w:tc>
          <w:tcPr>
            <w:tcW w:w="1985" w:type="dxa"/>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500-1000</w:t>
            </w:r>
          </w:p>
        </w:tc>
        <w:tc>
          <w:tcPr>
            <w:tcW w:w="2028" w:type="dxa"/>
          </w:tcPr>
          <w:p>
            <w:pPr>
              <w:spacing w:line="300" w:lineRule="auto"/>
              <w:jc w:val="center"/>
              <w:rPr>
                <w:rFonts w:ascii="宋体" w:hAnsi="宋体" w:cs="宋体"/>
                <w:sz w:val="24"/>
              </w:rPr>
            </w:pPr>
            <w:r>
              <w:rPr>
                <w:rFonts w:hint="eastAsia" w:ascii="宋体" w:hAnsi="宋体" w:cs="宋体"/>
                <w:sz w:val="24"/>
              </w:rPr>
              <w:t>0.8%</w:t>
            </w:r>
          </w:p>
        </w:tc>
        <w:tc>
          <w:tcPr>
            <w:tcW w:w="1842" w:type="dxa"/>
          </w:tcPr>
          <w:p>
            <w:pPr>
              <w:spacing w:line="300" w:lineRule="auto"/>
              <w:jc w:val="center"/>
              <w:rPr>
                <w:rFonts w:ascii="宋体" w:hAnsi="宋体" w:cs="宋体"/>
                <w:sz w:val="24"/>
              </w:rPr>
            </w:pPr>
            <w:r>
              <w:rPr>
                <w:rFonts w:hint="eastAsia" w:ascii="宋体" w:hAnsi="宋体" w:cs="宋体"/>
                <w:sz w:val="24"/>
              </w:rPr>
              <w:t>0.45%</w:t>
            </w:r>
          </w:p>
        </w:tc>
        <w:tc>
          <w:tcPr>
            <w:tcW w:w="1985" w:type="dxa"/>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ind w:left="420" w:hanging="420"/>
        <w:rPr>
          <w:sz w:val="24"/>
        </w:rPr>
      </w:pPr>
      <w:r>
        <w:rPr>
          <w:sz w:val="24"/>
        </w:rPr>
        <w:t xml:space="preserve">5. </w:t>
      </w:r>
      <w:r>
        <w:rPr>
          <w:rFonts w:hint="eastAsia" w:cs="宋体"/>
          <w:sz w:val="24"/>
        </w:rPr>
        <w:t>投标保证金：无</w:t>
      </w:r>
    </w:p>
    <w:p>
      <w:pPr>
        <w:spacing w:line="440" w:lineRule="exact"/>
        <w:rPr>
          <w:bCs/>
          <w:color w:val="FF0000"/>
          <w:sz w:val="24"/>
        </w:rPr>
      </w:pPr>
    </w:p>
    <w:p>
      <w:pPr>
        <w:spacing w:line="440" w:lineRule="exact"/>
        <w:rPr>
          <w:rFonts w:eastAsia="黑体"/>
          <w:bCs/>
          <w:color w:val="000000" w:themeColor="text1"/>
          <w:sz w:val="24"/>
        </w:rPr>
      </w:pPr>
      <w:bookmarkStart w:id="7" w:name="_Toc12701_WPSOffice_Level2"/>
      <w:r>
        <w:rPr>
          <w:rFonts w:eastAsia="黑体"/>
          <w:bCs/>
          <w:color w:val="000000" w:themeColor="text1"/>
          <w:sz w:val="24"/>
        </w:rPr>
        <w:t>二、响应文件的编制</w:t>
      </w:r>
      <w:bookmarkEnd w:id="7"/>
    </w:p>
    <w:p>
      <w:pPr>
        <w:spacing w:line="440" w:lineRule="exact"/>
        <w:ind w:left="363" w:leftChars="1" w:hanging="360" w:hangingChars="150"/>
        <w:rPr>
          <w:bCs/>
          <w:color w:val="000000" w:themeColor="text1"/>
          <w:sz w:val="24"/>
        </w:rPr>
      </w:pPr>
      <w:r>
        <w:rPr>
          <w:rFonts w:hint="eastAsia"/>
          <w:bCs/>
          <w:color w:val="000000" w:themeColor="text1"/>
          <w:sz w:val="24"/>
        </w:rPr>
        <w:t>6. 响应文件编制基本要求</w:t>
      </w:r>
    </w:p>
    <w:p>
      <w:pPr>
        <w:spacing w:line="440" w:lineRule="exact"/>
        <w:ind w:left="363" w:leftChars="1" w:hanging="360" w:hangingChars="150"/>
        <w:rPr>
          <w:bCs/>
          <w:color w:val="000000" w:themeColor="text1"/>
          <w:sz w:val="24"/>
        </w:rPr>
      </w:pPr>
      <w:r>
        <w:rPr>
          <w:rFonts w:hint="eastAsia"/>
          <w:bCs/>
          <w:color w:val="000000" w:themeColor="text1"/>
          <w:sz w:val="24"/>
        </w:rPr>
        <w:t>6.1响应文件以及与集中采购机构和采购人就有关谈判的所有来往函电均应使用简体中文。</w:t>
      </w:r>
    </w:p>
    <w:p>
      <w:pPr>
        <w:spacing w:line="440" w:lineRule="exact"/>
        <w:ind w:left="363" w:leftChars="1" w:hanging="360" w:hangingChars="150"/>
        <w:rPr>
          <w:bCs/>
          <w:color w:val="000000" w:themeColor="text1"/>
          <w:sz w:val="24"/>
        </w:rPr>
      </w:pPr>
      <w:r>
        <w:rPr>
          <w:rFonts w:hint="eastAsia"/>
          <w:bCs/>
          <w:color w:val="000000" w:themeColor="text1"/>
          <w:sz w:val="24"/>
        </w:rPr>
        <w:t>6.2供应商应认真阅读、并充分理解本文件的全部内容（包括所有的补充、修改内容），承诺并履行本文件中各项条款规定及要求。</w:t>
      </w:r>
    </w:p>
    <w:p>
      <w:pPr>
        <w:spacing w:line="440" w:lineRule="exact"/>
        <w:ind w:left="363" w:leftChars="1" w:hanging="360" w:hangingChars="150"/>
        <w:rPr>
          <w:bCs/>
          <w:color w:val="000000" w:themeColor="text1"/>
          <w:sz w:val="24"/>
        </w:rPr>
      </w:pPr>
      <w:r>
        <w:rPr>
          <w:rFonts w:hint="eastAsia"/>
          <w:bCs/>
          <w:color w:val="000000" w:themeColor="text1"/>
          <w:sz w:val="24"/>
        </w:rPr>
        <w:t>6.3响应文件应按本文件的全部内容，包括所有的补充通知及附件进行编制。供应商受邀参加本文件多个包谈判的，其响应文件的编制应按每包要求分别装订和封装。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bCs/>
          <w:color w:val="000000" w:themeColor="text1"/>
          <w:sz w:val="24"/>
        </w:rPr>
      </w:pPr>
      <w:r>
        <w:rPr>
          <w:rFonts w:hint="eastAsia"/>
          <w:bCs/>
          <w:color w:val="000000" w:themeColor="text1"/>
          <w:sz w:val="24"/>
        </w:rPr>
        <w:t>6.4如因供应商只提供本文件要求的部分内容或附件的，谈判小组有权拒绝其补充和谈判。</w:t>
      </w:r>
    </w:p>
    <w:p>
      <w:pPr>
        <w:spacing w:line="440" w:lineRule="exact"/>
        <w:ind w:left="363" w:leftChars="1" w:hanging="360" w:hangingChars="150"/>
        <w:rPr>
          <w:bCs/>
          <w:color w:val="000000" w:themeColor="text1"/>
          <w:sz w:val="24"/>
        </w:rPr>
      </w:pPr>
      <w:r>
        <w:rPr>
          <w:rFonts w:hint="eastAsia"/>
          <w:bCs/>
          <w:color w:val="000000" w:themeColor="text1"/>
          <w:sz w:val="24"/>
        </w:rPr>
        <w:t>6.5响应文件的组成</w:t>
      </w:r>
    </w:p>
    <w:p>
      <w:pPr>
        <w:spacing w:line="440" w:lineRule="exact"/>
        <w:ind w:left="364" w:leftChars="130"/>
        <w:rPr>
          <w:bCs/>
          <w:color w:val="000000" w:themeColor="text1"/>
          <w:sz w:val="24"/>
        </w:rPr>
      </w:pPr>
      <w:r>
        <w:rPr>
          <w:rFonts w:hint="eastAsia"/>
          <w:bCs/>
          <w:color w:val="000000" w:themeColor="text1"/>
          <w:sz w:val="24"/>
        </w:rPr>
        <w:t>不限于以下内容，如未提供，谈判小组有权拒绝其响应文件：</w:t>
      </w:r>
    </w:p>
    <w:p>
      <w:pPr>
        <w:spacing w:line="440" w:lineRule="exact"/>
        <w:ind w:left="363" w:leftChars="1" w:hanging="360" w:hangingChars="150"/>
        <w:rPr>
          <w:bCs/>
          <w:color w:val="000000" w:themeColor="text1"/>
          <w:sz w:val="24"/>
        </w:rPr>
      </w:pPr>
      <w:r>
        <w:rPr>
          <w:rFonts w:hint="eastAsia"/>
          <w:bCs/>
          <w:color w:val="000000" w:themeColor="text1"/>
          <w:sz w:val="24"/>
        </w:rPr>
        <w:t>1）谈判书(附件1)；</w:t>
      </w:r>
    </w:p>
    <w:p>
      <w:pPr>
        <w:spacing w:line="440" w:lineRule="exact"/>
        <w:ind w:left="363" w:leftChars="1" w:hanging="360" w:hangingChars="150"/>
        <w:rPr>
          <w:bCs/>
          <w:color w:val="000000" w:themeColor="text1"/>
          <w:sz w:val="24"/>
        </w:rPr>
      </w:pPr>
      <w:r>
        <w:rPr>
          <w:rFonts w:hint="eastAsia"/>
          <w:bCs/>
          <w:color w:val="000000" w:themeColor="text1"/>
          <w:sz w:val="24"/>
        </w:rPr>
        <w:t>2）报价组成情况表(附件2)；</w:t>
      </w:r>
    </w:p>
    <w:p>
      <w:pPr>
        <w:spacing w:line="440" w:lineRule="exact"/>
        <w:ind w:left="363" w:leftChars="1" w:hanging="360" w:hangingChars="150"/>
        <w:rPr>
          <w:bCs/>
          <w:color w:val="000000" w:themeColor="text1"/>
          <w:sz w:val="24"/>
        </w:rPr>
      </w:pPr>
      <w:r>
        <w:rPr>
          <w:rFonts w:hint="eastAsia"/>
          <w:bCs/>
          <w:color w:val="000000" w:themeColor="text1"/>
          <w:sz w:val="24"/>
        </w:rPr>
        <w:t>3）货物（服务）清单(附件3)；</w:t>
      </w:r>
    </w:p>
    <w:p>
      <w:pPr>
        <w:spacing w:line="440" w:lineRule="exact"/>
        <w:ind w:left="363" w:leftChars="1" w:hanging="360" w:hangingChars="150"/>
        <w:rPr>
          <w:bCs/>
          <w:color w:val="000000" w:themeColor="text1"/>
          <w:sz w:val="24"/>
        </w:rPr>
      </w:pPr>
      <w:r>
        <w:rPr>
          <w:rFonts w:hint="eastAsia"/>
          <w:bCs/>
          <w:color w:val="000000" w:themeColor="text1"/>
          <w:sz w:val="24"/>
        </w:rPr>
        <w:t>4）资格性符合性检查对照表(附件4)；</w:t>
      </w:r>
    </w:p>
    <w:p>
      <w:pPr>
        <w:spacing w:line="440" w:lineRule="exact"/>
        <w:ind w:left="363" w:leftChars="1" w:hanging="360" w:hangingChars="150"/>
        <w:rPr>
          <w:bCs/>
          <w:color w:val="000000" w:themeColor="text1"/>
          <w:sz w:val="24"/>
        </w:rPr>
      </w:pPr>
      <w:r>
        <w:rPr>
          <w:rFonts w:hint="eastAsia"/>
          <w:bCs/>
          <w:color w:val="000000" w:themeColor="text1"/>
          <w:sz w:val="24"/>
        </w:rPr>
        <w:t>5）技术响应、偏离情况说明表(附件5)；</w:t>
      </w:r>
    </w:p>
    <w:p>
      <w:pPr>
        <w:spacing w:line="440" w:lineRule="exact"/>
        <w:ind w:left="363" w:leftChars="1" w:hanging="360" w:hangingChars="150"/>
        <w:rPr>
          <w:bCs/>
          <w:color w:val="000000" w:themeColor="text1"/>
          <w:sz w:val="24"/>
        </w:rPr>
      </w:pPr>
      <w:r>
        <w:rPr>
          <w:rFonts w:hint="eastAsia"/>
          <w:bCs/>
          <w:color w:val="000000" w:themeColor="text1"/>
          <w:sz w:val="24"/>
        </w:rPr>
        <w:t>6）合同草案条款响应、偏离情况说明表(附件6)；</w:t>
      </w:r>
    </w:p>
    <w:p>
      <w:pPr>
        <w:spacing w:line="440" w:lineRule="exact"/>
        <w:ind w:left="363" w:leftChars="1" w:hanging="360" w:hangingChars="150"/>
        <w:rPr>
          <w:bCs/>
          <w:color w:val="000000" w:themeColor="text1"/>
          <w:sz w:val="24"/>
        </w:rPr>
      </w:pPr>
      <w:r>
        <w:rPr>
          <w:rFonts w:hint="eastAsia"/>
          <w:bCs/>
          <w:color w:val="000000" w:themeColor="text1"/>
          <w:sz w:val="24"/>
        </w:rPr>
        <w:t>7）法人（负责人）代表授权书(附件7)；</w:t>
      </w:r>
    </w:p>
    <w:p>
      <w:pPr>
        <w:spacing w:line="440" w:lineRule="exact"/>
        <w:ind w:left="363" w:leftChars="1" w:hanging="360" w:hangingChars="150"/>
        <w:rPr>
          <w:bCs/>
          <w:color w:val="000000" w:themeColor="text1"/>
          <w:sz w:val="24"/>
        </w:rPr>
      </w:pPr>
      <w:r>
        <w:rPr>
          <w:rFonts w:hint="eastAsia"/>
          <w:bCs/>
          <w:color w:val="000000" w:themeColor="text1"/>
          <w:sz w:val="24"/>
        </w:rPr>
        <w:t>8）法人或者其他组织的营业执照等证明文件，自然人的身份证明(附件8)；</w:t>
      </w:r>
    </w:p>
    <w:p>
      <w:pPr>
        <w:spacing w:line="440" w:lineRule="exact"/>
        <w:ind w:left="363" w:leftChars="1" w:hanging="360" w:hangingChars="150"/>
        <w:rPr>
          <w:bCs/>
          <w:color w:val="000000" w:themeColor="text1"/>
          <w:sz w:val="24"/>
        </w:rPr>
      </w:pPr>
      <w:r>
        <w:rPr>
          <w:rFonts w:hint="eastAsia"/>
          <w:bCs/>
          <w:color w:val="000000" w:themeColor="text1"/>
          <w:sz w:val="24"/>
        </w:rPr>
        <w:t>9）财务状况报告，依法缴纳税收和社会保障资金的相关材料(附件9)；</w:t>
      </w:r>
    </w:p>
    <w:p>
      <w:pPr>
        <w:spacing w:line="440" w:lineRule="exact"/>
        <w:ind w:left="363" w:leftChars="1" w:hanging="360" w:hangingChars="150"/>
        <w:rPr>
          <w:bCs/>
          <w:color w:val="000000" w:themeColor="text1"/>
          <w:sz w:val="24"/>
        </w:rPr>
      </w:pPr>
      <w:r>
        <w:rPr>
          <w:rFonts w:hint="eastAsia"/>
          <w:bCs/>
          <w:color w:val="000000" w:themeColor="text1"/>
          <w:sz w:val="24"/>
        </w:rPr>
        <w:t>10）具备履行合同所必需的设备和专业技术能力的证明材料(附件10)；</w:t>
      </w:r>
    </w:p>
    <w:p>
      <w:pPr>
        <w:spacing w:line="440" w:lineRule="exact"/>
        <w:ind w:left="363" w:leftChars="1" w:hanging="360" w:hangingChars="150"/>
        <w:rPr>
          <w:bCs/>
          <w:color w:val="000000" w:themeColor="text1"/>
          <w:sz w:val="24"/>
        </w:rPr>
      </w:pPr>
      <w:r>
        <w:rPr>
          <w:rFonts w:hint="eastAsia"/>
          <w:bCs/>
          <w:color w:val="000000" w:themeColor="text1"/>
          <w:sz w:val="24"/>
        </w:rPr>
        <w:t>11）参加政府采购活动前3年内在经营活动中没有重大违法记录的书面声明(附件11)；</w:t>
      </w:r>
    </w:p>
    <w:p>
      <w:pPr>
        <w:spacing w:line="440" w:lineRule="exact"/>
        <w:ind w:left="363" w:leftChars="1" w:hanging="360" w:hangingChars="150"/>
        <w:rPr>
          <w:bCs/>
          <w:color w:val="000000" w:themeColor="text1"/>
          <w:sz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440" w:lineRule="exact"/>
        <w:ind w:left="363" w:leftChars="1" w:hanging="360" w:hangingChars="150"/>
        <w:rPr>
          <w:bCs/>
          <w:color w:val="000000" w:themeColor="text1"/>
          <w:sz w:val="24"/>
        </w:rPr>
      </w:pPr>
      <w:r>
        <w:rPr>
          <w:rFonts w:hint="eastAsia"/>
          <w:bCs/>
          <w:color w:val="000000" w:themeColor="text1"/>
          <w:sz w:val="24"/>
        </w:rPr>
        <w:t>13）供应商应提供无行贿犯罪记录查询证明（可在中国裁判文书网查询，提供查询结果截图）。</w:t>
      </w:r>
    </w:p>
    <w:p>
      <w:pPr>
        <w:spacing w:line="440" w:lineRule="exact"/>
        <w:ind w:left="363" w:leftChars="1" w:hanging="360" w:hangingChars="150"/>
        <w:rPr>
          <w:bCs/>
          <w:color w:val="000000" w:themeColor="text1"/>
          <w:sz w:val="24"/>
        </w:rPr>
      </w:pPr>
      <w:r>
        <w:rPr>
          <w:rFonts w:hint="eastAsia"/>
          <w:bCs/>
          <w:color w:val="000000" w:themeColor="text1"/>
          <w:sz w:val="24"/>
        </w:rPr>
        <w:t>14）《中小企业声明函》、《残疾人福利性单位声明函》、属于监狱企业的证明文件等（如果有的话）(附件13)。</w:t>
      </w:r>
    </w:p>
    <w:p>
      <w:pPr>
        <w:spacing w:line="440" w:lineRule="exact"/>
        <w:ind w:left="364" w:leftChars="130"/>
        <w:rPr>
          <w:b/>
          <w:bCs/>
          <w:color w:val="000000" w:themeColor="text1"/>
          <w:sz w:val="24"/>
        </w:rPr>
      </w:pPr>
      <w:r>
        <w:rPr>
          <w:rFonts w:hint="eastAsia"/>
          <w:b/>
          <w:bCs/>
          <w:color w:val="000000" w:themeColor="text1"/>
          <w:sz w:val="24"/>
        </w:rPr>
        <w:t>本文件要求提供的其他资格证明文件及资料。</w:t>
      </w:r>
    </w:p>
    <w:p>
      <w:pPr>
        <w:spacing w:line="440" w:lineRule="exact"/>
        <w:ind w:left="363" w:leftChars="1" w:hanging="360" w:hangingChars="150"/>
        <w:rPr>
          <w:bCs/>
          <w:color w:val="000000" w:themeColor="text1"/>
          <w:sz w:val="24"/>
        </w:rPr>
      </w:pPr>
      <w:r>
        <w:rPr>
          <w:rFonts w:hint="eastAsia"/>
          <w:bCs/>
          <w:color w:val="000000" w:themeColor="text1"/>
          <w:sz w:val="24"/>
        </w:rPr>
        <w:t>7. 计量单位</w:t>
      </w:r>
    </w:p>
    <w:p>
      <w:pPr>
        <w:spacing w:line="440" w:lineRule="exact"/>
        <w:ind w:left="363" w:leftChars="1" w:hanging="360" w:hangingChars="150"/>
        <w:rPr>
          <w:bCs/>
          <w:color w:val="000000" w:themeColor="text1"/>
          <w:sz w:val="24"/>
        </w:rPr>
      </w:pPr>
      <w:r>
        <w:rPr>
          <w:rFonts w:hint="eastAsia"/>
          <w:bCs/>
          <w:color w:val="000000" w:themeColor="text1"/>
          <w:sz w:val="24"/>
        </w:rPr>
        <w:t>7.1除技术要求中另有规定外，本文件所使用的计量单位均应采用国家法定计量单位</w:t>
      </w:r>
      <w:r>
        <w:rPr>
          <w:bCs/>
          <w:color w:val="000000" w:themeColor="text1"/>
          <w:sz w:val="24"/>
        </w:rPr>
        <w:t>。</w:t>
      </w:r>
    </w:p>
    <w:p>
      <w:pPr>
        <w:spacing w:line="440" w:lineRule="exact"/>
        <w:rPr>
          <w:bCs/>
          <w:color w:val="000000" w:themeColor="text1"/>
          <w:sz w:val="24"/>
        </w:rPr>
      </w:pPr>
    </w:p>
    <w:p>
      <w:pPr>
        <w:spacing w:line="440" w:lineRule="exact"/>
        <w:rPr>
          <w:rFonts w:eastAsia="黑体"/>
          <w:bCs/>
          <w:color w:val="000000" w:themeColor="text1"/>
          <w:sz w:val="24"/>
        </w:rPr>
      </w:pPr>
      <w:bookmarkStart w:id="8" w:name="_Toc1159_WPSOffice_Level2"/>
      <w:r>
        <w:rPr>
          <w:rFonts w:eastAsia="黑体"/>
          <w:bCs/>
          <w:color w:val="000000" w:themeColor="text1"/>
          <w:sz w:val="24"/>
        </w:rPr>
        <w:t>三、</w:t>
      </w:r>
      <w:r>
        <w:rPr>
          <w:rFonts w:hint="eastAsia" w:eastAsia="黑体"/>
          <w:bCs/>
          <w:color w:val="000000" w:themeColor="text1"/>
          <w:sz w:val="24"/>
        </w:rPr>
        <w:t>响应文件</w:t>
      </w:r>
      <w:r>
        <w:rPr>
          <w:rFonts w:eastAsia="黑体"/>
          <w:bCs/>
          <w:color w:val="000000" w:themeColor="text1"/>
          <w:sz w:val="24"/>
        </w:rPr>
        <w:t>有效期</w:t>
      </w:r>
      <w:bookmarkEnd w:id="8"/>
    </w:p>
    <w:p>
      <w:pPr>
        <w:spacing w:line="440" w:lineRule="exact"/>
        <w:ind w:left="363" w:leftChars="1" w:hanging="360" w:hangingChars="150"/>
        <w:rPr>
          <w:bCs/>
          <w:color w:val="000000" w:themeColor="text1"/>
          <w:sz w:val="24"/>
        </w:rPr>
      </w:pPr>
      <w:r>
        <w:rPr>
          <w:rFonts w:hint="eastAsia"/>
          <w:bCs/>
          <w:color w:val="000000" w:themeColor="text1"/>
          <w:sz w:val="24"/>
        </w:rPr>
        <w:t>8</w:t>
      </w:r>
      <w:r>
        <w:rPr>
          <w:bCs/>
          <w:color w:val="000000" w:themeColor="text1"/>
          <w:sz w:val="24"/>
        </w:rPr>
        <w:t>. 本项目谈判有效期为谈判之日算起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themeColor="text1"/>
          <w:sz w:val="24"/>
        </w:rPr>
        <w:t>日历日</w:t>
      </w:r>
      <w:r>
        <w:rPr>
          <w:rFonts w:hint="eastAsia"/>
          <w:bCs/>
          <w:color w:val="000000" w:themeColor="text1"/>
          <w:sz w:val="24"/>
        </w:rPr>
        <w:t>内</w:t>
      </w:r>
      <w:r>
        <w:rPr>
          <w:bCs/>
          <w:sz w:val="24"/>
        </w:rPr>
        <w:t>保持有效</w:t>
      </w:r>
      <w:r>
        <w:rPr>
          <w:bCs/>
          <w:color w:val="000000" w:themeColor="text1"/>
          <w:sz w:val="24"/>
        </w:rPr>
        <w:t>，在此期间响应文件有效。谈判结束后，在有效期内谈判供应商不得改变谈判报价、服务期及承诺的全部义务。</w:t>
      </w:r>
      <w:r>
        <w:rPr>
          <w:rFonts w:hint="eastAsia"/>
          <w:bCs/>
          <w:color w:val="000000" w:themeColor="text1"/>
          <w:sz w:val="24"/>
        </w:rPr>
        <w:t>响应文件</w:t>
      </w:r>
      <w:r>
        <w:rPr>
          <w:bCs/>
          <w:color w:val="000000" w:themeColor="text1"/>
          <w:sz w:val="24"/>
        </w:rPr>
        <w:t>有效期比本文件规定短的，</w:t>
      </w:r>
      <w:r>
        <w:rPr>
          <w:rFonts w:hint="eastAsia"/>
          <w:bCs/>
          <w:color w:val="000000" w:themeColor="text1"/>
          <w:sz w:val="24"/>
        </w:rPr>
        <w:t>谈判小组</w:t>
      </w:r>
      <w:r>
        <w:rPr>
          <w:bCs/>
          <w:color w:val="000000" w:themeColor="text1"/>
          <w:sz w:val="24"/>
        </w:rPr>
        <w:t>将视响应文件无效予以拒绝。</w:t>
      </w:r>
    </w:p>
    <w:p>
      <w:pPr>
        <w:spacing w:line="440" w:lineRule="exact"/>
        <w:ind w:left="363" w:leftChars="1" w:hanging="360" w:hangingChars="150"/>
        <w:rPr>
          <w:bCs/>
          <w:color w:val="000000" w:themeColor="text1"/>
          <w:sz w:val="24"/>
        </w:rPr>
      </w:pPr>
      <w:r>
        <w:rPr>
          <w:rFonts w:hint="eastAsia"/>
          <w:bCs/>
          <w:color w:val="000000" w:themeColor="text1"/>
          <w:sz w:val="24"/>
        </w:rPr>
        <w:t>9</w:t>
      </w:r>
      <w:r>
        <w:rPr>
          <w:bCs/>
          <w:color w:val="000000" w:themeColor="text1"/>
          <w:sz w:val="24"/>
        </w:rPr>
        <w:t>. 在特殊情况下，在原谈判有效期满之前，</w:t>
      </w:r>
      <w:r>
        <w:rPr>
          <w:rFonts w:hint="eastAsia"/>
          <w:color w:val="FF0000"/>
          <w:sz w:val="24"/>
        </w:rPr>
        <w:t>采购人、采购代理公司</w:t>
      </w:r>
      <w:r>
        <w:rPr>
          <w:bCs/>
          <w:color w:val="000000" w:themeColor="text1"/>
          <w:sz w:val="24"/>
        </w:rPr>
        <w:t>可向谈判供应商提出延长谈判有效期的要求。这种要求与答复均应采用书面形式。谈判供应商可以拒绝</w:t>
      </w:r>
      <w:r>
        <w:rPr>
          <w:rFonts w:hint="eastAsia"/>
          <w:color w:val="FF0000"/>
          <w:sz w:val="24"/>
        </w:rPr>
        <w:t>采购人、采购代理公司</w:t>
      </w:r>
      <w:r>
        <w:rPr>
          <w:bCs/>
          <w:color w:val="000000" w:themeColor="text1"/>
          <w:sz w:val="24"/>
        </w:rPr>
        <w:t>的要求。同意延长谈判有效期的谈判供应商不允许修改其响应文件。</w:t>
      </w:r>
    </w:p>
    <w:p>
      <w:pPr>
        <w:spacing w:line="440" w:lineRule="exact"/>
        <w:outlineLvl w:val="0"/>
        <w:rPr>
          <w:color w:val="000000" w:themeColor="text1"/>
          <w:sz w:val="24"/>
        </w:rPr>
      </w:pPr>
    </w:p>
    <w:p>
      <w:pPr>
        <w:spacing w:line="440" w:lineRule="exact"/>
        <w:outlineLvl w:val="0"/>
        <w:rPr>
          <w:rFonts w:eastAsia="黑体"/>
          <w:color w:val="000000" w:themeColor="text1"/>
          <w:sz w:val="24"/>
        </w:rPr>
      </w:pPr>
      <w:bookmarkStart w:id="9" w:name="_Toc2889_WPSOffice_Level2"/>
      <w:r>
        <w:rPr>
          <w:rFonts w:eastAsia="黑体"/>
          <w:color w:val="000000" w:themeColor="text1"/>
          <w:sz w:val="24"/>
        </w:rPr>
        <w:t>四、报价要求</w:t>
      </w:r>
      <w:bookmarkEnd w:id="9"/>
    </w:p>
    <w:p>
      <w:pPr>
        <w:spacing w:line="440" w:lineRule="exact"/>
        <w:ind w:left="360" w:hanging="360" w:hangingChars="150"/>
        <w:rPr>
          <w:color w:val="000000" w:themeColor="text1"/>
          <w:sz w:val="24"/>
        </w:rPr>
      </w:pPr>
      <w:r>
        <w:rPr>
          <w:rFonts w:hint="eastAsia"/>
          <w:color w:val="000000" w:themeColor="text1"/>
          <w:sz w:val="24"/>
        </w:rPr>
        <w:t>10</w:t>
      </w:r>
      <w:r>
        <w:rPr>
          <w:color w:val="000000" w:themeColor="text1"/>
          <w:sz w:val="24"/>
        </w:rPr>
        <w:t>. 报价以人民币报价。</w:t>
      </w:r>
    </w:p>
    <w:p>
      <w:pPr>
        <w:spacing w:line="440" w:lineRule="exact"/>
        <w:ind w:left="363" w:leftChars="1" w:hanging="360" w:hangingChars="150"/>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 成交供应商负责本项目所需的售后服务等全部工作，文件另有规定的除外。</w:t>
      </w:r>
    </w:p>
    <w:p>
      <w:pPr>
        <w:spacing w:line="440" w:lineRule="exact"/>
        <w:ind w:left="420" w:hanging="420"/>
        <w:rPr>
          <w:bCs/>
          <w:color w:val="000000" w:themeColor="text1"/>
          <w:sz w:val="24"/>
        </w:rPr>
      </w:pPr>
    </w:p>
    <w:p>
      <w:pPr>
        <w:spacing w:line="440" w:lineRule="exact"/>
        <w:ind w:left="420" w:hanging="420"/>
        <w:rPr>
          <w:rFonts w:eastAsia="黑体"/>
          <w:bCs/>
          <w:color w:val="000000" w:themeColor="text1"/>
          <w:sz w:val="24"/>
        </w:rPr>
      </w:pPr>
      <w:bookmarkStart w:id="10" w:name="_Toc15418_WPSOffice_Level2"/>
      <w:r>
        <w:rPr>
          <w:rFonts w:eastAsia="黑体"/>
          <w:bCs/>
          <w:color w:val="000000" w:themeColor="text1"/>
          <w:sz w:val="24"/>
        </w:rPr>
        <w:t>五、响应文件的份数、封装和递交</w:t>
      </w:r>
      <w:bookmarkEnd w:id="10"/>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 响应文件的份数和封装</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.1响应文件一式</w:t>
      </w:r>
      <w:r>
        <w:rPr>
          <w:rFonts w:hint="eastAsia"/>
          <w:bCs/>
          <w:color w:val="000000" w:themeColor="text1"/>
          <w:sz w:val="24"/>
          <w:lang w:eastAsia="zh-CN"/>
        </w:rPr>
        <w:t>五</w:t>
      </w:r>
      <w:r>
        <w:rPr>
          <w:bCs/>
          <w:color w:val="000000" w:themeColor="text1"/>
          <w:sz w:val="24"/>
        </w:rPr>
        <w:t>份，其中正本一份，副本</w:t>
      </w:r>
      <w:r>
        <w:rPr>
          <w:rFonts w:hint="eastAsia"/>
          <w:bCs/>
          <w:color w:val="000000" w:themeColor="text1"/>
          <w:sz w:val="24"/>
          <w:lang w:eastAsia="zh-CN"/>
        </w:rPr>
        <w:t>四</w:t>
      </w:r>
      <w:r>
        <w:rPr>
          <w:bCs/>
          <w:color w:val="000000" w:themeColor="text1"/>
          <w:sz w:val="24"/>
        </w:rPr>
        <w:t>份。</w:t>
      </w:r>
    </w:p>
    <w:p>
      <w:pPr>
        <w:spacing w:line="440" w:lineRule="exact"/>
        <w:ind w:left="360" w:right="-56" w:rightChars="-20" w:hanging="360" w:hangingChars="15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.2响应文件的信封上应写明:项目编号、项目名称、谈判内容、供应商名称。</w:t>
      </w:r>
    </w:p>
    <w:p>
      <w:pPr>
        <w:spacing w:line="440" w:lineRule="exact"/>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 响应文件的递交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.1所有响应文件应于第一章“谈判邀请函”中规定的时间前递交到采购</w:t>
      </w:r>
      <w:r>
        <w:rPr>
          <w:rFonts w:hint="eastAsia"/>
          <w:bCs/>
          <w:color w:val="000000" w:themeColor="text1"/>
          <w:sz w:val="24"/>
        </w:rPr>
        <w:t>代理</w:t>
      </w:r>
      <w:r>
        <w:rPr>
          <w:bCs/>
          <w:color w:val="000000" w:themeColor="text1"/>
          <w:sz w:val="24"/>
        </w:rPr>
        <w:t>机构。</w:t>
      </w:r>
    </w:p>
    <w:p>
      <w:pPr>
        <w:spacing w:line="440" w:lineRule="exact"/>
        <w:rPr>
          <w:color w:val="000000" w:themeColor="text1"/>
          <w:sz w:val="24"/>
        </w:rPr>
      </w:pPr>
      <w:r>
        <w:rPr>
          <w:bCs/>
          <w:color w:val="000000" w:themeColor="text1"/>
          <w:sz w:val="24"/>
        </w:rPr>
        <w:t>1</w:t>
      </w:r>
      <w:r>
        <w:rPr>
          <w:rFonts w:hint="eastAsia"/>
          <w:bCs/>
          <w:color w:val="000000" w:themeColor="text1"/>
          <w:sz w:val="24"/>
        </w:rPr>
        <w:t>5</w:t>
      </w:r>
      <w:r>
        <w:rPr>
          <w:color w:val="000000" w:themeColor="text1"/>
          <w:sz w:val="24"/>
        </w:rPr>
        <w:t>. 迟交的响应文件</w:t>
      </w:r>
    </w:p>
    <w:p>
      <w:pPr>
        <w:spacing w:line="440" w:lineRule="exact"/>
        <w:ind w:left="397" w:leftChars="-1" w:hanging="400" w:hangingChars="167"/>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.1</w:t>
      </w:r>
      <w:r>
        <w:rPr>
          <w:rFonts w:hint="eastAsia"/>
          <w:color w:val="000000" w:themeColor="text1"/>
          <w:sz w:val="24"/>
        </w:rPr>
        <w:t>采购人、采购代理公司</w:t>
      </w:r>
      <w:r>
        <w:rPr>
          <w:color w:val="000000" w:themeColor="text1"/>
          <w:sz w:val="24"/>
        </w:rPr>
        <w:t>将拒绝或原封退回在其规定的递交响应文件截止时间之后收到的任何响应文件。</w:t>
      </w:r>
    </w:p>
    <w:p>
      <w:pPr>
        <w:spacing w:line="440" w:lineRule="exact"/>
        <w:rPr>
          <w:bCs/>
          <w:color w:val="000000" w:themeColor="text1"/>
          <w:sz w:val="24"/>
        </w:rPr>
      </w:pPr>
    </w:p>
    <w:p>
      <w:pPr>
        <w:spacing w:line="440" w:lineRule="exact"/>
        <w:rPr>
          <w:rFonts w:eastAsia="黑体"/>
          <w:bCs/>
          <w:color w:val="000000" w:themeColor="text1"/>
          <w:sz w:val="24"/>
        </w:rPr>
      </w:pPr>
      <w:bookmarkStart w:id="11" w:name="_Toc26272_WPSOffice_Level2"/>
      <w:r>
        <w:rPr>
          <w:rFonts w:eastAsia="黑体"/>
          <w:bCs/>
          <w:color w:val="000000" w:themeColor="text1"/>
          <w:sz w:val="24"/>
        </w:rPr>
        <w:t>六、谈判小组的组成</w:t>
      </w:r>
      <w:bookmarkEnd w:id="11"/>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 本次谈判由集中采购机构依法组建的谈判小组进行</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.1谈判小组成员由采购人代表一名和外聘专家</w:t>
      </w:r>
      <w:r>
        <w:rPr>
          <w:rFonts w:hint="eastAsia"/>
          <w:bCs/>
          <w:color w:val="000000" w:themeColor="text1"/>
          <w:sz w:val="24"/>
        </w:rPr>
        <w:t>两</w:t>
      </w:r>
      <w:r>
        <w:rPr>
          <w:bCs/>
          <w:color w:val="000000" w:themeColor="text1"/>
          <w:sz w:val="24"/>
        </w:rPr>
        <w:t>名及以上（技术、经济、法律等方面）组成，外聘专家从专家库中随机抽取。</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.2谈判小组负责</w:t>
      </w:r>
      <w:r>
        <w:rPr>
          <w:rFonts w:hint="eastAsia"/>
          <w:bCs/>
          <w:color w:val="000000" w:themeColor="text1"/>
          <w:sz w:val="24"/>
        </w:rPr>
        <w:t>制定谈判文件、</w:t>
      </w:r>
      <w:r>
        <w:rPr>
          <w:bCs/>
          <w:color w:val="000000" w:themeColor="text1"/>
          <w:sz w:val="24"/>
        </w:rPr>
        <w:t>确定谈判供应商名单、响应文件的评审、谈判、</w:t>
      </w:r>
      <w:r>
        <w:rPr>
          <w:rFonts w:hint="eastAsia"/>
          <w:bCs/>
          <w:color w:val="000000" w:themeColor="text1"/>
          <w:sz w:val="24"/>
        </w:rPr>
        <w:t>根据谈判情况编写评审报告，协助处理质疑等工作</w:t>
      </w:r>
      <w:r>
        <w:rPr>
          <w:bCs/>
          <w:color w:val="000000" w:themeColor="text1"/>
          <w:sz w:val="24"/>
        </w:rPr>
        <w:t>。</w:t>
      </w:r>
    </w:p>
    <w:p>
      <w:pPr>
        <w:spacing w:line="440" w:lineRule="exact"/>
        <w:rPr>
          <w:bCs/>
          <w:color w:val="000000" w:themeColor="text1"/>
          <w:sz w:val="24"/>
        </w:rPr>
      </w:pPr>
    </w:p>
    <w:p>
      <w:pPr>
        <w:spacing w:line="440" w:lineRule="exact"/>
        <w:rPr>
          <w:rFonts w:eastAsia="黑体"/>
          <w:bCs/>
          <w:color w:val="000000" w:themeColor="text1"/>
          <w:sz w:val="24"/>
        </w:rPr>
      </w:pPr>
      <w:bookmarkStart w:id="12" w:name="_Toc3996_WPSOffice_Level2"/>
      <w:r>
        <w:rPr>
          <w:rFonts w:eastAsia="黑体"/>
          <w:bCs/>
          <w:color w:val="000000" w:themeColor="text1"/>
          <w:sz w:val="24"/>
        </w:rPr>
        <w:t>七、谈判的步骤</w:t>
      </w:r>
      <w:bookmarkEnd w:id="12"/>
    </w:p>
    <w:p>
      <w:pPr>
        <w:spacing w:line="440" w:lineRule="exact"/>
        <w:ind w:left="420" w:hanging="420"/>
        <w:rPr>
          <w:bCs/>
          <w:color w:val="FF0000"/>
          <w:sz w:val="24"/>
        </w:rPr>
      </w:pPr>
      <w:r>
        <w:rPr>
          <w:bCs/>
          <w:color w:val="000000" w:themeColor="text1"/>
          <w:sz w:val="24"/>
        </w:rPr>
        <w:t>1</w:t>
      </w:r>
      <w:r>
        <w:rPr>
          <w:rFonts w:hint="eastAsia"/>
          <w:bCs/>
          <w:color w:val="000000" w:themeColor="text1"/>
          <w:sz w:val="24"/>
        </w:rPr>
        <w:t>7</w:t>
      </w:r>
      <w:r>
        <w:rPr>
          <w:bCs/>
          <w:color w:val="000000" w:themeColor="text1"/>
          <w:sz w:val="24"/>
        </w:rPr>
        <w:t xml:space="preserve">. </w:t>
      </w:r>
      <w:r>
        <w:rPr>
          <w:bCs/>
          <w:color w:val="FF0000"/>
          <w:sz w:val="24"/>
        </w:rPr>
        <w:t>谈判供应商授权代表及其商务技术人员按要求参加本项目谈判过程。</w:t>
      </w:r>
      <w:r>
        <w:rPr>
          <w:rFonts w:hint="eastAsia"/>
          <w:bCs/>
          <w:color w:val="FF0000"/>
          <w:sz w:val="24"/>
        </w:rPr>
        <w:t>参加谈判的供应商委托授权代表至少须有一名技术人员参加谈判。若谈判小组和授权代表谈判时，授权代表只能简单的回答"不知道"、"不清楚"等，该供应商的谈判将有可能被拒绝。</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 资格性评审</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.1谈判小组验证各供应商法人</w:t>
      </w:r>
      <w:r>
        <w:rPr>
          <w:rFonts w:hint="eastAsia"/>
          <w:bCs/>
          <w:color w:val="000000" w:themeColor="text1"/>
          <w:sz w:val="24"/>
        </w:rPr>
        <w:t>（负责人）</w:t>
      </w:r>
      <w:r>
        <w:rPr>
          <w:bCs/>
          <w:color w:val="000000" w:themeColor="text1"/>
          <w:sz w:val="24"/>
        </w:rPr>
        <w:t>或委托授权人的身份。供应商法人</w:t>
      </w:r>
      <w:r>
        <w:rPr>
          <w:rFonts w:hint="eastAsia"/>
          <w:bCs/>
          <w:color w:val="000000" w:themeColor="text1"/>
          <w:sz w:val="24"/>
        </w:rPr>
        <w:t>（负责人）</w:t>
      </w:r>
      <w:r>
        <w:rPr>
          <w:bCs/>
          <w:color w:val="000000" w:themeColor="text1"/>
          <w:sz w:val="24"/>
        </w:rPr>
        <w:t>或委托授权人身份与响应文件不符的、响应文件未按要求加盖印章和签字的，谈判小组</w:t>
      </w:r>
      <w:r>
        <w:rPr>
          <w:rFonts w:hint="eastAsia"/>
          <w:bCs/>
          <w:color w:val="000000" w:themeColor="text1"/>
          <w:sz w:val="24"/>
        </w:rPr>
        <w:t>将</w:t>
      </w:r>
      <w:r>
        <w:rPr>
          <w:bCs/>
          <w:color w:val="000000" w:themeColor="text1"/>
          <w:sz w:val="24"/>
        </w:rPr>
        <w:t>拒绝该供应商参加谈判。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rPr>
        <w:t>具体评审内容见本章第3条。</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.第一轮谈判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.1谈判小组将按照随机抽签的顺序决定谈判供应商的谈判顺序，并与单一谈判供应商分别进行谈判。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.3响应文件的澄清和说明</w:t>
      </w:r>
    </w:p>
    <w:p>
      <w:pPr>
        <w:spacing w:line="440" w:lineRule="exact"/>
        <w:ind w:left="360" w:hanging="360" w:hangingChars="150"/>
        <w:rPr>
          <w:bCs/>
          <w:color w:val="000000" w:themeColor="text1"/>
          <w:sz w:val="24"/>
        </w:rPr>
      </w:pPr>
      <w:r>
        <w:rPr>
          <w:bCs/>
          <w:color w:val="000000" w:themeColor="text1"/>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bCs/>
          <w:color w:val="000000" w:themeColor="text1"/>
          <w:sz w:val="24"/>
        </w:rPr>
      </w:pPr>
      <w:r>
        <w:rPr>
          <w:bCs/>
          <w:color w:val="000000" w:themeColor="text1"/>
          <w:sz w:val="24"/>
        </w:rPr>
        <w:t>2）谈判小组要求供应商澄清、说明或者更正响应文件应以书面形式作出。供应商的澄清、说明或者更正应当由法定代表人</w:t>
      </w:r>
      <w:r>
        <w:rPr>
          <w:rFonts w:hint="eastAsia"/>
          <w:bCs/>
          <w:color w:val="000000" w:themeColor="text1"/>
          <w:sz w:val="24"/>
        </w:rPr>
        <w:t>（负责人）</w:t>
      </w:r>
      <w:r>
        <w:rPr>
          <w:bCs/>
          <w:color w:val="000000" w:themeColor="text1"/>
          <w:sz w:val="24"/>
        </w:rPr>
        <w:t>或其授权代表签字或者加盖印章。</w:t>
      </w:r>
    </w:p>
    <w:p>
      <w:pPr>
        <w:spacing w:line="440" w:lineRule="exact"/>
        <w:ind w:left="360" w:hanging="360" w:hangingChars="150"/>
        <w:rPr>
          <w:bCs/>
          <w:color w:val="000000" w:themeColor="text1"/>
          <w:sz w:val="24"/>
        </w:rPr>
      </w:pPr>
      <w:r>
        <w:rPr>
          <w:bCs/>
          <w:color w:val="000000" w:themeColor="text1"/>
          <w:sz w:val="24"/>
        </w:rPr>
        <w:t>3）供应商可以对参加谈判项目的采购需求提出优化建议，并以书面提交谈判小组。</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.4谈判小组按谈判文件设定的方法和标准确定谈判供应商符合谈判文件要求的，该谈判供应商即为合格的供应商。</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.6合格的供应商不足3家的，谈判小组、采购人在降低采购需求中的技术、服务要求以及合同草案条款后进行下一轮谈判。否则，本次谈判终止，重新开展采购活动。</w:t>
      </w:r>
    </w:p>
    <w:p>
      <w:pPr>
        <w:spacing w:line="440" w:lineRule="exact"/>
        <w:rPr>
          <w:bCs/>
          <w:color w:val="000000" w:themeColor="text1"/>
          <w:sz w:val="24"/>
        </w:rPr>
      </w:pPr>
      <w:r>
        <w:rPr>
          <w:rFonts w:hint="eastAsia"/>
          <w:bCs/>
          <w:color w:val="000000" w:themeColor="text1"/>
          <w:sz w:val="24"/>
        </w:rPr>
        <w:t>20.</w:t>
      </w:r>
      <w:r>
        <w:rPr>
          <w:bCs/>
          <w:color w:val="000000" w:themeColor="text1"/>
          <w:sz w:val="24"/>
        </w:rPr>
        <w:t xml:space="preserve"> 谈判文件修正</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bCs/>
          <w:color w:val="000000" w:themeColor="text1"/>
          <w:sz w:val="24"/>
        </w:rPr>
      </w:pPr>
      <w:r>
        <w:rPr>
          <w:rFonts w:hint="eastAsia"/>
          <w:bCs/>
          <w:color w:val="000000" w:themeColor="text1"/>
          <w:sz w:val="24"/>
        </w:rPr>
        <w:t>20</w:t>
      </w:r>
      <w:r>
        <w:rPr>
          <w:bCs/>
          <w:color w:val="000000" w:themeColor="text1"/>
          <w:sz w:val="24"/>
        </w:rPr>
        <w:t>.2谈判小组将谈判文件的修改结果以书面形式通知参加谈判的供应商。</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.4对无法详细描述需求，需要供应商提供设计或者解决方案的项目，谈判小组可以根据采购人对需求确认情况，进行多轮谈判，直至采购人代表最终确认</w:t>
      </w:r>
      <w:r>
        <w:rPr>
          <w:rFonts w:hint="eastAsia"/>
          <w:bCs/>
          <w:color w:val="000000" w:themeColor="text1"/>
          <w:sz w:val="24"/>
        </w:rPr>
        <w:t>采购</w:t>
      </w:r>
      <w:r>
        <w:rPr>
          <w:bCs/>
          <w:color w:val="000000" w:themeColor="text1"/>
          <w:sz w:val="24"/>
        </w:rPr>
        <w:t>需求为止。</w:t>
      </w:r>
    </w:p>
    <w:p>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 第二轮谈判</w:t>
      </w:r>
    </w:p>
    <w:p>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.1谈判小组就修正后的谈判文件与谈判供应商分别进行谈判。</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.2第二轮谈判结束后，实质性响应谈判文件及变动后谈判文件要求的供应商超过或不足3家的，按照上一轮谈判程序办理，以此类推。</w:t>
      </w:r>
    </w:p>
    <w:p>
      <w:pPr>
        <w:spacing w:line="440" w:lineRule="exact"/>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 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.1谈判小组对谈判文件中能够详细列明采购标的的技术、服务要求的，在谈判结束后，所有继续参加谈判合格的供应商应在规定时间内提交最后报价。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.3如果出现相同最低报价，谈判小组将要求相同最低报价的谈判供应商再次报价，直至确定只有一个最低报价为止。</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.4谈判供应商的报价均超过了政府采购预算或报价未超过采购预算的供应商不足三家的，谈判活动终止。</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.5最后报价文件应密封，并在规定的同一时间内提交。最后报价是供应商响应文件的有效组成部分。</w:t>
      </w:r>
    </w:p>
    <w:p>
      <w:pPr>
        <w:spacing w:line="440" w:lineRule="exact"/>
        <w:ind w:left="363" w:leftChars="1" w:hanging="360" w:hangingChars="150"/>
        <w:rPr>
          <w:bCs/>
          <w:color w:val="000000" w:themeColor="text1"/>
          <w:sz w:val="24"/>
        </w:rPr>
      </w:pPr>
      <w:r>
        <w:rPr>
          <w:rFonts w:hint="eastAsia"/>
          <w:bCs/>
          <w:color w:val="000000" w:themeColor="text1"/>
          <w:sz w:val="24"/>
        </w:rPr>
        <w:t>23. 非专门面向中小企业</w:t>
      </w:r>
      <w:r>
        <w:rPr>
          <w:rFonts w:hint="eastAsia" w:ascii="宋体" w:hAnsi="宋体" w:cs="宋体"/>
          <w:color w:val="000000"/>
          <w:sz w:val="24"/>
        </w:rPr>
        <w:t>、</w:t>
      </w:r>
      <w:r>
        <w:rPr>
          <w:rFonts w:hint="eastAsia"/>
          <w:color w:val="000000" w:themeColor="text1"/>
          <w:sz w:val="24"/>
        </w:rPr>
        <w:t>监狱企业或残疾人福利性单位</w:t>
      </w:r>
      <w:r>
        <w:rPr>
          <w:rFonts w:hint="eastAsia"/>
          <w:bCs/>
          <w:color w:val="000000" w:themeColor="text1"/>
          <w:sz w:val="24"/>
        </w:rPr>
        <w:t>采购项目价格评议</w:t>
      </w:r>
    </w:p>
    <w:p>
      <w:pPr>
        <w:spacing w:line="440" w:lineRule="exact"/>
        <w:ind w:left="363" w:leftChars="1" w:hanging="360" w:hangingChars="150"/>
        <w:rPr>
          <w:bCs/>
          <w:color w:val="000000" w:themeColor="text1"/>
          <w:sz w:val="24"/>
        </w:rPr>
      </w:pPr>
      <w:r>
        <w:rPr>
          <w:rFonts w:hint="eastAsia"/>
          <w:bCs/>
          <w:color w:val="000000" w:themeColor="text1"/>
          <w:sz w:val="24"/>
        </w:rPr>
        <w:t>23.1</w:t>
      </w:r>
      <w:r>
        <w:rPr>
          <w:rFonts w:hint="eastAsia" w:ascii="宋体" w:hAnsi="宋体"/>
          <w:sz w:val="24"/>
        </w:rPr>
        <w:t>小型和微型企业</w:t>
      </w:r>
      <w:r>
        <w:rPr>
          <w:rFonts w:hint="eastAsia" w:ascii="宋体" w:hAnsi="宋体" w:cs="宋体"/>
          <w:color w:val="000000"/>
          <w:sz w:val="24"/>
        </w:rPr>
        <w:t>、</w:t>
      </w:r>
      <w:r>
        <w:rPr>
          <w:rFonts w:hint="eastAsia"/>
          <w:color w:val="000000" w:themeColor="text1"/>
          <w:sz w:val="24"/>
        </w:rPr>
        <w:t>监狱企业</w:t>
      </w:r>
      <w:r>
        <w:rPr>
          <w:rFonts w:hint="eastAsia" w:ascii="宋体" w:hAnsi="宋体" w:cs="宋体"/>
          <w:color w:val="000000"/>
          <w:sz w:val="24"/>
        </w:rPr>
        <w:t>或</w:t>
      </w:r>
      <w:r>
        <w:rPr>
          <w:rFonts w:hint="eastAsia"/>
          <w:color w:val="000000" w:themeColor="text1"/>
          <w:sz w:val="24"/>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themeColor="text1"/>
          <w:sz w:val="24"/>
        </w:rPr>
        <w:t>监狱企业或残疾人福利性单位</w:t>
      </w:r>
      <w:r>
        <w:rPr>
          <w:rFonts w:hint="eastAsia" w:ascii="宋体" w:hAnsi="宋体"/>
          <w:sz w:val="24"/>
        </w:rPr>
        <w:t>制造的产品参加谈判的，给予《</w:t>
      </w:r>
      <w:r>
        <w:rPr>
          <w:rFonts w:hint="eastAsia" w:ascii="宋体" w:hAnsi="宋体"/>
          <w:color w:val="FF0000"/>
          <w:sz w:val="24"/>
        </w:rPr>
        <w:t>谈判须知前附表》确定比例进行</w:t>
      </w:r>
      <w:r>
        <w:rPr>
          <w:rFonts w:hint="eastAsia" w:ascii="宋体" w:hAnsi="宋体"/>
          <w:sz w:val="24"/>
        </w:rPr>
        <w:t>价格扣除，用扣除后的价格参与评审。本项所称产品不包括使用大型企业注册商标的产品、使用非残疾人福利性单位注册商标的货物或非监狱企业生产的货物</w:t>
      </w:r>
      <w:r>
        <w:rPr>
          <w:rFonts w:hint="eastAsia"/>
          <w:bCs/>
          <w:color w:val="000000" w:themeColor="text1"/>
          <w:sz w:val="24"/>
        </w:rPr>
        <w:t>。</w:t>
      </w:r>
    </w:p>
    <w:p>
      <w:pPr>
        <w:spacing w:line="440" w:lineRule="exact"/>
        <w:ind w:left="363" w:leftChars="1" w:hanging="360" w:hangingChars="150"/>
        <w:rPr>
          <w:bCs/>
          <w:color w:val="000000" w:themeColor="text1"/>
          <w:sz w:val="24"/>
        </w:rPr>
      </w:pPr>
      <w:r>
        <w:rPr>
          <w:rFonts w:hint="eastAsia"/>
          <w:bCs/>
          <w:color w:val="000000" w:themeColor="text1"/>
          <w:sz w:val="24"/>
        </w:rPr>
        <w:t>23.2提供本企业制造的产品、承担的工程或者服务的供应商，应出具《中小企业声明函》、《残疾人福利性单位声明函》或属于监狱企业的证明文件等原件。提供其他小型和微型企业、</w:t>
      </w:r>
      <w:r>
        <w:rPr>
          <w:rFonts w:hint="eastAsia"/>
          <w:color w:val="000000" w:themeColor="text1"/>
          <w:sz w:val="24"/>
        </w:rPr>
        <w:t>监狱企业或残疾人福利性单位</w:t>
      </w:r>
      <w:r>
        <w:rPr>
          <w:rFonts w:hint="eastAsia"/>
          <w:bCs/>
          <w:color w:val="000000" w:themeColor="text1"/>
          <w:sz w:val="24"/>
        </w:rPr>
        <w:t>制造的产品的，应出具所提供产品制造企业的《中小企业声明函》、《残疾人福利性单位声明函》或属于监狱企业的证明文件等原件，否则，不给予价格扣除。</w:t>
      </w:r>
    </w:p>
    <w:p>
      <w:pPr>
        <w:spacing w:line="440" w:lineRule="exact"/>
        <w:ind w:left="363" w:leftChars="1" w:hanging="360" w:hangingChars="150"/>
        <w:rPr>
          <w:bCs/>
          <w:color w:val="000000" w:themeColor="text1"/>
          <w:sz w:val="24"/>
        </w:rPr>
      </w:pPr>
      <w:r>
        <w:rPr>
          <w:rFonts w:hint="eastAsia"/>
          <w:bCs/>
          <w:color w:val="000000" w:themeColor="text1"/>
          <w:sz w:val="24"/>
        </w:rPr>
        <w:t>23.3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w:t>
      </w:r>
      <w:r>
        <w:rPr>
          <w:rFonts w:hint="eastAsia" w:ascii="宋体" w:hAnsi="宋体"/>
          <w:color w:val="FF0000"/>
          <w:sz w:val="24"/>
        </w:rPr>
        <w:t>谈判须知前附表》确定比例进行</w:t>
      </w:r>
      <w:r>
        <w:rPr>
          <w:rFonts w:hint="eastAsia" w:ascii="宋体" w:hAnsi="宋体"/>
          <w:sz w:val="24"/>
        </w:rPr>
        <w:t>价格扣除。联合体各方均为小型、微型企业的，给予联合体按《</w:t>
      </w:r>
      <w:r>
        <w:rPr>
          <w:rFonts w:hint="eastAsia" w:ascii="宋体" w:hAnsi="宋体"/>
          <w:color w:val="FF0000"/>
          <w:sz w:val="24"/>
        </w:rPr>
        <w:t>谈判须知前附表》确定比例进行</w:t>
      </w:r>
      <w:r>
        <w:rPr>
          <w:rFonts w:hint="eastAsia" w:ascii="宋体" w:hAnsi="宋体"/>
          <w:sz w:val="24"/>
        </w:rPr>
        <w:t>价格扣除</w:t>
      </w:r>
      <w:r>
        <w:rPr>
          <w:rFonts w:hint="eastAsia"/>
          <w:bCs/>
          <w:color w:val="000000" w:themeColor="text1"/>
          <w:sz w:val="24"/>
        </w:rPr>
        <w:t>。</w:t>
      </w:r>
    </w:p>
    <w:p>
      <w:pPr>
        <w:spacing w:line="440" w:lineRule="exact"/>
        <w:ind w:left="363" w:leftChars="1" w:hanging="360" w:hangingChars="150"/>
        <w:rPr>
          <w:bCs/>
          <w:color w:val="000000" w:themeColor="text1"/>
          <w:sz w:val="24"/>
        </w:rPr>
      </w:pPr>
      <w:r>
        <w:rPr>
          <w:rFonts w:hint="eastAsia"/>
          <w:bCs/>
          <w:color w:val="000000" w:themeColor="text1"/>
          <w:sz w:val="24"/>
        </w:rPr>
        <w:t>23.4对于未按规定提供《中小企业声明函》、《残疾人福利性单位声明函》或属于监狱企业的证明文件等原件，或声明函内容不能说明所提供产品、承担的工程或者服务的企业属于小型和微型企业、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rPr>
        <w:t>监狱企业或残疾人福利性单位</w:t>
      </w:r>
      <w:r>
        <w:rPr>
          <w:rFonts w:hint="eastAsia"/>
          <w:bCs/>
          <w:color w:val="000000" w:themeColor="text1"/>
          <w:sz w:val="24"/>
        </w:rPr>
        <w:t>的，不给予价格扣除。</w:t>
      </w:r>
      <w:r>
        <w:rPr>
          <w:rFonts w:hint="eastAsia"/>
          <w:color w:val="000000" w:themeColor="text1"/>
          <w:sz w:val="24"/>
        </w:rPr>
        <w:t>残疾人福利性单位属于小型、微型企业的，不重复享受政策。</w:t>
      </w:r>
    </w:p>
    <w:p>
      <w:pPr>
        <w:spacing w:line="440" w:lineRule="exact"/>
        <w:rPr>
          <w:rFonts w:eastAsia="黑体"/>
          <w:bCs/>
          <w:color w:val="000000" w:themeColor="text1"/>
          <w:sz w:val="24"/>
        </w:rPr>
      </w:pPr>
    </w:p>
    <w:p>
      <w:pPr>
        <w:spacing w:line="440" w:lineRule="exact"/>
        <w:rPr>
          <w:rFonts w:eastAsia="黑体"/>
          <w:bCs/>
          <w:color w:val="000000" w:themeColor="text1"/>
          <w:sz w:val="24"/>
        </w:rPr>
      </w:pPr>
      <w:bookmarkStart w:id="13" w:name="_Toc11474_WPSOffice_Level2"/>
      <w:r>
        <w:rPr>
          <w:rFonts w:eastAsia="黑体"/>
          <w:bCs/>
          <w:color w:val="000000" w:themeColor="text1"/>
          <w:sz w:val="24"/>
        </w:rPr>
        <w:t>八、确定成交供应商</w:t>
      </w:r>
      <w:bookmarkEnd w:id="13"/>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4</w:t>
      </w:r>
      <w:r>
        <w:rPr>
          <w:bCs/>
          <w:color w:val="000000" w:themeColor="text1"/>
          <w:sz w:val="24"/>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00" w:lineRule="auto"/>
        <w:ind w:left="283" w:hanging="283" w:hangingChars="118"/>
        <w:rPr>
          <w:bCs/>
          <w:color w:val="000000" w:themeColor="text1"/>
          <w:sz w:val="24"/>
        </w:rPr>
      </w:pPr>
      <w:r>
        <w:rPr>
          <w:bCs/>
          <w:color w:val="000000" w:themeColor="text1"/>
          <w:sz w:val="24"/>
        </w:rPr>
        <w:t>2</w:t>
      </w:r>
      <w:r>
        <w:rPr>
          <w:rFonts w:hint="eastAsia"/>
          <w:bCs/>
          <w:color w:val="000000" w:themeColor="text1"/>
          <w:sz w:val="24"/>
        </w:rPr>
        <w:t>5</w:t>
      </w:r>
      <w:r>
        <w:rPr>
          <w:bCs/>
          <w:color w:val="000000" w:themeColor="text1"/>
          <w:sz w:val="24"/>
        </w:rPr>
        <w:t>. 采购人从谈判小组提出的成交候选人中根据符合采购需求、质量和服务相等且</w:t>
      </w:r>
      <w:r>
        <w:rPr>
          <w:rFonts w:hint="eastAsia"/>
          <w:bCs/>
          <w:color w:val="000000" w:themeColor="text1"/>
          <w:sz w:val="24"/>
        </w:rPr>
        <w:t>评审</w:t>
      </w:r>
      <w:r>
        <w:rPr>
          <w:bCs/>
          <w:color w:val="000000" w:themeColor="text1"/>
          <w:sz w:val="24"/>
        </w:rPr>
        <w:t>价最低</w:t>
      </w:r>
      <w:r>
        <w:rPr>
          <w:rFonts w:hint="eastAsia"/>
          <w:bCs/>
          <w:color w:val="000000" w:themeColor="text1"/>
          <w:sz w:val="24"/>
        </w:rPr>
        <w:t>（</w:t>
      </w:r>
      <w:r>
        <w:rPr>
          <w:rFonts w:hint="eastAsia" w:ascii="宋体" w:hAnsi="宋体"/>
          <w:sz w:val="24"/>
        </w:rPr>
        <w:t>面向中小企业项目按报价最低</w:t>
      </w:r>
      <w:r>
        <w:rPr>
          <w:rFonts w:hint="eastAsia"/>
          <w:bCs/>
          <w:color w:val="000000" w:themeColor="text1"/>
          <w:sz w:val="24"/>
        </w:rPr>
        <w:t>）</w:t>
      </w:r>
      <w:r>
        <w:rPr>
          <w:bCs/>
          <w:color w:val="000000" w:themeColor="text1"/>
          <w:sz w:val="24"/>
        </w:rPr>
        <w:t>的原则确定成交供应商。</w:t>
      </w:r>
      <w:r>
        <w:rPr>
          <w:rFonts w:hint="eastAsia" w:ascii="宋体" w:hAnsi="宋体" w:cs="宋体"/>
          <w:color w:val="FF0000"/>
          <w:sz w:val="24"/>
        </w:rPr>
        <w:t>如果不是最低报价成交，谈判小组必须在评审报告上出具正当的、详细的、充足的理由。</w:t>
      </w:r>
    </w:p>
    <w:p>
      <w:pPr>
        <w:spacing w:line="440" w:lineRule="exact"/>
        <w:ind w:left="363" w:leftChars="1" w:hanging="360" w:hangingChars="150"/>
        <w:rPr>
          <w:bCs/>
          <w:color w:val="000000" w:themeColor="text1"/>
          <w:sz w:val="24"/>
        </w:rPr>
      </w:pPr>
      <w:r>
        <w:rPr>
          <w:rFonts w:hint="eastAsia"/>
          <w:bCs/>
          <w:color w:val="000000" w:themeColor="text1"/>
          <w:sz w:val="24"/>
        </w:rPr>
        <w:t>26. 成交候选供应商因特殊原因放弃或因不可抗力提出不能履行合同，才可依据谈判小组评审结果次序依次递补。</w:t>
      </w:r>
    </w:p>
    <w:p>
      <w:pPr>
        <w:spacing w:line="440" w:lineRule="exact"/>
        <w:ind w:left="360" w:hanging="360" w:hangingChars="150"/>
        <w:rPr>
          <w:bCs/>
          <w:color w:val="000000" w:themeColor="text1"/>
          <w:sz w:val="24"/>
        </w:rPr>
      </w:pPr>
    </w:p>
    <w:p>
      <w:pPr>
        <w:spacing w:line="440" w:lineRule="exact"/>
        <w:rPr>
          <w:rFonts w:eastAsia="黑体"/>
          <w:bCs/>
          <w:color w:val="000000" w:themeColor="text1"/>
          <w:sz w:val="24"/>
        </w:rPr>
      </w:pPr>
      <w:bookmarkStart w:id="14" w:name="_Toc6815_WPSOffice_Level2"/>
      <w:r>
        <w:rPr>
          <w:rFonts w:eastAsia="黑体"/>
          <w:bCs/>
          <w:color w:val="000000" w:themeColor="text1"/>
          <w:sz w:val="24"/>
        </w:rPr>
        <w:t>九、发布成交公告</w:t>
      </w:r>
      <w:bookmarkEnd w:id="14"/>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7</w:t>
      </w:r>
      <w:r>
        <w:rPr>
          <w:bCs/>
          <w:color w:val="000000" w:themeColor="text1"/>
          <w:sz w:val="24"/>
        </w:rPr>
        <w:t xml:space="preserve">. </w:t>
      </w:r>
      <w:r>
        <w:rPr>
          <w:rFonts w:hint="eastAsia"/>
          <w:bCs/>
          <w:color w:val="000000" w:themeColor="text1"/>
          <w:sz w:val="24"/>
        </w:rPr>
        <w:t>采购人、采购代理公司</w:t>
      </w:r>
      <w:r>
        <w:rPr>
          <w:bCs/>
          <w:color w:val="000000" w:themeColor="text1"/>
          <w:sz w:val="24"/>
        </w:rPr>
        <w:t>在成交供应商确定后，在财政部门指定的媒体上公告成交结果，同时向成交供应商发出成交通知书。公告期为</w:t>
      </w:r>
      <w:r>
        <w:rPr>
          <w:rFonts w:hint="eastAsia"/>
          <w:bCs/>
          <w:color w:val="000000" w:themeColor="text1"/>
          <w:sz w:val="24"/>
        </w:rPr>
        <w:t>一个工作日</w:t>
      </w:r>
      <w:r>
        <w:rPr>
          <w:bCs/>
          <w:color w:val="000000" w:themeColor="text1"/>
          <w:sz w:val="24"/>
        </w:rPr>
        <w:t>。</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8</w:t>
      </w:r>
      <w:r>
        <w:rPr>
          <w:bCs/>
          <w:color w:val="000000" w:themeColor="text1"/>
          <w:sz w:val="24"/>
        </w:rPr>
        <w:t>.相关供应商对成交结果、谈判过程有询问或质疑的，可在公告期届满之日起七个工作日内，依据政府采购相关规定，向</w:t>
      </w:r>
      <w:r>
        <w:rPr>
          <w:rFonts w:hint="eastAsia"/>
          <w:bCs/>
          <w:color w:val="000000" w:themeColor="text1"/>
          <w:sz w:val="24"/>
        </w:rPr>
        <w:t>采购人、采购代理公司</w:t>
      </w:r>
      <w:r>
        <w:rPr>
          <w:bCs/>
          <w:color w:val="000000" w:themeColor="text1"/>
          <w:sz w:val="24"/>
        </w:rPr>
        <w:t>提出询问或质疑，</w:t>
      </w:r>
      <w:r>
        <w:rPr>
          <w:rFonts w:hint="eastAsia"/>
          <w:bCs/>
          <w:color w:val="000000" w:themeColor="text1"/>
          <w:sz w:val="24"/>
        </w:rPr>
        <w:t>采购人、采购代理公司</w:t>
      </w:r>
      <w:r>
        <w:rPr>
          <w:bCs/>
          <w:color w:val="000000" w:themeColor="text1"/>
          <w:sz w:val="24"/>
        </w:rPr>
        <w:t>将按政府采购询问或质疑程序处理。质疑书应当包括下列主要内容：</w:t>
      </w:r>
    </w:p>
    <w:p>
      <w:pPr>
        <w:spacing w:line="440" w:lineRule="exact"/>
        <w:rPr>
          <w:bCs/>
          <w:color w:val="000000" w:themeColor="text1"/>
          <w:sz w:val="24"/>
        </w:rPr>
      </w:pPr>
      <w:r>
        <w:rPr>
          <w:rFonts w:hint="eastAsia"/>
          <w:bCs/>
          <w:color w:val="000000" w:themeColor="text1"/>
          <w:sz w:val="24"/>
        </w:rPr>
        <w:t>28.</w:t>
      </w:r>
      <w:r>
        <w:rPr>
          <w:bCs/>
          <w:color w:val="000000" w:themeColor="text1"/>
          <w:sz w:val="24"/>
        </w:rPr>
        <w:t>1质疑人的名称、地址、电话等；</w:t>
      </w:r>
    </w:p>
    <w:p>
      <w:pPr>
        <w:spacing w:line="440" w:lineRule="exact"/>
        <w:rPr>
          <w:bCs/>
          <w:color w:val="000000" w:themeColor="text1"/>
          <w:sz w:val="24"/>
        </w:rPr>
      </w:pPr>
      <w:r>
        <w:rPr>
          <w:rFonts w:hint="eastAsia"/>
          <w:bCs/>
          <w:color w:val="000000" w:themeColor="text1"/>
          <w:sz w:val="24"/>
        </w:rPr>
        <w:t>28.</w:t>
      </w:r>
      <w:r>
        <w:rPr>
          <w:bCs/>
          <w:color w:val="000000" w:themeColor="text1"/>
          <w:sz w:val="24"/>
        </w:rPr>
        <w:t>2质疑人法人</w:t>
      </w:r>
      <w:r>
        <w:rPr>
          <w:rFonts w:hint="eastAsia"/>
          <w:bCs/>
          <w:color w:val="000000" w:themeColor="text1"/>
          <w:sz w:val="24"/>
        </w:rPr>
        <w:t>（负责人）</w:t>
      </w:r>
      <w:r>
        <w:rPr>
          <w:bCs/>
          <w:color w:val="000000" w:themeColor="text1"/>
          <w:sz w:val="24"/>
        </w:rPr>
        <w:t>签章和单位公章；</w:t>
      </w:r>
    </w:p>
    <w:p>
      <w:pPr>
        <w:spacing w:line="440" w:lineRule="exact"/>
        <w:rPr>
          <w:bCs/>
          <w:color w:val="000000" w:themeColor="text1"/>
          <w:sz w:val="24"/>
        </w:rPr>
      </w:pPr>
      <w:r>
        <w:rPr>
          <w:rFonts w:hint="eastAsia"/>
          <w:bCs/>
          <w:color w:val="000000" w:themeColor="text1"/>
          <w:sz w:val="24"/>
        </w:rPr>
        <w:t>28.</w:t>
      </w:r>
      <w:r>
        <w:rPr>
          <w:bCs/>
          <w:color w:val="000000" w:themeColor="text1"/>
          <w:sz w:val="24"/>
        </w:rPr>
        <w:t>3具体的质疑事项和请求；</w:t>
      </w:r>
    </w:p>
    <w:p>
      <w:pPr>
        <w:spacing w:line="440" w:lineRule="exact"/>
        <w:rPr>
          <w:bCs/>
          <w:color w:val="000000" w:themeColor="text1"/>
          <w:sz w:val="24"/>
        </w:rPr>
      </w:pPr>
      <w:r>
        <w:rPr>
          <w:rFonts w:hint="eastAsia"/>
          <w:bCs/>
          <w:color w:val="000000" w:themeColor="text1"/>
          <w:sz w:val="24"/>
        </w:rPr>
        <w:t>28.</w:t>
      </w:r>
      <w:r>
        <w:rPr>
          <w:bCs/>
          <w:color w:val="000000" w:themeColor="text1"/>
          <w:sz w:val="24"/>
        </w:rPr>
        <w:t>4与质疑事项相关的证明材料；</w:t>
      </w:r>
    </w:p>
    <w:p>
      <w:pPr>
        <w:spacing w:line="440" w:lineRule="exact"/>
        <w:rPr>
          <w:bCs/>
          <w:color w:val="000000" w:themeColor="text1"/>
          <w:sz w:val="24"/>
        </w:rPr>
      </w:pPr>
      <w:r>
        <w:rPr>
          <w:rFonts w:hint="eastAsia"/>
          <w:bCs/>
          <w:color w:val="000000" w:themeColor="text1"/>
          <w:sz w:val="24"/>
        </w:rPr>
        <w:t>28.</w:t>
      </w:r>
      <w:r>
        <w:rPr>
          <w:bCs/>
          <w:color w:val="000000" w:themeColor="text1"/>
          <w:sz w:val="24"/>
        </w:rPr>
        <w:t>5提起质疑的日期。</w:t>
      </w:r>
    </w:p>
    <w:p>
      <w:pPr>
        <w:spacing w:line="440" w:lineRule="exact"/>
        <w:rPr>
          <w:rFonts w:eastAsia="黑体"/>
          <w:bCs/>
          <w:color w:val="000000" w:themeColor="text1"/>
          <w:sz w:val="24"/>
        </w:rPr>
      </w:pPr>
    </w:p>
    <w:p>
      <w:pPr>
        <w:spacing w:line="440" w:lineRule="exact"/>
        <w:rPr>
          <w:rFonts w:eastAsia="黑体"/>
          <w:bCs/>
          <w:color w:val="000000" w:themeColor="text1"/>
          <w:sz w:val="24"/>
        </w:rPr>
      </w:pPr>
      <w:bookmarkStart w:id="15" w:name="_Toc5912_WPSOffice_Level2"/>
      <w:r>
        <w:rPr>
          <w:rFonts w:eastAsia="黑体"/>
          <w:bCs/>
          <w:color w:val="000000" w:themeColor="text1"/>
          <w:sz w:val="24"/>
        </w:rPr>
        <w:t>十、签订合同</w:t>
      </w:r>
      <w:bookmarkEnd w:id="15"/>
    </w:p>
    <w:p>
      <w:pPr>
        <w:spacing w:line="440" w:lineRule="exact"/>
        <w:ind w:left="420" w:hanging="420"/>
        <w:rPr>
          <w:bCs/>
          <w:color w:val="000000" w:themeColor="text1"/>
          <w:sz w:val="24"/>
        </w:rPr>
      </w:pPr>
      <w:r>
        <w:rPr>
          <w:bCs/>
          <w:color w:val="000000" w:themeColor="text1"/>
          <w:sz w:val="24"/>
        </w:rPr>
        <w:t>2</w:t>
      </w:r>
      <w:r>
        <w:rPr>
          <w:rFonts w:hint="eastAsia"/>
          <w:bCs/>
          <w:color w:val="000000" w:themeColor="text1"/>
          <w:sz w:val="24"/>
        </w:rPr>
        <w:t>9</w:t>
      </w:r>
      <w:r>
        <w:rPr>
          <w:bCs/>
          <w:color w:val="000000" w:themeColor="text1"/>
          <w:sz w:val="24"/>
        </w:rPr>
        <w:t>. 成交供应商在收到成交通知书后，三十日内与采购人签订供货服务合同。</w:t>
      </w:r>
    </w:p>
    <w:p>
      <w:pPr>
        <w:spacing w:line="440" w:lineRule="exact"/>
        <w:rPr>
          <w:color w:val="000000" w:themeColor="text1"/>
          <w:sz w:val="24"/>
        </w:rPr>
      </w:pPr>
    </w:p>
    <w:p>
      <w:pPr>
        <w:spacing w:line="440" w:lineRule="exact"/>
        <w:rPr>
          <w:rFonts w:eastAsia="黑体"/>
          <w:color w:val="000000" w:themeColor="text1"/>
          <w:sz w:val="24"/>
        </w:rPr>
      </w:pPr>
      <w:bookmarkStart w:id="16" w:name="_Toc19837_WPSOffice_Level2"/>
      <w:r>
        <w:rPr>
          <w:rFonts w:eastAsia="黑体"/>
          <w:color w:val="000000" w:themeColor="text1"/>
          <w:sz w:val="24"/>
        </w:rPr>
        <w:t>十一、付款方式</w:t>
      </w:r>
      <w:bookmarkEnd w:id="16"/>
    </w:p>
    <w:p>
      <w:pPr>
        <w:spacing w:line="440" w:lineRule="exact"/>
        <w:ind w:left="363" w:leftChars="1" w:hanging="360" w:hangingChars="150"/>
        <w:rPr>
          <w:color w:val="000000" w:themeColor="text1"/>
          <w:sz w:val="24"/>
        </w:rPr>
      </w:pPr>
      <w:r>
        <w:rPr>
          <w:rFonts w:hint="eastAsia"/>
          <w:color w:val="000000" w:themeColor="text1"/>
          <w:sz w:val="24"/>
        </w:rPr>
        <w:t>30</w:t>
      </w:r>
      <w:r>
        <w:rPr>
          <w:color w:val="000000" w:themeColor="text1"/>
          <w:sz w:val="24"/>
        </w:rPr>
        <w:t>. 货物（服务）交付验收合格后，采购人办理相应金额的支付手续。</w:t>
      </w:r>
    </w:p>
    <w:p>
      <w:pPr>
        <w:spacing w:line="440" w:lineRule="exact"/>
        <w:rPr>
          <w:bCs/>
          <w:color w:val="000000" w:themeColor="text1"/>
          <w:sz w:val="24"/>
        </w:rPr>
      </w:pPr>
    </w:p>
    <w:p>
      <w:pPr>
        <w:spacing w:line="440" w:lineRule="exact"/>
        <w:rPr>
          <w:rFonts w:eastAsia="黑体"/>
          <w:bCs/>
          <w:color w:val="000000" w:themeColor="text1"/>
          <w:sz w:val="24"/>
        </w:rPr>
      </w:pPr>
      <w:bookmarkStart w:id="17" w:name="_Toc28307_WPSOffice_Level2"/>
      <w:r>
        <w:rPr>
          <w:rFonts w:eastAsia="黑体"/>
          <w:bCs/>
          <w:color w:val="000000" w:themeColor="text1"/>
          <w:sz w:val="24"/>
        </w:rPr>
        <w:t>十二、适用法律</w:t>
      </w:r>
      <w:bookmarkEnd w:id="17"/>
    </w:p>
    <w:p>
      <w:pPr>
        <w:adjustRightInd w:val="0"/>
        <w:snapToGrid w:val="0"/>
        <w:spacing w:line="440" w:lineRule="exact"/>
        <w:ind w:left="363" w:leftChars="1" w:hanging="360" w:hangingChars="150"/>
        <w:rPr>
          <w:rFonts w:eastAsia="仿宋_GB2312"/>
          <w:color w:val="000000" w:themeColor="text1"/>
          <w:sz w:val="24"/>
        </w:rPr>
      </w:pPr>
      <w:r>
        <w:rPr>
          <w:rFonts w:hint="eastAsia"/>
          <w:bCs/>
          <w:color w:val="000000" w:themeColor="text1"/>
          <w:sz w:val="24"/>
        </w:rPr>
        <w:t>31</w:t>
      </w:r>
      <w:r>
        <w:rPr>
          <w:bCs/>
          <w:color w:val="000000" w:themeColor="text1"/>
          <w:sz w:val="24"/>
        </w:rPr>
        <w:t>. 采购当事人的一切活动均适用于《中华人民共和国政府采购法》、《中华人民共和国政府采购法实施条例》、《政府采购非招标采购方式管理办法》及相关法规。</w:t>
      </w:r>
    </w:p>
    <w:p>
      <w:pPr>
        <w:spacing w:line="500" w:lineRule="exact"/>
        <w:jc w:val="center"/>
        <w:rPr>
          <w:color w:val="000000" w:themeColor="text1"/>
          <w:sz w:val="36"/>
          <w:szCs w:val="36"/>
          <w:lang w:bidi="ar-EG"/>
        </w:rPr>
        <w:sectPr>
          <w:headerReference r:id="rId7" w:type="default"/>
          <w:footerReference r:id="rId8" w:type="default"/>
          <w:pgSz w:w="11906" w:h="16838"/>
          <w:pgMar w:top="1440" w:right="1146" w:bottom="1440" w:left="1412" w:header="851" w:footer="992" w:gutter="0"/>
          <w:pgNumType w:start="1"/>
          <w:cols w:space="0" w:num="1"/>
          <w:docGrid w:type="lines" w:linePitch="312" w:charSpace="0"/>
        </w:sectPr>
      </w:pPr>
    </w:p>
    <w:p>
      <w:pPr>
        <w:numPr>
          <w:ilvl w:val="0"/>
          <w:numId w:val="3"/>
        </w:numPr>
        <w:spacing w:line="500" w:lineRule="exact"/>
        <w:jc w:val="center"/>
        <w:rPr>
          <w:color w:val="000000" w:themeColor="text1"/>
          <w:sz w:val="36"/>
          <w:szCs w:val="36"/>
        </w:rPr>
      </w:pPr>
      <w:r>
        <w:rPr>
          <w:rFonts w:hint="eastAsia"/>
          <w:color w:val="000000" w:themeColor="text1"/>
          <w:sz w:val="36"/>
          <w:szCs w:val="36"/>
          <w:lang w:bidi="ar-EG"/>
        </w:rPr>
        <w:t xml:space="preserve"> </w:t>
      </w:r>
      <w:bookmarkStart w:id="18" w:name="_Toc15418_WPSOffice_Level1"/>
      <w:bookmarkStart w:id="19" w:name="_Toc18718_WPSOffice_Level1"/>
      <w:r>
        <w:rPr>
          <w:color w:val="000000" w:themeColor="text1"/>
          <w:sz w:val="36"/>
          <w:szCs w:val="36"/>
          <w:lang w:val="hr-HR" w:bidi="ar-EG"/>
        </w:rPr>
        <w:t>采购</w:t>
      </w:r>
      <w:r>
        <w:rPr>
          <w:color w:val="000000" w:themeColor="text1"/>
          <w:sz w:val="36"/>
          <w:szCs w:val="36"/>
        </w:rPr>
        <w:t>服务</w:t>
      </w:r>
      <w:r>
        <w:rPr>
          <w:rFonts w:hint="eastAsia"/>
          <w:color w:val="000000" w:themeColor="text1"/>
          <w:sz w:val="36"/>
          <w:szCs w:val="36"/>
        </w:rPr>
        <w:t>需</w:t>
      </w:r>
      <w:r>
        <w:rPr>
          <w:color w:val="000000" w:themeColor="text1"/>
          <w:sz w:val="36"/>
          <w:szCs w:val="36"/>
        </w:rPr>
        <w:t>求</w:t>
      </w:r>
      <w:bookmarkEnd w:id="18"/>
      <w:bookmarkEnd w:id="19"/>
    </w:p>
    <w:p>
      <w:pPr>
        <w:pStyle w:val="3"/>
        <w:pageBreakBefore w:val="0"/>
        <w:widowControl w:val="0"/>
        <w:numPr>
          <w:ilvl w:val="0"/>
          <w:numId w:val="4"/>
        </w:numPr>
        <w:kinsoku/>
        <w:wordWrap/>
        <w:overflowPunct/>
        <w:topLinePunct w:val="0"/>
        <w:autoSpaceDE/>
        <w:autoSpaceDN/>
        <w:bidi w:val="0"/>
        <w:adjustRightInd/>
        <w:snapToGrid/>
        <w:spacing w:before="0" w:after="0" w:line="420" w:lineRule="exact"/>
        <w:ind w:left="616" w:hanging="616"/>
        <w:jc w:val="left"/>
        <w:textAlignment w:val="auto"/>
        <w:rPr>
          <w:rFonts w:ascii="宋体" w:hAnsi="宋体" w:cs="宋体"/>
          <w:color w:val="000000"/>
          <w:sz w:val="32"/>
        </w:rPr>
      </w:pPr>
      <w:bookmarkStart w:id="20" w:name="_Toc495861533"/>
      <w:bookmarkStart w:id="21" w:name="_Toc338065593"/>
      <w:bookmarkStart w:id="22" w:name="_Toc494561952"/>
      <w:bookmarkStart w:id="23" w:name="_Toc339378679"/>
      <w:r>
        <w:rPr>
          <w:rFonts w:hint="eastAsia" w:ascii="宋体" w:hAnsi="宋体"/>
          <w:bCs w:val="0"/>
          <w:sz w:val="30"/>
          <w:szCs w:val="30"/>
          <w:lang w:val="zh-CN"/>
        </w:rPr>
        <w:t>货物清单</w:t>
      </w:r>
      <w:bookmarkEnd w:id="20"/>
      <w:bookmarkEnd w:id="21"/>
      <w:bookmarkEnd w:id="22"/>
      <w:bookmarkEnd w:id="23"/>
      <w:bookmarkStart w:id="24" w:name="_Toc339378680"/>
      <w:bookmarkStart w:id="25" w:name="_Toc33806559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right="0" w:rightChars="0"/>
        <w:textAlignment w:val="auto"/>
        <w:outlineLvl w:val="9"/>
        <w:rPr>
          <w:rFonts w:hint="eastAsia" w:ascii="宋体" w:hAnsi="宋体" w:eastAsia="宋体" w:cs="宋体"/>
          <w:b/>
          <w:bCs/>
          <w:color w:val="auto"/>
          <w:sz w:val="24"/>
          <w:szCs w:val="24"/>
        </w:rPr>
      </w:pPr>
      <w:bookmarkStart w:id="26" w:name="_Toc495861534"/>
      <w:bookmarkStart w:id="27" w:name="_Toc494561953"/>
      <w:r>
        <w:rPr>
          <w:rFonts w:hint="eastAsia" w:ascii="宋体" w:hAnsi="宋体" w:eastAsia="宋体" w:cs="宋体"/>
          <w:b/>
          <w:bCs/>
          <w:color w:val="C00000"/>
          <w:sz w:val="24"/>
          <w:szCs w:val="24"/>
        </w:rPr>
        <w:t>产品名称：WDA-004医院电动床（</w:t>
      </w:r>
      <w:r>
        <w:rPr>
          <w:rFonts w:hint="eastAsia" w:ascii="宋体" w:hAnsi="宋体" w:eastAsia="宋体" w:cs="宋体"/>
          <w:b/>
          <w:bCs/>
          <w:color w:val="C00000"/>
          <w:sz w:val="24"/>
          <w:szCs w:val="24"/>
          <w:lang w:eastAsia="zh-CN"/>
        </w:rPr>
        <w:t>三</w:t>
      </w:r>
      <w:r>
        <w:rPr>
          <w:rFonts w:hint="eastAsia" w:ascii="宋体" w:hAnsi="宋体" w:eastAsia="宋体" w:cs="宋体"/>
          <w:b/>
          <w:bCs/>
          <w:color w:val="C00000"/>
          <w:sz w:val="24"/>
          <w:szCs w:val="24"/>
        </w:rPr>
        <w:t>功能款）</w:t>
      </w:r>
      <w:r>
        <w:rPr>
          <w:rFonts w:hint="eastAsia" w:ascii="宋体" w:hAnsi="宋体" w:eastAsia="宋体" w:cs="宋体"/>
          <w:b/>
          <w:bCs/>
          <w:color w:val="C00000"/>
          <w:sz w:val="24"/>
          <w:szCs w:val="24"/>
          <w:lang w:val="en-US" w:eastAsia="zh-CN"/>
        </w:rPr>
        <w:t xml:space="preserve">   </w:t>
      </w:r>
      <w:r>
        <w:rPr>
          <w:rFonts w:hint="eastAsia" w:ascii="宋体" w:hAnsi="宋体" w:eastAsia="宋体" w:cs="宋体"/>
          <w:b/>
          <w:bCs/>
          <w:color w:val="auto"/>
          <w:sz w:val="24"/>
          <w:szCs w:val="24"/>
          <w:lang w:val="en-US" w:eastAsia="zh-CN"/>
        </w:rPr>
        <w:t xml:space="preserve"> </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ascii="宋体" w:hAnsi="宋体" w:eastAsia="宋体" w:cs="宋体"/>
          <w:b/>
          <w:bCs/>
          <w:sz w:val="24"/>
          <w:szCs w:val="24"/>
          <w:lang w:val="en-US" w:eastAsia="zh-CN"/>
        </w:rPr>
        <w:t>规格：2100mm×1000mm×460/760mm</w:t>
      </w:r>
    </w:p>
    <w:p>
      <w:pPr>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数量：20台</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ascii="宋体" w:hAnsi="宋体" w:eastAsia="宋体" w:cs="宋体"/>
          <w:b/>
          <w:bCs/>
          <w:sz w:val="24"/>
          <w:szCs w:val="24"/>
          <w:lang w:val="en-US" w:eastAsia="zh-CN"/>
        </w:rPr>
        <w:t>产品配置：ABS护栏、中控轮、床垫、床头</w:t>
      </w:r>
    </w:p>
    <w:p>
      <w:pPr>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sz w:val="24"/>
          <w:szCs w:val="24"/>
          <w:lang w:val="en-US" w:eastAsia="zh-CN"/>
        </w:rPr>
      </w:pPr>
      <w:bookmarkStart w:id="28" w:name="OLE_LINK2"/>
      <w:r>
        <w:rPr>
          <w:rFonts w:hint="eastAsia" w:ascii="宋体" w:hAnsi="宋体" w:eastAsia="宋体" w:cs="宋体"/>
          <w:b/>
          <w:bCs/>
          <w:sz w:val="24"/>
          <w:szCs w:val="24"/>
        </w:rPr>
        <w:t>产品参数：</w:t>
      </w:r>
    </w:p>
    <w:p>
      <w:pPr>
        <w:pStyle w:val="44"/>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床体承载重量：≥</w:t>
      </w:r>
      <w:r>
        <w:rPr>
          <w:rFonts w:hint="eastAsia" w:ascii="宋体" w:hAnsi="宋体" w:eastAsia="宋体" w:cs="宋体"/>
          <w:sz w:val="24"/>
          <w:szCs w:val="24"/>
          <w:lang w:val="en-US" w:eastAsia="zh-CN"/>
        </w:rPr>
        <w:t>30</w:t>
      </w:r>
      <w:r>
        <w:rPr>
          <w:rFonts w:hint="eastAsia" w:ascii="宋体" w:hAnsi="宋体" w:eastAsia="宋体" w:cs="宋体"/>
          <w:sz w:val="24"/>
          <w:szCs w:val="24"/>
        </w:rPr>
        <w:t>0KG</w:t>
      </w:r>
      <w:r>
        <w:rPr>
          <w:rFonts w:hint="eastAsia" w:ascii="宋体" w:hAnsi="宋体" w:eastAsia="宋体" w:cs="宋体"/>
          <w:sz w:val="24"/>
          <w:szCs w:val="24"/>
          <w:lang w:eastAsia="zh-CN"/>
        </w:rPr>
        <w:t>。</w:t>
      </w:r>
    </w:p>
    <w:p>
      <w:pPr>
        <w:pStyle w:val="44"/>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电动升降系统：控制产品升降的电动系统采用</w:t>
      </w:r>
      <w:r>
        <w:rPr>
          <w:rFonts w:hint="eastAsia" w:ascii="宋体" w:hAnsi="宋体" w:eastAsia="宋体" w:cs="宋体"/>
          <w:sz w:val="24"/>
          <w:szCs w:val="24"/>
          <w:lang w:eastAsia="zh-CN"/>
        </w:rPr>
        <w:t>上市品牌</w:t>
      </w:r>
      <w:r>
        <w:rPr>
          <w:rFonts w:hint="eastAsia" w:ascii="宋体" w:hAnsi="宋体" w:eastAsia="宋体" w:cs="宋体"/>
          <w:sz w:val="24"/>
          <w:szCs w:val="24"/>
        </w:rPr>
        <w:t>电机传动系统控制，具超低噪音，升降平稳，安全耐用及超强承重能力多项优点，每台电机可通过独立承重测试，灵活调节患者背部、腿部体位。</w:t>
      </w:r>
    </w:p>
    <w:p>
      <w:pPr>
        <w:pStyle w:val="44"/>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调节范围：</w:t>
      </w:r>
      <w:r>
        <w:rPr>
          <w:rFonts w:hint="eastAsia" w:ascii="宋体" w:hAnsi="宋体" w:eastAsia="宋体" w:cs="宋体"/>
          <w:sz w:val="24"/>
          <w:szCs w:val="24"/>
          <w:lang w:val="en-US" w:eastAsia="zh-CN"/>
        </w:rPr>
        <w:t>背部上升</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rPr>
        <w:t>8</w:t>
      </w:r>
      <w:r>
        <w:rPr>
          <w:rFonts w:hint="eastAsia" w:ascii="宋体" w:hAnsi="宋体" w:eastAsia="宋体" w:cs="宋体"/>
          <w:sz w:val="24"/>
          <w:szCs w:val="24"/>
          <w:lang w:val="en-US" w:eastAsia="zh-CN"/>
        </w:rPr>
        <w:t>5(</w:t>
      </w:r>
      <w:r>
        <w:rPr>
          <w:rFonts w:hint="eastAsia" w:ascii="宋体" w:hAnsi="宋体" w:eastAsia="宋体" w:cs="宋体"/>
          <w:sz w:val="24"/>
          <w:szCs w:val="24"/>
        </w:rPr>
        <w:t>±5゜</w:t>
      </w:r>
      <w:r>
        <w:rPr>
          <w:rFonts w:hint="eastAsia" w:ascii="宋体" w:hAnsi="宋体" w:eastAsia="宋体" w:cs="宋体"/>
          <w:sz w:val="24"/>
          <w:szCs w:val="24"/>
          <w:lang w:val="en-US" w:eastAsia="zh-CN"/>
        </w:rPr>
        <w:t>)、腿部上升</w:t>
      </w:r>
      <w:r>
        <w:rPr>
          <w:rFonts w:hint="eastAsia" w:ascii="宋体" w:hAnsi="宋体" w:eastAsia="宋体" w:cs="宋体"/>
          <w:sz w:val="24"/>
          <w:szCs w:val="24"/>
        </w:rPr>
        <w:t>0゜—45゜</w:t>
      </w:r>
      <w:r>
        <w:rPr>
          <w:rFonts w:hint="eastAsia" w:ascii="宋体" w:hAnsi="宋体" w:eastAsia="宋体" w:cs="宋体"/>
          <w:sz w:val="24"/>
          <w:szCs w:val="24"/>
          <w:lang w:val="en-US"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)、高低升降460mm</w:t>
      </w:r>
      <w:r>
        <w:rPr>
          <w:rFonts w:hint="eastAsia" w:ascii="宋体" w:hAnsi="宋体" w:eastAsia="宋体" w:cs="宋体"/>
          <w:sz w:val="24"/>
          <w:szCs w:val="24"/>
        </w:rPr>
        <w:t>—</w:t>
      </w:r>
      <w:r>
        <w:rPr>
          <w:rFonts w:hint="eastAsia" w:ascii="宋体" w:hAnsi="宋体" w:eastAsia="宋体" w:cs="宋体"/>
          <w:sz w:val="24"/>
          <w:szCs w:val="24"/>
          <w:lang w:val="en-US" w:eastAsia="zh-CN"/>
        </w:rPr>
        <w:t>760mm</w:t>
      </w:r>
    </w:p>
    <w:p>
      <w:pPr>
        <w:pStyle w:val="44"/>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功能：即</w:t>
      </w:r>
      <w:r>
        <w:rPr>
          <w:rFonts w:hint="eastAsia" w:ascii="宋体" w:hAnsi="宋体" w:eastAsia="宋体" w:cs="宋体"/>
          <w:sz w:val="24"/>
          <w:szCs w:val="24"/>
          <w:lang w:val="en-US" w:eastAsia="zh-CN"/>
        </w:rPr>
        <w:t>背部升降、腿部升降、高低升降。</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*5、床体配备手动CPR功能，配合医疗急救的需要，床面于任何功能角度均可快速放平，以利于CPR的进行。</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*6、床身自带滚珠式角度显示器，方便医护人员确认。</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床面板具多孔设计，防滑透气，整体补强设计，采用双支撑式升降结构，背部</w:t>
      </w:r>
      <w:r>
        <w:rPr>
          <w:rFonts w:hint="eastAsia" w:ascii="宋体" w:hAnsi="宋体" w:eastAsia="宋体" w:cs="宋体"/>
          <w:sz w:val="24"/>
          <w:szCs w:val="24"/>
          <w:lang w:val="en-US" w:eastAsia="zh-CN"/>
        </w:rPr>
        <w:t>上升时，能有效降低长期卧床病人患褥疮的可能性，防止体位下移。</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8、该床配备手持遥控器，方便医护人员操作。</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床底左右前后应具备引流尿袋挂钩</w:t>
      </w:r>
      <w:r>
        <w:rPr>
          <w:rFonts w:hint="eastAsia" w:ascii="宋体" w:hAnsi="宋体" w:eastAsia="宋体" w:cs="宋体"/>
          <w:b/>
          <w:bCs/>
          <w:sz w:val="24"/>
          <w:szCs w:val="24"/>
          <w:u w:val="single"/>
          <w:lang w:val="en-US" w:eastAsia="zh-CN"/>
        </w:rPr>
        <w:t>4个</w:t>
      </w:r>
      <w:r>
        <w:rPr>
          <w:rFonts w:hint="eastAsia" w:ascii="宋体" w:hAnsi="宋体" w:eastAsia="宋体" w:cs="宋体"/>
          <w:sz w:val="24"/>
          <w:szCs w:val="24"/>
        </w:rPr>
        <w:t>和点滴架插孔</w:t>
      </w:r>
      <w:r>
        <w:rPr>
          <w:rFonts w:hint="eastAsia" w:ascii="宋体" w:hAnsi="宋体" w:eastAsia="宋体" w:cs="宋体"/>
          <w:b/>
          <w:bCs/>
          <w:sz w:val="24"/>
          <w:szCs w:val="24"/>
          <w:u w:val="single"/>
          <w:lang w:val="en-US" w:eastAsia="zh-CN"/>
        </w:rPr>
        <w:t>4个</w:t>
      </w:r>
      <w:r>
        <w:rPr>
          <w:rFonts w:hint="eastAsia" w:ascii="宋体" w:hAnsi="宋体" w:eastAsia="宋体" w:cs="宋体"/>
          <w:sz w:val="24"/>
          <w:szCs w:val="24"/>
        </w:rPr>
        <w:t>。</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材质</w:t>
      </w:r>
      <w:r>
        <w:rPr>
          <w:rFonts w:hint="eastAsia" w:ascii="宋体" w:hAnsi="宋体" w:eastAsia="宋体" w:cs="宋体"/>
          <w:b/>
          <w:bCs/>
          <w:sz w:val="24"/>
          <w:szCs w:val="24"/>
          <w:lang w:val="en-US" w:eastAsia="zh-CN"/>
        </w:rPr>
        <w:t>说明</w:t>
      </w:r>
      <w:r>
        <w:rPr>
          <w:rFonts w:hint="eastAsia" w:ascii="宋体" w:hAnsi="宋体" w:eastAsia="宋体" w:cs="宋体"/>
          <w:b/>
          <w:bCs/>
          <w:sz w:val="24"/>
          <w:szCs w:val="24"/>
        </w:rPr>
        <w:t>：</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0000FF"/>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床架主梁采用</w:t>
      </w:r>
      <w:r>
        <w:rPr>
          <w:rFonts w:hint="eastAsia" w:ascii="宋体" w:hAnsi="宋体" w:eastAsia="宋体" w:cs="宋体"/>
          <w:sz w:val="24"/>
          <w:szCs w:val="24"/>
          <w:lang w:val="en-US" w:eastAsia="zh-CN"/>
        </w:rPr>
        <w:t>3</w:t>
      </w: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0×1.</w:t>
      </w:r>
      <w:r>
        <w:rPr>
          <w:rFonts w:hint="eastAsia" w:ascii="宋体" w:hAnsi="宋体" w:eastAsia="宋体" w:cs="宋体"/>
          <w:sz w:val="24"/>
          <w:szCs w:val="24"/>
          <w:lang w:val="en-US" w:eastAsia="zh-CN"/>
        </w:rPr>
        <w:t>7</w:t>
      </w:r>
      <w:r>
        <w:rPr>
          <w:rFonts w:hint="eastAsia" w:ascii="宋体" w:hAnsi="宋体" w:eastAsia="宋体" w:cs="宋体"/>
          <w:sz w:val="24"/>
          <w:szCs w:val="24"/>
        </w:rPr>
        <w:t>MM优质冷轧钢管.整体牢固耐用,坚固防腐</w:t>
      </w:r>
      <w:r>
        <w:rPr>
          <w:rFonts w:hint="eastAsia" w:ascii="宋体" w:hAnsi="宋体" w:eastAsia="宋体" w:cs="宋体"/>
          <w:b w:val="0"/>
          <w:bCs w:val="0"/>
          <w:color w:val="auto"/>
          <w:sz w:val="24"/>
          <w:szCs w:val="24"/>
          <w:shd w:val="clear" w:color="auto" w:fill="auto"/>
        </w:rPr>
        <w:t>。</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床头尾板采用ABS工程塑料，一次性注塑成型，</w:t>
      </w:r>
      <w:r>
        <w:rPr>
          <w:rFonts w:hint="eastAsia" w:ascii="宋体" w:hAnsi="宋体" w:eastAsia="宋体" w:cs="宋体"/>
          <w:sz w:val="24"/>
          <w:szCs w:val="24"/>
          <w:lang w:val="en-US" w:eastAsia="zh-CN"/>
        </w:rPr>
        <w:t>易于清洁，人体工学推送把手，方便推送，</w:t>
      </w:r>
      <w:r>
        <w:rPr>
          <w:rFonts w:hint="eastAsia" w:ascii="宋体" w:hAnsi="宋体" w:eastAsia="宋体" w:cs="宋体"/>
          <w:b w:val="0"/>
          <w:bCs w:val="0"/>
          <w:color w:val="auto"/>
          <w:sz w:val="24"/>
          <w:szCs w:val="24"/>
          <w:shd w:val="clear" w:color="auto" w:fill="auto"/>
          <w:lang w:val="en-US" w:eastAsia="zh-CN"/>
        </w:rPr>
        <w:t>紧急进行时可快速拆卸取下，床头床尾的左右各配有两个防撞轮，防止病床在推动时碰撞，</w:t>
      </w:r>
      <w:r>
        <w:rPr>
          <w:rFonts w:hint="eastAsia" w:ascii="宋体" w:hAnsi="宋体" w:eastAsia="宋体" w:cs="宋体"/>
          <w:b w:val="0"/>
          <w:bCs w:val="0"/>
          <w:color w:val="auto"/>
          <w:sz w:val="24"/>
          <w:szCs w:val="24"/>
          <w:shd w:val="clear" w:color="auto" w:fill="auto"/>
        </w:rPr>
        <w:t>满足</w:t>
      </w:r>
      <w:r>
        <w:rPr>
          <w:rFonts w:hint="eastAsia" w:ascii="宋体" w:hAnsi="宋体" w:eastAsia="宋体" w:cs="宋体"/>
          <w:b w:val="0"/>
          <w:bCs w:val="0"/>
          <w:color w:val="auto"/>
          <w:sz w:val="24"/>
          <w:szCs w:val="24"/>
          <w:shd w:val="clear" w:color="auto" w:fill="auto"/>
          <w:lang w:val="en-US" w:eastAsia="zh-CN"/>
        </w:rPr>
        <w:t>医护人员的</w:t>
      </w:r>
      <w:r>
        <w:rPr>
          <w:rFonts w:hint="eastAsia" w:ascii="宋体" w:hAnsi="宋体" w:eastAsia="宋体" w:cs="宋体"/>
          <w:b w:val="0"/>
          <w:bCs w:val="0"/>
          <w:color w:val="auto"/>
          <w:sz w:val="24"/>
          <w:szCs w:val="24"/>
          <w:shd w:val="clear" w:color="auto" w:fill="auto"/>
        </w:rPr>
        <w:t>临床急救需求</w:t>
      </w:r>
      <w:r>
        <w:rPr>
          <w:rFonts w:hint="eastAsia" w:ascii="宋体" w:hAnsi="宋体" w:eastAsia="宋体" w:cs="宋体"/>
          <w:sz w:val="24"/>
          <w:szCs w:val="24"/>
          <w:lang w:eastAsia="zh-CN"/>
        </w:rPr>
        <w:t>。</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床框</w:t>
      </w:r>
      <w:r>
        <w:rPr>
          <w:rFonts w:hint="eastAsia" w:ascii="宋体" w:hAnsi="宋体" w:eastAsia="宋体" w:cs="宋体"/>
          <w:sz w:val="24"/>
          <w:szCs w:val="24"/>
          <w:lang w:val="en-US" w:eastAsia="zh-CN"/>
        </w:rPr>
        <w:t>两</w:t>
      </w:r>
      <w:r>
        <w:rPr>
          <w:rFonts w:hint="eastAsia" w:ascii="宋体" w:hAnsi="宋体" w:eastAsia="宋体" w:cs="宋体"/>
          <w:sz w:val="24"/>
          <w:szCs w:val="24"/>
        </w:rPr>
        <w:t>侧配备豪华</w:t>
      </w:r>
      <w:r>
        <w:rPr>
          <w:rFonts w:hint="eastAsia" w:ascii="宋体" w:hAnsi="宋体" w:eastAsia="宋体" w:cs="宋体"/>
          <w:sz w:val="24"/>
          <w:szCs w:val="24"/>
          <w:lang w:val="en-US" w:eastAsia="zh-CN"/>
        </w:rPr>
        <w:t>分体式升降</w:t>
      </w:r>
      <w:r>
        <w:rPr>
          <w:rFonts w:hint="eastAsia" w:ascii="宋体" w:hAnsi="宋体" w:eastAsia="宋体" w:cs="宋体"/>
          <w:sz w:val="24"/>
          <w:szCs w:val="24"/>
        </w:rPr>
        <w:t>四片护栏，</w:t>
      </w:r>
      <w:r>
        <w:rPr>
          <w:rFonts w:hint="eastAsia" w:ascii="宋体" w:hAnsi="宋体" w:eastAsia="宋体" w:cs="宋体"/>
          <w:sz w:val="24"/>
          <w:szCs w:val="24"/>
          <w:lang w:val="en-US" w:eastAsia="zh-CN"/>
        </w:rPr>
        <w:t>符合IEC60601-2-52安全标准的新型分体式升降护栏，前片和后片护栏间隙缩小（间隙不大于8公分），无需配备护栏挡板，可随床体的功能同时动作，最大限度的保护患者的安全，</w:t>
      </w:r>
      <w:r>
        <w:rPr>
          <w:rFonts w:hint="eastAsia" w:ascii="宋体" w:hAnsi="宋体" w:eastAsia="宋体" w:cs="宋体"/>
          <w:sz w:val="24"/>
          <w:szCs w:val="24"/>
        </w:rPr>
        <w:t>整体高档，使用方便，美观大方。</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sz w:val="24"/>
          <w:szCs w:val="24"/>
        </w:rPr>
      </w:pPr>
      <w:r>
        <w:rPr>
          <w:rFonts w:hint="eastAsia" w:ascii="宋体" w:hAnsi="宋体" w:eastAsia="宋体" w:cs="宋体"/>
          <w:sz w:val="24"/>
          <w:szCs w:val="24"/>
          <w:lang w:val="en-US" w:eastAsia="zh-CN"/>
        </w:rPr>
        <w:t>*4</w:t>
      </w:r>
      <w:r>
        <w:rPr>
          <w:rFonts w:hint="eastAsia" w:ascii="宋体" w:hAnsi="宋体" w:eastAsia="宋体" w:cs="宋体"/>
          <w:bCs/>
          <w:sz w:val="24"/>
          <w:szCs w:val="24"/>
        </w:rPr>
        <w:t>、</w:t>
      </w:r>
      <w:r>
        <w:rPr>
          <w:rFonts w:hint="eastAsia" w:ascii="宋体" w:hAnsi="宋体" w:eastAsia="宋体" w:cs="宋体"/>
          <w:b/>
          <w:bCs/>
          <w:sz w:val="24"/>
          <w:szCs w:val="24"/>
        </w:rPr>
        <w:t>床面</w:t>
      </w:r>
      <w:r>
        <w:rPr>
          <w:rFonts w:hint="eastAsia" w:ascii="宋体" w:hAnsi="宋体" w:eastAsia="宋体" w:cs="宋体"/>
          <w:sz w:val="24"/>
          <w:szCs w:val="24"/>
        </w:rPr>
        <w:t>板采用碳钢金属S1.2MM厚的优质冷轧钢板经整板一次性机压冲孔成型，孔状为条形方孔，冲孔面板共分十块,该十块面板再经1890MM长的ABS工程塑料全包边分四部位加固而成，床面整体透气防滑,美观耐用，床体防撞防锈，有效防治褥疮，透气防湿。</w:t>
      </w:r>
      <w:r>
        <w:rPr>
          <w:rFonts w:hint="eastAsia" w:ascii="宋体" w:hAnsi="宋体" w:eastAsia="宋体" w:cs="宋体"/>
          <w:sz w:val="24"/>
          <w:szCs w:val="24"/>
          <w:lang w:eastAsia="zh-CN"/>
        </w:rPr>
        <w:t>背部采用</w:t>
      </w:r>
      <w:r>
        <w:rPr>
          <w:rFonts w:hint="eastAsia" w:ascii="宋体" w:hAnsi="宋体" w:eastAsia="宋体" w:cs="宋体"/>
          <w:b/>
          <w:bCs/>
          <w:sz w:val="24"/>
          <w:szCs w:val="24"/>
          <w:lang w:val="en-US" w:eastAsia="zh-CN"/>
        </w:rPr>
        <w:t>“V”型</w:t>
      </w:r>
      <w:r>
        <w:rPr>
          <w:rFonts w:hint="eastAsia" w:ascii="宋体" w:hAnsi="宋体" w:eastAsia="宋体" w:cs="宋体"/>
          <w:sz w:val="24"/>
          <w:szCs w:val="24"/>
          <w:lang w:val="en-US" w:eastAsia="zh-CN"/>
        </w:rPr>
        <w:t>双支撑卸力结构，均匀分散压力，增强背部板的安全性能。</w:t>
      </w:r>
      <w:r>
        <w:rPr>
          <w:rFonts w:hint="eastAsia" w:ascii="宋体" w:hAnsi="宋体" w:eastAsia="宋体" w:cs="宋体"/>
          <w:sz w:val="24"/>
          <w:szCs w:val="24"/>
        </w:rPr>
        <w:t>床面腿板带升降齿条装置，有效保证在摇杆不工作状态下的腿部升降操作功能，并有效防止床垫移位。</w:t>
      </w:r>
    </w:p>
    <w:p>
      <w:pPr>
        <w:pStyle w:val="12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控制整床移动功能的脚轮选用5寸</w:t>
      </w:r>
      <w:r>
        <w:rPr>
          <w:rFonts w:hint="eastAsia" w:ascii="宋体" w:hAnsi="宋体" w:eastAsia="宋体" w:cs="宋体"/>
          <w:sz w:val="24"/>
          <w:szCs w:val="24"/>
          <w:lang w:val="en-US" w:eastAsia="zh-CN"/>
        </w:rPr>
        <w:t>医用双面轮，具有锁定、自由、定向中央控制装置，</w:t>
      </w:r>
      <w:r>
        <w:rPr>
          <w:rFonts w:hint="eastAsia" w:ascii="宋体" w:hAnsi="宋体" w:eastAsia="宋体" w:cs="宋体"/>
          <w:sz w:val="24"/>
          <w:szCs w:val="24"/>
          <w:vertAlign w:val="baseline"/>
          <w:lang w:val="en-US" w:eastAsia="zh-CN"/>
        </w:rPr>
        <w:t>，插杆式固定设计，高支撑力，耐撞击、不易断；双面结构，双边抓地，稳固牢靠。灵巧操作；轮面采用 TPR 耐磨材料，专业品质，静音耐磨；内置全封闭自润滑轴承，防水、防异物 卷入，永不生锈；能经水洗和高温消毒，不生锈。</w:t>
      </w:r>
      <w:r>
        <w:rPr>
          <w:rFonts w:hint="eastAsia" w:ascii="宋体" w:hAnsi="宋体" w:eastAsia="宋体" w:cs="宋体"/>
          <w:color w:val="FF0000"/>
          <w:sz w:val="24"/>
          <w:szCs w:val="24"/>
        </w:rPr>
        <w:t>投标时提供</w:t>
      </w:r>
      <w:r>
        <w:rPr>
          <w:rFonts w:hint="eastAsia" w:ascii="宋体" w:hAnsi="宋体" w:eastAsia="宋体" w:cs="宋体"/>
          <w:color w:val="FF0000"/>
          <w:sz w:val="24"/>
          <w:szCs w:val="24"/>
          <w:lang w:eastAsia="zh-CN"/>
        </w:rPr>
        <w:t>省级检测</w:t>
      </w:r>
      <w:r>
        <w:rPr>
          <w:rFonts w:hint="eastAsia" w:ascii="宋体" w:hAnsi="宋体" w:eastAsia="宋体" w:cs="宋体"/>
          <w:color w:val="FF0000"/>
          <w:sz w:val="24"/>
          <w:szCs w:val="24"/>
        </w:rPr>
        <w:t>机构出具</w:t>
      </w:r>
      <w:r>
        <w:rPr>
          <w:rFonts w:hint="eastAsia" w:ascii="宋体" w:hAnsi="宋体" w:eastAsia="宋体" w:cs="宋体"/>
          <w:color w:val="FF0000"/>
          <w:sz w:val="24"/>
          <w:szCs w:val="24"/>
          <w:lang w:eastAsia="zh-CN"/>
        </w:rPr>
        <w:t>脚轮</w:t>
      </w:r>
      <w:r>
        <w:rPr>
          <w:rFonts w:hint="eastAsia" w:ascii="宋体" w:hAnsi="宋体" w:eastAsia="宋体" w:cs="宋体"/>
          <w:color w:val="FF0000"/>
          <w:sz w:val="24"/>
          <w:szCs w:val="24"/>
        </w:rPr>
        <w:t>检</w:t>
      </w:r>
      <w:r>
        <w:rPr>
          <w:rFonts w:hint="eastAsia" w:ascii="宋体" w:hAnsi="宋体" w:eastAsia="宋体" w:cs="宋体"/>
          <w:color w:val="FF0000"/>
          <w:sz w:val="24"/>
          <w:szCs w:val="24"/>
          <w:lang w:eastAsia="zh-CN"/>
        </w:rPr>
        <w:t>验</w:t>
      </w:r>
      <w:r>
        <w:rPr>
          <w:rFonts w:hint="eastAsia" w:ascii="宋体" w:hAnsi="宋体" w:eastAsia="宋体" w:cs="宋体"/>
          <w:color w:val="FF0000"/>
          <w:sz w:val="24"/>
          <w:szCs w:val="24"/>
        </w:rPr>
        <w:t>报告</w:t>
      </w:r>
      <w:r>
        <w:rPr>
          <w:rFonts w:hint="eastAsia" w:ascii="宋体" w:hAnsi="宋体" w:cs="宋体"/>
          <w:color w:val="FF0000"/>
          <w:sz w:val="24"/>
          <w:szCs w:val="24"/>
          <w:lang w:eastAsia="zh-CN"/>
        </w:rPr>
        <w:t>真彩扫描打印件</w:t>
      </w:r>
      <w:r>
        <w:rPr>
          <w:rFonts w:hint="eastAsia" w:ascii="宋体" w:hAnsi="宋体" w:eastAsia="宋体" w:cs="宋体"/>
          <w:color w:val="FF0000"/>
          <w:sz w:val="24"/>
          <w:szCs w:val="24"/>
        </w:rPr>
        <w:t>。</w:t>
      </w:r>
    </w:p>
    <w:p>
      <w:pPr>
        <w:pStyle w:val="44"/>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整床金属表面处理采用脱脂除油、清洗、酸洗去锈、清洗、中和处理、表面处理、磷化处理、清洗、烘干、静电粉沫喷涂、高温烘烤固化等十一道工序经全自动喷涂线而成，涂面覆着力强，平整光亮，耐腐蚀。表面粉体涂料，高温喷涂后为米黄色。</w:t>
      </w:r>
    </w:p>
    <w:p>
      <w:pPr>
        <w:pStyle w:val="125"/>
        <w:keepNext w:val="0"/>
        <w:keepLines w:val="0"/>
        <w:pageBreakBefore w:val="0"/>
        <w:widowControl w:val="0"/>
        <w:numPr>
          <w:ilvl w:val="0"/>
          <w:numId w:val="6"/>
        </w:numPr>
        <w:kinsoku/>
        <w:wordWrap/>
        <w:overflowPunct/>
        <w:topLinePunct w:val="0"/>
        <w:autoSpaceDE/>
        <w:autoSpaceDN/>
        <w:bidi w:val="0"/>
        <w:adjustRightInd/>
        <w:snapToGrid/>
        <w:spacing w:line="400" w:lineRule="exact"/>
        <w:ind w:left="600" w:right="0" w:rightChars="0" w:hanging="600" w:hangingChars="2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颜色：床头床尾主体颜色为淡天蓝色</w:t>
      </w:r>
      <w:r>
        <w:rPr>
          <w:rFonts w:hint="eastAsia" w:ascii="宋体" w:hAnsi="宋体" w:eastAsia="宋体" w:cs="宋体"/>
          <w:sz w:val="24"/>
          <w:szCs w:val="24"/>
          <w:lang w:eastAsia="zh-CN"/>
        </w:rPr>
        <w:t>（颜色可选）</w:t>
      </w:r>
      <w:r>
        <w:rPr>
          <w:rFonts w:hint="eastAsia" w:ascii="宋体" w:hAnsi="宋体" w:eastAsia="宋体" w:cs="宋体"/>
          <w:sz w:val="24"/>
          <w:szCs w:val="24"/>
        </w:rPr>
        <w:t>，床体为米黄色，颜色协调，整体</w:t>
      </w:r>
    </w:p>
    <w:p>
      <w:pPr>
        <w:pStyle w:val="12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观高档</w:t>
      </w:r>
      <w:r>
        <w:rPr>
          <w:rFonts w:hint="eastAsia" w:ascii="宋体" w:hAnsi="宋体" w:eastAsia="宋体" w:cs="宋体"/>
          <w:sz w:val="24"/>
          <w:szCs w:val="24"/>
          <w:lang w:eastAsia="zh-CN"/>
        </w:rPr>
        <w:t>。</w:t>
      </w:r>
    </w:p>
    <w:p>
      <w:pPr>
        <w:pStyle w:val="125"/>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宋体" w:hAnsi="宋体" w:eastAsia="宋体" w:cs="宋体"/>
          <w:b w:val="0"/>
          <w:bCs w:val="0"/>
          <w:color w:val="FF0000"/>
          <w:sz w:val="24"/>
          <w:szCs w:val="24"/>
          <w:lang w:val="en-US" w:eastAsia="zh-CN"/>
        </w:rPr>
      </w:pPr>
      <w:r>
        <w:rPr>
          <w:rFonts w:hint="eastAsia" w:ascii="宋体" w:hAnsi="宋体" w:eastAsia="宋体" w:cs="宋体"/>
          <w:bCs/>
          <w:sz w:val="24"/>
          <w:szCs w:val="24"/>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床垫：设计独特，按最新标准制作，高质量全新原装产品；产品规格：厚度80 ㎜，长宽依床体大小确定，医学专用床垫，外皮采用防水耐磨帆布。内层采用6公分蜂窝海棉加2公分椰棕，透气，便于临床护理及卫生清洁</w:t>
      </w:r>
      <w:r>
        <w:rPr>
          <w:rFonts w:hint="eastAsia" w:ascii="宋体" w:hAnsi="宋体" w:eastAsia="宋体" w:cs="宋体"/>
          <w:b w:val="0"/>
          <w:bCs w:val="0"/>
          <w:color w:val="auto"/>
          <w:sz w:val="24"/>
          <w:szCs w:val="24"/>
        </w:rPr>
        <w:t>。</w:t>
      </w:r>
      <w:r>
        <w:rPr>
          <w:rFonts w:hint="eastAsia" w:ascii="宋体" w:hAnsi="宋体" w:eastAsia="宋体" w:cs="宋体"/>
          <w:color w:val="FF0000"/>
          <w:sz w:val="24"/>
          <w:szCs w:val="24"/>
        </w:rPr>
        <w:t>投标时提供</w:t>
      </w:r>
      <w:r>
        <w:rPr>
          <w:rFonts w:hint="eastAsia" w:ascii="宋体" w:hAnsi="宋体" w:eastAsia="宋体" w:cs="宋体"/>
          <w:color w:val="FF0000"/>
          <w:sz w:val="24"/>
          <w:szCs w:val="24"/>
          <w:lang w:eastAsia="zh-CN"/>
        </w:rPr>
        <w:t>省级检测</w:t>
      </w:r>
      <w:r>
        <w:rPr>
          <w:rFonts w:hint="eastAsia" w:ascii="宋体" w:hAnsi="宋体" w:eastAsia="宋体" w:cs="宋体"/>
          <w:color w:val="FF0000"/>
          <w:sz w:val="24"/>
          <w:szCs w:val="24"/>
        </w:rPr>
        <w:t>机构出具</w:t>
      </w:r>
      <w:r>
        <w:rPr>
          <w:rFonts w:hint="eastAsia" w:ascii="宋体" w:hAnsi="宋体" w:eastAsia="宋体" w:cs="宋体"/>
          <w:color w:val="FF0000"/>
          <w:sz w:val="24"/>
          <w:szCs w:val="24"/>
          <w:lang w:eastAsia="zh-CN"/>
        </w:rPr>
        <w:t>床垫甲醛</w:t>
      </w:r>
      <w:r>
        <w:rPr>
          <w:rFonts w:hint="eastAsia" w:ascii="宋体" w:hAnsi="宋体" w:eastAsia="宋体" w:cs="宋体"/>
          <w:color w:val="FF0000"/>
          <w:sz w:val="24"/>
          <w:szCs w:val="24"/>
        </w:rPr>
        <w:t>检</w:t>
      </w:r>
      <w:r>
        <w:rPr>
          <w:rFonts w:hint="eastAsia" w:ascii="宋体" w:hAnsi="宋体" w:eastAsia="宋体" w:cs="宋体"/>
          <w:color w:val="FF0000"/>
          <w:sz w:val="24"/>
          <w:szCs w:val="24"/>
          <w:lang w:eastAsia="zh-CN"/>
        </w:rPr>
        <w:t>验</w:t>
      </w:r>
      <w:r>
        <w:rPr>
          <w:rFonts w:hint="eastAsia" w:ascii="宋体" w:hAnsi="宋体" w:eastAsia="宋体" w:cs="宋体"/>
          <w:color w:val="FF0000"/>
          <w:sz w:val="24"/>
          <w:szCs w:val="24"/>
        </w:rPr>
        <w:t>报告</w:t>
      </w:r>
      <w:r>
        <w:rPr>
          <w:rFonts w:hint="eastAsia" w:ascii="宋体" w:hAnsi="宋体" w:cs="宋体"/>
          <w:color w:val="FF0000"/>
          <w:sz w:val="24"/>
          <w:szCs w:val="24"/>
          <w:lang w:eastAsia="zh-CN"/>
        </w:rPr>
        <w:t>真彩扫描打印件</w:t>
      </w:r>
      <w:r>
        <w:rPr>
          <w:rFonts w:hint="eastAsia" w:ascii="宋体" w:hAnsi="宋体" w:cs="宋体"/>
          <w:color w:val="FF0000"/>
          <w:sz w:val="24"/>
          <w:szCs w:val="24"/>
          <w:lang w:val="en-US" w:eastAsia="zh-CN"/>
        </w:rPr>
        <w:t>.</w:t>
      </w:r>
    </w:p>
    <w:p>
      <w:pPr>
        <w:pStyle w:val="12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8" w:leftChars="0" w:right="0" w:rightChars="0" w:hanging="158" w:hangingChars="66"/>
        <w:jc w:val="both"/>
        <w:textAlignment w:val="auto"/>
        <w:outlineLvl w:val="9"/>
        <w:rPr>
          <w:rFonts w:hint="eastAsia" w:ascii="宋体" w:hAnsi="宋体" w:eastAsia="宋体" w:cs="宋体"/>
          <w:b w:val="0"/>
          <w:bCs w:val="0"/>
          <w:color w:val="FF0000"/>
          <w:sz w:val="24"/>
          <w:szCs w:val="24"/>
        </w:rPr>
      </w:pPr>
    </w:p>
    <w:bookmarkEnd w:id="28"/>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color w:val="FF0000"/>
          <w:kern w:val="0"/>
          <w:sz w:val="24"/>
          <w:szCs w:val="24"/>
          <w:lang w:val="en-US" w:eastAsia="zh-CN" w:bidi="ar"/>
        </w:rPr>
      </w:pPr>
      <w:r>
        <w:rPr>
          <w:rFonts w:hint="eastAsia" w:ascii="宋体" w:hAnsi="宋体" w:eastAsia="宋体" w:cs="宋体"/>
          <w:color w:val="auto"/>
          <w:sz w:val="24"/>
          <w:szCs w:val="24"/>
        </w:rPr>
        <w:t>所投</w:t>
      </w:r>
      <w:r>
        <w:rPr>
          <w:rFonts w:hint="eastAsia" w:ascii="宋体" w:hAnsi="宋体" w:eastAsia="宋体" w:cs="宋体"/>
          <w:color w:val="auto"/>
          <w:sz w:val="24"/>
          <w:szCs w:val="24"/>
          <w:lang w:val="en-US" w:eastAsia="zh-CN"/>
        </w:rPr>
        <w:t>产品的病床表面</w:t>
      </w:r>
      <w:r>
        <w:rPr>
          <w:rFonts w:hint="eastAsia" w:ascii="宋体" w:hAnsi="宋体" w:eastAsia="宋体" w:cs="宋体"/>
          <w:color w:val="auto"/>
          <w:sz w:val="24"/>
          <w:szCs w:val="24"/>
        </w:rPr>
        <w:t>喷涂粉末涂料须达到抗菌、防霉、环保、无毒无害的效果，其中的有害物质限量优于国家标准：可溶性铅含量不高于</w:t>
      </w:r>
      <w:r>
        <w:rPr>
          <w:rFonts w:hint="eastAsia" w:ascii="宋体" w:hAnsi="宋体" w:cs="宋体"/>
          <w:color w:val="auto"/>
          <w:sz w:val="24"/>
          <w:szCs w:val="24"/>
          <w:lang w:val="en-US" w:eastAsia="zh-CN"/>
        </w:rPr>
        <w:t>0.4</w:t>
      </w:r>
      <w:r>
        <w:rPr>
          <w:rFonts w:hint="eastAsia" w:ascii="宋体" w:hAnsi="宋体" w:eastAsia="宋体" w:cs="宋体"/>
          <w:color w:val="auto"/>
          <w:sz w:val="24"/>
          <w:szCs w:val="24"/>
        </w:rPr>
        <w:t>mg/Kg、可溶性铬含量不高于</w:t>
      </w:r>
      <w:r>
        <w:rPr>
          <w:rFonts w:hint="eastAsia" w:ascii="宋体" w:hAnsi="宋体" w:cs="宋体"/>
          <w:color w:val="auto"/>
          <w:sz w:val="24"/>
          <w:szCs w:val="24"/>
          <w:lang w:val="en-US" w:eastAsia="zh-CN"/>
        </w:rPr>
        <w:t>0.4</w:t>
      </w:r>
      <w:r>
        <w:rPr>
          <w:rFonts w:hint="eastAsia" w:ascii="宋体" w:hAnsi="宋体" w:eastAsia="宋体" w:cs="宋体"/>
          <w:color w:val="auto"/>
          <w:sz w:val="24"/>
          <w:szCs w:val="24"/>
        </w:rPr>
        <w:t>mg/Kg、可溶性汞含量不高于0.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mg/Kg</w:t>
      </w:r>
      <w:r>
        <w:rPr>
          <w:rFonts w:hint="eastAsia" w:ascii="宋体" w:hAnsi="宋体" w:eastAsia="宋体" w:cs="宋体"/>
          <w:color w:val="auto"/>
          <w:sz w:val="24"/>
          <w:szCs w:val="24"/>
          <w:lang w:eastAsia="zh-CN"/>
        </w:rPr>
        <w:t>，</w:t>
      </w:r>
      <w:r>
        <w:rPr>
          <w:rFonts w:hint="eastAsia" w:ascii="宋体" w:hAnsi="宋体" w:eastAsia="宋体" w:cs="宋体"/>
          <w:b w:val="0"/>
          <w:bCs w:val="0"/>
          <w:color w:val="FF0000"/>
          <w:kern w:val="0"/>
          <w:sz w:val="24"/>
          <w:szCs w:val="24"/>
          <w:lang w:val="en-US" w:eastAsia="zh-CN" w:bidi="ar"/>
        </w:rPr>
        <w:t>提供</w:t>
      </w:r>
      <w:r>
        <w:rPr>
          <w:rFonts w:hint="eastAsia" w:ascii="宋体" w:hAnsi="宋体" w:cs="宋体"/>
          <w:b w:val="0"/>
          <w:bCs w:val="0"/>
          <w:color w:val="FF0000"/>
          <w:sz w:val="24"/>
          <w:szCs w:val="24"/>
          <w:lang w:eastAsia="zh-CN"/>
        </w:rPr>
        <w:t>省级检测</w:t>
      </w:r>
      <w:r>
        <w:rPr>
          <w:rFonts w:hint="eastAsia" w:ascii="宋体" w:hAnsi="宋体" w:cs="宋体"/>
          <w:b w:val="0"/>
          <w:bCs w:val="0"/>
          <w:color w:val="FF0000"/>
          <w:sz w:val="24"/>
          <w:szCs w:val="24"/>
        </w:rPr>
        <w:t>机构出具</w:t>
      </w:r>
      <w:r>
        <w:rPr>
          <w:rFonts w:hint="eastAsia" w:ascii="宋体" w:hAnsi="宋体" w:eastAsia="宋体" w:cs="宋体"/>
          <w:b w:val="0"/>
          <w:bCs w:val="0"/>
          <w:color w:val="FF0000"/>
          <w:kern w:val="0"/>
          <w:sz w:val="24"/>
          <w:szCs w:val="24"/>
          <w:lang w:val="en-US" w:eastAsia="zh-CN" w:bidi="ar"/>
        </w:rPr>
        <w:t>检验报告</w:t>
      </w:r>
      <w:r>
        <w:rPr>
          <w:rFonts w:hint="eastAsia" w:ascii="宋体" w:hAnsi="宋体" w:cs="宋体"/>
          <w:color w:val="FF0000"/>
          <w:sz w:val="24"/>
          <w:szCs w:val="24"/>
          <w:lang w:eastAsia="zh-CN"/>
        </w:rPr>
        <w:t>真彩扫描打印件</w:t>
      </w:r>
      <w:r>
        <w:rPr>
          <w:rFonts w:hint="eastAsia" w:ascii="宋体" w:hAnsi="宋体" w:eastAsia="宋体" w:cs="宋体"/>
          <w:b w:val="0"/>
          <w:bCs w:val="0"/>
          <w:color w:val="FF0000"/>
          <w:kern w:val="0"/>
          <w:sz w:val="24"/>
          <w:szCs w:val="24"/>
          <w:lang w:val="en-US" w:eastAsia="zh-CN" w:bidi="ar"/>
        </w:rPr>
        <w:t>。</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0" w:firstLineChars="0"/>
        <w:textAlignment w:val="auto"/>
        <w:rPr>
          <w:rFonts w:hint="eastAsia"/>
          <w:sz w:val="24"/>
          <w:szCs w:val="24"/>
          <w:lang w:eastAsia="zh-CN"/>
        </w:rPr>
      </w:pPr>
      <w:r>
        <w:rPr>
          <w:rFonts w:hint="eastAsia" w:ascii="宋体" w:hAnsi="宋体" w:eastAsia="宋体" w:cs="宋体"/>
          <w:color w:val="auto"/>
          <w:sz w:val="24"/>
          <w:szCs w:val="24"/>
        </w:rPr>
        <w:t>所投</w:t>
      </w:r>
      <w:r>
        <w:rPr>
          <w:rFonts w:hint="eastAsia" w:ascii="宋体" w:hAnsi="宋体" w:eastAsia="宋体" w:cs="宋体"/>
          <w:color w:val="auto"/>
          <w:sz w:val="24"/>
          <w:szCs w:val="24"/>
          <w:lang w:val="en-US" w:eastAsia="zh-CN"/>
        </w:rPr>
        <w:t>病床均</w:t>
      </w:r>
      <w:r>
        <w:rPr>
          <w:rFonts w:hint="eastAsia" w:ascii="宋体" w:hAnsi="宋体" w:eastAsia="宋体" w:cs="宋体"/>
          <w:color w:val="auto"/>
          <w:sz w:val="24"/>
          <w:szCs w:val="24"/>
        </w:rPr>
        <w:t>采用机器人焊接设备焊接成形，具有焊接质量稳定，使每个焊接程序做到精确无误，确保了产品品质，达到产品质量的均一性，保证了稳定的焊接质量及美观的焊缝成型。</w:t>
      </w:r>
      <w:r>
        <w:rPr>
          <w:rFonts w:hint="eastAsia" w:ascii="宋体" w:hAnsi="宋体" w:eastAsia="宋体" w:cs="宋体"/>
          <w:color w:val="FF0000"/>
          <w:sz w:val="24"/>
          <w:szCs w:val="24"/>
          <w:lang w:eastAsia="zh-CN"/>
        </w:rPr>
        <w:t>并</w:t>
      </w:r>
      <w:r>
        <w:rPr>
          <w:rFonts w:hint="eastAsia" w:ascii="宋体" w:hAnsi="宋体" w:eastAsia="宋体" w:cs="宋体"/>
          <w:color w:val="FF0000"/>
          <w:sz w:val="24"/>
          <w:szCs w:val="24"/>
        </w:rPr>
        <w:t>提供焊接机器人设备购买合同</w:t>
      </w:r>
      <w:r>
        <w:rPr>
          <w:rFonts w:hint="eastAsia" w:ascii="宋体" w:hAnsi="宋体" w:cs="宋体"/>
          <w:color w:val="FF0000"/>
          <w:sz w:val="24"/>
          <w:szCs w:val="24"/>
          <w:lang w:eastAsia="zh-CN"/>
        </w:rPr>
        <w:t>真彩扫描打印件</w:t>
      </w:r>
      <w:r>
        <w:rPr>
          <w:rFonts w:hint="eastAsia" w:ascii="宋体" w:hAnsi="宋体" w:eastAsia="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所投</w:t>
      </w:r>
      <w:r>
        <w:rPr>
          <w:rFonts w:hint="eastAsia" w:ascii="宋体" w:hAnsi="宋体" w:eastAsia="宋体" w:cs="宋体"/>
          <w:color w:val="auto"/>
          <w:sz w:val="24"/>
          <w:szCs w:val="24"/>
          <w:lang w:val="en-US" w:eastAsia="zh-CN"/>
        </w:rPr>
        <w:t>病床面板</w:t>
      </w:r>
      <w:r>
        <w:rPr>
          <w:rFonts w:hint="eastAsia" w:ascii="宋体" w:hAnsi="宋体" w:eastAsia="宋体" w:cs="宋体"/>
          <w:color w:val="auto"/>
          <w:sz w:val="24"/>
          <w:szCs w:val="24"/>
        </w:rPr>
        <w:t>均采用高科技激光切割技术，具有精度高、速度快、切缝窄，切出来的表面光滑无毛刺，保证了</w:t>
      </w:r>
      <w:r>
        <w:rPr>
          <w:rFonts w:hint="eastAsia" w:ascii="宋体" w:hAnsi="宋体" w:eastAsia="宋体" w:cs="宋体"/>
          <w:color w:val="auto"/>
          <w:sz w:val="24"/>
          <w:szCs w:val="24"/>
          <w:lang w:val="en-US" w:eastAsia="zh-CN"/>
        </w:rPr>
        <w:t>床面</w:t>
      </w:r>
      <w:r>
        <w:rPr>
          <w:rFonts w:hint="eastAsia" w:ascii="宋体" w:hAnsi="宋体" w:eastAsia="宋体" w:cs="宋体"/>
          <w:color w:val="auto"/>
          <w:sz w:val="24"/>
          <w:szCs w:val="24"/>
        </w:rPr>
        <w:t>板</w:t>
      </w:r>
      <w:r>
        <w:rPr>
          <w:rFonts w:hint="eastAsia" w:ascii="宋体" w:hAnsi="宋体" w:eastAsia="宋体" w:cs="宋体"/>
          <w:color w:val="auto"/>
          <w:sz w:val="24"/>
          <w:szCs w:val="24"/>
          <w:lang w:val="en-US" w:eastAsia="zh-CN"/>
        </w:rPr>
        <w:t>的</w:t>
      </w:r>
      <w:r>
        <w:rPr>
          <w:rFonts w:hint="eastAsia" w:ascii="宋体" w:hAnsi="宋体" w:eastAsia="宋体" w:cs="宋体"/>
          <w:color w:val="auto"/>
          <w:kern w:val="0"/>
          <w:sz w:val="24"/>
          <w:szCs w:val="24"/>
          <w:shd w:val="clear" w:color="auto" w:fill="FFFFFF"/>
          <w:lang w:bidi="ar"/>
        </w:rPr>
        <w:t>精细切割</w:t>
      </w:r>
      <w:r>
        <w:rPr>
          <w:rFonts w:hint="eastAsia" w:ascii="宋体" w:hAnsi="宋体" w:eastAsia="宋体" w:cs="宋体"/>
          <w:color w:val="auto"/>
          <w:sz w:val="24"/>
          <w:szCs w:val="24"/>
        </w:rPr>
        <w:t>，切口断面光滑平整，成型产品整体美观、大方</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auto"/>
          <w:sz w:val="24"/>
          <w:szCs w:val="24"/>
        </w:rPr>
        <w:t>提</w:t>
      </w:r>
      <w:r>
        <w:rPr>
          <w:rFonts w:hint="eastAsia" w:ascii="宋体" w:hAnsi="宋体" w:eastAsia="宋体" w:cs="宋体"/>
          <w:b/>
          <w:bCs/>
          <w:color w:val="FF0000"/>
          <w:sz w:val="24"/>
          <w:szCs w:val="24"/>
        </w:rPr>
        <w:t>供</w:t>
      </w:r>
      <w:r>
        <w:rPr>
          <w:rFonts w:hint="eastAsia" w:ascii="宋体" w:hAnsi="宋体" w:eastAsia="宋体" w:cs="宋体"/>
          <w:b/>
          <w:bCs/>
          <w:color w:val="FF0000"/>
          <w:sz w:val="24"/>
          <w:szCs w:val="24"/>
          <w:lang w:val="en-US" w:eastAsia="zh-CN"/>
        </w:rPr>
        <w:t>激光切割机</w:t>
      </w:r>
      <w:r>
        <w:rPr>
          <w:rFonts w:hint="eastAsia" w:ascii="宋体" w:hAnsi="宋体" w:eastAsia="宋体" w:cs="宋体"/>
          <w:b/>
          <w:bCs/>
          <w:color w:val="FF0000"/>
          <w:sz w:val="24"/>
          <w:szCs w:val="24"/>
        </w:rPr>
        <w:t>设备购买合同</w:t>
      </w:r>
      <w:r>
        <w:rPr>
          <w:rFonts w:hint="eastAsia" w:ascii="宋体" w:hAnsi="宋体" w:eastAsia="宋体" w:cs="宋体"/>
          <w:b/>
          <w:bCs/>
          <w:color w:val="FF0000"/>
          <w:sz w:val="24"/>
          <w:szCs w:val="24"/>
          <w:lang w:val="en-US" w:eastAsia="zh-CN"/>
        </w:rPr>
        <w:t>及发票真彩扫描打印</w:t>
      </w:r>
      <w:r>
        <w:rPr>
          <w:rFonts w:hint="eastAsia" w:ascii="宋体" w:hAnsi="宋体" w:cs="宋体"/>
          <w:b/>
          <w:bCs/>
          <w:color w:val="FF0000"/>
          <w:sz w:val="24"/>
          <w:szCs w:val="24"/>
          <w:lang w:val="en-US" w:eastAsia="zh-CN"/>
        </w:rPr>
        <w:t>件</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ascii="宋体" w:hAnsi="宋体" w:eastAsia="宋体" w:cs="宋体"/>
          <w:b w:val="0"/>
          <w:bCs w:val="0"/>
          <w:color w:val="auto"/>
          <w:sz w:val="24"/>
          <w:szCs w:val="24"/>
          <w:u w:val="none"/>
        </w:rPr>
        <w:t>所投产品</w:t>
      </w:r>
      <w:r>
        <w:rPr>
          <w:rFonts w:hint="eastAsia" w:ascii="宋体" w:hAnsi="宋体" w:eastAsia="宋体" w:cs="宋体"/>
          <w:b w:val="0"/>
          <w:bCs w:val="0"/>
          <w:color w:val="auto"/>
          <w:sz w:val="24"/>
          <w:szCs w:val="24"/>
          <w:u w:val="none"/>
          <w:lang w:val="en-US" w:eastAsia="zh-CN"/>
        </w:rPr>
        <w:t>制造商</w:t>
      </w:r>
      <w:r>
        <w:rPr>
          <w:rFonts w:hint="eastAsia" w:ascii="宋体" w:hAnsi="宋体" w:eastAsia="宋体" w:cs="宋体"/>
          <w:b w:val="0"/>
          <w:bCs w:val="0"/>
          <w:color w:val="auto"/>
          <w:sz w:val="24"/>
          <w:szCs w:val="24"/>
          <w:u w:val="none"/>
        </w:rPr>
        <w:t>通过ISO13485、ISO9001质量管理体系认证、ISO14001环境管理体系认</w:t>
      </w:r>
      <w:r>
        <w:rPr>
          <w:rFonts w:hint="eastAsia" w:eastAsia="宋体"/>
          <w:sz w:val="24"/>
          <w:szCs w:val="24"/>
          <w:lang w:eastAsia="zh-CN"/>
        </w:rPr>
        <w:t>证。</w:t>
      </w:r>
    </w:p>
    <w:p>
      <w:pPr>
        <w:jc w:val="left"/>
        <w:rPr>
          <w:rFonts w:hint="eastAsia" w:ascii="宋体" w:hAnsi="宋体" w:cs="楷体"/>
          <w:b/>
          <w:sz w:val="36"/>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楷体"/>
          <w:b/>
          <w:sz w:val="36"/>
        </w:rPr>
      </w:pPr>
      <w:r>
        <w:rPr>
          <w:rFonts w:hint="eastAsia" w:ascii="宋体" w:hAnsi="宋体" w:cs="楷体"/>
          <w:b/>
          <w:sz w:val="36"/>
        </w:rPr>
        <w:t xml:space="preserve">电动病床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数量：10台</w:t>
      </w:r>
    </w:p>
    <w:p>
      <w:pPr>
        <w:pStyle w:val="112"/>
        <w:keepNext w:val="0"/>
        <w:keepLines w:val="0"/>
        <w:pageBreakBefore w:val="0"/>
        <w:numPr>
          <w:numId w:val="0"/>
        </w:numPr>
        <w:kinsoku/>
        <w:wordWrap/>
        <w:overflowPunct/>
        <w:topLinePunct w:val="0"/>
        <w:bidi w:val="0"/>
        <w:spacing w:line="340" w:lineRule="exact"/>
        <w:ind w:leftChars="0"/>
        <w:textAlignment w:val="auto"/>
        <w:rPr>
          <w:rFonts w:cs="楷体" w:asciiTheme="minorEastAsia" w:hAnsiTheme="minorEastAsia" w:eastAsiaTheme="minorEastAsia"/>
          <w:sz w:val="24"/>
        </w:rPr>
      </w:pPr>
      <w:r>
        <w:rPr>
          <w:rFonts w:hint="eastAsia" w:cs="宋体" w:asciiTheme="minorEastAsia" w:hAnsiTheme="minorEastAsia" w:eastAsiaTheme="minorEastAsia"/>
          <w:color w:val="000000"/>
          <w:kern w:val="0"/>
          <w:sz w:val="24"/>
          <w:lang w:val="en-US" w:eastAsia="zh-CN"/>
        </w:rPr>
        <w:t>1、</w:t>
      </w:r>
      <w:r>
        <w:rPr>
          <w:rFonts w:hint="eastAsia" w:cs="宋体" w:asciiTheme="minorEastAsia" w:hAnsiTheme="minorEastAsia" w:eastAsiaTheme="minorEastAsia"/>
          <w:color w:val="000000"/>
          <w:kern w:val="0"/>
          <w:sz w:val="24"/>
        </w:rPr>
        <w:t>▲</w:t>
      </w:r>
      <w:r>
        <w:rPr>
          <w:rFonts w:hint="eastAsia" w:cs="楷体" w:asciiTheme="minorEastAsia" w:hAnsiTheme="minorEastAsia" w:eastAsiaTheme="minorEastAsia"/>
          <w:sz w:val="24"/>
        </w:rPr>
        <w:t>规格：</w:t>
      </w:r>
    </w:p>
    <w:p>
      <w:pPr>
        <w:pStyle w:val="112"/>
        <w:keepNext w:val="0"/>
        <w:keepLines w:val="0"/>
        <w:pageBreakBefore w:val="0"/>
        <w:numPr>
          <w:ilvl w:val="1"/>
          <w:numId w:val="8"/>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外形尺寸：全长2180-2375mm±5mm，全宽（含护拦）1010mm±</w:t>
      </w:r>
      <w:r>
        <w:rPr>
          <w:rFonts w:cs="楷体" w:asciiTheme="minorEastAsia" w:hAnsiTheme="minorEastAsia" w:eastAsiaTheme="minorEastAsia"/>
          <w:sz w:val="24"/>
        </w:rPr>
        <w:t>2</w:t>
      </w:r>
      <w:r>
        <w:rPr>
          <w:rFonts w:hint="eastAsia" w:cs="楷体" w:asciiTheme="minorEastAsia" w:hAnsiTheme="minorEastAsia" w:eastAsiaTheme="minorEastAsia"/>
          <w:sz w:val="24"/>
        </w:rPr>
        <w:t>0mm；</w:t>
      </w:r>
    </w:p>
    <w:p>
      <w:pPr>
        <w:pStyle w:val="112"/>
        <w:keepNext w:val="0"/>
        <w:keepLines w:val="0"/>
        <w:pageBreakBefore w:val="0"/>
        <w:numPr>
          <w:ilvl w:val="1"/>
          <w:numId w:val="8"/>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整床重量≥134KG；</w:t>
      </w:r>
    </w:p>
    <w:p>
      <w:pPr>
        <w:pStyle w:val="112"/>
        <w:keepNext w:val="0"/>
        <w:keepLines w:val="0"/>
        <w:pageBreakBefore w:val="0"/>
        <w:numPr>
          <w:ilvl w:val="1"/>
          <w:numId w:val="8"/>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安全工作负重≥250KG；</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2、功能：</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2.1、背部升降范围0-65°±2°；</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2.2、膝部升降范围0-35°±2°；</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2.3、整体升降范围405--745mm±5mm；</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2.4、靠背手动CPR紧急复位；</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2.5、背板C型后退功能；</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2.6、背膝联动；</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2.7、一键复位；</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3、电气控制部分</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3.1、电机：三组电机，整体升降电机、背部电机、膝部电机。电机系统采用进口品牌医疗专用电机，静音设计，运作平稳。</w:t>
      </w:r>
    </w:p>
    <w:p>
      <w:pPr>
        <w:pStyle w:val="112"/>
        <w:keepNext w:val="0"/>
        <w:keepLines w:val="0"/>
        <w:pageBreakBefore w:val="0"/>
        <w:numPr>
          <w:ilvl w:val="1"/>
          <w:numId w:val="9"/>
        </w:numPr>
        <w:kinsoku/>
        <w:wordWrap/>
        <w:overflowPunct/>
        <w:topLinePunct w:val="0"/>
        <w:bidi w:val="0"/>
        <w:spacing w:line="340" w:lineRule="exact"/>
        <w:ind w:left="0" w:firstLine="0"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控制器：配有手持控制器和护士端操作面板，护士端操作器带锁定功能，可锁定手控器及护栏控制面板，避免误操作。</w:t>
      </w:r>
    </w:p>
    <w:p>
      <w:pPr>
        <w:pStyle w:val="112"/>
        <w:keepNext w:val="0"/>
        <w:keepLines w:val="0"/>
        <w:pageBreakBefore w:val="0"/>
        <w:numPr>
          <w:ilvl w:val="1"/>
          <w:numId w:val="9"/>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宋体" w:asciiTheme="minorEastAsia" w:hAnsiTheme="minorEastAsia" w:eastAsiaTheme="minorEastAsia"/>
          <w:color w:val="000000"/>
          <w:kern w:val="0"/>
          <w:sz w:val="24"/>
        </w:rPr>
        <w:t>▲</w:t>
      </w:r>
      <w:r>
        <w:rPr>
          <w:rFonts w:hint="eastAsia" w:cs="楷体" w:asciiTheme="minorEastAsia" w:hAnsiTheme="minorEastAsia" w:eastAsiaTheme="minorEastAsia"/>
          <w:sz w:val="24"/>
        </w:rPr>
        <w:t>配备大功率蓄电池，即使断电也可完成体位动作≥200次。</w:t>
      </w:r>
    </w:p>
    <w:p>
      <w:pPr>
        <w:pStyle w:val="112"/>
        <w:keepNext w:val="0"/>
        <w:keepLines w:val="0"/>
        <w:pageBreakBefore w:val="0"/>
        <w:numPr>
          <w:ilvl w:val="1"/>
          <w:numId w:val="9"/>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电气部分防水等级：整床IP54防水防尘级别，可整床全方位消毒。</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4、床整体</w:t>
      </w:r>
    </w:p>
    <w:p>
      <w:pPr>
        <w:keepNext w:val="0"/>
        <w:keepLines w:val="0"/>
        <w:pageBreakBefore w:val="0"/>
        <w:kinsoku/>
        <w:wordWrap/>
        <w:overflowPunct/>
        <w:topLinePunct w:val="0"/>
        <w:bidi w:val="0"/>
        <w:spacing w:line="340" w:lineRule="exact"/>
        <w:ind w:left="1"/>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4.1、床整体设计以安全性、可靠性、舒适性为主导。整体结构简单、实用，功能齐全，清洗方便。</w:t>
      </w:r>
    </w:p>
    <w:p>
      <w:pPr>
        <w:keepNext w:val="0"/>
        <w:keepLines w:val="0"/>
        <w:pageBreakBefore w:val="0"/>
        <w:kinsoku/>
        <w:wordWrap/>
        <w:overflowPunct/>
        <w:topLinePunct w:val="0"/>
        <w:bidi w:val="0"/>
        <w:spacing w:line="340" w:lineRule="exact"/>
        <w:ind w:left="1"/>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4.2、整体床架选用≥40mm×40mm厚≥2.5mm的钢管，框架结构，坐板位置有两条≥50mm×25mm厚≥2.0mm厚的方管支撑，靠背和脚框都是选用≥25mm×25mm,厚≥2.0mm方管支撑，都是独立框架设计，结构牢固承重≥400KG。</w:t>
      </w:r>
    </w:p>
    <w:p>
      <w:pPr>
        <w:keepNext w:val="0"/>
        <w:keepLines w:val="0"/>
        <w:pageBreakBefore w:val="0"/>
        <w:kinsoku/>
        <w:wordWrap/>
        <w:overflowPunct/>
        <w:topLinePunct w:val="0"/>
        <w:bidi w:val="0"/>
        <w:spacing w:line="340" w:lineRule="exact"/>
        <w:ind w:left="1"/>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4.3、焊接工艺采用进口德国库卡焊接机器人精密焊接，无气孔，高熔接度，高强度，抗弯折、抗压性强，具高承重力，保证产品质量稳定。</w:t>
      </w:r>
    </w:p>
    <w:p>
      <w:pPr>
        <w:keepNext w:val="0"/>
        <w:keepLines w:val="0"/>
        <w:pageBreakBefore w:val="0"/>
        <w:kinsoku/>
        <w:wordWrap/>
        <w:overflowPunct/>
        <w:topLinePunct w:val="0"/>
        <w:bidi w:val="0"/>
        <w:spacing w:line="340" w:lineRule="exact"/>
        <w:ind w:left="1"/>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4.4、整体床架及护栏多重防锈处理技术，经过去油、除锈、表面调整、磷化镀膜、钝化等20道工艺，再进行静电粉末喷涂，达到内外防锈。</w:t>
      </w:r>
    </w:p>
    <w:p>
      <w:pPr>
        <w:keepNext w:val="0"/>
        <w:keepLines w:val="0"/>
        <w:pageBreakBefore w:val="0"/>
        <w:kinsoku/>
        <w:wordWrap/>
        <w:overflowPunct/>
        <w:topLinePunct w:val="0"/>
        <w:bidi w:val="0"/>
        <w:spacing w:line="340" w:lineRule="exact"/>
        <w:ind w:left="1"/>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4.5、涂料选用的固体粉末通过ROHS环保认证。耐酸碱，抗UV，长久使用不变色，不脱膜。</w:t>
      </w:r>
    </w:p>
    <w:p>
      <w:pPr>
        <w:pStyle w:val="112"/>
        <w:keepNext w:val="0"/>
        <w:keepLines w:val="0"/>
        <w:pageBreakBefore w:val="0"/>
        <w:numPr>
          <w:ilvl w:val="0"/>
          <w:numId w:val="10"/>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床面</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5.1、床面盖板为ABS工程塑料一次成型，材料厚2.8mm，盖板正面可承受100KG以上的压力，使用寿命10年以上。盖板有通风口设计预防褥疮，整体设计符合人体工程力学。拆卸方便，容易清洗、消毒。</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5.2、床板四周配置四个人体工程学床垫定位把手。固定床垫，防止床垫位移，同时可以作为助力把手使用。</w:t>
      </w:r>
    </w:p>
    <w:p>
      <w:pPr>
        <w:pStyle w:val="112"/>
        <w:keepNext w:val="0"/>
        <w:keepLines w:val="0"/>
        <w:pageBreakBefore w:val="0"/>
        <w:numPr>
          <w:ilvl w:val="1"/>
          <w:numId w:val="11"/>
        </w:numPr>
        <w:kinsoku/>
        <w:wordWrap/>
        <w:overflowPunct/>
        <w:topLinePunct w:val="0"/>
        <w:bidi w:val="0"/>
        <w:spacing w:line="340" w:lineRule="exact"/>
        <w:ind w:left="0" w:firstLine="0"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靠背架下面预制有X光暗盒托盘，可轻松调整X光拍摄位置，病人在床上可拍摄腰部以上各体位X光，减少医护人员的劳动强度。</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6、护拦</w:t>
      </w:r>
    </w:p>
    <w:p>
      <w:pPr>
        <w:keepNext w:val="0"/>
        <w:keepLines w:val="0"/>
        <w:pageBreakBefore w:val="0"/>
        <w:kinsoku/>
        <w:wordWrap/>
        <w:overflowPunct/>
        <w:topLinePunct w:val="0"/>
        <w:bidi w:val="0"/>
        <w:spacing w:line="340" w:lineRule="exact"/>
        <w:ind w:left="1"/>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6.1、符合IEC60601-2-52安全标准分体式升降护栏(蓝色</w:t>
      </w:r>
      <w:r>
        <w:rPr>
          <w:rFonts w:cs="楷体" w:asciiTheme="minorEastAsia" w:hAnsiTheme="minorEastAsia" w:eastAsiaTheme="minorEastAsia"/>
          <w:sz w:val="24"/>
        </w:rPr>
        <w:t>装饰片</w:t>
      </w:r>
      <w:r>
        <w:rPr>
          <w:rFonts w:hint="eastAsia" w:cs="楷体" w:asciiTheme="minorEastAsia" w:hAnsiTheme="minorEastAsia" w:eastAsiaTheme="minorEastAsia"/>
          <w:sz w:val="24"/>
        </w:rPr>
        <w:t>)，床头侧护栏可随靠背同时动作，保护患者的安全。护栏内外两侧共有4片6按键控制面板，方便患者和医护人员操作。</w:t>
      </w:r>
    </w:p>
    <w:p>
      <w:pPr>
        <w:keepNext w:val="0"/>
        <w:keepLines w:val="0"/>
        <w:pageBreakBefore w:val="0"/>
        <w:kinsoku/>
        <w:wordWrap/>
        <w:overflowPunct/>
        <w:topLinePunct w:val="0"/>
        <w:bidi w:val="0"/>
        <w:spacing w:line="340" w:lineRule="exact"/>
        <w:ind w:left="425" w:hanging="424" w:hangingChars="177"/>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6.2、靠背架护栏两外侧有角度显示器，能方便医护人员操作观察。</w:t>
      </w:r>
    </w:p>
    <w:p>
      <w:pPr>
        <w:keepNext w:val="0"/>
        <w:keepLines w:val="0"/>
        <w:pageBreakBefore w:val="0"/>
        <w:kinsoku/>
        <w:wordWrap/>
        <w:overflowPunct/>
        <w:topLinePunct w:val="0"/>
        <w:bidi w:val="0"/>
        <w:spacing w:line="340" w:lineRule="exact"/>
        <w:ind w:left="1"/>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6.3、护栏采用高密度HDPE工程塑料一次成型，表面平顺易清洁。抗冲击、耐热、耐低温、耐化学药品。</w:t>
      </w:r>
    </w:p>
    <w:p>
      <w:pPr>
        <w:pStyle w:val="112"/>
        <w:keepNext w:val="0"/>
        <w:keepLines w:val="0"/>
        <w:pageBreakBefore w:val="0"/>
        <w:numPr>
          <w:ilvl w:val="0"/>
          <w:numId w:val="12"/>
        </w:numPr>
        <w:kinsoku/>
        <w:wordWrap/>
        <w:overflowPunct/>
        <w:topLinePunct w:val="0"/>
        <w:bidi w:val="0"/>
        <w:spacing w:line="340" w:lineRule="exact"/>
        <w:ind w:left="567" w:hanging="567"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床头/尾板</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7.1、采用高密度HDPE工程塑料一次成型，表面平顺易清洁。抗冲击、耐热、耐低温、耐化学药品。</w:t>
      </w:r>
    </w:p>
    <w:p>
      <w:pPr>
        <w:pStyle w:val="112"/>
        <w:keepNext w:val="0"/>
        <w:keepLines w:val="0"/>
        <w:pageBreakBefore w:val="0"/>
        <w:numPr>
          <w:ilvl w:val="1"/>
          <w:numId w:val="13"/>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床头板可快速拆卸，满足紧急抢救需要，容易清洗、消毒等。</w:t>
      </w:r>
    </w:p>
    <w:p>
      <w:pPr>
        <w:pStyle w:val="112"/>
        <w:keepNext w:val="0"/>
        <w:keepLines w:val="0"/>
        <w:pageBreakBefore w:val="0"/>
        <w:numPr>
          <w:ilvl w:val="1"/>
          <w:numId w:val="13"/>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床头床尾板高低搭配，不占空间，方便医护人员观察病人情况。</w:t>
      </w:r>
    </w:p>
    <w:p>
      <w:pPr>
        <w:pStyle w:val="112"/>
        <w:keepNext w:val="0"/>
        <w:keepLines w:val="0"/>
        <w:pageBreakBefore w:val="0"/>
        <w:numPr>
          <w:ilvl w:val="1"/>
          <w:numId w:val="13"/>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床头尾板和床架连接紧密，推动时不晃动及产生异响。</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8、</w:t>
      </w:r>
      <w:r>
        <w:rPr>
          <w:rFonts w:hint="eastAsia" w:cs="宋体" w:asciiTheme="minorEastAsia" w:hAnsiTheme="minorEastAsia" w:eastAsiaTheme="minorEastAsia"/>
          <w:color w:val="000000"/>
          <w:kern w:val="0"/>
          <w:sz w:val="24"/>
        </w:rPr>
        <w:t>▲</w:t>
      </w:r>
      <w:r>
        <w:rPr>
          <w:rFonts w:hint="eastAsia" w:cs="楷体" w:asciiTheme="minorEastAsia" w:hAnsiTheme="minorEastAsia" w:eastAsiaTheme="minorEastAsia"/>
          <w:sz w:val="24"/>
        </w:rPr>
        <w:t>防撞缓冲轮</w:t>
      </w:r>
    </w:p>
    <w:p>
      <w:pPr>
        <w:pStyle w:val="112"/>
        <w:keepNext w:val="0"/>
        <w:keepLines w:val="0"/>
        <w:pageBreakBefore w:val="0"/>
        <w:numPr>
          <w:ilvl w:val="1"/>
          <w:numId w:val="14"/>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配置四个发泡聚氨酯防撞缓冲轮，一次成型，高强度。</w:t>
      </w:r>
    </w:p>
    <w:p>
      <w:pPr>
        <w:pStyle w:val="112"/>
        <w:keepNext w:val="0"/>
        <w:keepLines w:val="0"/>
        <w:pageBreakBefore w:val="0"/>
        <w:numPr>
          <w:ilvl w:val="1"/>
          <w:numId w:val="14"/>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缓冲轮外形圆滑平顺，减缓冲击力。</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9、</w:t>
      </w:r>
      <w:r>
        <w:rPr>
          <w:rFonts w:hint="eastAsia" w:cs="宋体" w:asciiTheme="minorEastAsia" w:hAnsiTheme="minorEastAsia" w:eastAsiaTheme="minorEastAsia"/>
          <w:color w:val="000000"/>
          <w:kern w:val="0"/>
          <w:sz w:val="24"/>
        </w:rPr>
        <w:t>▲</w:t>
      </w:r>
      <w:r>
        <w:rPr>
          <w:rFonts w:hint="eastAsia" w:cs="楷体" w:asciiTheme="minorEastAsia" w:hAnsiTheme="minorEastAsia" w:eastAsiaTheme="minorEastAsia"/>
          <w:sz w:val="24"/>
        </w:rPr>
        <w:t>脚轮</w:t>
      </w:r>
    </w:p>
    <w:p>
      <w:pPr>
        <w:pStyle w:val="112"/>
        <w:keepNext w:val="0"/>
        <w:keepLines w:val="0"/>
        <w:pageBreakBefore w:val="0"/>
        <w:numPr>
          <w:ilvl w:val="1"/>
          <w:numId w:val="15"/>
        </w:numPr>
        <w:kinsoku/>
        <w:wordWrap/>
        <w:overflowPunct/>
        <w:topLinePunct w:val="0"/>
        <w:bidi w:val="0"/>
        <w:spacing w:line="340" w:lineRule="exact"/>
        <w:ind w:firstLineChars="0"/>
        <w:textAlignment w:val="auto"/>
        <w:rPr>
          <w:rFonts w:cs="楷体" w:asciiTheme="minorEastAsia" w:hAnsiTheme="minorEastAsia" w:eastAsiaTheme="minorEastAsia"/>
          <w:sz w:val="24"/>
        </w:rPr>
      </w:pPr>
      <w:bookmarkStart w:id="29" w:name="OLE_LINK1"/>
      <w:r>
        <w:rPr>
          <w:rFonts w:hint="eastAsia" w:cs="楷体" w:asciiTheme="minorEastAsia" w:hAnsiTheme="minorEastAsia" w:eastAsiaTheme="minorEastAsia"/>
          <w:sz w:val="24"/>
        </w:rPr>
        <w:t>进口品牌5英寸医用双面静音聚氨酯中控脚轮</w:t>
      </w:r>
      <w:bookmarkEnd w:id="29"/>
      <w:r>
        <w:rPr>
          <w:rFonts w:hint="eastAsia" w:cs="楷体" w:asciiTheme="minorEastAsia" w:hAnsiTheme="minorEastAsia" w:eastAsiaTheme="minorEastAsia"/>
          <w:sz w:val="24"/>
        </w:rPr>
        <w:t>。</w:t>
      </w:r>
    </w:p>
    <w:p>
      <w:pPr>
        <w:pStyle w:val="112"/>
        <w:keepNext w:val="0"/>
        <w:keepLines w:val="0"/>
        <w:pageBreakBefore w:val="0"/>
        <w:numPr>
          <w:ilvl w:val="1"/>
          <w:numId w:val="15"/>
        </w:numPr>
        <w:kinsoku/>
        <w:wordWrap/>
        <w:overflowPunct/>
        <w:topLinePunct w:val="0"/>
        <w:bidi w:val="0"/>
        <w:spacing w:line="340" w:lineRule="exact"/>
        <w:ind w:firstLineChars="0"/>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具有锁定、自由、定向三段式中央控制锁定装置。</w:t>
      </w:r>
    </w:p>
    <w:p>
      <w:pPr>
        <w:keepNext w:val="0"/>
        <w:keepLines w:val="0"/>
        <w:pageBreakBefore w:val="0"/>
        <w:kinsoku/>
        <w:wordWrap/>
        <w:overflowPunct/>
        <w:topLinePunct w:val="0"/>
        <w:bidi w:val="0"/>
        <w:spacing w:line="340" w:lineRule="exact"/>
        <w:textAlignment w:val="auto"/>
        <w:rPr>
          <w:rFonts w:cs="楷体" w:asciiTheme="minorEastAsia" w:hAnsiTheme="minorEastAsia" w:eastAsiaTheme="minorEastAsia"/>
          <w:sz w:val="24"/>
        </w:rPr>
      </w:pPr>
      <w:r>
        <w:rPr>
          <w:rFonts w:hint="eastAsia" w:cs="楷体" w:asciiTheme="minorEastAsia" w:hAnsiTheme="minorEastAsia" w:eastAsiaTheme="minorEastAsia"/>
          <w:sz w:val="24"/>
        </w:rPr>
        <w:t>9.3、脚轮防尘、防毛发卷入。</w:t>
      </w:r>
    </w:p>
    <w:p>
      <w:pPr>
        <w:pStyle w:val="112"/>
        <w:keepNext w:val="0"/>
        <w:keepLines w:val="0"/>
        <w:pageBreakBefore w:val="0"/>
        <w:numPr>
          <w:ilvl w:val="1"/>
          <w:numId w:val="15"/>
        </w:numPr>
        <w:kinsoku/>
        <w:wordWrap/>
        <w:overflowPunct/>
        <w:topLinePunct w:val="0"/>
        <w:bidi w:val="0"/>
        <w:spacing w:line="340" w:lineRule="exact"/>
        <w:ind w:firstLineChars="0"/>
        <w:textAlignment w:val="auto"/>
        <w:rPr>
          <w:rFonts w:hint="eastAsia" w:cs="楷体" w:asciiTheme="minorEastAsia" w:hAnsiTheme="minorEastAsia" w:eastAsiaTheme="minorEastAsia"/>
          <w:sz w:val="24"/>
        </w:rPr>
      </w:pPr>
      <w:r>
        <w:rPr>
          <w:rFonts w:hint="eastAsia" w:cs="楷体" w:asciiTheme="minorEastAsia" w:hAnsiTheme="minorEastAsia" w:eastAsiaTheme="minorEastAsia"/>
          <w:sz w:val="24"/>
        </w:rPr>
        <w:t>刹车踏板采用锌合金精密铸造而成，结构牢靠。</w:t>
      </w:r>
    </w:p>
    <w:p>
      <w:pPr>
        <w:keepNext w:val="0"/>
        <w:keepLines w:val="0"/>
        <w:pageBreakBefore w:val="0"/>
        <w:kinsoku/>
        <w:wordWrap/>
        <w:overflowPunct/>
        <w:topLinePunct w:val="0"/>
        <w:bidi w:val="0"/>
        <w:snapToGrid w:val="0"/>
        <w:spacing w:line="340" w:lineRule="exact"/>
        <w:textAlignment w:val="auto"/>
        <w:rPr>
          <w:rFonts w:cs="楷体" w:asciiTheme="majorEastAsia" w:hAnsiTheme="majorEastAsia" w:eastAsiaTheme="majorEastAsia"/>
          <w:color w:val="000000" w:themeColor="text1"/>
          <w:sz w:val="24"/>
        </w:rPr>
      </w:pPr>
      <w:r>
        <w:rPr>
          <w:rFonts w:hint="eastAsia" w:cs="楷体" w:asciiTheme="majorEastAsia" w:hAnsiTheme="majorEastAsia" w:eastAsiaTheme="majorEastAsia"/>
          <w:color w:val="000000" w:themeColor="text1"/>
          <w:sz w:val="24"/>
        </w:rPr>
        <w:t>10、每床配置静态防褥疮床垫1张</w:t>
      </w:r>
    </w:p>
    <w:p>
      <w:pPr>
        <w:keepNext w:val="0"/>
        <w:keepLines w:val="0"/>
        <w:pageBreakBefore w:val="0"/>
        <w:kinsoku/>
        <w:wordWrap/>
        <w:overflowPunct/>
        <w:topLinePunct w:val="0"/>
        <w:bidi w:val="0"/>
        <w:spacing w:line="340" w:lineRule="exact"/>
        <w:textAlignment w:val="auto"/>
        <w:rPr>
          <w:rFonts w:ascii="宋体" w:hAnsi="宋体" w:cs="楷体"/>
          <w:sz w:val="24"/>
        </w:rPr>
      </w:pPr>
      <w:r>
        <w:rPr>
          <w:rFonts w:hint="eastAsia" w:cs="楷体" w:asciiTheme="majorEastAsia" w:hAnsiTheme="majorEastAsia" w:eastAsiaTheme="majorEastAsia"/>
          <w:color w:val="000000" w:themeColor="text1"/>
          <w:sz w:val="24"/>
        </w:rPr>
        <w:t>10.1、</w:t>
      </w:r>
      <w:r>
        <w:rPr>
          <w:rFonts w:hint="eastAsia" w:ascii="宋体" w:hAnsi="宋体" w:cs="楷体"/>
          <w:sz w:val="24"/>
        </w:rPr>
        <w:t>外形尺寸：1970</w:t>
      </w:r>
      <w:r>
        <w:rPr>
          <w:rFonts w:ascii="宋体" w:hAnsi="宋体" w:cs="楷体"/>
          <w:sz w:val="24"/>
        </w:rPr>
        <w:t>mm</w:t>
      </w:r>
      <w:r>
        <w:rPr>
          <w:rFonts w:hint="eastAsia" w:ascii="宋体" w:hAnsi="宋体" w:cs="楷体"/>
          <w:sz w:val="24"/>
        </w:rPr>
        <w:t>×860</w:t>
      </w:r>
      <w:r>
        <w:rPr>
          <w:rFonts w:ascii="宋体" w:hAnsi="宋体" w:cs="楷体"/>
          <w:sz w:val="24"/>
        </w:rPr>
        <w:t>mm</w:t>
      </w:r>
      <w:r>
        <w:rPr>
          <w:rFonts w:hint="eastAsia" w:ascii="宋体" w:hAnsi="宋体" w:cs="楷体"/>
          <w:sz w:val="24"/>
        </w:rPr>
        <w:t>×100mm</w:t>
      </w:r>
      <w:r>
        <w:rPr>
          <w:rFonts w:hint="eastAsia" w:ascii="宋体" w:hAnsi="宋体" w:cs="楷体"/>
          <w:color w:val="000000"/>
          <w:sz w:val="24"/>
        </w:rPr>
        <w:t>±</w:t>
      </w:r>
      <w:r>
        <w:rPr>
          <w:rFonts w:ascii="宋体" w:hAnsi="宋体" w:cs="楷体"/>
          <w:color w:val="000000"/>
          <w:sz w:val="24"/>
        </w:rPr>
        <w:t>10mm</w:t>
      </w:r>
    </w:p>
    <w:p>
      <w:pPr>
        <w:keepNext w:val="0"/>
        <w:keepLines w:val="0"/>
        <w:pageBreakBefore w:val="0"/>
        <w:kinsoku/>
        <w:wordWrap/>
        <w:overflowPunct/>
        <w:topLinePunct w:val="0"/>
        <w:bidi w:val="0"/>
        <w:snapToGrid w:val="0"/>
        <w:spacing w:line="340" w:lineRule="exact"/>
        <w:textAlignment w:val="auto"/>
        <w:rPr>
          <w:rFonts w:cs="楷体" w:asciiTheme="majorEastAsia" w:hAnsiTheme="majorEastAsia" w:eastAsiaTheme="majorEastAsia"/>
          <w:color w:val="000000" w:themeColor="text1"/>
          <w:sz w:val="24"/>
        </w:rPr>
      </w:pPr>
      <w:r>
        <w:rPr>
          <w:rFonts w:hint="eastAsia" w:cs="楷体" w:asciiTheme="majorEastAsia" w:hAnsiTheme="majorEastAsia" w:eastAsiaTheme="majorEastAsia"/>
          <w:color w:val="000000" w:themeColor="text1"/>
          <w:sz w:val="24"/>
        </w:rPr>
        <w:t xml:space="preserve">10.2、由PU及高性能聚氨酯涂层制成，防渗漏，透气，生物相容性好，可多方向拉伸，能在减少与水接触的情况下更强抵抗磨损和肿胀。      </w:t>
      </w:r>
    </w:p>
    <w:p>
      <w:pPr>
        <w:keepNext w:val="0"/>
        <w:keepLines w:val="0"/>
        <w:pageBreakBefore w:val="0"/>
        <w:kinsoku/>
        <w:wordWrap/>
        <w:overflowPunct/>
        <w:topLinePunct w:val="0"/>
        <w:bidi w:val="0"/>
        <w:spacing w:line="340" w:lineRule="exact"/>
        <w:textAlignment w:val="auto"/>
        <w:rPr>
          <w:rFonts w:ascii="宋体" w:hAnsi="宋体" w:cs="楷体"/>
          <w:sz w:val="24"/>
        </w:rPr>
      </w:pPr>
      <w:r>
        <w:rPr>
          <w:rFonts w:hint="eastAsia" w:ascii="宋体" w:hAnsi="宋体" w:cs="楷体"/>
          <w:sz w:val="24"/>
        </w:rPr>
        <w:t>10.3、可用</w:t>
      </w:r>
      <w:r>
        <w:rPr>
          <w:rFonts w:hint="eastAsia" w:cs="楷体" w:asciiTheme="majorEastAsia" w:hAnsiTheme="majorEastAsia" w:eastAsiaTheme="majorEastAsia"/>
          <w:color w:val="000000" w:themeColor="text1"/>
          <w:sz w:val="24"/>
        </w:rPr>
        <w:t>≥</w:t>
      </w:r>
      <w:r>
        <w:rPr>
          <w:rFonts w:hint="eastAsia" w:ascii="宋体" w:hAnsi="宋体" w:cs="楷体"/>
          <w:sz w:val="24"/>
        </w:rPr>
        <w:t>80º水机洗，能很快恢复到自然状态， 耐磨损。</w:t>
      </w:r>
    </w:p>
    <w:p>
      <w:pPr>
        <w:keepNext w:val="0"/>
        <w:keepLines w:val="0"/>
        <w:pageBreakBefore w:val="0"/>
        <w:kinsoku/>
        <w:wordWrap/>
        <w:overflowPunct/>
        <w:topLinePunct w:val="0"/>
        <w:bidi w:val="0"/>
        <w:spacing w:line="340" w:lineRule="exact"/>
        <w:textAlignment w:val="auto"/>
        <w:rPr>
          <w:rFonts w:ascii="宋体" w:hAnsi="宋体" w:cs="楷体"/>
          <w:sz w:val="24"/>
        </w:rPr>
      </w:pPr>
      <w:r>
        <w:rPr>
          <w:rFonts w:hint="eastAsia" w:ascii="宋体" w:hAnsi="宋体" w:cs="楷体"/>
          <w:sz w:val="24"/>
        </w:rPr>
        <w:t>10.4、防滑底部设计，防止床垫在床面或床垫上滑移，维护病人安全。</w:t>
      </w:r>
    </w:p>
    <w:p>
      <w:pPr>
        <w:keepNext w:val="0"/>
        <w:keepLines w:val="0"/>
        <w:pageBreakBefore w:val="0"/>
        <w:kinsoku/>
        <w:wordWrap/>
        <w:overflowPunct/>
        <w:topLinePunct w:val="0"/>
        <w:bidi w:val="0"/>
        <w:spacing w:line="340" w:lineRule="exact"/>
        <w:ind w:left="1"/>
        <w:textAlignment w:val="auto"/>
        <w:rPr>
          <w:rFonts w:ascii="宋体" w:hAnsi="宋体" w:cs="楷体"/>
          <w:sz w:val="24"/>
        </w:rPr>
      </w:pPr>
      <w:r>
        <w:rPr>
          <w:rFonts w:hint="eastAsia" w:ascii="宋体" w:hAnsi="宋体" w:cs="楷体"/>
          <w:sz w:val="24"/>
        </w:rPr>
        <w:t>10.5、床罩经过的测试：拉伸性，撕裂性，破裂性，渗透性，粘附性，可燃性，无毒性，生物相容性，完全按照ISO或BS标准。</w:t>
      </w:r>
    </w:p>
    <w:p>
      <w:pPr>
        <w:keepNext w:val="0"/>
        <w:keepLines w:val="0"/>
        <w:pageBreakBefore w:val="0"/>
        <w:kinsoku/>
        <w:wordWrap/>
        <w:overflowPunct/>
        <w:topLinePunct w:val="0"/>
        <w:bidi w:val="0"/>
        <w:spacing w:line="340" w:lineRule="exact"/>
        <w:textAlignment w:val="auto"/>
        <w:rPr>
          <w:rFonts w:ascii="宋体" w:hAnsi="宋体" w:cs="楷体"/>
          <w:sz w:val="24"/>
        </w:rPr>
      </w:pPr>
      <w:r>
        <w:rPr>
          <w:rFonts w:hint="eastAsia" w:ascii="宋体" w:hAnsi="宋体" w:cs="楷体"/>
          <w:sz w:val="24"/>
        </w:rPr>
        <w:t>10.6、由高性能聚氨酯复合物构成，独特的波状垫， “锁孔剪裁”结构海绵成型，配合高品质的床罩，提供给用户卓越的舒适感，完美的分散压力及降低压力峰值，减低褥疮风险。</w:t>
      </w:r>
    </w:p>
    <w:p>
      <w:pPr>
        <w:keepNext w:val="0"/>
        <w:keepLines w:val="0"/>
        <w:pageBreakBefore w:val="0"/>
        <w:kinsoku/>
        <w:wordWrap/>
        <w:overflowPunct/>
        <w:topLinePunct w:val="0"/>
        <w:bidi w:val="0"/>
        <w:spacing w:line="340" w:lineRule="exact"/>
        <w:ind w:left="425" w:hanging="424" w:hangingChars="177"/>
        <w:textAlignment w:val="auto"/>
        <w:rPr>
          <w:rFonts w:ascii="宋体" w:hAnsi="宋体" w:cs="楷体"/>
          <w:sz w:val="24"/>
        </w:rPr>
      </w:pPr>
      <w:r>
        <w:rPr>
          <w:rFonts w:hint="eastAsia" w:ascii="宋体" w:hAnsi="宋体" w:cs="楷体"/>
          <w:sz w:val="24"/>
        </w:rPr>
        <w:t>10.7、</w:t>
      </w:r>
      <w:r>
        <w:rPr>
          <w:rFonts w:ascii="宋体" w:hAnsi="宋体" w:cs="楷体"/>
          <w:sz w:val="24"/>
        </w:rPr>
        <w:t>此床垫不需要翻面或掉转</w:t>
      </w:r>
      <w:r>
        <w:rPr>
          <w:rFonts w:hint="eastAsia" w:ascii="宋体" w:hAnsi="宋体" w:cs="楷体"/>
          <w:sz w:val="24"/>
        </w:rPr>
        <w:t>使用</w:t>
      </w:r>
      <w:r>
        <w:rPr>
          <w:rFonts w:ascii="宋体" w:hAnsi="宋体" w:cs="楷体"/>
          <w:sz w:val="24"/>
        </w:rPr>
        <w:t>， 大大地减少人工处理问题。</w:t>
      </w:r>
    </w:p>
    <w:p>
      <w:pPr>
        <w:keepNext w:val="0"/>
        <w:keepLines w:val="0"/>
        <w:pageBreakBefore w:val="0"/>
        <w:kinsoku/>
        <w:wordWrap/>
        <w:overflowPunct/>
        <w:topLinePunct w:val="0"/>
        <w:bidi w:val="0"/>
        <w:spacing w:line="340" w:lineRule="exact"/>
        <w:ind w:left="425" w:hanging="424" w:hangingChars="177"/>
        <w:textAlignment w:val="auto"/>
        <w:rPr>
          <w:rFonts w:ascii="宋体" w:hAnsi="宋体" w:cs="楷体"/>
          <w:sz w:val="24"/>
        </w:rPr>
      </w:pPr>
      <w:r>
        <w:rPr>
          <w:rFonts w:hint="eastAsia" w:ascii="宋体" w:hAnsi="宋体" w:cs="楷体"/>
          <w:sz w:val="24"/>
        </w:rPr>
        <w:t>10.8、床垫采用无胶合结构，床面完美贴合，床板升起时，无压迫感。</w:t>
      </w:r>
    </w:p>
    <w:p>
      <w:pPr>
        <w:keepNext w:val="0"/>
        <w:keepLines w:val="0"/>
        <w:pageBreakBefore w:val="0"/>
        <w:kinsoku/>
        <w:wordWrap/>
        <w:overflowPunct/>
        <w:topLinePunct w:val="0"/>
        <w:bidi w:val="0"/>
        <w:spacing w:line="340" w:lineRule="exact"/>
        <w:ind w:left="425" w:hanging="424" w:hangingChars="177"/>
        <w:textAlignment w:val="auto"/>
        <w:rPr>
          <w:rFonts w:ascii="宋体" w:hAnsi="宋体" w:cs="楷体"/>
          <w:sz w:val="24"/>
        </w:rPr>
      </w:pPr>
      <w:r>
        <w:rPr>
          <w:rFonts w:hint="eastAsia" w:ascii="宋体" w:hAnsi="宋体" w:cs="楷体"/>
          <w:sz w:val="24"/>
        </w:rPr>
        <w:t>10.9、海绵的性能：密度≥35-37%，硬度≥100-140Newton，抗张强度≥50KPa(Min)，延伸率≥90%，压缩性≥8%(Max), 完全按照ISO或BS标准。</w:t>
      </w:r>
    </w:p>
    <w:p>
      <w:pPr>
        <w:keepNext w:val="0"/>
        <w:keepLines w:val="0"/>
        <w:pageBreakBefore w:val="0"/>
        <w:kinsoku/>
        <w:wordWrap/>
        <w:overflowPunct/>
        <w:topLinePunct w:val="0"/>
        <w:autoSpaceDE w:val="0"/>
        <w:autoSpaceDN w:val="0"/>
        <w:bidi w:val="0"/>
        <w:adjustRightInd w:val="0"/>
        <w:spacing w:line="340" w:lineRule="exact"/>
        <w:ind w:left="425" w:hanging="424" w:hangingChars="177"/>
        <w:textAlignment w:val="auto"/>
        <w:rPr>
          <w:rFonts w:ascii="宋体" w:hAnsi="宋体" w:cs="楷体"/>
          <w:sz w:val="24"/>
        </w:rPr>
      </w:pPr>
      <w:r>
        <w:rPr>
          <w:rFonts w:hint="eastAsia" w:ascii="宋体" w:hAnsi="宋体" w:cs="楷体"/>
          <w:sz w:val="24"/>
        </w:rPr>
        <w:t>10.10、所有床垫组件无乳胶。</w:t>
      </w:r>
    </w:p>
    <w:p>
      <w:pPr>
        <w:keepNext w:val="0"/>
        <w:keepLines w:val="0"/>
        <w:pageBreakBefore w:val="0"/>
        <w:kinsoku/>
        <w:wordWrap/>
        <w:overflowPunct/>
        <w:topLinePunct w:val="0"/>
        <w:bidi w:val="0"/>
        <w:spacing w:line="340" w:lineRule="exact"/>
        <w:textAlignment w:val="auto"/>
        <w:rPr>
          <w:rFonts w:ascii="宋体" w:hAnsi="宋体" w:cs="楷体"/>
          <w:sz w:val="24"/>
        </w:rPr>
      </w:pPr>
      <w:r>
        <w:rPr>
          <w:rFonts w:hint="eastAsia" w:ascii="宋体" w:hAnsi="宋体" w:cs="楷体"/>
          <w:sz w:val="24"/>
        </w:rPr>
        <w:t>10.11、</w:t>
      </w:r>
      <w:r>
        <w:rPr>
          <w:rFonts w:hint="eastAsia" w:cs="楷体" w:asciiTheme="minorEastAsia" w:hAnsiTheme="minorEastAsia" w:eastAsiaTheme="minorEastAsia"/>
          <w:sz w:val="24"/>
        </w:rPr>
        <w:t>▲</w:t>
      </w:r>
      <w:r>
        <w:rPr>
          <w:rFonts w:hint="eastAsia" w:ascii="宋体" w:hAnsi="宋体" w:cs="楷体"/>
          <w:sz w:val="24"/>
        </w:rPr>
        <w:t>床罩具备防火阻燃、无毒性的第三方测试。（提供床罩第三方无毒性测试报告复印件加盖公章、提供第三方防火测试认证复印件加盖公章）</w:t>
      </w:r>
    </w:p>
    <w:p>
      <w:pPr>
        <w:pStyle w:val="112"/>
        <w:keepNext w:val="0"/>
        <w:keepLines w:val="0"/>
        <w:pageBreakBefore w:val="0"/>
        <w:numPr>
          <w:ilvl w:val="0"/>
          <w:numId w:val="16"/>
        </w:numPr>
        <w:kinsoku/>
        <w:wordWrap/>
        <w:overflowPunct/>
        <w:topLinePunct w:val="0"/>
        <w:bidi w:val="0"/>
        <w:spacing w:line="340" w:lineRule="exact"/>
        <w:ind w:firstLineChars="0"/>
        <w:textAlignment w:val="auto"/>
        <w:rPr>
          <w:rFonts w:ascii="宋体" w:hAnsi="宋体" w:cs="楷体"/>
          <w:sz w:val="24"/>
        </w:rPr>
      </w:pPr>
      <w:r>
        <w:rPr>
          <w:rFonts w:hint="eastAsia" w:ascii="宋体" w:hAnsi="宋体" w:cs="楷体"/>
          <w:sz w:val="24"/>
        </w:rPr>
        <w:t>每床配置床面桌1张</w:t>
      </w:r>
    </w:p>
    <w:p>
      <w:pPr>
        <w:pStyle w:val="112"/>
        <w:keepNext w:val="0"/>
        <w:keepLines w:val="0"/>
        <w:pageBreakBefore w:val="0"/>
        <w:numPr>
          <w:ilvl w:val="1"/>
          <w:numId w:val="17"/>
        </w:numPr>
        <w:kinsoku/>
        <w:wordWrap/>
        <w:overflowPunct/>
        <w:topLinePunct w:val="0"/>
        <w:bidi w:val="0"/>
        <w:snapToGrid w:val="0"/>
        <w:spacing w:line="340" w:lineRule="exact"/>
        <w:ind w:firstLineChars="0"/>
        <w:textAlignment w:val="auto"/>
        <w:rPr>
          <w:rFonts w:ascii="宋体" w:hAnsi="宋体" w:cs="楷体"/>
          <w:sz w:val="24"/>
        </w:rPr>
      </w:pPr>
      <w:r>
        <w:rPr>
          <w:rFonts w:hint="eastAsia" w:ascii="宋体" w:hAnsi="宋体" w:cs="楷体"/>
          <w:sz w:val="24"/>
        </w:rPr>
        <w:t>外形尺寸：桌面</w:t>
      </w:r>
      <w:r>
        <w:rPr>
          <w:rFonts w:ascii="宋体" w:hAnsi="宋体" w:cs="楷体"/>
          <w:sz w:val="24"/>
        </w:rPr>
        <w:t>尺寸</w:t>
      </w:r>
      <w:r>
        <w:rPr>
          <w:rFonts w:hint="eastAsia" w:ascii="宋体" w:hAnsi="宋体" w:cs="楷体"/>
          <w:sz w:val="24"/>
        </w:rPr>
        <w:t>≥</w:t>
      </w:r>
      <w:r>
        <w:rPr>
          <w:rFonts w:ascii="宋体" w:hAnsi="宋体" w:cs="楷体"/>
          <w:sz w:val="24"/>
        </w:rPr>
        <w:t>880</w:t>
      </w:r>
      <w:r>
        <w:rPr>
          <w:rFonts w:hint="eastAsia" w:ascii="宋体" w:hAnsi="宋体" w:cs="楷体"/>
          <w:sz w:val="24"/>
        </w:rPr>
        <w:t>mm</w:t>
      </w:r>
      <w:r>
        <w:rPr>
          <w:rFonts w:ascii="宋体" w:hAnsi="宋体" w:cs="楷体"/>
          <w:sz w:val="24"/>
        </w:rPr>
        <w:t>×400</w:t>
      </w:r>
      <w:r>
        <w:rPr>
          <w:rFonts w:hint="eastAsia" w:ascii="宋体" w:hAnsi="宋体" w:cs="楷体"/>
          <w:sz w:val="24"/>
        </w:rPr>
        <w:t>mm；安全工作负重≥2</w:t>
      </w:r>
      <w:r>
        <w:rPr>
          <w:rFonts w:ascii="宋体" w:hAnsi="宋体" w:cs="楷体"/>
          <w:sz w:val="24"/>
        </w:rPr>
        <w:t>5</w:t>
      </w:r>
      <w:r>
        <w:rPr>
          <w:rFonts w:hint="eastAsia" w:ascii="宋体" w:hAnsi="宋体" w:cs="楷体"/>
          <w:sz w:val="24"/>
        </w:rPr>
        <w:t>KG；</w:t>
      </w:r>
    </w:p>
    <w:p>
      <w:pPr>
        <w:keepNext w:val="0"/>
        <w:keepLines w:val="0"/>
        <w:pageBreakBefore w:val="0"/>
        <w:kinsoku/>
        <w:wordWrap/>
        <w:overflowPunct/>
        <w:topLinePunct w:val="0"/>
        <w:bidi w:val="0"/>
        <w:snapToGrid w:val="0"/>
        <w:spacing w:line="340" w:lineRule="exact"/>
        <w:textAlignment w:val="auto"/>
        <w:rPr>
          <w:rFonts w:ascii="宋体" w:hAnsi="宋体" w:cs="楷体"/>
          <w:sz w:val="24"/>
        </w:rPr>
      </w:pPr>
      <w:r>
        <w:rPr>
          <w:rFonts w:hint="eastAsia" w:ascii="宋体" w:hAnsi="宋体" w:cs="楷体"/>
          <w:sz w:val="24"/>
        </w:rPr>
        <w:t>11.2、功能：高度</w:t>
      </w:r>
      <w:r>
        <w:rPr>
          <w:rFonts w:ascii="宋体" w:hAnsi="宋体" w:cs="楷体"/>
          <w:sz w:val="24"/>
        </w:rPr>
        <w:t>可</w:t>
      </w:r>
      <w:r>
        <w:rPr>
          <w:rFonts w:hint="eastAsia" w:ascii="宋体" w:hAnsi="宋体" w:cs="楷体"/>
          <w:sz w:val="24"/>
        </w:rPr>
        <w:t>升降≥</w:t>
      </w:r>
      <w:r>
        <w:rPr>
          <w:rFonts w:ascii="宋体" w:hAnsi="宋体" w:cs="楷体"/>
          <w:sz w:val="24"/>
        </w:rPr>
        <w:t>760-1070</w:t>
      </w:r>
      <w:r>
        <w:rPr>
          <w:rFonts w:hint="eastAsia" w:ascii="宋体" w:hAnsi="宋体" w:cs="楷体"/>
          <w:sz w:val="24"/>
        </w:rPr>
        <w:t>mm；</w:t>
      </w:r>
    </w:p>
    <w:p>
      <w:pPr>
        <w:keepNext w:val="0"/>
        <w:keepLines w:val="0"/>
        <w:pageBreakBefore w:val="0"/>
        <w:kinsoku/>
        <w:wordWrap/>
        <w:overflowPunct/>
        <w:topLinePunct w:val="0"/>
        <w:bidi w:val="0"/>
        <w:snapToGrid w:val="0"/>
        <w:spacing w:line="340" w:lineRule="exact"/>
        <w:textAlignment w:val="auto"/>
        <w:rPr>
          <w:rFonts w:ascii="宋体" w:hAnsi="宋体" w:cs="楷体"/>
          <w:sz w:val="24"/>
        </w:rPr>
      </w:pPr>
      <w:r>
        <w:rPr>
          <w:rFonts w:hint="eastAsia" w:ascii="宋体" w:hAnsi="宋体" w:cs="楷体"/>
          <w:sz w:val="24"/>
        </w:rPr>
        <w:t>11.3、优质低碳钢支架，喷粉表面；</w:t>
      </w:r>
    </w:p>
    <w:p>
      <w:pPr>
        <w:pStyle w:val="112"/>
        <w:keepNext w:val="0"/>
        <w:keepLines w:val="0"/>
        <w:pageBreakBefore w:val="0"/>
        <w:numPr>
          <w:ilvl w:val="1"/>
          <w:numId w:val="18"/>
        </w:numPr>
        <w:kinsoku/>
        <w:wordWrap/>
        <w:overflowPunct/>
        <w:topLinePunct w:val="0"/>
        <w:bidi w:val="0"/>
        <w:snapToGrid w:val="0"/>
        <w:spacing w:line="340" w:lineRule="exact"/>
        <w:ind w:firstLineChars="0"/>
        <w:textAlignment w:val="auto"/>
        <w:rPr>
          <w:rFonts w:ascii="宋体" w:hAnsi="宋体" w:cs="楷体"/>
          <w:sz w:val="24"/>
        </w:rPr>
      </w:pPr>
      <w:r>
        <w:rPr>
          <w:rFonts w:hint="eastAsia" w:ascii="宋体" w:hAnsi="宋体" w:cs="楷体"/>
          <w:sz w:val="24"/>
        </w:rPr>
        <w:t>≥</w:t>
      </w:r>
      <w:r>
        <w:rPr>
          <w:rFonts w:ascii="宋体" w:hAnsi="宋体" w:cs="楷体"/>
          <w:sz w:val="24"/>
        </w:rPr>
        <w:t>25mm</w:t>
      </w:r>
      <w:r>
        <w:rPr>
          <w:rFonts w:hint="eastAsia" w:ascii="宋体" w:hAnsi="宋体" w:cs="楷体"/>
          <w:sz w:val="24"/>
        </w:rPr>
        <w:t>厚高吹塑</w:t>
      </w:r>
      <w:r>
        <w:rPr>
          <w:rFonts w:ascii="宋体" w:hAnsi="宋体" w:cs="楷体"/>
          <w:sz w:val="24"/>
        </w:rPr>
        <w:t>面板</w:t>
      </w:r>
      <w:r>
        <w:rPr>
          <w:rFonts w:hint="eastAsia" w:ascii="宋体" w:hAnsi="宋体" w:cs="楷体"/>
          <w:sz w:val="24"/>
        </w:rPr>
        <w:t>，颜色可选</w:t>
      </w:r>
      <w:r>
        <w:rPr>
          <w:rFonts w:ascii="宋体" w:hAnsi="宋体" w:cs="楷体"/>
          <w:sz w:val="24"/>
        </w:rPr>
        <w:t>蓝色或</w:t>
      </w:r>
      <w:r>
        <w:rPr>
          <w:rFonts w:hint="eastAsia" w:ascii="宋体" w:hAnsi="宋体" w:cs="楷体"/>
          <w:sz w:val="24"/>
        </w:rPr>
        <w:t>灰色；</w:t>
      </w:r>
    </w:p>
    <w:p>
      <w:pPr>
        <w:pStyle w:val="112"/>
        <w:keepNext w:val="0"/>
        <w:keepLines w:val="0"/>
        <w:pageBreakBefore w:val="0"/>
        <w:numPr>
          <w:ilvl w:val="1"/>
          <w:numId w:val="18"/>
        </w:numPr>
        <w:kinsoku/>
        <w:wordWrap/>
        <w:overflowPunct/>
        <w:topLinePunct w:val="0"/>
        <w:bidi w:val="0"/>
        <w:snapToGrid w:val="0"/>
        <w:spacing w:line="340" w:lineRule="exact"/>
        <w:ind w:firstLineChars="0"/>
        <w:textAlignment w:val="auto"/>
        <w:rPr>
          <w:rFonts w:ascii="宋体" w:hAnsi="宋体" w:cs="楷体"/>
          <w:sz w:val="24"/>
        </w:rPr>
      </w:pPr>
      <w:r>
        <w:rPr>
          <w:rFonts w:hint="eastAsia" w:ascii="宋体" w:hAnsi="宋体" w:cs="楷体"/>
          <w:sz w:val="24"/>
        </w:rPr>
        <w:t>受压锁紧结构，向上提高桌面板无需扣动控制手柄；</w:t>
      </w:r>
    </w:p>
    <w:p>
      <w:pPr>
        <w:keepNext w:val="0"/>
        <w:keepLines w:val="0"/>
        <w:pageBreakBefore w:val="0"/>
        <w:kinsoku/>
        <w:wordWrap/>
        <w:overflowPunct/>
        <w:topLinePunct w:val="0"/>
        <w:bidi w:val="0"/>
        <w:snapToGrid w:val="0"/>
        <w:spacing w:line="340" w:lineRule="exact"/>
        <w:textAlignment w:val="auto"/>
        <w:rPr>
          <w:rFonts w:ascii="宋体" w:hAnsi="宋体" w:cs="楷体"/>
          <w:sz w:val="24"/>
        </w:rPr>
      </w:pPr>
      <w:r>
        <w:rPr>
          <w:rFonts w:hint="eastAsia" w:ascii="宋体" w:hAnsi="宋体" w:cs="楷体"/>
          <w:sz w:val="24"/>
        </w:rPr>
        <w:t>11.6、直径≥</w:t>
      </w:r>
      <w:r>
        <w:rPr>
          <w:rFonts w:ascii="宋体" w:hAnsi="宋体" w:cs="楷体"/>
          <w:sz w:val="24"/>
        </w:rPr>
        <w:t>50mm</w:t>
      </w:r>
      <w:r>
        <w:rPr>
          <w:rFonts w:hint="eastAsia" w:ascii="宋体" w:hAnsi="宋体" w:cs="楷体"/>
          <w:sz w:val="24"/>
        </w:rPr>
        <w:t>脚轮，灵活安全；</w:t>
      </w:r>
    </w:p>
    <w:p>
      <w:pPr>
        <w:keepNext w:val="0"/>
        <w:keepLines w:val="0"/>
        <w:pageBreakBefore w:val="0"/>
        <w:kinsoku/>
        <w:wordWrap/>
        <w:overflowPunct/>
        <w:topLinePunct w:val="0"/>
        <w:bidi w:val="0"/>
        <w:snapToGrid w:val="0"/>
        <w:spacing w:line="340" w:lineRule="exact"/>
        <w:textAlignment w:val="auto"/>
        <w:rPr>
          <w:rFonts w:ascii="宋体" w:hAnsi="宋体" w:cs="楷体"/>
          <w:sz w:val="24"/>
        </w:rPr>
      </w:pPr>
      <w:r>
        <w:rPr>
          <w:rFonts w:hint="eastAsia" w:ascii="宋体" w:hAnsi="宋体" w:cs="楷体"/>
          <w:sz w:val="24"/>
        </w:rPr>
        <w:t>12、每床配置输液架1支</w:t>
      </w:r>
    </w:p>
    <w:p>
      <w:pPr>
        <w:keepNext w:val="0"/>
        <w:keepLines w:val="0"/>
        <w:pageBreakBefore w:val="0"/>
        <w:kinsoku/>
        <w:wordWrap/>
        <w:overflowPunct/>
        <w:topLinePunct w:val="0"/>
        <w:bidi w:val="0"/>
        <w:spacing w:line="340" w:lineRule="exact"/>
        <w:textAlignment w:val="auto"/>
        <w:rPr>
          <w:rFonts w:ascii="宋体" w:hAnsi="宋体" w:cs="楷体"/>
          <w:sz w:val="24"/>
        </w:rPr>
      </w:pPr>
      <w:r>
        <w:rPr>
          <w:rFonts w:hint="eastAsia" w:ascii="宋体" w:hAnsi="宋体" w:cs="楷体"/>
          <w:sz w:val="24"/>
        </w:rPr>
        <w:t>12.1、内外管及挂钩为不锈钢材质；</w:t>
      </w:r>
    </w:p>
    <w:p>
      <w:pPr>
        <w:keepNext w:val="0"/>
        <w:keepLines w:val="0"/>
        <w:pageBreakBefore w:val="0"/>
        <w:kinsoku/>
        <w:wordWrap/>
        <w:overflowPunct/>
        <w:topLinePunct w:val="0"/>
        <w:bidi w:val="0"/>
        <w:spacing w:line="340" w:lineRule="exact"/>
        <w:textAlignment w:val="auto"/>
        <w:rPr>
          <w:rFonts w:ascii="宋体" w:hAnsi="宋体" w:cs="楷体"/>
          <w:sz w:val="24"/>
        </w:rPr>
      </w:pPr>
      <w:r>
        <w:rPr>
          <w:rFonts w:hint="eastAsia" w:ascii="宋体" w:hAnsi="宋体" w:cs="楷体"/>
          <w:sz w:val="24"/>
        </w:rPr>
        <w:t>12.2、带锁紧装置，可调高度；</w:t>
      </w:r>
    </w:p>
    <w:p>
      <w:pPr>
        <w:keepNext w:val="0"/>
        <w:keepLines w:val="0"/>
        <w:pageBreakBefore w:val="0"/>
        <w:kinsoku/>
        <w:wordWrap/>
        <w:overflowPunct/>
        <w:topLinePunct w:val="0"/>
        <w:bidi w:val="0"/>
        <w:spacing w:line="340" w:lineRule="exact"/>
        <w:textAlignment w:val="auto"/>
        <w:rPr>
          <w:rFonts w:ascii="宋体" w:hAnsi="宋体" w:cs="楷体"/>
          <w:sz w:val="24"/>
        </w:rPr>
      </w:pPr>
      <w:r>
        <w:rPr>
          <w:rFonts w:hint="eastAsia" w:ascii="宋体" w:hAnsi="宋体" w:cs="楷体"/>
          <w:sz w:val="24"/>
        </w:rPr>
        <w:t>12.3、四钩设计使用更安全、方便；</w:t>
      </w:r>
    </w:p>
    <w:p>
      <w:pPr>
        <w:keepNext w:val="0"/>
        <w:keepLines w:val="0"/>
        <w:pageBreakBefore w:val="0"/>
        <w:widowControl/>
        <w:kinsoku/>
        <w:wordWrap/>
        <w:overflowPunct/>
        <w:topLinePunct w:val="0"/>
        <w:bidi w:val="0"/>
        <w:spacing w:line="340" w:lineRule="exact"/>
        <w:jc w:val="left"/>
        <w:textAlignment w:val="auto"/>
        <w:rPr>
          <w:rFonts w:cs="楷体" w:asciiTheme="majorEastAsia" w:hAnsiTheme="majorEastAsia" w:eastAsiaTheme="majorEastAsia"/>
          <w:color w:val="000000" w:themeColor="text1"/>
          <w:sz w:val="24"/>
        </w:rPr>
      </w:pPr>
      <w:r>
        <w:rPr>
          <w:rFonts w:hint="eastAsia" w:ascii="宋体" w:hAnsi="宋体" w:cs="楷体"/>
          <w:sz w:val="24"/>
        </w:rPr>
        <w:t>12.4、安全工作负重≥10</w:t>
      </w:r>
      <w:r>
        <w:rPr>
          <w:rFonts w:ascii="宋体" w:hAnsi="宋体" w:cs="楷体"/>
          <w:sz w:val="24"/>
        </w:rPr>
        <w:t>Kg</w:t>
      </w:r>
      <w:r>
        <w:rPr>
          <w:rFonts w:hint="eastAsia" w:ascii="宋体" w:hAnsi="宋体" w:cs="楷体"/>
          <w:sz w:val="24"/>
        </w:rPr>
        <w:t>。</w:t>
      </w:r>
    </w:p>
    <w:p>
      <w:pPr>
        <w:pStyle w:val="3"/>
        <w:pageBreakBefore w:val="0"/>
        <w:widowControl w:val="0"/>
        <w:numPr>
          <w:ilvl w:val="0"/>
          <w:numId w:val="4"/>
        </w:numPr>
        <w:kinsoku/>
        <w:wordWrap/>
        <w:overflowPunct/>
        <w:topLinePunct w:val="0"/>
        <w:autoSpaceDE/>
        <w:autoSpaceDN/>
        <w:bidi w:val="0"/>
        <w:spacing w:before="0" w:beforeAutospacing="0" w:after="0" w:line="400" w:lineRule="exact"/>
        <w:ind w:left="616" w:hanging="616"/>
        <w:jc w:val="left"/>
        <w:textAlignment w:val="auto"/>
        <w:rPr>
          <w:rFonts w:ascii="宋体" w:hAnsi="宋体"/>
          <w:bCs w:val="0"/>
          <w:sz w:val="30"/>
          <w:szCs w:val="30"/>
          <w:lang w:val="zh-CN"/>
        </w:rPr>
      </w:pPr>
      <w:bookmarkStart w:id="86" w:name="_GoBack"/>
      <w:r>
        <w:rPr>
          <w:rFonts w:hint="eastAsia" w:ascii="宋体" w:hAnsi="宋体"/>
          <w:bCs w:val="0"/>
          <w:sz w:val="30"/>
          <w:szCs w:val="30"/>
          <w:lang w:val="zh-CN"/>
        </w:rPr>
        <w:t>概述及简介</w:t>
      </w:r>
      <w:bookmarkEnd w:id="26"/>
      <w:bookmarkEnd w:id="27"/>
      <w:bookmarkStart w:id="30" w:name="_Toc494561954"/>
      <w:bookmarkStart w:id="31" w:name="_Toc495861535"/>
    </w:p>
    <w:p>
      <w:pPr>
        <w:pStyle w:val="39"/>
        <w:pageBreakBefore w:val="0"/>
        <w:widowControl w:val="0"/>
        <w:kinsoku/>
        <w:wordWrap/>
        <w:overflowPunct/>
        <w:topLinePunct w:val="0"/>
        <w:autoSpaceDE/>
        <w:autoSpaceDN/>
        <w:bidi w:val="0"/>
        <w:spacing w:beforeAutospacing="0" w:line="400" w:lineRule="exact"/>
        <w:textAlignment w:val="auto"/>
      </w:pPr>
      <w:r>
        <w:rPr>
          <w:rFonts w:hint="eastAsia"/>
        </w:rPr>
        <w:t>无</w:t>
      </w:r>
    </w:p>
    <w:p>
      <w:pPr>
        <w:pStyle w:val="3"/>
        <w:pageBreakBefore w:val="0"/>
        <w:widowControl w:val="0"/>
        <w:numPr>
          <w:ilvl w:val="0"/>
          <w:numId w:val="4"/>
        </w:numPr>
        <w:kinsoku/>
        <w:wordWrap/>
        <w:overflowPunct/>
        <w:topLinePunct w:val="0"/>
        <w:autoSpaceDE/>
        <w:autoSpaceDN/>
        <w:bidi w:val="0"/>
        <w:spacing w:before="0" w:beforeAutospacing="0" w:after="0" w:line="400" w:lineRule="exact"/>
        <w:ind w:left="616" w:hanging="616"/>
        <w:jc w:val="left"/>
        <w:textAlignment w:val="auto"/>
        <w:rPr>
          <w:rFonts w:ascii="宋体" w:hAnsi="宋体"/>
          <w:bCs w:val="0"/>
          <w:sz w:val="30"/>
          <w:szCs w:val="30"/>
          <w:lang w:val="zh-CN"/>
        </w:rPr>
      </w:pPr>
      <w:r>
        <w:rPr>
          <w:rFonts w:hint="eastAsia" w:ascii="宋体" w:hAnsi="宋体"/>
          <w:bCs w:val="0"/>
          <w:sz w:val="30"/>
          <w:szCs w:val="30"/>
          <w:lang w:val="zh-CN"/>
        </w:rPr>
        <w:t>国家相关行政主管部门颁布的强制标准、规范</w:t>
      </w:r>
      <w:bookmarkEnd w:id="30"/>
      <w:bookmarkEnd w:id="31"/>
    </w:p>
    <w:p>
      <w:pPr>
        <w:pageBreakBefore w:val="0"/>
        <w:widowControl w:val="0"/>
        <w:kinsoku/>
        <w:wordWrap/>
        <w:overflowPunct/>
        <w:topLinePunct w:val="0"/>
        <w:autoSpaceDE/>
        <w:autoSpaceDN/>
        <w:bidi w:val="0"/>
        <w:spacing w:beforeAutospacing="0" w:line="400" w:lineRule="exact"/>
        <w:ind w:firstLine="475" w:firstLineChars="198"/>
        <w:textAlignment w:val="auto"/>
        <w:rPr>
          <w:rFonts w:ascii="宋体" w:hAnsi="宋体" w:cs="Helvetica"/>
          <w:kern w:val="0"/>
          <w:sz w:val="24"/>
        </w:rPr>
      </w:pPr>
      <w:r>
        <w:rPr>
          <w:rFonts w:ascii="宋体" w:hAnsi="宋体" w:cs="Helvetica"/>
          <w:kern w:val="0"/>
          <w:sz w:val="24"/>
        </w:rPr>
        <w:t>采购</w:t>
      </w:r>
      <w:r>
        <w:rPr>
          <w:rFonts w:hint="eastAsia" w:ascii="宋体" w:hAnsi="宋体" w:cs="Helvetica"/>
          <w:kern w:val="0"/>
          <w:sz w:val="24"/>
        </w:rPr>
        <w:t>内容</w:t>
      </w:r>
      <w:r>
        <w:rPr>
          <w:rFonts w:ascii="宋体" w:hAnsi="宋体" w:cs="Helvetica"/>
          <w:kern w:val="0"/>
          <w:sz w:val="24"/>
        </w:rPr>
        <w:t>需执行的国家相关标准、行业标准、地方标准或者其他标准、规范</w:t>
      </w:r>
      <w:r>
        <w:rPr>
          <w:rFonts w:hint="eastAsia" w:ascii="宋体" w:hAnsi="宋体" w:cs="Helvetica"/>
          <w:kern w:val="0"/>
          <w:sz w:val="24"/>
        </w:rPr>
        <w:t>。</w:t>
      </w:r>
    </w:p>
    <w:bookmarkEnd w:id="24"/>
    <w:bookmarkEnd w:id="25"/>
    <w:p>
      <w:pPr>
        <w:pStyle w:val="3"/>
        <w:pageBreakBefore w:val="0"/>
        <w:widowControl w:val="0"/>
        <w:numPr>
          <w:ilvl w:val="0"/>
          <w:numId w:val="4"/>
        </w:numPr>
        <w:kinsoku/>
        <w:wordWrap/>
        <w:overflowPunct/>
        <w:topLinePunct w:val="0"/>
        <w:autoSpaceDE/>
        <w:autoSpaceDN/>
        <w:bidi w:val="0"/>
        <w:spacing w:before="0" w:beforeAutospacing="0" w:after="0" w:line="400" w:lineRule="exact"/>
        <w:ind w:left="616" w:hanging="616"/>
        <w:jc w:val="left"/>
        <w:textAlignment w:val="auto"/>
        <w:rPr>
          <w:rFonts w:ascii="宋体" w:hAnsi="宋体"/>
          <w:highlight w:val="none"/>
        </w:rPr>
      </w:pPr>
      <w:bookmarkStart w:id="32" w:name="_Toc494561955"/>
      <w:bookmarkStart w:id="33" w:name="_Toc495861536"/>
      <w:r>
        <w:rPr>
          <w:rFonts w:hint="eastAsia" w:ascii="宋体" w:hAnsi="宋体"/>
          <w:bCs w:val="0"/>
          <w:sz w:val="30"/>
          <w:szCs w:val="30"/>
          <w:highlight w:val="none"/>
          <w:lang w:val="zh-CN"/>
        </w:rPr>
        <w:t>技术要求</w:t>
      </w:r>
      <w:bookmarkEnd w:id="32"/>
      <w:bookmarkEnd w:id="33"/>
    </w:p>
    <w:p>
      <w:pPr>
        <w:pageBreakBefore w:val="0"/>
        <w:widowControl w:val="0"/>
        <w:kinsoku/>
        <w:wordWrap/>
        <w:overflowPunct/>
        <w:topLinePunct w:val="0"/>
        <w:autoSpaceDE/>
        <w:autoSpaceDN/>
        <w:bidi w:val="0"/>
        <w:adjustRightInd w:val="0"/>
        <w:snapToGrid w:val="0"/>
        <w:spacing w:beforeAutospacing="0" w:line="400" w:lineRule="exact"/>
        <w:ind w:right="378" w:rightChars="135"/>
        <w:textAlignment w:val="auto"/>
        <w:rPr>
          <w:rFonts w:ascii="宋体" w:hAnsi="宋体" w:cs="宋体"/>
          <w:bCs/>
          <w:sz w:val="24"/>
          <w:highlight w:val="none"/>
        </w:rPr>
      </w:pPr>
      <w:r>
        <w:rPr>
          <w:rFonts w:hint="eastAsia" w:ascii="宋体" w:hAnsi="宋体" w:cs="宋体"/>
          <w:bCs/>
          <w:sz w:val="24"/>
          <w:highlight w:val="none"/>
        </w:rPr>
        <w:t>1. 行业标准：所提供的货物是符合国家有关质量标准及规范。</w:t>
      </w:r>
    </w:p>
    <w:p>
      <w:pPr>
        <w:pageBreakBefore w:val="0"/>
        <w:widowControl w:val="0"/>
        <w:kinsoku/>
        <w:wordWrap/>
        <w:overflowPunct/>
        <w:topLinePunct w:val="0"/>
        <w:autoSpaceDE/>
        <w:autoSpaceDN/>
        <w:bidi w:val="0"/>
        <w:adjustRightInd w:val="0"/>
        <w:snapToGrid w:val="0"/>
        <w:spacing w:beforeAutospacing="0" w:line="400" w:lineRule="exact"/>
        <w:ind w:right="378" w:rightChars="135"/>
        <w:textAlignment w:val="auto"/>
        <w:rPr>
          <w:rFonts w:ascii="宋体" w:hAnsi="宋体" w:cs="宋体"/>
          <w:bCs/>
          <w:sz w:val="24"/>
          <w:highlight w:val="none"/>
        </w:rPr>
      </w:pPr>
      <w:r>
        <w:rPr>
          <w:rFonts w:hint="eastAsia" w:ascii="宋体" w:hAnsi="宋体" w:cs="宋体"/>
          <w:bCs/>
          <w:sz w:val="24"/>
          <w:highlight w:val="none"/>
        </w:rPr>
        <w:t>2. 验收标准：采购人严格按照采购文件的要求对货物进行验收。</w:t>
      </w:r>
    </w:p>
    <w:p>
      <w:pPr>
        <w:pageBreakBefore w:val="0"/>
        <w:widowControl w:val="0"/>
        <w:kinsoku/>
        <w:wordWrap/>
        <w:overflowPunct/>
        <w:topLinePunct w:val="0"/>
        <w:autoSpaceDE/>
        <w:autoSpaceDN/>
        <w:bidi w:val="0"/>
        <w:adjustRightInd w:val="0"/>
        <w:snapToGrid w:val="0"/>
        <w:spacing w:beforeAutospacing="0" w:line="400" w:lineRule="exact"/>
        <w:ind w:right="378" w:rightChars="135"/>
        <w:textAlignment w:val="auto"/>
        <w:rPr>
          <w:rFonts w:ascii="宋体" w:hAnsi="宋体" w:cs="宋体"/>
          <w:bCs/>
          <w:sz w:val="24"/>
          <w:highlight w:val="none"/>
        </w:rPr>
      </w:pPr>
      <w:r>
        <w:rPr>
          <w:rFonts w:hint="eastAsia" w:ascii="宋体" w:hAnsi="宋体" w:cs="宋体"/>
          <w:bCs/>
          <w:sz w:val="24"/>
          <w:highlight w:val="none"/>
        </w:rPr>
        <w:t>3. 投标人所投产品须为全新，未开封且包装完整的产品。</w:t>
      </w:r>
    </w:p>
    <w:p>
      <w:pPr>
        <w:pageBreakBefore w:val="0"/>
        <w:widowControl w:val="0"/>
        <w:kinsoku/>
        <w:wordWrap/>
        <w:overflowPunct/>
        <w:topLinePunct w:val="0"/>
        <w:autoSpaceDE/>
        <w:autoSpaceDN/>
        <w:bidi w:val="0"/>
        <w:adjustRightInd w:val="0"/>
        <w:snapToGrid w:val="0"/>
        <w:spacing w:beforeAutospacing="0" w:line="400" w:lineRule="exact"/>
        <w:ind w:right="378" w:rightChars="135"/>
        <w:textAlignment w:val="auto"/>
        <w:rPr>
          <w:rFonts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 投标人必须对产品的技术资料、参数等做出说明。</w:t>
      </w:r>
    </w:p>
    <w:p>
      <w:pPr>
        <w:pageBreakBefore w:val="0"/>
        <w:widowControl w:val="0"/>
        <w:kinsoku/>
        <w:wordWrap/>
        <w:overflowPunct/>
        <w:topLinePunct w:val="0"/>
        <w:autoSpaceDE/>
        <w:autoSpaceDN/>
        <w:bidi w:val="0"/>
        <w:adjustRightInd w:val="0"/>
        <w:snapToGrid w:val="0"/>
        <w:spacing w:beforeAutospacing="0" w:line="400" w:lineRule="exact"/>
        <w:ind w:right="378" w:rightChars="135"/>
        <w:textAlignment w:val="auto"/>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 应列出技术、售后服务内容。</w:t>
      </w:r>
    </w:p>
    <w:p>
      <w:pPr>
        <w:pageBreakBefore w:val="0"/>
        <w:widowControl w:val="0"/>
        <w:kinsoku/>
        <w:wordWrap/>
        <w:overflowPunct/>
        <w:topLinePunct w:val="0"/>
        <w:autoSpaceDE/>
        <w:autoSpaceDN/>
        <w:bidi w:val="0"/>
        <w:adjustRightInd w:val="0"/>
        <w:snapToGrid w:val="0"/>
        <w:spacing w:beforeAutospacing="0" w:line="400" w:lineRule="exact"/>
        <w:ind w:right="378" w:rightChars="135"/>
        <w:textAlignment w:val="auto"/>
        <w:rPr>
          <w:rFonts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 应对质保期内容、时间作出承诺。</w:t>
      </w:r>
    </w:p>
    <w:p>
      <w:pPr>
        <w:pageBreakBefore w:val="0"/>
        <w:widowControl w:val="0"/>
        <w:kinsoku/>
        <w:wordWrap/>
        <w:overflowPunct/>
        <w:topLinePunct w:val="0"/>
        <w:autoSpaceDE/>
        <w:autoSpaceDN/>
        <w:bidi w:val="0"/>
        <w:adjustRightInd w:val="0"/>
        <w:snapToGrid w:val="0"/>
        <w:spacing w:beforeAutospacing="0" w:line="400" w:lineRule="exact"/>
        <w:ind w:right="378" w:rightChars="135"/>
        <w:textAlignment w:val="auto"/>
        <w:rPr>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 质保期内提供免费 7*24 电话支持服务。</w:t>
      </w:r>
    </w:p>
    <w:p>
      <w:pPr>
        <w:pageBreakBefore w:val="0"/>
        <w:widowControl w:val="0"/>
        <w:kinsoku/>
        <w:wordWrap/>
        <w:overflowPunct/>
        <w:topLinePunct w:val="0"/>
        <w:autoSpaceDE/>
        <w:autoSpaceDN/>
        <w:bidi w:val="0"/>
        <w:adjustRightInd w:val="0"/>
        <w:snapToGrid w:val="0"/>
        <w:spacing w:beforeAutospacing="0" w:line="400" w:lineRule="exact"/>
        <w:ind w:right="378" w:rightChars="135"/>
        <w:textAlignment w:val="auto"/>
        <w:rPr>
          <w:rFonts w:ascii="宋体" w:hAnsi="宋体" w:cs="宋体"/>
          <w:b/>
          <w:sz w:val="24"/>
          <w:highlight w:val="none"/>
        </w:rPr>
      </w:pPr>
      <w:r>
        <w:rPr>
          <w:rFonts w:hint="eastAsia" w:ascii="宋体" w:hAnsi="宋体" w:cs="宋体"/>
          <w:b/>
          <w:sz w:val="30"/>
          <w:szCs w:val="30"/>
          <w:highlight w:val="none"/>
          <w:lang w:val="zh-CN"/>
        </w:rPr>
        <w:t>五、合同草案</w:t>
      </w:r>
    </w:p>
    <w:p>
      <w:pPr>
        <w:pageBreakBefore w:val="0"/>
        <w:widowControl w:val="0"/>
        <w:numPr>
          <w:ilvl w:val="0"/>
          <w:numId w:val="19"/>
        </w:numPr>
        <w:kinsoku/>
        <w:wordWrap/>
        <w:overflowPunct/>
        <w:topLinePunct w:val="0"/>
        <w:autoSpaceDE/>
        <w:autoSpaceDN/>
        <w:bidi w:val="0"/>
        <w:spacing w:beforeAutospacing="0" w:line="400" w:lineRule="exact"/>
        <w:textAlignment w:val="auto"/>
        <w:rPr>
          <w:rFonts w:ascii="宋体" w:hAnsi="宋体" w:cs="宋体"/>
          <w:bCs/>
          <w:color w:val="000000"/>
          <w:sz w:val="24"/>
          <w:highlight w:val="none"/>
        </w:rPr>
      </w:pPr>
      <w:r>
        <w:rPr>
          <w:rFonts w:hint="eastAsia" w:ascii="宋体" w:hAnsi="宋体" w:cs="宋体"/>
          <w:bCs/>
          <w:color w:val="000000"/>
          <w:sz w:val="24"/>
          <w:highlight w:val="none"/>
        </w:rPr>
        <w:t>供货期：</w:t>
      </w:r>
      <w:r>
        <w:rPr>
          <w:rFonts w:hint="eastAsia" w:ascii="宋体" w:hAnsi="宋体" w:cs="宋体"/>
          <w:bCs/>
          <w:color w:val="auto"/>
          <w:sz w:val="24"/>
          <w:szCs w:val="24"/>
          <w:highlight w:val="none"/>
          <w:shd w:val="clear" w:color="auto" w:fill="FFFFFF"/>
          <w:lang w:eastAsia="zh-CN"/>
        </w:rPr>
        <w:t>合同签定生效后</w:t>
      </w:r>
      <w:r>
        <w:rPr>
          <w:rFonts w:hint="eastAsia" w:ascii="宋体" w:hAnsi="宋体" w:cs="宋体"/>
          <w:bCs/>
          <w:color w:val="auto"/>
          <w:sz w:val="24"/>
          <w:szCs w:val="24"/>
          <w:highlight w:val="none"/>
          <w:shd w:val="clear" w:color="auto" w:fill="FFFFFF"/>
          <w:lang w:val="en-US" w:eastAsia="zh-CN"/>
        </w:rPr>
        <w:t>20个日历天内完成交货及安装调试。</w:t>
      </w:r>
    </w:p>
    <w:p>
      <w:pPr>
        <w:pageBreakBefore w:val="0"/>
        <w:widowControl w:val="0"/>
        <w:kinsoku/>
        <w:wordWrap/>
        <w:overflowPunct/>
        <w:topLinePunct w:val="0"/>
        <w:autoSpaceDE/>
        <w:autoSpaceDN/>
        <w:bidi w:val="0"/>
        <w:spacing w:beforeAutospacing="0" w:line="400" w:lineRule="exact"/>
        <w:textAlignment w:val="auto"/>
        <w:rPr>
          <w:rFonts w:ascii="宋体" w:hAnsi="宋体" w:cs="宋体"/>
          <w:bCs/>
          <w:color w:val="000000"/>
          <w:sz w:val="24"/>
          <w:highlight w:val="none"/>
        </w:rPr>
      </w:pPr>
      <w:r>
        <w:rPr>
          <w:rFonts w:hint="eastAsia" w:ascii="宋体" w:hAnsi="宋体" w:cs="宋体"/>
          <w:bCs/>
          <w:color w:val="000000"/>
          <w:sz w:val="24"/>
          <w:highlight w:val="none"/>
        </w:rPr>
        <w:t>2、供货地点：采购人指定地点；</w:t>
      </w:r>
    </w:p>
    <w:p>
      <w:pPr>
        <w:pageBreakBefore w:val="0"/>
        <w:widowControl w:val="0"/>
        <w:kinsoku/>
        <w:wordWrap/>
        <w:overflowPunct/>
        <w:topLinePunct w:val="0"/>
        <w:autoSpaceDE/>
        <w:autoSpaceDN/>
        <w:bidi w:val="0"/>
        <w:spacing w:beforeAutospacing="0" w:line="400" w:lineRule="exact"/>
        <w:textAlignment w:val="auto"/>
        <w:rPr>
          <w:rFonts w:ascii="宋体" w:hAnsi="宋体" w:cs="宋体"/>
          <w:bCs/>
          <w:color w:val="000000"/>
          <w:sz w:val="24"/>
          <w:highlight w:val="none"/>
        </w:rPr>
      </w:pPr>
      <w:r>
        <w:rPr>
          <w:rFonts w:hint="eastAsia" w:ascii="宋体" w:hAnsi="宋体" w:cs="宋体"/>
          <w:bCs/>
          <w:color w:val="000000"/>
          <w:sz w:val="24"/>
          <w:highlight w:val="none"/>
        </w:rPr>
        <w:t>3、质保期：</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年（有特殊要求按实际情况提供质保），供应商须提供售后服务承诺函；</w:t>
      </w:r>
    </w:p>
    <w:p>
      <w:pPr>
        <w:pageBreakBefore w:val="0"/>
        <w:widowControl w:val="0"/>
        <w:kinsoku/>
        <w:wordWrap/>
        <w:overflowPunct/>
        <w:topLinePunct w:val="0"/>
        <w:autoSpaceDE/>
        <w:autoSpaceDN/>
        <w:bidi w:val="0"/>
        <w:spacing w:beforeAutospacing="0" w:line="400" w:lineRule="exact"/>
        <w:textAlignment w:val="auto"/>
        <w:rPr>
          <w:rFonts w:ascii="宋体" w:hAnsi="宋体" w:cs="宋体"/>
          <w:bCs/>
          <w:color w:val="000000"/>
          <w:sz w:val="24"/>
          <w:highlight w:val="none"/>
        </w:rPr>
      </w:pPr>
      <w:r>
        <w:rPr>
          <w:rFonts w:hint="eastAsia" w:ascii="宋体" w:hAnsi="宋体" w:cs="宋体"/>
          <w:bCs/>
          <w:color w:val="000000"/>
          <w:sz w:val="24"/>
          <w:highlight w:val="none"/>
        </w:rPr>
        <w:t>4、付款方式：</w:t>
      </w:r>
      <w:r>
        <w:rPr>
          <w:rFonts w:hint="eastAsia" w:ascii="宋体" w:hAnsi="宋体" w:cs="宋体"/>
          <w:color w:val="000000"/>
          <w:sz w:val="24"/>
          <w:szCs w:val="24"/>
          <w:highlight w:val="none"/>
        </w:rPr>
        <w:t>设备安装验收合格后付</w:t>
      </w:r>
      <w:r>
        <w:rPr>
          <w:rFonts w:hint="eastAsia" w:ascii="宋体" w:hAnsi="宋体" w:cs="宋体"/>
          <w:color w:val="000000"/>
          <w:sz w:val="24"/>
          <w:szCs w:val="24"/>
          <w:highlight w:val="none"/>
          <w:lang w:val="en-US" w:eastAsia="zh-CN"/>
        </w:rPr>
        <w:t>90</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，质保期满后付余款</w:t>
      </w:r>
      <w:r>
        <w:rPr>
          <w:rFonts w:hint="eastAsia" w:ascii="宋体" w:hAnsi="宋体" w:cs="宋体"/>
          <w:color w:val="000000"/>
          <w:sz w:val="24"/>
          <w:szCs w:val="24"/>
          <w:highlight w:val="none"/>
          <w:lang w:val="en-US" w:eastAsia="zh-CN"/>
        </w:rPr>
        <w:t>10%。</w:t>
      </w:r>
    </w:p>
    <w:p>
      <w:pPr>
        <w:pageBreakBefore w:val="0"/>
        <w:widowControl w:val="0"/>
        <w:kinsoku/>
        <w:wordWrap/>
        <w:overflowPunct/>
        <w:topLinePunct w:val="0"/>
        <w:autoSpaceDE/>
        <w:autoSpaceDN/>
        <w:bidi w:val="0"/>
        <w:spacing w:beforeAutospacing="0" w:line="400" w:lineRule="exact"/>
        <w:ind w:firstLine="475" w:firstLineChars="198"/>
        <w:jc w:val="left"/>
        <w:textAlignment w:val="auto"/>
        <w:rPr>
          <w:rFonts w:ascii="宋体" w:hAnsi="宋体" w:cs="Helvetica"/>
          <w:kern w:val="0"/>
          <w:sz w:val="24"/>
        </w:rPr>
      </w:pPr>
      <w:r>
        <w:rPr>
          <w:rFonts w:hint="eastAsia" w:ascii="宋体" w:hAnsi="宋体" w:cs="宋体"/>
          <w:bCs/>
          <w:color w:val="000000"/>
          <w:sz w:val="24"/>
        </w:rPr>
        <w:t>注：标准物质按采购清单日期供货，必须是采购日期近期生产的。</w:t>
      </w:r>
    </w:p>
    <w:bookmarkEnd w:id="86"/>
    <w:p>
      <w:pPr>
        <w:rPr>
          <w:b/>
          <w:color w:val="000000"/>
          <w:sz w:val="36"/>
          <w:szCs w:val="36"/>
        </w:rPr>
      </w:pPr>
      <w:r>
        <w:rPr>
          <w:b/>
          <w:color w:val="000000"/>
          <w:sz w:val="36"/>
          <w:szCs w:val="36"/>
        </w:rPr>
        <w:br w:type="page"/>
      </w:r>
    </w:p>
    <w:p>
      <w:pPr>
        <w:tabs>
          <w:tab w:val="left" w:pos="7665"/>
        </w:tabs>
        <w:ind w:firstLine="705" w:firstLineChars="196"/>
        <w:jc w:val="center"/>
        <w:outlineLvl w:val="1"/>
        <w:rPr>
          <w:rFonts w:eastAsia="仿宋_GB2312"/>
          <w:sz w:val="44"/>
          <w:szCs w:val="44"/>
        </w:rPr>
      </w:pPr>
      <w:bookmarkStart w:id="34" w:name="_Toc26272_WPSOffice_Level1"/>
      <w:bookmarkStart w:id="35" w:name="_Toc23042_WPSOffice_Level1"/>
      <w:r>
        <w:rPr>
          <w:color w:val="000000"/>
          <w:sz w:val="36"/>
          <w:szCs w:val="36"/>
        </w:rPr>
        <w:t>第四章</w:t>
      </w:r>
      <w:r>
        <w:rPr>
          <w:rFonts w:hint="eastAsia"/>
          <w:color w:val="000000"/>
          <w:sz w:val="36"/>
          <w:szCs w:val="36"/>
        </w:rPr>
        <w:t xml:space="preserve"> </w:t>
      </w:r>
      <w:r>
        <w:rPr>
          <w:color w:val="000000"/>
          <w:sz w:val="36"/>
          <w:szCs w:val="36"/>
        </w:rPr>
        <w:t>合同书</w:t>
      </w:r>
      <w:bookmarkEnd w:id="34"/>
      <w:bookmarkEnd w:id="35"/>
      <w:r>
        <w:rPr>
          <w:color w:val="000000"/>
          <w:sz w:val="36"/>
          <w:szCs w:val="36"/>
        </w:rPr>
        <w:t>（格式）</w:t>
      </w:r>
    </w:p>
    <w:p>
      <w:pPr>
        <w:spacing w:line="440" w:lineRule="exact"/>
        <w:jc w:val="center"/>
        <w:rPr>
          <w:rFonts w:eastAsia="仿宋_GB2312"/>
          <w:b/>
          <w:sz w:val="44"/>
          <w:szCs w:val="44"/>
        </w:rPr>
      </w:pPr>
    </w:p>
    <w:p>
      <w:pPr>
        <w:spacing w:line="36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39" w:firstLineChars="245"/>
        <w:rPr>
          <w:spacing w:val="-10"/>
          <w:sz w:val="24"/>
        </w:rPr>
      </w:pPr>
    </w:p>
    <w:p>
      <w:pPr>
        <w:spacing w:line="360" w:lineRule="auto"/>
        <w:ind w:firstLine="540"/>
        <w:jc w:val="center"/>
        <w:rPr>
          <w:b/>
          <w:kern w:val="0"/>
          <w:sz w:val="36"/>
          <w:szCs w:val="36"/>
        </w:rPr>
      </w:pPr>
      <w:r>
        <w:rPr>
          <w:b/>
          <w:kern w:val="0"/>
          <w:sz w:val="36"/>
          <w:szCs w:val="36"/>
        </w:rPr>
        <w:t>合同书</w:t>
      </w:r>
    </w:p>
    <w:p>
      <w:pPr>
        <w:autoSpaceDE w:val="0"/>
        <w:autoSpaceDN w:val="0"/>
        <w:adjustRightInd w:val="0"/>
        <w:spacing w:line="360" w:lineRule="auto"/>
        <w:ind w:firstLine="480" w:firstLineChars="200"/>
        <w:jc w:val="left"/>
        <w:rPr>
          <w:kern w:val="0"/>
          <w:sz w:val="24"/>
          <w:szCs w:val="20"/>
        </w:rPr>
      </w:pPr>
      <w:r>
        <w:rPr>
          <w:kern w:val="0"/>
          <w:sz w:val="24"/>
          <w:szCs w:val="20"/>
        </w:rPr>
        <w:t>项目名称：</w:t>
      </w:r>
    </w:p>
    <w:p>
      <w:pPr>
        <w:autoSpaceDE w:val="0"/>
        <w:autoSpaceDN w:val="0"/>
        <w:adjustRightInd w:val="0"/>
        <w:spacing w:line="360" w:lineRule="auto"/>
        <w:ind w:firstLine="480" w:firstLineChars="200"/>
        <w:jc w:val="left"/>
        <w:rPr>
          <w:kern w:val="0"/>
          <w:sz w:val="24"/>
          <w:szCs w:val="20"/>
        </w:rPr>
      </w:pPr>
      <w:r>
        <w:rPr>
          <w:kern w:val="0"/>
          <w:sz w:val="24"/>
          <w:szCs w:val="20"/>
        </w:rPr>
        <w:t>合同编号：</w:t>
      </w:r>
    </w:p>
    <w:p>
      <w:pPr>
        <w:autoSpaceDE w:val="0"/>
        <w:autoSpaceDN w:val="0"/>
        <w:adjustRightInd w:val="0"/>
        <w:spacing w:line="360" w:lineRule="auto"/>
        <w:ind w:firstLine="480" w:firstLineChars="200"/>
        <w:jc w:val="left"/>
        <w:rPr>
          <w:kern w:val="0"/>
          <w:sz w:val="24"/>
          <w:szCs w:val="20"/>
        </w:rPr>
      </w:pPr>
      <w:r>
        <w:rPr>
          <w:kern w:val="0"/>
          <w:sz w:val="24"/>
          <w:szCs w:val="20"/>
        </w:rPr>
        <w:t>签订日期：</w:t>
      </w:r>
    </w:p>
    <w:p>
      <w:pPr>
        <w:autoSpaceDE w:val="0"/>
        <w:autoSpaceDN w:val="0"/>
        <w:adjustRightInd w:val="0"/>
        <w:spacing w:line="360" w:lineRule="auto"/>
        <w:ind w:firstLine="480" w:firstLineChars="200"/>
        <w:rPr>
          <w:kern w:val="0"/>
          <w:sz w:val="24"/>
          <w:szCs w:val="20"/>
        </w:rPr>
      </w:pPr>
      <w:r>
        <w:rPr>
          <w:kern w:val="0"/>
          <w:sz w:val="24"/>
          <w:szCs w:val="20"/>
        </w:rPr>
        <w:t>签订合同地点：</w:t>
      </w:r>
    </w:p>
    <w:p>
      <w:pPr>
        <w:spacing w:line="360" w:lineRule="auto"/>
        <w:ind w:firstLine="480" w:firstLineChars="200"/>
        <w:rPr>
          <w:sz w:val="24"/>
          <w:szCs w:val="20"/>
        </w:rPr>
      </w:pPr>
      <w:r>
        <w:rPr>
          <w:sz w:val="24"/>
          <w:szCs w:val="20"/>
        </w:rPr>
        <w:t>本合同由（以下简称“需方”）与（以下简称“供方”）签订。</w:t>
      </w:r>
    </w:p>
    <w:p>
      <w:pPr>
        <w:autoSpaceDE w:val="0"/>
        <w:autoSpaceDN w:val="0"/>
        <w:adjustRightInd w:val="0"/>
        <w:spacing w:line="360" w:lineRule="auto"/>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360" w:lineRule="auto"/>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360" w:lineRule="auto"/>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360" w:lineRule="auto"/>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360" w:lineRule="auto"/>
        <w:ind w:firstLine="470" w:firstLineChars="196"/>
        <w:jc w:val="left"/>
        <w:rPr>
          <w:kern w:val="0"/>
          <w:sz w:val="24"/>
          <w:szCs w:val="20"/>
        </w:rPr>
      </w:pPr>
      <w:r>
        <w:rPr>
          <w:kern w:val="0"/>
          <w:sz w:val="24"/>
          <w:szCs w:val="20"/>
        </w:rPr>
        <w:t>4.合同文件</w:t>
      </w:r>
    </w:p>
    <w:p>
      <w:pPr>
        <w:autoSpaceDE w:val="0"/>
        <w:autoSpaceDN w:val="0"/>
        <w:adjustRightInd w:val="0"/>
        <w:spacing w:line="360" w:lineRule="auto"/>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360" w:lineRule="auto"/>
        <w:ind w:firstLine="480" w:firstLineChars="200"/>
        <w:jc w:val="left"/>
        <w:rPr>
          <w:kern w:val="0"/>
          <w:sz w:val="24"/>
          <w:szCs w:val="20"/>
        </w:rPr>
      </w:pPr>
      <w:r>
        <w:rPr>
          <w:kern w:val="0"/>
          <w:sz w:val="24"/>
          <w:szCs w:val="20"/>
        </w:rPr>
        <w:t>4.1谈判文件(编号：　　　　)；</w:t>
      </w:r>
    </w:p>
    <w:p>
      <w:pPr>
        <w:autoSpaceDE w:val="0"/>
        <w:autoSpaceDN w:val="0"/>
        <w:adjustRightInd w:val="0"/>
        <w:spacing w:line="360" w:lineRule="auto"/>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360" w:lineRule="auto"/>
        <w:ind w:firstLine="480" w:firstLineChars="200"/>
        <w:jc w:val="left"/>
        <w:rPr>
          <w:kern w:val="0"/>
          <w:sz w:val="24"/>
          <w:szCs w:val="20"/>
        </w:rPr>
      </w:pPr>
      <w:r>
        <w:rPr>
          <w:kern w:val="0"/>
          <w:sz w:val="24"/>
          <w:szCs w:val="20"/>
        </w:rPr>
        <w:t>4.3合同书；</w:t>
      </w:r>
    </w:p>
    <w:p>
      <w:pPr>
        <w:autoSpaceDE w:val="0"/>
        <w:autoSpaceDN w:val="0"/>
        <w:adjustRightInd w:val="0"/>
        <w:spacing w:line="360" w:lineRule="auto"/>
        <w:ind w:firstLine="480" w:firstLineChars="200"/>
        <w:rPr>
          <w:kern w:val="0"/>
          <w:sz w:val="24"/>
          <w:szCs w:val="20"/>
        </w:rPr>
      </w:pPr>
      <w:r>
        <w:rPr>
          <w:kern w:val="0"/>
          <w:sz w:val="24"/>
          <w:szCs w:val="20"/>
        </w:rPr>
        <w:t>4.4合同条款；</w:t>
      </w:r>
    </w:p>
    <w:p>
      <w:pPr>
        <w:autoSpaceDE w:val="0"/>
        <w:autoSpaceDN w:val="0"/>
        <w:adjustRightInd w:val="0"/>
        <w:spacing w:line="360" w:lineRule="auto"/>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360" w:lineRule="auto"/>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360" w:lineRule="auto"/>
        <w:ind w:firstLine="480" w:firstLineChars="200"/>
        <w:jc w:val="left"/>
        <w:rPr>
          <w:kern w:val="0"/>
          <w:sz w:val="24"/>
          <w:szCs w:val="20"/>
        </w:rPr>
      </w:pPr>
      <w:r>
        <w:rPr>
          <w:kern w:val="0"/>
          <w:sz w:val="24"/>
          <w:szCs w:val="20"/>
        </w:rPr>
        <w:t>5.合同范围和条件</w:t>
      </w:r>
    </w:p>
    <w:p>
      <w:pPr>
        <w:autoSpaceDE w:val="0"/>
        <w:autoSpaceDN w:val="0"/>
        <w:adjustRightInd w:val="0"/>
        <w:spacing w:line="360" w:lineRule="auto"/>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360" w:lineRule="auto"/>
        <w:ind w:firstLine="480" w:firstLineChars="200"/>
        <w:rPr>
          <w:kern w:val="0"/>
          <w:sz w:val="24"/>
          <w:szCs w:val="20"/>
        </w:rPr>
      </w:pPr>
      <w:r>
        <w:rPr>
          <w:kern w:val="0"/>
          <w:sz w:val="24"/>
          <w:szCs w:val="20"/>
        </w:rPr>
        <w:t>6.货物（服务）及数量</w:t>
      </w:r>
    </w:p>
    <w:p>
      <w:pPr>
        <w:spacing w:line="360" w:lineRule="auto"/>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360" w:lineRule="auto"/>
        <w:ind w:firstLine="480" w:firstLineChars="200"/>
        <w:rPr>
          <w:kern w:val="0"/>
          <w:sz w:val="24"/>
          <w:szCs w:val="20"/>
        </w:rPr>
      </w:pPr>
      <w:r>
        <w:rPr>
          <w:kern w:val="0"/>
          <w:sz w:val="24"/>
          <w:szCs w:val="20"/>
        </w:rPr>
        <w:t>7.付款方式</w:t>
      </w:r>
    </w:p>
    <w:p>
      <w:pPr>
        <w:autoSpaceDE w:val="0"/>
        <w:autoSpaceDN w:val="0"/>
        <w:adjustRightInd w:val="0"/>
        <w:spacing w:line="360" w:lineRule="auto"/>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360" w:lineRule="auto"/>
        <w:ind w:firstLine="480" w:firstLineChars="200"/>
        <w:rPr>
          <w:kern w:val="0"/>
          <w:sz w:val="24"/>
          <w:szCs w:val="20"/>
        </w:rPr>
      </w:pPr>
      <w:r>
        <w:rPr>
          <w:kern w:val="0"/>
          <w:sz w:val="24"/>
          <w:szCs w:val="20"/>
        </w:rPr>
        <w:t>8.合同金额</w:t>
      </w:r>
    </w:p>
    <w:p>
      <w:pPr>
        <w:autoSpaceDE w:val="0"/>
        <w:autoSpaceDN w:val="0"/>
        <w:adjustRightInd w:val="0"/>
        <w:spacing w:line="360" w:lineRule="auto"/>
        <w:ind w:firstLine="480" w:firstLineChars="200"/>
        <w:rPr>
          <w:kern w:val="0"/>
          <w:sz w:val="24"/>
          <w:szCs w:val="20"/>
        </w:rPr>
      </w:pPr>
      <w:r>
        <w:rPr>
          <w:kern w:val="0"/>
          <w:sz w:val="24"/>
          <w:szCs w:val="20"/>
        </w:rPr>
        <w:t>合同总金额：人民币</w:t>
      </w:r>
    </w:p>
    <w:p>
      <w:pPr>
        <w:autoSpaceDE w:val="0"/>
        <w:autoSpaceDN w:val="0"/>
        <w:adjustRightInd w:val="0"/>
        <w:spacing w:line="360" w:lineRule="auto"/>
        <w:ind w:firstLine="480" w:firstLineChars="200"/>
        <w:jc w:val="left"/>
        <w:rPr>
          <w:kern w:val="0"/>
          <w:sz w:val="24"/>
          <w:szCs w:val="20"/>
        </w:rPr>
      </w:pPr>
      <w:r>
        <w:rPr>
          <w:kern w:val="0"/>
          <w:sz w:val="24"/>
          <w:szCs w:val="20"/>
        </w:rPr>
        <w:t>9.实施时间和地点</w:t>
      </w:r>
    </w:p>
    <w:p>
      <w:pPr>
        <w:autoSpaceDE w:val="0"/>
        <w:autoSpaceDN w:val="0"/>
        <w:adjustRightInd w:val="0"/>
        <w:spacing w:line="360" w:lineRule="auto"/>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360" w:lineRule="auto"/>
        <w:ind w:firstLine="480" w:firstLineChars="200"/>
        <w:rPr>
          <w:kern w:val="0"/>
          <w:sz w:val="24"/>
          <w:szCs w:val="20"/>
        </w:rPr>
      </w:pPr>
      <w:r>
        <w:rPr>
          <w:kern w:val="0"/>
          <w:sz w:val="24"/>
          <w:szCs w:val="20"/>
        </w:rPr>
        <w:t>10.合同生效</w:t>
      </w:r>
    </w:p>
    <w:p>
      <w:pPr>
        <w:autoSpaceDE w:val="0"/>
        <w:autoSpaceDN w:val="0"/>
        <w:adjustRightInd w:val="0"/>
        <w:spacing w:line="360" w:lineRule="auto"/>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360" w:lineRule="auto"/>
        <w:ind w:firstLine="480" w:firstLineChars="200"/>
        <w:jc w:val="left"/>
        <w:rPr>
          <w:kern w:val="0"/>
          <w:sz w:val="24"/>
          <w:szCs w:val="20"/>
        </w:rPr>
      </w:pPr>
      <w:r>
        <w:rPr>
          <w:kern w:val="0"/>
          <w:sz w:val="24"/>
          <w:szCs w:val="20"/>
        </w:rPr>
        <w:t>11.合同的份数</w:t>
      </w:r>
    </w:p>
    <w:p>
      <w:pPr>
        <w:autoSpaceDE w:val="0"/>
        <w:autoSpaceDN w:val="0"/>
        <w:adjustRightInd w:val="0"/>
        <w:spacing w:line="360" w:lineRule="auto"/>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color w:val="FF0000"/>
          <w:kern w:val="0"/>
          <w:sz w:val="24"/>
          <w:szCs w:val="20"/>
        </w:rPr>
        <w:t>阳新县政府采购办公室、阳新县公共资源交易监督管理局各</w:t>
      </w:r>
      <w:r>
        <w:rPr>
          <w:color w:val="FF0000"/>
          <w:kern w:val="0"/>
          <w:sz w:val="24"/>
          <w:szCs w:val="20"/>
        </w:rPr>
        <w:t>壹份备案</w:t>
      </w:r>
      <w:r>
        <w:rPr>
          <w:kern w:val="0"/>
          <w:sz w:val="24"/>
          <w:szCs w:val="20"/>
        </w:rPr>
        <w:t>。</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tabs>
          <w:tab w:val="left" w:pos="7665"/>
        </w:tabs>
        <w:ind w:firstLine="480" w:firstLineChars="200"/>
        <w:outlineLvl w:val="1"/>
        <w:rPr>
          <w:rFonts w:eastAsia="仿宋_GB2312"/>
          <w:sz w:val="44"/>
          <w:szCs w:val="44"/>
        </w:rPr>
      </w:pPr>
      <w:r>
        <w:rPr>
          <w:kern w:val="0"/>
          <w:sz w:val="24"/>
          <w:szCs w:val="20"/>
        </w:rPr>
        <w:t>税　　号：</w:t>
      </w:r>
      <w:r>
        <w:rPr>
          <w:rFonts w:hint="eastAsia"/>
          <w:kern w:val="0"/>
          <w:sz w:val="24"/>
          <w:szCs w:val="20"/>
        </w:rPr>
        <w:t xml:space="preserve">                           </w:t>
      </w:r>
      <w:r>
        <w:rPr>
          <w:kern w:val="0"/>
          <w:sz w:val="24"/>
          <w:szCs w:val="20"/>
        </w:rPr>
        <w:t>税　　号：</w:t>
      </w:r>
    </w:p>
    <w:p>
      <w:pPr>
        <w:spacing w:line="440" w:lineRule="exact"/>
        <w:jc w:val="center"/>
        <w:rPr>
          <w:rFonts w:eastAsia="仿宋_GB2312"/>
          <w:b/>
          <w:sz w:val="44"/>
          <w:szCs w:val="44"/>
        </w:rPr>
      </w:pPr>
    </w:p>
    <w:p>
      <w:pPr>
        <w:adjustRightInd w:val="0"/>
        <w:snapToGrid w:val="0"/>
        <w:spacing w:beforeLines="50" w:afterLines="50" w:line="360" w:lineRule="auto"/>
        <w:rPr>
          <w:kern w:val="0"/>
          <w:sz w:val="24"/>
          <w:szCs w:val="20"/>
        </w:rPr>
      </w:pPr>
      <w:r>
        <w:rPr>
          <w:kern w:val="0"/>
          <w:sz w:val="24"/>
          <w:szCs w:val="20"/>
        </w:rPr>
        <w:br w:type="page"/>
      </w:r>
    </w:p>
    <w:p>
      <w:pPr>
        <w:adjustRightInd w:val="0"/>
        <w:snapToGrid w:val="0"/>
        <w:jc w:val="center"/>
        <w:outlineLvl w:val="0"/>
        <w:rPr>
          <w:color w:val="000000"/>
          <w:sz w:val="36"/>
          <w:szCs w:val="36"/>
        </w:rPr>
      </w:pPr>
      <w:bookmarkStart w:id="36" w:name="_Toc3996_WPSOffice_Level1"/>
      <w:bookmarkStart w:id="37" w:name="_Toc14698_WPSOffice_Level1"/>
      <w:r>
        <w:rPr>
          <w:color w:val="000000"/>
          <w:sz w:val="36"/>
          <w:szCs w:val="36"/>
        </w:rPr>
        <w:t>第五章响应文件格式</w:t>
      </w:r>
      <w:bookmarkEnd w:id="36"/>
      <w:bookmarkEnd w:id="37"/>
    </w:p>
    <w:p>
      <w:pPr>
        <w:adjustRightInd w:val="0"/>
        <w:snapToGrid w:val="0"/>
        <w:jc w:val="center"/>
        <w:outlineLvl w:val="0"/>
        <w:rPr>
          <w:b/>
          <w:color w:val="000000"/>
          <w:sz w:val="18"/>
          <w:szCs w:val="18"/>
        </w:rPr>
      </w:pPr>
    </w:p>
    <w:p>
      <w:pPr>
        <w:adjustRightInd w:val="0"/>
        <w:snapToGrid w:val="0"/>
        <w:outlineLvl w:val="0"/>
        <w:rPr>
          <w:color w:val="000000"/>
          <w:szCs w:val="28"/>
        </w:rPr>
      </w:pPr>
      <w:r>
        <w:rPr>
          <w:color w:val="000000"/>
          <w:szCs w:val="28"/>
        </w:rPr>
        <w:t>封面：</w:t>
      </w:r>
    </w:p>
    <w:p>
      <w:pPr>
        <w:pStyle w:val="18"/>
        <w:tabs>
          <w:tab w:val="left" w:pos="1260"/>
        </w:tabs>
        <w:jc w:val="center"/>
        <w:rPr>
          <w:rFonts w:ascii="Times New Roman" w:hAnsi="Times New Roman" w:cs="Times New Roman"/>
          <w:bCs/>
          <w:color w:val="000000"/>
          <w:spacing w:val="100"/>
          <w:w w:val="110"/>
          <w:kern w:val="0"/>
          <w:sz w:val="36"/>
          <w:szCs w:val="36"/>
        </w:rPr>
      </w:pPr>
      <w:bookmarkStart w:id="38" w:name="_Toc11557_WPSOffice_Level1"/>
      <w:bookmarkStart w:id="39" w:name="_Toc32409_WPSOffice_Level1"/>
      <w:bookmarkStart w:id="40" w:name="_Toc11474_WPSOffice_Level1"/>
      <w:bookmarkStart w:id="41" w:name="_Toc15619_WPSOffice_Level1"/>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bookmarkEnd w:id="38"/>
      <w:bookmarkEnd w:id="39"/>
      <w:bookmarkEnd w:id="40"/>
      <w:bookmarkEnd w:id="41"/>
    </w:p>
    <w:p>
      <w:pPr>
        <w:pStyle w:val="18"/>
        <w:tabs>
          <w:tab w:val="left" w:pos="1260"/>
        </w:tabs>
        <w:jc w:val="center"/>
        <w:rPr>
          <w:rFonts w:ascii="Times New Roman" w:hAnsi="Times New Roman" w:cs="Times New Roman"/>
          <w:color w:val="000000"/>
          <w:spacing w:val="100"/>
          <w:w w:val="110"/>
          <w:sz w:val="100"/>
          <w:szCs w:val="100"/>
        </w:rPr>
      </w:pPr>
      <w:bookmarkStart w:id="42" w:name="_Toc423_WPSOffice_Level2"/>
      <w:bookmarkStart w:id="43" w:name="_Toc18703_WPSOffice_Level2"/>
      <w:r>
        <w:rPr>
          <w:rFonts w:hint="eastAsia" w:ascii="Times New Roman" w:hAnsi="Times New Roman" w:cs="Times New Roman"/>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bookmarkEnd w:id="42"/>
      <w:bookmarkEnd w:id="43"/>
    </w:p>
    <w:p>
      <w:pPr>
        <w:pStyle w:val="18"/>
        <w:jc w:val="center"/>
        <w:rPr>
          <w:rFonts w:ascii="Times New Roman" w:hAnsi="Times New Roman" w:cs="Times New Roman"/>
          <w:color w:val="000000"/>
          <w:sz w:val="44"/>
        </w:rPr>
      </w:pPr>
      <w:bookmarkStart w:id="44" w:name="_Toc15975_WPSOffice_Level2"/>
      <w:bookmarkStart w:id="45" w:name="_Toc1654_WPSOffice_Level2"/>
      <w:r>
        <w:rPr>
          <w:rFonts w:ascii="Times New Roman" w:hAnsi="Times New Roman" w:cs="Times New Roman"/>
          <w:color w:val="000000"/>
          <w:sz w:val="44"/>
        </w:rPr>
        <w:t>（正本/副本）</w:t>
      </w:r>
      <w:bookmarkEnd w:id="44"/>
      <w:bookmarkEnd w:id="45"/>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18"/>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6"/>
        <w:spacing w:line="360" w:lineRule="auto"/>
        <w:ind w:firstLine="1280" w:firstLineChars="400"/>
        <w:rPr>
          <w:color w:val="000000"/>
          <w:szCs w:val="32"/>
          <w:u w:val="single"/>
        </w:rPr>
      </w:pPr>
      <w:r>
        <w:rPr>
          <w:color w:val="000000"/>
          <w:szCs w:val="32"/>
        </w:rPr>
        <w:t>项目名称：</w:t>
      </w:r>
    </w:p>
    <w:p>
      <w:pPr>
        <w:pStyle w:val="18"/>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18"/>
        <w:ind w:firstLine="1320" w:firstLineChars="300"/>
        <w:rPr>
          <w:rFonts w:ascii="Times New Roman" w:hAnsi="Times New Roman" w:cs="Times New Roman"/>
          <w:color w:val="000000"/>
          <w:sz w:val="44"/>
        </w:rPr>
      </w:pPr>
    </w:p>
    <w:p>
      <w:pPr>
        <w:pStyle w:val="18"/>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color w:val="000000" w:themeColor="text1"/>
          <w:sz w:val="44"/>
          <w:szCs w:val="44"/>
        </w:rPr>
      </w:pPr>
      <w:r>
        <w:rPr>
          <w:color w:val="000000" w:themeColor="text1"/>
          <w:szCs w:val="21"/>
        </w:rPr>
        <w:br w:type="page"/>
      </w:r>
      <w:bookmarkStart w:id="46" w:name="_Toc15617_WPSOffice_Level2"/>
      <w:bookmarkStart w:id="47" w:name="_Toc7059_WPSOffice_Level2"/>
      <w:r>
        <w:rPr>
          <w:rFonts w:eastAsiaTheme="minorEastAsia"/>
          <w:color w:val="000000" w:themeColor="text1"/>
          <w:sz w:val="44"/>
          <w:szCs w:val="44"/>
        </w:rPr>
        <w:t>目录</w:t>
      </w:r>
      <w:bookmarkEnd w:id="46"/>
      <w:bookmarkEnd w:id="47"/>
    </w:p>
    <w:p>
      <w:pPr>
        <w:adjustRightInd w:val="0"/>
        <w:snapToGrid w:val="0"/>
        <w:outlineLvl w:val="0"/>
        <w:rPr>
          <w:color w:val="000000" w:themeColor="text1"/>
          <w:sz w:val="24"/>
        </w:rPr>
      </w:pPr>
      <w:r>
        <w:rPr>
          <w:color w:val="000000" w:themeColor="text1"/>
          <w:szCs w:val="21"/>
        </w:rPr>
        <w:br w:type="page"/>
      </w:r>
      <w:r>
        <w:rPr>
          <w:color w:val="000000" w:themeColor="text1"/>
          <w:sz w:val="24"/>
        </w:rPr>
        <w:t>附件1</w:t>
      </w:r>
    </w:p>
    <w:p>
      <w:pPr>
        <w:adjustRightInd w:val="0"/>
        <w:snapToGrid w:val="0"/>
        <w:jc w:val="center"/>
        <w:outlineLvl w:val="0"/>
        <w:rPr>
          <w:color w:val="000000" w:themeColor="text1"/>
          <w:sz w:val="32"/>
          <w:szCs w:val="32"/>
        </w:rPr>
      </w:pPr>
      <w:r>
        <w:rPr>
          <w:color w:val="000000" w:themeColor="text1"/>
          <w:sz w:val="32"/>
          <w:szCs w:val="32"/>
        </w:rPr>
        <w:t>谈判书</w:t>
      </w:r>
    </w:p>
    <w:p>
      <w:pPr>
        <w:spacing w:line="500" w:lineRule="exact"/>
        <w:ind w:left="-118" w:leftChars="-42"/>
        <w:rPr>
          <w:rFonts w:eastAsia="仿宋_GB2312"/>
          <w:color w:val="000000" w:themeColor="text1"/>
          <w:szCs w:val="28"/>
        </w:rPr>
      </w:pPr>
    </w:p>
    <w:p>
      <w:pPr>
        <w:pStyle w:val="18"/>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致：</w:t>
      </w:r>
      <w:r>
        <w:rPr>
          <w:rFonts w:ascii="Times New Roman" w:hAnsi="Times New Roman" w:cs="Times New Roman"/>
          <w:color w:val="000000" w:themeColor="text1"/>
          <w:sz w:val="24"/>
          <w:u w:val="single"/>
        </w:rPr>
        <w:t>(</w:t>
      </w:r>
      <w:r>
        <w:rPr>
          <w:rFonts w:hint="eastAsia" w:ascii="Times New Roman" w:hAnsi="Times New Roman" w:cs="Times New Roman"/>
          <w:color w:val="FF0000"/>
          <w:sz w:val="24"/>
          <w:u w:val="single"/>
        </w:rPr>
        <w:t>采购人、采购代理公司</w:t>
      </w:r>
      <w:r>
        <w:rPr>
          <w:rFonts w:ascii="Times New Roman" w:hAnsi="Times New Roman" w:cs="Times New Roman"/>
          <w:color w:val="FF0000"/>
          <w:sz w:val="24"/>
          <w:u w:val="single"/>
        </w:rPr>
        <w:t>)</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根据贵方</w:t>
      </w:r>
      <w:r>
        <w:rPr>
          <w:rFonts w:ascii="Times New Roman" w:hAnsi="Times New Roman" w:cs="Times New Roman"/>
          <w:color w:val="000000" w:themeColor="text1"/>
          <w:sz w:val="24"/>
          <w:u w:val="single"/>
        </w:rPr>
        <w:t>（项目名称/项目编号）</w:t>
      </w:r>
      <w:r>
        <w:rPr>
          <w:rFonts w:ascii="Times New Roman" w:hAnsi="Times New Roman" w:cs="Times New Roman"/>
          <w:color w:val="000000" w:themeColor="text1"/>
          <w:sz w:val="24"/>
        </w:rPr>
        <w:t>项目政府采购的谈判邀请，</w:t>
      </w:r>
      <w:r>
        <w:rPr>
          <w:rFonts w:ascii="Times New Roman" w:hAnsi="Times New Roman" w:cs="Times New Roman"/>
          <w:color w:val="000000" w:themeColor="text1"/>
          <w:sz w:val="24"/>
          <w:u w:val="single"/>
        </w:rPr>
        <w:t>签字代表</w:t>
      </w:r>
      <w:r>
        <w:rPr>
          <w:rFonts w:ascii="Times New Roman" w:hAnsi="Times New Roman" w:cs="Times New Roman"/>
          <w:color w:val="000000" w:themeColor="text1"/>
          <w:sz w:val="24"/>
        </w:rPr>
        <w:t>（姓名和职务）经正式授权并代表谈判供应商</w:t>
      </w:r>
      <w:r>
        <w:rPr>
          <w:rFonts w:ascii="Times New Roman" w:hAnsi="Times New Roman" w:cs="Times New Roman"/>
          <w:color w:val="000000" w:themeColor="text1"/>
          <w:sz w:val="24"/>
          <w:u w:val="single"/>
        </w:rPr>
        <w:t>（谈判供应商名称、地址）</w:t>
      </w:r>
      <w:r>
        <w:rPr>
          <w:rFonts w:ascii="Times New Roman" w:hAnsi="Times New Roman" w:cs="Times New Roman"/>
          <w:color w:val="000000" w:themeColor="text1"/>
          <w:sz w:val="24"/>
        </w:rPr>
        <w:t>提交下述响应文件正本一份和副本</w:t>
      </w:r>
      <w:r>
        <w:rPr>
          <w:rFonts w:hint="eastAsia" w:ascii="Times New Roman" w:hAnsi="Times New Roman" w:cs="Times New Roman"/>
          <w:color w:val="000000" w:themeColor="text1"/>
          <w:sz w:val="24"/>
          <w:lang w:eastAsia="zh-CN"/>
        </w:rPr>
        <w:t>四</w:t>
      </w:r>
      <w:r>
        <w:rPr>
          <w:rFonts w:ascii="Times New Roman" w:hAnsi="Times New Roman" w:cs="Times New Roman"/>
          <w:color w:val="000000" w:themeColor="text1"/>
          <w:sz w:val="24"/>
        </w:rPr>
        <w:t>份。</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1.谈判书(附件1)；</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2.报价组成情况表(附件2)；</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3.货物（服务）清单(附件3)；</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4.资格性符合性检查对照表(附件4)；</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5.技术响应、偏离情况说明表(附件5)；</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6.合同草案条款响应、偏离情况说明表(附件6)；</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7.法人（负责人）代表授权书(附件7)；</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8.法人或者其他组织的营业执照等证明文件，自然人的身份证明(附件8)；</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9.财务状况报告，依法缴纳税收和社会保障资金的相关材料(附件9)；</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10.具备履行合同所必需的设备和专业技术能力的证明材料(附件10)；</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11.参加政府采购活动前3年内在经营活动中没有重大违法记录的书面声明(附件11)；</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12.未被列入“信用中国”网站(www.creditchina. gov.cn)失信被执行人、重大税收违法案件当事人名单、政府采购严重违法失信行为记录名单的网页打印件(附件12)。</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13.</w:t>
      </w:r>
      <w:r>
        <w:rPr>
          <w:rFonts w:hint="eastAsia"/>
          <w:sz w:val="24"/>
        </w:rPr>
        <w:t>供应商应提供无行贿犯罪记录查询证明（可在中国裁判文书网查询，出具查询结果截图）</w:t>
      </w:r>
      <w:r>
        <w:rPr>
          <w:rFonts w:hint="eastAsia" w:ascii="Times New Roman" w:hAnsi="Times New Roman" w:cs="Times New Roman"/>
          <w:color w:val="000000" w:themeColor="text1"/>
          <w:sz w:val="24"/>
        </w:rPr>
        <w:t>。</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14.《中小企业声明函》</w:t>
      </w:r>
      <w:r>
        <w:rPr>
          <w:rFonts w:hint="eastAsia"/>
          <w:bCs/>
          <w:color w:val="000000" w:themeColor="text1"/>
          <w:sz w:val="24"/>
        </w:rPr>
        <w:t>、《残疾人福利性单位声明函》或属于监狱企业的证明文件（如果有的话）</w:t>
      </w:r>
      <w:r>
        <w:rPr>
          <w:rFonts w:hint="eastAsia" w:ascii="Times New Roman" w:hAnsi="Times New Roman" w:cs="Times New Roman"/>
          <w:color w:val="000000" w:themeColor="text1"/>
          <w:sz w:val="24"/>
        </w:rPr>
        <w:t>(附件13)。</w:t>
      </w:r>
    </w:p>
    <w:p>
      <w:pPr>
        <w:pStyle w:val="18"/>
        <w:spacing w:line="440" w:lineRule="exact"/>
        <w:ind w:firstLine="48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本文件要求提供的其他资格证明文件及资料</w:t>
      </w:r>
      <w:r>
        <w:rPr>
          <w:rFonts w:ascii="Times New Roman" w:hAnsi="Times New Roman" w:cs="Times New Roman"/>
          <w:b/>
          <w:color w:val="000000" w:themeColor="text1"/>
          <w:sz w:val="24"/>
        </w:rPr>
        <w:t>。</w:t>
      </w:r>
    </w:p>
    <w:p>
      <w:pPr>
        <w:pStyle w:val="18"/>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在此，我方宣布同意如下：</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1. 将按竞争性响应文件的规定履行合同责任和义务；</w:t>
      </w:r>
    </w:p>
    <w:p>
      <w:pPr>
        <w:pStyle w:val="18"/>
        <w:spacing w:line="440" w:lineRule="exact"/>
        <w:ind w:left="840" w:hanging="360"/>
        <w:rPr>
          <w:rFonts w:ascii="Times New Roman" w:hAnsi="Times New Roman" w:cs="Times New Roman"/>
          <w:color w:val="000000" w:themeColor="text1"/>
          <w:sz w:val="24"/>
        </w:rPr>
      </w:pPr>
      <w:r>
        <w:rPr>
          <w:rFonts w:ascii="Times New Roman" w:hAnsi="Times New Roman" w:cs="Times New Roman"/>
          <w:color w:val="000000" w:themeColor="text1"/>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3. 本响应文件有效期为自谈判之日起</w:t>
      </w:r>
      <w:r>
        <w:rPr>
          <w:rFonts w:hint="eastAsia" w:ascii="Times New Roman" w:hAnsi="Times New Roman" w:cs="Times New Roman"/>
          <w:color w:val="000000" w:themeColor="text1"/>
          <w:sz w:val="24"/>
          <w:u w:val="single"/>
        </w:rPr>
        <w:t>（ ）</w:t>
      </w:r>
      <w:r>
        <w:rPr>
          <w:rFonts w:ascii="Times New Roman" w:hAnsi="Times New Roman" w:cs="Times New Roman"/>
          <w:color w:val="000000" w:themeColor="text1"/>
          <w:sz w:val="24"/>
        </w:rPr>
        <w:t>个日历日；</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4.同意提供按照贵方可能要求的与其谈判有关的一切数据或资料；</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5. 与本谈判有关的一切正式往来信函请寄：</w:t>
      </w:r>
    </w:p>
    <w:p>
      <w:pPr>
        <w:pStyle w:val="18"/>
        <w:spacing w:line="440" w:lineRule="exact"/>
        <w:ind w:firstLine="840"/>
        <w:rPr>
          <w:rFonts w:ascii="Times New Roman" w:hAnsi="Times New Roman" w:cs="Times New Roman"/>
          <w:color w:val="000000" w:themeColor="text1"/>
          <w:sz w:val="24"/>
          <w:u w:val="single"/>
        </w:rPr>
      </w:pPr>
      <w:r>
        <w:rPr>
          <w:rFonts w:ascii="Times New Roman" w:hAnsi="Times New Roman" w:cs="Times New Roman"/>
          <w:color w:val="000000" w:themeColor="text1"/>
          <w:sz w:val="24"/>
        </w:rPr>
        <w:t>地址：</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电话/传真：</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电子信箱：</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谈判供应商（授权）代表签字：</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谈判供应商名称（公章）：</w:t>
      </w:r>
    </w:p>
    <w:p>
      <w:pPr>
        <w:spacing w:line="600" w:lineRule="exact"/>
        <w:ind w:right="-30" w:firstLine="960" w:firstLineChars="400"/>
        <w:rPr>
          <w:sz w:val="24"/>
        </w:rPr>
      </w:pPr>
      <w:r>
        <w:rPr>
          <w:color w:val="000000" w:themeColor="text1"/>
          <w:sz w:val="24"/>
        </w:rPr>
        <w:t>日期：</w:t>
      </w:r>
    </w:p>
    <w:p>
      <w:pPr>
        <w:spacing w:afterLines="50" w:line="360" w:lineRule="exact"/>
        <w:ind w:right="420" w:firstLine="560" w:firstLineChars="200"/>
        <w:jc w:val="center"/>
        <w:rPr>
          <w:rFonts w:eastAsia="黑体"/>
          <w:szCs w:val="28"/>
        </w:rPr>
      </w:pPr>
    </w:p>
    <w:p>
      <w:pPr>
        <w:spacing w:line="300" w:lineRule="auto"/>
        <w:rPr>
          <w:rFonts w:ascii="宋体" w:hAnsi="宋体"/>
          <w:szCs w:val="28"/>
        </w:rPr>
      </w:pPr>
      <w:r>
        <w:rPr>
          <w:rFonts w:eastAsia="黑体"/>
          <w:szCs w:val="28"/>
        </w:rPr>
        <w:br w:type="page"/>
      </w:r>
      <w:r>
        <w:rPr>
          <w:rFonts w:hint="eastAsia" w:ascii="宋体" w:hAnsi="宋体"/>
          <w:szCs w:val="28"/>
        </w:rPr>
        <w:t xml:space="preserve">附件2             </w:t>
      </w:r>
    </w:p>
    <w:p>
      <w:pPr>
        <w:ind w:firstLine="3040" w:firstLineChars="950"/>
        <w:rPr>
          <w:rFonts w:eastAsiaTheme="minorEastAsia"/>
          <w:sz w:val="32"/>
          <w:szCs w:val="32"/>
        </w:rPr>
      </w:pPr>
      <w:r>
        <w:rPr>
          <w:rFonts w:eastAsiaTheme="minorEastAsia"/>
          <w:sz w:val="32"/>
          <w:szCs w:val="32"/>
        </w:rPr>
        <w:t>报价组成情况表</w:t>
      </w:r>
    </w:p>
    <w:p>
      <w:pPr>
        <w:spacing w:line="500" w:lineRule="exact"/>
        <w:rPr>
          <w:rFonts w:eastAsia="仿宋_GB2312"/>
          <w:color w:val="000000"/>
        </w:rPr>
      </w:pPr>
    </w:p>
    <w:p>
      <w:pPr>
        <w:spacing w:line="240" w:lineRule="atLeast"/>
        <w:rPr>
          <w:color w:val="000000"/>
          <w:sz w:val="24"/>
          <w:u w:val="single"/>
        </w:rPr>
      </w:pPr>
      <w:r>
        <w:rPr>
          <w:color w:val="000000"/>
          <w:sz w:val="24"/>
        </w:rPr>
        <w:t>项目编号</w:t>
      </w:r>
      <w:r>
        <w:rPr>
          <w:rFonts w:hint="eastAsia"/>
          <w:sz w:val="24"/>
        </w:rPr>
        <w:t>（包号）</w:t>
      </w:r>
      <w:r>
        <w:rPr>
          <w:color w:val="000000"/>
          <w:sz w:val="24"/>
        </w:rPr>
        <w:t>：</w:t>
      </w:r>
    </w:p>
    <w:p>
      <w:pPr>
        <w:spacing w:line="240" w:lineRule="atLeast"/>
        <w:rPr>
          <w:rFonts w:eastAsia="仿宋_GB2312"/>
          <w:color w:val="000000"/>
          <w:sz w:val="24"/>
          <w:u w:val="single"/>
        </w:rPr>
      </w:pPr>
      <w:r>
        <w:rPr>
          <w:color w:val="000000"/>
          <w:sz w:val="24"/>
        </w:rPr>
        <w:t>项目名称：</w:t>
      </w:r>
    </w:p>
    <w:tbl>
      <w:tblPr>
        <w:tblStyle w:val="26"/>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pPr>
        <w:pStyle w:val="18"/>
        <w:spacing w:line="500" w:lineRule="exact"/>
        <w:rPr>
          <w:rFonts w:ascii="Times New Roman" w:hAnsi="Times New Roman" w:cs="Times New Roman"/>
          <w:color w:val="000000"/>
          <w:sz w:val="24"/>
          <w:szCs w:val="24"/>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pStyle w:val="18"/>
        <w:spacing w:line="440" w:lineRule="exact"/>
        <w:ind w:firstLine="840"/>
        <w:rPr>
          <w:rFonts w:ascii="Times New Roman" w:hAnsi="Times New Roman" w:eastAsia="仿宋_GB2312" w:cs="Times New Roman"/>
          <w:color w:val="000000" w:themeColor="text1"/>
        </w:rPr>
      </w:pPr>
    </w:p>
    <w:p>
      <w:pPr>
        <w:spacing w:line="480" w:lineRule="auto"/>
        <w:jc w:val="center"/>
        <w:rPr>
          <w:rFonts w:eastAsia="仿宋_GB2312"/>
          <w:color w:val="000000" w:themeColor="text1"/>
        </w:rPr>
      </w:pPr>
    </w:p>
    <w:p>
      <w:pPr>
        <w:spacing w:line="480" w:lineRule="auto"/>
        <w:jc w:val="center"/>
        <w:rPr>
          <w:rFonts w:eastAsia="仿宋_GB2312"/>
          <w:color w:val="000000" w:themeColor="text1"/>
        </w:rPr>
      </w:pPr>
    </w:p>
    <w:p>
      <w:pPr>
        <w:rPr>
          <w:bCs/>
          <w:color w:val="000000"/>
          <w:sz w:val="24"/>
        </w:rPr>
      </w:pPr>
      <w:r>
        <w:rPr>
          <w:bCs/>
          <w:color w:val="000000" w:themeColor="text1"/>
          <w:sz w:val="24"/>
        </w:rPr>
        <w:br w:type="page"/>
      </w:r>
      <w:r>
        <w:rPr>
          <w:bCs/>
          <w:color w:val="000000"/>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sz w:val="24"/>
        </w:rPr>
        <w:t>（包号）</w:t>
      </w:r>
      <w:r>
        <w:rPr>
          <w:color w:val="000000"/>
          <w:sz w:val="24"/>
        </w:rPr>
        <w:t>：</w:t>
      </w:r>
    </w:p>
    <w:p>
      <w:pPr>
        <w:rPr>
          <w:b/>
          <w:bCs/>
          <w:color w:val="000000"/>
          <w:sz w:val="32"/>
          <w:szCs w:val="32"/>
        </w:rPr>
      </w:pPr>
      <w:r>
        <w:rPr>
          <w:color w:val="000000"/>
          <w:sz w:val="24"/>
        </w:rPr>
        <w:t>项目名称：</w:t>
      </w:r>
    </w:p>
    <w:tbl>
      <w:tblPr>
        <w:tblStyle w:val="26"/>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rPr>
          <w:color w:val="000000"/>
        </w:rPr>
      </w:pPr>
      <w:r>
        <w:rPr>
          <w:sz w:val="24"/>
        </w:rPr>
        <w:t>说明：提供详细的货物和服务范围，包括货物和服务类别及制造（开发）商、备品备件等。</w:t>
      </w:r>
    </w:p>
    <w:p>
      <w:pPr>
        <w:spacing w:line="500" w:lineRule="exact"/>
        <w:rPr>
          <w:rFonts w:eastAsia="仿宋_GB2312"/>
          <w:color w:val="000000"/>
          <w:sz w:val="24"/>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tabs>
          <w:tab w:val="left" w:pos="8280"/>
        </w:tabs>
        <w:spacing w:line="360" w:lineRule="auto"/>
        <w:ind w:firstLine="840" w:firstLineChars="300"/>
        <w:jc w:val="right"/>
        <w:rPr>
          <w:color w:val="000000"/>
        </w:rPr>
      </w:pPr>
    </w:p>
    <w:p>
      <w:pPr>
        <w:spacing w:line="480" w:lineRule="auto"/>
        <w:rPr>
          <w:bCs/>
          <w:color w:val="000000" w:themeColor="text1"/>
          <w:sz w:val="24"/>
        </w:rPr>
      </w:pPr>
      <w:r>
        <w:rPr>
          <w:rFonts w:eastAsia="仿宋_GB2312"/>
          <w:bCs/>
          <w:color w:val="000000" w:themeColor="text1"/>
          <w:szCs w:val="28"/>
        </w:rPr>
        <w:br w:type="page"/>
      </w:r>
      <w:r>
        <w:rPr>
          <w:bCs/>
          <w:color w:val="000000" w:themeColor="text1"/>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p>
        </w:tc>
        <w:tc>
          <w:tcPr>
            <w:tcW w:w="4172"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27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10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548"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ascii="Calibri" w:hAnsi="Calibri" w:eastAsiaTheme="minorEastAsia"/>
                <w:kern w:val="0"/>
                <w:sz w:val="21"/>
                <w:szCs w:val="21"/>
              </w:rPr>
            </w:pPr>
            <w:r>
              <w:rPr>
                <w:rFonts w:hint="eastAsia" w:ascii="Calibri" w:hAnsi="Calibri"/>
                <w:kern w:val="0"/>
                <w:sz w:val="21"/>
                <w:szCs w:val="21"/>
              </w:rPr>
              <w:t>资格性审查</w:t>
            </w:r>
          </w:p>
        </w:tc>
        <w:tc>
          <w:tcPr>
            <w:tcW w:w="4172" w:type="dxa"/>
          </w:tcPr>
          <w:p>
            <w:pPr>
              <w:rPr>
                <w:rFonts w:ascii="Calibri" w:hAnsi="Calibri"/>
                <w:kern w:val="0"/>
                <w:sz w:val="20"/>
                <w:szCs w:val="20"/>
              </w:rPr>
            </w:pPr>
            <w:r>
              <w:rPr>
                <w:rFonts w:hint="eastAsia" w:ascii="Calibri" w:hAnsi="Calibri"/>
                <w:sz w:val="22"/>
                <w:szCs w:val="22"/>
              </w:rPr>
              <w:t>1.法人或者其他组织的营业执照等证明文件，如供应商是自然人的提供身份证明材料。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2.财务状况报告，依法缴纳税收和社会保障资金的相关材料。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3.具备履行合同所必需的设备和专业技术能力的证明材料。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4.参加政府采购活动前3年内在经营活动中没有重大违法记录的书面声明。</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5.具备法律、行政法规规定的其他条件的证明材料。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6.未被列入 “信用中国”网站（www.creditchina.gov.cn）失信被执行人、重大税收违法案件当事人名单、政府采购严重违法失信行为记录名单的网页打印件。</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7.供应商应提供无行贿犯罪记录查询证明（可以中国裁判文书网查询，出具查询结果截图）。</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8.特定条件：见谈判邀请书。</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ascii="Calibri" w:hAnsi="Calibri" w:eastAsiaTheme="minorEastAsia"/>
                <w:kern w:val="0"/>
                <w:sz w:val="21"/>
                <w:szCs w:val="21"/>
              </w:rPr>
            </w:pPr>
            <w:r>
              <w:rPr>
                <w:rFonts w:hint="eastAsia" w:ascii="Calibri" w:hAnsi="Calibri"/>
                <w:kern w:val="0"/>
                <w:sz w:val="21"/>
                <w:szCs w:val="21"/>
              </w:rPr>
              <w:t>符合性审查</w:t>
            </w:r>
          </w:p>
        </w:tc>
        <w:tc>
          <w:tcPr>
            <w:tcW w:w="4172" w:type="dxa"/>
          </w:tcPr>
          <w:p>
            <w:pPr>
              <w:jc w:val="left"/>
              <w:rPr>
                <w:rFonts w:ascii="Calibri" w:hAnsi="Calibri"/>
                <w:sz w:val="22"/>
                <w:szCs w:val="22"/>
              </w:rPr>
            </w:pPr>
            <w:r>
              <w:rPr>
                <w:rFonts w:hint="eastAsia" w:ascii="宋体" w:hAnsi="宋体"/>
                <w:color w:val="000000"/>
                <w:sz w:val="21"/>
              </w:rPr>
              <w:t xml:space="preserve">1.按照磋商文件规定要求签署、盖章；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Calibri" w:hAnsi="Calibri"/>
                <w:sz w:val="22"/>
                <w:szCs w:val="22"/>
              </w:rPr>
            </w:pPr>
            <w:r>
              <w:rPr>
                <w:rFonts w:hint="eastAsia" w:ascii="宋体" w:hAnsi="宋体"/>
                <w:color w:val="000000"/>
                <w:sz w:val="21"/>
              </w:rPr>
              <w:t xml:space="preserve">2.按磋商文件要求进行报价；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Calibri" w:hAnsi="Calibri"/>
                <w:sz w:val="22"/>
                <w:szCs w:val="22"/>
              </w:rPr>
            </w:pPr>
            <w:r>
              <w:rPr>
                <w:rFonts w:hint="eastAsia" w:ascii="宋体" w:hAnsi="宋体"/>
                <w:color w:val="000000"/>
                <w:sz w:val="21"/>
              </w:rPr>
              <w:t xml:space="preserve">3.响应文件有效期满足磋商文件规定；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Calibri" w:hAnsi="Calibri"/>
                <w:sz w:val="22"/>
                <w:szCs w:val="22"/>
              </w:rPr>
            </w:pPr>
            <w:r>
              <w:rPr>
                <w:rFonts w:hint="eastAsia" w:ascii="宋体" w:hAnsi="宋体"/>
                <w:color w:val="000000"/>
                <w:sz w:val="21"/>
              </w:rPr>
              <w:t xml:space="preserve">4.响应文件中未附有采购人不能接受条件；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宋体" w:hAnsi="宋体"/>
                <w:color w:val="000000"/>
                <w:sz w:val="21"/>
              </w:rPr>
            </w:pPr>
            <w:r>
              <w:rPr>
                <w:rFonts w:hint="eastAsia" w:ascii="宋体" w:hAnsi="宋体"/>
                <w:color w:val="000000"/>
                <w:sz w:val="21"/>
              </w:rPr>
              <w:t xml:space="preserve">5.响应文件满足磋商文件商务、技术等实质性要求；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宋体" w:hAnsi="宋体"/>
                <w:color w:val="000000"/>
                <w:sz w:val="21"/>
              </w:rPr>
            </w:pPr>
            <w:r>
              <w:rPr>
                <w:rFonts w:hint="eastAsia" w:ascii="宋体" w:hAnsi="宋体"/>
                <w:color w:val="000000"/>
                <w:sz w:val="21"/>
              </w:rPr>
              <w:t xml:space="preserve">6.供应商未出现磋商文件中规定无效的其它条款；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宋体" w:hAnsi="宋体"/>
                <w:color w:val="000000"/>
                <w:sz w:val="21"/>
              </w:rPr>
            </w:pPr>
            <w:r>
              <w:rPr>
                <w:rFonts w:hint="eastAsia" w:ascii="宋体" w:hAnsi="宋体"/>
                <w:color w:val="000000"/>
                <w:sz w:val="21"/>
              </w:rPr>
              <w:t xml:space="preserve">7.供应商未有下列任一情形： </w:t>
            </w:r>
          </w:p>
          <w:p>
            <w:pPr>
              <w:jc w:val="left"/>
              <w:rPr>
                <w:rFonts w:ascii="宋体" w:hAnsi="宋体"/>
                <w:color w:val="000000"/>
                <w:sz w:val="21"/>
              </w:rPr>
            </w:pPr>
            <w:r>
              <w:rPr>
                <w:rFonts w:hint="eastAsia" w:ascii="宋体" w:hAnsi="宋体"/>
                <w:color w:val="000000"/>
                <w:sz w:val="21"/>
              </w:rPr>
              <w:t xml:space="preserve">（1）不同供应商的响应文件由同一单位或者个人编制； </w:t>
            </w:r>
          </w:p>
          <w:p>
            <w:pPr>
              <w:jc w:val="left"/>
              <w:rPr>
                <w:rFonts w:ascii="宋体" w:hAnsi="宋体"/>
                <w:color w:val="000000"/>
                <w:sz w:val="21"/>
              </w:rPr>
            </w:pPr>
            <w:r>
              <w:rPr>
                <w:rFonts w:hint="eastAsia" w:ascii="宋体" w:hAnsi="宋体"/>
                <w:color w:val="000000"/>
                <w:sz w:val="21"/>
              </w:rPr>
              <w:t xml:space="preserve">（2）不同供应商委托同一单位或者个人办理投标事宜； </w:t>
            </w:r>
          </w:p>
          <w:p>
            <w:pPr>
              <w:jc w:val="left"/>
              <w:rPr>
                <w:rFonts w:ascii="宋体" w:hAnsi="宋体"/>
                <w:color w:val="000000"/>
                <w:sz w:val="21"/>
              </w:rPr>
            </w:pPr>
            <w:r>
              <w:rPr>
                <w:rFonts w:hint="eastAsia" w:ascii="宋体" w:hAnsi="宋体"/>
                <w:color w:val="000000"/>
                <w:sz w:val="21"/>
              </w:rPr>
              <w:t xml:space="preserve">（3）不同供应商的响应文件载明的项目管理成员或者联系人员为同一人； </w:t>
            </w:r>
          </w:p>
          <w:p>
            <w:pPr>
              <w:jc w:val="left"/>
              <w:rPr>
                <w:rFonts w:ascii="宋体" w:hAnsi="宋体"/>
                <w:color w:val="000000"/>
                <w:sz w:val="21"/>
              </w:rPr>
            </w:pPr>
            <w:r>
              <w:rPr>
                <w:rFonts w:hint="eastAsia" w:ascii="宋体" w:hAnsi="宋体"/>
                <w:color w:val="000000"/>
                <w:sz w:val="21"/>
              </w:rPr>
              <w:t xml:space="preserve">（4）不同供应商的响应文件异常一致或者投标报价呈规律性差异； </w:t>
            </w:r>
          </w:p>
          <w:p>
            <w:pPr>
              <w:jc w:val="left"/>
              <w:rPr>
                <w:rFonts w:ascii="宋体" w:hAnsi="宋体"/>
                <w:color w:val="000000"/>
                <w:sz w:val="21"/>
              </w:rPr>
            </w:pPr>
            <w:r>
              <w:rPr>
                <w:rFonts w:hint="eastAsia" w:ascii="宋体" w:hAnsi="宋体"/>
                <w:color w:val="000000"/>
                <w:sz w:val="21"/>
              </w:rPr>
              <w:t>（5）不同供应商的响应文件相互混装。</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资格证明文件</w:t>
      </w:r>
      <w:r>
        <w:rPr>
          <w:color w:val="FF0000"/>
          <w:sz w:val="24"/>
        </w:rPr>
        <w:t>已对</w:t>
      </w:r>
      <w:r>
        <w:rPr>
          <w:rFonts w:hint="eastAsia"/>
          <w:color w:val="FF0000"/>
          <w:sz w:val="24"/>
        </w:rPr>
        <w:t>谈判</w:t>
      </w:r>
      <w:r>
        <w:rPr>
          <w:color w:val="FF0000"/>
          <w:sz w:val="24"/>
        </w:rPr>
        <w:t>文件要求</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。如果仅注明“符合”、“满足”或简单复制</w:t>
      </w:r>
      <w:r>
        <w:rPr>
          <w:rFonts w:hint="eastAsia"/>
          <w:color w:val="FF0000"/>
          <w:sz w:val="24"/>
        </w:rPr>
        <w:t>谈判</w:t>
      </w:r>
      <w:r>
        <w:rPr>
          <w:color w:val="FF0000"/>
          <w:sz w:val="24"/>
        </w:rPr>
        <w:t>文件要求，将导致响应文件无效。</w:t>
      </w: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rPr>
      </w:pPr>
    </w:p>
    <w:p>
      <w:pPr>
        <w:widowControl/>
        <w:jc w:val="left"/>
        <w:rPr>
          <w:bCs/>
          <w:color w:val="000000" w:themeColor="text1"/>
          <w:sz w:val="24"/>
        </w:rPr>
      </w:pPr>
      <w:r>
        <w:rPr>
          <w:bCs/>
          <w:color w:val="000000" w:themeColor="text1"/>
          <w:sz w:val="24"/>
        </w:rPr>
        <w:br w:type="page"/>
      </w:r>
    </w:p>
    <w:p>
      <w:pPr>
        <w:spacing w:line="480" w:lineRule="auto"/>
        <w:rPr>
          <w:bCs/>
          <w:color w:val="000000" w:themeColor="text1"/>
          <w:sz w:val="24"/>
        </w:rPr>
      </w:pPr>
      <w:r>
        <w:rPr>
          <w:rFonts w:hint="eastAsia"/>
          <w:bCs/>
          <w:color w:val="000000" w:themeColor="text1"/>
          <w:sz w:val="24"/>
        </w:rPr>
        <w:t>附件5</w:t>
      </w:r>
    </w:p>
    <w:p>
      <w:pPr>
        <w:jc w:val="center"/>
        <w:rPr>
          <w:bCs/>
          <w:color w:val="000000" w:themeColor="text1"/>
          <w:sz w:val="32"/>
          <w:szCs w:val="32"/>
        </w:rPr>
      </w:pPr>
      <w:r>
        <w:rPr>
          <w:bCs/>
          <w:color w:val="000000" w:themeColor="text1"/>
          <w:sz w:val="32"/>
          <w:szCs w:val="32"/>
        </w:rPr>
        <w:t>技术响应、偏离情况说明表</w:t>
      </w:r>
    </w:p>
    <w:p>
      <w:pPr>
        <w:rPr>
          <w:bCs/>
          <w:color w:val="000000" w:themeColor="text1"/>
          <w:sz w:val="24"/>
        </w:rPr>
      </w:pPr>
      <w:r>
        <w:rPr>
          <w:bCs/>
          <w:color w:val="000000" w:themeColor="text1"/>
          <w:sz w:val="24"/>
        </w:rPr>
        <w:t>项目编号</w:t>
      </w:r>
      <w:r>
        <w:rPr>
          <w:rFonts w:hint="eastAsia"/>
          <w:sz w:val="24"/>
        </w:rPr>
        <w:t>（包号）</w:t>
      </w:r>
      <w:r>
        <w:rPr>
          <w:bCs/>
          <w:color w:val="000000" w:themeColor="text1"/>
          <w:sz w:val="24"/>
        </w:rPr>
        <w:t>：</w:t>
      </w:r>
    </w:p>
    <w:p>
      <w:pPr>
        <w:rPr>
          <w:bCs/>
          <w:color w:val="000000" w:themeColor="text1"/>
          <w:sz w:val="24"/>
        </w:rPr>
      </w:pPr>
      <w:r>
        <w:rPr>
          <w:bCs/>
          <w:color w:val="000000" w:themeColor="text1"/>
          <w:sz w:val="24"/>
        </w:rPr>
        <w:t>项目名称：</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color w:val="000000" w:themeColor="text1"/>
                <w:sz w:val="24"/>
              </w:rPr>
            </w:pPr>
            <w:r>
              <w:rPr>
                <w:bCs/>
                <w:color w:val="000000" w:themeColor="text1"/>
                <w:sz w:val="24"/>
              </w:rPr>
              <w:t>序号</w:t>
            </w:r>
          </w:p>
        </w:tc>
        <w:tc>
          <w:tcPr>
            <w:tcW w:w="2204" w:type="dxa"/>
            <w:vAlign w:val="center"/>
          </w:tcPr>
          <w:p>
            <w:pPr>
              <w:rPr>
                <w:bCs/>
                <w:color w:val="000000" w:themeColor="text1"/>
                <w:sz w:val="24"/>
              </w:rPr>
            </w:pPr>
            <w:r>
              <w:rPr>
                <w:bCs/>
                <w:color w:val="000000" w:themeColor="text1"/>
                <w:sz w:val="24"/>
              </w:rPr>
              <w:t>谈判文件要求部分</w:t>
            </w:r>
          </w:p>
        </w:tc>
        <w:tc>
          <w:tcPr>
            <w:tcW w:w="2269" w:type="dxa"/>
            <w:vAlign w:val="center"/>
          </w:tcPr>
          <w:p>
            <w:pPr>
              <w:ind w:leftChars="-38" w:right="-106" w:rightChars="-38" w:hanging="105" w:hangingChars="44"/>
              <w:jc w:val="center"/>
              <w:rPr>
                <w:bCs/>
                <w:color w:val="000000" w:themeColor="text1"/>
                <w:sz w:val="24"/>
              </w:rPr>
            </w:pPr>
            <w:r>
              <w:rPr>
                <w:bCs/>
                <w:color w:val="000000" w:themeColor="text1"/>
                <w:sz w:val="24"/>
              </w:rPr>
              <w:t>响应文件的响应部分</w:t>
            </w:r>
          </w:p>
        </w:tc>
        <w:tc>
          <w:tcPr>
            <w:tcW w:w="1278" w:type="dxa"/>
            <w:vAlign w:val="center"/>
          </w:tcPr>
          <w:p>
            <w:pPr>
              <w:jc w:val="center"/>
              <w:rPr>
                <w:bCs/>
                <w:color w:val="000000" w:themeColor="text1"/>
                <w:sz w:val="24"/>
              </w:rPr>
            </w:pPr>
            <w:r>
              <w:rPr>
                <w:bCs/>
                <w:color w:val="000000" w:themeColor="text1"/>
                <w:sz w:val="24"/>
              </w:rPr>
              <w:t>偏离说明</w:t>
            </w:r>
          </w:p>
        </w:tc>
        <w:tc>
          <w:tcPr>
            <w:tcW w:w="2315" w:type="dxa"/>
            <w:vAlign w:val="center"/>
          </w:tcPr>
          <w:p>
            <w:pPr>
              <w:jc w:val="center"/>
              <w:rPr>
                <w:bCs/>
                <w:color w:val="000000" w:themeColor="text1"/>
                <w:sz w:val="24"/>
              </w:rPr>
            </w:pPr>
            <w:r>
              <w:rPr>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1</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2</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3</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4</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5</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6</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7</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技术文件</w:t>
      </w:r>
      <w:r>
        <w:rPr>
          <w:color w:val="FF0000"/>
          <w:sz w:val="24"/>
        </w:rPr>
        <w:t>已对</w:t>
      </w:r>
      <w:r>
        <w:rPr>
          <w:rFonts w:hint="eastAsia"/>
          <w:color w:val="FF0000"/>
          <w:sz w:val="24"/>
        </w:rPr>
        <w:t>谈判</w:t>
      </w:r>
      <w:r>
        <w:rPr>
          <w:color w:val="FF0000"/>
          <w:sz w:val="24"/>
        </w:rPr>
        <w:t>文件</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。特别对有具体数量要求的指标，供应商必须提供具体数值。如果仅注明“符合”、“满足”或简单复制</w:t>
      </w:r>
      <w:r>
        <w:rPr>
          <w:rFonts w:hint="eastAsia"/>
          <w:color w:val="FF0000"/>
          <w:sz w:val="24"/>
        </w:rPr>
        <w:t>谈判</w:t>
      </w:r>
      <w:r>
        <w:rPr>
          <w:color w:val="FF0000"/>
          <w:sz w:val="24"/>
        </w:rPr>
        <w:t>文件要求，将导致响应文件无效。</w:t>
      </w:r>
    </w:p>
    <w:p>
      <w:pPr>
        <w:rPr>
          <w:bCs/>
          <w:color w:val="000000" w:themeColor="text1"/>
          <w:szCs w:val="28"/>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rPr>
      </w:pPr>
      <w:r>
        <w:rPr>
          <w:color w:val="000000"/>
          <w:sz w:val="24"/>
        </w:rPr>
        <w:t>时间：</w:t>
      </w:r>
    </w:p>
    <w:p>
      <w:pPr>
        <w:rPr>
          <w:bCs/>
          <w:color w:val="000000" w:themeColor="text1"/>
          <w:sz w:val="24"/>
        </w:rPr>
      </w:pPr>
      <w:r>
        <w:rPr>
          <w:bCs/>
          <w:color w:val="000000" w:themeColor="text1"/>
          <w:szCs w:val="28"/>
        </w:rPr>
        <w:br w:type="page"/>
      </w:r>
      <w:r>
        <w:rPr>
          <w:bCs/>
          <w:color w:val="000000" w:themeColor="text1"/>
          <w:sz w:val="24"/>
        </w:rPr>
        <w:t>附件</w:t>
      </w:r>
      <w:r>
        <w:rPr>
          <w:rFonts w:hint="eastAsia"/>
          <w:bCs/>
          <w:color w:val="000000" w:themeColor="text1"/>
          <w:sz w:val="24"/>
        </w:rPr>
        <w:t>6</w:t>
      </w:r>
    </w:p>
    <w:p>
      <w:pPr>
        <w:jc w:val="center"/>
        <w:rPr>
          <w:bCs/>
          <w:color w:val="000000" w:themeColor="text1"/>
          <w:sz w:val="32"/>
          <w:szCs w:val="32"/>
        </w:rPr>
      </w:pPr>
      <w:r>
        <w:rPr>
          <w:bCs/>
          <w:color w:val="000000" w:themeColor="text1"/>
          <w:sz w:val="32"/>
          <w:szCs w:val="32"/>
        </w:rPr>
        <w:t>合同草案条款响应、偏离情况说明表</w:t>
      </w:r>
    </w:p>
    <w:p>
      <w:pPr>
        <w:rPr>
          <w:bCs/>
          <w:color w:val="000000" w:themeColor="text1"/>
          <w:sz w:val="24"/>
        </w:rPr>
      </w:pPr>
      <w:r>
        <w:rPr>
          <w:bCs/>
          <w:color w:val="000000" w:themeColor="text1"/>
          <w:sz w:val="24"/>
        </w:rPr>
        <w:t>项目名称：</w:t>
      </w:r>
    </w:p>
    <w:p>
      <w:pPr>
        <w:rPr>
          <w:bCs/>
          <w:color w:val="000000" w:themeColor="text1"/>
          <w:sz w:val="24"/>
        </w:rPr>
      </w:pPr>
      <w:r>
        <w:rPr>
          <w:bCs/>
          <w:color w:val="000000" w:themeColor="text1"/>
          <w:sz w:val="24"/>
        </w:rPr>
        <w:t>项目编号：</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color w:val="000000" w:themeColor="text1"/>
                <w:sz w:val="24"/>
              </w:rPr>
            </w:pPr>
            <w:r>
              <w:rPr>
                <w:bCs/>
                <w:color w:val="000000" w:themeColor="text1"/>
                <w:sz w:val="24"/>
              </w:rPr>
              <w:t>序号</w:t>
            </w:r>
          </w:p>
        </w:tc>
        <w:tc>
          <w:tcPr>
            <w:tcW w:w="2061" w:type="dxa"/>
            <w:vAlign w:val="center"/>
          </w:tcPr>
          <w:p>
            <w:pPr>
              <w:ind w:right="-106" w:rightChars="-38"/>
              <w:jc w:val="center"/>
              <w:rPr>
                <w:bCs/>
                <w:color w:val="000000" w:themeColor="text1"/>
                <w:sz w:val="24"/>
              </w:rPr>
            </w:pPr>
            <w:r>
              <w:rPr>
                <w:bCs/>
                <w:color w:val="000000" w:themeColor="text1"/>
                <w:sz w:val="24"/>
              </w:rPr>
              <w:t>谈判文件要求部分</w:t>
            </w:r>
          </w:p>
        </w:tc>
        <w:tc>
          <w:tcPr>
            <w:tcW w:w="2269" w:type="dxa"/>
            <w:vAlign w:val="center"/>
          </w:tcPr>
          <w:p>
            <w:pPr>
              <w:ind w:left="2" w:leftChars="-38" w:right="-106" w:rightChars="-38" w:hanging="108" w:hangingChars="45"/>
              <w:jc w:val="center"/>
              <w:rPr>
                <w:bCs/>
                <w:color w:val="000000" w:themeColor="text1"/>
                <w:sz w:val="24"/>
              </w:rPr>
            </w:pPr>
            <w:r>
              <w:rPr>
                <w:bCs/>
                <w:color w:val="000000" w:themeColor="text1"/>
                <w:sz w:val="24"/>
              </w:rPr>
              <w:t>响应文件的响应部分</w:t>
            </w:r>
          </w:p>
        </w:tc>
        <w:tc>
          <w:tcPr>
            <w:tcW w:w="1277" w:type="dxa"/>
            <w:vAlign w:val="center"/>
          </w:tcPr>
          <w:p>
            <w:pPr>
              <w:jc w:val="center"/>
              <w:rPr>
                <w:bCs/>
                <w:color w:val="000000" w:themeColor="text1"/>
                <w:sz w:val="24"/>
              </w:rPr>
            </w:pPr>
            <w:r>
              <w:rPr>
                <w:bCs/>
                <w:color w:val="000000" w:themeColor="text1"/>
                <w:sz w:val="24"/>
              </w:rPr>
              <w:t>偏离说明</w:t>
            </w:r>
          </w:p>
        </w:tc>
        <w:tc>
          <w:tcPr>
            <w:tcW w:w="2459" w:type="dxa"/>
            <w:vAlign w:val="center"/>
          </w:tcPr>
          <w:p>
            <w:pPr>
              <w:jc w:val="center"/>
              <w:rPr>
                <w:bCs/>
                <w:color w:val="000000" w:themeColor="text1"/>
                <w:sz w:val="24"/>
              </w:rPr>
            </w:pPr>
            <w:r>
              <w:rPr>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1</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2</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3</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4</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5</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6</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7</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bl>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文件的要求，逐条说明所提供服务已对</w:t>
      </w:r>
      <w:r>
        <w:rPr>
          <w:rFonts w:hint="eastAsia"/>
          <w:color w:val="FF0000"/>
          <w:sz w:val="24"/>
        </w:rPr>
        <w:t>谈判</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8"/>
        <w:spacing w:line="500" w:lineRule="exact"/>
        <w:rPr>
          <w:rFonts w:ascii="Times New Roman" w:hAnsi="Times New Roman" w:cs="Times New Roman"/>
          <w:color w:val="000000"/>
          <w:sz w:val="24"/>
          <w:szCs w:val="24"/>
        </w:rPr>
      </w:pPr>
    </w:p>
    <w:p>
      <w:pPr>
        <w:pStyle w:val="18"/>
        <w:spacing w:line="500" w:lineRule="exact"/>
        <w:rPr>
          <w:rFonts w:ascii="Times New Roman" w:hAnsi="Times New Roman" w:cs="Times New Roman"/>
          <w:color w:val="000000"/>
          <w:sz w:val="24"/>
          <w:szCs w:val="24"/>
        </w:rPr>
      </w:pPr>
    </w:p>
    <w:p>
      <w:pPr>
        <w:pStyle w:val="18"/>
        <w:spacing w:line="500" w:lineRule="exact"/>
        <w:rPr>
          <w:rFonts w:ascii="Times New Roman" w:hAnsi="Times New Roman" w:cs="Times New Roman"/>
          <w:color w:val="000000"/>
          <w:sz w:val="24"/>
          <w:szCs w:val="24"/>
        </w:rPr>
      </w:pPr>
    </w:p>
    <w:p>
      <w:pPr>
        <w:rPr>
          <w:bCs/>
          <w:color w:val="000000" w:themeColor="text1"/>
          <w:sz w:val="24"/>
        </w:rPr>
      </w:pPr>
      <w:r>
        <w:rPr>
          <w:bCs/>
          <w:color w:val="000000" w:themeColor="text1"/>
          <w:sz w:val="24"/>
        </w:rPr>
        <w:t>附件</w:t>
      </w:r>
      <w:r>
        <w:rPr>
          <w:rFonts w:hint="eastAsia"/>
          <w:bCs/>
          <w:color w:val="000000" w:themeColor="text1"/>
          <w:sz w:val="24"/>
        </w:rPr>
        <w:t>7</w:t>
      </w:r>
    </w:p>
    <w:p>
      <w:pPr>
        <w:jc w:val="center"/>
        <w:rPr>
          <w:bCs/>
          <w:color w:val="000000" w:themeColor="text1"/>
          <w:sz w:val="32"/>
          <w:szCs w:val="32"/>
        </w:rPr>
      </w:pPr>
      <w:r>
        <w:rPr>
          <w:bCs/>
          <w:color w:val="000000" w:themeColor="text1"/>
          <w:sz w:val="32"/>
          <w:szCs w:val="32"/>
        </w:rPr>
        <w:t>法人</w:t>
      </w:r>
      <w:r>
        <w:rPr>
          <w:rFonts w:hint="eastAsia"/>
          <w:bCs/>
          <w:color w:val="000000" w:themeColor="text1"/>
          <w:sz w:val="32"/>
          <w:szCs w:val="32"/>
        </w:rPr>
        <w:t>（负责人）</w:t>
      </w:r>
      <w:r>
        <w:rPr>
          <w:bCs/>
          <w:color w:val="000000" w:themeColor="text1"/>
          <w:sz w:val="32"/>
          <w:szCs w:val="32"/>
        </w:rPr>
        <w:t>代表授权书</w:t>
      </w:r>
    </w:p>
    <w:p>
      <w:pPr>
        <w:spacing w:beforeLines="50" w:afterLines="100"/>
        <w:rPr>
          <w:bCs/>
          <w:color w:val="000000" w:themeColor="text1"/>
          <w:sz w:val="24"/>
        </w:rPr>
      </w:pPr>
    </w:p>
    <w:p>
      <w:pPr>
        <w:spacing w:beforeLines="50" w:afterLines="100"/>
        <w:rPr>
          <w:bCs/>
          <w:color w:val="000000" w:themeColor="text1"/>
          <w:sz w:val="24"/>
        </w:rPr>
      </w:pPr>
      <w:r>
        <w:rPr>
          <w:rFonts w:hint="eastAsia"/>
          <w:bCs/>
          <w:color w:val="000000" w:themeColor="text1"/>
          <w:sz w:val="24"/>
        </w:rPr>
        <w:t>（</w:t>
      </w:r>
      <w:r>
        <w:rPr>
          <w:rFonts w:hint="eastAsia"/>
          <w:bCs/>
          <w:color w:val="FF0000"/>
          <w:sz w:val="24"/>
        </w:rPr>
        <w:t>采购人、采购代理公司</w:t>
      </w:r>
      <w:r>
        <w:rPr>
          <w:rFonts w:hint="eastAsia"/>
          <w:bCs/>
          <w:color w:val="000000" w:themeColor="text1"/>
          <w:sz w:val="24"/>
        </w:rPr>
        <w:t>名称）</w:t>
      </w:r>
      <w:r>
        <w:rPr>
          <w:bCs/>
          <w:color w:val="000000" w:themeColor="text1"/>
          <w:sz w:val="24"/>
        </w:rPr>
        <w:t>：</w:t>
      </w:r>
    </w:p>
    <w:p>
      <w:pPr>
        <w:spacing w:line="440" w:lineRule="exact"/>
        <w:ind w:firstLine="480" w:firstLineChars="200"/>
        <w:rPr>
          <w:bCs/>
          <w:color w:val="000000" w:themeColor="text1"/>
          <w:sz w:val="24"/>
        </w:rPr>
      </w:pPr>
      <w:r>
        <w:rPr>
          <w:bCs/>
          <w:color w:val="000000" w:themeColor="text1"/>
          <w:sz w:val="24"/>
          <w:u w:val="single"/>
        </w:rPr>
        <w:t>（谈判供应商名称）</w:t>
      </w:r>
      <w:r>
        <w:rPr>
          <w:bCs/>
          <w:color w:val="000000" w:themeColor="text1"/>
          <w:sz w:val="24"/>
        </w:rPr>
        <w:t>在下面签字的（</w:t>
      </w:r>
      <w:r>
        <w:rPr>
          <w:bCs/>
          <w:color w:val="000000" w:themeColor="text1"/>
          <w:sz w:val="24"/>
          <w:u w:val="single"/>
        </w:rPr>
        <w:t>法定代表人姓名、职务</w:t>
      </w:r>
      <w:r>
        <w:rPr>
          <w:bCs/>
          <w:color w:val="000000" w:themeColor="text1"/>
          <w:sz w:val="24"/>
        </w:rPr>
        <w:t>）代表本公司授权（供应商名称）的下面签字的</w:t>
      </w:r>
      <w:r>
        <w:rPr>
          <w:bCs/>
          <w:color w:val="000000" w:themeColor="text1"/>
          <w:sz w:val="24"/>
          <w:u w:val="single"/>
        </w:rPr>
        <w:t>（被授权代表的姓名、职务）</w:t>
      </w:r>
      <w:r>
        <w:rPr>
          <w:bCs/>
          <w:color w:val="000000" w:themeColor="text1"/>
          <w:sz w:val="24"/>
        </w:rPr>
        <w:t>为本公司的合法代理人，就（</w:t>
      </w:r>
      <w:r>
        <w:rPr>
          <w:bCs/>
          <w:color w:val="000000" w:themeColor="text1"/>
          <w:sz w:val="24"/>
          <w:u w:val="single"/>
        </w:rPr>
        <w:t>项目名称、项目编号</w:t>
      </w:r>
      <w:r>
        <w:rPr>
          <w:bCs/>
          <w:color w:val="000000" w:themeColor="text1"/>
          <w:sz w:val="24"/>
        </w:rPr>
        <w:t>）的谈判，以本公司的名义处理一切与之有关的事务。</w:t>
      </w:r>
    </w:p>
    <w:p>
      <w:pPr>
        <w:spacing w:line="440" w:lineRule="exact"/>
        <w:ind w:firstLine="480" w:firstLineChars="200"/>
        <w:rPr>
          <w:bCs/>
          <w:color w:val="000000" w:themeColor="text1"/>
          <w:sz w:val="24"/>
        </w:rPr>
      </w:pPr>
      <w:r>
        <w:rPr>
          <w:bCs/>
          <w:color w:val="000000" w:themeColor="text1"/>
          <w:sz w:val="24"/>
        </w:rPr>
        <w:t>本授权书自年月日至年月日止签字有效。</w:t>
      </w:r>
    </w:p>
    <w:p>
      <w:pPr>
        <w:spacing w:line="440" w:lineRule="exact"/>
        <w:ind w:firstLine="480" w:firstLineChars="200"/>
        <w:rPr>
          <w:bCs/>
          <w:color w:val="000000" w:themeColor="text1"/>
          <w:sz w:val="24"/>
        </w:rPr>
      </w:pPr>
      <w:r>
        <w:rPr>
          <w:bCs/>
          <w:color w:val="000000" w:themeColor="text1"/>
          <w:sz w:val="24"/>
        </w:rPr>
        <w:t>特此声明。</w:t>
      </w:r>
    </w:p>
    <w:p>
      <w:pPr>
        <w:spacing w:beforeLines="50" w:afterLines="100" w:line="440" w:lineRule="exact"/>
        <w:rPr>
          <w:bCs/>
          <w:color w:val="000000" w:themeColor="text1"/>
          <w:sz w:val="24"/>
        </w:rPr>
      </w:pPr>
    </w:p>
    <w:p>
      <w:pPr>
        <w:spacing w:beforeLines="100" w:after="100" w:afterAutospacing="1"/>
        <w:ind w:firstLine="480" w:firstLineChars="200"/>
        <w:rPr>
          <w:bCs/>
          <w:color w:val="000000"/>
          <w:sz w:val="24"/>
        </w:rPr>
      </w:pPr>
      <w:r>
        <w:rPr>
          <w:bCs/>
          <w:color w:val="000000"/>
          <w:sz w:val="24"/>
        </w:rPr>
        <w:t>委托人名称（公章）：被授权人（签章）：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p>
      <w:pPr>
        <w:spacing w:beforeLines="50" w:afterLines="100"/>
        <w:rPr>
          <w:bCs/>
          <w:color w:val="000000" w:themeColor="text1"/>
          <w:sz w:val="24"/>
          <w:u w:val="single"/>
        </w:rPr>
      </w:pP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Lines="50" w:afterLines="100"/>
              <w:rPr>
                <w:bCs/>
                <w:color w:val="000000" w:themeColor="text1"/>
                <w:sz w:val="24"/>
              </w:rPr>
            </w:pPr>
            <w:r>
              <w:rPr>
                <w:bCs/>
                <w:color w:val="000000" w:themeColor="text1"/>
                <w:sz w:val="24"/>
              </w:rPr>
              <w:t>粘贴被授权人身份证（复印件）</w:t>
            </w:r>
          </w:p>
        </w:tc>
      </w:tr>
    </w:tbl>
    <w:p>
      <w:pPr>
        <w:spacing w:beforeLines="50" w:afterLines="100"/>
        <w:rPr>
          <w:bCs/>
          <w:color w:val="000000" w:themeColor="text1"/>
          <w:sz w:val="24"/>
        </w:rPr>
      </w:pPr>
      <w:r>
        <w:rPr>
          <w:rFonts w:eastAsia="仿宋_GB2312"/>
          <w:bCs/>
          <w:color w:val="000000" w:themeColor="text1"/>
          <w:sz w:val="24"/>
        </w:rPr>
        <w:br w:type="page"/>
      </w:r>
      <w:r>
        <w:rPr>
          <w:bCs/>
          <w:color w:val="000000" w:themeColor="text1"/>
          <w:sz w:val="24"/>
        </w:rPr>
        <w:t>附件</w:t>
      </w:r>
      <w:r>
        <w:rPr>
          <w:rFonts w:hint="eastAsia"/>
          <w:bCs/>
          <w:color w:val="000000" w:themeColor="text1"/>
          <w:sz w:val="24"/>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bookmarkStart w:id="48" w:name="_Toc21622_WPSOffice_Level2"/>
      <w:bookmarkStart w:id="49" w:name="_Toc31736_WPSOffice_Level2"/>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bookmarkEnd w:id="48"/>
      <w:bookmarkEnd w:id="49"/>
    </w:p>
    <w:p>
      <w:pPr>
        <w:spacing w:line="440" w:lineRule="exact"/>
        <w:ind w:left="360" w:hanging="360" w:hangingChars="150"/>
        <w:rPr>
          <w:bCs/>
          <w:color w:val="000000" w:themeColor="text1"/>
          <w:sz w:val="24"/>
        </w:rPr>
      </w:pPr>
    </w:p>
    <w:p>
      <w:pPr>
        <w:widowControl/>
        <w:jc w:val="left"/>
        <w:rPr>
          <w:bCs/>
          <w:color w:val="000000" w:themeColor="text1"/>
          <w:sz w:val="24"/>
        </w:rPr>
      </w:pPr>
      <w:r>
        <w:rPr>
          <w:bCs/>
          <w:color w:val="000000" w:themeColor="text1"/>
          <w:sz w:val="24"/>
        </w:rPr>
        <w:br w:type="page"/>
      </w:r>
    </w:p>
    <w:p>
      <w:pPr>
        <w:spacing w:line="440" w:lineRule="exact"/>
        <w:ind w:left="360" w:hanging="360" w:hangingChars="150"/>
        <w:rPr>
          <w:bCs/>
          <w:color w:val="000000" w:themeColor="text1"/>
          <w:sz w:val="24"/>
        </w:rPr>
      </w:pPr>
      <w:r>
        <w:rPr>
          <w:bCs/>
          <w:color w:val="000000" w:themeColor="text1"/>
          <w:sz w:val="24"/>
        </w:rPr>
        <w:t>附件</w:t>
      </w:r>
      <w:r>
        <w:rPr>
          <w:rFonts w:hint="eastAsia"/>
          <w:bCs/>
          <w:color w:val="000000" w:themeColor="text1"/>
          <w:sz w:val="24"/>
        </w:rPr>
        <w:t>9</w:t>
      </w:r>
    </w:p>
    <w:p>
      <w:pPr>
        <w:spacing w:line="440" w:lineRule="exact"/>
        <w:ind w:left="360" w:hanging="360" w:hangingChars="150"/>
        <w:rPr>
          <w:bCs/>
          <w:color w:val="000000" w:themeColor="text1"/>
          <w:sz w:val="24"/>
        </w:rPr>
      </w:pPr>
    </w:p>
    <w:p>
      <w:pPr>
        <w:spacing w:line="500" w:lineRule="exact"/>
        <w:jc w:val="center"/>
        <w:rPr>
          <w:bCs/>
          <w:color w:val="000000"/>
          <w:sz w:val="32"/>
          <w:szCs w:val="32"/>
        </w:rPr>
      </w:pPr>
      <w:r>
        <w:rPr>
          <w:rFonts w:hint="eastAsia"/>
          <w:bCs/>
          <w:color w:val="000000"/>
          <w:sz w:val="32"/>
          <w:szCs w:val="32"/>
        </w:rPr>
        <w:t>财务状况报告，依法缴纳税收和社会保障资金的相关材料</w:t>
      </w:r>
    </w:p>
    <w:p>
      <w:pPr>
        <w:rPr>
          <w:rFonts w:eastAsia="仿宋_GB2312"/>
          <w:bCs/>
          <w:color w:val="000000"/>
          <w:szCs w:val="28"/>
        </w:rPr>
      </w:pP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pPr>
        <w:spacing w:line="440" w:lineRule="exact"/>
        <w:ind w:left="3" w:leftChars="1" w:firstLine="480" w:firstLineChars="200"/>
        <w:rPr>
          <w:bCs/>
          <w:color w:val="000000" w:themeColor="text1"/>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rPr>
        <w:br w:type="page"/>
      </w:r>
      <w:r>
        <w:rPr>
          <w:bCs/>
          <w:color w:val="000000" w:themeColor="text1"/>
          <w:sz w:val="24"/>
        </w:rPr>
        <w:t>附件</w:t>
      </w:r>
      <w:r>
        <w:rPr>
          <w:rFonts w:hint="eastAsia"/>
          <w:bCs/>
          <w:color w:val="000000" w:themeColor="text1"/>
          <w:sz w:val="24"/>
        </w:rPr>
        <w:t>10</w:t>
      </w:r>
    </w:p>
    <w:p>
      <w:pPr>
        <w:widowControl/>
        <w:jc w:val="left"/>
        <w:rPr>
          <w:bCs/>
          <w:color w:val="000000" w:themeColor="text1"/>
          <w:sz w:val="24"/>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rFonts w:eastAsiaTheme="majorEastAsia"/>
          <w:bCs/>
          <w:color w:val="000000" w:themeColor="text1"/>
          <w:sz w:val="24"/>
        </w:rPr>
      </w:pPr>
      <w:bookmarkStart w:id="50" w:name="_Toc8317_WPSOffice_Level2"/>
      <w:bookmarkStart w:id="51" w:name="_Toc8007_WPSOffice_Level2"/>
      <w:r>
        <w:rPr>
          <w:rFonts w:hint="eastAsia" w:ascii="宋体" w:hAnsi="宋体"/>
          <w:bCs/>
          <w:color w:val="000000"/>
          <w:sz w:val="24"/>
        </w:rPr>
        <w:t>（提供履行合同所必需的设备和专业技术能力的相关文件）</w:t>
      </w:r>
      <w:bookmarkEnd w:id="50"/>
      <w:bookmarkEnd w:id="51"/>
    </w:p>
    <w:p>
      <w:pPr>
        <w:widowControl/>
        <w:jc w:val="left"/>
        <w:rPr>
          <w:color w:val="000000" w:themeColor="text1"/>
          <w:sz w:val="24"/>
        </w:rPr>
      </w:pPr>
      <w:r>
        <w:rPr>
          <w:color w:val="000000" w:themeColor="text1"/>
          <w:sz w:val="24"/>
        </w:rPr>
        <w:br w:type="page"/>
      </w:r>
    </w:p>
    <w:p>
      <w:pPr>
        <w:spacing w:beforeLines="50" w:afterLines="100"/>
        <w:rPr>
          <w:bCs/>
          <w:color w:val="000000" w:themeColor="text1"/>
          <w:sz w:val="24"/>
        </w:rPr>
      </w:pPr>
      <w:r>
        <w:rPr>
          <w:bCs/>
          <w:color w:val="000000" w:themeColor="text1"/>
          <w:sz w:val="24"/>
        </w:rPr>
        <w:t>附件1</w:t>
      </w:r>
      <w:r>
        <w:rPr>
          <w:rFonts w:hint="eastAsia"/>
          <w:bCs/>
          <w:color w:val="000000" w:themeColor="text1"/>
          <w:sz w:val="24"/>
        </w:rPr>
        <w:t>1</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rPr>
      </w:pPr>
      <w:bookmarkStart w:id="52" w:name="_Toc9400_WPSOffice_Level2"/>
      <w:bookmarkStart w:id="53" w:name="_Toc2850_WPSOffice_Level2"/>
      <w:r>
        <w:rPr>
          <w:rFonts w:hint="eastAsia" w:ascii="宋体" w:hAnsi="宋体"/>
          <w:sz w:val="24"/>
        </w:rPr>
        <w:t>（供应商自行编写）</w:t>
      </w:r>
      <w:bookmarkEnd w:id="52"/>
      <w:bookmarkEnd w:id="53"/>
    </w:p>
    <w:p>
      <w:pPr>
        <w:widowControl/>
        <w:jc w:val="left"/>
        <w:rPr>
          <w:rFonts w:eastAsiaTheme="majorEastAsia"/>
          <w:bCs/>
          <w:color w:val="000000" w:themeColor="text1"/>
          <w:sz w:val="32"/>
          <w:szCs w:val="32"/>
        </w:rPr>
      </w:pPr>
      <w:r>
        <w:rPr>
          <w:rFonts w:eastAsiaTheme="majorEastAsia"/>
          <w:bCs/>
          <w:color w:val="000000" w:themeColor="text1"/>
          <w:sz w:val="32"/>
          <w:szCs w:val="32"/>
        </w:rPr>
        <w:br w:type="page"/>
      </w:r>
    </w:p>
    <w:p>
      <w:pPr>
        <w:widowControl/>
        <w:jc w:val="left"/>
        <w:rPr>
          <w:color w:val="000000" w:themeColor="text1"/>
          <w:sz w:val="32"/>
          <w:szCs w:val="32"/>
        </w:rPr>
      </w:pPr>
      <w:r>
        <w:rPr>
          <w:bCs/>
          <w:color w:val="000000" w:themeColor="text1"/>
          <w:sz w:val="24"/>
        </w:rPr>
        <w:t>附件1</w:t>
      </w:r>
      <w:r>
        <w:rPr>
          <w:rFonts w:hint="eastAsia"/>
          <w:bCs/>
          <w:color w:val="000000" w:themeColor="text1"/>
          <w:sz w:val="24"/>
        </w:rPr>
        <w:t>2</w:t>
      </w:r>
    </w:p>
    <w:p>
      <w:pPr>
        <w:adjustRightInd w:val="0"/>
        <w:snapToGrid w:val="0"/>
        <w:jc w:val="center"/>
        <w:outlineLvl w:val="0"/>
        <w:rPr>
          <w:color w:val="000000" w:themeColor="text1"/>
          <w:sz w:val="32"/>
          <w:szCs w:val="32"/>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rPr>
      </w:pPr>
      <w:bookmarkStart w:id="54" w:name="_Toc17990_WPSOffice_Level2"/>
      <w:bookmarkStart w:id="55" w:name="_Toc8805_WPSOffice_Level2"/>
      <w:r>
        <w:rPr>
          <w:rFonts w:hint="eastAsia" w:ascii="宋体" w:hAnsi="宋体"/>
          <w:sz w:val="24"/>
        </w:rPr>
        <w:t>（供应商自行打印）</w:t>
      </w:r>
      <w:bookmarkEnd w:id="54"/>
      <w:bookmarkEnd w:id="55"/>
    </w:p>
    <w:p>
      <w:pPr>
        <w:spacing w:line="440" w:lineRule="exact"/>
        <w:rPr>
          <w:color w:val="000000" w:themeColor="text1"/>
        </w:rPr>
      </w:pPr>
    </w:p>
    <w:p>
      <w:pPr>
        <w:spacing w:beforeLines="50" w:afterLines="100"/>
        <w:rPr>
          <w:color w:val="000000" w:themeColor="text1"/>
        </w:rPr>
      </w:pPr>
    </w:p>
    <w:p>
      <w:pPr>
        <w:spacing w:beforeLines="50" w:afterLines="100"/>
        <w:rPr>
          <w:color w:val="000000" w:themeColor="text1"/>
        </w:rPr>
      </w:pPr>
    </w:p>
    <w:p>
      <w:pPr>
        <w:widowControl/>
        <w:jc w:val="left"/>
        <w:rPr>
          <w:color w:val="000000" w:themeColor="text1"/>
        </w:rPr>
      </w:pPr>
      <w:r>
        <w:rPr>
          <w:color w:val="000000" w:themeColor="text1"/>
        </w:rPr>
        <w:br w:type="page"/>
      </w:r>
    </w:p>
    <w:p>
      <w:pPr>
        <w:rPr>
          <w:sz w:val="24"/>
        </w:rPr>
      </w:pPr>
      <w:r>
        <w:rPr>
          <w:rFonts w:hint="eastAsia"/>
          <w:sz w:val="24"/>
        </w:rPr>
        <w:t>附件13</w:t>
      </w:r>
    </w:p>
    <w:p>
      <w:pPr>
        <w:rPr>
          <w:sz w:val="24"/>
        </w:rPr>
      </w:pPr>
    </w:p>
    <w:p>
      <w:pPr>
        <w:ind w:firstLine="560" w:firstLineChars="200"/>
        <w:rPr>
          <w:szCs w:val="28"/>
        </w:rPr>
      </w:pPr>
      <w:r>
        <w:rPr>
          <w:rFonts w:hint="eastAsia"/>
          <w:szCs w:val="28"/>
        </w:rPr>
        <w:t>供应商应提供无行贿犯罪记录查询证明（可在中国裁判文书网查询，出具查询结果截图）。</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bookmarkStart w:id="56" w:name="_Toc8653_WPSOffice_Level1"/>
      <w:bookmarkStart w:id="57" w:name="_Toc28307_WPSOffice_Level1"/>
      <w:bookmarkStart w:id="58" w:name="_Toc25135_WPSOffice_Level1"/>
      <w:bookmarkStart w:id="59" w:name="_Toc4468_WPSOffice_Level1"/>
      <w:r>
        <w:rPr>
          <w:rFonts w:hint="eastAsia"/>
          <w:sz w:val="24"/>
        </w:rPr>
        <w:t>附件14-1</w:t>
      </w:r>
      <w:bookmarkEnd w:id="56"/>
      <w:bookmarkEnd w:id="57"/>
      <w:bookmarkEnd w:id="58"/>
      <w:bookmarkEnd w:id="59"/>
    </w:p>
    <w:p>
      <w:pPr>
        <w:rPr>
          <w:sz w:val="24"/>
        </w:rPr>
      </w:pP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widowControl/>
        <w:jc w:val="left"/>
        <w:rPr>
          <w:rFonts w:asciiTheme="majorEastAsia" w:hAnsiTheme="majorEastAsia" w:eastAsiaTheme="majorEastAsia"/>
          <w:sz w:val="24"/>
        </w:rPr>
        <w:sectPr>
          <w:headerReference r:id="rId9" w:type="default"/>
          <w:footerReference r:id="rId10" w:type="default"/>
          <w:pgSz w:w="11906" w:h="16838"/>
          <w:pgMar w:top="1440" w:right="1259" w:bottom="1440" w:left="1412" w:header="851" w:footer="992" w:gutter="0"/>
          <w:cols w:space="0"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bookmarkStart w:id="60" w:name="_Toc4513_WPSOffice_Level1"/>
      <w:bookmarkStart w:id="61" w:name="_Toc30477_WPSOffice_Level1"/>
      <w:bookmarkStart w:id="62" w:name="_Toc963_WPSOffice_Level1"/>
      <w:bookmarkStart w:id="63" w:name="_Toc10095_WPSOffice_Level1"/>
      <w:r>
        <w:rPr>
          <w:rFonts w:hint="eastAsia" w:ascii="宋体" w:hAnsi="宋体" w:cs="宋体"/>
          <w:kern w:val="0"/>
          <w:sz w:val="36"/>
          <w:szCs w:val="36"/>
        </w:rPr>
        <w:t>中小企业划型标准</w:t>
      </w:r>
      <w:bookmarkEnd w:id="60"/>
      <w:bookmarkEnd w:id="61"/>
      <w:bookmarkEnd w:id="62"/>
      <w:bookmarkEnd w:id="63"/>
    </w:p>
    <w:tbl>
      <w:tblPr>
        <w:tblStyle w:val="26"/>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rPr>
          <w:sz w:val="24"/>
        </w:rPr>
      </w:pPr>
      <w:bookmarkStart w:id="64" w:name="_Toc11693_WPSOffice_Level1"/>
      <w:bookmarkStart w:id="65" w:name="_Toc8013_WPSOffice_Level1"/>
      <w:bookmarkStart w:id="66" w:name="_Toc6956_WPSOffice_Level1"/>
      <w:bookmarkStart w:id="67" w:name="_Toc8982_WPSOffice_Level1"/>
      <w:r>
        <w:rPr>
          <w:rFonts w:hint="eastAsia"/>
          <w:sz w:val="24"/>
        </w:rPr>
        <w:t>附件14-2</w:t>
      </w:r>
      <w:bookmarkEnd w:id="64"/>
      <w:bookmarkEnd w:id="65"/>
      <w:bookmarkEnd w:id="66"/>
      <w:bookmarkEnd w:id="67"/>
    </w:p>
    <w:p>
      <w:pPr>
        <w:spacing w:line="588" w:lineRule="exact"/>
        <w:ind w:firstLine="667"/>
        <w:jc w:val="center"/>
        <w:rPr>
          <w:rFonts w:asciiTheme="majorEastAsia" w:hAnsiTheme="majorEastAsia" w:eastAsiaTheme="majorEastAsia"/>
          <w:b/>
          <w:spacing w:val="6"/>
          <w:sz w:val="32"/>
          <w:szCs w:val="32"/>
        </w:rPr>
      </w:pPr>
      <w:bookmarkStart w:id="68" w:name="_Toc14576_WPSOffice_Level1"/>
      <w:bookmarkStart w:id="69" w:name="_Toc1262_WPSOffice_Level1"/>
      <w:bookmarkStart w:id="70" w:name="_Toc31449_WPSOffice_Level1"/>
      <w:bookmarkStart w:id="71" w:name="_Toc5726_WPSOffice_Level1"/>
      <w:bookmarkStart w:id="72" w:name="OLE_LINK14"/>
      <w:bookmarkStart w:id="73" w:name="OLE_LINK13"/>
      <w:r>
        <w:rPr>
          <w:rFonts w:asciiTheme="majorEastAsia" w:hAnsiTheme="majorEastAsia" w:eastAsiaTheme="majorEastAsia"/>
          <w:b/>
          <w:spacing w:val="6"/>
          <w:sz w:val="32"/>
          <w:szCs w:val="32"/>
        </w:rPr>
        <w:t>残疾人福利性单位声明函</w:t>
      </w:r>
      <w:bookmarkEnd w:id="68"/>
      <w:bookmarkEnd w:id="69"/>
      <w:bookmarkEnd w:id="70"/>
      <w:bookmarkEnd w:id="71"/>
    </w:p>
    <w:bookmarkEnd w:id="72"/>
    <w:bookmarkEnd w:id="73"/>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bookmarkStart w:id="74" w:name="_Toc27211_WPSOffice_Level1"/>
      <w:bookmarkStart w:id="75" w:name="_Toc23315_WPSOffice_Level1"/>
      <w:bookmarkStart w:id="76" w:name="_Toc27619_WPSOffice_Level1"/>
      <w:bookmarkStart w:id="77" w:name="_Toc30782_WPSOffice_Level1"/>
      <w:r>
        <w:rPr>
          <w:rFonts w:eastAsia="仿宋_GB2312"/>
          <w:spacing w:val="6"/>
          <w:sz w:val="30"/>
          <w:szCs w:val="30"/>
        </w:rPr>
        <w:t>单位名称（盖章）：</w:t>
      </w:r>
      <w:bookmarkEnd w:id="74"/>
      <w:bookmarkEnd w:id="75"/>
      <w:bookmarkEnd w:id="76"/>
      <w:bookmarkEnd w:id="77"/>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bookmarkStart w:id="78" w:name="_Toc8207_WPSOffice_Level1"/>
      <w:bookmarkStart w:id="79" w:name="_Toc2246_WPSOffice_Level1"/>
      <w:bookmarkStart w:id="80" w:name="_Toc13238_WPSOffice_Level1"/>
      <w:bookmarkStart w:id="81" w:name="_Toc16531_WPSOffice_Level1"/>
      <w:r>
        <w:rPr>
          <w:rFonts w:eastAsia="仿宋_GB2312"/>
          <w:spacing w:val="6"/>
          <w:sz w:val="30"/>
          <w:szCs w:val="30"/>
        </w:rPr>
        <w:t>日  期：</w:t>
      </w:r>
      <w:bookmarkEnd w:id="78"/>
      <w:bookmarkEnd w:id="79"/>
      <w:bookmarkEnd w:id="80"/>
      <w:bookmarkEnd w:id="81"/>
    </w:p>
    <w:p>
      <w:pPr>
        <w:widowControl/>
        <w:jc w:val="left"/>
        <w:rPr>
          <w:rFonts w:ascii="宋体" w:hAnsi="宋体"/>
          <w:bCs/>
          <w:color w:val="000000"/>
          <w:sz w:val="32"/>
          <w:szCs w:val="32"/>
        </w:rPr>
      </w:pPr>
      <w:r>
        <w:rPr>
          <w:rFonts w:ascii="宋体" w:hAnsi="宋体"/>
          <w:bCs/>
          <w:color w:val="000000"/>
          <w:sz w:val="32"/>
          <w:szCs w:val="32"/>
        </w:rPr>
        <w:br w:type="page"/>
      </w:r>
    </w:p>
    <w:p>
      <w:pPr>
        <w:rPr>
          <w:sz w:val="24"/>
        </w:rPr>
      </w:pPr>
      <w:bookmarkStart w:id="82" w:name="_Toc3906_WPSOffice_Level1"/>
      <w:bookmarkStart w:id="83" w:name="_Toc13595_WPSOffice_Level1"/>
      <w:bookmarkStart w:id="84" w:name="_Toc24896_WPSOffice_Level1"/>
      <w:bookmarkStart w:id="85" w:name="_Toc13776_WPSOffice_Level1"/>
      <w:r>
        <w:rPr>
          <w:rFonts w:hint="eastAsia"/>
          <w:sz w:val="24"/>
        </w:rPr>
        <w:t>附件14-3</w:t>
      </w:r>
      <w:bookmarkEnd w:id="82"/>
      <w:bookmarkEnd w:id="83"/>
      <w:bookmarkEnd w:id="84"/>
      <w:bookmarkEnd w:id="85"/>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1"/>
        <w:rPr>
          <w:rFonts w:ascii="宋体" w:hAnsi="宋体"/>
          <w:bCs/>
          <w:color w:val="000000"/>
          <w:sz w:val="32"/>
          <w:szCs w:val="32"/>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sectPr>
      <w:headerReference r:id="rId11" w:type="default"/>
      <w:footerReference r:id="rId12" w:type="default"/>
      <w:footerReference r:id="rId13" w:type="even"/>
      <w:pgSz w:w="11906" w:h="16838"/>
      <w:pgMar w:top="1440" w:right="1706" w:bottom="1440" w:left="136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20"/>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themeColor="text1" w:sz="4" w:space="1"/>
      </w:pBdr>
      <w:tabs>
        <w:tab w:val="clear" w:pos="4153"/>
        <w:tab w:val="clear" w:pos="8306"/>
      </w:tabs>
      <w:ind w:right="-9" w:firstLine="360" w:firstLineChars="200"/>
      <w:jc w:val="both"/>
    </w:pPr>
    <w:r>
      <w:pict>
        <v:shape id="_x0000_s2054" o:spid="_x0000_s2054" o:spt="202" type="#_x0000_t202" style="position:absolute;left:0pt;margin-top:7.95pt;height:13.85pt;width:40.65pt;mso-position-horizontal:center;mso-position-horizontal-relative:margin;z-index:251665408;mso-width-relative:page;mso-height-relative:page;" filled="f" stroked="f" coordsize="21600,21600">
          <v:path/>
          <v:fill on="f" focussize="0,0"/>
          <v:stroke on="f" joinstyle="miter"/>
          <v:imagedata o:title=""/>
          <o:lock v:ext="edit"/>
          <v:textbox inset="0mm,0mm,0mm,0mm">
            <w:txbxContent>
              <w:p/>
            </w:txbxContent>
          </v:textbox>
        </v:shape>
      </w:pict>
    </w:r>
  </w:p>
  <w:p>
    <w:pPr>
      <w:pStyle w:val="20"/>
      <w:pBdr>
        <w:top w:val="single" w:color="000000" w:themeColor="text1" w:sz="4" w:space="1"/>
      </w:pBdr>
      <w:tabs>
        <w:tab w:val="clear" w:pos="4153"/>
        <w:tab w:val="clear" w:pos="8306"/>
      </w:tabs>
      <w:ind w:right="-9"/>
      <w:jc w:val="center"/>
      <w:rPr>
        <w:rFonts w:asciiTheme="minorEastAsia" w:hAnsiTheme="minorEastAsia"/>
        <w:b/>
      </w:rPr>
    </w:pPr>
  </w:p>
  <w:p>
    <w:pPr>
      <w:ind w:right="360"/>
      <w:jc w:val="right"/>
      <w:rPr>
        <w:sz w:val="24"/>
      </w:rPr>
    </w:pPr>
  </w:p>
  <w:p>
    <w:pPr>
      <w:pStyle w:val="20"/>
      <w:jc w:val="right"/>
    </w:pP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120</w:t>
                </w:r>
                <w:r>
                  <w:rPr>
                    <w:rFonts w:hint="eastAsia"/>
                  </w:rP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left="-7" w:firstLine="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0423E"/>
    <w:multiLevelType w:val="singleLevel"/>
    <w:tmpl w:val="E840423E"/>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06425205"/>
    <w:multiLevelType w:val="multilevel"/>
    <w:tmpl w:val="06425205"/>
    <w:lvl w:ilvl="0" w:tentative="0">
      <w:start w:val="1"/>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
    <w:nsid w:val="071E37DD"/>
    <w:multiLevelType w:val="multilevel"/>
    <w:tmpl w:val="071E37D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9C6643"/>
    <w:multiLevelType w:val="multilevel"/>
    <w:tmpl w:val="099C6643"/>
    <w:lvl w:ilvl="0" w:tentative="0">
      <w:start w:val="8"/>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0E4361E4"/>
    <w:multiLevelType w:val="multilevel"/>
    <w:tmpl w:val="0E4361E4"/>
    <w:lvl w:ilvl="0" w:tentative="0">
      <w:start w:val="5"/>
      <w:numFmt w:val="decimal"/>
      <w:lvlText w:val="%1."/>
      <w:lvlJc w:val="left"/>
      <w:pPr>
        <w:ind w:left="600" w:hanging="60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6">
    <w:nsid w:val="128C2D45"/>
    <w:multiLevelType w:val="multilevel"/>
    <w:tmpl w:val="128C2D45"/>
    <w:lvl w:ilvl="0" w:tentative="0">
      <w:start w:val="1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CE209C"/>
    <w:multiLevelType w:val="multilevel"/>
    <w:tmpl w:val="1DCE209C"/>
    <w:lvl w:ilvl="0" w:tentative="0">
      <w:start w:val="11"/>
      <w:numFmt w:val="decimal"/>
      <w:lvlText w:val="%1."/>
      <w:lvlJc w:val="left"/>
      <w:pPr>
        <w:ind w:left="720" w:hanging="72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8">
    <w:nsid w:val="336853BA"/>
    <w:multiLevelType w:val="multilevel"/>
    <w:tmpl w:val="336853BA"/>
    <w:lvl w:ilvl="0" w:tentative="0">
      <w:start w:val="1"/>
      <w:numFmt w:val="chineseCountingThousand"/>
      <w:lvlText w:val="%1、"/>
      <w:lvlJc w:val="left"/>
      <w:pPr>
        <w:ind w:left="113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516284"/>
    <w:multiLevelType w:val="multilevel"/>
    <w:tmpl w:val="3A516284"/>
    <w:lvl w:ilvl="0" w:tentative="0">
      <w:start w:val="7"/>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1">
    <w:nsid w:val="4D9FBC36"/>
    <w:multiLevelType w:val="singleLevel"/>
    <w:tmpl w:val="4D9FBC36"/>
    <w:lvl w:ilvl="0" w:tentative="0">
      <w:start w:val="1"/>
      <w:numFmt w:val="decimal"/>
      <w:suff w:val="nothing"/>
      <w:lvlText w:val="%1、"/>
      <w:lvlJc w:val="left"/>
    </w:lvl>
  </w:abstractNum>
  <w:abstractNum w:abstractNumId="12">
    <w:nsid w:val="4E1B372A"/>
    <w:multiLevelType w:val="multilevel"/>
    <w:tmpl w:val="4E1B372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840CBEE"/>
    <w:multiLevelType w:val="singleLevel"/>
    <w:tmpl w:val="5840CBEE"/>
    <w:lvl w:ilvl="0" w:tentative="0">
      <w:start w:val="7"/>
      <w:numFmt w:val="decimal"/>
      <w:suff w:val="nothing"/>
      <w:lvlText w:val="%1、"/>
      <w:lvlJc w:val="left"/>
    </w:lvl>
  </w:abstractNum>
  <w:abstractNum w:abstractNumId="14">
    <w:nsid w:val="5AEA6A86"/>
    <w:multiLevelType w:val="singleLevel"/>
    <w:tmpl w:val="5AEA6A86"/>
    <w:lvl w:ilvl="0" w:tentative="0">
      <w:start w:val="3"/>
      <w:numFmt w:val="chineseCounting"/>
      <w:suff w:val="nothing"/>
      <w:lvlText w:val="第%1章"/>
      <w:lvlJc w:val="left"/>
    </w:lvl>
  </w:abstractNum>
  <w:abstractNum w:abstractNumId="15">
    <w:nsid w:val="6F77727E"/>
    <w:multiLevelType w:val="multilevel"/>
    <w:tmpl w:val="6F77727E"/>
    <w:lvl w:ilvl="0" w:tentative="0">
      <w:start w:val="7"/>
      <w:numFmt w:val="decimal"/>
      <w:lvlText w:val="%1."/>
      <w:lvlJc w:val="left"/>
      <w:pPr>
        <w:ind w:left="600" w:hanging="60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6">
    <w:nsid w:val="723707DB"/>
    <w:multiLevelType w:val="multilevel"/>
    <w:tmpl w:val="723707DB"/>
    <w:lvl w:ilvl="0" w:tentative="0">
      <w:start w:val="3"/>
      <w:numFmt w:val="decimal"/>
      <w:lvlText w:val="%1."/>
      <w:lvlJc w:val="left"/>
      <w:pPr>
        <w:ind w:left="600" w:hanging="60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7">
    <w:nsid w:val="783D0ECF"/>
    <w:multiLevelType w:val="multilevel"/>
    <w:tmpl w:val="783D0ECF"/>
    <w:lvl w:ilvl="0" w:tentative="0">
      <w:start w:val="11"/>
      <w:numFmt w:val="decimal"/>
      <w:lvlText w:val="%1."/>
      <w:lvlJc w:val="left"/>
      <w:pPr>
        <w:ind w:left="720" w:hanging="7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8">
    <w:nsid w:val="7FE703D9"/>
    <w:multiLevelType w:val="multilevel"/>
    <w:tmpl w:val="7FE703D9"/>
    <w:lvl w:ilvl="0" w:tentative="0">
      <w:start w:val="9"/>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10"/>
  </w:num>
  <w:num w:numId="2">
    <w:abstractNumId w:val="1"/>
  </w:num>
  <w:num w:numId="3">
    <w:abstractNumId w:val="14"/>
  </w:num>
  <w:num w:numId="4">
    <w:abstractNumId w:val="8"/>
  </w:num>
  <w:num w:numId="5">
    <w:abstractNumId w:val="12"/>
  </w:num>
  <w:num w:numId="6">
    <w:abstractNumId w:val="13"/>
  </w:num>
  <w:num w:numId="7">
    <w:abstractNumId w:val="11"/>
  </w:num>
  <w:num w:numId="8">
    <w:abstractNumId w:val="2"/>
  </w:num>
  <w:num w:numId="9">
    <w:abstractNumId w:val="16"/>
  </w:num>
  <w:num w:numId="10">
    <w:abstractNumId w:val="3"/>
  </w:num>
  <w:num w:numId="11">
    <w:abstractNumId w:val="5"/>
  </w:num>
  <w:num w:numId="12">
    <w:abstractNumId w:val="9"/>
  </w:num>
  <w:num w:numId="13">
    <w:abstractNumId w:val="15"/>
  </w:num>
  <w:num w:numId="14">
    <w:abstractNumId w:val="4"/>
  </w:num>
  <w:num w:numId="15">
    <w:abstractNumId w:val="18"/>
  </w:num>
  <w:num w:numId="16">
    <w:abstractNumId w:val="6"/>
  </w:num>
  <w:num w:numId="17">
    <w:abstractNumId w:val="17"/>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0CEE"/>
    <w:rsid w:val="000177F1"/>
    <w:rsid w:val="0002385B"/>
    <w:rsid w:val="00024E1A"/>
    <w:rsid w:val="00025B43"/>
    <w:rsid w:val="00026127"/>
    <w:rsid w:val="000320DE"/>
    <w:rsid w:val="0003616F"/>
    <w:rsid w:val="00037800"/>
    <w:rsid w:val="00050568"/>
    <w:rsid w:val="000553A8"/>
    <w:rsid w:val="00061FBF"/>
    <w:rsid w:val="00063AD6"/>
    <w:rsid w:val="00075A3D"/>
    <w:rsid w:val="000765C9"/>
    <w:rsid w:val="00076BD9"/>
    <w:rsid w:val="000834C2"/>
    <w:rsid w:val="0009057C"/>
    <w:rsid w:val="00095A23"/>
    <w:rsid w:val="000A3CC6"/>
    <w:rsid w:val="000A670B"/>
    <w:rsid w:val="000B284C"/>
    <w:rsid w:val="000C21EB"/>
    <w:rsid w:val="000C6886"/>
    <w:rsid w:val="000D1869"/>
    <w:rsid w:val="000E0F4B"/>
    <w:rsid w:val="000E161F"/>
    <w:rsid w:val="000E41DF"/>
    <w:rsid w:val="000F5347"/>
    <w:rsid w:val="001014B4"/>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6568"/>
    <w:rsid w:val="002B43FE"/>
    <w:rsid w:val="002E77B5"/>
    <w:rsid w:val="002F057F"/>
    <w:rsid w:val="002F22C6"/>
    <w:rsid w:val="002F2C4C"/>
    <w:rsid w:val="002F4450"/>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4D79"/>
    <w:rsid w:val="003C6C22"/>
    <w:rsid w:val="003D133C"/>
    <w:rsid w:val="003D6B22"/>
    <w:rsid w:val="003E2520"/>
    <w:rsid w:val="003F50DE"/>
    <w:rsid w:val="00402CEB"/>
    <w:rsid w:val="004121CD"/>
    <w:rsid w:val="00433066"/>
    <w:rsid w:val="004601AA"/>
    <w:rsid w:val="00461AA3"/>
    <w:rsid w:val="00467A55"/>
    <w:rsid w:val="00482074"/>
    <w:rsid w:val="004845E2"/>
    <w:rsid w:val="00487B68"/>
    <w:rsid w:val="00491219"/>
    <w:rsid w:val="00493214"/>
    <w:rsid w:val="004A36F5"/>
    <w:rsid w:val="004A4C07"/>
    <w:rsid w:val="004B1581"/>
    <w:rsid w:val="004B30C5"/>
    <w:rsid w:val="004B6F6A"/>
    <w:rsid w:val="004C4C24"/>
    <w:rsid w:val="004E01E8"/>
    <w:rsid w:val="004E0CD3"/>
    <w:rsid w:val="004F12D5"/>
    <w:rsid w:val="00506857"/>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5ADB"/>
    <w:rsid w:val="00631884"/>
    <w:rsid w:val="00636576"/>
    <w:rsid w:val="00641CF1"/>
    <w:rsid w:val="00646836"/>
    <w:rsid w:val="0066645A"/>
    <w:rsid w:val="0066685A"/>
    <w:rsid w:val="00666BBB"/>
    <w:rsid w:val="0067140B"/>
    <w:rsid w:val="0067700A"/>
    <w:rsid w:val="00691AF9"/>
    <w:rsid w:val="00692F82"/>
    <w:rsid w:val="00694469"/>
    <w:rsid w:val="006950A7"/>
    <w:rsid w:val="00695E1A"/>
    <w:rsid w:val="006A1281"/>
    <w:rsid w:val="006A573C"/>
    <w:rsid w:val="006C24F6"/>
    <w:rsid w:val="006D1686"/>
    <w:rsid w:val="006D3F78"/>
    <w:rsid w:val="006D699F"/>
    <w:rsid w:val="006E037A"/>
    <w:rsid w:val="006E0B88"/>
    <w:rsid w:val="006E44BA"/>
    <w:rsid w:val="006E4AD9"/>
    <w:rsid w:val="0071611D"/>
    <w:rsid w:val="00733253"/>
    <w:rsid w:val="00740F07"/>
    <w:rsid w:val="00741CFF"/>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1577"/>
    <w:rsid w:val="00832F19"/>
    <w:rsid w:val="008338A4"/>
    <w:rsid w:val="00837418"/>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12A90"/>
    <w:rsid w:val="009224B9"/>
    <w:rsid w:val="00925A4E"/>
    <w:rsid w:val="00945F7B"/>
    <w:rsid w:val="00950E14"/>
    <w:rsid w:val="00962F07"/>
    <w:rsid w:val="00972A7E"/>
    <w:rsid w:val="00974044"/>
    <w:rsid w:val="00982221"/>
    <w:rsid w:val="00984E56"/>
    <w:rsid w:val="009946F7"/>
    <w:rsid w:val="009A0A20"/>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10035"/>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3D4D"/>
    <w:rsid w:val="00B658A1"/>
    <w:rsid w:val="00BA092B"/>
    <w:rsid w:val="00BB09DF"/>
    <w:rsid w:val="00BC7360"/>
    <w:rsid w:val="00BD014E"/>
    <w:rsid w:val="00BE09DD"/>
    <w:rsid w:val="00BE6DC4"/>
    <w:rsid w:val="00C016BF"/>
    <w:rsid w:val="00C11B2E"/>
    <w:rsid w:val="00C16D6D"/>
    <w:rsid w:val="00C27B89"/>
    <w:rsid w:val="00C440D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D02EBB"/>
    <w:rsid w:val="00D235CB"/>
    <w:rsid w:val="00D404AE"/>
    <w:rsid w:val="00D43DA9"/>
    <w:rsid w:val="00D509A3"/>
    <w:rsid w:val="00D53242"/>
    <w:rsid w:val="00D53B2D"/>
    <w:rsid w:val="00D56690"/>
    <w:rsid w:val="00D66FAC"/>
    <w:rsid w:val="00D71C8E"/>
    <w:rsid w:val="00D74E7D"/>
    <w:rsid w:val="00DB5D54"/>
    <w:rsid w:val="00DE01BE"/>
    <w:rsid w:val="00DE287A"/>
    <w:rsid w:val="00DF0F26"/>
    <w:rsid w:val="00DF7C2F"/>
    <w:rsid w:val="00E0333A"/>
    <w:rsid w:val="00E04346"/>
    <w:rsid w:val="00E226F3"/>
    <w:rsid w:val="00E24FB2"/>
    <w:rsid w:val="00E45EBF"/>
    <w:rsid w:val="00E70662"/>
    <w:rsid w:val="00EA1AEA"/>
    <w:rsid w:val="00EA3C4A"/>
    <w:rsid w:val="00EA5809"/>
    <w:rsid w:val="00EB39FE"/>
    <w:rsid w:val="00EC0AA5"/>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E026B"/>
    <w:rsid w:val="00FE5A8A"/>
    <w:rsid w:val="00FF0CBB"/>
    <w:rsid w:val="00FF1DE8"/>
    <w:rsid w:val="00FF6097"/>
    <w:rsid w:val="01753399"/>
    <w:rsid w:val="03D9125A"/>
    <w:rsid w:val="04525630"/>
    <w:rsid w:val="05BE69F2"/>
    <w:rsid w:val="07256BF3"/>
    <w:rsid w:val="07626668"/>
    <w:rsid w:val="07867783"/>
    <w:rsid w:val="08DA3FD7"/>
    <w:rsid w:val="093F1EA2"/>
    <w:rsid w:val="09516A2D"/>
    <w:rsid w:val="0A1B64B1"/>
    <w:rsid w:val="0A845491"/>
    <w:rsid w:val="0D3D2B3D"/>
    <w:rsid w:val="0D4B731E"/>
    <w:rsid w:val="0ECC5487"/>
    <w:rsid w:val="0F173368"/>
    <w:rsid w:val="0FDA0BC8"/>
    <w:rsid w:val="12274864"/>
    <w:rsid w:val="122772CF"/>
    <w:rsid w:val="12677F15"/>
    <w:rsid w:val="14417250"/>
    <w:rsid w:val="144359D4"/>
    <w:rsid w:val="14BD408C"/>
    <w:rsid w:val="16394188"/>
    <w:rsid w:val="16DF1CD5"/>
    <w:rsid w:val="177E5A4D"/>
    <w:rsid w:val="187A5C31"/>
    <w:rsid w:val="18C10C3E"/>
    <w:rsid w:val="1918797E"/>
    <w:rsid w:val="19782D58"/>
    <w:rsid w:val="1A522496"/>
    <w:rsid w:val="1BF72E89"/>
    <w:rsid w:val="1E9D6DE1"/>
    <w:rsid w:val="1EFF385A"/>
    <w:rsid w:val="1F05003A"/>
    <w:rsid w:val="204B088C"/>
    <w:rsid w:val="20A05193"/>
    <w:rsid w:val="21232357"/>
    <w:rsid w:val="228328E2"/>
    <w:rsid w:val="22A77DDF"/>
    <w:rsid w:val="22F925BA"/>
    <w:rsid w:val="24B714EF"/>
    <w:rsid w:val="24D42054"/>
    <w:rsid w:val="251D6C22"/>
    <w:rsid w:val="263D183C"/>
    <w:rsid w:val="267B1B69"/>
    <w:rsid w:val="26842180"/>
    <w:rsid w:val="26D95EB6"/>
    <w:rsid w:val="27567996"/>
    <w:rsid w:val="28000F18"/>
    <w:rsid w:val="2867167D"/>
    <w:rsid w:val="28FB0640"/>
    <w:rsid w:val="2AE90B16"/>
    <w:rsid w:val="2B221E8C"/>
    <w:rsid w:val="2B947996"/>
    <w:rsid w:val="2C062D9A"/>
    <w:rsid w:val="2C822C03"/>
    <w:rsid w:val="2CEA28E5"/>
    <w:rsid w:val="2D5B72F6"/>
    <w:rsid w:val="2E3118C7"/>
    <w:rsid w:val="2E952F8E"/>
    <w:rsid w:val="2F0138BD"/>
    <w:rsid w:val="2F6205B6"/>
    <w:rsid w:val="30281D0A"/>
    <w:rsid w:val="30447A93"/>
    <w:rsid w:val="31F44990"/>
    <w:rsid w:val="32A22951"/>
    <w:rsid w:val="33091F42"/>
    <w:rsid w:val="33B6047C"/>
    <w:rsid w:val="33DA198F"/>
    <w:rsid w:val="34D61DBF"/>
    <w:rsid w:val="35075A90"/>
    <w:rsid w:val="35660C14"/>
    <w:rsid w:val="365B313A"/>
    <w:rsid w:val="36952A25"/>
    <w:rsid w:val="36EC2958"/>
    <w:rsid w:val="37466C37"/>
    <w:rsid w:val="38C14C19"/>
    <w:rsid w:val="395E6B7F"/>
    <w:rsid w:val="39971EDE"/>
    <w:rsid w:val="39FC4808"/>
    <w:rsid w:val="3A001312"/>
    <w:rsid w:val="3B3900DB"/>
    <w:rsid w:val="3B7A416C"/>
    <w:rsid w:val="3CEC5489"/>
    <w:rsid w:val="3D89076E"/>
    <w:rsid w:val="3DBD4542"/>
    <w:rsid w:val="3DC16093"/>
    <w:rsid w:val="3DD633D4"/>
    <w:rsid w:val="3E2B4B64"/>
    <w:rsid w:val="3F03475C"/>
    <w:rsid w:val="404E59B0"/>
    <w:rsid w:val="41F64450"/>
    <w:rsid w:val="42D2522B"/>
    <w:rsid w:val="437C259C"/>
    <w:rsid w:val="45725F18"/>
    <w:rsid w:val="45801992"/>
    <w:rsid w:val="45BE50EE"/>
    <w:rsid w:val="46EE7A11"/>
    <w:rsid w:val="46EF5012"/>
    <w:rsid w:val="46F107AA"/>
    <w:rsid w:val="48F006EB"/>
    <w:rsid w:val="498252AE"/>
    <w:rsid w:val="49DC43AF"/>
    <w:rsid w:val="4A934F92"/>
    <w:rsid w:val="4AFE453C"/>
    <w:rsid w:val="4B592994"/>
    <w:rsid w:val="4B927B60"/>
    <w:rsid w:val="4C1F7EFC"/>
    <w:rsid w:val="4D673D6A"/>
    <w:rsid w:val="4DF76177"/>
    <w:rsid w:val="4ECA40A2"/>
    <w:rsid w:val="4F037D3B"/>
    <w:rsid w:val="50503068"/>
    <w:rsid w:val="50E115B3"/>
    <w:rsid w:val="51FD1172"/>
    <w:rsid w:val="524126F9"/>
    <w:rsid w:val="526167E0"/>
    <w:rsid w:val="535A2EC4"/>
    <w:rsid w:val="53AC5066"/>
    <w:rsid w:val="540A61D6"/>
    <w:rsid w:val="54F42A16"/>
    <w:rsid w:val="551C3657"/>
    <w:rsid w:val="55397CEC"/>
    <w:rsid w:val="56056532"/>
    <w:rsid w:val="569C4DF2"/>
    <w:rsid w:val="576E3A83"/>
    <w:rsid w:val="595E5E96"/>
    <w:rsid w:val="5AAC4E94"/>
    <w:rsid w:val="5B842256"/>
    <w:rsid w:val="5C1D26B0"/>
    <w:rsid w:val="5C7677A0"/>
    <w:rsid w:val="5D0979F6"/>
    <w:rsid w:val="5E8B0391"/>
    <w:rsid w:val="5F863E24"/>
    <w:rsid w:val="60941107"/>
    <w:rsid w:val="618E1C6F"/>
    <w:rsid w:val="63101B76"/>
    <w:rsid w:val="6319095E"/>
    <w:rsid w:val="63B83B3B"/>
    <w:rsid w:val="65021548"/>
    <w:rsid w:val="653C67B3"/>
    <w:rsid w:val="6547353D"/>
    <w:rsid w:val="6559327D"/>
    <w:rsid w:val="6566674B"/>
    <w:rsid w:val="656A01FC"/>
    <w:rsid w:val="656B6AEC"/>
    <w:rsid w:val="66010BA2"/>
    <w:rsid w:val="660F5CA3"/>
    <w:rsid w:val="66125BA2"/>
    <w:rsid w:val="669A44AE"/>
    <w:rsid w:val="66EB1EA6"/>
    <w:rsid w:val="67E35992"/>
    <w:rsid w:val="67F72DCD"/>
    <w:rsid w:val="6A6D6E46"/>
    <w:rsid w:val="6C507608"/>
    <w:rsid w:val="6CD145F4"/>
    <w:rsid w:val="6CDA4975"/>
    <w:rsid w:val="6DB04017"/>
    <w:rsid w:val="6F9F1C4A"/>
    <w:rsid w:val="6FF967FA"/>
    <w:rsid w:val="70D47953"/>
    <w:rsid w:val="71E20C64"/>
    <w:rsid w:val="721B680F"/>
    <w:rsid w:val="72C3373B"/>
    <w:rsid w:val="74423E94"/>
    <w:rsid w:val="75B85EBF"/>
    <w:rsid w:val="75EB3123"/>
    <w:rsid w:val="76CB095F"/>
    <w:rsid w:val="76DB2345"/>
    <w:rsid w:val="777319DD"/>
    <w:rsid w:val="778D1C32"/>
    <w:rsid w:val="77F16886"/>
    <w:rsid w:val="781E2DDE"/>
    <w:rsid w:val="78327DE2"/>
    <w:rsid w:val="7AE32A4F"/>
    <w:rsid w:val="7B327CEA"/>
    <w:rsid w:val="7B4F69CF"/>
    <w:rsid w:val="7B563569"/>
    <w:rsid w:val="7B871056"/>
    <w:rsid w:val="7C9425AE"/>
    <w:rsid w:val="7CAF1502"/>
    <w:rsid w:val="7D2A0E8D"/>
    <w:rsid w:val="7E014F5A"/>
    <w:rsid w:val="7E1D1C6D"/>
    <w:rsid w:val="7E3C63D8"/>
    <w:rsid w:val="7ED94506"/>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46"/>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3"/>
    <w:basedOn w:val="1"/>
    <w:next w:val="1"/>
    <w:link w:val="47"/>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5">
    <w:name w:val="heading 4"/>
    <w:basedOn w:val="1"/>
    <w:next w:val="1"/>
    <w:link w:val="48"/>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6">
    <w:name w:val="heading 5"/>
    <w:basedOn w:val="1"/>
    <w:next w:val="1"/>
    <w:link w:val="49"/>
    <w:qFormat/>
    <w:uiPriority w:val="0"/>
    <w:pPr>
      <w:keepNext/>
      <w:keepLines/>
      <w:widowControl/>
      <w:numPr>
        <w:ilvl w:val="4"/>
        <w:numId w:val="1"/>
      </w:numPr>
      <w:spacing w:before="280" w:after="290" w:line="376" w:lineRule="auto"/>
      <w:jc w:val="left"/>
      <w:outlineLvl w:val="4"/>
    </w:pPr>
    <w:rPr>
      <w:b/>
      <w:bCs/>
      <w:kern w:val="0"/>
      <w:szCs w:val="28"/>
    </w:rPr>
  </w:style>
  <w:style w:type="paragraph" w:styleId="7">
    <w:name w:val="heading 6"/>
    <w:basedOn w:val="1"/>
    <w:next w:val="1"/>
    <w:link w:val="50"/>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51"/>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52"/>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53"/>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0"/>
    <w:qFormat/>
    <w:uiPriority w:val="0"/>
    <w:pPr>
      <w:ind w:firstLine="420"/>
    </w:pPr>
    <w:rPr>
      <w:rFonts w:asciiTheme="minorHAnsi" w:hAnsiTheme="minorHAnsi" w:eastAsiaTheme="minorEastAsia" w:cstheme="minorBidi"/>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56"/>
    <w:semiHidden/>
    <w:qFormat/>
    <w:uiPriority w:val="0"/>
    <w:rPr>
      <w:rFonts w:ascii="Heiti SC Light" w:hAnsi="Calibri" w:eastAsia="Times New Roman"/>
      <w:sz w:val="24"/>
    </w:rPr>
  </w:style>
  <w:style w:type="paragraph" w:styleId="14">
    <w:name w:val="annotation text"/>
    <w:basedOn w:val="1"/>
    <w:link w:val="59"/>
    <w:qFormat/>
    <w:uiPriority w:val="0"/>
    <w:pPr>
      <w:jc w:val="left"/>
    </w:pPr>
    <w:rPr>
      <w:rFonts w:asciiTheme="minorHAnsi" w:hAnsiTheme="minorHAnsi" w:eastAsiaTheme="minorEastAsia" w:cstheme="minorBidi"/>
      <w:szCs w:val="22"/>
    </w:rPr>
  </w:style>
  <w:style w:type="paragraph" w:styleId="15">
    <w:name w:val="Body Text"/>
    <w:basedOn w:val="1"/>
    <w:link w:val="63"/>
    <w:qFormat/>
    <w:uiPriority w:val="0"/>
    <w:pPr>
      <w:spacing w:line="420" w:lineRule="auto"/>
    </w:pPr>
    <w:rPr>
      <w:sz w:val="24"/>
    </w:rPr>
  </w:style>
  <w:style w:type="paragraph" w:styleId="16">
    <w:name w:val="Body Text Indent"/>
    <w:basedOn w:val="1"/>
    <w:link w:val="42"/>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41"/>
    <w:qFormat/>
    <w:uiPriority w:val="0"/>
    <w:rPr>
      <w:rFonts w:ascii="宋体" w:hAnsi="Courier New" w:cs="Courier New"/>
      <w:sz w:val="21"/>
      <w:szCs w:val="21"/>
    </w:rPr>
  </w:style>
  <w:style w:type="paragraph" w:styleId="19">
    <w:name w:val="Balloon Text"/>
    <w:basedOn w:val="1"/>
    <w:link w:val="43"/>
    <w:unhideWhenUsed/>
    <w:qFormat/>
    <w:uiPriority w:val="0"/>
    <w:rPr>
      <w:sz w:val="18"/>
      <w:szCs w:val="18"/>
    </w:rPr>
  </w:style>
  <w:style w:type="paragraph" w:styleId="20">
    <w:name w:val="footer"/>
    <w:basedOn w:val="1"/>
    <w:link w:val="40"/>
    <w:qFormat/>
    <w:uiPriority w:val="99"/>
    <w:pPr>
      <w:tabs>
        <w:tab w:val="center" w:pos="4153"/>
        <w:tab w:val="right" w:pos="8306"/>
      </w:tabs>
      <w:snapToGrid w:val="0"/>
      <w:jc w:val="left"/>
    </w:pPr>
    <w:rPr>
      <w:sz w:val="18"/>
      <w:szCs w:val="18"/>
    </w:rPr>
  </w:style>
  <w:style w:type="paragraph" w:styleId="21">
    <w:name w:val="header"/>
    <w:basedOn w:val="1"/>
    <w:link w:val="11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67"/>
    <w:qFormat/>
    <w:uiPriority w:val="0"/>
    <w:pPr>
      <w:spacing w:after="120"/>
      <w:ind w:left="420" w:leftChars="200"/>
    </w:pPr>
    <w:rPr>
      <w:sz w:val="16"/>
      <w:szCs w:val="16"/>
    </w:rPr>
  </w:style>
  <w:style w:type="paragraph" w:styleId="24">
    <w:name w:val="Normal (Web)"/>
    <w:basedOn w:val="1"/>
    <w:qFormat/>
    <w:uiPriority w:val="0"/>
    <w:pPr>
      <w:spacing w:beforeAutospacing="1" w:afterAutospacing="1"/>
      <w:jc w:val="left"/>
    </w:pPr>
    <w:rPr>
      <w:kern w:val="0"/>
      <w:sz w:val="24"/>
      <w:szCs w:val="20"/>
    </w:rPr>
  </w:style>
  <w:style w:type="paragraph" w:styleId="25">
    <w:name w:val="Title"/>
    <w:basedOn w:val="1"/>
    <w:next w:val="1"/>
    <w:link w:val="69"/>
    <w:qFormat/>
    <w:uiPriority w:val="0"/>
    <w:pPr>
      <w:spacing w:before="240" w:after="60"/>
      <w:jc w:val="center"/>
      <w:outlineLvl w:val="0"/>
    </w:pPr>
    <w:rPr>
      <w:rFonts w:ascii="Cambria" w:hAnsi="Cambria"/>
      <w:b/>
      <w:bCs/>
      <w:sz w:val="32"/>
      <w:szCs w:val="32"/>
    </w:rPr>
  </w:style>
  <w:style w:type="table" w:styleId="27">
    <w:name w:val="Table Grid"/>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rPr>
  </w:style>
  <w:style w:type="character" w:styleId="30">
    <w:name w:val="page number"/>
    <w:qFormat/>
    <w:uiPriority w:val="0"/>
  </w:style>
  <w:style w:type="character" w:styleId="31">
    <w:name w:val="FollowedHyperlink"/>
    <w:basedOn w:val="28"/>
    <w:qFormat/>
    <w:uiPriority w:val="99"/>
    <w:rPr>
      <w:color w:val="5A5A5A"/>
      <w:u w:val="none"/>
    </w:rPr>
  </w:style>
  <w:style w:type="character" w:styleId="32">
    <w:name w:val="Emphasis"/>
    <w:basedOn w:val="28"/>
    <w:qFormat/>
    <w:uiPriority w:val="20"/>
  </w:style>
  <w:style w:type="character" w:styleId="33">
    <w:name w:val="HTML Definition"/>
    <w:basedOn w:val="28"/>
    <w:semiHidden/>
    <w:unhideWhenUsed/>
    <w:qFormat/>
    <w:uiPriority w:val="99"/>
    <w:rPr>
      <w:i/>
    </w:rPr>
  </w:style>
  <w:style w:type="character" w:styleId="34">
    <w:name w:val="Hyperlink"/>
    <w:basedOn w:val="28"/>
    <w:qFormat/>
    <w:uiPriority w:val="99"/>
    <w:rPr>
      <w:color w:val="5A5A5A"/>
      <w:u w:val="none"/>
    </w:rPr>
  </w:style>
  <w:style w:type="character" w:styleId="35">
    <w:name w:val="HTML Code"/>
    <w:basedOn w:val="28"/>
    <w:semiHidden/>
    <w:unhideWhenUsed/>
    <w:qFormat/>
    <w:uiPriority w:val="99"/>
    <w:rPr>
      <w:rFonts w:ascii="Consolas" w:hAnsi="Consolas" w:eastAsia="Consolas" w:cs="Consolas"/>
      <w:color w:val="C7254E"/>
      <w:sz w:val="21"/>
      <w:szCs w:val="21"/>
      <w:shd w:val="clear" w:fill="F9F2F4"/>
    </w:rPr>
  </w:style>
  <w:style w:type="character" w:styleId="36">
    <w:name w:val="annotation reference"/>
    <w:qFormat/>
    <w:uiPriority w:val="0"/>
    <w:rPr>
      <w:sz w:val="21"/>
    </w:rPr>
  </w:style>
  <w:style w:type="character" w:styleId="37">
    <w:name w:val="HTML Keyboard"/>
    <w:basedOn w:val="28"/>
    <w:semiHidden/>
    <w:unhideWhenUsed/>
    <w:qFormat/>
    <w:uiPriority w:val="99"/>
    <w:rPr>
      <w:rFonts w:hint="default" w:ascii="Consolas" w:hAnsi="Consolas" w:eastAsia="Consolas" w:cs="Consolas"/>
      <w:color w:val="FFFFFF"/>
      <w:sz w:val="21"/>
      <w:szCs w:val="21"/>
      <w:shd w:val="clear" w:fill="333333"/>
    </w:rPr>
  </w:style>
  <w:style w:type="character" w:styleId="38">
    <w:name w:val="HTML Sample"/>
    <w:basedOn w:val="28"/>
    <w:semiHidden/>
    <w:unhideWhenUsed/>
    <w:qFormat/>
    <w:uiPriority w:val="99"/>
    <w:rPr>
      <w:rFonts w:hint="default" w:ascii="Consolas" w:hAnsi="Consolas" w:eastAsia="Consolas" w:cs="Consolas"/>
      <w:sz w:val="21"/>
      <w:szCs w:val="21"/>
    </w:rPr>
  </w:style>
  <w:style w:type="paragraph" w:customStyle="1" w:styleId="3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40">
    <w:name w:val="页脚 Char"/>
    <w:basedOn w:val="28"/>
    <w:link w:val="20"/>
    <w:qFormat/>
    <w:uiPriority w:val="99"/>
    <w:rPr>
      <w:rFonts w:ascii="Times New Roman" w:hAnsi="Times New Roman" w:eastAsia="宋体" w:cs="Times New Roman"/>
      <w:sz w:val="18"/>
      <w:szCs w:val="18"/>
    </w:rPr>
  </w:style>
  <w:style w:type="character" w:customStyle="1" w:styleId="41">
    <w:name w:val="纯文本 Char"/>
    <w:basedOn w:val="28"/>
    <w:link w:val="18"/>
    <w:qFormat/>
    <w:uiPriority w:val="0"/>
    <w:rPr>
      <w:rFonts w:ascii="宋体" w:hAnsi="Courier New" w:eastAsia="宋体" w:cs="Courier New"/>
      <w:szCs w:val="21"/>
    </w:rPr>
  </w:style>
  <w:style w:type="character" w:customStyle="1" w:styleId="42">
    <w:name w:val="正文文本缩进 Char"/>
    <w:basedOn w:val="28"/>
    <w:link w:val="16"/>
    <w:qFormat/>
    <w:uiPriority w:val="0"/>
    <w:rPr>
      <w:rFonts w:ascii="Times New Roman" w:hAnsi="Times New Roman" w:eastAsia="宋体" w:cs="Times New Roman"/>
      <w:sz w:val="32"/>
      <w:szCs w:val="20"/>
    </w:rPr>
  </w:style>
  <w:style w:type="character" w:customStyle="1" w:styleId="43">
    <w:name w:val="批注框文本 Char"/>
    <w:basedOn w:val="28"/>
    <w:link w:val="19"/>
    <w:qFormat/>
    <w:uiPriority w:val="0"/>
    <w:rPr>
      <w:rFonts w:ascii="Times New Roman" w:hAnsi="Times New Roman" w:eastAsia="宋体" w:cs="Times New Roman"/>
      <w:sz w:val="18"/>
      <w:szCs w:val="18"/>
    </w:rPr>
  </w:style>
  <w:style w:type="paragraph" w:customStyle="1" w:styleId="44">
    <w:name w:val="列出段落1"/>
    <w:basedOn w:val="1"/>
    <w:qFormat/>
    <w:uiPriority w:val="0"/>
    <w:pPr>
      <w:ind w:firstLine="420" w:firstLineChars="200"/>
    </w:pPr>
  </w:style>
  <w:style w:type="character" w:customStyle="1" w:styleId="45">
    <w:name w:val="标题 1 Char"/>
    <w:basedOn w:val="28"/>
    <w:link w:val="2"/>
    <w:qFormat/>
    <w:uiPriority w:val="0"/>
    <w:rPr>
      <w:rFonts w:ascii="Calibri" w:hAnsi="Calibri" w:eastAsia="仿宋" w:cs="Times New Roman"/>
      <w:b/>
      <w:bCs/>
      <w:kern w:val="44"/>
      <w:sz w:val="30"/>
      <w:szCs w:val="44"/>
    </w:rPr>
  </w:style>
  <w:style w:type="character" w:customStyle="1" w:styleId="46">
    <w:name w:val="标题 2 Char"/>
    <w:basedOn w:val="28"/>
    <w:link w:val="3"/>
    <w:qFormat/>
    <w:uiPriority w:val="0"/>
    <w:rPr>
      <w:rFonts w:ascii="Cambria" w:hAnsi="Cambria" w:eastAsia="宋体" w:cs="Times New Roman"/>
      <w:b/>
      <w:bCs/>
      <w:sz w:val="28"/>
      <w:szCs w:val="32"/>
    </w:rPr>
  </w:style>
  <w:style w:type="character" w:customStyle="1" w:styleId="47">
    <w:name w:val="标题 3 Char"/>
    <w:basedOn w:val="28"/>
    <w:link w:val="4"/>
    <w:qFormat/>
    <w:uiPriority w:val="0"/>
    <w:rPr>
      <w:rFonts w:ascii="Calibri" w:hAnsi="Calibri" w:eastAsia="宋体" w:cs="Times New Roman"/>
      <w:b/>
      <w:bCs/>
      <w:sz w:val="32"/>
      <w:szCs w:val="32"/>
    </w:rPr>
  </w:style>
  <w:style w:type="character" w:customStyle="1" w:styleId="48">
    <w:name w:val="标题 4 Char"/>
    <w:basedOn w:val="28"/>
    <w:link w:val="5"/>
    <w:qFormat/>
    <w:uiPriority w:val="0"/>
    <w:rPr>
      <w:rFonts w:ascii="Cambria" w:hAnsi="Cambria" w:eastAsia="宋体" w:cs="Times New Roman"/>
      <w:b/>
      <w:bCs/>
      <w:sz w:val="28"/>
      <w:szCs w:val="28"/>
    </w:rPr>
  </w:style>
  <w:style w:type="character" w:customStyle="1" w:styleId="49">
    <w:name w:val="标题 5 Char"/>
    <w:basedOn w:val="28"/>
    <w:link w:val="6"/>
    <w:qFormat/>
    <w:uiPriority w:val="0"/>
    <w:rPr>
      <w:rFonts w:ascii="Times New Roman" w:hAnsi="Times New Roman" w:eastAsia="宋体" w:cs="Times New Roman"/>
      <w:b/>
      <w:bCs/>
      <w:kern w:val="0"/>
      <w:sz w:val="28"/>
      <w:szCs w:val="28"/>
    </w:rPr>
  </w:style>
  <w:style w:type="character" w:customStyle="1" w:styleId="50">
    <w:name w:val="标题 6 Char"/>
    <w:basedOn w:val="28"/>
    <w:link w:val="7"/>
    <w:qFormat/>
    <w:uiPriority w:val="0"/>
    <w:rPr>
      <w:rFonts w:ascii="Arial" w:hAnsi="Arial" w:eastAsia="黑体" w:cs="Times New Roman"/>
      <w:b/>
      <w:bCs/>
      <w:kern w:val="0"/>
      <w:sz w:val="24"/>
      <w:szCs w:val="24"/>
    </w:rPr>
  </w:style>
  <w:style w:type="character" w:customStyle="1" w:styleId="51">
    <w:name w:val="标题 7 Char"/>
    <w:basedOn w:val="28"/>
    <w:link w:val="8"/>
    <w:qFormat/>
    <w:uiPriority w:val="0"/>
    <w:rPr>
      <w:rFonts w:ascii="Times New Roman" w:hAnsi="Times New Roman" w:eastAsia="宋体" w:cs="Times New Roman"/>
      <w:b/>
      <w:bCs/>
      <w:kern w:val="0"/>
      <w:sz w:val="24"/>
      <w:szCs w:val="24"/>
    </w:rPr>
  </w:style>
  <w:style w:type="character" w:customStyle="1" w:styleId="52">
    <w:name w:val="标题 8 Char"/>
    <w:basedOn w:val="28"/>
    <w:link w:val="9"/>
    <w:qFormat/>
    <w:uiPriority w:val="0"/>
    <w:rPr>
      <w:rFonts w:ascii="Arial" w:hAnsi="Arial" w:eastAsia="黑体" w:cs="Times New Roman"/>
      <w:kern w:val="0"/>
      <w:sz w:val="24"/>
      <w:szCs w:val="24"/>
    </w:rPr>
  </w:style>
  <w:style w:type="character" w:customStyle="1" w:styleId="53">
    <w:name w:val="标题 9 Char"/>
    <w:basedOn w:val="28"/>
    <w:link w:val="10"/>
    <w:qFormat/>
    <w:uiPriority w:val="0"/>
    <w:rPr>
      <w:rFonts w:ascii="Arial" w:hAnsi="Arial" w:eastAsia="黑体" w:cs="Times New Roman"/>
      <w:kern w:val="0"/>
      <w:szCs w:val="21"/>
    </w:rPr>
  </w:style>
  <w:style w:type="paragraph" w:customStyle="1" w:styleId="54">
    <w:name w:val="列出段落11"/>
    <w:basedOn w:val="1"/>
    <w:qFormat/>
    <w:uiPriority w:val="0"/>
    <w:pPr>
      <w:ind w:firstLine="420" w:firstLineChars="200"/>
    </w:pPr>
    <w:rPr>
      <w:rFonts w:ascii="Calibri" w:hAnsi="Calibri"/>
      <w:sz w:val="21"/>
      <w:szCs w:val="22"/>
    </w:rPr>
  </w:style>
  <w:style w:type="paragraph" w:customStyle="1" w:styleId="5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文档结构图 Char"/>
    <w:basedOn w:val="28"/>
    <w:link w:val="13"/>
    <w:semiHidden/>
    <w:qFormat/>
    <w:uiPriority w:val="0"/>
    <w:rPr>
      <w:rFonts w:ascii="Heiti SC Light" w:hAnsi="Calibri" w:eastAsia="Times New Roman" w:cs="Times New Roman"/>
      <w:sz w:val="24"/>
      <w:szCs w:val="24"/>
    </w:rPr>
  </w:style>
  <w:style w:type="paragraph" w:customStyle="1" w:styleId="57">
    <w:name w:val="Char Char"/>
    <w:basedOn w:val="1"/>
    <w:qFormat/>
    <w:uiPriority w:val="0"/>
    <w:rPr>
      <w:rFonts w:ascii="Tahoma" w:hAnsi="Tahoma"/>
      <w:sz w:val="24"/>
      <w:szCs w:val="20"/>
    </w:rPr>
  </w:style>
  <w:style w:type="paragraph" w:customStyle="1" w:styleId="58">
    <w:name w:val="大汉方案正文"/>
    <w:basedOn w:val="1"/>
    <w:qFormat/>
    <w:uiPriority w:val="0"/>
    <w:pPr>
      <w:spacing w:line="360" w:lineRule="auto"/>
      <w:ind w:firstLine="200" w:firstLineChars="200"/>
    </w:pPr>
    <w:rPr>
      <w:rFonts w:ascii="Arial" w:hAnsi="Arial"/>
      <w:sz w:val="24"/>
      <w:szCs w:val="20"/>
    </w:rPr>
  </w:style>
  <w:style w:type="character" w:customStyle="1" w:styleId="59">
    <w:name w:val="批注文字 Char"/>
    <w:link w:val="14"/>
    <w:qFormat/>
    <w:uiPriority w:val="0"/>
    <w:rPr>
      <w:sz w:val="28"/>
    </w:rPr>
  </w:style>
  <w:style w:type="character" w:customStyle="1" w:styleId="60">
    <w:name w:val="正文缩进 Char"/>
    <w:link w:val="11"/>
    <w:qFormat/>
    <w:uiPriority w:val="0"/>
  </w:style>
  <w:style w:type="character" w:customStyle="1" w:styleId="61">
    <w:name w:val="纯文本 Char1"/>
    <w:qFormat/>
    <w:uiPriority w:val="0"/>
    <w:rPr>
      <w:rFonts w:ascii="宋体" w:hAnsi="Courier New" w:cs="Courier New"/>
      <w:kern w:val="2"/>
      <w:sz w:val="21"/>
      <w:szCs w:val="21"/>
    </w:rPr>
  </w:style>
  <w:style w:type="character" w:customStyle="1" w:styleId="62">
    <w:name w:val="批注文字 Char1"/>
    <w:basedOn w:val="28"/>
    <w:qFormat/>
    <w:uiPriority w:val="0"/>
    <w:rPr>
      <w:rFonts w:ascii="Times New Roman" w:hAnsi="Times New Roman" w:eastAsia="宋体" w:cs="Times New Roman"/>
      <w:sz w:val="28"/>
      <w:szCs w:val="24"/>
    </w:rPr>
  </w:style>
  <w:style w:type="character" w:customStyle="1" w:styleId="63">
    <w:name w:val="正文文本 Char"/>
    <w:basedOn w:val="28"/>
    <w:link w:val="15"/>
    <w:qFormat/>
    <w:uiPriority w:val="0"/>
    <w:rPr>
      <w:rFonts w:ascii="Times New Roman" w:hAnsi="Times New Roman" w:eastAsia="宋体" w:cs="Times New Roman"/>
      <w:sz w:val="24"/>
      <w:szCs w:val="24"/>
    </w:rPr>
  </w:style>
  <w:style w:type="paragraph" w:customStyle="1" w:styleId="64">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65">
    <w:name w:val="apple-converted-space"/>
    <w:qFormat/>
    <w:uiPriority w:val="0"/>
  </w:style>
  <w:style w:type="paragraph" w:customStyle="1" w:styleId="6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7">
    <w:name w:val="正文文本缩进 3 Char"/>
    <w:basedOn w:val="28"/>
    <w:link w:val="23"/>
    <w:qFormat/>
    <w:uiPriority w:val="0"/>
    <w:rPr>
      <w:rFonts w:ascii="Times New Roman" w:hAnsi="Times New Roman" w:eastAsia="宋体" w:cs="Times New Roman"/>
      <w:sz w:val="16"/>
      <w:szCs w:val="16"/>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标题 Char"/>
    <w:basedOn w:val="28"/>
    <w:link w:val="25"/>
    <w:qFormat/>
    <w:uiPriority w:val="0"/>
    <w:rPr>
      <w:rFonts w:ascii="Cambria" w:hAnsi="Cambria" w:eastAsia="宋体" w:cs="Times New Roman"/>
      <w:b/>
      <w:bCs/>
      <w:sz w:val="32"/>
      <w:szCs w:val="32"/>
    </w:rPr>
  </w:style>
  <w:style w:type="paragraph" w:customStyle="1" w:styleId="70">
    <w:name w:val="列出段落2"/>
    <w:basedOn w:val="1"/>
    <w:qFormat/>
    <w:uiPriority w:val="0"/>
    <w:pPr>
      <w:ind w:firstLine="420" w:firstLineChars="200"/>
    </w:pPr>
    <w:rPr>
      <w:rFonts w:ascii="Calibri" w:hAnsi="Calibri"/>
      <w:sz w:val="21"/>
      <w:szCs w:val="22"/>
    </w:rPr>
  </w:style>
  <w:style w:type="paragraph" w:customStyle="1" w:styleId="71">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标题 3 Char1"/>
    <w:qFormat/>
    <w:uiPriority w:val="0"/>
    <w:rPr>
      <w:rFonts w:ascii="Times New Roman" w:hAnsi="Times New Roman" w:eastAsia="宋体" w:cs="Times New Roman"/>
      <w:sz w:val="24"/>
      <w:szCs w:val="20"/>
    </w:rPr>
  </w:style>
  <w:style w:type="paragraph" w:customStyle="1" w:styleId="73">
    <w:name w:val="Char Char11 Char Char Char Char"/>
    <w:basedOn w:val="1"/>
    <w:qFormat/>
    <w:uiPriority w:val="0"/>
    <w:pPr>
      <w:tabs>
        <w:tab w:val="left" w:pos="360"/>
      </w:tabs>
    </w:pPr>
    <w:rPr>
      <w:sz w:val="21"/>
    </w:rPr>
  </w:style>
  <w:style w:type="paragraph" w:customStyle="1" w:styleId="74">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2">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3">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7">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8">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0">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2">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3">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5">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6">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7">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9">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7">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8">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9">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1">
    <w:name w:val="页眉 Char"/>
    <w:basedOn w:val="28"/>
    <w:link w:val="21"/>
    <w:qFormat/>
    <w:uiPriority w:val="0"/>
    <w:rPr>
      <w:rFonts w:ascii="Times New Roman" w:hAnsi="Times New Roman" w:eastAsia="宋体" w:cs="Times New Roman"/>
      <w:sz w:val="18"/>
      <w:szCs w:val="18"/>
    </w:rPr>
  </w:style>
  <w:style w:type="paragraph" w:styleId="112">
    <w:name w:val="List Paragraph"/>
    <w:basedOn w:val="1"/>
    <w:qFormat/>
    <w:uiPriority w:val="99"/>
    <w:pPr>
      <w:ind w:firstLine="420" w:firstLineChars="200"/>
    </w:pPr>
    <w:rPr>
      <w:rFonts w:ascii="Calibri" w:hAnsi="Calibri"/>
      <w:sz w:val="21"/>
      <w:szCs w:val="21"/>
    </w:rPr>
  </w:style>
  <w:style w:type="paragraph" w:customStyle="1" w:styleId="113">
    <w:name w:val="目录1"/>
    <w:basedOn w:val="1"/>
    <w:qFormat/>
    <w:uiPriority w:val="0"/>
    <w:pPr>
      <w:adjustRightInd w:val="0"/>
      <w:spacing w:line="420" w:lineRule="atLeast"/>
      <w:textAlignment w:val="baseline"/>
    </w:pPr>
    <w:rPr>
      <w:rFonts w:eastAsia="黑体"/>
      <w:b/>
      <w:kern w:val="0"/>
      <w:szCs w:val="20"/>
    </w:rPr>
  </w:style>
  <w:style w:type="paragraph" w:customStyle="1" w:styleId="114">
    <w:name w:val="WPSOffice手动目录 1"/>
    <w:qFormat/>
    <w:uiPriority w:val="0"/>
    <w:rPr>
      <w:rFonts w:ascii="Times New Roman" w:hAnsi="Times New Roman" w:eastAsia="宋体" w:cs="Times New Roman"/>
      <w:lang w:val="en-US" w:eastAsia="zh-CN" w:bidi="ar-SA"/>
    </w:rPr>
  </w:style>
  <w:style w:type="paragraph" w:customStyle="1" w:styleId="1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16">
    <w:name w:val="is_active"/>
    <w:basedOn w:val="28"/>
    <w:qFormat/>
    <w:uiPriority w:val="0"/>
    <w:rPr>
      <w:color w:val="FFFFFF"/>
      <w:shd w:val="clear" w:color="auto" w:fill="F07C17"/>
    </w:rPr>
  </w:style>
  <w:style w:type="character" w:customStyle="1" w:styleId="117">
    <w:name w:val="last-child1"/>
    <w:basedOn w:val="28"/>
    <w:qFormat/>
    <w:uiPriority w:val="0"/>
  </w:style>
  <w:style w:type="character" w:customStyle="1" w:styleId="118">
    <w:name w:val="last-child"/>
    <w:basedOn w:val="28"/>
    <w:qFormat/>
    <w:uiPriority w:val="0"/>
  </w:style>
  <w:style w:type="character" w:customStyle="1" w:styleId="119">
    <w:name w:val="is_active1"/>
    <w:basedOn w:val="28"/>
    <w:qFormat/>
    <w:uiPriority w:val="0"/>
    <w:rPr>
      <w:color w:val="FFFFFF"/>
      <w:shd w:val="clear" w:color="auto" w:fill="F07C17"/>
    </w:rPr>
  </w:style>
  <w:style w:type="character" w:customStyle="1" w:styleId="120">
    <w:name w:val="last-child2"/>
    <w:basedOn w:val="28"/>
    <w:qFormat/>
    <w:uiPriority w:val="0"/>
  </w:style>
  <w:style w:type="character" w:customStyle="1" w:styleId="121">
    <w:name w:val="font11"/>
    <w:basedOn w:val="28"/>
    <w:qFormat/>
    <w:uiPriority w:val="0"/>
    <w:rPr>
      <w:rFonts w:hint="eastAsia" w:ascii="宋体" w:hAnsi="宋体" w:eastAsia="宋体" w:cs="宋体"/>
      <w:color w:val="000000"/>
      <w:sz w:val="24"/>
      <w:szCs w:val="24"/>
      <w:u w:val="none"/>
      <w:vertAlign w:val="superscript"/>
    </w:rPr>
  </w:style>
  <w:style w:type="character" w:customStyle="1" w:styleId="122">
    <w:name w:val="font01"/>
    <w:basedOn w:val="28"/>
    <w:qFormat/>
    <w:uiPriority w:val="0"/>
    <w:rPr>
      <w:rFonts w:hint="eastAsia" w:ascii="宋体" w:hAnsi="宋体" w:eastAsia="宋体" w:cs="宋体"/>
      <w:color w:val="000000"/>
      <w:sz w:val="24"/>
      <w:szCs w:val="24"/>
      <w:u w:val="none"/>
    </w:rPr>
  </w:style>
  <w:style w:type="paragraph" w:customStyle="1" w:styleId="12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24">
    <w:name w:val="time"/>
    <w:basedOn w:val="28"/>
    <w:qFormat/>
    <w:uiPriority w:val="0"/>
    <w:rPr>
      <w:color w:val="484848"/>
    </w:rPr>
  </w:style>
  <w:style w:type="paragraph" w:customStyle="1" w:styleId="125">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customShpInfo spid="_x0000_s2054"/>
    <customShpInfo spid="_x0000_s2057"/>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7D981-BBF4-4CC6-96F4-9DA8F24AF6D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122</Pages>
  <Words>10321</Words>
  <Characters>58830</Characters>
  <Lines>490</Lines>
  <Paragraphs>138</Paragraphs>
  <TotalTime>3</TotalTime>
  <ScaleCrop>false</ScaleCrop>
  <LinksUpToDate>false</LinksUpToDate>
  <CharactersWithSpaces>69013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2017-03-22T05:04:00Z</dcterms:created>
  <dc:creator>wzg</dc:creator>
  <cp:lastModifiedBy>YouAreMyLife1402823538</cp:lastModifiedBy>
  <cp:lastPrinted>2020-08-19T08:48:00Z</cp:lastPrinted>
  <dcterms:modified xsi:type="dcterms:W3CDTF">2020-08-31T08:16:10Z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