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both"/>
        <w:rPr>
          <w:rFonts w:hint="eastAsia" w:ascii="Times New Roman" w:hAnsi="Times New Roman" w:cs="Times New Roman"/>
          <w:sz w:val="52"/>
          <w:szCs w:val="52"/>
        </w:rPr>
      </w:pPr>
      <w:bookmarkStart w:id="4" w:name="_GoBack"/>
      <w:bookmarkEnd w:id="4"/>
    </w:p>
    <w:p>
      <w:pPr>
        <w:spacing w:line="360" w:lineRule="auto"/>
        <w:jc w:val="center"/>
        <w:rPr>
          <w:rFonts w:hint="eastAsia" w:ascii="Times New Roman" w:hAnsi="Times New Roman" w:cs="Times New Roman"/>
          <w:sz w:val="52"/>
          <w:szCs w:val="52"/>
        </w:rPr>
      </w:pPr>
    </w:p>
    <w:p>
      <w:pPr>
        <w:spacing w:line="360" w:lineRule="auto"/>
        <w:jc w:val="center"/>
        <w:rPr>
          <w:rFonts w:hint="eastAsia"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spacing w:line="360" w:lineRule="auto"/>
        <w:jc w:val="both"/>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spacing w:line="360" w:lineRule="auto"/>
        <w:rPr>
          <w:rFonts w:ascii="Times New Roman" w:hAnsi="Times New Roman" w:cs="Times New Roman"/>
          <w:sz w:val="30"/>
          <w:szCs w:val="30"/>
        </w:rPr>
      </w:pPr>
      <w:r>
        <w:rPr>
          <w:rFonts w:ascii="Times New Roman" w:hAnsi="Times New Roman" w:cs="Times New Roman"/>
          <w:sz w:val="30"/>
          <w:szCs w:val="30"/>
        </w:rPr>
        <w:t>项目编号：</w:t>
      </w:r>
      <w:r>
        <w:rPr>
          <w:rFonts w:hint="eastAsia" w:ascii="Times New Roman" w:hAnsi="Times New Roman" w:cs="Times New Roman"/>
          <w:sz w:val="30"/>
          <w:szCs w:val="30"/>
        </w:rPr>
        <w:t xml:space="preserve"> </w:t>
      </w:r>
      <w:r>
        <w:rPr>
          <w:rFonts w:hint="eastAsia" w:ascii="Times New Roman" w:hAnsi="Times New Roman" w:cs="Times New Roman"/>
          <w:sz w:val="30"/>
          <w:szCs w:val="30"/>
          <w:u w:val="single"/>
        </w:rPr>
        <w:t xml:space="preserve">  </w:t>
      </w:r>
      <w:r>
        <w:rPr>
          <w:rFonts w:hint="eastAsia" w:ascii="Times New Roman" w:hAnsi="Times New Roman" w:cs="Times New Roman"/>
          <w:sz w:val="30"/>
          <w:szCs w:val="30"/>
          <w:u w:val="single"/>
          <w:lang w:val="en-US" w:eastAsia="zh-CN"/>
        </w:rPr>
        <w:t xml:space="preserve">   131-2020CG-225    </w:t>
      </w:r>
      <w:r>
        <w:rPr>
          <w:rFonts w:hint="eastAsia"/>
          <w:color w:val="000000"/>
          <w:sz w:val="24"/>
          <w:u w:val="single"/>
          <w:lang w:val="en-US" w:eastAsia="zh-CN"/>
        </w:rPr>
        <w:t xml:space="preserve">   </w:t>
      </w:r>
      <w:r>
        <w:rPr>
          <w:rFonts w:hint="eastAsia" w:ascii="Times New Roman" w:hAnsi="Times New Roman" w:cs="Times New Roman"/>
          <w:sz w:val="30"/>
          <w:szCs w:val="30"/>
          <w:u w:val="single"/>
        </w:rPr>
        <w:t xml:space="preserve">           </w:t>
      </w:r>
    </w:p>
    <w:p>
      <w:pPr>
        <w:spacing w:line="360" w:lineRule="auto"/>
        <w:rPr>
          <w:rFonts w:ascii="Times New Roman" w:hAnsi="Times New Roman" w:cs="Times New Roman"/>
          <w:sz w:val="30"/>
          <w:szCs w:val="30"/>
        </w:rPr>
      </w:pPr>
      <w:r>
        <w:rPr>
          <w:rFonts w:hint="eastAsia" w:ascii="Times New Roman" w:hAnsi="Times New Roman" w:cs="Times New Roman"/>
          <w:sz w:val="30"/>
          <w:szCs w:val="30"/>
        </w:rPr>
        <w:t>采</w:t>
      </w:r>
      <w:r>
        <w:rPr>
          <w:rFonts w:hint="eastAsia" w:ascii="Times New Roman" w:hAnsi="Times New Roman" w:cs="Times New Roman"/>
          <w:sz w:val="30"/>
          <w:szCs w:val="30"/>
          <w:lang w:val="en-US" w:eastAsia="zh-CN"/>
        </w:rPr>
        <w:t xml:space="preserve"> </w:t>
      </w:r>
      <w:r>
        <w:rPr>
          <w:rFonts w:hint="eastAsia" w:ascii="Times New Roman" w:hAnsi="Times New Roman" w:cs="Times New Roman"/>
          <w:sz w:val="30"/>
          <w:szCs w:val="30"/>
        </w:rPr>
        <w:t>购</w:t>
      </w:r>
      <w:r>
        <w:rPr>
          <w:rFonts w:hint="eastAsia" w:ascii="Times New Roman" w:hAnsi="Times New Roman" w:cs="Times New Roman"/>
          <w:sz w:val="30"/>
          <w:szCs w:val="30"/>
          <w:lang w:val="en-US" w:eastAsia="zh-CN"/>
        </w:rPr>
        <w:t xml:space="preserve"> </w:t>
      </w:r>
      <w:r>
        <w:rPr>
          <w:rFonts w:hint="eastAsia" w:ascii="Times New Roman" w:hAnsi="Times New Roman" w:cs="Times New Roman"/>
          <w:sz w:val="30"/>
          <w:szCs w:val="30"/>
        </w:rPr>
        <w:t>人：</w:t>
      </w:r>
      <w:r>
        <w:rPr>
          <w:rFonts w:hint="eastAsia" w:ascii="Times New Roman" w:hAnsi="Times New Roman" w:cs="Times New Roman"/>
          <w:sz w:val="30"/>
          <w:szCs w:val="30"/>
          <w:u w:val="single"/>
        </w:rPr>
        <w:t xml:space="preserve">  </w:t>
      </w:r>
      <w:r>
        <w:rPr>
          <w:rFonts w:hint="eastAsia" w:ascii="Times New Roman" w:hAnsi="Times New Roman" w:cs="Times New Roman"/>
          <w:sz w:val="30"/>
          <w:szCs w:val="30"/>
          <w:u w:val="single"/>
          <w:lang w:val="en-US" w:eastAsia="zh-CN"/>
        </w:rPr>
        <w:t>国家税务总局阳新县税务局</w:t>
      </w:r>
      <w:r>
        <w:rPr>
          <w:rFonts w:hint="eastAsia" w:ascii="Times New Roman" w:hAnsi="Times New Roman" w:cs="Times New Roman"/>
          <w:sz w:val="30"/>
          <w:szCs w:val="30"/>
          <w:u w:val="single"/>
        </w:rPr>
        <w:t xml:space="preserve">        </w:t>
      </w:r>
    </w:p>
    <w:p>
      <w:pPr>
        <w:spacing w:line="360" w:lineRule="auto"/>
        <w:rPr>
          <w:rFonts w:hint="default" w:ascii="Times New Roman" w:hAnsi="Times New Roman" w:cs="Times New Roman"/>
          <w:sz w:val="30"/>
          <w:szCs w:val="30"/>
          <w:lang w:val="en-US"/>
        </w:rPr>
      </w:pPr>
      <w:r>
        <w:rPr>
          <w:rFonts w:ascii="Times New Roman" w:hAnsi="Times New Roman" w:cs="Times New Roman"/>
          <w:sz w:val="30"/>
          <w:szCs w:val="30"/>
        </w:rPr>
        <w:t xml:space="preserve">项目名称： </w:t>
      </w:r>
      <w:r>
        <w:rPr>
          <w:rFonts w:hint="eastAsia" w:ascii="Times New Roman" w:hAnsi="Times New Roman" w:cs="Times New Roman"/>
          <w:sz w:val="30"/>
          <w:szCs w:val="30"/>
          <w:u w:val="single"/>
          <w:lang w:val="en-US" w:eastAsia="zh-CN"/>
        </w:rPr>
        <w:t xml:space="preserve">阳新县税务局干部职工2020年体检服务项目 </w:t>
      </w:r>
    </w:p>
    <w:p>
      <w:pPr>
        <w:spacing w:line="360" w:lineRule="auto"/>
        <w:rPr>
          <w:rFonts w:ascii="Times New Roman" w:hAnsi="Times New Roman" w:cs="Times New Roman"/>
          <w:sz w:val="30"/>
          <w:szCs w:val="30"/>
        </w:rPr>
      </w:pPr>
      <w:r>
        <w:rPr>
          <w:rFonts w:ascii="Times New Roman" w:hAnsi="Times New Roman" w:cs="Times New Roman"/>
          <w:sz w:val="30"/>
          <w:szCs w:val="30"/>
        </w:rPr>
        <w:t xml:space="preserve">磋商内容： </w:t>
      </w:r>
      <w:r>
        <w:rPr>
          <w:rFonts w:hint="eastAsia" w:ascii="Times New Roman" w:hAnsi="Times New Roman" w:cs="Times New Roman"/>
          <w:sz w:val="30"/>
          <w:szCs w:val="30"/>
          <w:u w:val="single"/>
        </w:rPr>
        <w:t xml:space="preserve">  </w:t>
      </w:r>
      <w:r>
        <w:rPr>
          <w:rFonts w:hint="eastAsia" w:ascii="Times New Roman" w:hAnsi="Times New Roman" w:cs="Times New Roman"/>
          <w:sz w:val="30"/>
          <w:szCs w:val="30"/>
          <w:u w:val="single"/>
          <w:lang w:val="en-US" w:eastAsia="zh-CN"/>
        </w:rPr>
        <w:t xml:space="preserve"> 税务局职工体检服务</w:t>
      </w:r>
      <w:r>
        <w:rPr>
          <w:rFonts w:hint="eastAsia" w:ascii="Times New Roman" w:hAnsi="Times New Roman" w:cs="Times New Roman"/>
          <w:sz w:val="30"/>
          <w:szCs w:val="30"/>
          <w:u w:val="single"/>
        </w:rPr>
        <w:t xml:space="preserve"> </w:t>
      </w:r>
      <w:r>
        <w:rPr>
          <w:rFonts w:hint="eastAsia"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rPr>
        <w:t xml:space="preserve"> </w:t>
      </w:r>
    </w:p>
    <w:p>
      <w:pPr>
        <w:spacing w:line="360" w:lineRule="auto"/>
        <w:rPr>
          <w:rFonts w:ascii="Times New Roman" w:hAnsi="Times New Roman" w:cs="Times New Roman"/>
          <w:sz w:val="30"/>
          <w:szCs w:val="30"/>
        </w:rPr>
      </w:pPr>
    </w:p>
    <w:p>
      <w:pPr>
        <w:adjustRightInd w:val="0"/>
        <w:snapToGrid w:val="0"/>
        <w:spacing w:line="360" w:lineRule="auto"/>
        <w:jc w:val="center"/>
        <w:rPr>
          <w:rFonts w:hint="default" w:ascii="Times New Roman" w:hAnsi="Times New Roman" w:cs="Times New Roman" w:eastAsiaTheme="minorEastAsia"/>
          <w:bCs/>
          <w:color w:val="000000" w:themeColor="text1"/>
          <w:sz w:val="44"/>
          <w:szCs w:val="44"/>
          <w:lang w:val="en-US" w:eastAsia="zh-CN"/>
        </w:rPr>
      </w:pPr>
      <w:r>
        <w:rPr>
          <w:rFonts w:hint="eastAsia" w:ascii="Times New Roman" w:hAnsi="Times New Roman" w:cs="Times New Roman"/>
          <w:sz w:val="44"/>
          <w:szCs w:val="44"/>
          <w:u w:val="none"/>
          <w:lang w:val="en-US" w:eastAsia="zh-CN"/>
        </w:rPr>
        <w:t>湖北宏大工程咨询有限公司</w:t>
      </w:r>
    </w:p>
    <w:p>
      <w:pPr>
        <w:spacing w:line="360" w:lineRule="auto"/>
        <w:jc w:val="center"/>
        <w:rPr>
          <w:rFonts w:ascii="Times New Roman" w:hAnsi="Times New Roman" w:cs="Times New Roman"/>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2020</w:t>
      </w:r>
      <w:r>
        <w:rPr>
          <w:rFonts w:hint="eastAsia" w:ascii="Times New Roman" w:hAnsi="Times New Roman" w:cs="Times New Roman"/>
          <w:sz w:val="32"/>
          <w:szCs w:val="32"/>
          <w:u w:val="single"/>
        </w:rPr>
        <w:t xml:space="preserve">  </w:t>
      </w:r>
      <w:r>
        <w:rPr>
          <w:rFonts w:ascii="Times New Roman" w:hAnsi="Times New Roman" w:cs="Times New Roman"/>
          <w:sz w:val="32"/>
          <w:szCs w:val="32"/>
        </w:rPr>
        <w:t>年</w:t>
      </w:r>
      <w:r>
        <w:rPr>
          <w:rFonts w:hint="eastAsia"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11</w:t>
      </w:r>
      <w:r>
        <w:rPr>
          <w:rFonts w:hint="eastAsia" w:ascii="Times New Roman" w:hAnsi="Times New Roman" w:cs="Times New Roman"/>
          <w:sz w:val="32"/>
          <w:szCs w:val="32"/>
          <w:u w:val="single"/>
        </w:rPr>
        <w:t xml:space="preserve"> </w:t>
      </w:r>
      <w:r>
        <w:rPr>
          <w:rFonts w:ascii="Times New Roman" w:hAnsi="Times New Roman" w:cs="Times New Roman"/>
          <w:sz w:val="32"/>
          <w:szCs w:val="32"/>
        </w:rPr>
        <w:t>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  磋商邀请函·········································································00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  磋商须知············································································00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第五章  合同书（格式）···································································00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  响应文件格式······································································00</w:t>
      </w:r>
    </w:p>
    <w:p>
      <w:pPr>
        <w:spacing w:line="360" w:lineRule="auto"/>
        <w:jc w:val="left"/>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headerReference r:id="rId9"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Cs/>
          <w:sz w:val="24"/>
          <w:szCs w:val="24"/>
          <w:lang w:bidi="ar-EG"/>
        </w:rPr>
      </w:pPr>
      <w:r>
        <w:rPr>
          <w:rFonts w:ascii="Times New Roman" w:hAnsi="Times New Roman" w:cs="Times New Roman"/>
          <w:b/>
          <w:bCs/>
          <w:sz w:val="36"/>
          <w:szCs w:val="36"/>
        </w:rPr>
        <w:t>第一章 邀请函</w:t>
      </w:r>
    </w:p>
    <w:p>
      <w:pPr>
        <w:adjustRightInd w:val="0"/>
        <w:snapToGrid w:val="0"/>
        <w:spacing w:line="360" w:lineRule="auto"/>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磋商小组确定你公司为</w:t>
      </w:r>
      <w:r>
        <w:rPr>
          <w:rFonts w:hint="eastAsia" w:asciiTheme="minorEastAsia" w:hAnsiTheme="minorEastAsia" w:cstheme="minorEastAsia"/>
          <w:bCs/>
          <w:color w:val="000000" w:themeColor="text1"/>
          <w:sz w:val="24"/>
          <w:szCs w:val="24"/>
          <w:u w:val="single"/>
          <w:lang w:eastAsia="zh-CN"/>
        </w:rPr>
        <w:t>阳新县税务局干部职工2020年体检服务项目</w:t>
      </w:r>
      <w:r>
        <w:rPr>
          <w:rFonts w:hint="eastAsia" w:ascii="Times New Roman" w:hAnsi="Times New Roman" w:cs="Times New Roman"/>
          <w:sz w:val="24"/>
          <w:szCs w:val="24"/>
          <w:u w:val="single"/>
        </w:rPr>
        <w:t>（阳财采计备[2020]</w:t>
      </w:r>
      <w:r>
        <w:rPr>
          <w:rFonts w:hint="eastAsia" w:ascii="Times New Roman" w:hAnsi="Times New Roman" w:cs="Times New Roman"/>
          <w:sz w:val="24"/>
          <w:szCs w:val="24"/>
          <w:u w:val="single"/>
          <w:lang w:val="en-US" w:eastAsia="zh-CN"/>
        </w:rPr>
        <w:t>A186</w:t>
      </w:r>
      <w:r>
        <w:rPr>
          <w:rFonts w:hint="eastAsia" w:ascii="Times New Roman" w:hAnsi="Times New Roman" w:cs="Times New Roman"/>
          <w:sz w:val="24"/>
          <w:szCs w:val="24"/>
          <w:u w:val="single"/>
        </w:rPr>
        <w:t>号）</w:t>
      </w:r>
      <w:r>
        <w:rPr>
          <w:rFonts w:ascii="Times New Roman" w:hAnsi="Times New Roman" w:cs="Times New Roman"/>
          <w:sz w:val="24"/>
          <w:szCs w:val="24"/>
        </w:rPr>
        <w:t>磋商供应商，现邀请你公司参加竞争性磋商。</w:t>
      </w:r>
    </w:p>
    <w:p>
      <w:pPr>
        <w:numPr>
          <w:ilvl w:val="0"/>
          <w:numId w:val="0"/>
        </w:numPr>
        <w:tabs>
          <w:tab w:val="left" w:pos="896"/>
        </w:tabs>
        <w:spacing w:line="360" w:lineRule="auto"/>
        <w:ind w:left="482" w:leftChars="0"/>
        <w:rPr>
          <w:rFonts w:hint="eastAsia" w:ascii="宋体" w:hAnsi="宋体" w:eastAsia="宋体" w:cs="Times New Roman"/>
          <w:color w:val="000000" w:themeColor="text1"/>
          <w:sz w:val="24"/>
          <w:szCs w:val="24"/>
        </w:rPr>
      </w:pPr>
      <w:r>
        <w:rPr>
          <w:rFonts w:ascii="Times New Roman" w:hAnsi="Times New Roman" w:cs="Times New Roman"/>
          <w:bCs/>
          <w:sz w:val="24"/>
          <w:szCs w:val="24"/>
          <w:lang w:bidi="ar-EG"/>
        </w:rPr>
        <w:t>一、项目编号：</w:t>
      </w:r>
      <w:r>
        <w:rPr>
          <w:rFonts w:hint="eastAsia" w:ascii="宋体" w:hAnsi="宋体" w:eastAsia="宋体" w:cs="Times New Roman"/>
          <w:color w:val="000000" w:themeColor="text1"/>
          <w:sz w:val="24"/>
          <w:szCs w:val="24"/>
          <w:lang w:val="en-US" w:eastAsia="zh-CN"/>
        </w:rPr>
        <w:t xml:space="preserve">131-2020CG-225       </w:t>
      </w:r>
      <w:r>
        <w:rPr>
          <w:rFonts w:hint="eastAsia" w:ascii="宋体" w:hAnsi="宋体" w:eastAsia="宋体" w:cs="Times New Roman"/>
          <w:color w:val="000000" w:themeColor="text1"/>
          <w:sz w:val="24"/>
          <w:szCs w:val="24"/>
        </w:rPr>
        <w:t xml:space="preserve">    </w:t>
      </w:r>
    </w:p>
    <w:p>
      <w:pPr>
        <w:numPr>
          <w:ilvl w:val="0"/>
          <w:numId w:val="0"/>
        </w:numPr>
        <w:tabs>
          <w:tab w:val="left" w:pos="896"/>
        </w:tabs>
        <w:spacing w:line="360" w:lineRule="auto"/>
        <w:ind w:left="482" w:leftChars="0"/>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rPr>
        <w:t>二、项目名称：</w:t>
      </w:r>
      <w:r>
        <w:rPr>
          <w:rFonts w:hint="eastAsia" w:ascii="宋体" w:hAnsi="宋体" w:eastAsia="宋体" w:cs="Times New Roman"/>
          <w:color w:val="000000" w:themeColor="text1"/>
          <w:sz w:val="24"/>
          <w:szCs w:val="24"/>
          <w:lang w:eastAsia="zh-CN"/>
        </w:rPr>
        <w:t>阳新县税务局干部职工2020年体检服务项目</w:t>
      </w:r>
    </w:p>
    <w:p>
      <w:pPr>
        <w:numPr>
          <w:ilvl w:val="0"/>
          <w:numId w:val="0"/>
        </w:numPr>
        <w:tabs>
          <w:tab w:val="left" w:pos="896"/>
        </w:tabs>
        <w:spacing w:line="360" w:lineRule="auto"/>
        <w:ind w:left="482" w:leftChars="0"/>
        <w:rPr>
          <w:rFonts w:ascii="Times New Roman" w:hAnsi="Times New Roman" w:cs="Times New Roman"/>
          <w:bCs/>
          <w:sz w:val="24"/>
          <w:szCs w:val="24"/>
        </w:rPr>
      </w:pPr>
      <w:r>
        <w:rPr>
          <w:rFonts w:hint="eastAsia" w:ascii="宋体" w:hAnsi="宋体" w:eastAsia="宋体" w:cs="Times New Roman"/>
          <w:color w:val="000000" w:themeColor="text1"/>
          <w:sz w:val="24"/>
          <w:szCs w:val="24"/>
        </w:rPr>
        <w:t>三、磋商内容：</w:t>
      </w:r>
      <w:r>
        <w:rPr>
          <w:rFonts w:hint="eastAsia" w:ascii="宋体" w:hAnsi="宋体" w:eastAsia="宋体" w:cs="Times New Roman"/>
          <w:color w:val="000000" w:themeColor="text1"/>
          <w:sz w:val="24"/>
          <w:szCs w:val="24"/>
          <w:lang w:eastAsia="zh-CN"/>
        </w:rPr>
        <w:t>阳新县税务局干部职工2020年体检服务项目，详见采购参数</w:t>
      </w:r>
      <w:r>
        <w:rPr>
          <w:rFonts w:hint="eastAsia" w:ascii="Times New Roman" w:hAnsi="Times New Roman" w:cs="Times New Roman"/>
          <w:bCs/>
          <w:sz w:val="24"/>
          <w:szCs w:val="24"/>
        </w:rPr>
        <w:t>。</w:t>
      </w:r>
    </w:p>
    <w:p>
      <w:pPr>
        <w:adjustRightInd w:val="0"/>
        <w:snapToGrid w:val="0"/>
        <w:spacing w:line="360" w:lineRule="auto"/>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t>四、</w:t>
      </w:r>
      <w:r>
        <w:rPr>
          <w:rFonts w:ascii="Times New Roman" w:hAnsi="Times New Roman" w:cs="Times New Roman"/>
          <w:bCs/>
          <w:sz w:val="24"/>
          <w:szCs w:val="24"/>
        </w:rPr>
        <w:t>采购预算：</w:t>
      </w:r>
      <w:r>
        <w:rPr>
          <w:rFonts w:hint="eastAsia"/>
          <w:color w:val="000000" w:themeColor="text1"/>
          <w:sz w:val="24"/>
          <w:lang w:val="en-US" w:eastAsia="zh-CN"/>
        </w:rPr>
        <w:t>78.97</w:t>
      </w:r>
      <w:r>
        <w:rPr>
          <w:rFonts w:hint="eastAsia"/>
          <w:color w:val="000000" w:themeColor="text1"/>
          <w:sz w:val="24"/>
        </w:rPr>
        <w:t>万元</w:t>
      </w:r>
    </w:p>
    <w:p>
      <w:pPr>
        <w:adjustRightInd w:val="0"/>
        <w:snapToGrid w:val="0"/>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五、供应商资格条件</w:t>
      </w:r>
    </w:p>
    <w:p>
      <w:pPr>
        <w:numPr>
          <w:ilvl w:val="0"/>
          <w:numId w:val="6"/>
        </w:numPr>
        <w:tabs>
          <w:tab w:val="left" w:pos="896"/>
        </w:tabs>
        <w:spacing w:line="36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应具备《政府采购法》第二十二条第一款规定的条件；</w:t>
      </w:r>
    </w:p>
    <w:p>
      <w:pPr>
        <w:numPr>
          <w:ilvl w:val="0"/>
          <w:numId w:val="6"/>
        </w:numPr>
        <w:tabs>
          <w:tab w:val="left" w:pos="896"/>
        </w:tabs>
        <w:spacing w:line="36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901" w:leftChars="0" w:right="0" w:hanging="420" w:firstLineChars="0"/>
        <w:textAlignment w:val="auto"/>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特定条件：</w:t>
      </w:r>
      <w:r>
        <w:rPr>
          <w:rFonts w:hint="eastAsia" w:ascii="宋体" w:hAnsi="宋体" w:eastAsia="宋体" w:cs="宋体"/>
          <w:i w:val="0"/>
          <w:caps w:val="0"/>
          <w:color w:val="auto"/>
          <w:spacing w:val="0"/>
          <w:sz w:val="24"/>
          <w:szCs w:val="24"/>
          <w:shd w:val="clear" w:fill="FFFFFF"/>
          <w:lang w:val="en-US" w:eastAsia="zh-CN"/>
        </w:rPr>
        <w:t>具有合法有效的《医疗机构执业许可证》。</w:t>
      </w:r>
    </w:p>
    <w:p>
      <w:pPr>
        <w:adjustRightInd w:val="0"/>
        <w:snapToGrid w:val="0"/>
        <w:spacing w:line="360" w:lineRule="auto"/>
        <w:ind w:firstLine="480" w:firstLineChars="200"/>
        <w:rPr>
          <w:rFonts w:hint="eastAsia"/>
          <w:color w:val="000000" w:themeColor="text1"/>
          <w:sz w:val="24"/>
        </w:rPr>
      </w:pPr>
      <w:r>
        <w:rPr>
          <w:rFonts w:hint="eastAsia" w:ascii="宋体" w:hAnsi="宋体" w:eastAsia="宋体" w:cs="Times New Roman"/>
          <w:color w:val="000000" w:themeColor="text1"/>
          <w:sz w:val="24"/>
          <w:szCs w:val="24"/>
          <w:lang w:val="en-US" w:eastAsia="zh-CN"/>
        </w:rPr>
        <w:t>4.</w:t>
      </w:r>
      <w:r>
        <w:rPr>
          <w:rFonts w:hint="eastAsia" w:ascii="宋体" w:hAnsi="宋体" w:eastAsia="宋体" w:cs="Times New Roman"/>
          <w:color w:val="000000" w:themeColor="text1"/>
          <w:sz w:val="24"/>
          <w:szCs w:val="24"/>
        </w:rPr>
        <w:t>不接受联合体形式的投标</w:t>
      </w:r>
      <w:r>
        <w:rPr>
          <w:rFonts w:hint="eastAsia"/>
          <w:color w:val="000000" w:themeColor="text1"/>
          <w:sz w:val="24"/>
        </w:rPr>
        <w:t>。</w:t>
      </w:r>
    </w:p>
    <w:p>
      <w:pPr>
        <w:adjustRightInd w:val="0"/>
        <w:snapToGrid w:val="0"/>
        <w:spacing w:line="360" w:lineRule="auto"/>
        <w:ind w:firstLine="480" w:firstLineChars="200"/>
        <w:rPr>
          <w:color w:val="000000" w:themeColor="text1"/>
          <w:sz w:val="24"/>
        </w:rPr>
      </w:pPr>
      <w:r>
        <w:rPr>
          <w:rFonts w:hint="eastAsia"/>
          <w:color w:val="000000" w:themeColor="text1"/>
          <w:sz w:val="24"/>
        </w:rPr>
        <w:t>六、是否专门面向中小企业、监狱企业、残疾人福利性单位：否</w:t>
      </w:r>
    </w:p>
    <w:p>
      <w:pPr>
        <w:adjustRightInd w:val="0"/>
        <w:snapToGrid w:val="0"/>
        <w:spacing w:line="360" w:lineRule="auto"/>
        <w:ind w:firstLine="480" w:firstLineChars="200"/>
        <w:rPr>
          <w:color w:val="000000"/>
          <w:sz w:val="24"/>
        </w:rPr>
      </w:pPr>
      <w:r>
        <w:rPr>
          <w:rFonts w:hint="eastAsia"/>
          <w:color w:val="000000"/>
          <w:sz w:val="24"/>
        </w:rPr>
        <w:t>七、竞争性磋商文件的获得</w:t>
      </w:r>
    </w:p>
    <w:p>
      <w:pPr>
        <w:pStyle w:val="44"/>
        <w:spacing w:line="400" w:lineRule="exact"/>
        <w:ind w:firstLine="480" w:firstLineChars="200"/>
        <w:rPr>
          <w:rFonts w:ascii="宋体" w:hAnsi="宋体"/>
          <w:color w:val="000000"/>
          <w:sz w:val="24"/>
        </w:rPr>
      </w:pPr>
      <w:r>
        <w:rPr>
          <w:rFonts w:hint="eastAsia" w:ascii="宋体" w:hAnsi="宋体"/>
          <w:color w:val="000000"/>
          <w:sz w:val="24"/>
        </w:rPr>
        <w:t>（一）领取时间：自2020年</w:t>
      </w:r>
      <w:r>
        <w:rPr>
          <w:rFonts w:hint="eastAsia" w:ascii="宋体" w:hAnsi="宋体"/>
          <w:color w:val="000000"/>
          <w:sz w:val="24"/>
          <w:lang w:val="en-US" w:eastAsia="zh-CN"/>
        </w:rPr>
        <w:t>10</w:t>
      </w:r>
      <w:r>
        <w:rPr>
          <w:rFonts w:hint="eastAsia" w:ascii="宋体" w:hAnsi="宋体"/>
          <w:color w:val="000000"/>
          <w:sz w:val="24"/>
        </w:rPr>
        <w:t>月   日起至</w:t>
      </w:r>
      <w:r>
        <w:rPr>
          <w:rFonts w:hint="eastAsia" w:ascii="宋体" w:hAnsi="宋体"/>
          <w:color w:val="000000"/>
          <w:sz w:val="24"/>
          <w:lang w:val="en-US" w:eastAsia="zh-CN"/>
        </w:rPr>
        <w:t>10</w:t>
      </w:r>
      <w:r>
        <w:rPr>
          <w:rFonts w:hint="eastAsia" w:ascii="宋体" w:hAnsi="宋体"/>
          <w:color w:val="000000"/>
          <w:sz w:val="24"/>
        </w:rPr>
        <w:t>月   日17时止（工作时间）。</w:t>
      </w:r>
    </w:p>
    <w:p>
      <w:pPr>
        <w:pStyle w:val="44"/>
        <w:spacing w:line="400" w:lineRule="exact"/>
        <w:ind w:firstLine="480" w:firstLineChars="200"/>
        <w:rPr>
          <w:rFonts w:ascii="宋体" w:hAnsi="宋体"/>
          <w:color w:val="000000"/>
          <w:sz w:val="24"/>
        </w:rPr>
      </w:pPr>
      <w:r>
        <w:rPr>
          <w:rFonts w:hint="eastAsia" w:ascii="宋体" w:hAnsi="宋体"/>
          <w:color w:val="000000"/>
          <w:sz w:val="24"/>
        </w:rPr>
        <w:t>（二）领取方式：采购代理公司按磋商小组征集并确定好的供应商发送电子邮件通知其合格，并邀请其在规定的时间内前往采购代理公司领取纸质采购文件。本采购文件300元/套。</w:t>
      </w:r>
    </w:p>
    <w:p>
      <w:pPr>
        <w:pStyle w:val="44"/>
        <w:spacing w:line="400" w:lineRule="exact"/>
        <w:ind w:firstLine="480" w:firstLineChars="200"/>
        <w:rPr>
          <w:rFonts w:ascii="宋体" w:hAnsi="宋体"/>
          <w:color w:val="000000"/>
          <w:sz w:val="24"/>
        </w:rPr>
      </w:pPr>
      <w:r>
        <w:rPr>
          <w:rFonts w:hint="eastAsia" w:ascii="宋体" w:hAnsi="宋体"/>
          <w:color w:val="000000"/>
          <w:sz w:val="24"/>
        </w:rPr>
        <w:t>八、递交响应文件截止时间和磋商时间</w:t>
      </w:r>
    </w:p>
    <w:p>
      <w:pPr>
        <w:pStyle w:val="44"/>
        <w:spacing w:line="400" w:lineRule="exact"/>
        <w:ind w:firstLine="480" w:firstLineChars="200"/>
        <w:rPr>
          <w:rFonts w:ascii="宋体" w:hAnsi="宋体"/>
          <w:color w:val="000000"/>
          <w:sz w:val="24"/>
        </w:rPr>
      </w:pPr>
      <w:r>
        <w:rPr>
          <w:rFonts w:hint="eastAsia" w:ascii="宋体" w:hAnsi="宋体"/>
          <w:color w:val="000000"/>
          <w:sz w:val="24"/>
        </w:rPr>
        <w:t>递交响应文件截止时间：2020年</w:t>
      </w:r>
      <w:r>
        <w:rPr>
          <w:rFonts w:hint="eastAsia" w:ascii="宋体" w:hAnsi="宋体"/>
          <w:color w:val="000000"/>
          <w:sz w:val="24"/>
          <w:lang w:val="en-US" w:eastAsia="zh-CN"/>
        </w:rPr>
        <w:t>10</w:t>
      </w:r>
      <w:r>
        <w:rPr>
          <w:rFonts w:hint="eastAsia" w:ascii="宋体" w:hAnsi="宋体"/>
          <w:color w:val="000000"/>
          <w:sz w:val="24"/>
        </w:rPr>
        <w:t>月   日</w:t>
      </w:r>
      <w:r>
        <w:rPr>
          <w:rFonts w:hint="eastAsia" w:ascii="宋体" w:hAnsi="宋体"/>
          <w:color w:val="000000"/>
          <w:sz w:val="24"/>
          <w:lang w:val="en-US" w:eastAsia="zh-CN"/>
        </w:rPr>
        <w:t xml:space="preserve">  </w:t>
      </w:r>
      <w:r>
        <w:rPr>
          <w:rFonts w:hint="eastAsia" w:ascii="宋体" w:hAnsi="宋体"/>
          <w:color w:val="000000"/>
          <w:sz w:val="24"/>
        </w:rPr>
        <w:t>:00时整（提前半小时开始接受响应文件）。</w:t>
      </w:r>
    </w:p>
    <w:p>
      <w:pPr>
        <w:pStyle w:val="44"/>
        <w:spacing w:line="400" w:lineRule="exact"/>
        <w:ind w:firstLine="480" w:firstLineChars="200"/>
        <w:rPr>
          <w:rFonts w:ascii="宋体" w:hAnsi="宋体"/>
          <w:color w:val="000000"/>
          <w:sz w:val="24"/>
        </w:rPr>
      </w:pPr>
      <w:r>
        <w:rPr>
          <w:rFonts w:hint="eastAsia" w:ascii="宋体" w:hAnsi="宋体"/>
          <w:color w:val="000000"/>
          <w:sz w:val="24"/>
        </w:rPr>
        <w:t>递交响应文件截止时间即为磋商时间，逾期送达的响应文件概不接受。</w:t>
      </w:r>
    </w:p>
    <w:p>
      <w:pPr>
        <w:pStyle w:val="44"/>
        <w:spacing w:line="400" w:lineRule="exact"/>
        <w:ind w:firstLine="480" w:firstLineChars="200"/>
        <w:rPr>
          <w:rFonts w:ascii="宋体" w:hAnsi="宋体"/>
          <w:color w:val="000000"/>
          <w:sz w:val="24"/>
        </w:rPr>
      </w:pPr>
      <w:r>
        <w:rPr>
          <w:rFonts w:hint="eastAsia" w:ascii="宋体" w:hAnsi="宋体"/>
          <w:color w:val="000000"/>
          <w:sz w:val="24"/>
        </w:rPr>
        <w:t>届时请参加磋商的授权代表携带有效身份证、法人授权书（原件）出席开标大会。</w:t>
      </w:r>
    </w:p>
    <w:p>
      <w:pPr>
        <w:pStyle w:val="44"/>
        <w:spacing w:line="400" w:lineRule="exact"/>
        <w:ind w:firstLine="480" w:firstLineChars="200"/>
        <w:rPr>
          <w:rFonts w:ascii="宋体" w:hAnsi="宋体"/>
          <w:color w:val="000000"/>
          <w:sz w:val="24"/>
        </w:rPr>
      </w:pPr>
      <w:r>
        <w:rPr>
          <w:rFonts w:hint="eastAsia" w:ascii="宋体" w:hAnsi="宋体"/>
          <w:color w:val="000000"/>
          <w:sz w:val="24"/>
        </w:rPr>
        <w:t>九、响应文件送达和磋商地点：阳新县公共资源交易中心</w:t>
      </w:r>
      <w:r>
        <w:rPr>
          <w:rFonts w:hint="eastAsia" w:ascii="宋体" w:hAnsi="宋体"/>
          <w:color w:val="000000"/>
          <w:sz w:val="24"/>
          <w:lang w:val="en-US" w:eastAsia="zh-CN"/>
        </w:rPr>
        <w:t xml:space="preserve">   </w:t>
      </w:r>
      <w:r>
        <w:rPr>
          <w:rFonts w:hint="eastAsia" w:ascii="宋体" w:hAnsi="宋体"/>
          <w:color w:val="000000"/>
          <w:sz w:val="24"/>
        </w:rPr>
        <w:t>楼开标大厅（</w:t>
      </w:r>
      <w:r>
        <w:rPr>
          <w:rFonts w:hint="eastAsia" w:ascii="宋体" w:hAnsi="宋体"/>
          <w:color w:val="000000"/>
          <w:sz w:val="24"/>
          <w:lang w:eastAsia="zh-CN"/>
        </w:rPr>
        <w:t>阳新县熊家垴安置小区东侧</w:t>
      </w:r>
      <w:r>
        <w:rPr>
          <w:rFonts w:hint="eastAsia" w:ascii="宋体" w:hAnsi="宋体"/>
          <w:color w:val="000000"/>
          <w:sz w:val="24"/>
        </w:rPr>
        <w:t>）</w:t>
      </w:r>
    </w:p>
    <w:p>
      <w:pPr>
        <w:pStyle w:val="44"/>
        <w:spacing w:line="400" w:lineRule="exact"/>
        <w:ind w:firstLine="480" w:firstLineChars="200"/>
        <w:rPr>
          <w:rFonts w:ascii="宋体" w:hAnsi="宋体"/>
          <w:color w:val="000000"/>
          <w:sz w:val="24"/>
        </w:rPr>
      </w:pPr>
      <w:r>
        <w:rPr>
          <w:rFonts w:hint="eastAsia" w:ascii="宋体" w:hAnsi="宋体"/>
          <w:color w:val="000000"/>
          <w:sz w:val="24"/>
        </w:rPr>
        <w:t>十、询问和质疑</w:t>
      </w:r>
    </w:p>
    <w:p>
      <w:pPr>
        <w:pStyle w:val="44"/>
        <w:spacing w:line="400" w:lineRule="exact"/>
        <w:ind w:firstLine="480" w:firstLineChars="200"/>
        <w:rPr>
          <w:rFonts w:ascii="宋体" w:hAnsi="宋体"/>
          <w:color w:val="000000"/>
          <w:sz w:val="24"/>
        </w:rPr>
      </w:pPr>
      <w:r>
        <w:rPr>
          <w:rFonts w:hint="eastAsia" w:ascii="宋体" w:hAnsi="宋体"/>
          <w:color w:val="000000"/>
          <w:sz w:val="24"/>
        </w:rPr>
        <w:t>相关供应商对磋商文件、磋商过程和成交结果有异议的，可在知道或者应知其权益受到损害之日起7个工作日内，向采购代理机构提出询问和质疑。质疑时请提交书面质疑函一份（法人或负责人）代表签字、加盖单位公章，并附相关证据材料。</w:t>
      </w:r>
    </w:p>
    <w:p>
      <w:pPr>
        <w:pStyle w:val="44"/>
        <w:spacing w:line="400" w:lineRule="exact"/>
        <w:ind w:firstLine="480" w:firstLineChars="200"/>
        <w:rPr>
          <w:rFonts w:ascii="宋体" w:hAnsi="宋体"/>
          <w:color w:val="000000"/>
          <w:sz w:val="24"/>
        </w:rPr>
      </w:pPr>
      <w:r>
        <w:rPr>
          <w:rFonts w:hint="eastAsia" w:ascii="宋体" w:hAnsi="宋体"/>
          <w:color w:val="000000"/>
          <w:sz w:val="24"/>
        </w:rPr>
        <w:t>十一、联系方式</w:t>
      </w:r>
    </w:p>
    <w:p>
      <w:pPr>
        <w:pStyle w:val="44"/>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采购代理机构：</w:t>
      </w:r>
      <w:r>
        <w:rPr>
          <w:rFonts w:hint="eastAsia" w:ascii="宋体" w:hAnsi="宋体"/>
          <w:color w:val="000000"/>
          <w:sz w:val="24"/>
          <w:lang w:eastAsia="zh-CN"/>
        </w:rPr>
        <w:t>湖北宏大工程咨询有限公司</w:t>
      </w:r>
    </w:p>
    <w:p>
      <w:pPr>
        <w:pStyle w:val="44"/>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000000"/>
          <w:sz w:val="24"/>
          <w:lang w:eastAsia="zh-CN"/>
        </w:rPr>
        <w:t>石顺扬</w:t>
      </w:r>
      <w:r>
        <w:rPr>
          <w:rFonts w:hint="eastAsia" w:ascii="宋体" w:hAnsi="宋体"/>
          <w:color w:val="000000"/>
          <w:sz w:val="24"/>
          <w:lang w:val="en-US" w:eastAsia="zh-CN"/>
        </w:rPr>
        <w:t xml:space="preserve"> </w:t>
      </w:r>
    </w:p>
    <w:p>
      <w:pPr>
        <w:pStyle w:val="44"/>
        <w:spacing w:line="400" w:lineRule="exact"/>
        <w:ind w:firstLine="480" w:firstLineChars="200"/>
        <w:rPr>
          <w:rFonts w:ascii="宋体" w:hAnsi="宋体"/>
          <w:color w:val="000000"/>
          <w:sz w:val="24"/>
        </w:rPr>
      </w:pPr>
      <w:r>
        <w:rPr>
          <w:rFonts w:hint="eastAsia" w:ascii="宋体" w:hAnsi="宋体"/>
          <w:color w:val="000000"/>
          <w:sz w:val="24"/>
        </w:rPr>
        <w:t>电话：</w:t>
      </w:r>
      <w:r>
        <w:rPr>
          <w:rFonts w:hint="eastAsia" w:ascii="宋体" w:hAnsi="宋体"/>
          <w:color w:val="000000"/>
          <w:sz w:val="24"/>
          <w:lang w:val="en-US" w:eastAsia="zh-CN"/>
        </w:rPr>
        <w:t xml:space="preserve">17733299427     </w:t>
      </w:r>
      <w:r>
        <w:rPr>
          <w:rFonts w:hint="eastAsia" w:ascii="宋体" w:hAnsi="宋体"/>
          <w:color w:val="000000"/>
          <w:sz w:val="24"/>
        </w:rPr>
        <w:t xml:space="preserve">     电子邮箱：1017739236@qq.com</w:t>
      </w:r>
    </w:p>
    <w:p>
      <w:pPr>
        <w:pStyle w:val="44"/>
        <w:spacing w:line="400" w:lineRule="exact"/>
        <w:ind w:firstLine="480" w:firstLineChars="200"/>
        <w:rPr>
          <w:rFonts w:hint="default" w:ascii="宋体" w:hAnsi="宋体" w:eastAsia="宋体"/>
          <w:color w:val="000000"/>
          <w:sz w:val="24"/>
          <w:lang w:val="en-US" w:eastAsia="zh-CN"/>
        </w:rPr>
      </w:pPr>
      <w:r>
        <w:rPr>
          <w:rFonts w:hint="eastAsia" w:ascii="宋体" w:hAnsi="宋体"/>
          <w:color w:val="000000"/>
          <w:sz w:val="24"/>
        </w:rPr>
        <w:t>联系地址：</w:t>
      </w:r>
      <w:r>
        <w:rPr>
          <w:rFonts w:hint="eastAsia" w:ascii="宋体" w:hAnsi="宋体" w:cs="宋体"/>
          <w:i w:val="0"/>
          <w:caps w:val="0"/>
          <w:color w:val="auto"/>
          <w:spacing w:val="0"/>
          <w:sz w:val="24"/>
          <w:szCs w:val="24"/>
          <w:shd w:val="clear" w:color="auto" w:fill="auto"/>
          <w:lang w:eastAsia="zh-CN"/>
        </w:rPr>
        <w:t>阳新县姜家湾小区</w:t>
      </w:r>
      <w:r>
        <w:rPr>
          <w:rFonts w:hint="eastAsia" w:ascii="宋体" w:hAnsi="宋体" w:cs="宋体"/>
          <w:i w:val="0"/>
          <w:caps w:val="0"/>
          <w:color w:val="auto"/>
          <w:spacing w:val="0"/>
          <w:sz w:val="24"/>
          <w:szCs w:val="24"/>
          <w:shd w:val="clear" w:color="auto" w:fill="auto"/>
          <w:lang w:val="en-US" w:eastAsia="zh-CN"/>
        </w:rPr>
        <w:t>36号</w:t>
      </w:r>
    </w:p>
    <w:p>
      <w:pPr>
        <w:pStyle w:val="44"/>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采购人：</w:t>
      </w:r>
      <w:r>
        <w:rPr>
          <w:rFonts w:hint="eastAsia" w:ascii="宋体" w:hAnsi="宋体"/>
          <w:color w:val="000000"/>
          <w:sz w:val="24"/>
          <w:lang w:eastAsia="zh-CN"/>
        </w:rPr>
        <w:t>国家税务总局阳新县税务局</w:t>
      </w:r>
    </w:p>
    <w:p>
      <w:pPr>
        <w:pStyle w:val="44"/>
        <w:spacing w:line="400" w:lineRule="exact"/>
        <w:ind w:left="3839" w:leftChars="228" w:hanging="3360" w:hangingChars="1400"/>
        <w:jc w:val="left"/>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000000"/>
          <w:sz w:val="24"/>
          <w:lang w:eastAsia="zh-CN"/>
        </w:rPr>
        <w:t>冯志武</w:t>
      </w:r>
      <w:r>
        <w:rPr>
          <w:rFonts w:hint="eastAsia" w:ascii="宋体" w:hAnsi="宋体"/>
          <w:color w:val="000000"/>
          <w:sz w:val="24"/>
          <w:lang w:val="en-US" w:eastAsia="zh-CN"/>
        </w:rPr>
        <w:t xml:space="preserve"> </w:t>
      </w:r>
      <w:r>
        <w:rPr>
          <w:rFonts w:hint="eastAsia" w:ascii="宋体" w:hAnsi="宋体"/>
          <w:color w:val="000000"/>
          <w:sz w:val="24"/>
        </w:rPr>
        <w:t xml:space="preserve">           联系电话：</w:t>
      </w:r>
      <w:r>
        <w:rPr>
          <w:rFonts w:hint="eastAsia" w:ascii="宋体" w:hAnsi="宋体"/>
          <w:color w:val="000000"/>
          <w:sz w:val="24"/>
          <w:lang w:val="en-US" w:eastAsia="zh-CN"/>
        </w:rPr>
        <w:t xml:space="preserve">13297222888 </w:t>
      </w:r>
    </w:p>
    <w:p>
      <w:pPr>
        <w:pStyle w:val="44"/>
        <w:spacing w:line="400" w:lineRule="exact"/>
        <w:ind w:left="3839" w:leftChars="228" w:hanging="3360" w:hangingChars="1400"/>
        <w:jc w:val="right"/>
        <w:rPr>
          <w:rFonts w:hint="eastAsia"/>
          <w:color w:val="000000" w:themeColor="text1"/>
          <w:sz w:val="24"/>
          <w:lang w:eastAsia="zh-CN"/>
        </w:rPr>
      </w:pPr>
    </w:p>
    <w:p>
      <w:pPr>
        <w:pStyle w:val="44"/>
        <w:spacing w:line="400" w:lineRule="exact"/>
        <w:ind w:left="3839" w:leftChars="228" w:hanging="3360" w:hangingChars="1400"/>
        <w:jc w:val="right"/>
        <w:rPr>
          <w:rFonts w:hint="eastAsia"/>
          <w:color w:val="000000" w:themeColor="text1"/>
          <w:sz w:val="24"/>
          <w:lang w:eastAsia="zh-CN"/>
        </w:rPr>
      </w:pPr>
    </w:p>
    <w:p>
      <w:pPr>
        <w:pStyle w:val="44"/>
        <w:spacing w:line="400" w:lineRule="exact"/>
        <w:ind w:left="3839" w:leftChars="228" w:hanging="3360" w:hangingChars="1400"/>
        <w:jc w:val="right"/>
        <w:rPr>
          <w:rFonts w:hint="eastAsia" w:eastAsia="宋体"/>
          <w:color w:val="000000" w:themeColor="text1"/>
          <w:sz w:val="24"/>
          <w:lang w:eastAsia="zh-CN"/>
        </w:rPr>
      </w:pPr>
      <w:r>
        <w:rPr>
          <w:rFonts w:hint="eastAsia"/>
          <w:color w:val="000000" w:themeColor="text1"/>
          <w:sz w:val="24"/>
          <w:lang w:eastAsia="zh-CN"/>
        </w:rPr>
        <w:t>湖北宏大工程咨询有限公司</w:t>
      </w:r>
    </w:p>
    <w:p>
      <w:pPr>
        <w:spacing w:line="360" w:lineRule="auto"/>
        <w:ind w:firstLine="720" w:firstLineChars="300"/>
        <w:jc w:val="right"/>
        <w:rPr>
          <w:rFonts w:hint="eastAsia" w:ascii="仿宋" w:hAnsi="仿宋" w:eastAsia="仿宋"/>
          <w:sz w:val="28"/>
          <w:szCs w:val="28"/>
          <w:u w:val="single"/>
          <w:lang w:val="en-US" w:eastAsia="zh-CN"/>
        </w:rPr>
      </w:pPr>
      <w:r>
        <w:rPr>
          <w:rFonts w:hint="eastAsia"/>
          <w:color w:val="000000" w:themeColor="text1"/>
          <w:sz w:val="24"/>
        </w:rPr>
        <w:t xml:space="preserve">                                          2020年</w:t>
      </w:r>
      <w:r>
        <w:rPr>
          <w:rFonts w:hint="eastAsia"/>
          <w:color w:val="000000" w:themeColor="text1"/>
          <w:sz w:val="24"/>
          <w:lang w:val="en-US" w:eastAsia="zh-CN"/>
        </w:rPr>
        <w:t>11</w:t>
      </w:r>
      <w:r>
        <w:rPr>
          <w:rFonts w:hint="eastAsia"/>
          <w:color w:val="000000" w:themeColor="text1"/>
          <w:sz w:val="24"/>
        </w:rPr>
        <w:t xml:space="preserve">月 </w:t>
      </w:r>
      <w:r>
        <w:rPr>
          <w:rFonts w:hint="eastAsia"/>
          <w:color w:val="000000" w:themeColor="text1"/>
          <w:sz w:val="24"/>
          <w:lang w:val="en-US" w:eastAsia="zh-CN"/>
        </w:rPr>
        <w:t>5</w:t>
      </w:r>
      <w:r>
        <w:rPr>
          <w:rFonts w:hint="eastAsia"/>
          <w:color w:val="000000" w:themeColor="text1"/>
          <w:sz w:val="24"/>
        </w:rPr>
        <w:t xml:space="preserve"> 日</w:t>
      </w:r>
    </w:p>
    <w:p>
      <w:pPr>
        <w:widowControl/>
        <w:adjustRightInd w:val="0"/>
        <w:snapToGrid w:val="0"/>
        <w:spacing w:line="360" w:lineRule="auto"/>
        <w:jc w:val="center"/>
        <w:rPr>
          <w:rFonts w:ascii="Times New Roman" w:hAnsi="Times New Roman" w:cs="Times New Roman"/>
          <w:b/>
          <w:bCs/>
          <w:sz w:val="36"/>
          <w:szCs w:val="36"/>
        </w:rPr>
      </w:pPr>
      <w:r>
        <w:rPr>
          <w:rFonts w:ascii="Times New Roman" w:hAnsi="Times New Roman" w:cs="Times New Roman"/>
          <w:sz w:val="24"/>
          <w:szCs w:val="24"/>
          <w:lang w:bidi="ar-EG"/>
        </w:rPr>
        <w:br w:type="page"/>
      </w: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Cs w:val="28"/>
        </w:rPr>
      </w:pP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0"/>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color w:val="FF0000"/>
                <w:sz w:val="24"/>
              </w:rPr>
            </w:pPr>
            <w:r>
              <w:rPr>
                <w:rFonts w:hint="eastAsia"/>
                <w:sz w:val="24"/>
                <w:szCs w:val="24"/>
                <w:u w:val="single"/>
                <w:lang w:val="en-US" w:eastAsia="zh-CN"/>
              </w:rPr>
              <w:t>阳新县税务局干部职工2020年体检服务项目</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color w:val="FF0000"/>
                <w:sz w:val="24"/>
              </w:rPr>
            </w:pPr>
            <w:r>
              <w:rPr>
                <w:rFonts w:hint="eastAsia"/>
                <w:sz w:val="24"/>
                <w:szCs w:val="24"/>
                <w:u w:val="single"/>
                <w:lang w:val="en-US" w:eastAsia="zh-CN"/>
              </w:rPr>
              <w:t xml:space="preserve">131-2020CG- 225   </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&lt;MK&gt;pro.schemecode&lt;/MK&gt;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cs="Times New Roman" w:eastAsiaTheme="minorEastAsia"/>
                <w:kern w:val="0"/>
                <w:sz w:val="24"/>
                <w:lang w:val="en-US" w:eastAsia="zh-CN"/>
              </w:rPr>
            </w:pPr>
            <w:r>
              <w:rPr>
                <w:rFonts w:ascii="Times New Roman" w:hAnsi="Times New Roman" w:cs="Times New Roman"/>
                <w:kern w:val="0"/>
                <w:sz w:val="24"/>
              </w:rPr>
              <w:fldChar w:fldCharType="begin"/>
            </w:r>
            <w:r>
              <w:rPr>
                <w:rFonts w:ascii="Times New Roman" w:hAnsi="Times New Roman" w:cs="Times New Roman"/>
                <w:kern w:val="0"/>
                <w:sz w:val="24"/>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ascii="Times New Roman" w:hAnsi="Times New Roman" w:cs="Times New Roman"/>
                <w:kern w:val="0"/>
                <w:sz w:val="24"/>
              </w:rPr>
              <w:fldChar w:fldCharType="separate"/>
            </w:r>
            <w:r>
              <w:rPr>
                <w:rFonts w:ascii="Times New Roman" w:hAnsi="Times New Roman" w:cs="Times New Roman"/>
                <w:kern w:val="0"/>
                <w:sz w:val="24"/>
              </w:rPr>
              <w:t>!异常的公式结尾</w:t>
            </w:r>
            <w:r>
              <w:rPr>
                <w:rFonts w:ascii="Times New Roman" w:hAnsi="Times New Roman" w:cs="Times New Roman"/>
                <w:kern w:val="0"/>
                <w:sz w:val="24"/>
              </w:rPr>
              <w:fldChar w:fldCharType="end"/>
            </w:r>
            <w:r>
              <w:rPr>
                <w:rFonts w:ascii="Times New Roman" w:hAnsi="Times New Roman" w:cs="Times New Roman"/>
                <w:kern w:val="0"/>
                <w:sz w:val="24"/>
              </w:rPr>
              <w:t>名称：</w:t>
            </w:r>
            <w:r>
              <w:rPr>
                <w:rFonts w:hint="eastAsia" w:ascii="Times New Roman" w:hAnsi="Times New Roman" w:cs="Times New Roman"/>
                <w:kern w:val="0"/>
                <w:sz w:val="24"/>
                <w:lang w:val="en-US" w:eastAsia="zh-CN"/>
              </w:rPr>
              <w:t>国家税务总局阳新县税务局</w:t>
            </w:r>
          </w:p>
          <w:p>
            <w:pPr>
              <w:spacing w:line="360" w:lineRule="auto"/>
              <w:rPr>
                <w:rFonts w:ascii="Times New Roman" w:hAnsi="Times New Roman" w:cs="Times New Roman"/>
                <w:kern w:val="0"/>
                <w:sz w:val="24"/>
              </w:rPr>
            </w:pPr>
            <w:r>
              <w:rPr>
                <w:rFonts w:ascii="Times New Roman" w:hAnsi="Times New Roman" w:cs="Times New Roman"/>
                <w:kern w:val="0"/>
                <w:sz w:val="24"/>
              </w:rPr>
              <w:t>地址：</w:t>
            </w:r>
            <w:r>
              <w:rPr>
                <w:rFonts w:hint="eastAsia" w:ascii="Times New Roman" w:hAnsi="Times New Roman" w:cs="Times New Roman"/>
                <w:kern w:val="0"/>
                <w:sz w:val="24"/>
                <w:lang w:val="en-US" w:eastAsia="zh-CN"/>
              </w:rPr>
              <w:t xml:space="preserve">阳新县兴国镇兴国大道91号 </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&lt;MK&gt;buyers.unitaddr &lt;/MK&gt;</w:instrText>
            </w:r>
            <w:r>
              <w:rPr>
                <w:rFonts w:ascii="Times New Roman" w:hAnsi="Times New Roman" w:cs="Times New Roman"/>
                <w:kern w:val="0"/>
                <w:sz w:val="24"/>
              </w:rPr>
              <w:fldChar w:fldCharType="end"/>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&lt;MK&gt;buyers.contactinfo&lt;/MK&gt;</w:instrText>
            </w:r>
            <w:r>
              <w:rPr>
                <w:rFonts w:ascii="Times New Roman" w:hAnsi="Times New Roman" w:cs="Times New Roman"/>
                <w:kern w:val="0"/>
                <w:sz w:val="24"/>
              </w:rPr>
              <w:fldChar w:fldCharType="end"/>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&lt;MK&gt;buyers.organname&lt;/MK&gt;</w:instrText>
            </w:r>
            <w:r>
              <w:rPr>
                <w:rFonts w:ascii="Times New Roman" w:hAnsi="Times New Roman" w:cs="Times New Roman"/>
                <w:kern w:val="0"/>
                <w:sz w:val="24"/>
              </w:rPr>
              <w:fldChar w:fldCharType="end"/>
            </w:r>
          </w:p>
          <w:p>
            <w:pPr>
              <w:spacing w:line="360" w:lineRule="auto"/>
              <w:rPr>
                <w:rFonts w:ascii="Times New Roman" w:hAnsi="Times New Roman" w:cs="Times New Roman"/>
                <w:kern w:val="0"/>
                <w:sz w:val="24"/>
              </w:rPr>
            </w:pPr>
            <w:r>
              <w:rPr>
                <w:rFonts w:ascii="Times New Roman" w:hAnsi="Times New Roman" w:cs="Times New Roman"/>
                <w:kern w:val="0"/>
                <w:sz w:val="24"/>
              </w:rPr>
              <w:t>联系人：</w:t>
            </w:r>
            <w:r>
              <w:rPr>
                <w:rFonts w:hint="eastAsia" w:ascii="Times New Roman" w:hAnsi="Times New Roman" w:cs="Times New Roman"/>
                <w:kern w:val="0"/>
                <w:sz w:val="24"/>
                <w:lang w:eastAsia="zh-CN"/>
              </w:rPr>
              <w:t>冯志武</w:t>
            </w:r>
            <w:r>
              <w:rPr>
                <w:rFonts w:hint="eastAsia" w:ascii="Times New Roman" w:hAnsi="Times New Roman" w:cs="Times New Roman"/>
                <w:kern w:val="0"/>
                <w:sz w:val="24"/>
                <w:lang w:val="en-US" w:eastAsia="zh-CN"/>
              </w:rPr>
              <w:t xml:space="preserve"> </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&lt;MK&gt;buyers.ownerlinkman &lt;/MK&gt;</w:instrText>
            </w:r>
            <w:r>
              <w:rPr>
                <w:rFonts w:ascii="Times New Roman" w:hAnsi="Times New Roman" w:cs="Times New Roman"/>
                <w:kern w:val="0"/>
                <w:sz w:val="24"/>
              </w:rPr>
              <w:fldChar w:fldCharType="end"/>
            </w:r>
          </w:p>
          <w:p>
            <w:pPr>
              <w:spacing w:line="360" w:lineRule="auto"/>
              <w:rPr>
                <w:rFonts w:hint="default" w:ascii="Times New Roman" w:hAnsi="Times New Roman" w:cs="Times New Roman" w:eastAsiaTheme="minorEastAsia"/>
                <w:lang w:val="en-US" w:eastAsia="zh-CN"/>
              </w:rPr>
            </w:pPr>
            <w:r>
              <w:rPr>
                <w:rFonts w:ascii="Times New Roman" w:hAnsi="Times New Roman" w:cs="Times New Roman"/>
                <w:kern w:val="0"/>
                <w:sz w:val="24"/>
              </w:rPr>
              <w:t>联系方式：</w:t>
            </w:r>
            <w:r>
              <w:rPr>
                <w:rFonts w:hint="eastAsia" w:ascii="Times New Roman" w:hAnsi="Times New Roman" w:cs="Times New Roman"/>
                <w:kern w:val="0"/>
                <w:sz w:val="24"/>
                <w:lang w:val="en-US" w:eastAsia="zh-CN"/>
              </w:rPr>
              <w:t xml:space="preserve"> </w:t>
            </w:r>
            <w:r>
              <w:rPr>
                <w:rFonts w:hint="eastAsia" w:ascii="宋体" w:hAnsi="宋体"/>
                <w:color w:val="000000"/>
                <w:sz w:val="24"/>
                <w:lang w:val="en-US" w:eastAsia="zh-CN"/>
              </w:rPr>
              <w:t>13297222888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FF0000"/>
                <w:sz w:val="24"/>
              </w:rPr>
            </w:pPr>
            <w:r>
              <w:rPr>
                <w:rFonts w:ascii="Times New Roman" w:hAnsi="Times New Roman" w:cs="Times New Roman"/>
                <w:color w:val="FF0000"/>
                <w:sz w:val="24"/>
              </w:rPr>
              <w:t>采购</w:t>
            </w:r>
            <w:r>
              <w:rPr>
                <w:rFonts w:hint="eastAsia" w:ascii="Times New Roman" w:hAnsi="Times New Roman" w:cs="Times New Roman"/>
                <w:color w:val="FF0000"/>
                <w:sz w:val="24"/>
              </w:rPr>
              <w:t>代理机构</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kern w:val="0"/>
                <w:sz w:val="24"/>
              </w:rPr>
            </w:pPr>
            <w:r>
              <w:rPr>
                <w:rFonts w:ascii="Times New Roman" w:hAnsi="Times New Roman" w:cs="Times New Roman"/>
                <w:kern w:val="0"/>
                <w:sz w:val="24"/>
              </w:rPr>
              <w:t>名称：</w:t>
            </w:r>
            <w:r>
              <w:rPr>
                <w:rFonts w:hint="eastAsia" w:ascii="Times New Roman" w:hAnsi="Times New Roman" w:cs="Times New Roman"/>
                <w:kern w:val="0"/>
                <w:sz w:val="24"/>
                <w:lang w:val="en-US" w:eastAsia="zh-CN"/>
              </w:rPr>
              <w:t>湖北宏大工程咨询有限公司</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 org.organname&lt;/MK&gt;</w:instrText>
            </w:r>
            <w:r>
              <w:rPr>
                <w:rFonts w:ascii="Times New Roman" w:hAnsi="Times New Roman" w:cs="Times New Roman"/>
                <w:kern w:val="0"/>
                <w:sz w:val="24"/>
              </w:rPr>
              <w:fldChar w:fldCharType="end"/>
            </w:r>
          </w:p>
          <w:p>
            <w:pPr>
              <w:spacing w:line="360" w:lineRule="auto"/>
              <w:jc w:val="left"/>
              <w:rPr>
                <w:rFonts w:ascii="Times New Roman" w:hAnsi="Times New Roman" w:cs="Times New Roman"/>
                <w:kern w:val="0"/>
                <w:sz w:val="24"/>
              </w:rPr>
            </w:pPr>
            <w:r>
              <w:rPr>
                <w:rFonts w:ascii="Times New Roman" w:hAnsi="Times New Roman" w:cs="Times New Roman"/>
                <w:kern w:val="0"/>
                <w:sz w:val="24"/>
              </w:rPr>
              <w:t>地址：</w:t>
            </w:r>
            <w:r>
              <w:rPr>
                <w:rFonts w:hint="eastAsia" w:ascii="Times New Roman" w:hAnsi="Times New Roman" w:cs="Times New Roman"/>
                <w:kern w:val="0"/>
                <w:sz w:val="24"/>
                <w:lang w:val="en-US" w:eastAsia="zh-CN"/>
              </w:rPr>
              <w:t>阳新县姜家湾小区36号</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 org.unitaddr &lt;/MK&gt;</w:instrText>
            </w:r>
            <w:r>
              <w:rPr>
                <w:rFonts w:ascii="Times New Roman" w:hAnsi="Times New Roman" w:cs="Times New Roman"/>
                <w:kern w:val="0"/>
                <w:sz w:val="24"/>
              </w:rPr>
              <w:fldChar w:fldCharType="end"/>
            </w:r>
          </w:p>
          <w:p>
            <w:pPr>
              <w:spacing w:line="360" w:lineRule="auto"/>
              <w:jc w:val="left"/>
              <w:rPr>
                <w:rFonts w:ascii="Times New Roman" w:hAnsi="Times New Roman" w:cs="Times New Roman"/>
                <w:kern w:val="0"/>
                <w:sz w:val="24"/>
              </w:rPr>
            </w:pPr>
            <w:r>
              <w:rPr>
                <w:rFonts w:ascii="Times New Roman" w:hAnsi="Times New Roman" w:cs="Times New Roman"/>
                <w:kern w:val="0"/>
                <w:sz w:val="24"/>
              </w:rPr>
              <w:t>联系人：</w:t>
            </w:r>
            <w:r>
              <w:rPr>
                <w:rFonts w:hint="eastAsia" w:ascii="Times New Roman" w:hAnsi="Times New Roman" w:cs="Times New Roman"/>
                <w:kern w:val="0"/>
                <w:sz w:val="24"/>
                <w:lang w:eastAsia="zh-CN"/>
              </w:rPr>
              <w:t>石顺扬</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&lt;MK&gt;pro.username&lt;/MK&gt;</w:instrText>
            </w:r>
            <w:r>
              <w:rPr>
                <w:rFonts w:ascii="Times New Roman" w:hAnsi="Times New Roman" w:cs="Times New Roman"/>
                <w:kern w:val="0"/>
                <w:sz w:val="24"/>
              </w:rPr>
              <w:fldChar w:fldCharType="end"/>
            </w:r>
          </w:p>
          <w:p>
            <w:pPr>
              <w:spacing w:line="360" w:lineRule="auto"/>
              <w:ind w:right="-105" w:rightChars="-50"/>
              <w:jc w:val="left"/>
              <w:rPr>
                <w:rFonts w:hint="default" w:ascii="Times New Roman" w:hAnsi="Times New Roman" w:cs="Times New Roman" w:eastAsiaTheme="minorEastAsia"/>
                <w:kern w:val="0"/>
                <w:sz w:val="24"/>
                <w:lang w:val="en-US" w:eastAsia="zh-CN"/>
              </w:rPr>
            </w:pPr>
            <w:r>
              <w:rPr>
                <w:rFonts w:ascii="Times New Roman" w:hAnsi="Times New Roman" w:cs="Times New Roman"/>
                <w:kern w:val="0"/>
                <w:sz w:val="24"/>
              </w:rPr>
              <w:t>联系电话：</w:t>
            </w:r>
            <w:r>
              <w:rPr>
                <w:rFonts w:hint="eastAsia" w:ascii="宋体" w:hAnsi="宋体"/>
                <w:color w:val="000000"/>
                <w:sz w:val="24"/>
                <w:lang w:val="en-US" w:eastAsia="zh-CN"/>
              </w:rPr>
              <w:t>17733299427</w:t>
            </w:r>
          </w:p>
          <w:p>
            <w:pPr>
              <w:spacing w:line="360" w:lineRule="auto"/>
              <w:ind w:right="-105" w:rightChars="-50"/>
              <w:jc w:val="left"/>
              <w:rPr>
                <w:rFonts w:ascii="Times New Roman" w:hAnsi="Times New Roman" w:cs="Times New Roman"/>
                <w:sz w:val="24"/>
              </w:rPr>
            </w:pP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&lt;MK&gt;pro.mobile&lt;/MK&gt;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是否专门面向中小企业、</w:t>
            </w:r>
            <w:r>
              <w:rPr>
                <w:rFonts w:ascii="Times New Roman" w:hAnsi="Times New Roman" w:cs="Times New Roman"/>
                <w:color w:val="000000" w:themeColor="text1"/>
                <w:sz w:val="24"/>
              </w:rPr>
              <w:t>监狱企业、残疾人福利性单位</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kern w:val="0"/>
                <w:sz w:val="24"/>
              </w:rPr>
            </w:pPr>
            <w:r>
              <w:rPr>
                <w:rFonts w:ascii="Times New Roman" w:hAnsi="Times New Roman" w:cs="Times New Roman"/>
                <w:color w:val="000000"/>
                <w:sz w:val="24"/>
              </w:rPr>
              <w:t>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000000"/>
                <w:sz w:val="24"/>
              </w:rPr>
            </w:pPr>
            <w:r>
              <w:rPr>
                <w:rFonts w:ascii="Times New Roman" w:hAnsi="Times New Roman" w:cs="Times New Roman"/>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sz w:val="24"/>
              </w:rPr>
            </w:pPr>
            <w:r>
              <w:rPr>
                <w:rFonts w:ascii="Times New Roman" w:hAnsi="Times New Roman" w:cs="Times New Roman"/>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3%</w:t>
            </w:r>
          </w:p>
        </w:tc>
      </w:tr>
    </w:tbl>
    <w:p>
      <w:pPr>
        <w:widowControl/>
        <w:spacing w:line="360" w:lineRule="auto"/>
        <w:jc w:val="left"/>
        <w:rPr>
          <w:rFonts w:ascii="Times New Roman" w:hAnsi="Times New Roman" w:eastAsia="仿宋_GB2312" w:cs="Times New Roman"/>
          <w:bCs/>
          <w:color w:val="000000" w:themeColor="text1"/>
          <w:sz w:val="24"/>
        </w:rPr>
      </w:pPr>
    </w:p>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textWrapping"/>
      </w:r>
    </w:p>
    <w:p>
      <w:pPr>
        <w:widowControl/>
        <w:spacing w:line="360" w:lineRule="auto"/>
        <w:jc w:val="left"/>
        <w:rPr>
          <w:rFonts w:ascii="Times New Roman" w:hAnsi="Times New Roman" w:eastAsia="黑体" w:cs="Times New Roman"/>
          <w:bCs/>
          <w:sz w:val="24"/>
          <w:szCs w:val="24"/>
        </w:rPr>
      </w:pPr>
      <w:r>
        <w:rPr>
          <w:rFonts w:ascii="Times New Roman" w:hAnsi="Times New Roman" w:eastAsia="黑体" w:cs="Times New Roman"/>
          <w:bCs/>
          <w:sz w:val="24"/>
          <w:szCs w:val="24"/>
        </w:rPr>
        <w:br w:type="page"/>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themeColor="text1"/>
          <w:sz w:val="24"/>
        </w:rPr>
        <w:t>详见《磋商须知前附表》</w:t>
      </w:r>
      <w:r>
        <w:rPr>
          <w:rFonts w:ascii="Times New Roman" w:hAnsi="Times New Roman" w:cs="Times New Roman"/>
          <w:bCs/>
          <w:color w:val="FF0000"/>
          <w:sz w:val="24"/>
          <w:szCs w:val="24"/>
        </w:rPr>
        <w:t>。</w:t>
      </w:r>
    </w:p>
    <w:p>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color w:val="000000" w:themeColor="text1"/>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3.4本文件第一章第五条除上述以外的条款。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themeColor="text1"/>
          <w:sz w:val="24"/>
        </w:rPr>
        <w:t>4.2</w:t>
      </w:r>
      <w:r>
        <w:rPr>
          <w:rFonts w:hint="eastAsia" w:ascii="宋体" w:hAnsi="宋体"/>
          <w:sz w:val="24"/>
        </w:rPr>
        <w:t>采购代理服务费</w:t>
      </w:r>
    </w:p>
    <w:p>
      <w:pPr>
        <w:pStyle w:val="31"/>
        <w:spacing w:line="360" w:lineRule="auto"/>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6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1"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57216;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nOs0QAA&#10;AAkBAAAPAAAAAAAAAAEAIAAAACIAAABkcnMvZG93bnJldi54bWxQSwECFAAUAAAACACHTuJAplcC&#10;OuwBAADzAwAADgAAAAAAAAABACAAAAAgAQAAZHJzL2Uyb0RvYy54bWxQSwUGAAAAAAYABgBZAQAA&#10;fgU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2"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58240;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i4ChtUA&#10;AAAIAQAADwAAAAAAAAABACAAAAAiAAAAZHJzL2Rvd25yZXYueG1sUEsBAhQAFAAAAAgAh07iQOAy&#10;OerpAQAA8wMAAA4AAAAAAAAAAQAgAAAAJAEAAGRycy9lMm9Eb2MueG1sUEsFBgAAAAAGAAYAWQEA&#10;AH8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5824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5HTftUAAAAJAQAADwAAAAAAAAABACAA&#10;AAAiAAAAZHJzL2Rvd25yZXYueG1sUEsBAhQAFAAAAAgAh07iQG38nHLXAQAA1g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28"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60" w:lineRule="auto"/>
              <w:jc w:val="center"/>
              <w:rPr>
                <w:rFonts w:ascii="宋体" w:hAnsi="宋体" w:cs="宋体"/>
                <w:sz w:val="24"/>
              </w:rPr>
            </w:pPr>
            <w:r>
              <w:rPr>
                <w:rFonts w:hint="eastAsia" w:ascii="宋体" w:hAnsi="宋体" w:cs="宋体"/>
                <w:sz w:val="24"/>
              </w:rPr>
              <w:t>100以下</w:t>
            </w:r>
          </w:p>
        </w:tc>
        <w:tc>
          <w:tcPr>
            <w:tcW w:w="2028" w:type="dxa"/>
          </w:tcPr>
          <w:p>
            <w:pPr>
              <w:spacing w:line="360" w:lineRule="auto"/>
              <w:jc w:val="center"/>
              <w:rPr>
                <w:rFonts w:ascii="宋体" w:hAnsi="宋体" w:cs="宋体"/>
                <w:sz w:val="24"/>
              </w:rPr>
            </w:pPr>
            <w:r>
              <w:rPr>
                <w:rFonts w:hint="eastAsia" w:ascii="宋体" w:hAnsi="宋体" w:cs="宋体"/>
                <w:sz w:val="24"/>
              </w:rPr>
              <w:t>1.5%</w:t>
            </w:r>
          </w:p>
        </w:tc>
        <w:tc>
          <w:tcPr>
            <w:tcW w:w="1842" w:type="dxa"/>
          </w:tcPr>
          <w:p>
            <w:pPr>
              <w:spacing w:line="360" w:lineRule="auto"/>
              <w:jc w:val="center"/>
              <w:rPr>
                <w:rFonts w:ascii="宋体" w:hAnsi="宋体" w:cs="宋体"/>
                <w:sz w:val="24"/>
              </w:rPr>
            </w:pPr>
            <w:r>
              <w:rPr>
                <w:rFonts w:hint="eastAsia" w:ascii="宋体" w:hAnsi="宋体" w:cs="宋体"/>
                <w:sz w:val="24"/>
              </w:rPr>
              <w:t>1.5%</w:t>
            </w:r>
          </w:p>
        </w:tc>
        <w:tc>
          <w:tcPr>
            <w:tcW w:w="198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100-500</w:t>
            </w:r>
          </w:p>
        </w:tc>
        <w:tc>
          <w:tcPr>
            <w:tcW w:w="2028" w:type="dxa"/>
          </w:tcPr>
          <w:p>
            <w:pPr>
              <w:spacing w:line="360" w:lineRule="auto"/>
              <w:jc w:val="center"/>
              <w:rPr>
                <w:rFonts w:ascii="宋体" w:hAnsi="宋体" w:cs="宋体"/>
                <w:sz w:val="24"/>
              </w:rPr>
            </w:pPr>
            <w:r>
              <w:rPr>
                <w:rFonts w:hint="eastAsia" w:ascii="宋体" w:hAnsi="宋体" w:cs="宋体"/>
                <w:sz w:val="24"/>
              </w:rPr>
              <w:t>1.1%</w:t>
            </w:r>
          </w:p>
        </w:tc>
        <w:tc>
          <w:tcPr>
            <w:tcW w:w="1842" w:type="dxa"/>
          </w:tcPr>
          <w:p>
            <w:pPr>
              <w:spacing w:line="360" w:lineRule="auto"/>
              <w:jc w:val="center"/>
              <w:rPr>
                <w:rFonts w:ascii="宋体" w:hAnsi="宋体" w:cs="宋体"/>
                <w:sz w:val="24"/>
              </w:rPr>
            </w:pPr>
            <w:r>
              <w:rPr>
                <w:rFonts w:hint="eastAsia" w:ascii="宋体" w:hAnsi="宋体" w:cs="宋体"/>
                <w:sz w:val="24"/>
              </w:rPr>
              <w:t>0.8%</w:t>
            </w:r>
          </w:p>
        </w:tc>
        <w:tc>
          <w:tcPr>
            <w:tcW w:w="198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500-1000</w:t>
            </w:r>
          </w:p>
        </w:tc>
        <w:tc>
          <w:tcPr>
            <w:tcW w:w="2028" w:type="dxa"/>
          </w:tcPr>
          <w:p>
            <w:pPr>
              <w:spacing w:line="360" w:lineRule="auto"/>
              <w:jc w:val="center"/>
              <w:rPr>
                <w:rFonts w:ascii="宋体" w:hAnsi="宋体" w:cs="宋体"/>
                <w:sz w:val="24"/>
              </w:rPr>
            </w:pPr>
            <w:r>
              <w:rPr>
                <w:rFonts w:hint="eastAsia" w:ascii="宋体" w:hAnsi="宋体" w:cs="宋体"/>
                <w:sz w:val="24"/>
              </w:rPr>
              <w:t>0.8%</w:t>
            </w:r>
          </w:p>
        </w:tc>
        <w:tc>
          <w:tcPr>
            <w:tcW w:w="1842" w:type="dxa"/>
          </w:tcPr>
          <w:p>
            <w:pPr>
              <w:spacing w:line="360" w:lineRule="auto"/>
              <w:jc w:val="center"/>
              <w:rPr>
                <w:rFonts w:ascii="宋体" w:hAnsi="宋体" w:cs="宋体"/>
                <w:sz w:val="24"/>
              </w:rPr>
            </w:pPr>
            <w:r>
              <w:rPr>
                <w:rFonts w:hint="eastAsia" w:ascii="宋体" w:hAnsi="宋体" w:cs="宋体"/>
                <w:sz w:val="24"/>
              </w:rPr>
              <w:t>0.45%</w:t>
            </w:r>
          </w:p>
        </w:tc>
        <w:tc>
          <w:tcPr>
            <w:tcW w:w="1985" w:type="dxa"/>
          </w:tcPr>
          <w:p>
            <w:pPr>
              <w:spacing w:line="360" w:lineRule="auto"/>
              <w:jc w:val="center"/>
              <w:rPr>
                <w:rFonts w:ascii="宋体" w:hAnsi="宋体" w:cs="宋体"/>
                <w:sz w:val="24"/>
              </w:rPr>
            </w:pPr>
            <w:r>
              <w:rPr>
                <w:rFonts w:hint="eastAsia" w:ascii="宋体" w:hAnsi="宋体" w:cs="宋体"/>
                <w:sz w:val="24"/>
              </w:rPr>
              <w:t>0.55％</w:t>
            </w:r>
          </w:p>
        </w:tc>
      </w:tr>
    </w:tbl>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15" w:leftChars="150"/>
        <w:rPr>
          <w:rFonts w:ascii="Times New Roman" w:hAnsi="Times New Roman" w:cs="Times New Roman"/>
          <w:bCs/>
          <w:sz w:val="24"/>
          <w:szCs w:val="24"/>
        </w:rPr>
      </w:pPr>
      <w:r>
        <w:rPr>
          <w:rFonts w:ascii="Times New Roman" w:hAnsi="Times New Roman" w:cs="Times New Roman"/>
          <w:bCs/>
          <w:sz w:val="24"/>
          <w:szCs w:val="24"/>
        </w:rPr>
        <w:t>不限于以下内容,应该有的必须提供,如未提供,磋商小组有权拒绝其响应文件：</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1）磋商书 (附件1)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2）报价组成情况表(附件2)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3）货物（服务）清单(附件3)；</w:t>
      </w:r>
    </w:p>
    <w:p>
      <w:pPr>
        <w:spacing w:line="360" w:lineRule="auto"/>
        <w:rPr>
          <w:rFonts w:ascii="Times New Roman" w:hAnsi="Times New Roman" w:cs="Times New Roman"/>
          <w:bCs/>
          <w:sz w:val="24"/>
          <w:szCs w:val="24"/>
        </w:rPr>
      </w:pPr>
      <w:r>
        <w:rPr>
          <w:rFonts w:ascii="Times New Roman" w:hAnsi="Times New Roman" w:cs="Times New Roman"/>
          <w:bCs/>
          <w:sz w:val="24"/>
          <w:szCs w:val="24"/>
        </w:rPr>
        <w:t>4）资格性符合性检查对照表(附件4)；</w:t>
      </w:r>
    </w:p>
    <w:p>
      <w:pPr>
        <w:spacing w:line="360" w:lineRule="auto"/>
        <w:rPr>
          <w:rFonts w:ascii="Times New Roman" w:hAnsi="Times New Roman" w:cs="Times New Roman"/>
          <w:bCs/>
          <w:sz w:val="24"/>
          <w:szCs w:val="24"/>
        </w:rPr>
      </w:pPr>
      <w:r>
        <w:rPr>
          <w:rFonts w:ascii="Times New Roman" w:hAnsi="Times New Roman" w:cs="Times New Roman"/>
          <w:bCs/>
          <w:sz w:val="24"/>
          <w:szCs w:val="24"/>
        </w:rPr>
        <w:t>5）技术响应、偏离情况说明表(附件5)；</w:t>
      </w:r>
    </w:p>
    <w:p>
      <w:pPr>
        <w:spacing w:line="360" w:lineRule="auto"/>
        <w:rPr>
          <w:rFonts w:ascii="Times New Roman" w:hAnsi="Times New Roman" w:cs="Times New Roman"/>
          <w:bCs/>
          <w:sz w:val="24"/>
          <w:szCs w:val="24"/>
        </w:rPr>
      </w:pPr>
      <w:r>
        <w:rPr>
          <w:rFonts w:ascii="Times New Roman" w:hAnsi="Times New Roman" w:cs="Times New Roman"/>
          <w:bCs/>
          <w:sz w:val="24"/>
          <w:szCs w:val="24"/>
        </w:rPr>
        <w:t>6）合同草案条款响应、偏离情况说明表（附件6）；</w:t>
      </w:r>
    </w:p>
    <w:p>
      <w:pPr>
        <w:spacing w:line="360" w:lineRule="auto"/>
        <w:rPr>
          <w:rFonts w:ascii="Times New Roman" w:hAnsi="Times New Roman" w:cs="Times New Roman"/>
          <w:bCs/>
          <w:sz w:val="24"/>
          <w:szCs w:val="24"/>
        </w:rPr>
      </w:pPr>
      <w:r>
        <w:rPr>
          <w:rFonts w:ascii="Times New Roman" w:hAnsi="Times New Roman" w:cs="Times New Roman"/>
          <w:bCs/>
          <w:sz w:val="24"/>
          <w:szCs w:val="24"/>
        </w:rPr>
        <w:t>7）法人（负责人）代表授权书（附件7）；</w:t>
      </w:r>
    </w:p>
    <w:p>
      <w:pPr>
        <w:spacing w:line="360" w:lineRule="auto"/>
        <w:rPr>
          <w:rFonts w:ascii="Times New Roman" w:hAnsi="Times New Roman" w:cs="Times New Roman"/>
          <w:bCs/>
          <w:sz w:val="24"/>
          <w:szCs w:val="24"/>
        </w:rPr>
      </w:pPr>
      <w:r>
        <w:rPr>
          <w:rFonts w:ascii="Times New Roman" w:hAnsi="Times New Roman" w:cs="Times New Roman"/>
          <w:bCs/>
          <w:sz w:val="24"/>
          <w:szCs w:val="24"/>
        </w:rPr>
        <w:t>8）法人或者其他组织的营业执照等证明文件，自然人的身份证明(附件8)；</w:t>
      </w:r>
    </w:p>
    <w:p>
      <w:pPr>
        <w:spacing w:line="360" w:lineRule="auto"/>
        <w:rPr>
          <w:rFonts w:ascii="Times New Roman" w:hAnsi="Times New Roman" w:cs="Times New Roman"/>
          <w:bCs/>
          <w:sz w:val="24"/>
          <w:szCs w:val="24"/>
        </w:rPr>
      </w:pPr>
      <w:r>
        <w:rPr>
          <w:rFonts w:ascii="Times New Roman" w:hAnsi="Times New Roman" w:cs="Times New Roman"/>
          <w:bCs/>
          <w:sz w:val="24"/>
          <w:szCs w:val="24"/>
        </w:rPr>
        <w:t>9）财务状况报告，依法缴纳税收和社会保障资金的相关材料(附件9)；</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10）具备履行合同所必需的设备和专业技术能力的证明材料(附件10)；</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11）参加政府采购活动前3年内在经营活动中没有重大违法记录的书面声明(附件11)；</w:t>
      </w:r>
    </w:p>
    <w:p>
      <w:pPr>
        <w:spacing w:line="360" w:lineRule="auto"/>
        <w:ind w:left="362" w:leftChars="1" w:hanging="360" w:hangingChars="150"/>
        <w:rPr>
          <w:bCs/>
          <w:color w:val="000000" w:themeColor="text1"/>
          <w:sz w:val="24"/>
        </w:rPr>
      </w:pPr>
      <w:r>
        <w:rPr>
          <w:rFonts w:hint="eastAsia"/>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auto"/>
        <w:ind w:left="362" w:leftChars="1" w:hanging="360" w:hangingChars="150"/>
        <w:rPr>
          <w:bCs/>
          <w:color w:val="000000" w:themeColor="text1"/>
          <w:sz w:val="24"/>
        </w:rPr>
      </w:pPr>
      <w:r>
        <w:rPr>
          <w:rFonts w:hint="eastAsia"/>
          <w:bCs/>
          <w:color w:val="000000" w:themeColor="text1"/>
          <w:sz w:val="24"/>
        </w:rPr>
        <w:t>13）《中小企业声明函》、《残疾人福利性单位声明函》(附件13)。</w:t>
      </w:r>
    </w:p>
    <w:p>
      <w:pPr>
        <w:spacing w:line="360" w:lineRule="auto"/>
        <w:ind w:left="273" w:leftChars="130"/>
        <w:rPr>
          <w:b/>
          <w:bCs/>
          <w:color w:val="000000" w:themeColor="text1"/>
          <w:sz w:val="24"/>
        </w:rPr>
      </w:pPr>
      <w:r>
        <w:rPr>
          <w:rFonts w:hint="eastAsia"/>
          <w:b/>
          <w:bCs/>
          <w:color w:val="000000" w:themeColor="text1"/>
          <w:sz w:val="24"/>
        </w:rPr>
        <w:t>本文件要求提供的其他资格证明文件及资料。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themeColor="text1"/>
          <w:sz w:val="24"/>
        </w:rPr>
        <w:t>起</w:t>
      </w:r>
      <w:r>
        <w:rPr>
          <w:rFonts w:hint="eastAsia"/>
          <w:bCs/>
          <w:color w:val="000000" w:themeColor="text1"/>
          <w:sz w:val="24"/>
        </w:rPr>
        <w:t>（90）</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spacing w:line="360" w:lineRule="auto"/>
        <w:ind w:left="420" w:hanging="420"/>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12.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12.1响应文</w:t>
      </w:r>
      <w:r>
        <w:rPr>
          <w:rFonts w:ascii="Times New Roman" w:hAnsi="Times New Roman" w:cs="Times New Roman"/>
          <w:b/>
          <w:sz w:val="24"/>
          <w:szCs w:val="24"/>
        </w:rPr>
        <w:t>件一式</w:t>
      </w:r>
      <w:r>
        <w:rPr>
          <w:rFonts w:hint="eastAsia" w:ascii="Times New Roman" w:hAnsi="Times New Roman" w:cs="Times New Roman"/>
          <w:b/>
          <w:sz w:val="24"/>
          <w:szCs w:val="24"/>
        </w:rPr>
        <w:t>五</w:t>
      </w:r>
      <w:r>
        <w:rPr>
          <w:rFonts w:ascii="Times New Roman" w:hAnsi="Times New Roman" w:cs="Times New Roman"/>
          <w:b/>
          <w:sz w:val="24"/>
          <w:szCs w:val="24"/>
        </w:rPr>
        <w:t>份，其中正本一份，副本</w:t>
      </w:r>
      <w:r>
        <w:rPr>
          <w:rFonts w:hint="eastAsia" w:ascii="Times New Roman" w:hAnsi="Times New Roman" w:cs="Times New Roman"/>
          <w:b/>
          <w:bCs/>
          <w:sz w:val="24"/>
          <w:szCs w:val="24"/>
        </w:rPr>
        <w:t>四</w:t>
      </w:r>
      <w:r>
        <w:rPr>
          <w:rFonts w:ascii="Times New Roman" w:hAnsi="Times New Roman" w:cs="Times New Roman"/>
          <w:b/>
          <w:bCs/>
          <w:sz w:val="24"/>
          <w:szCs w:val="24"/>
        </w:rPr>
        <w:t>份。</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12.2响应文件的信封上应写明:项目编号、项目名称、磋商内容、供应商名称。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 迟交的响应文件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15.磋商小组成员由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15.1磋商小组负责制定磋商文件、确定磋商供应商名单、响应文件的评审、磋商谈判、商务服务评议并评分、根据综合评分情况编写评审报告，协助处理质疑等工作。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 资格性审查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 第一轮磋商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18.1磋商小组将按</w:t>
      </w:r>
      <w:r>
        <w:rPr>
          <w:rFonts w:ascii="Times New Roman" w:hAnsi="Times New Roman" w:cs="Times New Roman"/>
          <w:bCs/>
          <w:color w:val="FF0000"/>
          <w:sz w:val="24"/>
          <w:szCs w:val="24"/>
        </w:rPr>
        <w:t>照随机抽签的顺序</w:t>
      </w:r>
      <w:r>
        <w:rPr>
          <w:rFonts w:hint="eastAsia" w:ascii="Times New Roman" w:hAnsi="Times New Roman" w:cs="Times New Roman"/>
          <w:bCs/>
          <w:color w:val="FF0000"/>
          <w:sz w:val="24"/>
          <w:szCs w:val="24"/>
        </w:rPr>
        <w:t>或按照签到的顺序</w:t>
      </w:r>
      <w:r>
        <w:rPr>
          <w:rFonts w:ascii="Times New Roman" w:hAnsi="Times New Roman" w:cs="Times New Roman"/>
          <w:bCs/>
          <w:sz w:val="24"/>
          <w:szCs w:val="24"/>
        </w:rPr>
        <w:t>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19.磋商文件修正</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 第二轮磋商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 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 综合评议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5.</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6</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7</w:t>
      </w:r>
      <w:r>
        <w:rPr>
          <w:rFonts w:ascii="Times New Roman" w:hAnsi="Times New Roman" w:cs="Times New Roman"/>
          <w:bCs/>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8</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9</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cs="Times New Roman"/>
          <w:sz w:val="24"/>
          <w:szCs w:val="24"/>
        </w:rPr>
      </w:pP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.货物（服务）交付验收合格后，</w:t>
      </w:r>
      <w:r>
        <w:rPr>
          <w:rFonts w:ascii="Times New Roman" w:hAnsi="Times New Roman" w:cs="Times New Roman"/>
          <w:bCs/>
          <w:color w:val="FF0000"/>
          <w:sz w:val="24"/>
          <w:szCs w:val="24"/>
        </w:rPr>
        <w:t>采购人办理相应金额的支付手续。</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10"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
          <w:sz w:val="36"/>
          <w:szCs w:val="36"/>
          <w:lang w:val="hr-HR" w:bidi="ar-EG"/>
        </w:rPr>
      </w:pPr>
      <w:r>
        <w:rPr>
          <w:rFonts w:ascii="Times New Roman" w:hAnsi="Times New Roman" w:cs="Times New Roman"/>
          <w:b/>
          <w:sz w:val="36"/>
          <w:szCs w:val="36"/>
          <w:lang w:val="hr-HR" w:bidi="ar-EG"/>
        </w:rPr>
        <w:t>第三章  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ascii="Times New Roman" w:hAnsi="Times New Roman" w:cs="Times New Roman"/>
          <w:b/>
          <w:sz w:val="36"/>
          <w:szCs w:val="36"/>
        </w:rPr>
        <w:t>技术参数、规格及要求</w:t>
      </w:r>
    </w:p>
    <w:p>
      <w:pPr>
        <w:adjustRightInd w:val="0"/>
        <w:snapToGrid w:val="0"/>
        <w:spacing w:line="360" w:lineRule="auto"/>
        <w:outlineLvl w:val="0"/>
        <w:rPr>
          <w:rFonts w:hint="eastAsia" w:ascii="Times New Roman" w:hAnsi="Times New Roman" w:cs="Times New Roman"/>
          <w:b/>
          <w:sz w:val="24"/>
          <w:szCs w:val="24"/>
        </w:rPr>
      </w:pPr>
    </w:p>
    <w:p>
      <w:pPr>
        <w:keepNext w:val="0"/>
        <w:keepLines w:val="0"/>
        <w:widowControl/>
        <w:suppressLineNumbers w:val="0"/>
        <w:jc w:val="left"/>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一</w:t>
      </w:r>
      <w:r>
        <w:rPr>
          <w:rFonts w:hint="eastAsia" w:ascii="黑体" w:hAnsi="黑体" w:eastAsia="黑体" w:cs="黑体"/>
          <w:color w:val="000000"/>
          <w:kern w:val="0"/>
          <w:sz w:val="32"/>
          <w:szCs w:val="32"/>
          <w:lang w:val="en-US" w:eastAsia="zh-CN" w:bidi="ar"/>
        </w:rPr>
        <w:t>、</w:t>
      </w:r>
      <w:r>
        <w:rPr>
          <w:rFonts w:hint="eastAsia" w:ascii="黑体" w:hAnsi="黑体" w:eastAsia="黑体" w:cs="黑体"/>
          <w:color w:val="000000" w:themeColor="text1"/>
          <w:sz w:val="32"/>
          <w:szCs w:val="32"/>
          <w:lang w:val="en-US" w:eastAsia="zh-CN"/>
        </w:rPr>
        <w:t>概况</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黑体" w:hAnsi="黑体" w:eastAsia="黑体"/>
          <w:color w:val="000000" w:themeColor="text1"/>
          <w:lang w:val="en-US" w:eastAsia="zh-CN"/>
        </w:rPr>
        <w:t>1</w:t>
      </w:r>
      <w:r>
        <w:rPr>
          <w:rFonts w:hint="eastAsia" w:ascii="宋体" w:hAnsi="宋体" w:eastAsia="宋体" w:cs="宋体"/>
          <w:color w:val="000000"/>
          <w:kern w:val="0"/>
          <w:sz w:val="24"/>
          <w:szCs w:val="24"/>
          <w:lang w:val="en-US" w:eastAsia="zh-CN" w:bidi="ar"/>
        </w:rPr>
        <w:t>、采购项目名称：阳新县税务局干部职工2020年体检服务项目</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2、采购预算：78.97万元</w:t>
      </w:r>
    </w:p>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3、参检人数及分组：总人数820人，其中男541人（在职男393人，退休男148人），女279（在职女163人，退休女116人）人。</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黑体" w:hAnsi="黑体" w:eastAsia="黑体" w:cs="黑体"/>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二、体检项目</w:t>
      </w:r>
    </w:p>
    <w:tbl>
      <w:tblPr>
        <w:tblStyle w:val="10"/>
        <w:tblW w:w="9094" w:type="dxa"/>
        <w:tblInd w:w="0" w:type="dxa"/>
        <w:shd w:val="clear" w:color="auto" w:fill="auto"/>
        <w:tblLayout w:type="fixed"/>
        <w:tblCellMar>
          <w:top w:w="0" w:type="dxa"/>
          <w:left w:w="0" w:type="dxa"/>
          <w:bottom w:w="0" w:type="dxa"/>
          <w:right w:w="0" w:type="dxa"/>
        </w:tblCellMar>
      </w:tblPr>
      <w:tblGrid>
        <w:gridCol w:w="750"/>
        <w:gridCol w:w="2010"/>
        <w:gridCol w:w="6334"/>
      </w:tblGrid>
      <w:tr>
        <w:tblPrEx>
          <w:shd w:val="clear" w:color="auto" w:fill="auto"/>
          <w:tblCellMar>
            <w:top w:w="0" w:type="dxa"/>
            <w:left w:w="0" w:type="dxa"/>
            <w:bottom w:w="0" w:type="dxa"/>
            <w:right w:w="0" w:type="dxa"/>
          </w:tblCellMar>
        </w:tblPrEx>
        <w:trPr>
          <w:trHeight w:val="4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6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项目意义</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一般情况</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测量身高、体重、体重指数，有无高血压。</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内科检查</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专科医生听诊触诊方式检查心、肺、肝、神经系统有无异常</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外科检查（男）</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专科医生对甲状腺、淋巴结、四肢皮肤、脊柱、外生殖器检查，诊断有否外科疾病</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4</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外科检查（女）</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专科医生对甲状腺、乳房、淋巴结皮肤、脊柱、外生殖器检查，诊断有否外科疾病</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5</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妇科常规检查</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检查外阴病变，子宫及附件有无肿块、盆腔内炎症等，并进行白带常规检查</w:t>
            </w:r>
          </w:p>
        </w:tc>
      </w:tr>
      <w:tr>
        <w:tblPrEx>
          <w:tblCellMar>
            <w:top w:w="0" w:type="dxa"/>
            <w:left w:w="0" w:type="dxa"/>
            <w:bottom w:w="0" w:type="dxa"/>
            <w:right w:w="0"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6</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宫颈细胞检测（TCT）</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宫颈脱落细胞变异检查，炎症筛查，宫颈、卵巢癌的早期诊断</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7</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心电图</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检查心脏基本功能、初步诊断心功能不全、缺血等心脏病变。</w:t>
            </w:r>
          </w:p>
        </w:tc>
      </w:tr>
      <w:tr>
        <w:tblPrEx>
          <w:tblCellMar>
            <w:top w:w="0" w:type="dxa"/>
            <w:left w:w="0" w:type="dxa"/>
            <w:bottom w:w="0" w:type="dxa"/>
            <w:right w:w="0"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8</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腹部彩超</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检查肝、胆、脾、胰、肾等器官有无病变，排查结石、囊肿、肿瘤、炎症，是重要的内脏检查项目。</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9</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前列腺彩超</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了解前列腺的大小、质地，有无钙化、肿大、占位病变等。</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10</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女性盆腔彩超</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检查有无子宫肌瘤、子宫畸形、卵巢囊肿、盆腔内炎性肿块或肿瘤等。</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11</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心脏彩超</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能准确诊断心脏结构缺损、心脏泵血功能异常及心血管病变。</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12</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甲状腺彩超</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甲状腺有无肿大、结节、肿瘤及占位等疾病。</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13</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乳腺彩超</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检查乳腺增生、炎症、囊肿、纤维瘤及乳腺占位等疾病。</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14</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碳十四呼气试验</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检查胃肠道是否有幽门螺杆菌感染，有感染后可引起胃炎、胃溃疡、胃癌等</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15</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骨密度</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诊断有无骨质减少、骨质疏松、预测骨折危险性</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16</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经颅多普勒</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探测颅内重要血管有无狭窄、闭塞及脑动脉痉挛。排查脑中风、顽固头昏头痛隐患</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17</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动脉硬化检测</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动脉僵硬度检查，能早期诊断动脉硬化、心梗、血管栓塞。</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18</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静脉采血</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采集血液标本的一次性无菌器具。</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19</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血常规（五分类）</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了解是否有细菌、病毒感染、各型贫血、血小板减少及其他血液疾病等。</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20</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尿常规</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了解是否患有泌尿系统感染，肾炎、内分泌疾患及黄疸等疾病。</w:t>
            </w:r>
          </w:p>
        </w:tc>
      </w:tr>
      <w:tr>
        <w:tblPrEx>
          <w:tblCellMar>
            <w:top w:w="0" w:type="dxa"/>
            <w:left w:w="0" w:type="dxa"/>
            <w:bottom w:w="0" w:type="dxa"/>
            <w:right w:w="0" w:type="dxa"/>
          </w:tblCellMar>
        </w:tblPrEx>
        <w:trPr>
          <w:trHeight w:val="142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21</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肝功11项</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丙氨酸氨基转移酶（ALT）、天门冬氨酸氨基转氨酶（AST）、γ-谷氨酰基转移酶（GGT）、碱性磷酸酶（ALP）、总蛋白（TPO）、白蛋白（ALB）、球蛋白（GLO）、白蛋白/球蛋白（A/G）、总胆红素（TBIL）、直接胆红素（DBIL）、间接胆红素（IBIL）反映肝肝脏功能是否损害及损害程度，胆汁分泌排泻和蛋白系统状况和功能。是完整检查肝脏功能的项目，推荐检查。</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22</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血脂4项</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胆固醇、甘油三脂、高、低密度脂蛋白检查，更能反映异常血脂对人体的危害程度</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23</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空腹血糖</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筛查糖尿病。</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24</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肾功能三项</w:t>
            </w:r>
          </w:p>
        </w:tc>
        <w:tc>
          <w:tcPr>
            <w:tcW w:w="6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了解肾脏损害情况，并反映血液尿酸水平用以判断痛风的可能。</w:t>
            </w:r>
          </w:p>
        </w:tc>
      </w:tr>
      <w:tr>
        <w:tblPrEx>
          <w:tblCellMar>
            <w:top w:w="0" w:type="dxa"/>
            <w:left w:w="0" w:type="dxa"/>
            <w:bottom w:w="0" w:type="dxa"/>
            <w:right w:w="0"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25</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甲状腺功能3项</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用于检查甲状腺功能，是诊断甲亢或甲减的依据。</w:t>
            </w:r>
          </w:p>
        </w:tc>
      </w:tr>
      <w:tr>
        <w:tblPrEx>
          <w:tblCellMar>
            <w:top w:w="0" w:type="dxa"/>
            <w:left w:w="0" w:type="dxa"/>
            <w:bottom w:w="0" w:type="dxa"/>
            <w:right w:w="0"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26</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胃功能四项（PG、G-17）</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联合检测对胃功能不良、胃粘膜损伤的各种胃病有较全面的诊断意义，对胃粘膜萎缩或变异的胃癌和癌前病变风险可以有效的提示。</w:t>
            </w:r>
          </w:p>
        </w:tc>
      </w:tr>
      <w:tr>
        <w:tblPrEx>
          <w:tblCellMar>
            <w:top w:w="0" w:type="dxa"/>
            <w:left w:w="0" w:type="dxa"/>
            <w:bottom w:w="0" w:type="dxa"/>
            <w:right w:w="0" w:type="dxa"/>
          </w:tblCellMar>
        </w:tblPrEx>
        <w:trPr>
          <w:trHeight w:val="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27</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甲胎蛋白(发光)</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AFP是早期诊断原发性肝癌最敏感、最特异的指标，适用于大规模普查</w:t>
            </w:r>
          </w:p>
        </w:tc>
      </w:tr>
      <w:tr>
        <w:tblPrEx>
          <w:tblCellMar>
            <w:top w:w="0" w:type="dxa"/>
            <w:left w:w="0" w:type="dxa"/>
            <w:bottom w:w="0" w:type="dxa"/>
            <w:right w:w="0" w:type="dxa"/>
          </w:tblCellMar>
        </w:tblPrEx>
        <w:trPr>
          <w:trHeight w:val="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28</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癌胚抗原（发光）</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胃癌（60-90％）、胰腺癌（70-80％）、肺癌、肝癌等广谱肿瘤标志物</w:t>
            </w:r>
          </w:p>
        </w:tc>
      </w:tr>
      <w:tr>
        <w:tblPrEx>
          <w:tblCellMar>
            <w:top w:w="0" w:type="dxa"/>
            <w:left w:w="0" w:type="dxa"/>
            <w:bottom w:w="0" w:type="dxa"/>
            <w:right w:w="0" w:type="dxa"/>
          </w:tblCellMar>
        </w:tblPrEx>
        <w:trPr>
          <w:trHeight w:val="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29</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癌抗原15-3</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CA15—3是乳腺癌的最重要的特异性标志物。</w:t>
            </w:r>
          </w:p>
        </w:tc>
      </w:tr>
      <w:tr>
        <w:tblPrEx>
          <w:tblCellMar>
            <w:top w:w="0" w:type="dxa"/>
            <w:left w:w="0" w:type="dxa"/>
            <w:bottom w:w="0" w:type="dxa"/>
            <w:right w:w="0"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30</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游离前列腺特异性抗原</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用于前列腺癌筛查、前列腺癌与前列腺增生的鉴别。</w:t>
            </w:r>
          </w:p>
        </w:tc>
      </w:tr>
      <w:tr>
        <w:tblPrEx>
          <w:tblCellMar>
            <w:top w:w="0" w:type="dxa"/>
            <w:left w:w="0" w:type="dxa"/>
            <w:bottom w:w="0" w:type="dxa"/>
            <w:right w:w="0"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31</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乙肝五项（定性）</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筛查乙型肝炎病毒感染，也可反映对乙肝有否抗体。</w:t>
            </w:r>
          </w:p>
        </w:tc>
      </w:tr>
      <w:tr>
        <w:tblPrEx>
          <w:tblCellMar>
            <w:top w:w="0" w:type="dxa"/>
            <w:left w:w="0" w:type="dxa"/>
            <w:bottom w:w="0" w:type="dxa"/>
            <w:right w:w="0"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32</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螺旋CT（头颅）（不出片）</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立体、全面了解拍摄头部是否有异常，排查脑萎缩、脑损伤、脑肿瘤，比电子DR摄片更清晰准确。</w:t>
            </w:r>
          </w:p>
        </w:tc>
      </w:tr>
      <w:tr>
        <w:tblPrEx>
          <w:tblCellMar>
            <w:top w:w="0" w:type="dxa"/>
            <w:left w:w="0" w:type="dxa"/>
            <w:bottom w:w="0" w:type="dxa"/>
            <w:right w:w="0"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33</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螺旋CT（胸部）（不出片）</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30秒钟快速检查胸部病变，疫情期间可筛查肺部感染</w:t>
            </w:r>
          </w:p>
        </w:tc>
      </w:tr>
      <w:tr>
        <w:tblPrEx>
          <w:tblCellMar>
            <w:top w:w="0" w:type="dxa"/>
            <w:left w:w="0" w:type="dxa"/>
            <w:bottom w:w="0" w:type="dxa"/>
            <w:right w:w="0"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35</w:t>
            </w:r>
          </w:p>
        </w:tc>
        <w:tc>
          <w:tcPr>
            <w:tcW w:w="2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新冠病毒特异性总抗体检测IGM+IGG</w:t>
            </w:r>
          </w:p>
        </w:tc>
        <w:tc>
          <w:tcPr>
            <w:tcW w:w="633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通过血液快速检测是否有新冠病毒感染。IGG阳性多提示现症感染。IGM阳性多提示既往感染。</w:t>
            </w:r>
          </w:p>
        </w:tc>
      </w:tr>
      <w:tr>
        <w:tblPrEx>
          <w:tblCellMar>
            <w:top w:w="0" w:type="dxa"/>
            <w:left w:w="0" w:type="dxa"/>
            <w:bottom w:w="0" w:type="dxa"/>
            <w:right w:w="0"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36</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健康档案</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历年体检报告永久保存、异常汇总、报告对比分析、让专属私人医生更懂你（有效期：自收到体检报告短信第二日起365天）</w:t>
            </w:r>
          </w:p>
        </w:tc>
      </w:tr>
      <w:tr>
        <w:tblPrEx>
          <w:tblCellMar>
            <w:top w:w="0" w:type="dxa"/>
            <w:left w:w="0" w:type="dxa"/>
            <w:bottom w:w="0" w:type="dxa"/>
            <w:right w:w="0"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37</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健康促进</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制定个性化方案、定期回访、根据您的健康状况，随时调整（有效期：自收到体检报告短信第二日起365天）</w:t>
            </w:r>
          </w:p>
        </w:tc>
      </w:tr>
      <w:tr>
        <w:tblPrEx>
          <w:tblCellMar>
            <w:top w:w="0" w:type="dxa"/>
            <w:left w:w="0" w:type="dxa"/>
            <w:bottom w:w="0" w:type="dxa"/>
            <w:right w:w="0"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38</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健康教育</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资讯再多，不如懂你（所需），告别长篇大论，3-5分钟精华讲解（有效期：自收到体检报告短信第二日起365天）</w:t>
            </w:r>
          </w:p>
        </w:tc>
      </w:tr>
      <w:tr>
        <w:tblPrEx>
          <w:tblCellMar>
            <w:top w:w="0" w:type="dxa"/>
            <w:left w:w="0" w:type="dxa"/>
            <w:bottom w:w="0" w:type="dxa"/>
            <w:right w:w="0"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39</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免费早餐</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免费早餐</w:t>
            </w:r>
          </w:p>
        </w:tc>
      </w:tr>
      <w:tr>
        <w:tblPrEx>
          <w:tblCellMar>
            <w:top w:w="0" w:type="dxa"/>
            <w:left w:w="0" w:type="dxa"/>
            <w:bottom w:w="0" w:type="dxa"/>
            <w:right w:w="0"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40</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体检报告</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体检报告</w:t>
            </w:r>
          </w:p>
        </w:tc>
      </w:tr>
      <w:tr>
        <w:tblPrEx>
          <w:tblCellMar>
            <w:top w:w="0" w:type="dxa"/>
            <w:left w:w="0" w:type="dxa"/>
            <w:bottom w:w="0" w:type="dxa"/>
            <w:right w:w="0"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41</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报告解读</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专家免费报告解读</w:t>
            </w:r>
          </w:p>
        </w:tc>
      </w:tr>
      <w:tr>
        <w:tblPrEx>
          <w:tblCellMar>
            <w:top w:w="0" w:type="dxa"/>
            <w:left w:w="0" w:type="dxa"/>
            <w:bottom w:w="0" w:type="dxa"/>
            <w:right w:w="0"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42</w:t>
            </w: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电话追访</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阳性结果电话追访</w:t>
            </w:r>
          </w:p>
        </w:tc>
      </w:tr>
    </w:tbl>
    <w:p>
      <w:pPr>
        <w:spacing w:line="480" w:lineRule="exact"/>
        <w:rPr>
          <w:rFonts w:hint="eastAsia" w:ascii="宋体" w:hAnsi="宋体" w:eastAsia="宋体" w:cs="宋体"/>
          <w:b/>
          <w:color w:val="000000" w:themeColor="text1"/>
          <w:sz w:val="24"/>
          <w:szCs w:val="24"/>
          <w:highlight w:val="none"/>
          <w:shd w:val="clear" w:color="auto" w:fill="FFFFFF"/>
        </w:rPr>
      </w:pPr>
    </w:p>
    <w:p>
      <w:pPr>
        <w:numPr>
          <w:ilvl w:val="0"/>
          <w:numId w:val="7"/>
        </w:numPr>
        <w:spacing w:line="480" w:lineRule="exact"/>
        <w:rPr>
          <w:rFonts w:hint="eastAsia" w:ascii="宋体" w:hAnsi="宋体" w:eastAsia="宋体" w:cs="宋体"/>
          <w:b/>
          <w:bCs w:val="0"/>
          <w:color w:val="000000" w:themeColor="text1"/>
          <w:sz w:val="24"/>
          <w:szCs w:val="24"/>
          <w:highlight w:val="none"/>
          <w:shd w:val="clear" w:color="auto" w:fill="FFFFFF"/>
          <w:lang w:eastAsia="zh-CN"/>
        </w:rPr>
      </w:pPr>
      <w:r>
        <w:rPr>
          <w:rFonts w:hint="eastAsia" w:ascii="宋体" w:hAnsi="宋体" w:eastAsia="宋体" w:cs="宋体"/>
          <w:b/>
          <w:bCs w:val="0"/>
          <w:color w:val="000000" w:themeColor="text1"/>
          <w:sz w:val="24"/>
          <w:szCs w:val="24"/>
          <w:highlight w:val="none"/>
          <w:shd w:val="clear" w:color="auto" w:fill="FFFFFF"/>
          <w:lang w:eastAsia="zh-CN"/>
        </w:rPr>
        <w:t>体检医护人员及检查设备需求</w:t>
      </w:r>
    </w:p>
    <w:p>
      <w:pPr>
        <w:numPr>
          <w:ilvl w:val="0"/>
          <w:numId w:val="8"/>
        </w:numPr>
        <w:spacing w:line="480" w:lineRule="exact"/>
        <w:rPr>
          <w:rFonts w:hint="eastAsia" w:ascii="宋体" w:hAnsi="宋体" w:eastAsia="宋体" w:cs="宋体"/>
          <w:bCs/>
          <w:color w:val="000000" w:themeColor="text1"/>
          <w:sz w:val="24"/>
          <w:szCs w:val="24"/>
          <w:highlight w:val="none"/>
          <w:shd w:val="clear" w:color="auto" w:fill="FFFFFF"/>
          <w:lang w:val="en-US" w:eastAsia="zh-CN"/>
        </w:rPr>
      </w:pPr>
      <w:r>
        <w:rPr>
          <w:rFonts w:hint="eastAsia" w:ascii="宋体" w:hAnsi="宋体" w:eastAsia="宋体" w:cs="宋体"/>
          <w:bCs/>
          <w:color w:val="000000" w:themeColor="text1"/>
          <w:sz w:val="24"/>
          <w:szCs w:val="24"/>
          <w:highlight w:val="none"/>
          <w:shd w:val="clear" w:color="auto" w:fill="FFFFFF"/>
          <w:lang w:val="en-US" w:eastAsia="zh-CN"/>
        </w:rPr>
        <w:t>拟投入的体检医护人员必须为本单位中级以上职称的正式人员（含退休返聘），人数不少于10人且高级职称比例不少于50%。</w:t>
      </w:r>
    </w:p>
    <w:p>
      <w:pPr>
        <w:numPr>
          <w:ilvl w:val="0"/>
          <w:numId w:val="8"/>
        </w:numPr>
        <w:spacing w:line="480" w:lineRule="exact"/>
        <w:rPr>
          <w:rFonts w:hint="default" w:ascii="宋体" w:hAnsi="宋体" w:eastAsia="宋体" w:cs="宋体"/>
          <w:bCs/>
          <w:color w:val="000000" w:themeColor="text1"/>
          <w:sz w:val="24"/>
          <w:szCs w:val="24"/>
          <w:highlight w:val="none"/>
          <w:shd w:val="clear" w:color="auto" w:fill="FFFFFF"/>
          <w:lang w:val="en-US" w:eastAsia="zh-CN"/>
        </w:rPr>
      </w:pPr>
      <w:r>
        <w:rPr>
          <w:rFonts w:hint="eastAsia" w:ascii="宋体" w:hAnsi="宋体" w:eastAsia="宋体" w:cs="宋体"/>
          <w:bCs/>
          <w:color w:val="000000" w:themeColor="text1"/>
          <w:sz w:val="24"/>
          <w:szCs w:val="24"/>
          <w:highlight w:val="none"/>
          <w:shd w:val="clear" w:color="auto" w:fill="FFFFFF"/>
          <w:lang w:val="en-US" w:eastAsia="zh-CN"/>
        </w:rPr>
        <w:t>国家税务总局阳新县税务局体检人员到体检中心体检期间，体检中心每天应有不少于3名引导人员，负责引导体检人员顺序参检，解答参检人员的相关咨询。应有不少于2名特护工作人员和2部轮椅，负责对行动不便，高龄离退休干部的特护工作。</w:t>
      </w:r>
    </w:p>
    <w:p>
      <w:pPr>
        <w:numPr>
          <w:ilvl w:val="0"/>
          <w:numId w:val="8"/>
        </w:numPr>
        <w:spacing w:line="480" w:lineRule="exact"/>
        <w:rPr>
          <w:rFonts w:hint="default" w:ascii="宋体" w:hAnsi="宋体" w:eastAsia="宋体" w:cs="宋体"/>
          <w:bCs/>
          <w:color w:val="000000" w:themeColor="text1"/>
          <w:sz w:val="24"/>
          <w:szCs w:val="24"/>
          <w:highlight w:val="none"/>
          <w:shd w:val="clear" w:color="auto" w:fill="FFFFFF"/>
          <w:lang w:val="en-US" w:eastAsia="zh-CN"/>
        </w:rPr>
      </w:pPr>
      <w:r>
        <w:rPr>
          <w:rFonts w:hint="eastAsia" w:ascii="宋体" w:hAnsi="宋体" w:eastAsia="宋体" w:cs="宋体"/>
          <w:bCs/>
          <w:color w:val="000000" w:themeColor="text1"/>
          <w:sz w:val="24"/>
          <w:szCs w:val="24"/>
          <w:highlight w:val="none"/>
          <w:shd w:val="clear" w:color="auto" w:fill="FFFFFF"/>
          <w:lang w:val="en-US" w:eastAsia="zh-CN"/>
        </w:rPr>
        <w:t>体检承办单位应具备相应的规模，确保每天能够对50名左右人员在上午11：00前结束全部体检项目，在20个工作日内完成对国家税务总局阳新县税务局集中体检工作。</w:t>
      </w:r>
    </w:p>
    <w:p>
      <w:pPr>
        <w:numPr>
          <w:ilvl w:val="0"/>
          <w:numId w:val="0"/>
        </w:numPr>
        <w:spacing w:line="480" w:lineRule="exact"/>
        <w:rPr>
          <w:rFonts w:hint="eastAsia" w:ascii="宋体" w:hAnsi="宋体" w:eastAsia="宋体" w:cs="宋体"/>
          <w:bCs/>
          <w:color w:val="000000" w:themeColor="text1"/>
          <w:sz w:val="24"/>
          <w:szCs w:val="24"/>
          <w:highlight w:val="none"/>
          <w:shd w:val="clear" w:color="auto" w:fill="FFFFFF"/>
          <w:lang w:val="en-US" w:eastAsia="zh-CN"/>
        </w:rPr>
      </w:pPr>
    </w:p>
    <w:p>
      <w:pPr>
        <w:numPr>
          <w:ilvl w:val="0"/>
          <w:numId w:val="0"/>
        </w:numPr>
        <w:spacing w:line="480" w:lineRule="exact"/>
        <w:rPr>
          <w:rFonts w:hint="eastAsia" w:ascii="宋体" w:hAnsi="宋体" w:eastAsia="宋体" w:cs="宋体"/>
          <w:b/>
          <w:bCs w:val="0"/>
          <w:color w:val="000000" w:themeColor="text1"/>
          <w:sz w:val="24"/>
          <w:szCs w:val="24"/>
          <w:highlight w:val="none"/>
          <w:shd w:val="clear" w:color="auto" w:fill="FFFFFF"/>
          <w:lang w:val="en-US" w:eastAsia="zh-CN"/>
        </w:rPr>
      </w:pPr>
      <w:r>
        <w:rPr>
          <w:rFonts w:hint="eastAsia" w:ascii="宋体" w:hAnsi="宋体" w:eastAsia="宋体" w:cs="宋体"/>
          <w:b/>
          <w:bCs w:val="0"/>
          <w:color w:val="000000" w:themeColor="text1"/>
          <w:sz w:val="24"/>
          <w:szCs w:val="24"/>
          <w:highlight w:val="none"/>
          <w:shd w:val="clear" w:color="auto" w:fill="FFFFFF"/>
          <w:lang w:val="en-US" w:eastAsia="zh-CN"/>
        </w:rPr>
        <w:t>四</w:t>
      </w:r>
      <w:r>
        <w:rPr>
          <w:rFonts w:hint="eastAsia" w:ascii="宋体" w:hAnsi="宋体" w:eastAsia="宋体" w:cs="宋体"/>
          <w:b/>
          <w:bCs w:val="0"/>
          <w:color w:val="000000" w:themeColor="text1"/>
          <w:sz w:val="24"/>
          <w:szCs w:val="24"/>
          <w:highlight w:val="none"/>
          <w:shd w:val="clear" w:color="auto" w:fill="FFFFFF"/>
        </w:rPr>
        <w:t>、</w:t>
      </w:r>
      <w:r>
        <w:rPr>
          <w:rFonts w:hint="eastAsia" w:ascii="宋体" w:hAnsi="宋体" w:eastAsia="宋体" w:cs="宋体"/>
          <w:b/>
          <w:bCs w:val="0"/>
          <w:color w:val="000000" w:themeColor="text1"/>
          <w:sz w:val="24"/>
          <w:szCs w:val="24"/>
          <w:highlight w:val="none"/>
          <w:shd w:val="clear" w:color="auto" w:fill="FFFFFF"/>
          <w:lang w:eastAsia="zh-CN"/>
        </w:rPr>
        <w:t>其他服务要求</w:t>
      </w:r>
    </w:p>
    <w:p>
      <w:pPr>
        <w:spacing w:line="480" w:lineRule="exact"/>
        <w:rPr>
          <w:rFonts w:hint="eastAsia" w:ascii="宋体" w:hAnsi="宋体" w:eastAsia="宋体" w:cs="宋体"/>
          <w:bCs/>
          <w:color w:val="000000" w:themeColor="text1"/>
          <w:sz w:val="24"/>
          <w:szCs w:val="24"/>
          <w:highlight w:val="none"/>
          <w:shd w:val="clear" w:color="auto" w:fill="FFFFFF"/>
          <w:lang w:val="en-US" w:eastAsia="zh-CN"/>
        </w:rPr>
      </w:pPr>
      <w:r>
        <w:rPr>
          <w:rFonts w:hint="eastAsia" w:ascii="宋体" w:hAnsi="宋体" w:eastAsia="宋体" w:cs="宋体"/>
          <w:bCs/>
          <w:color w:val="000000" w:themeColor="text1"/>
          <w:sz w:val="24"/>
          <w:szCs w:val="24"/>
          <w:highlight w:val="none"/>
          <w:shd w:val="clear" w:color="auto" w:fill="FFFFFF"/>
        </w:rPr>
        <w:t>1、</w:t>
      </w:r>
      <w:r>
        <w:rPr>
          <w:rFonts w:hint="eastAsia" w:ascii="宋体" w:hAnsi="宋体" w:eastAsia="宋体" w:cs="宋体"/>
          <w:bCs/>
          <w:color w:val="000000" w:themeColor="text1"/>
          <w:sz w:val="24"/>
          <w:szCs w:val="24"/>
          <w:highlight w:val="none"/>
          <w:shd w:val="clear" w:color="auto" w:fill="FFFFFF"/>
          <w:lang w:eastAsia="zh-CN"/>
        </w:rPr>
        <w:t>服务</w:t>
      </w:r>
      <w:r>
        <w:rPr>
          <w:rFonts w:hint="eastAsia" w:ascii="宋体" w:hAnsi="宋体" w:eastAsia="宋体" w:cs="宋体"/>
          <w:bCs/>
          <w:color w:val="000000" w:themeColor="text1"/>
          <w:sz w:val="24"/>
          <w:szCs w:val="24"/>
          <w:highlight w:val="none"/>
          <w:shd w:val="clear" w:color="auto" w:fill="FFFFFF"/>
        </w:rPr>
        <w:t>时间</w:t>
      </w:r>
      <w:r>
        <w:rPr>
          <w:rFonts w:hint="eastAsia" w:ascii="宋体" w:hAnsi="宋体" w:eastAsia="宋体" w:cs="宋体"/>
          <w:bCs/>
          <w:color w:val="000000" w:themeColor="text1"/>
          <w:sz w:val="24"/>
          <w:szCs w:val="24"/>
          <w:highlight w:val="none"/>
          <w:shd w:val="clear" w:color="auto" w:fill="FFFFFF"/>
          <w:lang w:eastAsia="zh-CN"/>
        </w:rPr>
        <w:t>：</w:t>
      </w:r>
      <w:r>
        <w:rPr>
          <w:rFonts w:hint="eastAsia" w:ascii="宋体" w:hAnsi="宋体" w:eastAsia="宋体" w:cs="宋体"/>
          <w:bCs/>
          <w:color w:val="0000FF"/>
          <w:sz w:val="24"/>
          <w:szCs w:val="24"/>
          <w:highlight w:val="none"/>
          <w:shd w:val="clear" w:color="auto" w:fill="FFFFFF"/>
          <w:lang w:eastAsia="zh-CN"/>
        </w:rPr>
        <w:t>体检</w:t>
      </w:r>
      <w:r>
        <w:rPr>
          <w:rFonts w:hint="eastAsia" w:ascii="宋体" w:hAnsi="宋体" w:eastAsia="宋体" w:cs="宋体"/>
          <w:bCs/>
          <w:color w:val="0000FF"/>
          <w:sz w:val="24"/>
          <w:szCs w:val="24"/>
          <w:highlight w:val="none"/>
          <w:shd w:val="clear" w:color="auto" w:fill="FFFFFF"/>
          <w:lang w:val="en-US" w:eastAsia="zh-CN"/>
        </w:rPr>
        <w:t>实施截止至日期2020年12月15日，集中体检时间不少于20天，12月中旬进行项目验收</w:t>
      </w:r>
    </w:p>
    <w:p>
      <w:pPr>
        <w:spacing w:line="480" w:lineRule="exact"/>
        <w:rPr>
          <w:rFonts w:hint="eastAsia" w:ascii="宋体" w:hAnsi="宋体" w:eastAsia="宋体" w:cs="宋体"/>
          <w:bCs/>
          <w:color w:val="000000" w:themeColor="text1"/>
          <w:sz w:val="24"/>
          <w:szCs w:val="24"/>
          <w:highlight w:val="none"/>
          <w:shd w:val="clear" w:color="auto" w:fill="FFFFFF"/>
          <w:lang w:val="en-US" w:eastAsia="zh-CN"/>
        </w:rPr>
      </w:pPr>
      <w:r>
        <w:rPr>
          <w:rFonts w:hint="eastAsia" w:ascii="宋体" w:hAnsi="宋体" w:eastAsia="宋体" w:cs="宋体"/>
          <w:bCs/>
          <w:color w:val="000000" w:themeColor="text1"/>
          <w:sz w:val="24"/>
          <w:szCs w:val="24"/>
          <w:highlight w:val="none"/>
          <w:shd w:val="clear" w:color="auto" w:fill="FFFFFF"/>
          <w:lang w:val="en-US" w:eastAsia="zh-CN"/>
        </w:rPr>
        <w:t>2</w:t>
      </w:r>
      <w:r>
        <w:rPr>
          <w:rFonts w:hint="eastAsia" w:ascii="宋体" w:hAnsi="宋体" w:eastAsia="宋体" w:cs="宋体"/>
          <w:bCs/>
          <w:color w:val="000000" w:themeColor="text1"/>
          <w:sz w:val="24"/>
          <w:szCs w:val="24"/>
          <w:highlight w:val="none"/>
          <w:shd w:val="clear" w:color="auto" w:fill="FFFFFF"/>
        </w:rPr>
        <w:t>、</w:t>
      </w:r>
      <w:r>
        <w:rPr>
          <w:rFonts w:hint="eastAsia" w:ascii="宋体" w:hAnsi="宋体" w:eastAsia="宋体" w:cs="宋体"/>
          <w:bCs/>
          <w:color w:val="000000" w:themeColor="text1"/>
          <w:sz w:val="24"/>
          <w:szCs w:val="24"/>
          <w:highlight w:val="none"/>
          <w:shd w:val="clear" w:color="auto" w:fill="FFFFFF"/>
          <w:lang w:eastAsia="zh-CN"/>
        </w:rPr>
        <w:t>集中体检期间，体检承办单位应为前往参加体检的干部职工提供大巴车服务（如相距不足</w:t>
      </w:r>
      <w:r>
        <w:rPr>
          <w:rFonts w:hint="eastAsia" w:ascii="宋体" w:hAnsi="宋体" w:eastAsia="宋体" w:cs="宋体"/>
          <w:bCs/>
          <w:color w:val="000000" w:themeColor="text1"/>
          <w:sz w:val="24"/>
          <w:szCs w:val="24"/>
          <w:highlight w:val="none"/>
          <w:shd w:val="clear" w:color="auto" w:fill="FFFFFF"/>
          <w:lang w:val="en-US" w:eastAsia="zh-CN"/>
        </w:rPr>
        <w:t>1000米则免除此项需求），提供早餐，对行动不便，高龄离退体干部提供的轮椅等特护服务.</w:t>
      </w:r>
    </w:p>
    <w:p>
      <w:pPr>
        <w:spacing w:line="480" w:lineRule="exact"/>
        <w:rPr>
          <w:rFonts w:hint="eastAsia" w:ascii="宋体" w:hAnsi="宋体" w:eastAsia="宋体" w:cs="宋体"/>
          <w:bCs/>
          <w:color w:val="000000" w:themeColor="text1"/>
          <w:sz w:val="24"/>
          <w:szCs w:val="24"/>
          <w:highlight w:val="none"/>
          <w:shd w:val="clear" w:color="auto" w:fill="FFFFFF"/>
          <w:lang w:val="en-US" w:eastAsia="zh-CN"/>
        </w:rPr>
      </w:pPr>
      <w:r>
        <w:rPr>
          <w:rFonts w:hint="eastAsia" w:ascii="宋体" w:hAnsi="宋体" w:eastAsia="宋体" w:cs="宋体"/>
          <w:bCs/>
          <w:color w:val="000000" w:themeColor="text1"/>
          <w:sz w:val="24"/>
          <w:szCs w:val="24"/>
          <w:highlight w:val="none"/>
          <w:shd w:val="clear" w:color="auto" w:fill="FFFFFF"/>
          <w:lang w:val="en-US" w:eastAsia="zh-CN"/>
        </w:rPr>
        <w:t>3</w:t>
      </w:r>
      <w:r>
        <w:rPr>
          <w:rFonts w:hint="eastAsia" w:ascii="宋体" w:hAnsi="宋体" w:eastAsia="宋体" w:cs="宋体"/>
          <w:bCs/>
          <w:color w:val="000000" w:themeColor="text1"/>
          <w:sz w:val="24"/>
          <w:szCs w:val="24"/>
          <w:highlight w:val="none"/>
          <w:shd w:val="clear" w:color="auto" w:fill="FFFFFF"/>
        </w:rPr>
        <w:t>、</w:t>
      </w:r>
      <w:r>
        <w:rPr>
          <w:rFonts w:hint="eastAsia" w:ascii="宋体" w:hAnsi="宋体" w:eastAsia="宋体" w:cs="宋体"/>
          <w:bCs/>
          <w:color w:val="000000" w:themeColor="text1"/>
          <w:sz w:val="24"/>
          <w:szCs w:val="24"/>
          <w:highlight w:val="none"/>
          <w:shd w:val="clear" w:color="auto" w:fill="FFFFFF"/>
          <w:lang w:eastAsia="zh-CN"/>
        </w:rPr>
        <w:t>体检承办单位应在体检结束后</w:t>
      </w:r>
      <w:r>
        <w:rPr>
          <w:rFonts w:hint="eastAsia" w:ascii="宋体" w:hAnsi="宋体" w:eastAsia="宋体" w:cs="宋体"/>
          <w:bCs/>
          <w:color w:val="000000" w:themeColor="text1"/>
          <w:sz w:val="24"/>
          <w:szCs w:val="24"/>
          <w:highlight w:val="none"/>
          <w:shd w:val="clear" w:color="auto" w:fill="FFFFFF"/>
          <w:lang w:val="en-US" w:eastAsia="zh-CN"/>
        </w:rPr>
        <w:t>30个日历天内，向用户提交体检纸质报告，具体内容包括个人体检报告，各分项统计报告和总报告。</w:t>
      </w:r>
    </w:p>
    <w:p>
      <w:pPr>
        <w:spacing w:line="480" w:lineRule="exact"/>
        <w:rPr>
          <w:rFonts w:hint="eastAsia" w:ascii="宋体" w:hAnsi="宋体" w:eastAsia="宋体" w:cs="宋体"/>
          <w:bCs/>
          <w:color w:val="000000" w:themeColor="text1"/>
          <w:sz w:val="24"/>
          <w:szCs w:val="24"/>
          <w:highlight w:val="none"/>
          <w:shd w:val="clear" w:color="auto" w:fill="FFFFFF"/>
          <w:lang w:val="en-US" w:eastAsia="zh-CN"/>
        </w:rPr>
      </w:pPr>
      <w:r>
        <w:rPr>
          <w:rFonts w:hint="eastAsia" w:ascii="宋体" w:hAnsi="宋体" w:eastAsia="宋体" w:cs="宋体"/>
          <w:bCs/>
          <w:color w:val="000000" w:themeColor="text1"/>
          <w:sz w:val="24"/>
          <w:szCs w:val="24"/>
          <w:highlight w:val="none"/>
          <w:shd w:val="clear" w:color="auto" w:fill="FFFFFF"/>
          <w:lang w:val="en-US" w:eastAsia="zh-CN"/>
        </w:rPr>
        <w:t>4</w:t>
      </w:r>
      <w:r>
        <w:rPr>
          <w:rFonts w:hint="eastAsia" w:ascii="宋体" w:hAnsi="宋体" w:eastAsia="宋体" w:cs="宋体"/>
          <w:bCs/>
          <w:color w:val="000000" w:themeColor="text1"/>
          <w:sz w:val="24"/>
          <w:szCs w:val="24"/>
          <w:highlight w:val="none"/>
          <w:shd w:val="clear" w:color="auto" w:fill="FFFFFF"/>
        </w:rPr>
        <w:t>、</w:t>
      </w:r>
      <w:r>
        <w:rPr>
          <w:rFonts w:hint="eastAsia" w:ascii="宋体" w:hAnsi="宋体" w:eastAsia="宋体" w:cs="宋体"/>
          <w:bCs/>
          <w:color w:val="000000" w:themeColor="text1"/>
          <w:sz w:val="24"/>
          <w:szCs w:val="24"/>
          <w:highlight w:val="none"/>
          <w:shd w:val="clear" w:color="auto" w:fill="FFFFFF"/>
          <w:lang w:eastAsia="zh-CN"/>
        </w:rPr>
        <w:t>体检</w:t>
      </w:r>
      <w:r>
        <w:rPr>
          <w:rFonts w:hint="eastAsia" w:ascii="宋体" w:hAnsi="宋体" w:eastAsia="宋体" w:cs="宋体"/>
          <w:bCs/>
          <w:color w:val="000000" w:themeColor="text1"/>
          <w:sz w:val="24"/>
          <w:szCs w:val="24"/>
          <w:highlight w:val="none"/>
          <w:shd w:val="clear" w:color="auto" w:fill="FFFFFF"/>
          <w:lang w:val="en-US" w:eastAsia="zh-CN"/>
        </w:rPr>
        <w:t>承办单位在体检结束后，应派出2名副高职称的医师进行体检报告解读，时间应不少于10个工作日。</w:t>
      </w:r>
    </w:p>
    <w:p>
      <w:pPr>
        <w:spacing w:line="480" w:lineRule="exact"/>
        <w:rPr>
          <w:rFonts w:hint="eastAsia" w:ascii="宋体" w:hAnsi="宋体" w:eastAsia="宋体" w:cs="宋体"/>
          <w:bCs/>
          <w:color w:val="000000" w:themeColor="text1"/>
          <w:sz w:val="24"/>
          <w:szCs w:val="24"/>
          <w:highlight w:val="none"/>
          <w:shd w:val="clear" w:color="auto" w:fill="FFFFFF"/>
          <w:lang w:val="en-US" w:eastAsia="zh-CN"/>
        </w:rPr>
      </w:pPr>
      <w:r>
        <w:rPr>
          <w:rFonts w:hint="eastAsia" w:ascii="宋体" w:hAnsi="宋体" w:eastAsia="宋体" w:cs="宋体"/>
          <w:bCs/>
          <w:color w:val="000000" w:themeColor="text1"/>
          <w:sz w:val="24"/>
          <w:szCs w:val="24"/>
          <w:highlight w:val="none"/>
          <w:shd w:val="clear" w:color="auto" w:fill="FFFFFF"/>
          <w:lang w:val="en-US" w:eastAsia="zh-CN"/>
        </w:rPr>
        <w:t>5、体检承办单位应与其所在医院门诊，住院部门有良好的办调机制，对部分职工在体检中筛查出的病情，建立优先诊治和住院治疗的绿色通道。</w:t>
      </w:r>
    </w:p>
    <w:p>
      <w:pPr>
        <w:spacing w:line="480" w:lineRule="exact"/>
        <w:rPr>
          <w:rFonts w:hint="default" w:ascii="宋体" w:hAnsi="宋体" w:eastAsia="宋体" w:cs="宋体"/>
          <w:bCs/>
          <w:color w:val="000000" w:themeColor="text1"/>
          <w:sz w:val="24"/>
          <w:szCs w:val="24"/>
          <w:highlight w:val="none"/>
          <w:shd w:val="clear" w:color="auto" w:fill="FFFFFF"/>
          <w:lang w:val="en-US" w:eastAsia="zh-CN"/>
        </w:rPr>
      </w:pPr>
      <w:r>
        <w:rPr>
          <w:rFonts w:hint="eastAsia" w:ascii="宋体" w:hAnsi="宋体" w:eastAsia="宋体" w:cs="宋体"/>
          <w:bCs/>
          <w:color w:val="000000" w:themeColor="text1"/>
          <w:sz w:val="24"/>
          <w:szCs w:val="24"/>
          <w:highlight w:val="none"/>
          <w:shd w:val="clear" w:color="auto" w:fill="FFFFFF"/>
          <w:lang w:val="en-US" w:eastAsia="zh-CN"/>
        </w:rPr>
        <w:t>6、付款方式：具体以双方签订合同为准。</w:t>
      </w:r>
    </w:p>
    <w:p>
      <w:pPr>
        <w:widowControl/>
        <w:spacing w:line="360" w:lineRule="auto"/>
        <w:jc w:val="left"/>
        <w:rPr>
          <w:rFonts w:hint="eastAsia" w:ascii="Helvetica" w:hAnsi="Helvetica" w:eastAsia="宋体" w:cs="Helvetica"/>
          <w:color w:val="000000" w:themeColor="text1"/>
          <w:kern w:val="0"/>
          <w:sz w:val="24"/>
          <w:szCs w:val="24"/>
          <w:lang w:val="zh-CN"/>
        </w:rPr>
      </w:pPr>
      <w:r>
        <w:rPr>
          <w:rFonts w:hint="eastAsia" w:ascii="Helvetica" w:hAnsi="Helvetica" w:eastAsia="宋体" w:cs="Helvetica"/>
          <w:color w:val="000000" w:themeColor="text1"/>
          <w:kern w:val="0"/>
          <w:sz w:val="24"/>
          <w:szCs w:val="24"/>
          <w:lang w:val="zh-CN"/>
        </w:rPr>
        <w:br w:type="page"/>
      </w:r>
    </w:p>
    <w:p>
      <w:pPr>
        <w:pStyle w:val="4"/>
        <w:numPr>
          <w:ilvl w:val="0"/>
          <w:numId w:val="0"/>
        </w:numPr>
        <w:spacing w:before="0" w:after="0" w:line="360" w:lineRule="auto"/>
        <w:jc w:val="left"/>
        <w:rPr>
          <w:rFonts w:hint="eastAsia" w:ascii="宋体" w:hAnsi="宋体" w:eastAsia="宋体" w:cs="宋体"/>
          <w:b/>
          <w:bCs w:val="0"/>
          <w:color w:val="000000" w:themeColor="text1"/>
          <w:kern w:val="2"/>
          <w:sz w:val="24"/>
          <w:szCs w:val="24"/>
          <w:highlight w:val="none"/>
          <w:shd w:val="clear" w:color="auto" w:fill="FFFFFF"/>
          <w:lang w:val="zh-CN" w:eastAsia="zh-CN" w:bidi="ar-SA"/>
        </w:rPr>
      </w:pPr>
      <w:bookmarkStart w:id="0" w:name="_Toc494561963"/>
      <w:bookmarkStart w:id="1" w:name="_Toc495861544"/>
      <w:r>
        <w:rPr>
          <w:rFonts w:hint="eastAsia" w:ascii="宋体" w:hAnsi="宋体" w:eastAsia="宋体" w:cs="宋体"/>
          <w:b/>
          <w:bCs w:val="0"/>
          <w:color w:val="000000" w:themeColor="text1"/>
          <w:kern w:val="2"/>
          <w:sz w:val="24"/>
          <w:szCs w:val="24"/>
          <w:highlight w:val="none"/>
          <w:shd w:val="clear" w:color="auto" w:fill="FFFFFF"/>
          <w:lang w:val="en-US" w:eastAsia="zh-CN" w:bidi="ar-SA"/>
        </w:rPr>
        <w:t>五、</w:t>
      </w:r>
      <w:r>
        <w:rPr>
          <w:rFonts w:hint="eastAsia" w:ascii="宋体" w:hAnsi="宋体" w:eastAsia="宋体" w:cs="宋体"/>
          <w:b/>
          <w:bCs w:val="0"/>
          <w:color w:val="000000" w:themeColor="text1"/>
          <w:kern w:val="2"/>
          <w:sz w:val="24"/>
          <w:szCs w:val="24"/>
          <w:highlight w:val="none"/>
          <w:shd w:val="clear" w:color="auto" w:fill="FFFFFF"/>
          <w:lang w:val="zh-CN" w:eastAsia="zh-CN" w:bidi="ar-SA"/>
        </w:rPr>
        <w:t>评审因素及评分标准</w:t>
      </w:r>
      <w:bookmarkEnd w:id="0"/>
      <w:bookmarkEnd w:id="1"/>
    </w:p>
    <w:tbl>
      <w:tblPr>
        <w:tblStyle w:val="10"/>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190"/>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1"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pacing w:line="360" w:lineRule="auto"/>
              <w:rPr>
                <w:rFonts w:ascii="宋体" w:cs="宋体"/>
                <w:bCs/>
                <w:color w:val="auto"/>
                <w:sz w:val="21"/>
                <w:szCs w:val="21"/>
              </w:rPr>
            </w:pPr>
            <w:r>
              <w:rPr>
                <w:rFonts w:hint="eastAsia" w:ascii="宋体" w:hAnsi="宋体" w:cs="宋体"/>
                <w:bCs/>
                <w:color w:val="auto"/>
                <w:sz w:val="21"/>
                <w:szCs w:val="21"/>
              </w:rPr>
              <w:t>项目</w:t>
            </w:r>
          </w:p>
        </w:tc>
        <w:tc>
          <w:tcPr>
            <w:tcW w:w="81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bCs/>
                <w:color w:val="auto"/>
                <w:sz w:val="21"/>
                <w:szCs w:val="21"/>
              </w:rPr>
            </w:pPr>
            <w:r>
              <w:rPr>
                <w:rFonts w:hint="eastAsia" w:ascii="宋体" w:hAnsi="宋体" w:cs="宋体"/>
                <w:bCs/>
                <w:color w:val="auto"/>
                <w:sz w:val="21"/>
                <w:szCs w:val="21"/>
              </w:rPr>
              <w:t>分值细则</w:t>
            </w:r>
          </w:p>
        </w:tc>
        <w:tc>
          <w:tcPr>
            <w:tcW w:w="7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bCs/>
                <w:color w:val="auto"/>
                <w:sz w:val="21"/>
                <w:szCs w:val="21"/>
              </w:rPr>
            </w:pPr>
            <w:r>
              <w:rPr>
                <w:rFonts w:hint="eastAsia" w:ascii="宋体" w:hAnsi="宋体" w:cs="宋体"/>
                <w:bCs/>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价格</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评议</w:t>
            </w:r>
          </w:p>
          <w:p>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15分</w:t>
            </w:r>
          </w:p>
        </w:tc>
        <w:tc>
          <w:tcPr>
            <w:tcW w:w="8190" w:type="dxa"/>
            <w:tcBorders>
              <w:top w:val="single" w:color="auto" w:sz="4" w:space="0"/>
              <w:left w:val="single" w:color="auto" w:sz="4" w:space="0"/>
              <w:bottom w:val="single" w:color="auto" w:sz="4" w:space="0"/>
              <w:right w:val="single" w:color="auto" w:sz="4" w:space="0"/>
            </w:tcBorders>
            <w:noWrap w:val="0"/>
            <w:vAlign w:val="center"/>
          </w:tcPr>
          <w:p>
            <w:pPr>
              <w:pStyle w:val="45"/>
              <w:ind w:left="0" w:leftChars="0" w:firstLine="0" w:firstLineChars="0"/>
              <w:rPr>
                <w:color w:val="auto"/>
                <w:sz w:val="21"/>
                <w:szCs w:val="21"/>
              </w:rPr>
            </w:pPr>
            <w:r>
              <w:rPr>
                <w:rFonts w:hint="eastAsia"/>
                <w:color w:val="auto"/>
                <w:sz w:val="21"/>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w:t>
            </w:r>
            <w:r>
              <w:rPr>
                <w:rFonts w:hint="eastAsia"/>
                <w:color w:val="0000FF"/>
                <w:sz w:val="21"/>
                <w:szCs w:val="21"/>
                <w:lang w:val="en-US" w:eastAsia="zh-CN"/>
              </w:rPr>
              <w:t>9</w:t>
            </w:r>
            <w:r>
              <w:rPr>
                <w:rFonts w:hint="eastAsia"/>
                <w:color w:val="0000FF"/>
                <w:sz w:val="21"/>
                <w:szCs w:val="21"/>
              </w:rPr>
              <w:t>0%</w:t>
            </w:r>
            <w:r>
              <w:rPr>
                <w:rFonts w:hint="eastAsia"/>
                <w:color w:val="auto"/>
                <w:sz w:val="21"/>
                <w:szCs w:val="21"/>
              </w:rPr>
              <w:t>时，评标委员会将对其进行成本分析，评标委员会认为报价低于成本价时将否决其投标。</w:t>
            </w:r>
          </w:p>
        </w:tc>
        <w:tc>
          <w:tcPr>
            <w:tcW w:w="7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cs="宋体" w:eastAsiaTheme="minorEastAsia"/>
                <w:color w:val="auto"/>
                <w:sz w:val="21"/>
                <w:szCs w:val="21"/>
                <w:lang w:val="en-US" w:eastAsia="zh-CN"/>
              </w:rPr>
            </w:pPr>
            <w:r>
              <w:rPr>
                <w:rFonts w:hint="eastAsia" w:ascii="宋体" w:hAnsi="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6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cs="宋体"/>
                <w:color w:val="auto"/>
                <w:sz w:val="21"/>
                <w:szCs w:val="21"/>
                <w:lang w:val="en-US" w:eastAsia="zh-CN"/>
              </w:rPr>
            </w:pPr>
            <w:r>
              <w:rPr>
                <w:rFonts w:hint="eastAsia" w:ascii="宋体" w:cs="宋体"/>
                <w:color w:val="auto"/>
                <w:sz w:val="21"/>
                <w:szCs w:val="21"/>
              </w:rPr>
              <w:t>商务</w:t>
            </w:r>
            <w:r>
              <w:rPr>
                <w:rFonts w:hint="eastAsia" w:ascii="宋体" w:cs="宋体"/>
                <w:color w:val="auto"/>
                <w:sz w:val="21"/>
                <w:szCs w:val="21"/>
                <w:lang w:eastAsia="zh-CN"/>
              </w:rPr>
              <w:t>评议</w:t>
            </w:r>
            <w:r>
              <w:rPr>
                <w:rFonts w:hint="eastAsia" w:ascii="宋体" w:cs="宋体"/>
                <w:color w:val="auto"/>
                <w:sz w:val="21"/>
                <w:szCs w:val="21"/>
                <w:lang w:val="en-US" w:eastAsia="zh-CN"/>
              </w:rPr>
              <w:t>30分</w:t>
            </w:r>
          </w:p>
        </w:tc>
        <w:tc>
          <w:tcPr>
            <w:tcW w:w="8190" w:type="dxa"/>
            <w:tcBorders>
              <w:top w:val="single" w:color="auto" w:sz="4" w:space="0"/>
              <w:left w:val="single" w:color="auto" w:sz="4" w:space="0"/>
              <w:right w:val="single" w:color="auto" w:sz="4" w:space="0"/>
            </w:tcBorders>
            <w:noWrap w:val="0"/>
            <w:vAlign w:val="center"/>
          </w:tcPr>
          <w:p>
            <w:pPr>
              <w:rPr>
                <w:rFonts w:hint="eastAsia"/>
                <w:lang w:eastAsia="zh-CN"/>
              </w:rPr>
            </w:pPr>
            <w:r>
              <w:rPr>
                <w:rFonts w:hint="default"/>
                <w:lang w:val="en-US" w:eastAsia="zh-CN"/>
              </w:rPr>
              <w:t>根据投标人近五年获得相关管理部门的奖励文件</w:t>
            </w:r>
            <w:r>
              <w:rPr>
                <w:rFonts w:hint="eastAsia"/>
                <w:lang w:val="en-US" w:eastAsia="zh-CN"/>
              </w:rPr>
              <w:t>/证书</w:t>
            </w:r>
            <w:r>
              <w:rPr>
                <w:rFonts w:hint="default"/>
                <w:lang w:val="en-US" w:eastAsia="zh-CN"/>
              </w:rPr>
              <w:t>进行评分，获得县（</w:t>
            </w:r>
            <w:r>
              <w:rPr>
                <w:rFonts w:hint="eastAsia"/>
                <w:lang w:val="en-US" w:eastAsia="zh-CN"/>
              </w:rPr>
              <w:t>市</w:t>
            </w:r>
            <w:r>
              <w:rPr>
                <w:rFonts w:hint="default"/>
                <w:lang w:val="en-US" w:eastAsia="zh-CN"/>
              </w:rPr>
              <w:t>）级奖励的每提供一个得 1分</w:t>
            </w:r>
            <w:r>
              <w:rPr>
                <w:rFonts w:hint="eastAsia"/>
                <w:lang w:val="en-US" w:eastAsia="zh-CN"/>
              </w:rPr>
              <w:t>，最多得2分；</w:t>
            </w:r>
            <w:r>
              <w:rPr>
                <w:rFonts w:hint="default"/>
                <w:lang w:val="en-US" w:eastAsia="zh-CN"/>
              </w:rPr>
              <w:t>获得省级奖励的每提供一个得</w:t>
            </w:r>
            <w:r>
              <w:rPr>
                <w:rFonts w:hint="eastAsia"/>
                <w:lang w:val="en-US" w:eastAsia="zh-CN"/>
              </w:rPr>
              <w:t>2</w:t>
            </w:r>
            <w:r>
              <w:rPr>
                <w:rFonts w:hint="default"/>
                <w:lang w:val="en-US" w:eastAsia="zh-CN"/>
              </w:rPr>
              <w:t>分</w:t>
            </w:r>
            <w:r>
              <w:rPr>
                <w:rFonts w:hint="eastAsia"/>
                <w:lang w:val="en-US" w:eastAsia="zh-CN"/>
              </w:rPr>
              <w:t>，最多得4分。</w:t>
            </w:r>
          </w:p>
        </w:tc>
        <w:tc>
          <w:tcPr>
            <w:tcW w:w="715" w:type="dxa"/>
            <w:tcBorders>
              <w:top w:val="single" w:color="auto" w:sz="4" w:space="0"/>
              <w:left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61" w:type="dxa"/>
            <w:vMerge w:val="continue"/>
            <w:tcBorders>
              <w:left w:val="single" w:color="auto" w:sz="4" w:space="0"/>
              <w:right w:val="single" w:color="auto" w:sz="4" w:space="0"/>
            </w:tcBorders>
            <w:noWrap w:val="0"/>
            <w:vAlign w:val="center"/>
          </w:tcPr>
          <w:p>
            <w:pPr>
              <w:widowControl/>
              <w:jc w:val="left"/>
              <w:rPr>
                <w:rFonts w:hint="eastAsia" w:ascii="宋体" w:cs="宋体"/>
                <w:color w:val="auto"/>
                <w:sz w:val="21"/>
                <w:szCs w:val="21"/>
                <w:lang w:val="en-US" w:eastAsia="zh-CN"/>
              </w:rPr>
            </w:pPr>
          </w:p>
        </w:tc>
        <w:tc>
          <w:tcPr>
            <w:tcW w:w="819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eastAsia="zh-CN"/>
              </w:rPr>
            </w:pPr>
            <w:r>
              <w:rPr>
                <w:rFonts w:hint="eastAsia"/>
                <w:lang w:val="en-US" w:eastAsia="zh-CN"/>
              </w:rPr>
              <w:t>近三年每提供一份企业或单位体检服务合同得2分，最高得20分（以与各企业或单位签订的合同为准）</w:t>
            </w:r>
          </w:p>
        </w:tc>
        <w:tc>
          <w:tcPr>
            <w:tcW w:w="715" w:type="dxa"/>
            <w:tcBorders>
              <w:top w:val="single" w:color="auto" w:sz="4" w:space="0"/>
              <w:left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61" w:type="dxa"/>
            <w:vMerge w:val="continue"/>
            <w:tcBorders>
              <w:left w:val="single" w:color="auto" w:sz="4" w:space="0"/>
              <w:right w:val="single" w:color="auto" w:sz="4" w:space="0"/>
            </w:tcBorders>
            <w:noWrap w:val="0"/>
            <w:vAlign w:val="center"/>
          </w:tcPr>
          <w:p>
            <w:pPr>
              <w:widowControl/>
              <w:jc w:val="left"/>
              <w:rPr>
                <w:rFonts w:hint="eastAsia" w:ascii="宋体" w:cs="宋体"/>
                <w:color w:val="auto"/>
                <w:sz w:val="21"/>
                <w:szCs w:val="21"/>
                <w:lang w:val="en-US" w:eastAsia="zh-CN"/>
              </w:rPr>
            </w:pPr>
          </w:p>
        </w:tc>
        <w:tc>
          <w:tcPr>
            <w:tcW w:w="8190" w:type="dxa"/>
            <w:tcBorders>
              <w:top w:val="single" w:color="auto" w:sz="4" w:space="0"/>
              <w:left w:val="single" w:color="auto" w:sz="4" w:space="0"/>
              <w:right w:val="single" w:color="auto" w:sz="4" w:space="0"/>
            </w:tcBorders>
            <w:noWrap w:val="0"/>
            <w:vAlign w:val="center"/>
          </w:tcPr>
          <w:p>
            <w:pPr>
              <w:rPr>
                <w:rFonts w:hint="eastAsia"/>
                <w:lang w:val="en-US" w:eastAsia="zh-CN"/>
              </w:rPr>
            </w:pPr>
            <w:r>
              <w:rPr>
                <w:rFonts w:hint="eastAsia"/>
                <w:lang w:val="en-US" w:eastAsia="zh-CN"/>
              </w:rPr>
              <w:t>有对本响应文件所提供资料真实性的承诺，得2分；否则得 0 分；</w:t>
            </w:r>
          </w:p>
        </w:tc>
        <w:tc>
          <w:tcPr>
            <w:tcW w:w="715" w:type="dxa"/>
            <w:tcBorders>
              <w:top w:val="single" w:color="auto" w:sz="4" w:space="0"/>
              <w:left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61" w:type="dxa"/>
            <w:vMerge w:val="continue"/>
            <w:tcBorders>
              <w:left w:val="single" w:color="auto" w:sz="4" w:space="0"/>
              <w:right w:val="single" w:color="auto" w:sz="4" w:space="0"/>
            </w:tcBorders>
            <w:noWrap w:val="0"/>
            <w:vAlign w:val="center"/>
          </w:tcPr>
          <w:p>
            <w:pPr>
              <w:widowControl/>
              <w:jc w:val="left"/>
              <w:rPr>
                <w:rFonts w:hint="eastAsia" w:ascii="宋体" w:cs="宋体"/>
                <w:color w:val="auto"/>
                <w:sz w:val="21"/>
                <w:szCs w:val="21"/>
                <w:lang w:val="en-US" w:eastAsia="zh-CN"/>
              </w:rPr>
            </w:pPr>
          </w:p>
        </w:tc>
        <w:tc>
          <w:tcPr>
            <w:tcW w:w="819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投标文件全面响应招标文件要求，编制完整、非活页装订，且有详细目录、连续页码、目录与有关材料装订顺序对应清晰、查阅方便得2分。编排杂乱无章、叙述答非所问、资料残缺不全、资料模糊不清、前后不一致等，每处扣0.5分，扣完为止；</w:t>
            </w:r>
          </w:p>
        </w:tc>
        <w:tc>
          <w:tcPr>
            <w:tcW w:w="715" w:type="dxa"/>
            <w:tcBorders>
              <w:top w:val="single" w:color="auto" w:sz="4" w:space="0"/>
              <w:left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61" w:type="dxa"/>
            <w:vMerge w:val="restart"/>
            <w:tcBorders>
              <w:top w:val="single" w:color="auto" w:sz="4" w:space="0"/>
              <w:left w:val="single" w:color="auto" w:sz="4" w:space="0"/>
              <w:right w:val="single" w:color="auto" w:sz="4" w:space="0"/>
            </w:tcBorders>
            <w:noWrap w:val="0"/>
            <w:vAlign w:val="center"/>
          </w:tcPr>
          <w:p>
            <w:pPr>
              <w:spacing w:line="360" w:lineRule="auto"/>
              <w:jc w:val="both"/>
              <w:rPr>
                <w:rFonts w:hint="eastAsia" w:ascii="宋体" w:hAnsi="宋体" w:cs="宋体" w:eastAsiaTheme="minorEastAsia"/>
                <w:color w:val="auto"/>
                <w:sz w:val="21"/>
                <w:szCs w:val="21"/>
                <w:lang w:eastAsia="zh-CN"/>
              </w:rPr>
            </w:pPr>
            <w:r>
              <w:rPr>
                <w:rFonts w:hint="eastAsia" w:ascii="宋体" w:hAnsi="宋体" w:cs="宋体"/>
                <w:color w:val="auto"/>
                <w:sz w:val="21"/>
                <w:szCs w:val="21"/>
                <w:lang w:eastAsia="zh-CN"/>
              </w:rPr>
              <w:t>技</w:t>
            </w:r>
            <w:r>
              <w:rPr>
                <w:rFonts w:hint="eastAsia" w:ascii="宋体" w:hAnsi="宋体" w:cs="宋体"/>
                <w:color w:val="auto"/>
                <w:sz w:val="21"/>
                <w:szCs w:val="21"/>
              </w:rPr>
              <w:t>术</w:t>
            </w:r>
            <w:r>
              <w:rPr>
                <w:rFonts w:hint="eastAsia" w:ascii="宋体" w:hAnsi="宋体" w:cs="宋体"/>
                <w:color w:val="auto"/>
                <w:sz w:val="21"/>
                <w:szCs w:val="21"/>
                <w:lang w:eastAsia="zh-CN"/>
              </w:rPr>
              <w:t>评</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议</w:t>
            </w:r>
          </w:p>
          <w:p>
            <w:pPr>
              <w:spacing w:line="360" w:lineRule="auto"/>
              <w:jc w:val="center"/>
              <w:rPr>
                <w:rFonts w:hint="default" w:ascii="宋体" w:cs="宋体" w:eastAsiaTheme="minorEastAsia"/>
                <w:color w:val="auto"/>
                <w:sz w:val="21"/>
                <w:szCs w:val="21"/>
                <w:lang w:val="en-US" w:eastAsia="zh-CN"/>
              </w:rPr>
            </w:pPr>
            <w:r>
              <w:rPr>
                <w:rFonts w:hint="eastAsia" w:ascii="宋体" w:cs="宋体"/>
                <w:color w:val="auto"/>
                <w:sz w:val="21"/>
                <w:szCs w:val="21"/>
                <w:lang w:val="en-US" w:eastAsia="zh-CN"/>
              </w:rPr>
              <w:t>55分</w:t>
            </w:r>
          </w:p>
        </w:tc>
        <w:tc>
          <w:tcPr>
            <w:tcW w:w="819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cs="宋体"/>
                <w:color w:val="auto"/>
                <w:sz w:val="21"/>
                <w:szCs w:val="21"/>
              </w:rPr>
            </w:pPr>
            <w:r>
              <w:rPr>
                <w:rFonts w:hint="eastAsia" w:ascii="宋体" w:hAnsi="宋体"/>
                <w:color w:val="000000" w:themeColor="text1"/>
                <w:szCs w:val="21"/>
              </w:rPr>
              <w:t>招标文件</w:t>
            </w:r>
            <w:r>
              <w:rPr>
                <w:rFonts w:hint="eastAsia" w:ascii="宋体" w:hAnsi="宋体" w:cs="宋体"/>
                <w:color w:val="000000" w:themeColor="text1"/>
                <w:kern w:val="0"/>
                <w:szCs w:val="21"/>
              </w:rPr>
              <w:t>中技术指标根据技术指标及其他重要性能指标和投标服务情况：符合招标文件要求20分，不满足招标文件要求的每项扣</w:t>
            </w:r>
            <w:r>
              <w:rPr>
                <w:rFonts w:hint="eastAsia" w:ascii="宋体" w:hAnsi="宋体" w:cs="宋体"/>
                <w:color w:val="000000" w:themeColor="text1"/>
                <w:kern w:val="0"/>
                <w:szCs w:val="21"/>
                <w:lang w:val="en-US" w:eastAsia="zh-CN"/>
              </w:rPr>
              <w:t>2</w:t>
            </w:r>
            <w:r>
              <w:rPr>
                <w:rFonts w:hint="eastAsia" w:ascii="宋体" w:hAnsi="宋体" w:cs="宋体"/>
                <w:color w:val="000000" w:themeColor="text1"/>
                <w:kern w:val="0"/>
                <w:szCs w:val="21"/>
              </w:rPr>
              <w:t>分,超过</w:t>
            </w:r>
            <w:r>
              <w:rPr>
                <w:rFonts w:hint="eastAsia" w:ascii="宋体" w:hAnsi="宋体" w:cs="宋体"/>
                <w:color w:val="000000" w:themeColor="text1"/>
                <w:kern w:val="0"/>
                <w:szCs w:val="21"/>
                <w:lang w:val="en-US" w:eastAsia="zh-CN"/>
              </w:rPr>
              <w:t>10</w:t>
            </w:r>
            <w:r>
              <w:rPr>
                <w:rFonts w:hint="eastAsia" w:ascii="宋体" w:hAnsi="宋体" w:cs="宋体"/>
                <w:color w:val="000000" w:themeColor="text1"/>
                <w:kern w:val="0"/>
                <w:szCs w:val="21"/>
              </w:rPr>
              <w:t>项属于无效投标。</w:t>
            </w:r>
          </w:p>
        </w:tc>
        <w:tc>
          <w:tcPr>
            <w:tcW w:w="715" w:type="dxa"/>
            <w:tcBorders>
              <w:top w:val="single" w:color="auto" w:sz="4" w:space="0"/>
              <w:left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1" w:type="dxa"/>
            <w:vMerge w:val="continue"/>
            <w:tcBorders>
              <w:left w:val="single" w:color="auto" w:sz="4" w:space="0"/>
              <w:right w:val="single" w:color="auto" w:sz="4" w:space="0"/>
            </w:tcBorders>
            <w:noWrap w:val="0"/>
            <w:vAlign w:val="center"/>
          </w:tcPr>
          <w:p>
            <w:pPr>
              <w:widowControl/>
              <w:jc w:val="left"/>
              <w:rPr>
                <w:rFonts w:ascii="宋体" w:cs="宋体"/>
                <w:color w:val="auto"/>
                <w:sz w:val="21"/>
                <w:szCs w:val="21"/>
              </w:rPr>
            </w:pPr>
          </w:p>
        </w:tc>
        <w:tc>
          <w:tcPr>
            <w:tcW w:w="819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根据投标单位提供的体检场地情况：从空间大小，环境卫生，门牌标示指示是否清楚等方面进行比较。</w:t>
            </w:r>
          </w:p>
          <w:p>
            <w:pPr>
              <w:spacing w:line="380" w:lineRule="exact"/>
              <w:rPr>
                <w:rFonts w:hint="default"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内容完备、科学、合理、针对性强的得4-5分，内容基本完备、基本合理、可行的得2-3分，欠合理、基本可行的得1，不可行、不能满足项目需要的不得分。。</w:t>
            </w:r>
          </w:p>
        </w:tc>
        <w:tc>
          <w:tcPr>
            <w:tcW w:w="715" w:type="dxa"/>
            <w:tcBorders>
              <w:left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1" w:type="dxa"/>
            <w:vMerge w:val="continue"/>
            <w:tcBorders>
              <w:left w:val="single" w:color="auto" w:sz="4" w:space="0"/>
              <w:right w:val="single" w:color="auto" w:sz="4" w:space="0"/>
            </w:tcBorders>
            <w:noWrap w:val="0"/>
            <w:vAlign w:val="center"/>
          </w:tcPr>
          <w:p>
            <w:pPr>
              <w:widowControl/>
              <w:jc w:val="left"/>
              <w:rPr>
                <w:rFonts w:ascii="宋体" w:cs="宋体"/>
                <w:color w:val="auto"/>
                <w:sz w:val="21"/>
                <w:szCs w:val="21"/>
              </w:rPr>
            </w:pPr>
          </w:p>
        </w:tc>
        <w:tc>
          <w:tcPr>
            <w:tcW w:w="819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根据投标单位提供的体检仪器情况：从种类是否齐全，设备先进，使用年限，产地情况等方面进行比较。</w:t>
            </w:r>
          </w:p>
          <w:p>
            <w:pPr>
              <w:spacing w:line="38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内容完备、科学、合理、针对性强的得4-5分，内容基本完备、基本合理、可行的得2-3分，欠合理、基本可行的得1，不可行、不能满足项目需要的不得分。</w:t>
            </w:r>
          </w:p>
        </w:tc>
        <w:tc>
          <w:tcPr>
            <w:tcW w:w="715" w:type="dxa"/>
            <w:tcBorders>
              <w:left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1" w:type="dxa"/>
            <w:vMerge w:val="continue"/>
            <w:tcBorders>
              <w:left w:val="single" w:color="auto" w:sz="4" w:space="0"/>
              <w:right w:val="single" w:color="auto" w:sz="4" w:space="0"/>
            </w:tcBorders>
            <w:noWrap w:val="0"/>
            <w:vAlign w:val="center"/>
          </w:tcPr>
          <w:p>
            <w:pPr>
              <w:widowControl/>
              <w:jc w:val="left"/>
              <w:rPr>
                <w:rFonts w:ascii="宋体" w:cs="宋体"/>
                <w:color w:val="auto"/>
                <w:sz w:val="21"/>
                <w:szCs w:val="21"/>
              </w:rPr>
            </w:pPr>
          </w:p>
        </w:tc>
        <w:tc>
          <w:tcPr>
            <w:tcW w:w="819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根据拟投入的主检医师专业涵盖范围及各科主检医师职称等方面进行比较。</w:t>
            </w:r>
          </w:p>
          <w:p>
            <w:pPr>
              <w:spacing w:line="38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内容完备、科学、合理、针对性强的得4-5分，内容基本完备、基本合理、可行的得2-3分，欠合理、基本可行的得1，不可行、不能满足项目需要的不得分。</w:t>
            </w:r>
          </w:p>
        </w:tc>
        <w:tc>
          <w:tcPr>
            <w:tcW w:w="715" w:type="dxa"/>
            <w:tcBorders>
              <w:left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1" w:type="dxa"/>
            <w:vMerge w:val="continue"/>
            <w:tcBorders>
              <w:left w:val="single" w:color="auto" w:sz="4" w:space="0"/>
              <w:right w:val="single" w:color="auto" w:sz="4" w:space="0"/>
            </w:tcBorders>
            <w:noWrap w:val="0"/>
            <w:vAlign w:val="center"/>
          </w:tcPr>
          <w:p>
            <w:pPr>
              <w:widowControl/>
              <w:jc w:val="left"/>
              <w:rPr>
                <w:rFonts w:ascii="宋体" w:cs="宋体"/>
                <w:color w:val="auto"/>
                <w:sz w:val="21"/>
                <w:szCs w:val="21"/>
              </w:rPr>
            </w:pPr>
          </w:p>
        </w:tc>
        <w:tc>
          <w:tcPr>
            <w:tcW w:w="819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根据各科室设置齐全，工作制度严谨，岗位职责完整清晰等方面进行比较。</w:t>
            </w:r>
          </w:p>
          <w:p>
            <w:pPr>
              <w:spacing w:line="38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内容完备、科学、合理、针对性强的得4-5分，内容基本完备、基本合理、可行的得2-3分，欠合理、基本可行的得1，不可行、不能满足项目需要的不得分。</w:t>
            </w:r>
          </w:p>
        </w:tc>
        <w:tc>
          <w:tcPr>
            <w:tcW w:w="715" w:type="dxa"/>
            <w:tcBorders>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1" w:type="dxa"/>
            <w:vMerge w:val="continue"/>
            <w:tcBorders>
              <w:left w:val="single" w:color="auto" w:sz="4" w:space="0"/>
              <w:right w:val="single" w:color="auto" w:sz="4" w:space="0"/>
            </w:tcBorders>
            <w:noWrap w:val="0"/>
            <w:vAlign w:val="center"/>
          </w:tcPr>
          <w:p>
            <w:pPr>
              <w:widowControl/>
              <w:jc w:val="left"/>
              <w:rPr>
                <w:rFonts w:ascii="宋体" w:cs="宋体"/>
                <w:color w:val="auto"/>
                <w:sz w:val="21"/>
                <w:szCs w:val="21"/>
              </w:rPr>
            </w:pPr>
          </w:p>
        </w:tc>
        <w:tc>
          <w:tcPr>
            <w:tcW w:w="819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体检流程全面完整，简明易懂，有序高效的得2分，附图表说明的得2分</w:t>
            </w:r>
          </w:p>
        </w:tc>
        <w:tc>
          <w:tcPr>
            <w:tcW w:w="715" w:type="dxa"/>
            <w:tcBorders>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1" w:type="dxa"/>
            <w:vMerge w:val="continue"/>
            <w:tcBorders>
              <w:left w:val="single" w:color="auto" w:sz="4" w:space="0"/>
              <w:right w:val="single" w:color="auto" w:sz="4" w:space="0"/>
            </w:tcBorders>
            <w:noWrap w:val="0"/>
            <w:vAlign w:val="center"/>
          </w:tcPr>
          <w:p>
            <w:pPr>
              <w:widowControl/>
              <w:jc w:val="left"/>
              <w:rPr>
                <w:rFonts w:ascii="宋体" w:cs="宋体"/>
                <w:color w:val="auto"/>
                <w:sz w:val="21"/>
                <w:szCs w:val="21"/>
              </w:rPr>
            </w:pPr>
          </w:p>
        </w:tc>
        <w:tc>
          <w:tcPr>
            <w:tcW w:w="819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根据所提供的体检报告的内容完整，页面设计，布置合理，阅读方便等方面进行比较.内容完备、科学、合理、针对性强的得4-5分，内容基本完备、基本合理、可行的得2-3分，欠合理、基本可行的得1，不可行、不能满足项目需要的不得分。</w:t>
            </w:r>
          </w:p>
        </w:tc>
        <w:tc>
          <w:tcPr>
            <w:tcW w:w="715" w:type="dxa"/>
            <w:tcBorders>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1" w:type="dxa"/>
            <w:vMerge w:val="continue"/>
            <w:tcBorders>
              <w:left w:val="single" w:color="auto" w:sz="4" w:space="0"/>
              <w:right w:val="single" w:color="auto" w:sz="4" w:space="0"/>
            </w:tcBorders>
            <w:noWrap w:val="0"/>
            <w:vAlign w:val="center"/>
          </w:tcPr>
          <w:p>
            <w:pPr>
              <w:widowControl/>
              <w:jc w:val="left"/>
              <w:rPr>
                <w:rFonts w:ascii="宋体" w:cs="宋体"/>
                <w:color w:val="auto"/>
                <w:sz w:val="21"/>
                <w:szCs w:val="21"/>
              </w:rPr>
            </w:pPr>
          </w:p>
        </w:tc>
        <w:tc>
          <w:tcPr>
            <w:tcW w:w="819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总体服务方案合理可行，对项目特性，项目难点有分析及预判的得1分;应对措施合理并有针对性的得1分;对自身优势有详细描述，证明材料充足的得1分</w:t>
            </w:r>
          </w:p>
        </w:tc>
        <w:tc>
          <w:tcPr>
            <w:tcW w:w="715" w:type="dxa"/>
            <w:tcBorders>
              <w:left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6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cs="宋体"/>
                <w:color w:val="auto"/>
                <w:sz w:val="21"/>
                <w:szCs w:val="21"/>
              </w:rPr>
            </w:pPr>
          </w:p>
        </w:tc>
        <w:tc>
          <w:tcPr>
            <w:tcW w:w="819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投标单位于本项目采购需求外提供的增值服务，根据其服务内容的力度，可操作性及与本项目契合度等方面进行综合比较。内容完备、科学、合理、针对性强的得3分，内容基本完备、基本合理、可行的得2分，欠合理、基本可行的得1，不可行、不能满足项目需要的不得分。</w:t>
            </w:r>
          </w:p>
        </w:tc>
        <w:tc>
          <w:tcPr>
            <w:tcW w:w="715" w:type="dxa"/>
            <w:tcBorders>
              <w:left w:val="single" w:color="auto" w:sz="4" w:space="0"/>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3</w:t>
            </w:r>
          </w:p>
        </w:tc>
      </w:tr>
    </w:tbl>
    <w:p>
      <w:pPr>
        <w:rPr>
          <w:color w:val="auto"/>
          <w:highlight w:val="yellow"/>
        </w:rPr>
      </w:pPr>
    </w:p>
    <w:p>
      <w:pPr>
        <w:spacing w:line="360" w:lineRule="auto"/>
        <w:rPr>
          <w:rFonts w:ascii="Times New Roman" w:hAnsi="Times New Roman" w:eastAsia="方正姚体" w:cs="Times New Roman"/>
          <w:bCs/>
          <w:sz w:val="24"/>
          <w:szCs w:val="24"/>
        </w:rPr>
      </w:pPr>
      <w:r>
        <w:rPr>
          <w:rFonts w:hint="eastAsia"/>
          <w:color w:val="000000" w:themeColor="text1"/>
          <w:highlight w:val="none"/>
          <w:lang w:val="zh-CN"/>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widowControl/>
        <w:spacing w:line="360" w:lineRule="auto"/>
        <w:jc w:val="center"/>
        <w:rPr>
          <w:rFonts w:ascii="Times New Roman" w:hAnsi="Times New Roman" w:cs="Times New Roman"/>
          <w:bCs/>
          <w:sz w:val="32"/>
          <w:szCs w:val="32"/>
        </w:rPr>
      </w:pPr>
      <w:r>
        <w:rPr>
          <w:rFonts w:ascii="Times New Roman" w:hAnsi="Times New Roman" w:cs="Times New Roman"/>
          <w:b/>
          <w:sz w:val="24"/>
          <w:szCs w:val="24"/>
        </w:rPr>
        <w:br w:type="page"/>
      </w:r>
      <w:r>
        <w:rPr>
          <w:rFonts w:ascii="Times New Roman" w:hAnsi="Times New Roman" w:cs="Times New Roman"/>
          <w:b/>
          <w:sz w:val="32"/>
          <w:szCs w:val="32"/>
        </w:rPr>
        <w:t>第</w:t>
      </w:r>
      <w:r>
        <w:rPr>
          <w:rFonts w:hint="eastAsia" w:ascii="Times New Roman" w:hAnsi="Times New Roman" w:cs="Times New Roman"/>
          <w:b/>
          <w:sz w:val="32"/>
          <w:szCs w:val="32"/>
          <w:lang w:eastAsia="zh-CN"/>
        </w:rPr>
        <w:t>四</w:t>
      </w:r>
      <w:r>
        <w:rPr>
          <w:rFonts w:ascii="Times New Roman" w:hAnsi="Times New Roman" w:cs="Times New Roman"/>
          <w:b/>
          <w:sz w:val="32"/>
          <w:szCs w:val="32"/>
        </w:rPr>
        <w:t>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w:t>
      </w:r>
      <w:r>
        <w:rPr>
          <w:rFonts w:hint="eastAsia" w:ascii="Times New Roman" w:hAnsi="Times New Roman" w:cs="Times New Roman"/>
          <w:b/>
          <w:sz w:val="32"/>
          <w:szCs w:val="32"/>
          <w:lang w:eastAsia="zh-CN"/>
        </w:rPr>
        <w:t>五</w:t>
      </w:r>
      <w:r>
        <w:rPr>
          <w:rFonts w:ascii="Times New Roman" w:hAnsi="Times New Roman" w:cs="Times New Roman"/>
          <w:b/>
          <w:sz w:val="32"/>
          <w:szCs w:val="32"/>
        </w:rPr>
        <w:t>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t>附件1</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 商 书</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1）磋商书 (附件1) ；</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2）报价组成情况表(附件2) ；</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3）货物（服务）清单(附件3)；</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4）资格性符合性检查对照表(附件4)；</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5）技术响应、偏离情况说明表(附件5)；</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6）合同草案条款响应、偏离情况说明表（附件6）；</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7）法人（负责人）代表授权书（附件7）；</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8）法人或者其他组织的营业执照等证明文件，自然人的身份证明(附件8)；</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9）财务状况报告，依法缴纳税收和社会保障资金的相关材料(附件9)；</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10）具备履行合同所必需的设备和专业技术能力的证明材料(附件10)；</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11）参加政府采购活动前3年内在经营活动中没有重大违法记录的书面声明(附件11)；</w:t>
      </w:r>
    </w:p>
    <w:p>
      <w:pPr>
        <w:spacing w:line="360" w:lineRule="auto"/>
        <w:ind w:firstLine="480"/>
        <w:rPr>
          <w:rFonts w:ascii="Times New Roman" w:hAnsi="Times New Roman" w:eastAsia="宋体" w:cs="Times New Roman"/>
          <w:sz w:val="24"/>
          <w:szCs w:val="24"/>
        </w:rPr>
      </w:pPr>
      <w:r>
        <w:rPr>
          <w:rFonts w:hint="eastAsia"/>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auto"/>
        <w:ind w:firstLine="480"/>
        <w:rPr>
          <w:rFonts w:ascii="Times New Roman" w:hAnsi="Times New Roman" w:eastAsia="宋体" w:cs="Times New Roman"/>
          <w:sz w:val="24"/>
          <w:szCs w:val="24"/>
        </w:rPr>
      </w:pPr>
      <w:r>
        <w:rPr>
          <w:rFonts w:hint="eastAsia"/>
          <w:bCs/>
          <w:color w:val="000000" w:themeColor="text1"/>
          <w:sz w:val="24"/>
        </w:rPr>
        <w:t>13）《中小企业声明函》、《残疾人福利性单位声明函》、属于监狱企业的证明文件等（如果有的话）(附件13)。</w:t>
      </w:r>
    </w:p>
    <w:p>
      <w:pPr>
        <w:spacing w:line="360" w:lineRule="auto"/>
        <w:ind w:firstLine="480"/>
        <w:rPr>
          <w:rFonts w:ascii="Times New Roman" w:hAnsi="Times New Roman" w:eastAsia="宋体" w:cs="Times New Roman"/>
          <w:sz w:val="24"/>
          <w:szCs w:val="24"/>
        </w:rPr>
      </w:pP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ind w:left="480" w:hanging="480"/>
        <w:rPr>
          <w:rFonts w:ascii="Times New Roman" w:hAnsi="Times New Roman" w:eastAsia="宋体" w:cs="Times New Roman"/>
          <w:bCs/>
          <w:sz w:val="24"/>
          <w:szCs w:val="24"/>
        </w:rPr>
      </w:pPr>
      <w:r>
        <w:rPr>
          <w:rFonts w:ascii="Times New Roman" w:hAnsi="Times New Roman" w:cs="Times New Roman"/>
          <w:bCs/>
          <w:sz w:val="24"/>
          <w:szCs w:val="24"/>
        </w:rPr>
        <w:t>附件2</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报价组成情况表</w:t>
      </w:r>
    </w:p>
    <w:p>
      <w:pPr>
        <w:spacing w:line="360" w:lineRule="auto"/>
        <w:rPr>
          <w:rFonts w:ascii="Times New Roman" w:hAnsi="Times New Roman" w:cs="Times New Roman"/>
          <w:color w:val="000000"/>
          <w:sz w:val="24"/>
          <w:u w:val="single"/>
        </w:rPr>
      </w:pPr>
      <w:r>
        <w:rPr>
          <w:rFonts w:ascii="Times New Roman" w:hAnsi="Times New Roman" w:cs="Times New Roman"/>
          <w:color w:val="000000"/>
          <w:sz w:val="24"/>
        </w:rPr>
        <w:t>项目编号（包号）：</w:t>
      </w:r>
    </w:p>
    <w:p>
      <w:pPr>
        <w:spacing w:line="360" w:lineRule="auto"/>
        <w:rPr>
          <w:rFonts w:ascii="Times New Roman" w:hAnsi="Times New Roman" w:eastAsia="仿宋_GB2312" w:cs="Times New Roman"/>
          <w:color w:val="000000"/>
          <w:sz w:val="24"/>
          <w:u w:val="single"/>
        </w:rPr>
      </w:pPr>
      <w:r>
        <w:rPr>
          <w:rFonts w:ascii="Times New Roman" w:hAnsi="Times New Roman" w:cs="Times New Roman"/>
          <w:color w:val="000000"/>
          <w:sz w:val="24"/>
        </w:rPr>
        <w:t>项目名称：</w:t>
      </w:r>
    </w:p>
    <w:tbl>
      <w:tblPr>
        <w:tblStyle w:val="10"/>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序号</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名称（服务）</w:t>
            </w:r>
          </w:p>
        </w:tc>
        <w:tc>
          <w:tcPr>
            <w:tcW w:w="1237"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805"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c>
          <w:tcPr>
            <w:tcW w:w="1654"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913"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单价</w:t>
            </w:r>
          </w:p>
        </w:tc>
        <w:tc>
          <w:tcPr>
            <w:tcW w:w="1136"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1</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2</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3</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4</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5</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6</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其它</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7</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总计</w:t>
            </w:r>
          </w:p>
        </w:tc>
        <w:tc>
          <w:tcPr>
            <w:tcW w:w="2049" w:type="dxa"/>
            <w:gridSpan w:val="2"/>
            <w:vAlign w:val="center"/>
          </w:tcPr>
          <w:p>
            <w:pPr>
              <w:adjustRightInd w:val="0"/>
              <w:snapToGrid w:val="0"/>
              <w:spacing w:line="360" w:lineRule="auto"/>
              <w:jc w:val="center"/>
              <w:rPr>
                <w:rFonts w:ascii="Times New Roman" w:hAnsi="Times New Roman" w:cs="Times New Roman"/>
                <w:sz w:val="24"/>
              </w:rPr>
            </w:pPr>
          </w:p>
        </w:tc>
      </w:tr>
    </w:tbl>
    <w:p>
      <w:pPr>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color w:val="FF0000"/>
          <w:sz w:val="24"/>
          <w:szCs w:val="24"/>
        </w:rPr>
        <w:t>本表仅作为磋商小组了解报价组成情况，不作为最终成交价</w:t>
      </w:r>
      <w:r>
        <w:rPr>
          <w:rFonts w:ascii="Times New Roman" w:hAnsi="Times New Roman" w:cs="Times New Roman"/>
          <w:sz w:val="24"/>
          <w:szCs w:val="24"/>
        </w:rPr>
        <w:t>。</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t>附件3</w:t>
      </w:r>
    </w:p>
    <w:p>
      <w:pPr>
        <w:widowControl/>
        <w:spacing w:line="360" w:lineRule="auto"/>
        <w:jc w:val="center"/>
        <w:rPr>
          <w:rFonts w:ascii="Times New Roman" w:hAnsi="Times New Roman" w:cs="Times New Roman"/>
          <w:sz w:val="32"/>
          <w:szCs w:val="32"/>
        </w:rPr>
      </w:pPr>
      <w:r>
        <w:rPr>
          <w:rFonts w:ascii="Times New Roman" w:hAnsi="Times New Roman" w:cs="Times New Roman"/>
          <w:sz w:val="32"/>
          <w:szCs w:val="32"/>
        </w:rPr>
        <w:t>货物（服务）清单</w:t>
      </w:r>
    </w:p>
    <w:p>
      <w:pPr>
        <w:spacing w:line="360" w:lineRule="auto"/>
        <w:rPr>
          <w:rFonts w:ascii="Times New Roman" w:hAnsi="Times New Roman" w:cs="Times New Roman"/>
          <w:color w:val="000000"/>
          <w:sz w:val="24"/>
        </w:rPr>
      </w:pPr>
    </w:p>
    <w:p>
      <w:pPr>
        <w:spacing w:line="360" w:lineRule="auto"/>
        <w:rPr>
          <w:rFonts w:ascii="Times New Roman" w:hAnsi="Times New Roman" w:cs="Times New Roman"/>
          <w:color w:val="000000"/>
          <w:sz w:val="24"/>
        </w:rPr>
      </w:pPr>
      <w:r>
        <w:rPr>
          <w:rFonts w:ascii="Times New Roman" w:hAnsi="Times New Roman" w:cs="Times New Roman"/>
          <w:color w:val="000000"/>
          <w:sz w:val="24"/>
        </w:rPr>
        <w:t>项目编号（包号）：</w:t>
      </w:r>
    </w:p>
    <w:p>
      <w:pPr>
        <w:spacing w:line="360" w:lineRule="auto"/>
        <w:rPr>
          <w:rFonts w:ascii="Times New Roman" w:hAnsi="Times New Roman" w:cs="Times New Roman"/>
          <w:b/>
          <w:bCs/>
          <w:color w:val="000000"/>
          <w:sz w:val="32"/>
          <w:szCs w:val="32"/>
        </w:rPr>
      </w:pPr>
      <w:r>
        <w:rPr>
          <w:rFonts w:ascii="Times New Roman" w:hAnsi="Times New Roman" w:cs="Times New Roman"/>
          <w:color w:val="000000"/>
          <w:sz w:val="24"/>
        </w:rPr>
        <w:t>项目名称：</w:t>
      </w:r>
    </w:p>
    <w:tbl>
      <w:tblPr>
        <w:tblStyle w:val="10"/>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序号</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货物（服务）名称</w:t>
            </w: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生产地</w:t>
            </w:r>
          </w:p>
        </w:tc>
        <w:tc>
          <w:tcPr>
            <w:tcW w:w="1701"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1134"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1</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2</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3</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4</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5</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6</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7</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8</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bl>
    <w:p>
      <w:pPr>
        <w:spacing w:line="360" w:lineRule="auto"/>
        <w:ind w:firstLine="480" w:firstLineChars="200"/>
        <w:rPr>
          <w:rFonts w:ascii="Times New Roman" w:hAnsi="Times New Roman" w:cs="Times New Roman"/>
          <w:color w:val="000000"/>
        </w:rPr>
      </w:pPr>
      <w:r>
        <w:rPr>
          <w:rFonts w:ascii="Times New Roman" w:hAnsi="Times New Roman" w:cs="Times New Roman"/>
          <w:sz w:val="24"/>
        </w:rPr>
        <w:t>说明：提供详细的货物和服务范围，包括货物和服务类别及制造（开发）商、备品备件等。</w:t>
      </w:r>
    </w:p>
    <w:p>
      <w:pPr>
        <w:spacing w:line="360" w:lineRule="auto"/>
        <w:rPr>
          <w:rFonts w:ascii="Times New Roman" w:hAnsi="Times New Roman" w:eastAsia="仿宋_GB2312" w:cs="Times New Roman"/>
          <w:color w:val="000000"/>
          <w:sz w:val="24"/>
        </w:rPr>
      </w:pPr>
    </w:p>
    <w:p>
      <w:pPr>
        <w:pStyle w:val="5"/>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5"/>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pStyle w:val="5"/>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时间：</w:t>
      </w:r>
    </w:p>
    <w:p>
      <w:pPr>
        <w:widowControl/>
        <w:spacing w:line="360" w:lineRule="auto"/>
        <w:jc w:val="left"/>
        <w:rPr>
          <w:rFonts w:ascii="Times New Roman" w:hAnsi="Times New Roman" w:cs="Times New Roman"/>
          <w:sz w:val="32"/>
          <w:szCs w:val="32"/>
        </w:rPr>
      </w:pPr>
    </w:p>
    <w:p>
      <w:pPr>
        <w:widowControl/>
        <w:spacing w:line="360" w:lineRule="auto"/>
        <w:jc w:val="left"/>
        <w:rPr>
          <w:rFonts w:ascii="Times New Roman" w:hAnsi="Times New Roman" w:cs="Times New Roman"/>
          <w:sz w:val="32"/>
          <w:szCs w:val="32"/>
        </w:rPr>
      </w:pPr>
      <w:r>
        <w:rPr>
          <w:rFonts w:ascii="Times New Roman" w:hAnsi="Times New Roman" w:cs="Times New Roman"/>
          <w:sz w:val="32"/>
          <w:szCs w:val="32"/>
        </w:rPr>
        <w:br w:type="page"/>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附件4</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ind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附件5</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p>
    <w:p>
      <w:pPr>
        <w:adjustRightInd w:val="0"/>
        <w:snapToGrid w:val="0"/>
        <w:spacing w:line="360" w:lineRule="auto"/>
        <w:rPr>
          <w:rFonts w:ascii="Times New Roman" w:hAnsi="Times New Roman" w:cs="Times New Roman"/>
          <w:b/>
          <w:bCs/>
          <w:sz w:val="24"/>
          <w:szCs w:val="24"/>
        </w:rPr>
      </w:pPr>
      <w:r>
        <w:rPr>
          <w:rFonts w:ascii="Times New Roman" w:hAnsi="Times New Roman" w:cs="Times New Roman"/>
          <w:bCs/>
          <w:sz w:val="24"/>
          <w:szCs w:val="24"/>
        </w:rPr>
        <w:t>附件6</w:t>
      </w:r>
    </w:p>
    <w:p>
      <w:pPr>
        <w:spacing w:line="360" w:lineRule="auto"/>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合同草案条款响应、偏离情况说明表</w:t>
      </w:r>
    </w:p>
    <w:p>
      <w:pPr>
        <w:adjustRightInd w:val="0"/>
        <w:snapToGrid w:val="0"/>
        <w:spacing w:line="360" w:lineRule="auto"/>
        <w:jc w:val="center"/>
        <w:outlineLvl w:val="0"/>
        <w:rPr>
          <w:rFonts w:ascii="Times New Roman" w:hAnsi="Times New Roman" w:cs="Times New Roman"/>
          <w:sz w:val="32"/>
          <w:szCs w:val="32"/>
        </w:rPr>
      </w:pP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序号</w:t>
            </w:r>
          </w:p>
        </w:tc>
        <w:tc>
          <w:tcPr>
            <w:tcW w:w="2062" w:type="dxa"/>
            <w:vAlign w:val="center"/>
          </w:tcPr>
          <w:p>
            <w:pPr>
              <w:spacing w:line="360" w:lineRule="auto"/>
              <w:ind w:right="-80" w:rightChars="-38"/>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磋商文件要求部分</w:t>
            </w:r>
          </w:p>
        </w:tc>
        <w:tc>
          <w:tcPr>
            <w:tcW w:w="2270" w:type="dxa"/>
            <w:vAlign w:val="center"/>
          </w:tcPr>
          <w:p>
            <w:pPr>
              <w:spacing w:line="360" w:lineRule="auto"/>
              <w:ind w:left="28" w:leftChars="-38" w:right="-80" w:rightChars="-38" w:hanging="108" w:hangingChars="45"/>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响应文件的响应部分</w:t>
            </w:r>
          </w:p>
        </w:tc>
        <w:tc>
          <w:tcPr>
            <w:tcW w:w="1277"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偏离说明</w:t>
            </w:r>
          </w:p>
        </w:tc>
        <w:tc>
          <w:tcPr>
            <w:tcW w:w="2459"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1</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2</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3</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4</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5</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bl>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附件7</w:t>
      </w:r>
    </w:p>
    <w:p>
      <w:pPr>
        <w:adjustRightInd w:val="0"/>
        <w:snapToGrid w:val="0"/>
        <w:spacing w:line="360" w:lineRule="auto"/>
        <w:jc w:val="center"/>
        <w:outlineLvl w:val="0"/>
        <w:rPr>
          <w:rFonts w:ascii="Times New Roman" w:hAnsi="Times New Roman" w:cs="Times New Roman"/>
          <w:sz w:val="32"/>
          <w:szCs w:val="32"/>
        </w:rPr>
      </w:pPr>
      <w:r>
        <w:rPr>
          <w:rFonts w:ascii="Times New Roman" w:hAnsi="Times New Roman" w:cs="Times New Roman"/>
          <w:sz w:val="32"/>
          <w:szCs w:val="32"/>
        </w:rPr>
        <w:t>法人（负责人）代表授权书</w:t>
      </w:r>
    </w:p>
    <w:p>
      <w:pPr>
        <w:spacing w:beforeLines="5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Lines="50" w:afterLines="100" w:line="360" w:lineRule="auto"/>
        <w:rPr>
          <w:rFonts w:ascii="Times New Roman" w:hAnsi="Times New Roman" w:cs="Times New Roman"/>
          <w:bCs/>
          <w:sz w:val="24"/>
          <w:szCs w:val="24"/>
          <w:u w:val="single"/>
        </w:rPr>
      </w:pP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Lines="5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spacing w:beforeLines="5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附件8</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法人或者其他组织的营业执照等证明文件，自然人的</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身份证明等证明材料</w:t>
      </w:r>
    </w:p>
    <w:p>
      <w:pPr>
        <w:spacing w:line="360" w:lineRule="auto"/>
        <w:rPr>
          <w:rFonts w:ascii="Times New Roman" w:hAnsi="Times New Roman" w:eastAsia="仿宋_GB2312" w:cs="Times New Roman"/>
          <w:bCs/>
          <w:color w:val="000000"/>
          <w:szCs w:val="28"/>
        </w:rPr>
      </w:pP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t>（企业法人营业执照、税务登记证，供应商是自然人的身份证明材料等）</w:t>
      </w: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pPr>
        <w:spacing w:line="360" w:lineRule="auto"/>
        <w:ind w:left="360" w:hanging="360" w:hangingChars="150"/>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附件9</w:t>
      </w:r>
    </w:p>
    <w:p>
      <w:pPr>
        <w:spacing w:line="360" w:lineRule="auto"/>
        <w:ind w:left="360" w:hanging="360" w:hangingChars="150"/>
        <w:rPr>
          <w:rFonts w:ascii="Times New Roman" w:hAnsi="Times New Roman" w:cs="Times New Roman"/>
          <w:bCs/>
          <w:color w:val="000000" w:themeColor="text1"/>
          <w:sz w:val="24"/>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财务状况报告，依法缴纳税收和社会保障资金的相关材料</w:t>
      </w:r>
    </w:p>
    <w:p>
      <w:pPr>
        <w:spacing w:line="360" w:lineRule="auto"/>
        <w:rPr>
          <w:rFonts w:ascii="Times New Roman" w:hAnsi="Times New Roman" w:eastAsia="仿宋_GB2312" w:cs="Times New Roman"/>
          <w:bCs/>
          <w:color w:val="000000"/>
          <w:szCs w:val="28"/>
        </w:rPr>
      </w:pP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二、参加本采购项目前，近期的纳税证明；</w:t>
      </w:r>
    </w:p>
    <w:p>
      <w:pPr>
        <w:spacing w:line="360" w:lineRule="auto"/>
        <w:ind w:left="2" w:leftChars="1" w:firstLine="480" w:firstLineChars="200"/>
        <w:rPr>
          <w:rFonts w:ascii="Times New Roman" w:hAnsi="Times New Roman" w:cs="Times New Roman"/>
          <w:bCs/>
          <w:color w:val="000000" w:themeColor="text1"/>
          <w:sz w:val="24"/>
        </w:rPr>
      </w:pPr>
      <w:r>
        <w:rPr>
          <w:rFonts w:ascii="Times New Roman" w:hAnsi="Times New Roman" w:cs="Times New Roman"/>
          <w:bCs/>
          <w:color w:val="000000"/>
          <w:sz w:val="24"/>
        </w:rPr>
        <w:t>三、参加本采购项目前，近期缴纳社会保障资金证明等。</w:t>
      </w:r>
      <w:r>
        <w:rPr>
          <w:rFonts w:ascii="Times New Roman" w:hAnsi="Times New Roman" w:cs="Times New Roman"/>
          <w:color w:val="000000" w:themeColor="text1"/>
          <w:szCs w:val="28"/>
        </w:rPr>
        <w:br w:type="page"/>
      </w:r>
      <w:r>
        <w:rPr>
          <w:rFonts w:ascii="Times New Roman" w:hAnsi="Times New Roman" w:cs="Times New Roman"/>
          <w:bCs/>
          <w:color w:val="000000" w:themeColor="text1"/>
          <w:sz w:val="24"/>
        </w:rPr>
        <w:t>附件10</w:t>
      </w:r>
    </w:p>
    <w:p>
      <w:pPr>
        <w:widowControl/>
        <w:spacing w:line="360" w:lineRule="auto"/>
        <w:jc w:val="left"/>
        <w:rPr>
          <w:rFonts w:ascii="Times New Roman" w:hAnsi="Times New Roman" w:cs="Times New Roman"/>
          <w:bCs/>
          <w:color w:val="000000" w:themeColor="text1"/>
          <w:sz w:val="24"/>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具备履行合同所必需的设备和专业技术能力的</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证明材料</w:t>
      </w:r>
    </w:p>
    <w:p>
      <w:pPr>
        <w:spacing w:line="360" w:lineRule="auto"/>
        <w:jc w:val="center"/>
        <w:rPr>
          <w:rFonts w:ascii="Times New Roman" w:hAnsi="Times New Roman" w:cs="Times New Roman"/>
          <w:bCs/>
          <w:color w:val="000000"/>
          <w:sz w:val="32"/>
          <w:szCs w:val="32"/>
        </w:rPr>
      </w:pPr>
    </w:p>
    <w:p>
      <w:pPr>
        <w:spacing w:line="360" w:lineRule="auto"/>
        <w:jc w:val="center"/>
        <w:rPr>
          <w:rFonts w:ascii="Times New Roman" w:hAnsi="Times New Roman" w:cs="Times New Roman" w:eastAsiaTheme="majorEastAsia"/>
          <w:bCs/>
          <w:color w:val="000000" w:themeColor="text1"/>
          <w:sz w:val="24"/>
        </w:rPr>
      </w:pPr>
      <w:r>
        <w:rPr>
          <w:rFonts w:ascii="Times New Roman" w:hAnsi="Times New Roman" w:cs="Times New Roman"/>
          <w:bCs/>
          <w:color w:val="000000"/>
          <w:sz w:val="24"/>
        </w:rPr>
        <w:t>（提供履行合同所必需的设备和专业技术能力的相关文件）</w:t>
      </w:r>
    </w:p>
    <w:p>
      <w:pPr>
        <w:widowControl/>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pPr>
        <w:spacing w:beforeLines="5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附件11</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参加政府采购活动前3年内在经营活动中</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没有重大违法记录的书面声明</w:t>
      </w:r>
    </w:p>
    <w:p>
      <w:pPr>
        <w:spacing w:line="360" w:lineRule="auto"/>
        <w:jc w:val="center"/>
        <w:rPr>
          <w:rFonts w:ascii="Times New Roman" w:hAnsi="Times New Roman" w:eastAsia="仿宋_GB2312" w:cs="Times New Roman"/>
          <w:sz w:val="24"/>
        </w:rPr>
      </w:pP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sz w:val="24"/>
        </w:rPr>
        <w:t>（供应商自行编写）</w:t>
      </w:r>
    </w:p>
    <w:p>
      <w:pPr>
        <w:widowControl/>
        <w:spacing w:line="360" w:lineRule="auto"/>
        <w:jc w:val="left"/>
        <w:rPr>
          <w:rFonts w:ascii="Times New Roman" w:hAnsi="Times New Roman" w:cs="Times New Roman" w:eastAsiaTheme="majorEastAsia"/>
          <w:bCs/>
          <w:color w:val="000000" w:themeColor="text1"/>
          <w:sz w:val="32"/>
          <w:szCs w:val="32"/>
        </w:rPr>
      </w:pPr>
      <w:r>
        <w:rPr>
          <w:rFonts w:ascii="Times New Roman" w:hAnsi="Times New Roman" w:cs="Times New Roman" w:eastAsiaTheme="majorEastAsia"/>
          <w:bCs/>
          <w:color w:val="000000" w:themeColor="text1"/>
          <w:sz w:val="32"/>
          <w:szCs w:val="32"/>
        </w:rPr>
        <w:br w:type="page"/>
      </w:r>
    </w:p>
    <w:p>
      <w:pPr>
        <w:widowControl/>
        <w:spacing w:line="360" w:lineRule="auto"/>
        <w:jc w:val="left"/>
        <w:rPr>
          <w:rFonts w:ascii="Times New Roman" w:hAnsi="Times New Roman" w:cs="Times New Roman"/>
          <w:color w:val="000000" w:themeColor="text1"/>
          <w:sz w:val="32"/>
          <w:szCs w:val="32"/>
        </w:rPr>
      </w:pPr>
      <w:r>
        <w:rPr>
          <w:rFonts w:ascii="Times New Roman" w:hAnsi="Times New Roman" w:cs="Times New Roman"/>
          <w:bCs/>
          <w:color w:val="000000" w:themeColor="text1"/>
          <w:sz w:val="24"/>
        </w:rPr>
        <w:t>附件12</w:t>
      </w:r>
    </w:p>
    <w:p>
      <w:pPr>
        <w:adjustRightInd w:val="0"/>
        <w:snapToGrid w:val="0"/>
        <w:spacing w:line="360" w:lineRule="auto"/>
        <w:jc w:val="center"/>
        <w:outlineLvl w:val="0"/>
        <w:rPr>
          <w:rFonts w:ascii="Times New Roman" w:hAnsi="Times New Roman" w:cs="Times New Roman"/>
          <w:color w:val="000000" w:themeColor="text1"/>
          <w:sz w:val="32"/>
          <w:szCs w:val="32"/>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未被列入“信用中国”网站失信被执行人、重大税收违法案件当事人名单、政府采购严重违法失信行为</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记录名单的网页打印件</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pPr>
        <w:spacing w:line="360" w:lineRule="auto"/>
        <w:rPr>
          <w:rFonts w:ascii="Times New Roman" w:hAnsi="Times New Roman" w:cs="Times New Roman"/>
          <w:color w:val="000000" w:themeColor="text1"/>
        </w:rPr>
      </w:pP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pPr>
        <w:spacing w:line="360" w:lineRule="auto"/>
        <w:rPr>
          <w:rFonts w:hint="default" w:eastAsiaTheme="minorEastAsia"/>
          <w:sz w:val="24"/>
          <w:lang w:val="en-US" w:eastAsia="zh-CN"/>
        </w:rPr>
      </w:pPr>
      <w:r>
        <w:rPr>
          <w:rFonts w:hint="eastAsia"/>
          <w:sz w:val="24"/>
        </w:rPr>
        <w:t>附件13</w:t>
      </w:r>
      <w:r>
        <w:rPr>
          <w:rFonts w:hint="eastAsia"/>
          <w:sz w:val="24"/>
          <w:lang w:val="en-US" w:eastAsia="zh-CN"/>
        </w:rPr>
        <w:t>-1</w:t>
      </w:r>
    </w:p>
    <w:p>
      <w:pPr>
        <w:spacing w:line="360" w:lineRule="auto"/>
        <w:rPr>
          <w:sz w:val="24"/>
        </w:rPr>
      </w:pP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sectPr>
          <w:footerReference r:id="rId11"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10"/>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1" w:leftChars="-40" w:right="-57" w:rightChars="-27" w:hanging="165" w:hangingChars="79"/>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27" w:leftChars="-40" w:right="-57" w:rightChars="-27" w:hanging="111" w:hangingChars="53"/>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Theme="majorEastAsia" w:hAnsiTheme="majorEastAsia" w:eastAsiaTheme="majorEastAsia"/>
          <w:sz w:val="24"/>
        </w:rPr>
        <w:sectPr>
          <w:pgSz w:w="16838" w:h="11906" w:orient="landscape"/>
          <w:pgMar w:top="1797" w:right="1440" w:bottom="1797" w:left="1440" w:header="851" w:footer="992" w:gutter="0"/>
          <w:cols w:space="425" w:num="1"/>
          <w:docGrid w:linePitch="312" w:charSpace="0"/>
        </w:sectPr>
      </w:pPr>
    </w:p>
    <w:p>
      <w:pPr>
        <w:spacing w:line="360" w:lineRule="auto"/>
        <w:rPr>
          <w:sz w:val="24"/>
        </w:rPr>
      </w:pPr>
      <w:r>
        <w:rPr>
          <w:rFonts w:hint="eastAsia"/>
          <w:sz w:val="24"/>
        </w:rPr>
        <w:t>附件1</w:t>
      </w:r>
      <w:r>
        <w:rPr>
          <w:rFonts w:hint="eastAsia"/>
          <w:sz w:val="24"/>
          <w:lang w:val="en-US" w:eastAsia="zh-CN"/>
        </w:rPr>
        <w:t>3</w:t>
      </w:r>
      <w:r>
        <w:rPr>
          <w:rFonts w:hint="eastAsia"/>
          <w:sz w:val="24"/>
        </w:rPr>
        <w:t>-2</w:t>
      </w:r>
    </w:p>
    <w:p>
      <w:pPr>
        <w:spacing w:line="360" w:lineRule="auto"/>
        <w:ind w:firstLine="667"/>
        <w:jc w:val="center"/>
        <w:rPr>
          <w:rFonts w:asciiTheme="majorEastAsia" w:hAnsiTheme="majorEastAsia" w:eastAsiaTheme="majorEastAsia"/>
          <w:b/>
          <w:spacing w:val="6"/>
          <w:sz w:val="32"/>
          <w:szCs w:val="32"/>
        </w:rPr>
      </w:pPr>
      <w:bookmarkStart w:id="2" w:name="OLE_LINK13"/>
      <w:bookmarkStart w:id="3" w:name="OLE_LINK14"/>
      <w:r>
        <w:rPr>
          <w:rFonts w:asciiTheme="majorEastAsia" w:hAnsiTheme="majorEastAsia" w:eastAsiaTheme="majorEastAsia"/>
          <w:b/>
          <w:spacing w:val="6"/>
          <w:sz w:val="32"/>
          <w:szCs w:val="32"/>
        </w:rPr>
        <w:t>残疾人福利性单位声明函</w:t>
      </w:r>
    </w:p>
    <w:bookmarkEnd w:id="2"/>
    <w:bookmarkEnd w:id="3"/>
    <w:p>
      <w:pPr>
        <w:spacing w:line="360" w:lineRule="auto"/>
        <w:ind w:firstLine="626"/>
        <w:rPr>
          <w:rFonts w:eastAsia="仿宋_GB2312"/>
          <w:b/>
          <w:spacing w:val="6"/>
          <w:sz w:val="30"/>
          <w:szCs w:val="30"/>
        </w:rPr>
      </w:pPr>
    </w:p>
    <w:p>
      <w:pPr>
        <w:spacing w:line="360" w:lineRule="auto"/>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360" w:lineRule="auto"/>
        <w:ind w:firstLine="624"/>
        <w:rPr>
          <w:rFonts w:eastAsia="仿宋_GB2312"/>
          <w:spacing w:val="6"/>
          <w:sz w:val="30"/>
          <w:szCs w:val="30"/>
        </w:rPr>
      </w:pPr>
    </w:p>
    <w:p>
      <w:pPr>
        <w:spacing w:line="360" w:lineRule="auto"/>
        <w:ind w:firstLine="624"/>
        <w:rPr>
          <w:rFonts w:eastAsia="仿宋_GB2312"/>
          <w:spacing w:val="6"/>
          <w:sz w:val="30"/>
          <w:szCs w:val="30"/>
        </w:rPr>
      </w:pP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日  期：</w:t>
      </w:r>
    </w:p>
    <w:p>
      <w:pPr>
        <w:widowControl/>
        <w:spacing w:line="360" w:lineRule="auto"/>
        <w:jc w:val="left"/>
        <w:rPr>
          <w:rFonts w:ascii="宋体" w:hAnsi="宋体"/>
          <w:bCs/>
          <w:color w:val="000000"/>
          <w:sz w:val="32"/>
          <w:szCs w:val="32"/>
        </w:rPr>
      </w:pPr>
      <w:r>
        <w:rPr>
          <w:rFonts w:hint="eastAsia" w:ascii="宋体" w:hAnsi="宋体"/>
          <w:bCs/>
          <w:color w:val="000000"/>
          <w:sz w:val="32"/>
          <w:szCs w:val="32"/>
        </w:rPr>
        <w:br w:type="textWrapping"/>
      </w:r>
      <w:r>
        <w:rPr>
          <w:rFonts w:ascii="宋体" w:hAnsi="宋体"/>
          <w:bCs/>
          <w:color w:val="000000"/>
          <w:sz w:val="32"/>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spacing w:line="360" w:lineRule="auto"/>
        <w:rPr>
          <w:rFonts w:asciiTheme="majorEastAsia" w:hAnsiTheme="majorEastAsia" w:eastAsiaTheme="majorEastAsia"/>
          <w:sz w:val="24"/>
        </w:rPr>
      </w:pPr>
    </w:p>
    <w:p>
      <w:pPr>
        <w:widowControl/>
        <w:spacing w:line="360" w:lineRule="auto"/>
        <w:jc w:val="left"/>
        <w:rPr>
          <w:rFonts w:ascii="Times New Roman" w:hAnsi="Times New Roman" w:cs="Times New Roman"/>
          <w:bCs/>
          <w:color w:val="000000"/>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Tw Cen MT Condensed Extra Bold">
    <w:altName w:val="Trebuchet MS"/>
    <w:panose1 w:val="020B0803020202020204"/>
    <w:charset w:val="00"/>
    <w:family w:val="swiss"/>
    <w:pitch w:val="default"/>
    <w:sig w:usb0="00000000" w:usb1="00000000" w:usb2="00000000" w:usb3="00000000" w:csb0="00000003"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14</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7"/>
          <w:jc w:val="center"/>
        </w:pPr>
        <w:r>
          <w:fldChar w:fldCharType="begin"/>
        </w:r>
        <w:r>
          <w:instrText xml:space="preserve">PAGE   \* MERGEFORMAT</w:instrText>
        </w:r>
        <w:r>
          <w:fldChar w:fldCharType="separate"/>
        </w:r>
        <w:r>
          <w:rPr>
            <w:lang w:val="zh-CN"/>
          </w:rPr>
          <w:t>17</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C6982"/>
    <w:multiLevelType w:val="singleLevel"/>
    <w:tmpl w:val="A8CC6982"/>
    <w:lvl w:ilvl="0" w:tentative="0">
      <w:start w:val="3"/>
      <w:numFmt w:val="chineseCounting"/>
      <w:suff w:val="nothing"/>
      <w:lvlText w:val="%1、"/>
      <w:lvlJc w:val="left"/>
      <w:rPr>
        <w:rFonts w:hint="eastAsia"/>
      </w:rPr>
    </w:lvl>
  </w:abstractNum>
  <w:abstractNum w:abstractNumId="1">
    <w:nsid w:val="0E655C2E"/>
    <w:multiLevelType w:val="multilevel"/>
    <w:tmpl w:val="0E655C2E"/>
    <w:lvl w:ilvl="0" w:tentative="0">
      <w:start w:val="1"/>
      <w:numFmt w:val="chineseCountingThousand"/>
      <w:suff w:val="nothing"/>
      <w:lvlText w:val="%1、"/>
      <w:lvlJc w:val="left"/>
      <w:pPr>
        <w:ind w:left="0" w:firstLine="0"/>
      </w:pPr>
      <w:rPr>
        <w:rFonts w:hint="default" w:ascii="Times New Roman" w:hAnsi="Times New Roman" w:eastAsia="黑体"/>
        <w:b w:val="0"/>
        <w:bCs w:val="0"/>
        <w:i w:val="0"/>
        <w:iCs w:val="0"/>
        <w:caps w:val="0"/>
        <w:smallCaps w:val="0"/>
        <w:strike w:val="0"/>
        <w:dstrike w:val="0"/>
        <w:outline w:val="0"/>
        <w:shadow w:val="0"/>
        <w:emboss w:val="0"/>
        <w:imprint w:val="0"/>
        <w:vanish w:val="0"/>
        <w:spacing w:val="0"/>
        <w:position w:val="0"/>
        <w:sz w:val="32"/>
        <w:u w:val="none"/>
        <w:vertAlign w:val="baseline"/>
      </w:rPr>
    </w:lvl>
    <w:lvl w:ilvl="1" w:tentative="0">
      <w:start w:val="1"/>
      <w:numFmt w:val="decimal"/>
      <w:pStyle w:val="41"/>
      <w:suff w:val="nothing"/>
      <w:lvlText w:val="%2、"/>
      <w:lvlJc w:val="left"/>
      <w:pPr>
        <w:ind w:left="6" w:firstLine="420"/>
      </w:pPr>
      <w:rPr>
        <w:rFonts w:hint="default" w:ascii="Times New Roman" w:hAnsi="Times New Roman" w:cs="Times New Roman"/>
        <w:b/>
        <w:i w:val="0"/>
        <w:sz w:val="24"/>
      </w:rPr>
    </w:lvl>
    <w:lvl w:ilvl="2" w:tentative="0">
      <w:start w:val="1"/>
      <w:numFmt w:val="decimal"/>
      <w:suff w:val="space"/>
      <w:lvlText w:val="%2.%3"/>
      <w:lvlJc w:val="left"/>
      <w:pPr>
        <w:ind w:left="0" w:firstLine="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suff w:val="space"/>
      <w:lvlText w:val="%2.%3.%4"/>
      <w:lvlJc w:val="left"/>
      <w:pPr>
        <w:ind w:left="0" w:firstLine="522"/>
      </w:pPr>
      <w:rPr>
        <w:rFonts w:hint="eastAsia"/>
        <w:b w:val="0"/>
        <w:i w:val="0"/>
      </w:rPr>
    </w:lvl>
    <w:lvl w:ilvl="4" w:tentative="0">
      <w:start w:val="1"/>
      <w:numFmt w:val="lowerLetter"/>
      <w:lvlText w:val="%5)"/>
      <w:lvlJc w:val="left"/>
      <w:pPr>
        <w:ind w:left="0" w:firstLine="400"/>
      </w:pPr>
      <w:rPr>
        <w:rFonts w:hint="eastAsia"/>
      </w:rPr>
    </w:lvl>
    <w:lvl w:ilvl="5" w:tentative="0">
      <w:start w:val="1"/>
      <w:numFmt w:val="decimal"/>
      <w:suff w:val="space"/>
      <w:lvlText w:val="%2.%3.%4.%6"/>
      <w:lvlJc w:val="left"/>
      <w:pPr>
        <w:ind w:left="0" w:firstLine="522"/>
      </w:pPr>
      <w:rPr>
        <w:rFonts w:hint="eastAsia"/>
      </w:rPr>
    </w:lvl>
    <w:lvl w:ilvl="6" w:tentative="0">
      <w:start w:val="1"/>
      <w:numFmt w:val="decimal"/>
      <w:lvlText w:val="%7."/>
      <w:lvlJc w:val="left"/>
      <w:pPr>
        <w:ind w:left="0" w:firstLine="400"/>
      </w:pPr>
      <w:rPr>
        <w:rFonts w:hint="eastAsia"/>
      </w:rPr>
    </w:lvl>
    <w:lvl w:ilvl="7" w:tentative="0">
      <w:start w:val="1"/>
      <w:numFmt w:val="lowerLetter"/>
      <w:lvlText w:val="%8)"/>
      <w:lvlJc w:val="left"/>
      <w:pPr>
        <w:ind w:left="0" w:firstLine="400"/>
      </w:pPr>
      <w:rPr>
        <w:rFonts w:hint="eastAsia"/>
      </w:rPr>
    </w:lvl>
    <w:lvl w:ilvl="8" w:tentative="0">
      <w:start w:val="1"/>
      <w:numFmt w:val="lowerRoman"/>
      <w:lvlText w:val="%9."/>
      <w:lvlJc w:val="right"/>
      <w:pPr>
        <w:ind w:left="0" w:firstLine="400"/>
      </w:pPr>
      <w:rPr>
        <w:rFonts w:hint="eastAsia"/>
      </w:rPr>
    </w:lvl>
  </w:abstractNum>
  <w:abstractNum w:abstractNumId="2">
    <w:nsid w:val="163D690B"/>
    <w:multiLevelType w:val="multilevel"/>
    <w:tmpl w:val="163D690B"/>
    <w:lvl w:ilvl="0" w:tentative="0">
      <w:start w:val="1"/>
      <w:numFmt w:val="chineseCountingThousand"/>
      <w:pStyle w:val="36"/>
      <w:suff w:val="nothing"/>
      <w:lvlText w:val="（%1）"/>
      <w:lvlJc w:val="left"/>
      <w:pPr>
        <w:ind w:left="0" w:firstLine="210"/>
      </w:pPr>
      <w:rPr>
        <w:rFonts w:hint="default" w:ascii="宋体" w:hAnsi="宋体" w:eastAsia="宋体" w:cs="Times New Roman"/>
        <w:sz w:val="24"/>
      </w:rPr>
    </w:lvl>
    <w:lvl w:ilvl="1" w:tentative="0">
      <w:start w:val="1"/>
      <w:numFmt w:val="decimal"/>
      <w:lvlText w:val="%2."/>
      <w:lvlJc w:val="left"/>
      <w:pPr>
        <w:tabs>
          <w:tab w:val="left" w:pos="284"/>
        </w:tabs>
        <w:ind w:left="0" w:firstLine="0"/>
      </w:pPr>
      <w:rPr>
        <w:rFonts w:hint="default" w:cs="Times New Roman"/>
      </w:rPr>
    </w:lvl>
    <w:lvl w:ilvl="2" w:tentative="0">
      <w:start w:val="1"/>
      <w:numFmt w:val="decimal"/>
      <w:lvlText w:val="%1）"/>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3">
    <w:nsid w:val="209B1603"/>
    <w:multiLevelType w:val="multilevel"/>
    <w:tmpl w:val="209B1603"/>
    <w:lvl w:ilvl="0" w:tentative="0">
      <w:start w:val="1"/>
      <w:numFmt w:val="chineseCountingThousand"/>
      <w:suff w:val="space"/>
      <w:lvlText w:val="第%1章"/>
      <w:lvlJc w:val="left"/>
      <w:pPr>
        <w:ind w:left="0" w:firstLine="4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lang w:val="en-US"/>
      </w:rPr>
    </w:lvl>
    <w:lvl w:ilvl="1" w:tentative="0">
      <w:start w:val="1"/>
      <w:numFmt w:val="chineseCountingThousand"/>
      <w:pStyle w:val="34"/>
      <w:suff w:val="nothing"/>
      <w:lvlText w:val="%2、"/>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8"/>
        <w:u w:val="none"/>
        <w:vertAlign w:val="baseline"/>
        <w:lang w:val="en-US"/>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251F49FC"/>
    <w:multiLevelType w:val="multilevel"/>
    <w:tmpl w:val="251F49F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5332A70"/>
    <w:multiLevelType w:val="multilevel"/>
    <w:tmpl w:val="35332A70"/>
    <w:lvl w:ilvl="0" w:tentative="0">
      <w:start w:val="1"/>
      <w:numFmt w:val="chineseCountingThousand"/>
      <w:lvlText w:val="（%1）"/>
      <w:lvlJc w:val="left"/>
      <w:pPr>
        <w:tabs>
          <w:tab w:val="left" w:pos="360"/>
        </w:tabs>
        <w:ind w:left="0" w:firstLine="0"/>
      </w:pPr>
      <w:rPr>
        <w:rFonts w:hint="default" w:ascii="Tw Cen MT Condensed Extra Bold" w:hAnsi="Tw Cen MT Condensed Extra Bold" w:eastAsia="楷体" w:cs="Times New Roman"/>
        <w:sz w:val="24"/>
      </w:rPr>
    </w:lvl>
    <w:lvl w:ilvl="1" w:tentative="0">
      <w:start w:val="1"/>
      <w:numFmt w:val="decimal"/>
      <w:pStyle w:val="40"/>
      <w:suff w:val="space"/>
      <w:lvlText w:val="%2."/>
      <w:lvlJc w:val="left"/>
      <w:pPr>
        <w:ind w:left="0" w:firstLine="4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6">
    <w:nsid w:val="410C25ED"/>
    <w:multiLevelType w:val="multilevel"/>
    <w:tmpl w:val="410C25ED"/>
    <w:lvl w:ilvl="0" w:tentative="0">
      <w:start w:val="1"/>
      <w:numFmt w:val="decimal"/>
      <w:pStyle w:val="32"/>
      <w:suff w:val="nothing"/>
      <w:lvlText w:val="（%1）"/>
      <w:lvlJc w:val="left"/>
      <w:pPr>
        <w:ind w:left="6" w:firstLine="4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ind w:left="1140" w:hanging="567"/>
      </w:pPr>
      <w:rPr>
        <w:rFonts w:hint="eastAsia"/>
      </w:rPr>
    </w:lvl>
    <w:lvl w:ilvl="2" w:tentative="0">
      <w:start w:val="1"/>
      <w:numFmt w:val="decimal"/>
      <w:lvlText w:val="%1.%2.%3."/>
      <w:lvlJc w:val="left"/>
      <w:pPr>
        <w:ind w:left="1282" w:hanging="709"/>
      </w:pPr>
      <w:rPr>
        <w:rFonts w:hint="eastAsia"/>
      </w:rPr>
    </w:lvl>
    <w:lvl w:ilvl="3" w:tentative="0">
      <w:start w:val="1"/>
      <w:numFmt w:val="decimal"/>
      <w:lvlText w:val="%1.%2.%3.%4."/>
      <w:lvlJc w:val="left"/>
      <w:pPr>
        <w:ind w:left="1424" w:hanging="851"/>
      </w:pPr>
      <w:rPr>
        <w:rFonts w:hint="eastAsia"/>
      </w:rPr>
    </w:lvl>
    <w:lvl w:ilvl="4" w:tentative="0">
      <w:start w:val="1"/>
      <w:numFmt w:val="decimal"/>
      <w:lvlText w:val="%1.%2.%3.%4.%5."/>
      <w:lvlJc w:val="left"/>
      <w:pPr>
        <w:ind w:left="1565" w:hanging="992"/>
      </w:pPr>
      <w:rPr>
        <w:rFonts w:hint="eastAsia"/>
      </w:rPr>
    </w:lvl>
    <w:lvl w:ilvl="5" w:tentative="0">
      <w:start w:val="1"/>
      <w:numFmt w:val="decimal"/>
      <w:lvlText w:val="%1.%2.%3.%4.%5.%6."/>
      <w:lvlJc w:val="left"/>
      <w:pPr>
        <w:ind w:left="1707" w:hanging="1134"/>
      </w:pPr>
      <w:rPr>
        <w:rFonts w:hint="eastAsia"/>
      </w:rPr>
    </w:lvl>
    <w:lvl w:ilvl="6" w:tentative="0">
      <w:start w:val="1"/>
      <w:numFmt w:val="decimal"/>
      <w:lvlText w:val="%1.%2.%3.%4.%5.%6.%7."/>
      <w:lvlJc w:val="left"/>
      <w:pPr>
        <w:ind w:left="1849" w:hanging="1276"/>
      </w:pPr>
      <w:rPr>
        <w:rFonts w:hint="eastAsia"/>
      </w:rPr>
    </w:lvl>
    <w:lvl w:ilvl="7" w:tentative="0">
      <w:start w:val="1"/>
      <w:numFmt w:val="decimal"/>
      <w:lvlText w:val="%1.%2.%3.%4.%5.%6.%7.%8."/>
      <w:lvlJc w:val="left"/>
      <w:pPr>
        <w:ind w:left="1991" w:hanging="1418"/>
      </w:pPr>
      <w:rPr>
        <w:rFonts w:hint="eastAsia"/>
      </w:rPr>
    </w:lvl>
    <w:lvl w:ilvl="8" w:tentative="0">
      <w:start w:val="1"/>
      <w:numFmt w:val="decimal"/>
      <w:lvlText w:val="%1.%2.%3.%4.%5.%6.%7.%8.%9."/>
      <w:lvlJc w:val="left"/>
      <w:pPr>
        <w:ind w:left="2132" w:hanging="1559"/>
      </w:pPr>
      <w:rPr>
        <w:rFonts w:hint="eastAsia"/>
      </w:rPr>
    </w:lvl>
  </w:abstractNum>
  <w:abstractNum w:abstractNumId="7">
    <w:nsid w:val="66984148"/>
    <w:multiLevelType w:val="singleLevel"/>
    <w:tmpl w:val="66984148"/>
    <w:lvl w:ilvl="0" w:tentative="0">
      <w:start w:val="1"/>
      <w:numFmt w:val="decimal"/>
      <w:suff w:val="nothing"/>
      <w:lvlText w:val="%1、"/>
      <w:lvlJc w:val="left"/>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B6EA3"/>
    <w:rsid w:val="001C03B0"/>
    <w:rsid w:val="001C78C9"/>
    <w:rsid w:val="001D18D5"/>
    <w:rsid w:val="001D1983"/>
    <w:rsid w:val="001E1558"/>
    <w:rsid w:val="001E530C"/>
    <w:rsid w:val="001F3B6E"/>
    <w:rsid w:val="001F42EE"/>
    <w:rsid w:val="00202F63"/>
    <w:rsid w:val="0021394C"/>
    <w:rsid w:val="002228A8"/>
    <w:rsid w:val="0022499F"/>
    <w:rsid w:val="00231898"/>
    <w:rsid w:val="00247DAB"/>
    <w:rsid w:val="00254D6A"/>
    <w:rsid w:val="002563E6"/>
    <w:rsid w:val="0025720C"/>
    <w:rsid w:val="00273E5A"/>
    <w:rsid w:val="00274B51"/>
    <w:rsid w:val="00283219"/>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1ED9"/>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F14C4"/>
    <w:rsid w:val="003F1CA4"/>
    <w:rsid w:val="003F3C98"/>
    <w:rsid w:val="00407B3A"/>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043F"/>
    <w:rsid w:val="004E4AD7"/>
    <w:rsid w:val="004F3852"/>
    <w:rsid w:val="004F3DD5"/>
    <w:rsid w:val="004F7C48"/>
    <w:rsid w:val="00505134"/>
    <w:rsid w:val="00507B07"/>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634B"/>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6173"/>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627"/>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46AD"/>
    <w:rsid w:val="009D4795"/>
    <w:rsid w:val="009D49E4"/>
    <w:rsid w:val="009D78D5"/>
    <w:rsid w:val="009E099B"/>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53D0"/>
    <w:rsid w:val="00A55710"/>
    <w:rsid w:val="00A55863"/>
    <w:rsid w:val="00A579E8"/>
    <w:rsid w:val="00A708B9"/>
    <w:rsid w:val="00A802C9"/>
    <w:rsid w:val="00A81A93"/>
    <w:rsid w:val="00A87F30"/>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1794F"/>
    <w:rsid w:val="00B314B3"/>
    <w:rsid w:val="00B31C93"/>
    <w:rsid w:val="00B32063"/>
    <w:rsid w:val="00B615A0"/>
    <w:rsid w:val="00B61792"/>
    <w:rsid w:val="00B6747D"/>
    <w:rsid w:val="00B71ED9"/>
    <w:rsid w:val="00B8498C"/>
    <w:rsid w:val="00B91D14"/>
    <w:rsid w:val="00B939CB"/>
    <w:rsid w:val="00B94C24"/>
    <w:rsid w:val="00B95809"/>
    <w:rsid w:val="00B95945"/>
    <w:rsid w:val="00BA248B"/>
    <w:rsid w:val="00BA2681"/>
    <w:rsid w:val="00BA2938"/>
    <w:rsid w:val="00BB2685"/>
    <w:rsid w:val="00BB68D2"/>
    <w:rsid w:val="00BB7B05"/>
    <w:rsid w:val="00BC245F"/>
    <w:rsid w:val="00BD249D"/>
    <w:rsid w:val="00BD39D8"/>
    <w:rsid w:val="00BD6B25"/>
    <w:rsid w:val="00BD735B"/>
    <w:rsid w:val="00BE25AE"/>
    <w:rsid w:val="00C020AB"/>
    <w:rsid w:val="00C04E2F"/>
    <w:rsid w:val="00C167DC"/>
    <w:rsid w:val="00C25808"/>
    <w:rsid w:val="00C466D8"/>
    <w:rsid w:val="00C55D11"/>
    <w:rsid w:val="00C63C0B"/>
    <w:rsid w:val="00C65DE8"/>
    <w:rsid w:val="00C72223"/>
    <w:rsid w:val="00C77309"/>
    <w:rsid w:val="00C90535"/>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305A0"/>
    <w:rsid w:val="00D3118F"/>
    <w:rsid w:val="00D327D1"/>
    <w:rsid w:val="00D3490A"/>
    <w:rsid w:val="00D37928"/>
    <w:rsid w:val="00D47D7C"/>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351F"/>
    <w:rsid w:val="00E97962"/>
    <w:rsid w:val="00EA0B5A"/>
    <w:rsid w:val="00EA30DF"/>
    <w:rsid w:val="00EF5B76"/>
    <w:rsid w:val="00F07814"/>
    <w:rsid w:val="00F1043B"/>
    <w:rsid w:val="00F11F71"/>
    <w:rsid w:val="00F1495F"/>
    <w:rsid w:val="00F255ED"/>
    <w:rsid w:val="00F35284"/>
    <w:rsid w:val="00F3656A"/>
    <w:rsid w:val="00F44183"/>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2C15A0B"/>
    <w:rsid w:val="038E0B52"/>
    <w:rsid w:val="044C70BA"/>
    <w:rsid w:val="07BB51C9"/>
    <w:rsid w:val="08F65F58"/>
    <w:rsid w:val="0A21680E"/>
    <w:rsid w:val="0A8D4392"/>
    <w:rsid w:val="0E4B5FCE"/>
    <w:rsid w:val="0F102B23"/>
    <w:rsid w:val="101A23EB"/>
    <w:rsid w:val="10DD46B8"/>
    <w:rsid w:val="12596A35"/>
    <w:rsid w:val="1279795D"/>
    <w:rsid w:val="15981831"/>
    <w:rsid w:val="16C849EF"/>
    <w:rsid w:val="16D20FE6"/>
    <w:rsid w:val="177635B5"/>
    <w:rsid w:val="17AD397B"/>
    <w:rsid w:val="1FA53C11"/>
    <w:rsid w:val="223C2FDB"/>
    <w:rsid w:val="246E1DA9"/>
    <w:rsid w:val="24A43ED2"/>
    <w:rsid w:val="265F40BE"/>
    <w:rsid w:val="27467339"/>
    <w:rsid w:val="27541198"/>
    <w:rsid w:val="2B870FC9"/>
    <w:rsid w:val="2EAD0E91"/>
    <w:rsid w:val="2F1803D1"/>
    <w:rsid w:val="30F3035C"/>
    <w:rsid w:val="321561CC"/>
    <w:rsid w:val="335602C3"/>
    <w:rsid w:val="33932FCC"/>
    <w:rsid w:val="36B03D86"/>
    <w:rsid w:val="373C7A4F"/>
    <w:rsid w:val="39C8795C"/>
    <w:rsid w:val="39D109E8"/>
    <w:rsid w:val="3D046CEC"/>
    <w:rsid w:val="3D205459"/>
    <w:rsid w:val="3E0F72E7"/>
    <w:rsid w:val="405F786F"/>
    <w:rsid w:val="4062290B"/>
    <w:rsid w:val="43E10E72"/>
    <w:rsid w:val="459C34CC"/>
    <w:rsid w:val="45D0177C"/>
    <w:rsid w:val="46471F97"/>
    <w:rsid w:val="4BE2478D"/>
    <w:rsid w:val="4C0D2254"/>
    <w:rsid w:val="4C975461"/>
    <w:rsid w:val="4E286B25"/>
    <w:rsid w:val="4F2F7295"/>
    <w:rsid w:val="50105E33"/>
    <w:rsid w:val="50617644"/>
    <w:rsid w:val="50617968"/>
    <w:rsid w:val="516D3763"/>
    <w:rsid w:val="564748A2"/>
    <w:rsid w:val="5D6B3E61"/>
    <w:rsid w:val="6739223F"/>
    <w:rsid w:val="6A475748"/>
    <w:rsid w:val="6D403554"/>
    <w:rsid w:val="6E304A03"/>
    <w:rsid w:val="6F321736"/>
    <w:rsid w:val="721B6A01"/>
    <w:rsid w:val="75713860"/>
    <w:rsid w:val="768B0F99"/>
    <w:rsid w:val="79CD384C"/>
    <w:rsid w:val="7A9A64C4"/>
    <w:rsid w:val="7BEF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Plain Text"/>
    <w:basedOn w:val="1"/>
    <w:link w:val="30"/>
    <w:qFormat/>
    <w:uiPriority w:val="0"/>
    <w:rPr>
      <w:rFonts w:ascii="宋体" w:hAnsi="Courier New" w:eastAsia="宋体" w:cs="Courier New"/>
      <w:szCs w:val="21"/>
    </w:r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semiHidden/>
    <w:unhideWhenUsed/>
    <w:qFormat/>
    <w:uiPriority w:val="99"/>
    <w:rPr>
      <w:color w:val="5A5A5A"/>
      <w:u w:val="none"/>
    </w:rPr>
  </w:style>
  <w:style w:type="character" w:styleId="14">
    <w:name w:val="Emphasis"/>
    <w:basedOn w:val="12"/>
    <w:qFormat/>
    <w:uiPriority w:val="20"/>
  </w:style>
  <w:style w:type="character" w:styleId="15">
    <w:name w:val="Hyperlink"/>
    <w:basedOn w:val="12"/>
    <w:unhideWhenUsed/>
    <w:qFormat/>
    <w:uiPriority w:val="99"/>
    <w:rPr>
      <w:color w:val="0000FF" w:themeColor="hyperlink"/>
      <w:u w:val="single"/>
    </w:rPr>
  </w:style>
  <w:style w:type="character" w:customStyle="1" w:styleId="16">
    <w:name w:val="页脚 Char"/>
    <w:basedOn w:val="12"/>
    <w:link w:val="7"/>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 w:type="character" w:customStyle="1" w:styleId="19">
    <w:name w:val="页眉 Char"/>
    <w:basedOn w:val="12"/>
    <w:link w:val="8"/>
    <w:qFormat/>
    <w:uiPriority w:val="99"/>
    <w:rPr>
      <w:sz w:val="18"/>
      <w:szCs w:val="18"/>
    </w:rPr>
  </w:style>
  <w:style w:type="character" w:customStyle="1" w:styleId="20">
    <w:name w:val="font01"/>
    <w:basedOn w:val="12"/>
    <w:qFormat/>
    <w:uiPriority w:val="0"/>
    <w:rPr>
      <w:rFonts w:ascii="Helvetica" w:hAnsi="Helvetica" w:eastAsia="Helvetica" w:cs="Helvetica"/>
      <w:color w:val="000000"/>
      <w:sz w:val="16"/>
      <w:szCs w:val="16"/>
      <w:u w:val="none"/>
    </w:rPr>
  </w:style>
  <w:style w:type="character" w:customStyle="1" w:styleId="21">
    <w:name w:val="font41"/>
    <w:basedOn w:val="12"/>
    <w:qFormat/>
    <w:uiPriority w:val="0"/>
    <w:rPr>
      <w:rFonts w:hint="eastAsia" w:ascii="宋体" w:hAnsi="宋体" w:eastAsia="宋体" w:cs="宋体"/>
      <w:color w:val="000000"/>
      <w:sz w:val="16"/>
      <w:szCs w:val="16"/>
      <w:u w:val="none"/>
    </w:rPr>
  </w:style>
  <w:style w:type="character" w:customStyle="1" w:styleId="22">
    <w:name w:val="font11"/>
    <w:basedOn w:val="12"/>
    <w:qFormat/>
    <w:uiPriority w:val="0"/>
    <w:rPr>
      <w:rFonts w:hint="default" w:ascii="Times New Roman" w:hAnsi="Times New Roman" w:cs="Times New Roman"/>
      <w:color w:val="000000"/>
      <w:sz w:val="16"/>
      <w:szCs w:val="16"/>
      <w:u w:val="none"/>
    </w:rPr>
  </w:style>
  <w:style w:type="character" w:customStyle="1" w:styleId="23">
    <w:name w:val="font21"/>
    <w:basedOn w:val="12"/>
    <w:qFormat/>
    <w:uiPriority w:val="0"/>
    <w:rPr>
      <w:rFonts w:ascii="Helvetica" w:hAnsi="Helvetica" w:eastAsia="Helvetica" w:cs="Helvetica"/>
      <w:color w:val="000000"/>
      <w:sz w:val="16"/>
      <w:szCs w:val="16"/>
      <w:u w:val="none"/>
    </w:rPr>
  </w:style>
  <w:style w:type="character" w:customStyle="1" w:styleId="24">
    <w:name w:val="font51"/>
    <w:basedOn w:val="12"/>
    <w:qFormat/>
    <w:uiPriority w:val="0"/>
    <w:rPr>
      <w:rFonts w:hint="eastAsia" w:ascii="宋体" w:hAnsi="宋体" w:eastAsia="宋体" w:cs="宋体"/>
      <w:color w:val="000000"/>
      <w:sz w:val="16"/>
      <w:szCs w:val="16"/>
      <w:u w:val="none"/>
    </w:rPr>
  </w:style>
  <w:style w:type="character" w:customStyle="1" w:styleId="25">
    <w:name w:val="font31"/>
    <w:basedOn w:val="12"/>
    <w:qFormat/>
    <w:uiPriority w:val="0"/>
    <w:rPr>
      <w:rFonts w:hint="eastAsia" w:ascii="宋体" w:hAnsi="宋体" w:eastAsia="宋体" w:cs="宋体"/>
      <w:color w:val="000000"/>
      <w:sz w:val="16"/>
      <w:szCs w:val="16"/>
      <w:u w:val="none"/>
    </w:rPr>
  </w:style>
  <w:style w:type="character" w:customStyle="1" w:styleId="26">
    <w:name w:val="font61"/>
    <w:basedOn w:val="12"/>
    <w:qFormat/>
    <w:uiPriority w:val="0"/>
    <w:rPr>
      <w:rFonts w:hint="eastAsia" w:ascii="宋体" w:hAnsi="宋体" w:eastAsia="宋体" w:cs="宋体"/>
      <w:color w:val="000000"/>
      <w:sz w:val="16"/>
      <w:szCs w:val="16"/>
      <w:u w:val="none"/>
    </w:rPr>
  </w:style>
  <w:style w:type="character" w:customStyle="1" w:styleId="27">
    <w:name w:val="font71"/>
    <w:basedOn w:val="12"/>
    <w:qFormat/>
    <w:uiPriority w:val="0"/>
    <w:rPr>
      <w:rFonts w:ascii="Helvetica" w:hAnsi="Helvetica" w:eastAsia="Helvetica" w:cs="Helvetica"/>
      <w:color w:val="000000"/>
      <w:sz w:val="16"/>
      <w:szCs w:val="16"/>
      <w:u w:val="none"/>
    </w:rPr>
  </w:style>
  <w:style w:type="character" w:customStyle="1" w:styleId="28">
    <w:name w:val="font91"/>
    <w:basedOn w:val="12"/>
    <w:qFormat/>
    <w:uiPriority w:val="0"/>
    <w:rPr>
      <w:rFonts w:hint="default" w:ascii="Times New Roman" w:hAnsi="Times New Roman" w:cs="Times New Roman"/>
      <w:color w:val="000000"/>
      <w:sz w:val="16"/>
      <w:szCs w:val="16"/>
      <w:u w:val="none"/>
    </w:rPr>
  </w:style>
  <w:style w:type="character" w:customStyle="1" w:styleId="29">
    <w:name w:val="font81"/>
    <w:basedOn w:val="12"/>
    <w:qFormat/>
    <w:uiPriority w:val="0"/>
    <w:rPr>
      <w:rFonts w:hint="eastAsia" w:ascii="宋体" w:hAnsi="宋体" w:eastAsia="宋体" w:cs="宋体"/>
      <w:color w:val="000000"/>
      <w:sz w:val="16"/>
      <w:szCs w:val="16"/>
      <w:u w:val="none"/>
    </w:rPr>
  </w:style>
  <w:style w:type="character" w:customStyle="1" w:styleId="30">
    <w:name w:val="纯文本 Char"/>
    <w:basedOn w:val="12"/>
    <w:link w:val="5"/>
    <w:qFormat/>
    <w:uiPriority w:val="0"/>
    <w:rPr>
      <w:rFonts w:ascii="宋体" w:hAnsi="Courier New" w:cs="Courier New"/>
      <w:kern w:val="2"/>
      <w:sz w:val="21"/>
      <w:szCs w:val="21"/>
    </w:rPr>
  </w:style>
  <w:style w:type="paragraph" w:styleId="31">
    <w:name w:val="List Paragraph"/>
    <w:basedOn w:val="1"/>
    <w:qFormat/>
    <w:uiPriority w:val="99"/>
    <w:pPr>
      <w:ind w:firstLine="420" w:firstLineChars="200"/>
    </w:pPr>
    <w:rPr>
      <w:rFonts w:ascii="Calibri" w:hAnsi="Calibri" w:eastAsia="宋体" w:cs="Times New Roman"/>
      <w:szCs w:val="21"/>
    </w:rPr>
  </w:style>
  <w:style w:type="paragraph" w:customStyle="1" w:styleId="32">
    <w:name w:val="小标题0"/>
    <w:basedOn w:val="33"/>
    <w:qFormat/>
    <w:uiPriority w:val="0"/>
    <w:pPr>
      <w:numPr>
        <w:ilvl w:val="0"/>
        <w:numId w:val="1"/>
      </w:numPr>
      <w:ind w:firstLineChars="0"/>
    </w:pPr>
  </w:style>
  <w:style w:type="paragraph" w:customStyle="1" w:styleId="33">
    <w:name w:val="1、正文"/>
    <w:basedOn w:val="1"/>
    <w:qFormat/>
    <w:uiPriority w:val="0"/>
    <w:pPr>
      <w:spacing w:line="360" w:lineRule="auto"/>
      <w:ind w:firstLine="200" w:firstLineChars="200"/>
    </w:pPr>
    <w:rPr>
      <w:sz w:val="24"/>
      <w:szCs w:val="21"/>
    </w:rPr>
  </w:style>
  <w:style w:type="paragraph" w:customStyle="1" w:styleId="34">
    <w:name w:val="二级标题"/>
    <w:basedOn w:val="33"/>
    <w:next w:val="33"/>
    <w:qFormat/>
    <w:uiPriority w:val="0"/>
    <w:pPr>
      <w:numPr>
        <w:ilvl w:val="1"/>
        <w:numId w:val="2"/>
      </w:numPr>
      <w:spacing w:before="168" w:beforeLines="70" w:after="24" w:afterLines="10"/>
      <w:ind w:firstLineChars="0"/>
      <w:jc w:val="left"/>
      <w:outlineLvl w:val="1"/>
    </w:pPr>
    <w:rPr>
      <w:rFonts w:eastAsia="黑体"/>
      <w:sz w:val="28"/>
    </w:rPr>
  </w:style>
  <w:style w:type="paragraph" w:customStyle="1" w:styleId="35">
    <w:name w:val="_正文段落"/>
    <w:basedOn w:val="1"/>
    <w:qFormat/>
    <w:uiPriority w:val="0"/>
    <w:pPr>
      <w:spacing w:before="120" w:beforeLines="15" w:after="120" w:afterLines="15" w:line="360" w:lineRule="auto"/>
      <w:ind w:firstLine="480" w:firstLineChars="200"/>
    </w:pPr>
    <w:rPr>
      <w:rFonts w:ascii="宋体" w:hAnsi="宋体"/>
      <w:kern w:val="0"/>
      <w:sz w:val="24"/>
    </w:rPr>
  </w:style>
  <w:style w:type="paragraph" w:customStyle="1" w:styleId="36">
    <w:name w:val="辅助2"/>
    <w:basedOn w:val="33"/>
    <w:qFormat/>
    <w:uiPriority w:val="0"/>
    <w:pPr>
      <w:numPr>
        <w:ilvl w:val="0"/>
        <w:numId w:val="3"/>
      </w:numPr>
      <w:ind w:firstLine="0" w:firstLineChars="0"/>
      <w:outlineLvl w:val="2"/>
    </w:pPr>
    <w:rPr>
      <w:szCs w:val="24"/>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is_active"/>
    <w:basedOn w:val="12"/>
    <w:qFormat/>
    <w:uiPriority w:val="0"/>
    <w:rPr>
      <w:color w:val="FFFFFF"/>
      <w:shd w:val="clear" w:fill="F07C17"/>
    </w:rPr>
  </w:style>
  <w:style w:type="character" w:customStyle="1" w:styleId="39">
    <w:name w:val="last-child"/>
    <w:basedOn w:val="12"/>
    <w:qFormat/>
    <w:uiPriority w:val="0"/>
  </w:style>
  <w:style w:type="paragraph" w:customStyle="1" w:styleId="40">
    <w:name w:val="辅助1"/>
    <w:basedOn w:val="41"/>
    <w:qFormat/>
    <w:uiPriority w:val="0"/>
    <w:pPr>
      <w:numPr>
        <w:ilvl w:val="1"/>
        <w:numId w:val="4"/>
      </w:numPr>
      <w:spacing w:before="0" w:beforeLines="0"/>
      <w:jc w:val="both"/>
    </w:pPr>
    <w:rPr>
      <w:rFonts w:ascii="宋体" w:hAnsi="宋体"/>
      <w:b w:val="0"/>
      <w:szCs w:val="24"/>
    </w:rPr>
  </w:style>
  <w:style w:type="paragraph" w:customStyle="1" w:styleId="41">
    <w:name w:val="四级标题"/>
    <w:basedOn w:val="33"/>
    <w:next w:val="33"/>
    <w:qFormat/>
    <w:uiPriority w:val="0"/>
    <w:pPr>
      <w:numPr>
        <w:ilvl w:val="1"/>
        <w:numId w:val="5"/>
      </w:numPr>
      <w:spacing w:before="60" w:beforeLines="60" w:after="10" w:afterLines="10"/>
      <w:ind w:firstLineChars="0"/>
      <w:jc w:val="left"/>
      <w:outlineLvl w:val="3"/>
    </w:pPr>
    <w:rPr>
      <w:b/>
    </w:rPr>
  </w:style>
  <w:style w:type="paragraph" w:customStyle="1" w:styleId="42">
    <w:name w:val="Table Paragraph"/>
    <w:basedOn w:val="1"/>
    <w:qFormat/>
    <w:uiPriority w:val="0"/>
    <w:rPr>
      <w:rFonts w:ascii="宋体" w:hAnsi="宋体" w:cs="宋体"/>
      <w:lang w:val="zh-CN" w:bidi="zh-CN"/>
    </w:rPr>
  </w:style>
  <w:style w:type="paragraph" w:customStyle="1" w:styleId="43">
    <w:name w:val="表格文字"/>
    <w:basedOn w:val="1"/>
    <w:qFormat/>
    <w:uiPriority w:val="0"/>
    <w:pPr>
      <w:spacing w:before="25" w:after="25"/>
      <w:jc w:val="left"/>
    </w:pPr>
    <w:rPr>
      <w:bCs/>
      <w:spacing w:val="10"/>
      <w:kern w:val="0"/>
      <w:sz w:val="24"/>
    </w:rPr>
  </w:style>
  <w:style w:type="paragraph" w:customStyle="1" w:styleId="4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列出段落3"/>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F99F6-F961-49B2-A349-ABDFA68617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2310</Words>
  <Characters>13172</Characters>
  <Lines>109</Lines>
  <Paragraphs>30</Paragraphs>
  <TotalTime>4</TotalTime>
  <ScaleCrop>false</ScaleCrop>
  <LinksUpToDate>false</LinksUpToDate>
  <CharactersWithSpaces>15452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Administrator</cp:lastModifiedBy>
  <cp:lastPrinted>2020-10-27T01:01:00Z</cp:lastPrinted>
  <dcterms:modified xsi:type="dcterms:W3CDTF">2020-11-20T06:34:44Z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