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both"/>
        <w:rPr>
          <w:rFonts w:hint="eastAsia" w:ascii="Times New Roman" w:hAnsi="Times New Roman" w:cs="Times New Roman"/>
          <w:sz w:val="52"/>
          <w:szCs w:val="52"/>
        </w:rPr>
      </w:pPr>
      <w:bookmarkStart w:id="9" w:name="_GoBack"/>
      <w:bookmarkEnd w:id="9"/>
    </w:p>
    <w:p>
      <w:pPr>
        <w:spacing w:line="360" w:lineRule="auto"/>
        <w:jc w:val="center"/>
        <w:rPr>
          <w:rFonts w:hint="eastAsia" w:ascii="Times New Roman" w:hAnsi="Times New Roman" w:cs="Times New Roman"/>
          <w:sz w:val="52"/>
          <w:szCs w:val="52"/>
        </w:rPr>
      </w:pPr>
    </w:p>
    <w:p>
      <w:pPr>
        <w:spacing w:line="360" w:lineRule="auto"/>
        <w:jc w:val="center"/>
        <w:rPr>
          <w:rFonts w:hint="eastAsia" w:ascii="Times New Roman" w:hAnsi="Times New Roman" w:cs="Times New Roman"/>
          <w:sz w:val="52"/>
          <w:szCs w:val="52"/>
        </w:rPr>
      </w:pPr>
    </w:p>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jc w:val="both"/>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rPr>
          <w:rFonts w:ascii="Times New Roman" w:hAnsi="Times New Roman" w:cs="Times New Roman"/>
          <w:sz w:val="30"/>
          <w:szCs w:val="30"/>
        </w:rPr>
      </w:pPr>
      <w:r>
        <w:rPr>
          <w:rFonts w:ascii="Times New Roman" w:hAnsi="Times New Roman" w:cs="Times New Roman"/>
          <w:sz w:val="30"/>
          <w:szCs w:val="30"/>
        </w:rPr>
        <w:t>项目编号：</w:t>
      </w:r>
      <w:r>
        <w:rPr>
          <w:rFonts w:hint="eastAsia" w:ascii="Times New Roman" w:hAnsi="Times New Roman" w:cs="Times New Roman"/>
          <w:sz w:val="30"/>
          <w:szCs w:val="30"/>
          <w:u w:val="single"/>
          <w:lang w:val="en-US" w:eastAsia="zh-CN"/>
        </w:rPr>
        <w:t xml:space="preserve">131-2020CG-299     </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r>
        <w:rPr>
          <w:rFonts w:hint="eastAsia" w:ascii="Times New Roman" w:hAnsi="Times New Roman" w:cs="Times New Roman"/>
          <w:sz w:val="30"/>
          <w:szCs w:val="30"/>
        </w:rPr>
        <w:t>采</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rPr>
        <w:t>购</w:t>
      </w:r>
      <w:r>
        <w:rPr>
          <w:rFonts w:hint="eastAsia" w:ascii="Times New Roman" w:hAnsi="Times New Roman" w:cs="Times New Roman"/>
          <w:sz w:val="30"/>
          <w:szCs w:val="30"/>
          <w:lang w:val="en-US" w:eastAsia="zh-CN"/>
        </w:rPr>
        <w:t xml:space="preserve"> </w:t>
      </w:r>
      <w:r>
        <w:rPr>
          <w:rFonts w:hint="eastAsia" w:ascii="Times New Roman" w:hAnsi="Times New Roman" w:cs="Times New Roman"/>
          <w:sz w:val="30"/>
          <w:szCs w:val="30"/>
        </w:rPr>
        <w:t>人：</w:t>
      </w:r>
      <w:r>
        <w:rPr>
          <w:rFonts w:hint="eastAsia" w:ascii="Times New Roman" w:hAnsi="Times New Roman" w:cs="Times New Roman"/>
          <w:sz w:val="30"/>
          <w:szCs w:val="30"/>
          <w:u w:val="single"/>
          <w:lang w:val="en-US" w:eastAsia="zh-CN"/>
        </w:rPr>
        <w:t xml:space="preserve">阳新县住房和城乡建设局   </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r>
        <w:rPr>
          <w:rFonts w:ascii="Times New Roman" w:hAnsi="Times New Roman" w:cs="Times New Roman"/>
          <w:sz w:val="30"/>
          <w:szCs w:val="30"/>
        </w:rPr>
        <w:t>项目名称：</w:t>
      </w:r>
      <w:r>
        <w:rPr>
          <w:rFonts w:hint="eastAsia" w:ascii="Times New Roman" w:hAnsi="Times New Roman" w:cs="Times New Roman"/>
          <w:sz w:val="30"/>
          <w:szCs w:val="30"/>
          <w:u w:val="single"/>
          <w:lang w:val="en-US" w:eastAsia="zh-CN"/>
        </w:rPr>
        <w:t>阳新县2021-2025年老旧小区改造专项规划编制项目</w:t>
      </w:r>
    </w:p>
    <w:p>
      <w:pPr>
        <w:spacing w:line="360" w:lineRule="auto"/>
        <w:rPr>
          <w:rFonts w:ascii="Times New Roman" w:hAnsi="Times New Roman" w:cs="Times New Roman"/>
          <w:sz w:val="30"/>
          <w:szCs w:val="30"/>
        </w:rPr>
      </w:pPr>
      <w:r>
        <w:rPr>
          <w:rFonts w:ascii="Times New Roman" w:hAnsi="Times New Roman" w:cs="Times New Roman"/>
          <w:sz w:val="30"/>
          <w:szCs w:val="30"/>
        </w:rPr>
        <w:t>磋商内容：</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2020-2025年老旧小区改造专项规划编制</w:t>
      </w:r>
      <w:r>
        <w:rPr>
          <w:rFonts w:hint="eastAsia" w:ascii="Times New Roman" w:hAnsi="Times New Roman" w:cs="Times New Roman"/>
          <w:sz w:val="30"/>
          <w:szCs w:val="30"/>
          <w:u w:val="single"/>
        </w:rPr>
        <w:t xml:space="preserve">  </w:t>
      </w:r>
    </w:p>
    <w:p>
      <w:pPr>
        <w:spacing w:line="360" w:lineRule="auto"/>
        <w:rPr>
          <w:rFonts w:ascii="Times New Roman" w:hAnsi="Times New Roman" w:cs="Times New Roman"/>
          <w:sz w:val="30"/>
          <w:szCs w:val="30"/>
        </w:rPr>
      </w:pPr>
    </w:p>
    <w:p>
      <w:pPr>
        <w:spacing w:line="360" w:lineRule="auto"/>
        <w:jc w:val="center"/>
        <w:rPr>
          <w:rFonts w:hint="eastAsia" w:ascii="Times New Roman" w:hAnsi="Times New Roman" w:cs="Times New Roman"/>
          <w:sz w:val="32"/>
          <w:szCs w:val="32"/>
          <w:u w:val="single"/>
        </w:rPr>
      </w:pPr>
      <w:r>
        <w:rPr>
          <w:rFonts w:hint="eastAsia" w:ascii="Times New Roman" w:hAnsi="Times New Roman" w:cs="Times New Roman"/>
          <w:bCs/>
          <w:color w:val="FF0000"/>
          <w:sz w:val="44"/>
          <w:szCs w:val="44"/>
          <w:lang w:val="en-US" w:eastAsia="zh-CN"/>
        </w:rPr>
        <w:t>湖北大绪工程项目管理有限公司</w:t>
      </w:r>
    </w:p>
    <w:p>
      <w:pPr>
        <w:spacing w:line="360" w:lineRule="auto"/>
        <w:jc w:val="center"/>
        <w:rPr>
          <w:rFonts w:ascii="Times New Roman" w:hAnsi="Times New Roman"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2"/>
          <w:szCs w:val="32"/>
          <w:u w:val="single"/>
          <w:lang w:val="en-US" w:eastAsia="zh-CN"/>
        </w:rPr>
        <w:t>2020</w:t>
      </w:r>
      <w:r>
        <w:rPr>
          <w:rFonts w:hint="eastAsia" w:ascii="Times New Roman" w:hAnsi="Times New Roman" w:cs="Times New Roman"/>
          <w:sz w:val="32"/>
          <w:szCs w:val="32"/>
          <w:u w:val="single"/>
        </w:rPr>
        <w:t xml:space="preserve">  </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12</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rPr>
      </w:pP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  磋商邀请函·········································································00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第五章  合同书（格式）···································································00</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第六章  响应文件格式······································································00</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pStyle w:val="3"/>
        <w:tabs>
          <w:tab w:val="left" w:pos="0"/>
          <w:tab w:val="left" w:pos="3165"/>
          <w:tab w:val="center" w:pos="4153"/>
        </w:tabs>
        <w:autoSpaceDE w:val="0"/>
        <w:autoSpaceDN w:val="0"/>
        <w:adjustRightInd w:val="0"/>
        <w:spacing w:before="0" w:after="0" w:line="360" w:lineRule="auto"/>
        <w:jc w:val="center"/>
        <w:rPr>
          <w:rFonts w:hint="default" w:ascii="Times New Roman" w:hAnsi="Times New Roman" w:cs="Times New Roman" w:eastAsiaTheme="minorEastAsia"/>
          <w:b/>
          <w:bCs w:val="0"/>
          <w:kern w:val="2"/>
          <w:sz w:val="36"/>
          <w:szCs w:val="36"/>
          <w:lang w:val="en-US" w:eastAsia="zh-CN" w:bidi="ar-EG"/>
        </w:rPr>
      </w:pPr>
      <w:r>
        <w:rPr>
          <w:rFonts w:hint="eastAsia" w:ascii="Times New Roman" w:hAnsi="Times New Roman" w:cs="Times New Roman" w:eastAsiaTheme="minorEastAsia"/>
          <w:b/>
          <w:bCs w:val="0"/>
          <w:kern w:val="2"/>
          <w:sz w:val="36"/>
          <w:szCs w:val="36"/>
          <w:lang w:val="en-US" w:eastAsia="zh-CN" w:bidi="ar-EG"/>
        </w:rPr>
        <w:t>第一章 邀请函</w:t>
      </w:r>
    </w:p>
    <w:p/>
    <w:p>
      <w:pPr>
        <w:keepNext w:val="0"/>
        <w:keepLines w:val="0"/>
        <w:pageBreakBefore w:val="0"/>
        <w:kinsoku/>
        <w:wordWrap/>
        <w:overflowPunct/>
        <w:topLinePunct w:val="0"/>
        <w:autoSpaceDE/>
        <w:autoSpaceDN/>
        <w:bidi w:val="0"/>
        <w:adjustRightInd w:val="0"/>
        <w:snapToGrid w:val="0"/>
        <w:spacing w:line="400" w:lineRule="exact"/>
        <w:textAlignment w:val="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themeColor="text1"/>
          <w:sz w:val="24"/>
        </w:rPr>
      </w:pPr>
      <w:r>
        <w:rPr>
          <w:rFonts w:hint="eastAsia"/>
          <w:color w:val="000000" w:themeColor="text1"/>
          <w:sz w:val="24"/>
        </w:rPr>
        <w:t>磋商小组确定你公司为</w:t>
      </w:r>
      <w:r>
        <w:rPr>
          <w:rFonts w:hint="eastAsia"/>
          <w:color w:val="000000" w:themeColor="text1"/>
          <w:sz w:val="24"/>
          <w:lang w:eastAsia="zh-CN"/>
        </w:rPr>
        <w:t>阳新县2021-2025年老旧小区改造专项规划编制项目</w:t>
      </w:r>
      <w:r>
        <w:rPr>
          <w:rFonts w:hint="eastAsia"/>
          <w:color w:val="000000" w:themeColor="text1"/>
          <w:sz w:val="24"/>
        </w:rPr>
        <w:t>磋商供应商，现邀请你公司参加竞争性磋商。</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一、项目基本情况</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项目编号：131-2020CG-299 （政府采购备案号：阳财采计备[2020] A245号）</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项目名称： 阳新县2021-2025年老旧小区改造专项规划编制项目</w:t>
      </w:r>
    </w:p>
    <w:p>
      <w:pPr>
        <w:pStyle w:val="11"/>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firstLine="420"/>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采购方式：□竞争性谈判 ☑竞争性磋商 □询价</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预算金额：人民币42万元（超出采购预算金额将导致其投标无效）</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采购需求：阳新县2021-2025年老旧小区改造专项规划编制服务（详见采购需求）</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合同履行期限：合同签订后15个日历天</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本项目不接受联合体</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二、申请人的资格要求：</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sz w:val="24"/>
        </w:rPr>
      </w:pPr>
      <w:r>
        <w:rPr>
          <w:rFonts w:hint="eastAsia"/>
          <w:color w:val="000000"/>
          <w:sz w:val="24"/>
        </w:rPr>
        <w:t>（一）应具备《中华人民共和国政府采购法》第二十二条第一款之规定的基本条件；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sz w:val="24"/>
        </w:rPr>
      </w:pPr>
      <w:r>
        <w:rPr>
          <w:rFonts w:hint="eastAsia"/>
          <w:color w:val="000000"/>
          <w:sz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color w:val="000000"/>
          <w:sz w:val="24"/>
        </w:rPr>
      </w:pPr>
      <w:r>
        <w:rPr>
          <w:rFonts w:hint="eastAsia"/>
          <w:color w:val="000000"/>
          <w:sz w:val="24"/>
        </w:rPr>
        <w:t>（三）特定条件：</w:t>
      </w:r>
    </w:p>
    <w:p>
      <w:pPr>
        <w:pStyle w:val="45"/>
        <w:keepNext w:val="0"/>
        <w:keepLines w:val="0"/>
        <w:pageBreakBefore w:val="0"/>
        <w:kinsoku/>
        <w:wordWrap/>
        <w:overflowPunct/>
        <w:topLinePunct w:val="0"/>
        <w:autoSpaceDE/>
        <w:autoSpaceDN/>
        <w:bidi w:val="0"/>
        <w:spacing w:line="400" w:lineRule="exact"/>
        <w:ind w:firstLine="476" w:firstLineChars="200"/>
        <w:textAlignment w:val="auto"/>
        <w:rPr>
          <w:rFonts w:hint="eastAsia" w:ascii="宋体" w:hAnsi="宋体" w:eastAsia="宋体" w:cs="宋体"/>
          <w:bCs/>
          <w:color w:val="000000"/>
          <w:spacing w:val="10"/>
          <w:kern w:val="0"/>
          <w:sz w:val="24"/>
          <w:szCs w:val="21"/>
          <w:lang w:val="en-US" w:eastAsia="zh-CN" w:bidi="ar-SA"/>
        </w:rPr>
      </w:pPr>
      <w:r>
        <w:rPr>
          <w:rFonts w:hint="eastAsia"/>
          <w:spacing w:val="-1"/>
          <w:lang w:val="en-US" w:eastAsia="zh-CN"/>
        </w:rPr>
        <w:t>1、供应商应同时具备城乡规划编制乙级及以上资质，并在人员、设备、资金、专业技术等方面具有相应的能力；</w:t>
      </w:r>
    </w:p>
    <w:p>
      <w:pPr>
        <w:pStyle w:val="45"/>
        <w:keepNext w:val="0"/>
        <w:keepLines w:val="0"/>
        <w:pageBreakBefore w:val="0"/>
        <w:kinsoku/>
        <w:wordWrap/>
        <w:overflowPunct/>
        <w:topLinePunct w:val="0"/>
        <w:autoSpaceDE/>
        <w:autoSpaceDN/>
        <w:bidi w:val="0"/>
        <w:spacing w:line="400" w:lineRule="exact"/>
        <w:ind w:firstLine="520" w:firstLineChars="200"/>
        <w:textAlignment w:val="auto"/>
        <w:rPr>
          <w:rFonts w:hint="eastAsia" w:ascii="宋体" w:hAnsi="宋体" w:eastAsia="宋体" w:cs="宋体"/>
          <w:bCs/>
          <w:color w:val="000000"/>
          <w:spacing w:val="10"/>
          <w:kern w:val="0"/>
          <w:sz w:val="24"/>
          <w:szCs w:val="21"/>
          <w:lang w:val="en-US" w:eastAsia="zh-CN" w:bidi="ar-SA"/>
        </w:rPr>
      </w:pPr>
      <w:r>
        <w:rPr>
          <w:rFonts w:hint="eastAsia" w:ascii="宋体" w:hAnsi="宋体" w:eastAsia="宋体" w:cs="宋体"/>
          <w:bCs/>
          <w:color w:val="000000"/>
          <w:spacing w:val="10"/>
          <w:kern w:val="0"/>
          <w:sz w:val="24"/>
          <w:szCs w:val="21"/>
          <w:lang w:val="en-US" w:eastAsia="zh-CN" w:bidi="ar-SA"/>
        </w:rPr>
        <w:t>2、</w:t>
      </w:r>
      <w:r>
        <w:rPr>
          <w:spacing w:val="-1"/>
        </w:rPr>
        <w:t>供应商拟投入的项目负责人必须具备国家注册</w:t>
      </w:r>
      <w:r>
        <w:rPr>
          <w:rFonts w:hint="eastAsia"/>
          <w:spacing w:val="-1"/>
          <w:lang w:val="en-US" w:eastAsia="zh-CN"/>
        </w:rPr>
        <w:t>城乡规划</w:t>
      </w:r>
      <w:r>
        <w:rPr>
          <w:spacing w:val="-1"/>
        </w:rPr>
        <w:t>师执业资格</w:t>
      </w:r>
      <w:r>
        <w:t>，提供</w:t>
      </w:r>
      <w:r>
        <w:rPr>
          <w:rFonts w:hint="eastAsia"/>
          <w:lang w:val="en-US" w:eastAsia="zh-CN"/>
        </w:rPr>
        <w:t>公司为其缴纳的近三个月社保</w:t>
      </w:r>
      <w:r>
        <w:rPr>
          <w:rFonts w:hint="eastAsia" w:ascii="宋体" w:hAnsi="宋体" w:eastAsia="宋体" w:cs="宋体"/>
          <w:bCs/>
          <w:color w:val="000000"/>
          <w:spacing w:val="10"/>
          <w:kern w:val="0"/>
          <w:sz w:val="24"/>
          <w:szCs w:val="21"/>
          <w:lang w:val="en-US" w:eastAsia="zh-CN" w:bidi="ar-SA"/>
        </w:rPr>
        <w:t>；</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（四）本次采购不接受联合体参加，不接受备选方案,不允许转包和分包；</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三、获取采购文件</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时间：2020年</w:t>
      </w:r>
      <w:r>
        <w:rPr>
          <w:rFonts w:hint="eastAsia" w:cs="Times New Roman"/>
          <w:bCs/>
          <w:spacing w:val="-1"/>
          <w:kern w:val="0"/>
          <w:sz w:val="24"/>
          <w:szCs w:val="24"/>
          <w:lang w:val="en-US" w:eastAsia="zh-CN" w:bidi="ar-SA"/>
        </w:rPr>
        <w:t>12</w:t>
      </w:r>
      <w:r>
        <w:rPr>
          <w:rFonts w:hint="eastAsia" w:ascii="Times New Roman" w:hAnsi="Times New Roman" w:eastAsia="宋体" w:cs="Times New Roman"/>
          <w:bCs/>
          <w:spacing w:val="-1"/>
          <w:kern w:val="0"/>
          <w:sz w:val="24"/>
          <w:szCs w:val="24"/>
          <w:lang w:val="en-US" w:eastAsia="zh-CN" w:bidi="ar-SA"/>
        </w:rPr>
        <w:t>月</w:t>
      </w:r>
      <w:r>
        <w:rPr>
          <w:rFonts w:hint="eastAsia" w:cs="Times New Roman"/>
          <w:bCs/>
          <w:spacing w:val="-1"/>
          <w:kern w:val="0"/>
          <w:sz w:val="24"/>
          <w:szCs w:val="24"/>
          <w:lang w:val="en-US" w:eastAsia="zh-CN" w:bidi="ar-SA"/>
        </w:rPr>
        <w:t>30</w:t>
      </w:r>
      <w:r>
        <w:rPr>
          <w:rFonts w:hint="eastAsia" w:ascii="Times New Roman" w:hAnsi="Times New Roman" w:eastAsia="宋体" w:cs="Times New Roman"/>
          <w:bCs/>
          <w:spacing w:val="-1"/>
          <w:kern w:val="0"/>
          <w:sz w:val="24"/>
          <w:szCs w:val="24"/>
          <w:lang w:val="en-US" w:eastAsia="zh-CN" w:bidi="ar-SA"/>
        </w:rPr>
        <w:t>日至2021年</w:t>
      </w:r>
      <w:r>
        <w:rPr>
          <w:rFonts w:hint="eastAsia" w:cs="Times New Roman"/>
          <w:bCs/>
          <w:spacing w:val="-1"/>
          <w:kern w:val="0"/>
          <w:sz w:val="24"/>
          <w:szCs w:val="24"/>
          <w:lang w:val="en-US" w:eastAsia="zh-CN" w:bidi="ar-SA"/>
        </w:rPr>
        <w:t>1</w:t>
      </w:r>
      <w:r>
        <w:rPr>
          <w:rFonts w:hint="eastAsia" w:ascii="Times New Roman" w:hAnsi="Times New Roman" w:eastAsia="宋体" w:cs="Times New Roman"/>
          <w:bCs/>
          <w:spacing w:val="-1"/>
          <w:kern w:val="0"/>
          <w:sz w:val="24"/>
          <w:szCs w:val="24"/>
          <w:lang w:val="en-US" w:eastAsia="zh-CN" w:bidi="ar-SA"/>
        </w:rPr>
        <w:t>月</w:t>
      </w:r>
      <w:r>
        <w:rPr>
          <w:rFonts w:hint="eastAsia" w:cs="Times New Roman"/>
          <w:bCs/>
          <w:spacing w:val="-1"/>
          <w:kern w:val="0"/>
          <w:sz w:val="24"/>
          <w:szCs w:val="24"/>
          <w:lang w:val="en-US" w:eastAsia="zh-CN" w:bidi="ar-SA"/>
        </w:rPr>
        <w:t>6</w:t>
      </w:r>
      <w:r>
        <w:rPr>
          <w:rFonts w:hint="eastAsia" w:ascii="Times New Roman" w:hAnsi="Times New Roman" w:eastAsia="宋体" w:cs="Times New Roman"/>
          <w:bCs/>
          <w:spacing w:val="-1"/>
          <w:kern w:val="0"/>
          <w:sz w:val="24"/>
          <w:szCs w:val="24"/>
          <w:lang w:val="en-US" w:eastAsia="zh-CN" w:bidi="ar-SA"/>
        </w:rPr>
        <w:t>日，每天上午8：30至12：00，下午14：30至17：30（北京时间，法定节假日除外 ）</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1190" w:leftChars="170" w:right="0" w:hanging="833" w:hangingChars="35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地点：湖北大绪工程项目管理有限公司（阳新县</w:t>
      </w:r>
      <w:r>
        <w:rPr>
          <w:rFonts w:hint="eastAsia" w:cs="Times New Roman"/>
          <w:bCs/>
          <w:spacing w:val="-1"/>
          <w:kern w:val="0"/>
          <w:sz w:val="24"/>
          <w:szCs w:val="24"/>
          <w:lang w:val="en-US" w:eastAsia="zh-CN" w:bidi="ar-SA"/>
        </w:rPr>
        <w:t>城东新区</w:t>
      </w:r>
      <w:r>
        <w:rPr>
          <w:rFonts w:hint="eastAsia" w:ascii="Times New Roman" w:hAnsi="Times New Roman" w:eastAsia="宋体" w:cs="Times New Roman"/>
          <w:bCs/>
          <w:spacing w:val="-1"/>
          <w:kern w:val="0"/>
          <w:sz w:val="24"/>
          <w:szCs w:val="24"/>
          <w:lang w:val="en-US" w:eastAsia="zh-CN" w:bidi="ar-SA"/>
        </w:rPr>
        <w:t>王龙港小区9</w:t>
      </w:r>
      <w:r>
        <w:rPr>
          <w:rFonts w:hint="eastAsia" w:cs="Times New Roman"/>
          <w:bCs/>
          <w:spacing w:val="-1"/>
          <w:kern w:val="0"/>
          <w:sz w:val="24"/>
          <w:szCs w:val="24"/>
          <w:lang w:val="en-US" w:eastAsia="zh-CN" w:bidi="ar-SA"/>
        </w:rPr>
        <w:t>号楼1层2 号</w:t>
      </w:r>
      <w:r>
        <w:rPr>
          <w:rFonts w:hint="eastAsia" w:ascii="Times New Roman" w:hAnsi="Times New Roman" w:eastAsia="宋体" w:cs="Times New Roman"/>
          <w:bCs/>
          <w:spacing w:val="-1"/>
          <w:kern w:val="0"/>
          <w:sz w:val="24"/>
          <w:szCs w:val="24"/>
          <w:lang w:val="en-US" w:eastAsia="zh-CN" w:bidi="ar-SA"/>
        </w:rPr>
        <w:t>）</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方式：现场购买</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售价：300元/套</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四、响应文件提交</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截止时间：202</w:t>
      </w:r>
      <w:r>
        <w:rPr>
          <w:rFonts w:hint="eastAsia" w:cs="Times New Roman"/>
          <w:bCs/>
          <w:spacing w:val="-1"/>
          <w:kern w:val="0"/>
          <w:sz w:val="24"/>
          <w:szCs w:val="24"/>
          <w:lang w:val="en-US" w:eastAsia="zh-CN" w:bidi="ar-SA"/>
        </w:rPr>
        <w:t>1</w:t>
      </w:r>
      <w:r>
        <w:rPr>
          <w:rFonts w:hint="eastAsia" w:ascii="Times New Roman" w:hAnsi="Times New Roman" w:eastAsia="宋体" w:cs="Times New Roman"/>
          <w:bCs/>
          <w:spacing w:val="-1"/>
          <w:kern w:val="0"/>
          <w:sz w:val="24"/>
          <w:szCs w:val="24"/>
          <w:lang w:val="en-US" w:eastAsia="zh-CN" w:bidi="ar-SA"/>
        </w:rPr>
        <w:t>年</w:t>
      </w:r>
      <w:r>
        <w:rPr>
          <w:rFonts w:hint="eastAsia" w:cs="Times New Roman"/>
          <w:bCs/>
          <w:spacing w:val="-1"/>
          <w:kern w:val="0"/>
          <w:sz w:val="24"/>
          <w:szCs w:val="24"/>
          <w:lang w:val="en-US" w:eastAsia="zh-CN" w:bidi="ar-SA"/>
        </w:rPr>
        <w:t>1</w:t>
      </w:r>
      <w:r>
        <w:rPr>
          <w:rFonts w:hint="eastAsia" w:ascii="Times New Roman" w:hAnsi="Times New Roman" w:eastAsia="宋体" w:cs="Times New Roman"/>
          <w:bCs/>
          <w:spacing w:val="-1"/>
          <w:kern w:val="0"/>
          <w:sz w:val="24"/>
          <w:szCs w:val="24"/>
          <w:lang w:val="en-US" w:eastAsia="zh-CN" w:bidi="ar-SA"/>
        </w:rPr>
        <w:t>月</w:t>
      </w:r>
      <w:r>
        <w:rPr>
          <w:rFonts w:hint="eastAsia" w:cs="Times New Roman"/>
          <w:bCs/>
          <w:spacing w:val="-1"/>
          <w:kern w:val="0"/>
          <w:sz w:val="24"/>
          <w:szCs w:val="24"/>
          <w:lang w:val="en-US" w:eastAsia="zh-CN" w:bidi="ar-SA"/>
        </w:rPr>
        <w:t>11</w:t>
      </w:r>
      <w:r>
        <w:rPr>
          <w:rFonts w:hint="eastAsia" w:ascii="Times New Roman" w:hAnsi="Times New Roman" w:eastAsia="宋体" w:cs="Times New Roman"/>
          <w:bCs/>
          <w:spacing w:val="-1"/>
          <w:kern w:val="0"/>
          <w:sz w:val="24"/>
          <w:szCs w:val="24"/>
          <w:lang w:val="en-US" w:eastAsia="zh-CN" w:bidi="ar-SA"/>
        </w:rPr>
        <w:t>日</w:t>
      </w:r>
      <w:r>
        <w:rPr>
          <w:rFonts w:hint="eastAsia" w:cs="Times New Roman"/>
          <w:bCs/>
          <w:spacing w:val="-1"/>
          <w:kern w:val="0"/>
          <w:sz w:val="24"/>
          <w:szCs w:val="24"/>
          <w:lang w:val="en-US" w:eastAsia="zh-CN" w:bidi="ar-SA"/>
        </w:rPr>
        <w:t>15</w:t>
      </w:r>
      <w:r>
        <w:rPr>
          <w:rFonts w:hint="eastAsia" w:ascii="Times New Roman" w:hAnsi="Times New Roman" w:eastAsia="宋体" w:cs="Times New Roman"/>
          <w:bCs/>
          <w:spacing w:val="-1"/>
          <w:kern w:val="0"/>
          <w:sz w:val="24"/>
          <w:szCs w:val="24"/>
          <w:lang w:val="en-US" w:eastAsia="zh-CN" w:bidi="ar-SA"/>
        </w:rPr>
        <w:t>点00分（北京时间）</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地点：阳新县公共资源交易中心</w:t>
      </w:r>
      <w:r>
        <w:rPr>
          <w:rFonts w:hint="eastAsia" w:cs="Times New Roman"/>
          <w:bCs/>
          <w:spacing w:val="-1"/>
          <w:kern w:val="0"/>
          <w:sz w:val="24"/>
          <w:szCs w:val="24"/>
          <w:lang w:val="en-US" w:eastAsia="zh-CN" w:bidi="ar-SA"/>
        </w:rPr>
        <w:t>一</w:t>
      </w:r>
      <w:r>
        <w:rPr>
          <w:rFonts w:hint="eastAsia" w:ascii="Times New Roman" w:hAnsi="Times New Roman" w:eastAsia="宋体" w:cs="Times New Roman"/>
          <w:bCs/>
          <w:spacing w:val="-1"/>
          <w:kern w:val="0"/>
          <w:sz w:val="24"/>
          <w:szCs w:val="24"/>
          <w:lang w:val="en-US" w:eastAsia="zh-CN" w:bidi="ar-SA"/>
        </w:rPr>
        <w:t>楼开标</w:t>
      </w:r>
      <w:r>
        <w:rPr>
          <w:rFonts w:hint="eastAsia" w:cs="Times New Roman"/>
          <w:bCs/>
          <w:spacing w:val="-1"/>
          <w:kern w:val="0"/>
          <w:sz w:val="24"/>
          <w:szCs w:val="24"/>
          <w:lang w:val="en-US" w:eastAsia="zh-CN" w:bidi="ar-SA"/>
        </w:rPr>
        <w:t>一</w:t>
      </w:r>
      <w:r>
        <w:rPr>
          <w:rFonts w:hint="eastAsia" w:ascii="Times New Roman" w:hAnsi="Times New Roman" w:eastAsia="宋体" w:cs="Times New Roman"/>
          <w:bCs/>
          <w:spacing w:val="-1"/>
          <w:kern w:val="0"/>
          <w:sz w:val="24"/>
          <w:szCs w:val="24"/>
          <w:lang w:val="en-US" w:eastAsia="zh-CN" w:bidi="ar-SA"/>
        </w:rPr>
        <w:t>厅（阳新县熊家垴安置小区东侧）</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五、开启</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时间：202</w:t>
      </w:r>
      <w:r>
        <w:rPr>
          <w:rFonts w:hint="eastAsia" w:cs="Times New Roman"/>
          <w:bCs/>
          <w:spacing w:val="-1"/>
          <w:kern w:val="0"/>
          <w:sz w:val="24"/>
          <w:szCs w:val="24"/>
          <w:lang w:val="en-US" w:eastAsia="zh-CN" w:bidi="ar-SA"/>
        </w:rPr>
        <w:t>1</w:t>
      </w:r>
      <w:r>
        <w:rPr>
          <w:rFonts w:hint="eastAsia" w:ascii="Times New Roman" w:hAnsi="Times New Roman" w:eastAsia="宋体" w:cs="Times New Roman"/>
          <w:bCs/>
          <w:spacing w:val="-1"/>
          <w:kern w:val="0"/>
          <w:sz w:val="24"/>
          <w:szCs w:val="24"/>
          <w:lang w:val="en-US" w:eastAsia="zh-CN" w:bidi="ar-SA"/>
        </w:rPr>
        <w:t>年</w:t>
      </w:r>
      <w:r>
        <w:rPr>
          <w:rFonts w:hint="eastAsia" w:cs="Times New Roman"/>
          <w:bCs/>
          <w:spacing w:val="-1"/>
          <w:kern w:val="0"/>
          <w:sz w:val="24"/>
          <w:szCs w:val="24"/>
          <w:lang w:val="en-US" w:eastAsia="zh-CN" w:bidi="ar-SA"/>
        </w:rPr>
        <w:t>1</w:t>
      </w:r>
      <w:r>
        <w:rPr>
          <w:rFonts w:hint="eastAsia" w:ascii="Times New Roman" w:hAnsi="Times New Roman" w:eastAsia="宋体" w:cs="Times New Roman"/>
          <w:bCs/>
          <w:spacing w:val="-1"/>
          <w:kern w:val="0"/>
          <w:sz w:val="24"/>
          <w:szCs w:val="24"/>
          <w:lang w:val="en-US" w:eastAsia="zh-CN" w:bidi="ar-SA"/>
        </w:rPr>
        <w:t>月</w:t>
      </w:r>
      <w:r>
        <w:rPr>
          <w:rFonts w:hint="eastAsia" w:cs="Times New Roman"/>
          <w:bCs/>
          <w:spacing w:val="-1"/>
          <w:kern w:val="0"/>
          <w:sz w:val="24"/>
          <w:szCs w:val="24"/>
          <w:lang w:val="en-US" w:eastAsia="zh-CN" w:bidi="ar-SA"/>
        </w:rPr>
        <w:t>11</w:t>
      </w:r>
      <w:r>
        <w:rPr>
          <w:rFonts w:hint="eastAsia" w:ascii="Times New Roman" w:hAnsi="Times New Roman" w:eastAsia="宋体" w:cs="Times New Roman"/>
          <w:bCs/>
          <w:spacing w:val="-1"/>
          <w:kern w:val="0"/>
          <w:sz w:val="24"/>
          <w:szCs w:val="24"/>
          <w:lang w:val="en-US" w:eastAsia="zh-CN" w:bidi="ar-SA"/>
        </w:rPr>
        <w:t>日</w:t>
      </w:r>
      <w:r>
        <w:rPr>
          <w:rFonts w:hint="eastAsia" w:cs="Times New Roman"/>
          <w:bCs/>
          <w:spacing w:val="-1"/>
          <w:kern w:val="0"/>
          <w:sz w:val="24"/>
          <w:szCs w:val="24"/>
          <w:lang w:val="en-US" w:eastAsia="zh-CN" w:bidi="ar-SA"/>
        </w:rPr>
        <w:t>15</w:t>
      </w:r>
      <w:r>
        <w:rPr>
          <w:rFonts w:hint="eastAsia" w:ascii="Times New Roman" w:hAnsi="Times New Roman" w:eastAsia="宋体" w:cs="Times New Roman"/>
          <w:bCs/>
          <w:spacing w:val="-1"/>
          <w:kern w:val="0"/>
          <w:sz w:val="24"/>
          <w:szCs w:val="24"/>
          <w:lang w:val="en-US" w:eastAsia="zh-CN" w:bidi="ar-SA"/>
        </w:rPr>
        <w:t>点00分（北京时间）</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地点：阳新县公共资源交易中心</w:t>
      </w:r>
      <w:r>
        <w:rPr>
          <w:rFonts w:hint="eastAsia" w:cs="Times New Roman"/>
          <w:bCs/>
          <w:spacing w:val="-1"/>
          <w:kern w:val="0"/>
          <w:sz w:val="24"/>
          <w:szCs w:val="24"/>
          <w:lang w:val="en-US" w:eastAsia="zh-CN" w:bidi="ar-SA"/>
        </w:rPr>
        <w:t>一</w:t>
      </w:r>
      <w:r>
        <w:rPr>
          <w:rFonts w:hint="eastAsia" w:ascii="Times New Roman" w:hAnsi="Times New Roman" w:eastAsia="宋体" w:cs="Times New Roman"/>
          <w:bCs/>
          <w:spacing w:val="-1"/>
          <w:kern w:val="0"/>
          <w:sz w:val="24"/>
          <w:szCs w:val="24"/>
          <w:lang w:val="en-US" w:eastAsia="zh-CN" w:bidi="ar-SA"/>
        </w:rPr>
        <w:t>楼开标</w:t>
      </w:r>
      <w:r>
        <w:rPr>
          <w:rFonts w:hint="eastAsia" w:cs="Times New Roman"/>
          <w:bCs/>
          <w:spacing w:val="-1"/>
          <w:kern w:val="0"/>
          <w:sz w:val="24"/>
          <w:szCs w:val="24"/>
          <w:lang w:val="en-US" w:eastAsia="zh-CN" w:bidi="ar-SA"/>
        </w:rPr>
        <w:t>一</w:t>
      </w:r>
      <w:r>
        <w:rPr>
          <w:rFonts w:hint="eastAsia" w:ascii="Times New Roman" w:hAnsi="Times New Roman" w:eastAsia="宋体" w:cs="Times New Roman"/>
          <w:bCs/>
          <w:spacing w:val="-1"/>
          <w:kern w:val="0"/>
          <w:sz w:val="24"/>
          <w:szCs w:val="24"/>
          <w:lang w:val="en-US" w:eastAsia="zh-CN" w:bidi="ar-SA"/>
        </w:rPr>
        <w:t>厅</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六、公告期限</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自本公告发布之日起5个工作日。</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七、其他补充事宜</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1、政府采购相关政策执行：</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落实政府采购强制、优先采购节能产品政策；政府采购优先采购环保产品政策；政府采购促进中小企业发展（监狱企业、残疾人福利性单位视同小微企业）等政策。</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2、是否专门面向中小企业、监狱企业、残疾人福利性单位：否。</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4.本公告发布的信息媒体“湖北省政府采购网”、“黄石公共资源交易信息网”及“阳新县人民政府网”。</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八、凡对本次采购提出询问，请按以下方式联系。</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1.采购代理机构：湖北大绪工程项目管理有限公司</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联系人：姜志华       电话：18327828777</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电子邮箱：</w:t>
      </w:r>
      <w:r>
        <w:rPr>
          <w:rFonts w:hint="eastAsia" w:ascii="Times New Roman" w:hAnsi="Times New Roman" w:eastAsia="宋体" w:cs="Times New Roman"/>
          <w:bCs/>
          <w:spacing w:val="-1"/>
          <w:kern w:val="0"/>
          <w:sz w:val="24"/>
          <w:szCs w:val="24"/>
          <w:lang w:val="en-US" w:eastAsia="zh-CN" w:bidi="ar-SA"/>
        </w:rPr>
        <w:fldChar w:fldCharType="begin"/>
      </w:r>
      <w:r>
        <w:rPr>
          <w:rFonts w:hint="eastAsia" w:ascii="Times New Roman" w:hAnsi="Times New Roman" w:eastAsia="宋体" w:cs="Times New Roman"/>
          <w:bCs/>
          <w:spacing w:val="-1"/>
          <w:kern w:val="0"/>
          <w:sz w:val="24"/>
          <w:szCs w:val="24"/>
          <w:lang w:val="en-US" w:eastAsia="zh-CN" w:bidi="ar-SA"/>
        </w:rPr>
        <w:instrText xml:space="preserve"> HYPERLINK "mailto:1090150734@qq.com" </w:instrText>
      </w:r>
      <w:r>
        <w:rPr>
          <w:rFonts w:hint="eastAsia" w:ascii="Times New Roman" w:hAnsi="Times New Roman" w:eastAsia="宋体" w:cs="Times New Roman"/>
          <w:bCs/>
          <w:spacing w:val="-1"/>
          <w:kern w:val="0"/>
          <w:sz w:val="24"/>
          <w:szCs w:val="24"/>
          <w:lang w:val="en-US" w:eastAsia="zh-CN" w:bidi="ar-SA"/>
        </w:rPr>
        <w:fldChar w:fldCharType="separate"/>
      </w:r>
      <w:r>
        <w:rPr>
          <w:rFonts w:hint="eastAsia" w:ascii="Times New Roman" w:hAnsi="Times New Roman" w:eastAsia="宋体" w:cs="Times New Roman"/>
          <w:bCs/>
          <w:spacing w:val="-1"/>
          <w:kern w:val="0"/>
          <w:sz w:val="24"/>
          <w:szCs w:val="24"/>
          <w:lang w:val="en-US" w:eastAsia="zh-CN" w:bidi="ar-SA"/>
        </w:rPr>
        <w:t>1090150734@qq.com</w:t>
      </w:r>
      <w:r>
        <w:rPr>
          <w:rFonts w:hint="eastAsia" w:ascii="Times New Roman" w:hAnsi="Times New Roman" w:eastAsia="宋体" w:cs="Times New Roman"/>
          <w:bCs/>
          <w:spacing w:val="-1"/>
          <w:kern w:val="0"/>
          <w:sz w:val="24"/>
          <w:szCs w:val="24"/>
          <w:lang w:val="en-US" w:eastAsia="zh-CN" w:bidi="ar-SA"/>
        </w:rPr>
        <w:fldChar w:fldCharType="end"/>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default"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地址：阳新县城东新区王龙港小区9号楼1层2号</w:t>
      </w:r>
    </w:p>
    <w:p>
      <w:pPr>
        <w:keepNext w:val="0"/>
        <w:keepLines w:val="0"/>
        <w:pageBreakBefore w:val="0"/>
        <w:kinsoku/>
        <w:wordWrap/>
        <w:overflowPunct/>
        <w:topLinePunct w:val="0"/>
        <w:autoSpaceDE/>
        <w:autoSpaceDN/>
        <w:bidi w:val="0"/>
        <w:adjustRightInd w:val="0"/>
        <w:snapToGrid w:val="0"/>
        <w:spacing w:line="400" w:lineRule="exact"/>
        <w:ind w:firstLine="476" w:firstLineChars="200"/>
        <w:textAlignment w:val="auto"/>
        <w:rPr>
          <w:color w:val="000000"/>
          <w:sz w:val="24"/>
        </w:rPr>
      </w:pPr>
      <w:r>
        <w:rPr>
          <w:rFonts w:hint="eastAsia" w:ascii="Times New Roman" w:hAnsi="Times New Roman" w:eastAsia="宋体" w:cs="Times New Roman"/>
          <w:bCs/>
          <w:spacing w:val="-1"/>
          <w:kern w:val="0"/>
          <w:sz w:val="24"/>
          <w:szCs w:val="24"/>
          <w:lang w:val="en-US" w:eastAsia="zh-CN" w:bidi="ar-SA"/>
        </w:rPr>
        <w:t xml:space="preserve">2. </w:t>
      </w:r>
      <w:r>
        <w:rPr>
          <w:rFonts w:hint="eastAsia"/>
          <w:color w:val="000000"/>
          <w:sz w:val="24"/>
          <w:lang w:val="en-US" w:eastAsia="zh-CN"/>
        </w:rPr>
        <w:t>采购</w:t>
      </w:r>
      <w:r>
        <w:rPr>
          <w:rFonts w:hint="eastAsia"/>
          <w:color w:val="000000"/>
          <w:sz w:val="24"/>
        </w:rPr>
        <w:t xml:space="preserve"> 人：阳新县住房和城乡建设局</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eastAsia="宋体"/>
          <w:color w:val="000000"/>
          <w:sz w:val="24"/>
          <w:lang w:val="en-US" w:eastAsia="zh-CN"/>
        </w:rPr>
      </w:pPr>
      <w:r>
        <w:rPr>
          <w:rFonts w:hint="eastAsia"/>
          <w:color w:val="000000"/>
          <w:sz w:val="24"/>
        </w:rPr>
        <w:t>联系人：</w:t>
      </w:r>
      <w:r>
        <w:rPr>
          <w:rFonts w:hint="eastAsia"/>
          <w:color w:val="000000"/>
          <w:sz w:val="24"/>
          <w:lang w:val="en-US" w:eastAsia="zh-CN"/>
        </w:rPr>
        <w:t>李名义</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color w:val="000000"/>
          <w:sz w:val="24"/>
          <w:lang w:val="en-US" w:eastAsia="zh-CN"/>
        </w:rPr>
      </w:pPr>
      <w:r>
        <w:rPr>
          <w:rFonts w:hint="eastAsia"/>
          <w:color w:val="000000"/>
          <w:sz w:val="24"/>
        </w:rPr>
        <w:t>电话：</w:t>
      </w:r>
      <w:r>
        <w:rPr>
          <w:rFonts w:hint="eastAsia"/>
          <w:color w:val="000000"/>
          <w:sz w:val="24"/>
          <w:lang w:val="en-US" w:eastAsia="zh-CN"/>
        </w:rPr>
        <w:t>13597669678</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sz w:val="24"/>
          <w:lang w:val="en-US" w:eastAsia="zh-CN"/>
        </w:rPr>
      </w:pPr>
      <w:r>
        <w:rPr>
          <w:rFonts w:hint="eastAsia"/>
          <w:color w:val="000000"/>
          <w:sz w:val="24"/>
        </w:rPr>
        <w:t>地址：阳新县陵园大道13号</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3.项目联系方式</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default"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项目联系人：姜志华</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left"/>
        <w:textAlignment w:val="auto"/>
        <w:rPr>
          <w:rFonts w:hint="default"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电　　  话：</w:t>
      </w:r>
      <w:r>
        <w:rPr>
          <w:rFonts w:hint="eastAsia" w:cs="Times New Roman"/>
          <w:bCs/>
          <w:spacing w:val="-1"/>
          <w:kern w:val="0"/>
          <w:sz w:val="24"/>
          <w:szCs w:val="24"/>
          <w:lang w:val="en-US" w:eastAsia="zh-CN" w:bidi="ar-SA"/>
        </w:rPr>
        <w:t>18327828777</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400" w:lineRule="exact"/>
        <w:ind w:left="0" w:right="0" w:firstLine="420"/>
        <w:jc w:val="right"/>
        <w:textAlignment w:val="auto"/>
        <w:rPr>
          <w:rFonts w:hint="eastAsia" w:ascii="Times New Roman" w:hAnsi="Times New Roman" w:eastAsia="宋体" w:cs="Times New Roman"/>
          <w:bCs/>
          <w:spacing w:val="-1"/>
          <w:kern w:val="0"/>
          <w:sz w:val="24"/>
          <w:szCs w:val="24"/>
          <w:lang w:val="en-US" w:eastAsia="zh-CN" w:bidi="ar-SA"/>
        </w:rPr>
      </w:pPr>
      <w:r>
        <w:rPr>
          <w:rFonts w:hint="eastAsia" w:ascii="Times New Roman" w:hAnsi="Times New Roman" w:eastAsia="宋体" w:cs="Times New Roman"/>
          <w:bCs/>
          <w:spacing w:val="-1"/>
          <w:kern w:val="0"/>
          <w:sz w:val="24"/>
          <w:szCs w:val="24"/>
          <w:lang w:val="en-US" w:eastAsia="zh-CN" w:bidi="ar-SA"/>
        </w:rPr>
        <w:t>2020年</w:t>
      </w:r>
      <w:r>
        <w:rPr>
          <w:rFonts w:hint="eastAsia" w:cs="Times New Roman"/>
          <w:bCs/>
          <w:spacing w:val="-1"/>
          <w:kern w:val="0"/>
          <w:sz w:val="24"/>
          <w:szCs w:val="24"/>
          <w:lang w:val="en-US" w:eastAsia="zh-CN" w:bidi="ar-SA"/>
        </w:rPr>
        <w:t xml:space="preserve"> 12</w:t>
      </w:r>
      <w:r>
        <w:rPr>
          <w:rFonts w:hint="eastAsia" w:ascii="Times New Roman" w:hAnsi="Times New Roman" w:eastAsia="宋体" w:cs="Times New Roman"/>
          <w:bCs/>
          <w:spacing w:val="-1"/>
          <w:kern w:val="0"/>
          <w:sz w:val="24"/>
          <w:szCs w:val="24"/>
          <w:lang w:val="en-US" w:eastAsia="zh-CN" w:bidi="ar-SA"/>
        </w:rPr>
        <w:t>月</w:t>
      </w:r>
      <w:r>
        <w:rPr>
          <w:rFonts w:hint="eastAsia" w:cs="Times New Roman"/>
          <w:bCs/>
          <w:spacing w:val="-1"/>
          <w:kern w:val="0"/>
          <w:sz w:val="24"/>
          <w:szCs w:val="24"/>
          <w:lang w:val="en-US" w:eastAsia="zh-CN" w:bidi="ar-SA"/>
        </w:rPr>
        <w:t>29</w:t>
      </w:r>
      <w:r>
        <w:rPr>
          <w:rFonts w:hint="eastAsia" w:ascii="Times New Roman" w:hAnsi="Times New Roman" w:eastAsia="宋体" w:cs="Times New Roman"/>
          <w:bCs/>
          <w:spacing w:val="-1"/>
          <w:kern w:val="0"/>
          <w:sz w:val="24"/>
          <w:szCs w:val="24"/>
          <w:lang w:val="en-US" w:eastAsia="zh-CN" w:bidi="ar-SA"/>
        </w:rPr>
        <w:t>日</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369"/>
        <w:gridCol w:w="53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337"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337" w:type="dxa"/>
            <w:tcBorders>
              <w:top w:val="single" w:color="auto" w:sz="4" w:space="0"/>
              <w:left w:val="single" w:color="auto" w:sz="4" w:space="0"/>
              <w:bottom w:val="single" w:color="auto" w:sz="4" w:space="0"/>
            </w:tcBorders>
            <w:vAlign w:val="center"/>
          </w:tcPr>
          <w:p>
            <w:pPr>
              <w:jc w:val="left"/>
              <w:rPr>
                <w:rFonts w:ascii="Times New Roman" w:hAnsi="Times New Roman" w:cs="Times New Roman"/>
                <w:color w:val="FF0000"/>
                <w:sz w:val="24"/>
              </w:rPr>
            </w:pPr>
            <w:r>
              <w:rPr>
                <w:rFonts w:hint="eastAsia"/>
                <w:color w:val="000000" w:themeColor="text1"/>
                <w:sz w:val="24"/>
                <w:lang w:eastAsia="zh-CN"/>
              </w:rPr>
              <w:t>阳新县2021-2025年老旧小区改造专项规划编制项目</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337" w:type="dxa"/>
            <w:tcBorders>
              <w:top w:val="single" w:color="auto" w:sz="4" w:space="0"/>
              <w:left w:val="single" w:color="auto" w:sz="4" w:space="0"/>
              <w:bottom w:val="single" w:color="auto" w:sz="4" w:space="0"/>
            </w:tcBorders>
            <w:vAlign w:val="center"/>
          </w:tcPr>
          <w:p>
            <w:pPr>
              <w:jc w:val="left"/>
              <w:rPr>
                <w:rFonts w:ascii="Times New Roman" w:hAnsi="Times New Roman" w:cs="Times New Roman"/>
                <w:color w:val="FF0000"/>
                <w:sz w:val="24"/>
              </w:rPr>
            </w:pPr>
            <w:r>
              <w:rPr>
                <w:rFonts w:hint="eastAsia" w:ascii="Times New Roman" w:hAnsi="Times New Roman" w:cs="Times New Roman"/>
                <w:sz w:val="24"/>
              </w:rPr>
              <w:t>131-2020CG-</w:t>
            </w:r>
            <w:r>
              <w:rPr>
                <w:rFonts w:hint="eastAsia" w:ascii="Times New Roman" w:hAnsi="Times New Roman" w:cs="Times New Roman"/>
                <w:sz w:val="24"/>
                <w:lang w:val="en-US" w:eastAsia="zh-CN"/>
              </w:rPr>
              <w:t>299</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337" w:type="dxa"/>
            <w:tcBorders>
              <w:top w:val="single" w:color="auto" w:sz="4" w:space="0"/>
              <w:left w:val="single" w:color="auto" w:sz="4" w:space="0"/>
              <w:bottom w:val="single" w:color="auto" w:sz="4" w:space="0"/>
            </w:tcBorders>
            <w:vAlign w:val="center"/>
          </w:tcPr>
          <w:p>
            <w:pPr>
              <w:adjustRightInd w:val="0"/>
              <w:snapToGrid w:val="0"/>
              <w:spacing w:line="240" w:lineRule="auto"/>
              <w:rPr>
                <w:color w:val="000000" w:themeColor="text1"/>
                <w:sz w:val="24"/>
              </w:rPr>
            </w:pPr>
            <w:r>
              <w:rPr>
                <w:rFonts w:hint="eastAsia"/>
                <w:color w:val="000000" w:themeColor="text1"/>
                <w:sz w:val="24"/>
              </w:rPr>
              <w:t>招 标 人：阳新县住房和城乡建设局</w:t>
            </w:r>
          </w:p>
          <w:p>
            <w:pPr>
              <w:adjustRightInd w:val="0"/>
              <w:snapToGrid w:val="0"/>
              <w:spacing w:line="240" w:lineRule="auto"/>
              <w:rPr>
                <w:color w:val="000000" w:themeColor="text1"/>
                <w:sz w:val="24"/>
              </w:rPr>
            </w:pPr>
            <w:r>
              <w:rPr>
                <w:rFonts w:hint="eastAsia"/>
                <w:color w:val="000000" w:themeColor="text1"/>
                <w:sz w:val="24"/>
              </w:rPr>
              <w:t>地址：阳新县陵园大道13号</w:t>
            </w:r>
          </w:p>
          <w:p>
            <w:pPr>
              <w:adjustRightInd w:val="0"/>
              <w:snapToGrid w:val="0"/>
              <w:spacing w:line="240" w:lineRule="auto"/>
              <w:rPr>
                <w:rFonts w:hint="default" w:eastAsia="宋体"/>
                <w:color w:val="000000" w:themeColor="text1"/>
                <w:sz w:val="24"/>
                <w:lang w:val="en-US" w:eastAsia="zh-CN"/>
              </w:rPr>
            </w:pPr>
            <w:r>
              <w:rPr>
                <w:rFonts w:hint="eastAsia"/>
                <w:color w:val="000000" w:themeColor="text1"/>
                <w:sz w:val="24"/>
              </w:rPr>
              <w:t>联系人：</w:t>
            </w:r>
            <w:r>
              <w:rPr>
                <w:rFonts w:hint="eastAsia"/>
                <w:color w:val="000000" w:themeColor="text1"/>
                <w:sz w:val="24"/>
                <w:lang w:val="en-US" w:eastAsia="zh-CN"/>
              </w:rPr>
              <w:t>李名义</w:t>
            </w:r>
          </w:p>
          <w:p>
            <w:pPr>
              <w:adjustRightInd w:val="0"/>
              <w:snapToGrid w:val="0"/>
              <w:spacing w:line="240" w:lineRule="auto"/>
              <w:rPr>
                <w:rFonts w:hint="default" w:ascii="Times New Roman" w:hAnsi="Times New Roman" w:cs="Times New Roman" w:eastAsiaTheme="minorEastAsia"/>
                <w:lang w:val="en-US" w:eastAsia="zh-CN"/>
              </w:rPr>
            </w:pPr>
            <w:r>
              <w:rPr>
                <w:rFonts w:hint="eastAsia"/>
                <w:color w:val="000000" w:themeColor="text1"/>
                <w:sz w:val="24"/>
              </w:rPr>
              <w:t>电话：</w:t>
            </w:r>
            <w:r>
              <w:rPr>
                <w:rFonts w:hint="eastAsia"/>
                <w:color w:val="000000" w:themeColor="text1"/>
                <w:sz w:val="24"/>
                <w:lang w:val="en-US" w:eastAsia="zh-CN"/>
              </w:rPr>
              <w:t>13597669678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color w:val="FF0000"/>
                <w:sz w:val="24"/>
              </w:rPr>
              <w:t>采购</w:t>
            </w:r>
            <w:r>
              <w:rPr>
                <w:rFonts w:hint="eastAsia" w:ascii="Times New Roman" w:hAnsi="Times New Roman" w:cs="Times New Roman"/>
                <w:color w:val="FF0000"/>
                <w:sz w:val="24"/>
              </w:rPr>
              <w:t>代理机构</w:t>
            </w:r>
          </w:p>
        </w:tc>
        <w:tc>
          <w:tcPr>
            <w:tcW w:w="5337" w:type="dxa"/>
            <w:tcBorders>
              <w:top w:val="single" w:color="auto" w:sz="4" w:space="0"/>
              <w:left w:val="single" w:color="auto" w:sz="4" w:space="0"/>
              <w:bottom w:val="single" w:color="auto" w:sz="4" w:space="0"/>
            </w:tcBorders>
            <w:vAlign w:val="center"/>
          </w:tcPr>
          <w:p>
            <w:pPr>
              <w:adjustRightInd w:val="0"/>
              <w:snapToGrid w:val="0"/>
              <w:spacing w:line="240" w:lineRule="auto"/>
              <w:rPr>
                <w:color w:val="000000" w:themeColor="text1"/>
                <w:sz w:val="24"/>
              </w:rPr>
            </w:pPr>
            <w:r>
              <w:rPr>
                <w:rFonts w:hint="eastAsia"/>
                <w:color w:val="000000" w:themeColor="text1"/>
                <w:sz w:val="24"/>
              </w:rPr>
              <w:t>采购代理机构：湖北大绪工程项目管理有限公司</w:t>
            </w:r>
          </w:p>
          <w:p>
            <w:pPr>
              <w:adjustRightInd w:val="0"/>
              <w:snapToGrid w:val="0"/>
              <w:spacing w:line="240" w:lineRule="auto"/>
              <w:rPr>
                <w:color w:val="000000" w:themeColor="text1"/>
                <w:sz w:val="24"/>
              </w:rPr>
            </w:pPr>
            <w:r>
              <w:rPr>
                <w:rFonts w:hint="eastAsia"/>
                <w:color w:val="000000" w:themeColor="text1"/>
                <w:sz w:val="24"/>
              </w:rPr>
              <w:t>联系人：姜玉华</w:t>
            </w:r>
          </w:p>
          <w:p>
            <w:pPr>
              <w:adjustRightInd w:val="0"/>
              <w:snapToGrid w:val="0"/>
              <w:spacing w:line="240" w:lineRule="auto"/>
              <w:rPr>
                <w:color w:val="000000" w:themeColor="text1"/>
                <w:sz w:val="24"/>
              </w:rPr>
            </w:pPr>
            <w:r>
              <w:rPr>
                <w:rFonts w:hint="eastAsia"/>
                <w:color w:val="000000" w:themeColor="text1"/>
                <w:sz w:val="24"/>
              </w:rPr>
              <w:t>电话：15072070168</w:t>
            </w:r>
          </w:p>
          <w:p>
            <w:pPr>
              <w:adjustRightInd w:val="0"/>
              <w:snapToGrid w:val="0"/>
              <w:spacing w:line="240" w:lineRule="auto"/>
              <w:rPr>
                <w:rFonts w:ascii="Times New Roman" w:hAnsi="Times New Roman" w:cs="Times New Roman"/>
                <w:sz w:val="24"/>
              </w:rPr>
            </w:pPr>
            <w:r>
              <w:rPr>
                <w:rFonts w:hint="eastAsia"/>
                <w:color w:val="000000" w:themeColor="text1"/>
                <w:sz w:val="24"/>
              </w:rPr>
              <w:t>电子邮箱：1090150734@qq.com</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337" w:type="dxa"/>
            <w:tcBorders>
              <w:top w:val="single" w:color="auto" w:sz="4" w:space="0"/>
              <w:left w:val="single" w:color="auto" w:sz="4" w:space="0"/>
              <w:bottom w:val="single" w:color="auto" w:sz="4" w:space="0"/>
            </w:tcBorders>
            <w:vAlign w:val="center"/>
          </w:tcPr>
          <w:p>
            <w:pPr>
              <w:spacing w:line="360" w:lineRule="auto"/>
              <w:ind w:right="-105" w:rightChars="-50"/>
              <w:jc w:val="left"/>
              <w:rPr>
                <w:rFonts w:hint="eastAsia" w:ascii="Times New Roman" w:hAnsi="Times New Roman" w:cs="Times New Roman" w:eastAsiaTheme="minorEastAsia"/>
                <w:kern w:val="0"/>
                <w:sz w:val="24"/>
                <w:lang w:eastAsia="zh-CN"/>
              </w:rPr>
            </w:pPr>
            <w:r>
              <w:rPr>
                <w:rFonts w:hint="eastAsia" w:ascii="Times New Roman" w:hAnsi="Times New Roman" w:cs="Times New Roman"/>
                <w:color w:val="000000"/>
                <w:sz w:val="24"/>
                <w:lang w:eastAsia="zh-CN"/>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337"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2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369"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337"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ascii="Times New Roman" w:hAnsi="Times New Roman" w:cs="Times New Roman"/>
                <w:color w:val="000000"/>
                <w:sz w:val="24"/>
                <w:lang w:val="en-US" w:eastAsia="zh-CN"/>
              </w:rPr>
              <w:t>2</w:t>
            </w:r>
            <w:r>
              <w:rPr>
                <w:rFonts w:ascii="Times New Roman" w:hAnsi="Times New Roman" w:cs="Times New Roman"/>
                <w:color w:val="000000"/>
                <w:sz w:val="24"/>
              </w:rPr>
              <w:t>%</w:t>
            </w:r>
          </w:p>
        </w:tc>
      </w:tr>
    </w:tbl>
    <w:p>
      <w:pPr>
        <w:widowControl/>
        <w:spacing w:line="360" w:lineRule="auto"/>
        <w:jc w:val="left"/>
        <w:rPr>
          <w:rFonts w:ascii="Times New Roman" w:hAnsi="Times New Roman" w:eastAsia="仿宋_GB2312" w:cs="Times New Roman"/>
          <w:bCs/>
          <w:color w:val="000000" w:themeColor="text1"/>
          <w:sz w:val="24"/>
        </w:rPr>
      </w:pPr>
    </w:p>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textWrapping"/>
      </w:r>
    </w:p>
    <w:p>
      <w:pPr>
        <w:widowControl/>
        <w:spacing w:line="360" w:lineRule="auto"/>
        <w:jc w:val="left"/>
        <w:rPr>
          <w:rFonts w:ascii="Times New Roman" w:hAnsi="Times New Roman" w:eastAsia="黑体" w:cs="Times New Roman"/>
          <w:bCs/>
          <w:sz w:val="24"/>
          <w:szCs w:val="24"/>
        </w:rPr>
      </w:pPr>
      <w:r>
        <w:rPr>
          <w:rFonts w:ascii="Times New Roman" w:hAnsi="Times New Roman" w:eastAsia="黑体" w:cs="Times New Roman"/>
          <w:bCs/>
          <w:sz w:val="24"/>
          <w:szCs w:val="24"/>
        </w:rPr>
        <w:br w:type="page"/>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ascii="Times New Roman" w:hAnsi="Times New Roman" w:cs="Times New Roman"/>
          <w:bCs/>
          <w:sz w:val="24"/>
          <w:szCs w:val="24"/>
        </w:rPr>
        <w:t>详见《磋商须知前附表》</w:t>
      </w:r>
      <w:r>
        <w:rPr>
          <w:rFonts w:ascii="Times New Roman" w:hAnsi="Times New Roman" w:cs="Times New Roman"/>
          <w:bCs/>
          <w:sz w:val="24"/>
          <w:szCs w:val="24"/>
        </w:rPr>
        <w:t>。</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FF0000"/>
          <w:sz w:val="24"/>
          <w:szCs w:val="24"/>
        </w:rPr>
        <w:t>阳新县政府采购办公室、阳新县公共资源交易监督管理局。</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3.4本文件第一章第五条除上述以外的条款。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33"/>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25400</wp:posOffset>
                      </wp:positionV>
                      <wp:extent cx="1544320" cy="1155700"/>
                      <wp:effectExtent l="2540" t="3810" r="15240" b="21590"/>
                      <wp:wrapNone/>
                      <wp:docPr id="1" name="Line 16"/>
                      <wp:cNvGraphicFramePr/>
                      <a:graphic xmlns:a="http://schemas.openxmlformats.org/drawingml/2006/main">
                        <a:graphicData uri="http://schemas.microsoft.com/office/word/2010/wordprocessingShape">
                          <wps:wsp>
                            <wps:cNvSpPr/>
                            <wps:spPr>
                              <a:xfrm flipH="1" flipV="1">
                                <a:off x="0" y="0"/>
                                <a:ext cx="1544320" cy="1155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4.05pt;margin-top:2pt;height:91pt;width:121.6pt;z-index:251657216;mso-width-relative:page;mso-height-relative:page;" filled="f" stroked="t" coordsize="21600,21600" o:gfxdata="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szcJ&#10;0wAAAAgBAAAPAAAAAAAAAAEAIAAAACIAAABkcnMvZG93bnJldi54bWxQSwECFAAUAAAACACHTuJA&#10;5fP6LO0BAAD0AwAADgAAAAAAAAABACAAAAAiAQAAZHJzL2Uyb0RvYy54bWxQSwUGAAAAAAYABgBZ&#10;AQAAgQ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87500" cy="449580"/>
                      <wp:effectExtent l="1270" t="4445" r="11430" b="22225"/>
                      <wp:wrapNone/>
                      <wp:docPr id="2" name="Line 17"/>
                      <wp:cNvGraphicFramePr/>
                      <a:graphic xmlns:a="http://schemas.openxmlformats.org/drawingml/2006/main">
                        <a:graphicData uri="http://schemas.microsoft.com/office/word/2010/wordprocessingShape">
                          <wps:wsp>
                            <wps:cNvSpPr/>
                            <wps:spPr>
                              <a:xfrm flipH="1" flipV="1">
                                <a:off x="0" y="0"/>
                                <a:ext cx="1587500" cy="4495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5.4pt;width:125pt;z-index:251658240;mso-width-relative:page;mso-height-relative:page;" filled="f" stroked="t" coordsize="21600,21600" o:gfxdata="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Sl8&#10;99QAAAAIAQAADwAAAAAAAAABACAAAAAiAAAAZHJzL2Rvd25yZXYueG1sUEsBAhQAFAAAAAgAh07i&#10;QHRnnR/tAQAA8wMAAA4AAAAAAAAAAQAgAAAAIwEAAGRycy9lMm9Eb2MueG1sUEsFBgAAAAAGAAYA&#10;WQEAAIIFA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3" name="Line 1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5HTftUAAAAJAQAADwAAAAAAAAABACAA&#10;AAAiAAAAZHJzL2Rvd25yZXYueG1sUEsBAhQAFAAAAAgAh07iQG38nHLXAQAA1g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2）报价组成情况表(附件2)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3）货物（服务）清单(附件3)；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lang w:val="en-US" w:eastAsia="zh-CN"/>
        </w:rPr>
        <w:t>6</w:t>
      </w:r>
      <w:r>
        <w:rPr>
          <w:rFonts w:ascii="Times New Roman" w:hAnsi="Times New Roman" w:cs="Times New Roman"/>
          <w:bCs/>
          <w:sz w:val="24"/>
          <w:szCs w:val="24"/>
        </w:rPr>
        <w:t>）法人（负责人）代表授权书（附件7）；</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lang w:val="en-US" w:eastAsia="zh-CN"/>
        </w:rPr>
        <w:t>7</w:t>
      </w:r>
      <w:r>
        <w:rPr>
          <w:rFonts w:ascii="Times New Roman" w:hAnsi="Times New Roman" w:cs="Times New Roman"/>
          <w:bCs/>
          <w:sz w:val="24"/>
          <w:szCs w:val="24"/>
        </w:rPr>
        <w:t>）法人或者其他组织的营业执照等证明文件，自然人的身份证明(附件8)；</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lang w:val="en-US" w:eastAsia="zh-CN"/>
        </w:rPr>
        <w:t>8</w:t>
      </w:r>
      <w:r>
        <w:rPr>
          <w:rFonts w:ascii="Times New Roman" w:hAnsi="Times New Roman" w:cs="Times New Roman"/>
          <w:bCs/>
          <w:sz w:val="24"/>
          <w:szCs w:val="24"/>
        </w:rPr>
        <w:t>）财务状况报告，依法缴纳税收和社会保障资金的相关材料(附件9)；</w:t>
      </w:r>
    </w:p>
    <w:p>
      <w:pPr>
        <w:spacing w:line="360" w:lineRule="auto"/>
        <w:rPr>
          <w:rFonts w:ascii="Times New Roman" w:hAnsi="Times New Roman" w:cs="Times New Roman"/>
          <w:bCs/>
          <w:sz w:val="24"/>
          <w:szCs w:val="24"/>
        </w:rPr>
      </w:pPr>
      <w:r>
        <w:rPr>
          <w:rFonts w:hint="eastAsia" w:ascii="Times New Roman" w:hAnsi="Times New Roman" w:cs="Times New Roman"/>
          <w:bCs/>
          <w:sz w:val="24"/>
          <w:szCs w:val="24"/>
          <w:lang w:val="en-US" w:eastAsia="zh-CN"/>
        </w:rPr>
        <w:t>9</w:t>
      </w:r>
      <w:r>
        <w:rPr>
          <w:rFonts w:ascii="Times New Roman" w:hAnsi="Times New Roman" w:cs="Times New Roman"/>
          <w:bCs/>
          <w:sz w:val="24"/>
          <w:szCs w:val="24"/>
        </w:rPr>
        <w:t>）具备履行合同所必需的设备和专业技术能力的证明材料(附件10)；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lang w:val="en-US" w:eastAsia="zh-CN"/>
        </w:rPr>
        <w:t>10</w:t>
      </w:r>
      <w:r>
        <w:rPr>
          <w:rFonts w:ascii="Times New Roman" w:hAnsi="Times New Roman" w:cs="Times New Roman"/>
          <w:bCs/>
          <w:sz w:val="24"/>
          <w:szCs w:val="24"/>
        </w:rPr>
        <w:t>）参加政府采购活动前3年内在经营活动中没有重大违法记录的书面声明(附件11)；</w:t>
      </w:r>
    </w:p>
    <w:p>
      <w:pPr>
        <w:spacing w:line="360" w:lineRule="auto"/>
        <w:ind w:left="362" w:leftChars="1" w:hanging="360" w:hangingChars="150"/>
        <w:rPr>
          <w:bCs/>
          <w:color w:val="000000" w:themeColor="text1"/>
          <w:sz w:val="24"/>
        </w:rPr>
      </w:pPr>
      <w:r>
        <w:rPr>
          <w:rFonts w:hint="eastAsia"/>
          <w:bCs/>
          <w:color w:val="000000" w:themeColor="text1"/>
          <w:sz w:val="24"/>
          <w:lang w:val="en-US" w:eastAsia="zh-CN"/>
        </w:rPr>
        <w:t>11</w:t>
      </w:r>
      <w:r>
        <w:rPr>
          <w:rFonts w:hint="eastAsia"/>
          <w:bCs/>
          <w:color w:val="000000" w:themeColor="text1"/>
          <w:sz w:val="24"/>
        </w:rPr>
        <w:t>）未被列入“信用中国”网站(www.creditchina. gov.cn)失信被执行人、重大税收违法案件当事人名单、政府采购严重违法失信行为记录名单的网页打印件(附件12)。</w:t>
      </w:r>
    </w:p>
    <w:p>
      <w:pPr>
        <w:spacing w:line="360" w:lineRule="auto"/>
        <w:ind w:left="362" w:leftChars="1" w:hanging="360" w:hangingChars="150"/>
        <w:rPr>
          <w:bCs/>
          <w:color w:val="000000" w:themeColor="text1"/>
          <w:sz w:val="24"/>
        </w:rPr>
      </w:pPr>
      <w:r>
        <w:rPr>
          <w:rFonts w:hint="eastAsia"/>
          <w:bCs/>
          <w:color w:val="000000" w:themeColor="text1"/>
          <w:sz w:val="24"/>
          <w:lang w:val="en-US" w:eastAsia="zh-CN"/>
        </w:rPr>
        <w:t>12</w:t>
      </w:r>
      <w:r>
        <w:rPr>
          <w:rFonts w:hint="eastAsia"/>
          <w:bCs/>
          <w:color w:val="000000" w:themeColor="text1"/>
          <w:sz w:val="24"/>
        </w:rPr>
        <w:t>）《中小企业声明函》、《残疾人福利性单位声明函》(附件13)。</w:t>
      </w:r>
    </w:p>
    <w:p>
      <w:pPr>
        <w:spacing w:line="360" w:lineRule="auto"/>
        <w:ind w:left="273" w:leftChars="130"/>
        <w:rPr>
          <w:b/>
          <w:bCs/>
          <w:color w:val="000000" w:themeColor="text1"/>
          <w:sz w:val="24"/>
        </w:rPr>
      </w:pPr>
      <w:r>
        <w:rPr>
          <w:rFonts w:hint="eastAsia"/>
          <w:b/>
          <w:bCs/>
          <w:color w:val="000000" w:themeColor="text1"/>
          <w:sz w:val="24"/>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bCs/>
          <w:color w:val="FF0000"/>
          <w:sz w:val="24"/>
        </w:rPr>
        <w:t>（</w:t>
      </w:r>
      <w:r>
        <w:rPr>
          <w:rFonts w:hint="eastAsia"/>
          <w:bCs/>
          <w:color w:val="FF0000"/>
          <w:sz w:val="24"/>
          <w:u w:val="single"/>
        </w:rPr>
        <w:t>60或90</w:t>
      </w:r>
      <w:r>
        <w:rPr>
          <w:rFonts w:hint="eastAsia"/>
          <w:bCs/>
          <w:color w:val="FF0000"/>
          <w:sz w:val="24"/>
        </w:rPr>
        <w:t>）</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lang w:eastAsia="zh-CN"/>
        </w:rPr>
        <w:t>三</w:t>
      </w:r>
      <w:r>
        <w:rPr>
          <w:rFonts w:ascii="Times New Roman" w:hAnsi="Times New Roman" w:cs="Times New Roman"/>
          <w:b/>
          <w:sz w:val="24"/>
          <w:szCs w:val="24"/>
        </w:rPr>
        <w:t>份，其中正本一份，副本</w:t>
      </w:r>
      <w:r>
        <w:rPr>
          <w:rFonts w:hint="eastAsia" w:ascii="Times New Roman" w:hAnsi="Times New Roman" w:cs="Times New Roman"/>
          <w:b/>
          <w:bCs/>
          <w:sz w:val="24"/>
          <w:szCs w:val="24"/>
          <w:lang w:eastAsia="zh-CN"/>
        </w:rPr>
        <w:t>二</w:t>
      </w:r>
      <w:r>
        <w:rPr>
          <w:rFonts w:ascii="Times New Roman" w:hAnsi="Times New Roman" w:cs="Times New Roman"/>
          <w:b/>
          <w:bCs/>
          <w:sz w:val="24"/>
          <w:szCs w:val="24"/>
        </w:rPr>
        <w:t>份。</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15.磋商小组成员由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 xml:space="preserve">16.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 第一轮磋商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18.1磋商小组将按</w:t>
      </w:r>
      <w:r>
        <w:rPr>
          <w:rFonts w:ascii="Times New Roman" w:hAnsi="Times New Roman" w:cs="Times New Roman"/>
          <w:bCs/>
          <w:color w:val="FF0000"/>
          <w:sz w:val="24"/>
          <w:szCs w:val="24"/>
        </w:rPr>
        <w:t>照随机抽签的顺序</w:t>
      </w:r>
      <w:r>
        <w:rPr>
          <w:rFonts w:hint="eastAsia" w:ascii="Times New Roman" w:hAnsi="Times New Roman" w:cs="Times New Roman"/>
          <w:bCs/>
          <w:color w:val="FF0000"/>
          <w:sz w:val="24"/>
          <w:szCs w:val="24"/>
        </w:rPr>
        <w:t>或按照签到的顺序</w:t>
      </w:r>
      <w:r>
        <w:rPr>
          <w:rFonts w:ascii="Times New Roman" w:hAnsi="Times New Roman" w:cs="Times New Roman"/>
          <w:bCs/>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w:t>
      </w:r>
      <w:r>
        <w:rPr>
          <w:rFonts w:hint="eastAsia" w:ascii="Times New Roman" w:hAnsi="Times New Roman" w:cs="Times New Roman"/>
          <w:bCs/>
          <w:sz w:val="24"/>
          <w:szCs w:val="24"/>
          <w:lang w:eastAsia="zh-CN"/>
        </w:rPr>
        <w:t>双方协商</w:t>
      </w:r>
      <w:r>
        <w:rPr>
          <w:rFonts w:ascii="Times New Roman" w:hAnsi="Times New Roman" w:cs="Times New Roman"/>
          <w:bCs/>
          <w:sz w:val="24"/>
          <w:szCs w:val="24"/>
        </w:rPr>
        <w:t>。</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第三章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adjustRightInd w:val="0"/>
        <w:snapToGrid w:val="0"/>
        <w:spacing w:line="360" w:lineRule="auto"/>
        <w:outlineLvl w:val="0"/>
        <w:rPr>
          <w:rFonts w:hint="eastAsia" w:ascii="Times New Roman" w:hAnsi="Times New Roman" w:cs="Times New Roman"/>
          <w:b/>
          <w:sz w:val="24"/>
          <w:szCs w:val="24"/>
        </w:rPr>
      </w:pPr>
    </w:p>
    <w:p>
      <w:pPr>
        <w:pStyle w:val="45"/>
        <w:spacing w:line="360" w:lineRule="auto"/>
        <w:rPr>
          <w:rFonts w:ascii="宋体" w:hAnsi="宋体" w:eastAsia="宋体" w:cs="宋体"/>
          <w:b/>
          <w:bCs w:val="0"/>
          <w:sz w:val="24"/>
          <w:szCs w:val="24"/>
          <w:lang w:val="zh-CN" w:eastAsia="zh-CN"/>
        </w:rPr>
      </w:pPr>
      <w:r>
        <w:rPr>
          <w:rFonts w:hint="eastAsia" w:ascii="宋体" w:hAnsi="宋体" w:eastAsia="宋体" w:cs="宋体"/>
          <w:b/>
          <w:bCs w:val="0"/>
          <w:sz w:val="24"/>
          <w:szCs w:val="24"/>
          <w:lang w:val="zh-CN" w:eastAsia="zh-CN"/>
        </w:rPr>
        <w:t>一、项目概况</w:t>
      </w:r>
    </w:p>
    <w:p>
      <w:pPr>
        <w:pStyle w:val="45"/>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一）项目名称：阳新县2021-2025年老旧小区改造专项规划编制项目</w:t>
      </w:r>
    </w:p>
    <w:p>
      <w:pPr>
        <w:pStyle w:val="45"/>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（二）采购单位：阳新县住房和城乡建设局</w:t>
      </w:r>
    </w:p>
    <w:p>
      <w:pPr>
        <w:pStyle w:val="45"/>
        <w:spacing w:line="360" w:lineRule="auto"/>
        <w:rPr>
          <w:rFonts w:ascii="宋体" w:hAnsi="宋体" w:eastAsia="宋体" w:cs="宋体"/>
          <w:sz w:val="24"/>
          <w:szCs w:val="24"/>
          <w:lang w:val="zh-CN" w:eastAsia="zh-CN"/>
        </w:rPr>
      </w:pPr>
      <w:r>
        <w:rPr>
          <w:rFonts w:hint="eastAsia" w:ascii="宋体" w:hAnsi="宋体" w:eastAsia="宋体" w:cs="宋体"/>
          <w:sz w:val="24"/>
          <w:szCs w:val="24"/>
          <w:lang w:val="zh-CN" w:eastAsia="zh-CN"/>
        </w:rPr>
        <w:t>（三）采购项目概况</w:t>
      </w:r>
    </w:p>
    <w:p>
      <w:pPr>
        <w:pStyle w:val="45"/>
        <w:spacing w:line="360" w:lineRule="auto"/>
        <w:rPr>
          <w:rFonts w:hint="eastAsia" w:ascii="宋体" w:hAnsi="宋体"/>
          <w:lang w:val="zh-CN"/>
        </w:rPr>
      </w:pPr>
      <w:r>
        <w:rPr>
          <w:rFonts w:hint="eastAsia" w:ascii="宋体" w:hAnsi="宋体"/>
          <w:b/>
          <w:bCs w:val="0"/>
          <w:lang w:val="en-US" w:eastAsia="zh-CN"/>
        </w:rPr>
        <w:t>二、</w:t>
      </w:r>
      <w:r>
        <w:rPr>
          <w:rFonts w:hint="eastAsia" w:ascii="宋体" w:hAnsi="宋体"/>
          <w:b/>
          <w:bCs w:val="0"/>
          <w:lang w:val="zh-CN"/>
        </w:rPr>
        <w:t>采购内容</w:t>
      </w:r>
      <w:r>
        <w:rPr>
          <w:rFonts w:hint="eastAsia" w:ascii="宋体" w:hAnsi="宋体"/>
          <w:lang w:val="zh-CN"/>
        </w:rPr>
        <w:t>：阳新县2021-2025年老旧小区改造专项规划编制项目</w:t>
      </w:r>
    </w:p>
    <w:p>
      <w:pPr>
        <w:pStyle w:val="45"/>
        <w:spacing w:line="360" w:lineRule="auto"/>
        <w:rPr>
          <w:rFonts w:hint="eastAsia" w:ascii="宋体" w:hAnsi="宋体" w:eastAsia="宋体"/>
          <w:lang w:val="en-US" w:eastAsia="zh-CN"/>
        </w:rPr>
      </w:pPr>
      <w:r>
        <w:rPr>
          <w:rFonts w:hint="eastAsia" w:ascii="宋体" w:hAnsi="宋体"/>
          <w:b/>
          <w:bCs w:val="0"/>
          <w:lang w:val="en-US" w:eastAsia="zh-CN"/>
        </w:rPr>
        <w:t>三、编制要求：</w:t>
      </w:r>
      <w:r>
        <w:rPr>
          <w:rFonts w:ascii="宋体" w:hAnsi="宋体" w:eastAsia="宋体" w:cs="宋体"/>
          <w:sz w:val="24"/>
          <w:szCs w:val="24"/>
        </w:rPr>
        <w:t>规划应结合居民实际需求、调研数据与规划改造标准，充分研读相关政策，并对接各专项规划，综合确定各老旧小区的改造对象、改造计划、改造内容清单及项目库，以及分年度改造计划，估算项目投资费用，并针对改造内容提出具体改造措施</w:t>
      </w:r>
      <w:r>
        <w:rPr>
          <w:rFonts w:hint="eastAsia" w:ascii="宋体" w:hAnsi="宋体" w:cs="宋体"/>
          <w:sz w:val="24"/>
          <w:szCs w:val="24"/>
          <w:lang w:eastAsia="zh-CN"/>
        </w:rPr>
        <w:t>。</w:t>
      </w:r>
    </w:p>
    <w:p>
      <w:pPr>
        <w:pStyle w:val="45"/>
        <w:spacing w:line="360" w:lineRule="auto"/>
        <w:rPr>
          <w:rFonts w:hint="eastAsia" w:ascii="宋体" w:hAnsi="宋体"/>
          <w:lang w:val="zh-CN"/>
        </w:rPr>
      </w:pPr>
      <w:r>
        <w:rPr>
          <w:rFonts w:hint="eastAsia" w:ascii="宋体" w:hAnsi="宋体"/>
          <w:b/>
          <w:bCs w:val="0"/>
          <w:lang w:val="en-US" w:eastAsia="zh-CN"/>
        </w:rPr>
        <w:t>四、采购预算</w:t>
      </w:r>
      <w:r>
        <w:rPr>
          <w:rFonts w:hint="eastAsia" w:ascii="宋体" w:hAnsi="宋体"/>
          <w:lang w:val="zh-CN"/>
        </w:rPr>
        <w:t>：</w:t>
      </w:r>
      <w:r>
        <w:rPr>
          <w:rFonts w:hint="eastAsia" w:ascii="宋体" w:hAnsi="宋体"/>
          <w:lang w:val="en-US" w:eastAsia="zh-CN"/>
        </w:rPr>
        <w:t>42</w:t>
      </w:r>
      <w:r>
        <w:rPr>
          <w:rFonts w:hint="eastAsia" w:ascii="宋体" w:hAnsi="宋体"/>
          <w:lang w:val="zh-CN"/>
        </w:rPr>
        <w:t xml:space="preserve"> 万元；</w:t>
      </w:r>
    </w:p>
    <w:p>
      <w:pPr>
        <w:pStyle w:val="45"/>
        <w:spacing w:line="360" w:lineRule="auto"/>
        <w:rPr>
          <w:rFonts w:hint="eastAsia" w:ascii="宋体" w:hAnsi="宋体"/>
          <w:lang w:val="zh-CN"/>
        </w:rPr>
      </w:pPr>
      <w:r>
        <w:rPr>
          <w:rFonts w:hint="eastAsia" w:ascii="宋体" w:hAnsi="宋体"/>
          <w:b/>
          <w:bCs w:val="0"/>
          <w:lang w:val="en-US" w:eastAsia="zh-CN"/>
        </w:rPr>
        <w:t>五、</w:t>
      </w:r>
      <w:r>
        <w:rPr>
          <w:rFonts w:hint="eastAsia" w:ascii="宋体" w:hAnsi="宋体"/>
          <w:b/>
          <w:bCs w:val="0"/>
          <w:lang w:val="zh-CN"/>
        </w:rPr>
        <w:t>服务期</w:t>
      </w:r>
      <w:r>
        <w:rPr>
          <w:rFonts w:hint="eastAsia" w:ascii="宋体" w:hAnsi="宋体"/>
          <w:lang w:val="zh-CN"/>
        </w:rPr>
        <w:t>：</w:t>
      </w:r>
      <w:r>
        <w:rPr>
          <w:rFonts w:hint="eastAsia" w:ascii="宋体" w:hAnsi="宋体"/>
          <w:lang w:val="en-US" w:eastAsia="zh-CN"/>
        </w:rPr>
        <w:t>合同签订后</w:t>
      </w:r>
      <w:r>
        <w:rPr>
          <w:rFonts w:hint="eastAsia" w:ascii="宋体" w:hAnsi="宋体"/>
          <w:lang w:val="zh-CN"/>
        </w:rPr>
        <w:t>15 日历天；</w:t>
      </w:r>
    </w:p>
    <w:p>
      <w:pPr>
        <w:pStyle w:val="45"/>
        <w:spacing w:line="360" w:lineRule="auto"/>
        <w:rPr>
          <w:rFonts w:hint="eastAsia" w:ascii="宋体" w:hAnsi="宋体" w:eastAsia="宋体" w:cs="宋体"/>
          <w:sz w:val="24"/>
          <w:szCs w:val="24"/>
          <w:lang w:val="zh-CN"/>
        </w:rPr>
      </w:pPr>
      <w:r>
        <w:rPr>
          <w:rFonts w:hint="eastAsia" w:ascii="宋体" w:hAnsi="宋体"/>
          <w:b/>
          <w:bCs w:val="0"/>
          <w:lang w:val="en-US" w:eastAsia="zh-CN"/>
        </w:rPr>
        <w:t>六、</w:t>
      </w:r>
      <w:r>
        <w:rPr>
          <w:rFonts w:hint="eastAsia" w:ascii="宋体" w:hAnsi="宋体"/>
          <w:b/>
          <w:bCs w:val="0"/>
          <w:lang w:val="zh-CN"/>
        </w:rPr>
        <w:t>服务质量要求</w:t>
      </w:r>
      <w:r>
        <w:rPr>
          <w:rFonts w:hint="eastAsia" w:ascii="宋体" w:hAnsi="宋体"/>
          <w:lang w:val="zh-CN"/>
        </w:rPr>
        <w:t>：成果文件质量符合现行国家标准、规范强制性条文，并取得相关</w:t>
      </w:r>
      <w:r>
        <w:rPr>
          <w:rFonts w:hint="eastAsia" w:ascii="宋体" w:hAnsi="宋体" w:eastAsia="宋体" w:cs="宋体"/>
          <w:sz w:val="24"/>
          <w:szCs w:val="24"/>
          <w:lang w:val="zh-CN"/>
        </w:rPr>
        <w:t>部门的认可。</w:t>
      </w:r>
    </w:p>
    <w:p>
      <w:pPr>
        <w:pStyle w:val="45"/>
        <w:spacing w:line="360" w:lineRule="auto"/>
        <w:rPr>
          <w:rFonts w:hint="eastAsia" w:ascii="宋体" w:hAnsi="宋体"/>
          <w:lang w:val="zh-CN"/>
        </w:rPr>
      </w:pPr>
      <w:r>
        <w:rPr>
          <w:rFonts w:hint="eastAsia" w:ascii="宋体" w:hAnsi="宋体" w:eastAsia="宋体" w:cs="宋体"/>
          <w:b/>
          <w:bCs w:val="0"/>
          <w:sz w:val="24"/>
          <w:szCs w:val="24"/>
          <w:lang w:val="en-US" w:eastAsia="zh-CN"/>
        </w:rPr>
        <w:t>七</w:t>
      </w:r>
      <w:r>
        <w:rPr>
          <w:rFonts w:hint="eastAsia" w:ascii="宋体" w:hAnsi="宋体" w:eastAsia="宋体" w:cs="宋体"/>
          <w:b/>
          <w:bCs w:val="0"/>
          <w:sz w:val="24"/>
          <w:szCs w:val="24"/>
          <w:lang w:val="zh-CN" w:eastAsia="zh-CN"/>
        </w:rPr>
        <w:t>、成果要求：</w:t>
      </w:r>
      <w:r>
        <w:rPr>
          <w:rFonts w:hint="eastAsia" w:ascii="宋体" w:hAnsi="宋体" w:eastAsiaTheme="minorEastAsia" w:cstheme="minorBidi"/>
          <w:bCs/>
          <w:spacing w:val="10"/>
          <w:kern w:val="0"/>
          <w:sz w:val="24"/>
          <w:szCs w:val="22"/>
          <w:lang w:val="zh-CN" w:eastAsia="zh-CN" w:bidi="ar-SA"/>
        </w:rPr>
        <w:t>成果文件一律A3装订</w:t>
      </w:r>
      <w:r>
        <w:rPr>
          <w:rFonts w:hint="eastAsia" w:ascii="宋体" w:hAnsi="宋体" w:cstheme="minorBidi"/>
          <w:bCs/>
          <w:spacing w:val="10"/>
          <w:kern w:val="0"/>
          <w:sz w:val="24"/>
          <w:szCs w:val="22"/>
          <w:lang w:val="en-US" w:eastAsia="zh-CN" w:bidi="ar-SA"/>
        </w:rPr>
        <w:t>8</w:t>
      </w:r>
      <w:r>
        <w:rPr>
          <w:rFonts w:hint="eastAsia" w:ascii="宋体" w:hAnsi="宋体" w:eastAsiaTheme="minorEastAsia" w:cstheme="minorBidi"/>
          <w:bCs/>
          <w:spacing w:val="10"/>
          <w:kern w:val="0"/>
          <w:sz w:val="24"/>
          <w:szCs w:val="22"/>
          <w:lang w:val="zh-CN" w:eastAsia="zh-CN" w:bidi="ar-SA"/>
        </w:rPr>
        <w:t>套、电子光盘2份，</w:t>
      </w:r>
      <w:r>
        <w:rPr>
          <w:rFonts w:hint="eastAsia" w:ascii="宋体" w:hAnsi="宋体" w:cstheme="minorBidi"/>
          <w:bCs/>
          <w:spacing w:val="10"/>
          <w:kern w:val="0"/>
          <w:sz w:val="24"/>
          <w:szCs w:val="22"/>
          <w:lang w:val="en-US" w:eastAsia="zh-CN" w:bidi="ar-SA"/>
        </w:rPr>
        <w:t>电子版</w:t>
      </w:r>
      <w:r>
        <w:rPr>
          <w:rFonts w:hint="eastAsia" w:ascii="宋体" w:hAnsi="宋体" w:eastAsiaTheme="minorEastAsia" w:cstheme="minorBidi"/>
          <w:bCs/>
          <w:spacing w:val="10"/>
          <w:kern w:val="0"/>
          <w:sz w:val="24"/>
          <w:szCs w:val="22"/>
          <w:lang w:val="zh-CN" w:eastAsia="zh-CN" w:bidi="ar-SA"/>
        </w:rPr>
        <w:t>1份（电子版dwg和PDF两种格式）</w:t>
      </w:r>
    </w:p>
    <w:p>
      <w:pPr>
        <w:pStyle w:val="5"/>
        <w:spacing w:before="5"/>
        <w:ind w:left="0" w:leftChars="0" w:firstLine="0" w:firstLineChars="0"/>
      </w:pPr>
      <w:r>
        <w:rPr>
          <w:rFonts w:hint="eastAsia"/>
          <w:lang w:val="en-US" w:eastAsia="zh-CN"/>
        </w:rPr>
        <w:t>八、</w:t>
      </w:r>
      <w:r>
        <w:t>其他要求</w:t>
      </w:r>
    </w:p>
    <w:p/>
    <w:p>
      <w:pPr>
        <w:pStyle w:val="45"/>
        <w:spacing w:line="360" w:lineRule="auto"/>
        <w:rPr>
          <w:rFonts w:hint="eastAsia" w:ascii="宋体" w:hAnsi="宋体"/>
          <w:lang w:val="zh-CN"/>
        </w:rPr>
      </w:pPr>
      <w:r>
        <w:rPr>
          <w:rFonts w:hint="eastAsia" w:ascii="宋体" w:hAnsi="宋体"/>
          <w:lang w:val="zh-CN"/>
        </w:rPr>
        <w:t>1、履行国家或地方其他相关的法律、法规、规范和条例；</w:t>
      </w:r>
    </w:p>
    <w:p>
      <w:pPr>
        <w:pStyle w:val="45"/>
        <w:spacing w:line="360" w:lineRule="auto"/>
        <w:rPr>
          <w:rFonts w:hint="eastAsia" w:ascii="宋体" w:hAnsi="宋体"/>
          <w:lang w:val="zh-CN"/>
        </w:rPr>
      </w:pPr>
      <w:r>
        <w:rPr>
          <w:rFonts w:hint="eastAsia" w:ascii="宋体" w:hAnsi="宋体"/>
          <w:lang w:val="zh-CN"/>
        </w:rPr>
        <w:t>2、工作中各项资料要准确、完整，作好档案管理工作，方便采购人及相关部门使用；在未得到许可的情况下，不向任何第三方泄漏有关项目的技术资料和其他信息；</w:t>
      </w:r>
    </w:p>
    <w:p>
      <w:pPr>
        <w:pStyle w:val="45"/>
        <w:spacing w:line="360" w:lineRule="auto"/>
        <w:rPr>
          <w:rFonts w:hint="eastAsia" w:ascii="宋体" w:hAnsi="宋体"/>
          <w:lang w:val="zh-CN"/>
        </w:rPr>
      </w:pPr>
      <w:r>
        <w:rPr>
          <w:rFonts w:hint="eastAsia" w:ascii="宋体" w:hAnsi="宋体"/>
          <w:lang w:val="zh-CN"/>
        </w:rPr>
        <w:t>3、付款方式：以双方合同约定为准；</w:t>
      </w:r>
    </w:p>
    <w:p>
      <w:pPr>
        <w:pStyle w:val="45"/>
        <w:spacing w:line="360" w:lineRule="auto"/>
        <w:rPr>
          <w:rFonts w:hint="eastAsia" w:ascii="宋体" w:hAnsi="宋体"/>
          <w:lang w:val="zh-CN"/>
        </w:rPr>
      </w:pPr>
      <w:r>
        <w:rPr>
          <w:rFonts w:hint="eastAsia" w:ascii="宋体" w:hAnsi="宋体"/>
          <w:lang w:val="zh-CN"/>
        </w:rPr>
        <w:t>4、其他补充：以双方合同约定为准</w:t>
      </w:r>
    </w:p>
    <w:p>
      <w:pPr>
        <w:adjustRightInd w:val="0"/>
        <w:snapToGrid w:val="0"/>
        <w:spacing w:line="360" w:lineRule="auto"/>
        <w:jc w:val="center"/>
        <w:outlineLvl w:val="0"/>
        <w:rPr>
          <w:rFonts w:hint="eastAsia" w:ascii="宋体" w:hAnsi="宋体"/>
          <w:lang w:val="zh-CN"/>
        </w:rPr>
      </w:pPr>
    </w:p>
    <w:p>
      <w:pPr>
        <w:adjustRightInd w:val="0"/>
        <w:snapToGrid w:val="0"/>
        <w:spacing w:line="360" w:lineRule="auto"/>
        <w:jc w:val="center"/>
        <w:outlineLvl w:val="0"/>
        <w:rPr>
          <w:rFonts w:hint="eastAsia" w:ascii="宋体" w:hAnsi="宋体"/>
          <w:lang w:val="zh-CN"/>
        </w:rPr>
      </w:pPr>
    </w:p>
    <w:p>
      <w:pPr>
        <w:adjustRightInd w:val="0"/>
        <w:snapToGrid w:val="0"/>
        <w:spacing w:line="360" w:lineRule="auto"/>
        <w:jc w:val="center"/>
        <w:outlineLvl w:val="0"/>
        <w:rPr>
          <w:rFonts w:hint="eastAsia" w:ascii="宋体" w:hAnsi="宋体"/>
          <w:lang w:val="zh-CN"/>
        </w:rPr>
      </w:pPr>
    </w:p>
    <w:p>
      <w:pPr>
        <w:adjustRightInd w:val="0"/>
        <w:snapToGrid w:val="0"/>
        <w:spacing w:line="360" w:lineRule="auto"/>
        <w:jc w:val="both"/>
        <w:outlineLvl w:val="0"/>
        <w:rPr>
          <w:rFonts w:ascii="Times New Roman" w:hAnsi="Times New Roman" w:cs="Times New Roman"/>
          <w:b/>
          <w:sz w:val="36"/>
          <w:szCs w:val="36"/>
        </w:rPr>
      </w:pP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p>
      <w:pPr>
        <w:pStyle w:val="36"/>
        <w:rPr>
          <w:rFonts w:hint="eastAsia"/>
        </w:rPr>
      </w:pPr>
      <w:bookmarkStart w:id="0" w:name="_Toc44351384"/>
      <w:r>
        <w:rPr>
          <w:rFonts w:hint="eastAsia"/>
        </w:rPr>
        <w:t>评审办法</w:t>
      </w:r>
      <w:bookmarkEnd w:id="0"/>
    </w:p>
    <w:p>
      <w:pPr>
        <w:pStyle w:val="35"/>
        <w:ind w:firstLine="480"/>
      </w:pPr>
      <w:r>
        <w:t>本次磋商评审采用综合评分法。</w:t>
      </w:r>
    </w:p>
    <w:p>
      <w:pPr>
        <w:pStyle w:val="36"/>
        <w:rPr>
          <w:rFonts w:hint="eastAsia"/>
        </w:rPr>
      </w:pPr>
      <w:bookmarkStart w:id="1" w:name="_Toc44351385"/>
      <w:r>
        <w:rPr>
          <w:rFonts w:hint="eastAsia"/>
        </w:rPr>
        <w:t>磋商小组</w:t>
      </w:r>
      <w:bookmarkEnd w:id="1"/>
    </w:p>
    <w:p>
      <w:pPr>
        <w:pStyle w:val="35"/>
        <w:ind w:firstLine="480"/>
        <w:rPr>
          <w:rFonts w:hint="eastAsia"/>
        </w:rPr>
      </w:pPr>
      <w:r>
        <w:rPr>
          <w:rFonts w:hint="eastAsia"/>
        </w:rPr>
        <w:t>1.磋商小组组成：</w:t>
      </w:r>
      <w:r>
        <w:rPr>
          <w:rFonts w:hint="eastAsia"/>
          <w:color w:val="FF0000"/>
        </w:rPr>
        <w:t>本次磋商小组由采购人依法组建，组成人数</w:t>
      </w:r>
      <w:r>
        <w:rPr>
          <w:color w:val="FF0000"/>
        </w:rPr>
        <w:t>3</w:t>
      </w:r>
      <w:r>
        <w:rPr>
          <w:rFonts w:hint="eastAsia"/>
          <w:color w:val="FF0000"/>
        </w:rPr>
        <w:t>人。</w:t>
      </w:r>
    </w:p>
    <w:p>
      <w:pPr>
        <w:pStyle w:val="35"/>
        <w:ind w:firstLine="480"/>
        <w:rPr>
          <w:rFonts w:hint="eastAsia"/>
        </w:rPr>
      </w:pPr>
      <w:r>
        <w:rPr>
          <w:rFonts w:hint="eastAsia"/>
        </w:rPr>
        <w:t>2.磋商小组组长：磋商小组设组长1名，由磋商小组全体成员共同推选产生。磋商小组组长负责组织磋商活动，与其他评委有同等表决权。</w:t>
      </w:r>
    </w:p>
    <w:p>
      <w:pPr>
        <w:pStyle w:val="35"/>
        <w:ind w:firstLine="480"/>
      </w:pPr>
      <w:r>
        <w:rPr>
          <w:rFonts w:hint="eastAsia"/>
        </w:rPr>
        <w:t>3.磋商小组负责评定工作，并根据磋商文件的要求对磋商文件进行审查、质疑、评估和比较。</w:t>
      </w:r>
    </w:p>
    <w:p>
      <w:pPr>
        <w:pStyle w:val="36"/>
      </w:pPr>
      <w:bookmarkStart w:id="2" w:name="_Toc44351386"/>
      <w:bookmarkStart w:id="3" w:name="_Toc2957314"/>
      <w:r>
        <w:rPr>
          <w:rFonts w:hint="eastAsia"/>
        </w:rPr>
        <w:t>资格性及符合性审查</w:t>
      </w:r>
      <w:bookmarkEnd w:id="2"/>
      <w:bookmarkEnd w:id="3"/>
    </w:p>
    <w:p>
      <w:pPr>
        <w:pStyle w:val="35"/>
        <w:ind w:firstLine="480"/>
      </w:pPr>
      <w:r>
        <w:rPr>
          <w:rFonts w:hint="eastAsia"/>
        </w:rPr>
        <w:t>1.资格性及符合性审查标准：详见附表一《初步评审表》。</w:t>
      </w:r>
    </w:p>
    <w:p>
      <w:pPr>
        <w:pStyle w:val="35"/>
        <w:ind w:firstLine="480"/>
      </w:pPr>
      <w:r>
        <w:rPr>
          <w:rFonts w:hint="eastAsia"/>
        </w:rPr>
        <w:t>2.未通过资格性审查的供应商不的进入磋商、技术、商务及价格评审环节。</w:t>
      </w:r>
    </w:p>
    <w:p>
      <w:pPr>
        <w:pStyle w:val="36"/>
        <w:rPr>
          <w:rFonts w:hint="eastAsia"/>
        </w:rPr>
      </w:pPr>
      <w:bookmarkStart w:id="4" w:name="_Toc44351387"/>
      <w:r>
        <w:rPr>
          <w:rFonts w:hint="eastAsia"/>
        </w:rPr>
        <w:t>技术商务磋商</w:t>
      </w:r>
      <w:bookmarkEnd w:id="4"/>
    </w:p>
    <w:p>
      <w:pPr>
        <w:pStyle w:val="35"/>
        <w:ind w:firstLine="480"/>
        <w:rPr>
          <w:rFonts w:hint="eastAsia"/>
        </w:rPr>
      </w:pPr>
      <w:r>
        <w:rPr>
          <w:rFonts w:hint="eastAsia"/>
        </w:rPr>
        <w:t>1.磋商小组邀请所有通过符合性审查的供应商参加磋商，以随机抽签的形式对供应商进行磋商排序。</w:t>
      </w:r>
    </w:p>
    <w:p>
      <w:pPr>
        <w:pStyle w:val="35"/>
        <w:ind w:firstLine="480"/>
        <w:rPr>
          <w:rFonts w:hint="eastAsia"/>
        </w:rPr>
      </w:pPr>
      <w:r>
        <w:rPr>
          <w:rFonts w:hint="eastAsia"/>
        </w:rPr>
        <w:t>2.磋商小组与供应商应围绕技术、商务、合同条款等内容分别进行一轮或多轮的磋商。在磋商过程中，磋商小组应当严格遵循保密原则，未经供应商同意不得向任何人透露当事人技术、价格和其他重要信息。</w:t>
      </w:r>
    </w:p>
    <w:p>
      <w:pPr>
        <w:pStyle w:val="35"/>
        <w:ind w:firstLine="480"/>
        <w:rPr>
          <w:rFonts w:hint="eastAsia"/>
        </w:rPr>
      </w:pPr>
      <w:r>
        <w:rPr>
          <w:rFonts w:hint="eastAsia"/>
        </w:rPr>
        <w:t>3.磋商文件的修正：磋商小组调整或修改采购需求内容时，应取得磋商小组的一致同意，并以书面形式通知所有参加磋商的供应商。但任何形式的决定须以符合公平、公正原则和有利于项目的顺利实施为前提。</w:t>
      </w:r>
    </w:p>
    <w:p>
      <w:pPr>
        <w:pStyle w:val="36"/>
        <w:rPr>
          <w:rFonts w:hint="eastAsia"/>
        </w:rPr>
      </w:pPr>
      <w:bookmarkStart w:id="5" w:name="_Toc44351388"/>
      <w:r>
        <w:rPr>
          <w:rFonts w:hint="eastAsia"/>
        </w:rPr>
        <w:t>技术</w:t>
      </w:r>
      <w:r>
        <w:t>、商务及</w:t>
      </w:r>
      <w:r>
        <w:rPr>
          <w:rFonts w:hint="eastAsia"/>
        </w:rPr>
        <w:t>价格评审</w:t>
      </w:r>
      <w:bookmarkEnd w:id="5"/>
    </w:p>
    <w:p>
      <w:pPr>
        <w:pStyle w:val="35"/>
        <w:ind w:firstLine="480"/>
        <w:rPr>
          <w:rFonts w:hint="eastAsia"/>
        </w:rPr>
      </w:pPr>
      <w:r>
        <w:rPr>
          <w:rFonts w:hint="eastAsia"/>
        </w:rPr>
        <w:t>1、评分总值最高为</w:t>
      </w:r>
      <w:r>
        <w:t>100</w:t>
      </w:r>
      <w:r>
        <w:rPr>
          <w:rFonts w:hint="eastAsia"/>
        </w:rPr>
        <w:t>分，评分分值（权重）分配如下：</w:t>
      </w:r>
    </w:p>
    <w:tbl>
      <w:tblPr>
        <w:tblStyle w:val="12"/>
        <w:tblW w:w="0" w:type="auto"/>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576"/>
        <w:gridCol w:w="2150"/>
        <w:gridCol w:w="2150"/>
        <w:gridCol w:w="197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jc w:val="center"/>
        </w:trPr>
        <w:tc>
          <w:tcPr>
            <w:tcW w:w="15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评分项目</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商务评分</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技术评分</w:t>
            </w:r>
          </w:p>
        </w:tc>
        <w:tc>
          <w:tcPr>
            <w:tcW w:w="19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1" w:hRule="atLeast"/>
          <w:jc w:val="center"/>
        </w:trPr>
        <w:tc>
          <w:tcPr>
            <w:tcW w:w="1576"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权重</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35%</w:t>
            </w:r>
          </w:p>
        </w:tc>
        <w:tc>
          <w:tcPr>
            <w:tcW w:w="2150"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55%</w:t>
            </w:r>
          </w:p>
        </w:tc>
        <w:tc>
          <w:tcPr>
            <w:tcW w:w="1974"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hint="eastAsia" w:asciiTheme="minorHAnsi" w:hAnsiTheme="minorHAnsi" w:eastAsiaTheme="minorEastAsia" w:cstheme="minorBidi"/>
                <w:kern w:val="2"/>
                <w:sz w:val="24"/>
                <w:szCs w:val="21"/>
                <w:lang w:val="en-US" w:eastAsia="zh-CN" w:bidi="ar-SA"/>
              </w:rPr>
            </w:pPr>
            <w:r>
              <w:rPr>
                <w:rFonts w:hint="eastAsia" w:asciiTheme="minorHAnsi" w:hAnsiTheme="minorHAnsi" w:eastAsiaTheme="minorEastAsia" w:cstheme="minorBidi"/>
                <w:kern w:val="2"/>
                <w:sz w:val="24"/>
                <w:szCs w:val="21"/>
                <w:lang w:val="en-US" w:eastAsia="zh-CN" w:bidi="ar-SA"/>
              </w:rPr>
              <w:t>10%</w:t>
            </w:r>
          </w:p>
        </w:tc>
      </w:tr>
    </w:tbl>
    <w:p>
      <w:pPr>
        <w:pStyle w:val="35"/>
        <w:ind w:firstLine="480"/>
        <w:rPr>
          <w:rFonts w:hint="eastAsia"/>
        </w:rPr>
      </w:pPr>
      <w:r>
        <w:rPr>
          <w:rFonts w:hint="eastAsia"/>
        </w:rPr>
        <w:t>2、商务评审（</w:t>
      </w:r>
      <w:r>
        <w:rPr>
          <w:rFonts w:hint="eastAsia"/>
          <w:lang w:val="en-US" w:eastAsia="zh-CN"/>
        </w:rPr>
        <w:t>35</w:t>
      </w:r>
      <w:r>
        <w:rPr>
          <w:rFonts w:hint="eastAsia"/>
        </w:rPr>
        <w:t>%）</w:t>
      </w:r>
    </w:p>
    <w:p>
      <w:pPr>
        <w:pStyle w:val="35"/>
        <w:ind w:firstLine="480"/>
        <w:rPr>
          <w:rFonts w:hint="eastAsia"/>
        </w:rPr>
      </w:pPr>
      <w:r>
        <w:rPr>
          <w:rFonts w:hint="eastAsia"/>
        </w:rPr>
        <w:t>磋商小组只对符合性检查合格的响应文件进行商务评审，并依据附表</w:t>
      </w:r>
      <w:r>
        <w:rPr>
          <w:rFonts w:hint="eastAsia"/>
          <w:lang w:eastAsia="zh-CN"/>
        </w:rPr>
        <w:t>二</w:t>
      </w:r>
      <w:r>
        <w:rPr>
          <w:rFonts w:hint="eastAsia"/>
        </w:rPr>
        <w:t>：《详细评审表》中的商务部分进行评分。</w:t>
      </w:r>
    </w:p>
    <w:p>
      <w:pPr>
        <w:pStyle w:val="35"/>
        <w:spacing w:before="120" w:beforeLines="50"/>
        <w:ind w:firstLine="480"/>
        <w:rPr>
          <w:rFonts w:hint="eastAsia"/>
        </w:rPr>
      </w:pPr>
      <w:r>
        <w:rPr>
          <w:rFonts w:hint="eastAsia"/>
        </w:rPr>
        <w:t>3、技术评审（</w:t>
      </w:r>
      <w:r>
        <w:rPr>
          <w:rFonts w:hint="eastAsia"/>
          <w:lang w:val="en-US" w:eastAsia="zh-CN"/>
        </w:rPr>
        <w:t>55</w:t>
      </w:r>
      <w:r>
        <w:rPr>
          <w:rFonts w:hint="eastAsia"/>
        </w:rPr>
        <w:t>%）</w:t>
      </w:r>
    </w:p>
    <w:p>
      <w:pPr>
        <w:pStyle w:val="35"/>
        <w:ind w:firstLine="480"/>
        <w:rPr>
          <w:rFonts w:hint="eastAsia"/>
        </w:rPr>
      </w:pPr>
      <w:r>
        <w:rPr>
          <w:rFonts w:hint="eastAsia"/>
        </w:rPr>
        <w:t>磋商小组只对符合性检查合格的响应文件进行技术评审，并依据附表</w:t>
      </w:r>
      <w:r>
        <w:rPr>
          <w:rFonts w:hint="eastAsia"/>
          <w:lang w:eastAsia="zh-CN"/>
        </w:rPr>
        <w:t>二</w:t>
      </w:r>
      <w:r>
        <w:rPr>
          <w:rFonts w:hint="eastAsia"/>
        </w:rPr>
        <w:t>：《详细评审表》中的技术部分进行评分。</w:t>
      </w:r>
    </w:p>
    <w:p>
      <w:pPr>
        <w:pStyle w:val="35"/>
        <w:ind w:firstLine="480"/>
        <w:rPr>
          <w:rFonts w:hint="eastAsia"/>
        </w:rPr>
      </w:pPr>
      <w:r>
        <w:rPr>
          <w:rFonts w:hint="eastAsia"/>
        </w:rPr>
        <w:t>4、价格评审（10%）</w:t>
      </w:r>
    </w:p>
    <w:p>
      <w:pPr>
        <w:pStyle w:val="35"/>
        <w:ind w:firstLine="480"/>
        <w:rPr>
          <w:rFonts w:hint="eastAsia"/>
        </w:rPr>
      </w:pPr>
      <w:r>
        <w:rPr>
          <w:rFonts w:hint="eastAsia"/>
        </w:rPr>
        <w:t>（1）最终报价：所有作出实质性响应的有效供应商应在规定的时间内提交最终报价（最终报价时间视磋商进程由磋商小组决定）。</w:t>
      </w:r>
    </w:p>
    <w:p>
      <w:pPr>
        <w:pStyle w:val="35"/>
        <w:ind w:firstLine="480"/>
        <w:rPr>
          <w:rFonts w:hint="eastAsia"/>
        </w:rPr>
      </w:pPr>
      <w:r>
        <w:rPr>
          <w:rFonts w:hint="eastAsia"/>
        </w:rPr>
        <w:t>（2）核实价的确定：磋商小组对各供应商的最终报价按下述原则进行校核、评审或作出必要的修正后的价格为核实价，如果出现多种处理原则所产生的结果不一致的情况，以最高的修正价作为核实价。</w:t>
      </w:r>
    </w:p>
    <w:p>
      <w:pPr>
        <w:pStyle w:val="35"/>
        <w:ind w:firstLine="480"/>
        <w:rPr>
          <w:rFonts w:hint="eastAsia"/>
        </w:rPr>
      </w:pPr>
      <w:r>
        <w:rPr>
          <w:rFonts w:hint="eastAsia"/>
        </w:rPr>
        <w:t>①大写金额与小写金额不一致的，以大写金额为准；</w:t>
      </w:r>
    </w:p>
    <w:p>
      <w:pPr>
        <w:pStyle w:val="35"/>
        <w:ind w:firstLine="480"/>
        <w:rPr>
          <w:rFonts w:hint="eastAsia"/>
        </w:rPr>
      </w:pPr>
      <w:r>
        <w:rPr>
          <w:rFonts w:hint="eastAsia"/>
        </w:rPr>
        <w:t>②总价金额与按单价汇总金额不一致的，以单价金额计算结果为准；</w:t>
      </w:r>
    </w:p>
    <w:p>
      <w:pPr>
        <w:pStyle w:val="35"/>
        <w:ind w:firstLine="480"/>
        <w:rPr>
          <w:rFonts w:hint="eastAsia"/>
        </w:rPr>
      </w:pPr>
      <w:r>
        <w:rPr>
          <w:rFonts w:hint="eastAsia"/>
        </w:rPr>
        <w:t>③单价金额小数点有明显错位的，应以总价为准，并修改单价；</w:t>
      </w:r>
    </w:p>
    <w:p>
      <w:pPr>
        <w:pStyle w:val="35"/>
        <w:ind w:firstLine="480"/>
        <w:rPr>
          <w:rFonts w:hint="eastAsia"/>
        </w:rPr>
      </w:pPr>
      <w:r>
        <w:rPr>
          <w:rFonts w:hint="eastAsia"/>
        </w:rPr>
        <w:t>④修正价后的价格作为核实价。</w:t>
      </w:r>
    </w:p>
    <w:p>
      <w:pPr>
        <w:pStyle w:val="35"/>
        <w:ind w:firstLine="480"/>
        <w:rPr>
          <w:rFonts w:hint="eastAsia"/>
        </w:rPr>
      </w:pPr>
      <w:r>
        <w:rPr>
          <w:rFonts w:hint="eastAsia"/>
        </w:rPr>
        <w:t>（</w:t>
      </w:r>
      <w:r>
        <w:t>3</w:t>
      </w:r>
      <w:r>
        <w:rPr>
          <w:rFonts w:hint="eastAsia"/>
        </w:rPr>
        <w:t>）计算价格评分：详见详细评审表</w:t>
      </w:r>
    </w:p>
    <w:p>
      <w:pPr>
        <w:pStyle w:val="35"/>
        <w:ind w:firstLine="480"/>
        <w:rPr>
          <w:rFonts w:hint="eastAsia"/>
        </w:rPr>
      </w:pPr>
      <w:r>
        <w:rPr>
          <w:rFonts w:hint="eastAsia"/>
        </w:rPr>
        <w:t>5、评审总得分汇总</w:t>
      </w:r>
    </w:p>
    <w:p>
      <w:pPr>
        <w:pStyle w:val="35"/>
        <w:ind w:firstLine="480"/>
        <w:rPr>
          <w:rFonts w:hint="eastAsia"/>
        </w:rPr>
      </w:pPr>
      <w:r>
        <w:rPr>
          <w:rFonts w:hint="eastAsia"/>
        </w:rPr>
        <w:t>各磋商小组成员的评分的算术平均值即为该供应商的技术评分或商务评分。然后将技术评分、商务评分和价格评分相加得出评审总得分（评审总得分分值按四舍五入原则精确到小数点后两位）。</w:t>
      </w:r>
    </w:p>
    <w:p>
      <w:pPr>
        <w:pStyle w:val="36"/>
        <w:rPr>
          <w:rFonts w:hint="eastAsia"/>
        </w:rPr>
      </w:pPr>
      <w:bookmarkStart w:id="6" w:name="_Toc44351389"/>
      <w:r>
        <w:rPr>
          <w:rFonts w:hint="eastAsia"/>
        </w:rPr>
        <w:t>评定结果</w:t>
      </w:r>
      <w:bookmarkEnd w:id="6"/>
    </w:p>
    <w:p>
      <w:pPr>
        <w:pStyle w:val="35"/>
        <w:ind w:firstLine="480"/>
        <w:sectPr>
          <w:pgSz w:w="11906" w:h="16838"/>
          <w:pgMar w:top="1418" w:right="1418" w:bottom="1418" w:left="1418" w:header="851" w:footer="1134" w:gutter="0"/>
          <w:cols w:space="720" w:num="1"/>
          <w:docGrid w:linePitch="579" w:charSpace="1229"/>
        </w:sectPr>
      </w:pPr>
      <w:r>
        <w:rPr>
          <w:rFonts w:hint="eastAsia"/>
        </w:rPr>
        <w:t>推荐成交候选响应供应商名单：本项目推荐三名成交候选人。将各有效响应供应商按其评审总得分由高到低顺序排列。评审总得分相同的，按下列顺序比较确定：（1）最终报价（由低到高）；（2）技术评分（由高到低）。如以上都相同的，名次由磋商小组抽签确定。排名第一的响应供应商为第一成交候选人，排名第二的响应供应商为第二成交候选人，以此类推。</w:t>
      </w:r>
    </w:p>
    <w:p>
      <w:pPr>
        <w:pStyle w:val="37"/>
        <w:spacing w:before="36" w:after="36"/>
        <w:ind w:firstLine="0" w:firstLineChars="0"/>
        <w:outlineLvl w:val="2"/>
        <w:rPr>
          <w:rFonts w:hint="eastAsia"/>
          <w:b/>
        </w:rPr>
      </w:pPr>
      <w:r>
        <w:rPr>
          <w:rFonts w:hint="eastAsia"/>
          <w:b/>
        </w:rPr>
        <w:t>附表一</w:t>
      </w:r>
      <w:r>
        <w:rPr>
          <w:rFonts w:hint="eastAsia"/>
          <w:b/>
          <w:lang w:val="en-US" w:eastAsia="zh-CN"/>
        </w:rPr>
        <w:t xml:space="preserve">  </w:t>
      </w:r>
      <w:r>
        <w:rPr>
          <w:rFonts w:hint="eastAsia"/>
          <w:b/>
        </w:rPr>
        <w:t>资格性检查和符合性检查内容及标准</w:t>
      </w:r>
    </w:p>
    <w:tbl>
      <w:tblPr>
        <w:tblStyle w:val="12"/>
        <w:tblW w:w="5383" w:type="pct"/>
        <w:tblInd w:w="-322"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657"/>
        <w:gridCol w:w="683"/>
        <w:gridCol w:w="3043"/>
        <w:gridCol w:w="5399"/>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54" w:hRule="atLeast"/>
        </w:trPr>
        <w:tc>
          <w:tcPr>
            <w:tcW w:w="685" w:type="pct"/>
            <w:gridSpan w:val="2"/>
            <w:tcBorders>
              <w:top w:val="outset" w:color="auto" w:sz="6" w:space="0"/>
              <w:left w:val="outset" w:color="auto" w:sz="6" w:space="0"/>
              <w:bottom w:val="outset" w:color="auto" w:sz="6" w:space="0"/>
              <w:right w:val="outset" w:color="auto" w:sz="6" w:space="0"/>
            </w:tcBorders>
            <w:noWrap w:val="0"/>
            <w:vAlign w:val="center"/>
          </w:tcPr>
          <w:p>
            <w:pPr>
              <w:jc w:val="center"/>
            </w:pPr>
            <w:r>
              <w:t>序号</w:t>
            </w:r>
          </w:p>
        </w:tc>
        <w:tc>
          <w:tcPr>
            <w:tcW w:w="1555" w:type="pct"/>
            <w:tcBorders>
              <w:top w:val="outset" w:color="auto" w:sz="6" w:space="0"/>
              <w:left w:val="outset" w:color="auto" w:sz="6" w:space="0"/>
              <w:bottom w:val="outset" w:color="auto" w:sz="6" w:space="0"/>
              <w:right w:val="outset" w:color="auto" w:sz="6" w:space="0"/>
            </w:tcBorders>
            <w:noWrap w:val="0"/>
            <w:vAlign w:val="center"/>
          </w:tcPr>
          <w:p>
            <w:pPr>
              <w:jc w:val="center"/>
            </w:pPr>
            <w:r>
              <w:t>检查内容</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jc w:val="center"/>
            </w:pPr>
            <w: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5" w:hRule="atLeast"/>
        </w:trPr>
        <w:tc>
          <w:tcPr>
            <w:tcW w:w="336"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pPr>
            <w:r>
              <w:t>1</w:t>
            </w:r>
          </w:p>
        </w:tc>
        <w:tc>
          <w:tcPr>
            <w:tcW w:w="348"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sz w:val="22"/>
                <w:szCs w:val="24"/>
              </w:rPr>
            </w:pPr>
            <w:r>
              <w:rPr>
                <w:sz w:val="22"/>
                <w:szCs w:val="24"/>
              </w:rPr>
              <w:t>资</w:t>
            </w:r>
          </w:p>
          <w:p>
            <w:pPr>
              <w:jc w:val="center"/>
              <w:rPr>
                <w:sz w:val="22"/>
                <w:szCs w:val="24"/>
              </w:rPr>
            </w:pPr>
            <w:r>
              <w:rPr>
                <w:sz w:val="22"/>
                <w:szCs w:val="24"/>
              </w:rPr>
              <w:t>格</w:t>
            </w:r>
          </w:p>
          <w:p>
            <w:pPr>
              <w:jc w:val="center"/>
              <w:rPr>
                <w:sz w:val="22"/>
                <w:szCs w:val="24"/>
              </w:rPr>
            </w:pPr>
            <w:r>
              <w:rPr>
                <w:sz w:val="22"/>
                <w:szCs w:val="24"/>
              </w:rPr>
              <w:t>性</w:t>
            </w:r>
          </w:p>
          <w:p>
            <w:pPr>
              <w:jc w:val="center"/>
              <w:rPr>
                <w:sz w:val="22"/>
                <w:szCs w:val="24"/>
              </w:rPr>
            </w:pPr>
            <w:r>
              <w:rPr>
                <w:sz w:val="22"/>
                <w:szCs w:val="24"/>
              </w:rPr>
              <w:t>检</w:t>
            </w:r>
          </w:p>
          <w:p>
            <w:pPr>
              <w:jc w:val="center"/>
            </w:pPr>
            <w:r>
              <w:rPr>
                <w:sz w:val="22"/>
                <w:szCs w:val="24"/>
              </w:rPr>
              <w:t>查</w:t>
            </w: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具有独立承担民事责任的能力</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具有有效的营业执照或事业单位法人证书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77"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具有良好的商业信誉和健全的财务会计制度</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rFonts w:hint="eastAsia"/>
                <w:sz w:val="22"/>
                <w:szCs w:val="24"/>
              </w:rPr>
              <w:t>提供</w:t>
            </w:r>
            <w:r>
              <w:rPr>
                <w:sz w:val="22"/>
                <w:szCs w:val="24"/>
              </w:rPr>
              <w:t>上一年度财务状况报告</w:t>
            </w:r>
            <w:r>
              <w:rPr>
                <w:rFonts w:hint="eastAsia"/>
                <w:sz w:val="22"/>
                <w:szCs w:val="24"/>
              </w:rPr>
              <w:t>彩色扫描</w:t>
            </w:r>
            <w:r>
              <w:rPr>
                <w:sz w:val="22"/>
                <w:szCs w:val="24"/>
              </w:rPr>
              <w:t>件（本年度新成立公司提供响应文件递交截止时间前一个月财务状况报告</w:t>
            </w:r>
            <w:r>
              <w:rPr>
                <w:rFonts w:hint="eastAsia"/>
                <w:sz w:val="22"/>
                <w:szCs w:val="24"/>
              </w:rPr>
              <w:t>彩色扫描</w:t>
            </w:r>
            <w:r>
              <w:rPr>
                <w:sz w:val="22"/>
                <w:szCs w:val="24"/>
              </w:rPr>
              <w:t xml:space="preserve">件），合法有效。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15"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具有履行合同所必需的设备和专业技术能力</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提供书面声明或相关证明材料</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66"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有依法缴纳税收和社会保障金的良好记录</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提供近期的税务和社会保障缴纳证明材料原件的</w:t>
            </w:r>
            <w:r>
              <w:rPr>
                <w:rFonts w:hint="eastAsia"/>
                <w:sz w:val="22"/>
                <w:szCs w:val="24"/>
              </w:rPr>
              <w:t>彩色</w:t>
            </w:r>
            <w:r>
              <w:rPr>
                <w:sz w:val="22"/>
                <w:szCs w:val="24"/>
              </w:rPr>
              <w:t xml:space="preserve">扫描件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86"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主体信用记录</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通过“信用中国”网站 （www.cred</w:t>
            </w:r>
            <w:r>
              <w:rPr>
                <w:rFonts w:hint="eastAsia"/>
                <w:sz w:val="22"/>
                <w:szCs w:val="24"/>
              </w:rPr>
              <w:t>i</w:t>
            </w:r>
            <w:r>
              <w:rPr>
                <w:sz w:val="22"/>
                <w:szCs w:val="24"/>
              </w:rPr>
              <w:t xml:space="preserve">tchina.gov .cn）、中国政府采购网（www. ccgp.gov. cn）等渠道查询的主体信用记录，未被列入信用记录失信被执行人 、重大税收违法案件当事人名单、政府采购严重违法失信行为记录名单。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00"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1555" w:type="pct"/>
            <w:tcBorders>
              <w:top w:val="outset" w:color="auto" w:sz="6" w:space="0"/>
              <w:left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资质要求</w:t>
            </w:r>
          </w:p>
        </w:tc>
        <w:tc>
          <w:tcPr>
            <w:tcW w:w="2759" w:type="pct"/>
            <w:tcBorders>
              <w:top w:val="outset" w:color="auto" w:sz="6" w:space="0"/>
              <w:left w:val="outset" w:color="auto" w:sz="6" w:space="0"/>
              <w:right w:val="outset" w:color="auto" w:sz="6" w:space="0"/>
            </w:tcBorders>
            <w:noWrap w:val="0"/>
            <w:vAlign w:val="center"/>
          </w:tcPr>
          <w:p>
            <w:pPr>
              <w:pStyle w:val="38"/>
              <w:numPr>
                <w:ilvl w:val="0"/>
                <w:numId w:val="0"/>
              </w:numPr>
              <w:spacing w:line="240" w:lineRule="auto"/>
              <w:ind w:left="216" w:leftChars="103" w:firstLine="0" w:firstLineChars="0"/>
              <w:jc w:val="left"/>
              <w:outlineLvl w:val="9"/>
              <w:rPr>
                <w:rFonts w:hint="eastAsia" w:ascii="宋体" w:hAnsi="宋体"/>
                <w:kern w:val="0"/>
                <w:sz w:val="22"/>
                <w:szCs w:val="24"/>
                <w:lang w:val="en-US" w:eastAsia="zh-CN"/>
              </w:rPr>
            </w:pPr>
            <w:r>
              <w:rPr>
                <w:rFonts w:hint="eastAsia" w:asciiTheme="minorHAnsi" w:hAnsiTheme="minorHAnsi" w:eastAsiaTheme="minorEastAsia" w:cstheme="minorBidi"/>
                <w:kern w:val="2"/>
                <w:sz w:val="22"/>
                <w:szCs w:val="24"/>
                <w:lang w:val="en-US" w:eastAsia="zh-CN" w:bidi="ar-SA"/>
              </w:rPr>
              <w:t>供应商应具备城乡规划编制乙级及以上资质，并在人员、设备、资金、专业技术等方面具有相应的能力。</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1"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pPr>
              <w:jc w:val="center"/>
            </w:p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联合体磋商</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本次采购不接受联合体磋商。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98" w:hRule="atLeast"/>
        </w:trPr>
        <w:tc>
          <w:tcPr>
            <w:tcW w:w="336"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pPr>
            <w:r>
              <w:t>2</w:t>
            </w:r>
          </w:p>
        </w:tc>
        <w:tc>
          <w:tcPr>
            <w:tcW w:w="348" w:type="pct"/>
            <w:vMerge w:val="restart"/>
            <w:tcBorders>
              <w:top w:val="outset" w:color="auto" w:sz="6" w:space="0"/>
              <w:left w:val="outset" w:color="auto" w:sz="6" w:space="0"/>
              <w:bottom w:val="outset" w:color="auto" w:sz="6" w:space="0"/>
              <w:right w:val="outset" w:color="auto" w:sz="6" w:space="0"/>
            </w:tcBorders>
            <w:noWrap w:val="0"/>
            <w:vAlign w:val="center"/>
          </w:tcPr>
          <w:p>
            <w:pPr>
              <w:jc w:val="center"/>
              <w:rPr>
                <w:sz w:val="22"/>
                <w:szCs w:val="24"/>
              </w:rPr>
            </w:pPr>
            <w:r>
              <w:rPr>
                <w:sz w:val="22"/>
                <w:szCs w:val="24"/>
              </w:rPr>
              <w:t>符</w:t>
            </w:r>
          </w:p>
          <w:p>
            <w:pPr>
              <w:jc w:val="center"/>
              <w:rPr>
                <w:sz w:val="22"/>
                <w:szCs w:val="24"/>
              </w:rPr>
            </w:pPr>
            <w:r>
              <w:rPr>
                <w:sz w:val="22"/>
                <w:szCs w:val="24"/>
              </w:rPr>
              <w:t>合</w:t>
            </w:r>
          </w:p>
          <w:p>
            <w:pPr>
              <w:jc w:val="center"/>
              <w:rPr>
                <w:sz w:val="22"/>
                <w:szCs w:val="24"/>
              </w:rPr>
            </w:pPr>
            <w:r>
              <w:rPr>
                <w:sz w:val="22"/>
                <w:szCs w:val="24"/>
              </w:rPr>
              <w:t>性</w:t>
            </w:r>
          </w:p>
          <w:p>
            <w:pPr>
              <w:jc w:val="center"/>
              <w:rPr>
                <w:sz w:val="22"/>
                <w:szCs w:val="24"/>
              </w:rPr>
            </w:pPr>
            <w:r>
              <w:rPr>
                <w:sz w:val="22"/>
                <w:szCs w:val="24"/>
              </w:rPr>
              <w:t>检</w:t>
            </w:r>
          </w:p>
          <w:p>
            <w:pPr>
              <w:jc w:val="center"/>
            </w:pPr>
            <w:r>
              <w:rPr>
                <w:sz w:val="22"/>
                <w:szCs w:val="24"/>
              </w:rPr>
              <w:t>查</w:t>
            </w: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供应商名称</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与营业执照、资质证书等其他证件一致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9"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磋商响应性文件签署</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 xml:space="preserve">符合磋商文件要求在规定区域加盖单位电子公章和法定代表人电子印章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20"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法定代表人和授权代表资格</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numPr>
                <w:ilvl w:val="0"/>
                <w:numId w:val="6"/>
              </w:numPr>
              <w:ind w:left="216" w:leftChars="103" w:firstLine="0" w:firstLineChars="0"/>
              <w:rPr>
                <w:sz w:val="22"/>
                <w:szCs w:val="24"/>
              </w:rPr>
            </w:pPr>
            <w:r>
              <w:rPr>
                <w:sz w:val="22"/>
                <w:szCs w:val="24"/>
              </w:rPr>
              <w:t>提供法定代表人资格证明；</w:t>
            </w:r>
          </w:p>
          <w:p>
            <w:pPr>
              <w:numPr>
                <w:ilvl w:val="0"/>
                <w:numId w:val="0"/>
              </w:numPr>
              <w:ind w:leftChars="103"/>
              <w:rPr>
                <w:sz w:val="22"/>
                <w:szCs w:val="24"/>
              </w:rPr>
            </w:pPr>
            <w:r>
              <w:rPr>
                <w:sz w:val="22"/>
                <w:szCs w:val="24"/>
              </w:rPr>
              <w:t>2、供应商代表若为委托代理人，提供委托授权书原件、委托代理人</w:t>
            </w:r>
            <w:r>
              <w:rPr>
                <w:rFonts w:hint="eastAsia"/>
                <w:sz w:val="22"/>
                <w:szCs w:val="24"/>
              </w:rPr>
              <w:t>身份</w:t>
            </w:r>
            <w:r>
              <w:rPr>
                <w:sz w:val="22"/>
                <w:szCs w:val="24"/>
              </w:rPr>
              <w:t xml:space="preserve">证原件。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77"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磋商报价</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 xml:space="preserve">磋商报价唯一；磋商报价未超过预算金额或者最高限价；磋商报价合理；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84"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555" w:type="pct"/>
            <w:tcBorders>
              <w:top w:val="outset" w:color="auto" w:sz="6" w:space="0"/>
              <w:left w:val="outset" w:color="auto" w:sz="6" w:space="0"/>
              <w:right w:val="outset" w:color="auto" w:sz="6" w:space="0"/>
            </w:tcBorders>
            <w:noWrap w:val="0"/>
            <w:vAlign w:val="center"/>
          </w:tcPr>
          <w:p>
            <w:pPr>
              <w:autoSpaceDE w:val="0"/>
              <w:autoSpaceDN w:val="0"/>
              <w:adjustRightInd w:val="0"/>
              <w:snapToGrid w:val="0"/>
              <w:ind w:left="216" w:leftChars="103" w:firstLine="0" w:firstLineChars="0"/>
              <w:jc w:val="left"/>
              <w:rPr>
                <w:rFonts w:ascii="宋体" w:hAnsi="宋体"/>
                <w:kern w:val="0"/>
                <w:sz w:val="22"/>
                <w:szCs w:val="24"/>
              </w:rPr>
            </w:pPr>
            <w:r>
              <w:rPr>
                <w:rFonts w:hint="eastAsia" w:ascii="宋体" w:hAnsi="宋体"/>
                <w:kern w:val="0"/>
                <w:sz w:val="22"/>
                <w:szCs w:val="24"/>
              </w:rPr>
              <w:t>采购需求响应</w:t>
            </w:r>
          </w:p>
        </w:tc>
        <w:tc>
          <w:tcPr>
            <w:tcW w:w="2759" w:type="pct"/>
            <w:tcBorders>
              <w:top w:val="outset" w:color="auto" w:sz="6" w:space="0"/>
              <w:left w:val="outset" w:color="auto" w:sz="6" w:space="0"/>
              <w:right w:val="outset" w:color="auto" w:sz="6" w:space="0"/>
            </w:tcBorders>
            <w:noWrap w:val="0"/>
            <w:vAlign w:val="center"/>
          </w:tcPr>
          <w:p>
            <w:pPr>
              <w:autoSpaceDE w:val="0"/>
              <w:autoSpaceDN w:val="0"/>
              <w:adjustRightInd w:val="0"/>
              <w:snapToGrid w:val="0"/>
              <w:ind w:left="216" w:leftChars="103" w:firstLine="0" w:firstLineChars="0"/>
              <w:jc w:val="left"/>
              <w:rPr>
                <w:rFonts w:ascii="宋体" w:hAnsi="宋体"/>
                <w:kern w:val="0"/>
                <w:sz w:val="22"/>
                <w:szCs w:val="24"/>
              </w:rPr>
            </w:pPr>
            <w:r>
              <w:rPr>
                <w:rFonts w:hint="eastAsia" w:ascii="宋体" w:hAnsi="宋体"/>
                <w:kern w:val="0"/>
                <w:sz w:val="22"/>
                <w:szCs w:val="24"/>
              </w:rPr>
              <w:t>响应文件无其他未实质性响应磋商文件要求的</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4"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磋商要求</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法定代表人或授权代表未按要求到达现场</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336"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348" w:type="pct"/>
            <w:vMerge w:val="continue"/>
            <w:tcBorders>
              <w:top w:val="outset" w:color="auto" w:sz="6" w:space="0"/>
              <w:left w:val="outset" w:color="auto" w:sz="6" w:space="0"/>
              <w:bottom w:val="outset" w:color="auto" w:sz="6" w:space="0"/>
              <w:right w:val="outset" w:color="auto" w:sz="6" w:space="0"/>
            </w:tcBorders>
            <w:noWrap w:val="0"/>
            <w:vAlign w:val="center"/>
          </w:tcPr>
          <w:p/>
        </w:tc>
        <w:tc>
          <w:tcPr>
            <w:tcW w:w="1555"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jc w:val="left"/>
              <w:rPr>
                <w:sz w:val="22"/>
                <w:szCs w:val="24"/>
              </w:rPr>
            </w:pPr>
            <w:r>
              <w:rPr>
                <w:sz w:val="22"/>
                <w:szCs w:val="24"/>
              </w:rPr>
              <w:t>其它要求</w:t>
            </w:r>
          </w:p>
        </w:tc>
        <w:tc>
          <w:tcPr>
            <w:tcW w:w="2759" w:type="pct"/>
            <w:tcBorders>
              <w:top w:val="outset" w:color="auto" w:sz="6" w:space="0"/>
              <w:left w:val="outset" w:color="auto" w:sz="6" w:space="0"/>
              <w:bottom w:val="outset" w:color="auto" w:sz="6" w:space="0"/>
              <w:right w:val="outset" w:color="auto" w:sz="6" w:space="0"/>
            </w:tcBorders>
            <w:noWrap w:val="0"/>
            <w:vAlign w:val="center"/>
          </w:tcPr>
          <w:p>
            <w:pPr>
              <w:ind w:left="216" w:leftChars="103" w:firstLine="0" w:firstLineChars="0"/>
              <w:rPr>
                <w:sz w:val="22"/>
                <w:szCs w:val="24"/>
              </w:rPr>
            </w:pPr>
            <w:r>
              <w:rPr>
                <w:sz w:val="22"/>
                <w:szCs w:val="24"/>
              </w:rPr>
              <w:t xml:space="preserve">符合法律法规和磋商文件规定的其它实质性要求 </w:t>
            </w:r>
          </w:p>
        </w:tc>
      </w:tr>
    </w:tbl>
    <w:p>
      <w:pPr>
        <w:pStyle w:val="35"/>
        <w:ind w:firstLine="0" w:firstLineChars="0"/>
        <w:rPr>
          <w:b/>
        </w:rPr>
      </w:pPr>
      <w:r>
        <w:rPr>
          <w:rFonts w:hint="eastAsia"/>
          <w:b/>
        </w:rPr>
        <w:t>注：1</w:t>
      </w:r>
      <w:r>
        <w:rPr>
          <w:b/>
        </w:rPr>
        <w:t>.</w:t>
      </w:r>
      <w:r>
        <w:rPr>
          <w:rFonts w:hint="eastAsia"/>
          <w:b/>
        </w:rPr>
        <w:t>磋商文件要求提交的与评价指标体系相关的各类有效资料的复印件并加盖公章</w:t>
      </w:r>
    </w:p>
    <w:p>
      <w:pPr>
        <w:pStyle w:val="35"/>
        <w:ind w:firstLine="472" w:firstLineChars="196"/>
        <w:rPr>
          <w:rFonts w:hint="eastAsia"/>
        </w:rPr>
      </w:pPr>
      <w:r>
        <w:rPr>
          <w:rFonts w:hint="eastAsia"/>
          <w:b/>
        </w:rPr>
        <w:t>2</w:t>
      </w:r>
      <w:r>
        <w:rPr>
          <w:b/>
        </w:rPr>
        <w:t>.</w:t>
      </w:r>
      <w:r>
        <w:rPr>
          <w:rFonts w:hint="eastAsia"/>
          <w:b/>
        </w:rPr>
        <w:t xml:space="preserve"> 以上检查内容必须全部符合检查标准，否则为无效响应文件，不得进入磋商、技术、商务及价格评审环节</w:t>
      </w:r>
      <w:r>
        <w:rPr>
          <w:rFonts w:hint="eastAsia"/>
          <w:b/>
          <w:lang w:eastAsia="zh-CN"/>
        </w:rPr>
        <w:t>。</w:t>
      </w:r>
    </w:p>
    <w:p>
      <w:pPr>
        <w:autoSpaceDE w:val="0"/>
        <w:autoSpaceDN w:val="0"/>
        <w:adjustRightInd w:val="0"/>
        <w:snapToGrid w:val="0"/>
        <w:jc w:val="left"/>
        <w:rPr>
          <w:rFonts w:hint="eastAsia"/>
          <w:b/>
          <w:kern w:val="0"/>
          <w:sz w:val="24"/>
        </w:rPr>
        <w:sectPr>
          <w:pgSz w:w="11906" w:h="16838"/>
          <w:pgMar w:top="1418" w:right="1418" w:bottom="1418" w:left="1418" w:header="851" w:footer="1134" w:gutter="0"/>
          <w:cols w:space="720" w:num="1"/>
          <w:docGrid w:linePitch="579" w:charSpace="1229"/>
        </w:sectPr>
      </w:pPr>
    </w:p>
    <w:p>
      <w:pPr>
        <w:pStyle w:val="37"/>
        <w:spacing w:before="36" w:after="36"/>
        <w:ind w:firstLine="0" w:firstLineChars="0"/>
        <w:outlineLvl w:val="2"/>
        <w:rPr>
          <w:rFonts w:hint="eastAsia"/>
          <w:b/>
        </w:rPr>
      </w:pPr>
      <w:r>
        <w:rPr>
          <w:rFonts w:hint="eastAsia"/>
          <w:b/>
        </w:rPr>
        <w:t>附表二  商务、技术、价格评审内容及标准</w:t>
      </w:r>
    </w:p>
    <w:tbl>
      <w:tblPr>
        <w:tblStyle w:val="12"/>
        <w:tblW w:w="9024"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095"/>
        <w:gridCol w:w="1185"/>
        <w:gridCol w:w="719"/>
        <w:gridCol w:w="5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10" w:type="dxa"/>
          </w:tcPr>
          <w:p>
            <w:pPr>
              <w:pStyle w:val="44"/>
              <w:spacing w:before="117"/>
              <w:ind w:left="9"/>
              <w:jc w:val="center"/>
              <w:rPr>
                <w:b/>
                <w:sz w:val="21"/>
              </w:rPr>
            </w:pPr>
            <w:r>
              <w:rPr>
                <w:b/>
                <w:sz w:val="21"/>
              </w:rPr>
              <w:t>序号</w:t>
            </w:r>
          </w:p>
        </w:tc>
        <w:tc>
          <w:tcPr>
            <w:tcW w:w="1095" w:type="dxa"/>
          </w:tcPr>
          <w:p>
            <w:pPr>
              <w:pStyle w:val="44"/>
              <w:spacing w:before="117"/>
              <w:ind w:left="99"/>
              <w:rPr>
                <w:b/>
                <w:sz w:val="21"/>
              </w:rPr>
            </w:pPr>
            <w:r>
              <w:rPr>
                <w:b/>
                <w:sz w:val="21"/>
              </w:rPr>
              <w:t>评审项目</w:t>
            </w:r>
          </w:p>
        </w:tc>
        <w:tc>
          <w:tcPr>
            <w:tcW w:w="1185" w:type="dxa"/>
          </w:tcPr>
          <w:p>
            <w:pPr>
              <w:pStyle w:val="44"/>
              <w:spacing w:before="117"/>
              <w:ind w:left="140" w:right="130"/>
              <w:jc w:val="center"/>
              <w:rPr>
                <w:b/>
                <w:sz w:val="21"/>
              </w:rPr>
            </w:pPr>
            <w:r>
              <w:rPr>
                <w:b/>
                <w:sz w:val="21"/>
              </w:rPr>
              <w:t>评审分项</w:t>
            </w:r>
          </w:p>
        </w:tc>
        <w:tc>
          <w:tcPr>
            <w:tcW w:w="719" w:type="dxa"/>
          </w:tcPr>
          <w:p>
            <w:pPr>
              <w:pStyle w:val="44"/>
              <w:spacing w:before="117"/>
              <w:ind w:right="48"/>
              <w:jc w:val="right"/>
              <w:rPr>
                <w:b/>
                <w:sz w:val="21"/>
              </w:rPr>
            </w:pPr>
            <w:r>
              <w:rPr>
                <w:b/>
                <w:w w:val="95"/>
                <w:sz w:val="21"/>
              </w:rPr>
              <w:t>分值</w:t>
            </w:r>
          </w:p>
        </w:tc>
        <w:tc>
          <w:tcPr>
            <w:tcW w:w="5515" w:type="dxa"/>
          </w:tcPr>
          <w:p>
            <w:pPr>
              <w:pStyle w:val="44"/>
              <w:spacing w:before="117"/>
              <w:ind w:left="1999" w:right="1990"/>
              <w:jc w:val="center"/>
              <w:rPr>
                <w:b/>
                <w:sz w:val="21"/>
              </w:rPr>
            </w:pPr>
            <w:r>
              <w:rPr>
                <w:b/>
                <w:sz w:val="21"/>
              </w:rPr>
              <w:t>评审内容及标准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510" w:type="dxa"/>
            <w:vAlign w:val="center"/>
          </w:tcPr>
          <w:p>
            <w:pPr>
              <w:pStyle w:val="44"/>
              <w:spacing w:line="265" w:lineRule="exact"/>
              <w:ind w:left="4"/>
              <w:jc w:val="center"/>
              <w:rPr>
                <w:rFonts w:hint="eastAsia"/>
                <w:bCs w:val="0"/>
                <w:color w:val="000000"/>
                <w:spacing w:val="0"/>
                <w:kern w:val="2"/>
                <w:sz w:val="24"/>
                <w:szCs w:val="22"/>
              </w:rPr>
            </w:pPr>
          </w:p>
          <w:p>
            <w:pPr>
              <w:pStyle w:val="44"/>
              <w:spacing w:line="265" w:lineRule="exact"/>
              <w:ind w:left="4"/>
              <w:jc w:val="center"/>
              <w:rPr>
                <w:rFonts w:hint="eastAsia"/>
                <w:bCs w:val="0"/>
                <w:color w:val="000000"/>
                <w:spacing w:val="0"/>
                <w:kern w:val="2"/>
                <w:sz w:val="24"/>
                <w:szCs w:val="22"/>
              </w:rPr>
            </w:pPr>
          </w:p>
          <w:p>
            <w:pPr>
              <w:pStyle w:val="44"/>
              <w:spacing w:line="265" w:lineRule="exact"/>
              <w:ind w:left="4"/>
              <w:jc w:val="center"/>
              <w:rPr>
                <w:rFonts w:hint="eastAsia"/>
                <w:bCs w:val="0"/>
                <w:color w:val="000000"/>
                <w:spacing w:val="0"/>
                <w:kern w:val="2"/>
                <w:sz w:val="24"/>
                <w:szCs w:val="22"/>
              </w:rPr>
            </w:pPr>
          </w:p>
          <w:p>
            <w:pPr>
              <w:pStyle w:val="44"/>
              <w:spacing w:line="265" w:lineRule="exact"/>
              <w:ind w:left="4"/>
              <w:jc w:val="center"/>
              <w:rPr>
                <w:rFonts w:hint="eastAsia"/>
                <w:bCs w:val="0"/>
                <w:color w:val="000000"/>
                <w:spacing w:val="0"/>
                <w:kern w:val="2"/>
                <w:sz w:val="24"/>
                <w:szCs w:val="22"/>
              </w:rPr>
            </w:pPr>
            <w:r>
              <w:rPr>
                <w:rFonts w:hint="eastAsia"/>
                <w:bCs w:val="0"/>
                <w:color w:val="000000"/>
                <w:spacing w:val="0"/>
                <w:kern w:val="2"/>
                <w:sz w:val="24"/>
                <w:szCs w:val="22"/>
              </w:rPr>
              <w:t>1</w:t>
            </w:r>
          </w:p>
        </w:tc>
        <w:tc>
          <w:tcPr>
            <w:tcW w:w="1095" w:type="dxa"/>
          </w:tcPr>
          <w:p>
            <w:pPr>
              <w:pStyle w:val="44"/>
              <w:spacing w:line="265" w:lineRule="exact"/>
              <w:ind w:left="4"/>
              <w:jc w:val="center"/>
              <w:rPr>
                <w:rFonts w:hint="eastAsia"/>
                <w:bCs w:val="0"/>
                <w:color w:val="000000"/>
                <w:spacing w:val="0"/>
                <w:kern w:val="2"/>
                <w:sz w:val="22"/>
                <w:szCs w:val="21"/>
              </w:rPr>
            </w:pPr>
          </w:p>
          <w:p>
            <w:pPr>
              <w:pStyle w:val="44"/>
              <w:spacing w:line="265" w:lineRule="exact"/>
              <w:ind w:left="4"/>
              <w:jc w:val="center"/>
              <w:rPr>
                <w:rFonts w:hint="eastAsia"/>
                <w:bCs w:val="0"/>
                <w:color w:val="000000"/>
                <w:spacing w:val="0"/>
                <w:kern w:val="2"/>
                <w:sz w:val="22"/>
                <w:szCs w:val="21"/>
              </w:rPr>
            </w:pPr>
          </w:p>
          <w:p>
            <w:pPr>
              <w:pStyle w:val="44"/>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价格部分</w:t>
            </w:r>
          </w:p>
          <w:p>
            <w:pPr>
              <w:pStyle w:val="44"/>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(10分)</w:t>
            </w:r>
          </w:p>
        </w:tc>
        <w:tc>
          <w:tcPr>
            <w:tcW w:w="1185" w:type="dxa"/>
            <w:vAlign w:val="center"/>
          </w:tcPr>
          <w:p>
            <w:pPr>
              <w:pStyle w:val="44"/>
              <w:spacing w:line="240" w:lineRule="auto"/>
              <w:ind w:right="48"/>
              <w:jc w:val="center"/>
              <w:rPr>
                <w:rFonts w:hint="eastAsia"/>
                <w:bCs w:val="0"/>
                <w:color w:val="000000"/>
                <w:spacing w:val="0"/>
                <w:kern w:val="2"/>
                <w:sz w:val="22"/>
                <w:szCs w:val="21"/>
                <w:lang w:val="en-US" w:eastAsia="zh-CN"/>
              </w:rPr>
            </w:pPr>
          </w:p>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报价</w:t>
            </w:r>
          </w:p>
        </w:tc>
        <w:tc>
          <w:tcPr>
            <w:tcW w:w="719" w:type="dxa"/>
            <w:vAlign w:val="top"/>
          </w:tcPr>
          <w:p>
            <w:pPr>
              <w:pStyle w:val="44"/>
              <w:spacing w:line="265" w:lineRule="exact"/>
              <w:ind w:left="4"/>
              <w:jc w:val="center"/>
              <w:rPr>
                <w:rFonts w:hint="eastAsia"/>
                <w:bCs w:val="0"/>
                <w:color w:val="000000"/>
                <w:spacing w:val="0"/>
                <w:kern w:val="2"/>
                <w:sz w:val="22"/>
                <w:szCs w:val="21"/>
              </w:rPr>
            </w:pPr>
          </w:p>
          <w:p>
            <w:pPr>
              <w:pStyle w:val="44"/>
              <w:spacing w:line="265" w:lineRule="exact"/>
              <w:ind w:left="4"/>
              <w:jc w:val="center"/>
              <w:rPr>
                <w:rFonts w:hint="eastAsia"/>
                <w:bCs w:val="0"/>
                <w:color w:val="000000"/>
                <w:spacing w:val="0"/>
                <w:kern w:val="2"/>
                <w:sz w:val="22"/>
                <w:szCs w:val="21"/>
              </w:rPr>
            </w:pPr>
          </w:p>
          <w:p>
            <w:pPr>
              <w:pStyle w:val="44"/>
              <w:spacing w:line="265" w:lineRule="exact"/>
              <w:ind w:left="4"/>
              <w:jc w:val="center"/>
              <w:rPr>
                <w:rFonts w:hint="eastAsia"/>
                <w:bCs w:val="0"/>
                <w:color w:val="000000"/>
                <w:spacing w:val="0"/>
                <w:kern w:val="2"/>
                <w:sz w:val="22"/>
                <w:szCs w:val="21"/>
              </w:rPr>
            </w:pPr>
          </w:p>
          <w:p>
            <w:pPr>
              <w:pStyle w:val="44"/>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10</w:t>
            </w:r>
          </w:p>
        </w:tc>
        <w:tc>
          <w:tcPr>
            <w:tcW w:w="5515" w:type="dxa"/>
            <w:vAlign w:val="center"/>
          </w:tcPr>
          <w:p>
            <w:pPr>
              <w:pStyle w:val="44"/>
              <w:spacing w:line="265" w:lineRule="exact"/>
              <w:ind w:left="210" w:leftChars="100"/>
              <w:jc w:val="both"/>
              <w:rPr>
                <w:rFonts w:hint="eastAsia"/>
                <w:bCs w:val="0"/>
                <w:color w:val="000000"/>
                <w:spacing w:val="0"/>
                <w:kern w:val="2"/>
                <w:sz w:val="22"/>
                <w:szCs w:val="21"/>
              </w:rPr>
            </w:pPr>
            <w:r>
              <w:rPr>
                <w:rFonts w:hint="eastAsia"/>
                <w:bCs w:val="0"/>
                <w:color w:val="000000"/>
                <w:spacing w:val="0"/>
                <w:kern w:val="2"/>
                <w:sz w:val="22"/>
                <w:szCs w:val="21"/>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510" w:type="dxa"/>
            <w:vMerge w:val="restart"/>
            <w:vAlign w:val="center"/>
          </w:tcPr>
          <w:p>
            <w:pPr>
              <w:pStyle w:val="44"/>
              <w:spacing w:line="265" w:lineRule="exact"/>
              <w:jc w:val="center"/>
              <w:rPr>
                <w:rFonts w:hint="eastAsia"/>
                <w:bCs w:val="0"/>
                <w:color w:val="000000"/>
                <w:spacing w:val="0"/>
                <w:kern w:val="2"/>
                <w:sz w:val="24"/>
                <w:szCs w:val="22"/>
              </w:rPr>
            </w:pPr>
            <w:r>
              <w:rPr>
                <w:rFonts w:hint="eastAsia"/>
                <w:bCs w:val="0"/>
                <w:color w:val="000000"/>
                <w:spacing w:val="0"/>
                <w:kern w:val="2"/>
                <w:sz w:val="24"/>
                <w:szCs w:val="22"/>
              </w:rPr>
              <w:t>2</w:t>
            </w:r>
          </w:p>
        </w:tc>
        <w:tc>
          <w:tcPr>
            <w:tcW w:w="1095" w:type="dxa"/>
            <w:vMerge w:val="restart"/>
          </w:tcPr>
          <w:p>
            <w:pPr>
              <w:pStyle w:val="44"/>
              <w:spacing w:line="265" w:lineRule="exact"/>
              <w:ind w:left="4"/>
              <w:jc w:val="center"/>
              <w:rPr>
                <w:rFonts w:hint="eastAsia"/>
                <w:bCs w:val="0"/>
                <w:color w:val="000000"/>
                <w:spacing w:val="0"/>
                <w:kern w:val="2"/>
                <w:sz w:val="22"/>
                <w:szCs w:val="21"/>
              </w:rPr>
            </w:pPr>
          </w:p>
          <w:p>
            <w:pPr>
              <w:pStyle w:val="44"/>
              <w:spacing w:line="265" w:lineRule="exact"/>
              <w:ind w:left="4"/>
              <w:jc w:val="center"/>
              <w:rPr>
                <w:rFonts w:hint="eastAsia"/>
                <w:bCs w:val="0"/>
                <w:color w:val="000000"/>
                <w:spacing w:val="0"/>
                <w:kern w:val="2"/>
                <w:sz w:val="22"/>
                <w:szCs w:val="21"/>
              </w:rPr>
            </w:pPr>
          </w:p>
          <w:p>
            <w:pPr>
              <w:pStyle w:val="44"/>
              <w:spacing w:line="265" w:lineRule="exact"/>
              <w:ind w:left="4"/>
              <w:jc w:val="center"/>
              <w:rPr>
                <w:rFonts w:hint="eastAsia"/>
                <w:bCs w:val="0"/>
                <w:color w:val="000000"/>
                <w:spacing w:val="0"/>
                <w:kern w:val="2"/>
                <w:sz w:val="22"/>
                <w:szCs w:val="21"/>
              </w:rPr>
            </w:pPr>
          </w:p>
          <w:p>
            <w:pPr>
              <w:pStyle w:val="44"/>
              <w:spacing w:line="265" w:lineRule="exact"/>
              <w:jc w:val="center"/>
              <w:rPr>
                <w:rFonts w:hint="eastAsia"/>
                <w:bCs w:val="0"/>
                <w:color w:val="000000"/>
                <w:spacing w:val="0"/>
                <w:kern w:val="2"/>
                <w:sz w:val="22"/>
                <w:szCs w:val="21"/>
              </w:rPr>
            </w:pPr>
            <w:r>
              <w:rPr>
                <w:rFonts w:hint="eastAsia"/>
                <w:bCs w:val="0"/>
                <w:color w:val="000000"/>
                <w:spacing w:val="0"/>
                <w:kern w:val="2"/>
                <w:sz w:val="22"/>
                <w:szCs w:val="21"/>
              </w:rPr>
              <w:t>商务部分</w:t>
            </w:r>
          </w:p>
          <w:p>
            <w:pPr>
              <w:pStyle w:val="44"/>
              <w:spacing w:line="265" w:lineRule="exact"/>
              <w:ind w:left="4"/>
              <w:jc w:val="center"/>
              <w:rPr>
                <w:rFonts w:hint="eastAsia"/>
                <w:bCs w:val="0"/>
                <w:color w:val="000000"/>
                <w:spacing w:val="0"/>
                <w:kern w:val="2"/>
                <w:sz w:val="22"/>
                <w:szCs w:val="21"/>
              </w:rPr>
            </w:pPr>
            <w:r>
              <w:rPr>
                <w:rFonts w:hint="eastAsia"/>
                <w:bCs w:val="0"/>
                <w:color w:val="000000"/>
                <w:spacing w:val="0"/>
                <w:kern w:val="2"/>
                <w:sz w:val="22"/>
                <w:szCs w:val="21"/>
              </w:rPr>
              <w:t>（</w:t>
            </w:r>
            <w:r>
              <w:rPr>
                <w:rFonts w:hint="eastAsia"/>
                <w:bCs w:val="0"/>
                <w:color w:val="000000"/>
                <w:spacing w:val="0"/>
                <w:kern w:val="2"/>
                <w:sz w:val="22"/>
                <w:szCs w:val="21"/>
                <w:lang w:val="en-US" w:eastAsia="zh-CN"/>
              </w:rPr>
              <w:t>35</w:t>
            </w:r>
            <w:r>
              <w:rPr>
                <w:rFonts w:hint="eastAsia"/>
                <w:bCs w:val="0"/>
                <w:color w:val="000000"/>
                <w:spacing w:val="0"/>
                <w:kern w:val="2"/>
                <w:sz w:val="22"/>
                <w:szCs w:val="21"/>
              </w:rPr>
              <w:t>分）</w:t>
            </w:r>
          </w:p>
        </w:tc>
        <w:tc>
          <w:tcPr>
            <w:tcW w:w="1185" w:type="dxa"/>
            <w:vAlign w:val="center"/>
          </w:tcPr>
          <w:p>
            <w:pPr>
              <w:pStyle w:val="44"/>
              <w:spacing w:line="240" w:lineRule="auto"/>
              <w:ind w:right="48"/>
              <w:jc w:val="center"/>
              <w:rPr>
                <w:rFonts w:hint="eastAsia"/>
                <w:bCs w:val="0"/>
                <w:color w:val="000000"/>
                <w:spacing w:val="0"/>
                <w:kern w:val="2"/>
                <w:sz w:val="22"/>
                <w:szCs w:val="21"/>
                <w:lang w:val="en-US" w:eastAsia="zh-CN"/>
              </w:rPr>
            </w:pPr>
          </w:p>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类似项目</w:t>
            </w:r>
          </w:p>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业绩</w:t>
            </w:r>
          </w:p>
        </w:tc>
        <w:tc>
          <w:tcPr>
            <w:tcW w:w="719" w:type="dxa"/>
            <w:vAlign w:val="center"/>
          </w:tcPr>
          <w:p>
            <w:pPr>
              <w:pStyle w:val="44"/>
              <w:spacing w:line="265" w:lineRule="exact"/>
              <w:ind w:left="4"/>
              <w:jc w:val="center"/>
              <w:rPr>
                <w:rFonts w:hint="default"/>
                <w:bCs w:val="0"/>
                <w:color w:val="000000"/>
                <w:spacing w:val="0"/>
                <w:kern w:val="2"/>
                <w:sz w:val="22"/>
                <w:szCs w:val="21"/>
                <w:lang w:val="en-US" w:eastAsia="zh-CN"/>
              </w:rPr>
            </w:pPr>
            <w:r>
              <w:rPr>
                <w:rFonts w:hint="eastAsia"/>
                <w:bCs w:val="0"/>
                <w:color w:val="000000"/>
                <w:spacing w:val="0"/>
                <w:kern w:val="2"/>
                <w:sz w:val="22"/>
                <w:szCs w:val="21"/>
                <w:lang w:val="en-US" w:eastAsia="zh-CN"/>
              </w:rPr>
              <w:t>16</w:t>
            </w:r>
          </w:p>
        </w:tc>
        <w:tc>
          <w:tcPr>
            <w:tcW w:w="5515" w:type="dxa"/>
            <w:vAlign w:val="center"/>
          </w:tcPr>
          <w:p>
            <w:pPr>
              <w:pStyle w:val="44"/>
              <w:spacing w:line="265" w:lineRule="exact"/>
              <w:ind w:left="210" w:leftChars="100"/>
              <w:jc w:val="both"/>
              <w:rPr>
                <w:rFonts w:hint="eastAsia"/>
                <w:bCs w:val="0"/>
                <w:color w:val="000000"/>
                <w:spacing w:val="0"/>
                <w:kern w:val="2"/>
                <w:sz w:val="22"/>
                <w:szCs w:val="21"/>
              </w:rPr>
            </w:pPr>
            <w:r>
              <w:rPr>
                <w:rFonts w:hint="eastAsia"/>
                <w:bCs w:val="0"/>
                <w:color w:val="000000"/>
                <w:spacing w:val="0"/>
                <w:kern w:val="2"/>
                <w:sz w:val="22"/>
                <w:szCs w:val="21"/>
              </w:rPr>
              <w:t>供应商近五年来承担过的规划类项目业绩，每提供一项得</w:t>
            </w:r>
            <w:r>
              <w:rPr>
                <w:rFonts w:hint="eastAsia"/>
                <w:bCs w:val="0"/>
                <w:color w:val="000000"/>
                <w:spacing w:val="0"/>
                <w:kern w:val="2"/>
                <w:sz w:val="22"/>
                <w:szCs w:val="21"/>
                <w:lang w:val="en-US" w:eastAsia="zh-CN"/>
              </w:rPr>
              <w:t>4</w:t>
            </w:r>
            <w:r>
              <w:rPr>
                <w:rFonts w:hint="eastAsia"/>
                <w:bCs w:val="0"/>
                <w:color w:val="000000"/>
                <w:spacing w:val="0"/>
                <w:kern w:val="2"/>
                <w:sz w:val="22"/>
                <w:szCs w:val="21"/>
              </w:rPr>
              <w:t>分，最高</w:t>
            </w:r>
            <w:r>
              <w:rPr>
                <w:rFonts w:hint="eastAsia"/>
                <w:bCs w:val="0"/>
                <w:color w:val="000000"/>
                <w:spacing w:val="0"/>
                <w:kern w:val="2"/>
                <w:sz w:val="22"/>
                <w:szCs w:val="21"/>
                <w:lang w:val="en-US" w:eastAsia="zh-CN"/>
              </w:rPr>
              <w:t>16分（须提供中标通知书或合同复印件加盖投标供应商单位</w:t>
            </w:r>
            <w:r>
              <w:rPr>
                <w:rFonts w:hint="eastAsia"/>
                <w:bCs w:val="0"/>
                <w:color w:val="000000"/>
                <w:spacing w:val="0"/>
                <w:kern w:val="2"/>
                <w:sz w:val="22"/>
                <w:szCs w:val="21"/>
              </w:rPr>
              <w:t>公章），类似业绩时间以合同签订时间为准。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5" w:hRule="atLeast"/>
        </w:trPr>
        <w:tc>
          <w:tcPr>
            <w:tcW w:w="510" w:type="dxa"/>
            <w:vMerge w:val="continue"/>
            <w:vAlign w:val="center"/>
          </w:tcPr>
          <w:p>
            <w:pPr>
              <w:jc w:val="center"/>
              <w:rPr>
                <w:rFonts w:hint="eastAsia" w:asciiTheme="minorHAnsi" w:hAnsiTheme="minorHAnsi" w:eastAsiaTheme="minorEastAsia" w:cstheme="minorBidi"/>
                <w:bCs w:val="0"/>
                <w:color w:val="000000"/>
                <w:spacing w:val="0"/>
                <w:kern w:val="2"/>
                <w:sz w:val="24"/>
                <w:szCs w:val="22"/>
                <w:lang w:val="en-US" w:eastAsia="zh-CN" w:bidi="ar-SA"/>
              </w:rPr>
            </w:pPr>
          </w:p>
        </w:tc>
        <w:tc>
          <w:tcPr>
            <w:tcW w:w="1095" w:type="dxa"/>
            <w:vMerge w:val="continue"/>
          </w:tcPr>
          <w:p>
            <w:pPr>
              <w:jc w:val="center"/>
              <w:rPr>
                <w:rFonts w:hint="eastAsia" w:asciiTheme="minorHAnsi" w:hAnsiTheme="minorHAnsi" w:eastAsiaTheme="minorEastAsia" w:cstheme="minorBidi"/>
                <w:bCs w:val="0"/>
                <w:color w:val="000000"/>
                <w:spacing w:val="0"/>
                <w:kern w:val="2"/>
                <w:sz w:val="22"/>
                <w:szCs w:val="21"/>
                <w:lang w:val="en-US" w:eastAsia="zh-CN" w:bidi="ar-SA"/>
              </w:rPr>
            </w:pPr>
          </w:p>
        </w:tc>
        <w:tc>
          <w:tcPr>
            <w:tcW w:w="1185" w:type="dxa"/>
            <w:vAlign w:val="center"/>
          </w:tcPr>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项目团队</w:t>
            </w:r>
          </w:p>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人员配备</w:t>
            </w:r>
          </w:p>
        </w:tc>
        <w:tc>
          <w:tcPr>
            <w:tcW w:w="719" w:type="dxa"/>
            <w:vAlign w:val="top"/>
          </w:tcPr>
          <w:p>
            <w:pPr>
              <w:pStyle w:val="44"/>
              <w:spacing w:line="265" w:lineRule="exact"/>
              <w:ind w:left="4"/>
              <w:jc w:val="center"/>
              <w:rPr>
                <w:rFonts w:hint="eastAsia"/>
                <w:bCs w:val="0"/>
                <w:color w:val="000000"/>
                <w:spacing w:val="0"/>
                <w:kern w:val="2"/>
                <w:sz w:val="22"/>
                <w:szCs w:val="21"/>
                <w:lang w:val="en-US" w:eastAsia="zh-CN"/>
              </w:rPr>
            </w:pPr>
          </w:p>
          <w:p>
            <w:pPr>
              <w:pStyle w:val="44"/>
              <w:spacing w:line="265" w:lineRule="exact"/>
              <w:ind w:left="4"/>
              <w:jc w:val="center"/>
              <w:rPr>
                <w:rFonts w:hint="default"/>
                <w:bCs w:val="0"/>
                <w:color w:val="000000"/>
                <w:spacing w:val="0"/>
                <w:kern w:val="2"/>
                <w:sz w:val="22"/>
                <w:szCs w:val="21"/>
                <w:lang w:val="en-US" w:eastAsia="zh-CN"/>
              </w:rPr>
            </w:pPr>
            <w:r>
              <w:rPr>
                <w:rFonts w:hint="eastAsia"/>
                <w:bCs w:val="0"/>
                <w:color w:val="000000"/>
                <w:spacing w:val="0"/>
                <w:kern w:val="2"/>
                <w:sz w:val="22"/>
                <w:szCs w:val="21"/>
                <w:lang w:val="en-US" w:eastAsia="zh-CN"/>
              </w:rPr>
              <w:t xml:space="preserve"> 16</w:t>
            </w:r>
          </w:p>
        </w:tc>
        <w:tc>
          <w:tcPr>
            <w:tcW w:w="5515" w:type="dxa"/>
            <w:vAlign w:val="center"/>
          </w:tcPr>
          <w:p>
            <w:pPr>
              <w:pStyle w:val="44"/>
              <w:spacing w:line="265" w:lineRule="exact"/>
              <w:ind w:left="210" w:leftChars="100"/>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bCs w:val="0"/>
                <w:color w:val="000000"/>
                <w:spacing w:val="0"/>
                <w:kern w:val="2"/>
                <w:sz w:val="22"/>
                <w:szCs w:val="21"/>
                <w:lang w:val="en-US" w:eastAsia="zh-CN"/>
              </w:rPr>
              <w:t>供应商拟派本项目组成员中每配备一名（规划、景观、道路、给排水等相关专业）注册执业资格证书的得2分，最高得8分；每配备一名高级职称人员的得2分，最高得8分; 累计不超过16分。（须提供项目组成员相关证件的复印件并加盖单位公章）；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510" w:type="dxa"/>
            <w:vMerge w:val="continue"/>
            <w:vAlign w:val="center"/>
          </w:tcPr>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tc>
        <w:tc>
          <w:tcPr>
            <w:tcW w:w="1095" w:type="dxa"/>
            <w:vMerge w:val="continue"/>
          </w:tcPr>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vAlign w:val="center"/>
          </w:tcPr>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响应文件</w:t>
            </w:r>
          </w:p>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制作</w:t>
            </w:r>
          </w:p>
        </w:tc>
        <w:tc>
          <w:tcPr>
            <w:tcW w:w="719" w:type="dxa"/>
            <w:tcBorders>
              <w:left w:val="single" w:color="auto" w:sz="4" w:space="0"/>
            </w:tcBorders>
            <w:vAlign w:val="center"/>
          </w:tcPr>
          <w:p>
            <w:pPr>
              <w:pStyle w:val="44"/>
              <w:spacing w:line="265" w:lineRule="exact"/>
              <w:ind w:left="4"/>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3</w:t>
            </w:r>
          </w:p>
        </w:tc>
        <w:tc>
          <w:tcPr>
            <w:tcW w:w="5515" w:type="dxa"/>
            <w:vAlign w:val="center"/>
          </w:tcPr>
          <w:p>
            <w:pPr>
              <w:pStyle w:val="44"/>
              <w:spacing w:line="265" w:lineRule="exact"/>
              <w:ind w:left="210" w:leftChars="100"/>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根据供应商响应文件编制水平及内容完整性（编制水平差的表现包括但不限于：编排杂乱无序、叙述答非所问、资料残缺不全、资料模糊不清、前后不一致等）合理可行的得3分；编制欠合理，基本可行1-2分。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510" w:type="dxa"/>
            <w:vMerge w:val="restart"/>
            <w:tcBorders>
              <w:top w:val="single" w:color="auto" w:sz="4" w:space="0"/>
              <w:left w:val="single" w:color="auto" w:sz="4" w:space="0"/>
              <w:right w:val="single" w:color="auto" w:sz="4" w:space="0"/>
            </w:tcBorders>
            <w:vAlign w:val="center"/>
          </w:tcPr>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4"/>
                <w:szCs w:val="22"/>
                <w:lang w:val="en-US" w:eastAsia="zh-CN" w:bidi="ar-SA"/>
              </w:rPr>
            </w:pPr>
            <w:r>
              <w:rPr>
                <w:rFonts w:hint="eastAsia" w:asciiTheme="minorHAnsi" w:hAnsiTheme="minorHAnsi" w:eastAsiaTheme="minorEastAsia" w:cstheme="minorBidi"/>
                <w:bCs w:val="0"/>
                <w:color w:val="000000"/>
                <w:spacing w:val="0"/>
                <w:kern w:val="2"/>
                <w:sz w:val="24"/>
                <w:szCs w:val="22"/>
                <w:lang w:val="en-US" w:eastAsia="zh-CN" w:bidi="ar-SA"/>
              </w:rPr>
              <w:t>3</w:t>
            </w:r>
          </w:p>
        </w:tc>
        <w:tc>
          <w:tcPr>
            <w:tcW w:w="1095" w:type="dxa"/>
            <w:vMerge w:val="restart"/>
            <w:tcBorders>
              <w:top w:val="single" w:color="auto" w:sz="4" w:space="0"/>
              <w:left w:val="single" w:color="auto" w:sz="4" w:space="0"/>
              <w:right w:val="single" w:color="auto" w:sz="4" w:space="0"/>
            </w:tcBorders>
          </w:tcPr>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p>
          <w:p>
            <w:pPr>
              <w:pStyle w:val="44"/>
              <w:spacing w:line="265" w:lineRule="exact"/>
              <w:ind w:left="4"/>
              <w:jc w:val="center"/>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技术部分</w:t>
            </w:r>
          </w:p>
          <w:p>
            <w:pPr>
              <w:pStyle w:val="44"/>
              <w:spacing w:line="265" w:lineRule="exact"/>
              <w:ind w:left="4"/>
              <w:jc w:val="center"/>
              <w:rPr>
                <w:rFonts w:hint="default"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w:t>
            </w:r>
            <w:r>
              <w:rPr>
                <w:rFonts w:hint="eastAsia" w:cstheme="minorBidi"/>
                <w:bCs w:val="0"/>
                <w:color w:val="000000"/>
                <w:spacing w:val="0"/>
                <w:kern w:val="2"/>
                <w:sz w:val="22"/>
                <w:szCs w:val="21"/>
                <w:lang w:val="en-US" w:eastAsia="zh-CN" w:bidi="ar-SA"/>
              </w:rPr>
              <w:t>55</w:t>
            </w:r>
            <w:r>
              <w:rPr>
                <w:rFonts w:hint="eastAsia" w:asciiTheme="minorHAnsi" w:hAnsiTheme="minorHAnsi" w:eastAsiaTheme="minorEastAsia" w:cstheme="minorBidi"/>
                <w:bCs w:val="0"/>
                <w:color w:val="000000"/>
                <w:spacing w:val="0"/>
                <w:kern w:val="2"/>
                <w:sz w:val="22"/>
                <w:szCs w:val="21"/>
                <w:lang w:val="en-US" w:eastAsia="zh-CN" w:bidi="ar-SA"/>
              </w:rPr>
              <w:t>分）</w:t>
            </w:r>
          </w:p>
        </w:tc>
        <w:tc>
          <w:tcPr>
            <w:tcW w:w="1185" w:type="dxa"/>
            <w:tcBorders>
              <w:top w:val="single" w:color="auto" w:sz="4" w:space="0"/>
              <w:left w:val="single" w:color="auto" w:sz="4" w:space="0"/>
              <w:bottom w:val="single" w:color="auto" w:sz="4" w:space="0"/>
              <w:right w:val="single" w:color="auto" w:sz="4" w:space="0"/>
            </w:tcBorders>
            <w:vAlign w:val="center"/>
          </w:tcPr>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项目理解</w:t>
            </w:r>
          </w:p>
        </w:tc>
        <w:tc>
          <w:tcPr>
            <w:tcW w:w="719" w:type="dxa"/>
            <w:tcBorders>
              <w:left w:val="single" w:color="auto" w:sz="4" w:space="0"/>
            </w:tcBorders>
            <w:vAlign w:val="top"/>
          </w:tcPr>
          <w:p>
            <w:pPr>
              <w:pStyle w:val="44"/>
              <w:spacing w:line="265" w:lineRule="exact"/>
              <w:ind w:left="4"/>
              <w:jc w:val="center"/>
              <w:rPr>
                <w:rFonts w:hint="eastAsia"/>
                <w:bCs w:val="0"/>
                <w:color w:val="000000"/>
                <w:spacing w:val="0"/>
                <w:kern w:val="2"/>
                <w:sz w:val="22"/>
                <w:szCs w:val="21"/>
                <w:lang w:val="en-US" w:eastAsia="zh-CN"/>
              </w:rPr>
            </w:pPr>
          </w:p>
          <w:p>
            <w:pPr>
              <w:pStyle w:val="44"/>
              <w:spacing w:line="265" w:lineRule="exact"/>
              <w:ind w:left="4"/>
              <w:jc w:val="center"/>
              <w:rPr>
                <w:rFonts w:hint="eastAsia"/>
                <w:bCs w:val="0"/>
                <w:color w:val="000000"/>
                <w:spacing w:val="0"/>
                <w:kern w:val="2"/>
                <w:sz w:val="22"/>
                <w:szCs w:val="21"/>
                <w:lang w:val="en-US" w:eastAsia="zh-CN"/>
              </w:rPr>
            </w:pPr>
          </w:p>
          <w:p>
            <w:pPr>
              <w:pStyle w:val="44"/>
              <w:spacing w:line="265" w:lineRule="exact"/>
              <w:ind w:left="4"/>
              <w:jc w:val="center"/>
              <w:rPr>
                <w:rFonts w:hint="default"/>
                <w:bCs w:val="0"/>
                <w:color w:val="000000"/>
                <w:spacing w:val="0"/>
                <w:kern w:val="2"/>
                <w:sz w:val="22"/>
                <w:szCs w:val="21"/>
                <w:lang w:val="en-US" w:eastAsia="zh-CN"/>
              </w:rPr>
            </w:pPr>
            <w:r>
              <w:rPr>
                <w:rFonts w:hint="eastAsia"/>
                <w:bCs w:val="0"/>
                <w:color w:val="000000"/>
                <w:spacing w:val="0"/>
                <w:kern w:val="2"/>
                <w:sz w:val="22"/>
                <w:szCs w:val="21"/>
                <w:lang w:val="en-US" w:eastAsia="zh-CN"/>
              </w:rPr>
              <w:t>15</w:t>
            </w:r>
          </w:p>
        </w:tc>
        <w:tc>
          <w:tcPr>
            <w:tcW w:w="5515" w:type="dxa"/>
            <w:vAlign w:val="center"/>
          </w:tcPr>
          <w:p>
            <w:pPr>
              <w:pStyle w:val="44"/>
              <w:spacing w:line="265" w:lineRule="exact"/>
              <w:ind w:left="210" w:leftChars="100"/>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供应商对改造专项规划关键问题的理解及对总体思路理解准确、透彻、清晰的得10-15分；理解基本完善的得6-9分；基本理解的得1-5分，未提供不得分。（以响应文件编制内容为准）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510" w:type="dxa"/>
            <w:vMerge w:val="continue"/>
            <w:tcBorders>
              <w:left w:val="single" w:color="auto" w:sz="4" w:space="0"/>
              <w:right w:val="single" w:color="auto" w:sz="4" w:space="0"/>
            </w:tcBorders>
          </w:tcPr>
          <w:p>
            <w:pPr>
              <w:rPr>
                <w:rFonts w:hint="eastAsia" w:asciiTheme="minorHAnsi" w:hAnsiTheme="minorHAnsi" w:eastAsiaTheme="minorEastAsia" w:cstheme="minorBidi"/>
                <w:bCs w:val="0"/>
                <w:color w:val="000000"/>
                <w:spacing w:val="0"/>
                <w:kern w:val="2"/>
                <w:sz w:val="22"/>
                <w:szCs w:val="21"/>
                <w:lang w:val="en-US" w:eastAsia="zh-CN" w:bidi="ar-SA"/>
              </w:rPr>
            </w:pPr>
          </w:p>
        </w:tc>
        <w:tc>
          <w:tcPr>
            <w:tcW w:w="1095" w:type="dxa"/>
            <w:vMerge w:val="continue"/>
            <w:tcBorders>
              <w:left w:val="single" w:color="auto" w:sz="4" w:space="0"/>
              <w:right w:val="single" w:color="auto" w:sz="4" w:space="0"/>
            </w:tcBorders>
          </w:tcPr>
          <w:p>
            <w:pPr>
              <w:rPr>
                <w:rFonts w:hint="eastAsia" w:asciiTheme="minorHAnsi" w:hAnsiTheme="minorHAnsi" w:eastAsiaTheme="minorEastAsia" w:cstheme="minorBidi"/>
                <w:bCs w:val="0"/>
                <w:color w:val="000000"/>
                <w:spacing w:val="0"/>
                <w:kern w:val="2"/>
                <w:sz w:val="22"/>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vAlign w:val="center"/>
          </w:tcPr>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进度计划</w:t>
            </w:r>
          </w:p>
          <w:p>
            <w:pPr>
              <w:pStyle w:val="44"/>
              <w:spacing w:line="240" w:lineRule="auto"/>
              <w:ind w:right="48"/>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安排</w:t>
            </w:r>
          </w:p>
        </w:tc>
        <w:tc>
          <w:tcPr>
            <w:tcW w:w="719" w:type="dxa"/>
            <w:tcBorders>
              <w:left w:val="single" w:color="auto" w:sz="4" w:space="0"/>
            </w:tcBorders>
            <w:vAlign w:val="center"/>
          </w:tcPr>
          <w:p>
            <w:pPr>
              <w:pStyle w:val="44"/>
              <w:spacing w:line="265" w:lineRule="exact"/>
              <w:ind w:left="4"/>
              <w:jc w:val="center"/>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 xml:space="preserve"> 15</w:t>
            </w:r>
          </w:p>
        </w:tc>
        <w:tc>
          <w:tcPr>
            <w:tcW w:w="5515" w:type="dxa"/>
            <w:vAlign w:val="center"/>
          </w:tcPr>
          <w:p>
            <w:pPr>
              <w:pStyle w:val="44"/>
              <w:spacing w:line="265" w:lineRule="exact"/>
              <w:ind w:left="210" w:leftChars="100"/>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提供的进度计划安排整体分工科学合理，进度安排切实可行，各部分任务及其完成时间明确，总进度满足要求的得10-15分；较合理可行的得6-9分；基本可行的得1-5分，未提供不得分。（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510" w:type="dxa"/>
            <w:vMerge w:val="continue"/>
            <w:tcBorders>
              <w:left w:val="single" w:color="auto" w:sz="4" w:space="0"/>
              <w:right w:val="single" w:color="auto" w:sz="4" w:space="0"/>
            </w:tcBorders>
          </w:tcPr>
          <w:p>
            <w:pPr>
              <w:rPr>
                <w:sz w:val="2"/>
                <w:szCs w:val="2"/>
              </w:rPr>
            </w:pPr>
          </w:p>
        </w:tc>
        <w:tc>
          <w:tcPr>
            <w:tcW w:w="1095" w:type="dxa"/>
            <w:vMerge w:val="continue"/>
            <w:tcBorders>
              <w:left w:val="single" w:color="auto" w:sz="4" w:space="0"/>
              <w:right w:val="single" w:color="auto" w:sz="4" w:space="0"/>
            </w:tcBorders>
          </w:tcPr>
          <w:p>
            <w:pPr>
              <w:rPr>
                <w:sz w:val="2"/>
                <w:szCs w:val="2"/>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进度保障</w:t>
            </w:r>
          </w:p>
          <w:p>
            <w:pPr>
              <w:spacing w:line="276" w:lineRule="auto"/>
              <w:jc w:val="center"/>
              <w:rPr>
                <w:rFonts w:hint="eastAsia"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措施</w:t>
            </w:r>
          </w:p>
        </w:tc>
        <w:tc>
          <w:tcPr>
            <w:tcW w:w="719" w:type="dxa"/>
            <w:tcBorders>
              <w:left w:val="single" w:color="auto" w:sz="4" w:space="0"/>
            </w:tcBorders>
            <w:vAlign w:val="center"/>
          </w:tcPr>
          <w:p>
            <w:pPr>
              <w:spacing w:line="276" w:lineRule="auto"/>
              <w:jc w:val="center"/>
              <w:rPr>
                <w:rFonts w:hint="eastAsia"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9</w:t>
            </w:r>
          </w:p>
        </w:tc>
        <w:tc>
          <w:tcPr>
            <w:tcW w:w="5515" w:type="dxa"/>
            <w:vAlign w:val="center"/>
          </w:tcPr>
          <w:p>
            <w:pPr>
              <w:spacing w:line="276" w:lineRule="auto"/>
              <w:ind w:leftChars="100"/>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供应商的进度保障措施完善合理，且完全符合项目特点得6-9分；工程进度保障措施较合理得3-5分；工程进度保障措施基本合理得0-2分。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trPr>
        <w:tc>
          <w:tcPr>
            <w:tcW w:w="510" w:type="dxa"/>
            <w:vMerge w:val="continue"/>
            <w:tcBorders>
              <w:left w:val="single" w:color="auto" w:sz="4" w:space="0"/>
              <w:right w:val="single" w:color="auto" w:sz="4" w:space="0"/>
            </w:tcBorders>
          </w:tcPr>
          <w:p>
            <w:pPr>
              <w:rPr>
                <w:sz w:val="2"/>
                <w:szCs w:val="2"/>
              </w:rPr>
            </w:pPr>
          </w:p>
        </w:tc>
        <w:tc>
          <w:tcPr>
            <w:tcW w:w="1095" w:type="dxa"/>
            <w:vMerge w:val="continue"/>
            <w:tcBorders>
              <w:left w:val="single" w:color="auto" w:sz="4" w:space="0"/>
              <w:right w:val="single" w:color="auto" w:sz="4" w:space="0"/>
            </w:tcBorders>
          </w:tcPr>
          <w:p>
            <w:pPr>
              <w:rPr>
                <w:sz w:val="2"/>
                <w:szCs w:val="2"/>
              </w:rPr>
            </w:pPr>
          </w:p>
        </w:tc>
        <w:tc>
          <w:tcPr>
            <w:tcW w:w="1185" w:type="dxa"/>
            <w:tcBorders>
              <w:top w:val="single" w:color="auto" w:sz="4" w:space="0"/>
              <w:left w:val="single" w:color="auto" w:sz="4" w:space="0"/>
              <w:bottom w:val="single" w:color="auto" w:sz="4" w:space="0"/>
              <w:right w:val="single" w:color="auto" w:sz="4" w:space="0"/>
            </w:tcBorders>
            <w:vAlign w:val="center"/>
          </w:tcPr>
          <w:p>
            <w:pPr>
              <w:pStyle w:val="44"/>
              <w:spacing w:line="240" w:lineRule="auto"/>
              <w:ind w:right="48"/>
              <w:jc w:val="center"/>
              <w:rPr>
                <w:rFonts w:hint="eastAsia" w:ascii="宋体" w:hAnsi="宋体" w:cs="宋体" w:eastAsiaTheme="minorEastAsia"/>
                <w:bCs w:val="0"/>
                <w:color w:val="000000"/>
                <w:spacing w:val="0"/>
                <w:kern w:val="2"/>
                <w:sz w:val="22"/>
                <w:szCs w:val="21"/>
                <w:lang w:val="en-US" w:eastAsia="zh-CN" w:bidi="zh-CN"/>
              </w:rPr>
            </w:pPr>
          </w:p>
          <w:p>
            <w:pPr>
              <w:pStyle w:val="44"/>
              <w:spacing w:line="240" w:lineRule="auto"/>
              <w:ind w:right="48"/>
              <w:jc w:val="center"/>
              <w:rPr>
                <w:rFonts w:hint="eastAsia"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质量保障</w:t>
            </w:r>
          </w:p>
          <w:p>
            <w:pPr>
              <w:pStyle w:val="44"/>
              <w:spacing w:line="240" w:lineRule="auto"/>
              <w:ind w:right="48"/>
              <w:jc w:val="center"/>
              <w:rPr>
                <w:rFonts w:hint="eastAsia"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措施</w:t>
            </w:r>
          </w:p>
        </w:tc>
        <w:tc>
          <w:tcPr>
            <w:tcW w:w="719" w:type="dxa"/>
            <w:tcBorders>
              <w:left w:val="single" w:color="auto" w:sz="4" w:space="0"/>
            </w:tcBorders>
            <w:vAlign w:val="center"/>
          </w:tcPr>
          <w:p>
            <w:pPr>
              <w:pStyle w:val="44"/>
              <w:spacing w:line="265" w:lineRule="exact"/>
              <w:ind w:left="4"/>
              <w:jc w:val="center"/>
              <w:rPr>
                <w:rFonts w:hint="eastAsia" w:ascii="宋体" w:hAnsi="宋体" w:cs="宋体" w:eastAsiaTheme="minorEastAsia"/>
                <w:bCs w:val="0"/>
                <w:color w:val="000000"/>
                <w:spacing w:val="0"/>
                <w:kern w:val="2"/>
                <w:sz w:val="22"/>
                <w:szCs w:val="21"/>
                <w:lang w:val="en-US" w:eastAsia="zh-CN" w:bidi="zh-CN"/>
              </w:rPr>
            </w:pPr>
          </w:p>
          <w:p>
            <w:pPr>
              <w:pStyle w:val="44"/>
              <w:spacing w:line="265" w:lineRule="exact"/>
              <w:ind w:left="4"/>
              <w:jc w:val="center"/>
              <w:rPr>
                <w:rFonts w:hint="eastAsia" w:ascii="宋体" w:hAnsi="宋体" w:cs="宋体" w:eastAsiaTheme="minorEastAsia"/>
                <w:bCs w:val="0"/>
                <w:color w:val="000000"/>
                <w:spacing w:val="0"/>
                <w:kern w:val="2"/>
                <w:sz w:val="22"/>
                <w:szCs w:val="21"/>
                <w:lang w:val="en-US" w:eastAsia="zh-CN" w:bidi="zh-CN"/>
              </w:rPr>
            </w:pPr>
          </w:p>
          <w:p>
            <w:pPr>
              <w:pStyle w:val="44"/>
              <w:spacing w:line="265" w:lineRule="exact"/>
              <w:ind w:left="4"/>
              <w:jc w:val="center"/>
              <w:rPr>
                <w:rFonts w:hint="eastAsia"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8</w:t>
            </w:r>
          </w:p>
        </w:tc>
        <w:tc>
          <w:tcPr>
            <w:tcW w:w="5515" w:type="dxa"/>
            <w:vAlign w:val="center"/>
          </w:tcPr>
          <w:p>
            <w:pPr>
              <w:pStyle w:val="44"/>
              <w:spacing w:line="265" w:lineRule="exact"/>
              <w:ind w:left="210" w:leftChars="100"/>
              <w:jc w:val="both"/>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供应商提供的质量保障措施及质量监控手段完善，同时对服 务成果质量问题有相关的经济处罚承诺。措施可行、经济处 罚清晰得6-8分；较合理可行得3-5分，基本可行得1-2分，未提供不得分。</w:t>
            </w:r>
          </w:p>
          <w:p>
            <w:pPr>
              <w:pStyle w:val="44"/>
              <w:spacing w:line="265" w:lineRule="exact"/>
              <w:ind w:left="210" w:leftChars="100"/>
              <w:jc w:val="both"/>
              <w:rPr>
                <w:rFonts w:hint="eastAsia"/>
                <w:bCs w:val="0"/>
                <w:color w:val="000000"/>
                <w:spacing w:val="0"/>
                <w:kern w:val="2"/>
                <w:sz w:val="22"/>
                <w:szCs w:val="21"/>
                <w:lang w:val="en-US" w:eastAsia="zh-CN"/>
              </w:rPr>
            </w:pPr>
            <w:r>
              <w:rPr>
                <w:rFonts w:hint="eastAsia"/>
                <w:bCs w:val="0"/>
                <w:color w:val="000000"/>
                <w:spacing w:val="0"/>
                <w:kern w:val="2"/>
                <w:sz w:val="22"/>
                <w:szCs w:val="21"/>
                <w:lang w:val="en-US" w:eastAsia="zh-CN"/>
              </w:rPr>
              <w:t>（以响应文件编制内容为准）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510" w:type="dxa"/>
            <w:vMerge w:val="continue"/>
            <w:tcBorders>
              <w:left w:val="single" w:color="auto" w:sz="4" w:space="0"/>
              <w:right w:val="single" w:color="auto" w:sz="4" w:space="0"/>
            </w:tcBorders>
          </w:tcPr>
          <w:p>
            <w:pPr>
              <w:rPr>
                <w:sz w:val="2"/>
                <w:szCs w:val="2"/>
              </w:rPr>
            </w:pPr>
          </w:p>
        </w:tc>
        <w:tc>
          <w:tcPr>
            <w:tcW w:w="1095" w:type="dxa"/>
            <w:vMerge w:val="continue"/>
            <w:tcBorders>
              <w:left w:val="single" w:color="auto" w:sz="4" w:space="0"/>
              <w:right w:val="single" w:color="auto" w:sz="4" w:space="0"/>
            </w:tcBorders>
          </w:tcPr>
          <w:p>
            <w:pPr>
              <w:rPr>
                <w:sz w:val="2"/>
                <w:szCs w:val="2"/>
              </w:rPr>
            </w:pPr>
          </w:p>
        </w:tc>
        <w:tc>
          <w:tcPr>
            <w:tcW w:w="1185" w:type="dxa"/>
            <w:tcBorders>
              <w:top w:val="single" w:color="auto" w:sz="4" w:space="0"/>
              <w:left w:val="single" w:color="auto" w:sz="4" w:space="0"/>
              <w:bottom w:val="single" w:color="auto" w:sz="4" w:space="0"/>
              <w:right w:val="single" w:color="auto" w:sz="4" w:space="0"/>
            </w:tcBorders>
            <w:vAlign w:val="center"/>
          </w:tcPr>
          <w:p>
            <w:pPr>
              <w:pStyle w:val="44"/>
              <w:spacing w:line="240" w:lineRule="auto"/>
              <w:ind w:right="48"/>
              <w:jc w:val="center"/>
              <w:rPr>
                <w:rFonts w:hint="eastAsia" w:ascii="宋体" w:hAnsi="宋体" w:cs="宋体" w:eastAsiaTheme="minorEastAsia"/>
                <w:bCs w:val="0"/>
                <w:color w:val="000000"/>
                <w:spacing w:val="0"/>
                <w:kern w:val="2"/>
                <w:sz w:val="22"/>
                <w:szCs w:val="21"/>
                <w:lang w:val="en-US" w:eastAsia="zh-CN" w:bidi="zh-CN"/>
              </w:rPr>
            </w:pPr>
          </w:p>
          <w:p>
            <w:pPr>
              <w:pStyle w:val="44"/>
              <w:spacing w:line="240" w:lineRule="auto"/>
              <w:ind w:right="48"/>
              <w:jc w:val="center"/>
              <w:rPr>
                <w:rFonts w:hint="eastAsia"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服务承诺</w:t>
            </w:r>
          </w:p>
        </w:tc>
        <w:tc>
          <w:tcPr>
            <w:tcW w:w="719" w:type="dxa"/>
            <w:tcBorders>
              <w:left w:val="single" w:color="auto" w:sz="4" w:space="0"/>
            </w:tcBorders>
            <w:vAlign w:val="center"/>
          </w:tcPr>
          <w:p>
            <w:pPr>
              <w:pStyle w:val="44"/>
              <w:spacing w:line="265" w:lineRule="exact"/>
              <w:ind w:left="4"/>
              <w:jc w:val="center"/>
              <w:rPr>
                <w:rFonts w:hint="default" w:ascii="宋体" w:hAnsi="宋体" w:cs="宋体" w:eastAsiaTheme="minorEastAsia"/>
                <w:bCs w:val="0"/>
                <w:color w:val="000000"/>
                <w:spacing w:val="0"/>
                <w:kern w:val="2"/>
                <w:sz w:val="22"/>
                <w:szCs w:val="21"/>
                <w:lang w:val="en-US" w:eastAsia="zh-CN" w:bidi="zh-CN"/>
              </w:rPr>
            </w:pPr>
            <w:r>
              <w:rPr>
                <w:rFonts w:hint="eastAsia" w:ascii="宋体" w:hAnsi="宋体" w:cs="宋体" w:eastAsiaTheme="minorEastAsia"/>
                <w:bCs w:val="0"/>
                <w:color w:val="000000"/>
                <w:spacing w:val="0"/>
                <w:kern w:val="2"/>
                <w:sz w:val="22"/>
                <w:szCs w:val="21"/>
                <w:lang w:val="en-US" w:eastAsia="zh-CN" w:bidi="zh-CN"/>
              </w:rPr>
              <w:t>8</w:t>
            </w:r>
          </w:p>
        </w:tc>
        <w:tc>
          <w:tcPr>
            <w:tcW w:w="5515" w:type="dxa"/>
            <w:vAlign w:val="center"/>
          </w:tcPr>
          <w:p>
            <w:pPr>
              <w:pStyle w:val="44"/>
              <w:spacing w:line="265" w:lineRule="exact"/>
              <w:ind w:left="210" w:leftChars="100"/>
              <w:jc w:val="both"/>
              <w:rPr>
                <w:rFonts w:hint="eastAsia" w:asciiTheme="minorHAnsi" w:hAnsiTheme="minorHAnsi" w:eastAsiaTheme="minorEastAsia" w:cstheme="minorBidi"/>
                <w:bCs w:val="0"/>
                <w:color w:val="000000"/>
                <w:spacing w:val="0"/>
                <w:kern w:val="2"/>
                <w:sz w:val="22"/>
                <w:szCs w:val="21"/>
                <w:lang w:val="en-US" w:eastAsia="zh-CN" w:bidi="ar-SA"/>
              </w:rPr>
            </w:pPr>
            <w:r>
              <w:rPr>
                <w:rFonts w:hint="eastAsia" w:asciiTheme="minorHAnsi" w:hAnsiTheme="minorHAnsi" w:eastAsiaTheme="minorEastAsia" w:cstheme="minorBidi"/>
                <w:bCs w:val="0"/>
                <w:color w:val="000000"/>
                <w:spacing w:val="0"/>
                <w:kern w:val="2"/>
                <w:sz w:val="22"/>
                <w:szCs w:val="21"/>
                <w:lang w:val="en-US" w:eastAsia="zh-CN" w:bidi="ar-SA"/>
              </w:rPr>
              <w:t>供应商提供的服务计划清晰、措施完整，承诺明确，得</w:t>
            </w:r>
            <w:r>
              <w:rPr>
                <w:rFonts w:hint="eastAsia" w:cstheme="minorBidi"/>
                <w:bCs w:val="0"/>
                <w:color w:val="000000"/>
                <w:spacing w:val="0"/>
                <w:kern w:val="2"/>
                <w:sz w:val="22"/>
                <w:szCs w:val="21"/>
                <w:lang w:val="en-US" w:eastAsia="zh-CN" w:bidi="ar-SA"/>
              </w:rPr>
              <w:t>6-8</w:t>
            </w:r>
            <w:r>
              <w:rPr>
                <w:rFonts w:hint="eastAsia" w:asciiTheme="minorHAnsi" w:hAnsiTheme="minorHAnsi" w:eastAsiaTheme="minorEastAsia" w:cstheme="minorBidi"/>
                <w:bCs w:val="0"/>
                <w:color w:val="000000"/>
                <w:spacing w:val="0"/>
                <w:kern w:val="2"/>
                <w:sz w:val="22"/>
                <w:szCs w:val="21"/>
                <w:lang w:val="en-US" w:eastAsia="zh-CN" w:bidi="ar-SA"/>
              </w:rPr>
              <w:t>分有服务计划，有承诺内容，得3</w:t>
            </w:r>
            <w:r>
              <w:rPr>
                <w:rFonts w:hint="eastAsia" w:cstheme="minorBidi"/>
                <w:bCs w:val="0"/>
                <w:color w:val="000000"/>
                <w:spacing w:val="0"/>
                <w:kern w:val="2"/>
                <w:sz w:val="22"/>
                <w:szCs w:val="21"/>
                <w:lang w:val="en-US" w:eastAsia="zh-CN" w:bidi="ar-SA"/>
              </w:rPr>
              <w:t>-5</w:t>
            </w:r>
            <w:r>
              <w:rPr>
                <w:rFonts w:hint="eastAsia" w:asciiTheme="minorHAnsi" w:hAnsiTheme="minorHAnsi" w:eastAsiaTheme="minorEastAsia" w:cstheme="minorBidi"/>
                <w:bCs w:val="0"/>
                <w:color w:val="000000"/>
                <w:spacing w:val="0"/>
                <w:kern w:val="2"/>
                <w:sz w:val="22"/>
                <w:szCs w:val="21"/>
                <w:lang w:val="en-US" w:eastAsia="zh-CN" w:bidi="ar-SA"/>
              </w:rPr>
              <w:t>分</w:t>
            </w:r>
            <w:r>
              <w:rPr>
                <w:rFonts w:hint="eastAsia" w:cstheme="minorBidi"/>
                <w:bCs w:val="0"/>
                <w:color w:val="000000"/>
                <w:spacing w:val="0"/>
                <w:kern w:val="2"/>
                <w:sz w:val="22"/>
                <w:szCs w:val="21"/>
                <w:lang w:val="en-US" w:eastAsia="zh-CN" w:bidi="ar-SA"/>
              </w:rPr>
              <w:t>，</w:t>
            </w:r>
            <w:r>
              <w:rPr>
                <w:rFonts w:hint="eastAsia" w:asciiTheme="minorHAnsi" w:hAnsiTheme="minorHAnsi" w:eastAsiaTheme="minorEastAsia" w:cstheme="minorBidi"/>
                <w:bCs w:val="0"/>
                <w:color w:val="000000"/>
                <w:spacing w:val="0"/>
                <w:kern w:val="2"/>
                <w:sz w:val="22"/>
                <w:szCs w:val="21"/>
                <w:lang w:val="en-US" w:eastAsia="zh-CN" w:bidi="ar-SA"/>
              </w:rPr>
              <w:t>服务计划、承诺内容简单，得1</w:t>
            </w:r>
            <w:r>
              <w:rPr>
                <w:rFonts w:hint="eastAsia" w:cstheme="minorBidi"/>
                <w:bCs w:val="0"/>
                <w:color w:val="000000"/>
                <w:spacing w:val="0"/>
                <w:kern w:val="2"/>
                <w:sz w:val="22"/>
                <w:szCs w:val="21"/>
                <w:lang w:val="en-US" w:eastAsia="zh-CN" w:bidi="ar-SA"/>
              </w:rPr>
              <w:t>-2</w:t>
            </w:r>
            <w:r>
              <w:rPr>
                <w:rFonts w:hint="eastAsia" w:asciiTheme="minorHAnsi" w:hAnsiTheme="minorHAnsi" w:eastAsiaTheme="minorEastAsia" w:cstheme="minorBidi"/>
                <w:bCs w:val="0"/>
                <w:color w:val="000000"/>
                <w:spacing w:val="0"/>
                <w:kern w:val="2"/>
                <w:sz w:val="22"/>
                <w:szCs w:val="21"/>
                <w:lang w:val="en-US" w:eastAsia="zh-CN" w:bidi="ar-SA"/>
              </w:rPr>
              <w:t>分</w:t>
            </w:r>
            <w:r>
              <w:rPr>
                <w:rFonts w:hint="eastAsia" w:cstheme="minorBidi"/>
                <w:bCs w:val="0"/>
                <w:color w:val="000000"/>
                <w:spacing w:val="0"/>
                <w:kern w:val="2"/>
                <w:sz w:val="22"/>
                <w:szCs w:val="21"/>
                <w:lang w:val="en-US" w:eastAsia="zh-CN" w:bidi="ar-SA"/>
              </w:rPr>
              <w:t>，</w:t>
            </w:r>
            <w:r>
              <w:rPr>
                <w:rFonts w:hint="eastAsia" w:asciiTheme="minorHAnsi" w:hAnsiTheme="minorHAnsi" w:eastAsiaTheme="minorEastAsia" w:cstheme="minorBidi"/>
                <w:bCs w:val="0"/>
                <w:color w:val="000000"/>
                <w:spacing w:val="0"/>
                <w:kern w:val="2"/>
                <w:sz w:val="22"/>
                <w:szCs w:val="21"/>
                <w:lang w:val="en-US" w:eastAsia="zh-CN" w:bidi="ar-SA"/>
              </w:rPr>
              <w:t>未承诺的不得分。（以响应文件编制内容为准）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509" w:type="dxa"/>
            <w:gridSpan w:val="4"/>
            <w:tcBorders>
              <w:top w:val="single" w:color="auto" w:sz="4" w:space="0"/>
            </w:tcBorders>
            <w:vAlign w:val="center"/>
          </w:tcPr>
          <w:p>
            <w:pPr>
              <w:pStyle w:val="44"/>
              <w:spacing w:line="265" w:lineRule="exact"/>
              <w:ind w:left="4"/>
              <w:jc w:val="center"/>
              <w:rPr>
                <w:rFonts w:hint="default" w:asciiTheme="minorHAnsi" w:hAnsiTheme="minorHAnsi" w:eastAsiaTheme="minorEastAsia" w:cstheme="minorBidi"/>
                <w:bCs w:val="0"/>
                <w:color w:val="000000"/>
                <w:spacing w:val="0"/>
                <w:kern w:val="2"/>
                <w:sz w:val="22"/>
                <w:szCs w:val="21"/>
                <w:lang w:val="en-US" w:eastAsia="zh-CN" w:bidi="ar-SA"/>
              </w:rPr>
            </w:pPr>
            <w:r>
              <w:rPr>
                <w:rFonts w:hint="eastAsia" w:cstheme="minorBidi"/>
                <w:bCs w:val="0"/>
                <w:color w:val="000000"/>
                <w:spacing w:val="0"/>
                <w:kern w:val="2"/>
                <w:sz w:val="22"/>
                <w:szCs w:val="21"/>
                <w:lang w:val="en-US" w:eastAsia="zh-CN" w:bidi="ar-SA"/>
              </w:rPr>
              <w:t>总分</w:t>
            </w:r>
          </w:p>
        </w:tc>
        <w:tc>
          <w:tcPr>
            <w:tcW w:w="5515" w:type="dxa"/>
            <w:vAlign w:val="center"/>
          </w:tcPr>
          <w:p>
            <w:pPr>
              <w:pStyle w:val="44"/>
              <w:spacing w:line="265" w:lineRule="exact"/>
              <w:ind w:left="4"/>
              <w:jc w:val="center"/>
              <w:rPr>
                <w:rFonts w:hint="default" w:ascii="Times New Roman" w:hAnsi="Times New Roman" w:eastAsia="宋体" w:cs="Times New Roman"/>
                <w:bCs/>
                <w:spacing w:val="10"/>
                <w:kern w:val="0"/>
                <w:sz w:val="24"/>
                <w:szCs w:val="24"/>
                <w:lang w:val="en-US" w:eastAsia="zh-CN" w:bidi="ar-SA"/>
              </w:rPr>
            </w:pPr>
            <w:r>
              <w:rPr>
                <w:rFonts w:hint="eastAsia" w:ascii="Times New Roman" w:hAnsi="Times New Roman" w:eastAsia="宋体" w:cs="Times New Roman"/>
                <w:bCs/>
                <w:spacing w:val="10"/>
                <w:kern w:val="0"/>
                <w:sz w:val="24"/>
                <w:szCs w:val="24"/>
                <w:lang w:val="en-US" w:eastAsia="zh-CN" w:bidi="ar-SA"/>
              </w:rPr>
              <w:t>100分</w:t>
            </w:r>
          </w:p>
        </w:tc>
      </w:tr>
    </w:tbl>
    <w:p/>
    <w:p>
      <w:pPr>
        <w:pStyle w:val="37"/>
        <w:spacing w:before="36" w:after="36"/>
        <w:ind w:firstLine="0" w:firstLineChars="0"/>
        <w:outlineLvl w:val="2"/>
        <w:rPr>
          <w:rFonts w:hint="eastAsia" w:asciiTheme="minorHAnsi" w:hAnsiTheme="minorHAnsi" w:eastAsiaTheme="minorEastAsia" w:cstheme="minorBidi"/>
          <w:b/>
          <w:kern w:val="2"/>
          <w:sz w:val="24"/>
          <w:szCs w:val="21"/>
          <w:lang w:val="en-US" w:eastAsia="zh-CN" w:bidi="ar-SA"/>
        </w:rPr>
      </w:pPr>
    </w:p>
    <w:p>
      <w:pPr>
        <w:pStyle w:val="35"/>
        <w:ind w:firstLine="472" w:firstLineChars="196"/>
        <w:rPr>
          <w:rFonts w:hint="eastAsia" w:asciiTheme="minorHAnsi" w:hAnsiTheme="minorHAnsi" w:eastAsiaTheme="minorEastAsia" w:cstheme="minorBidi"/>
          <w:b/>
          <w:kern w:val="2"/>
          <w:sz w:val="24"/>
          <w:szCs w:val="21"/>
          <w:lang w:val="en-US" w:eastAsia="zh-CN" w:bidi="ar-SA"/>
        </w:rPr>
      </w:pPr>
      <w:r>
        <w:rPr>
          <w:rFonts w:hint="eastAsia" w:asciiTheme="minorHAnsi" w:hAnsiTheme="minorHAnsi" w:eastAsiaTheme="minorEastAsia" w:cstheme="minorBidi"/>
          <w:b/>
          <w:kern w:val="2"/>
          <w:sz w:val="24"/>
          <w:szCs w:val="21"/>
          <w:lang w:val="en-US" w:eastAsia="zh-CN" w:bidi="ar-SA"/>
        </w:rPr>
        <w:t>注：1、磋商文件要求提交的与评价指标体系相关的各类有效资料的复印件并加盖公章，如未按要求提交的，该项评分为零分。</w:t>
      </w:r>
    </w:p>
    <w:p>
      <w:pPr>
        <w:spacing w:line="360" w:lineRule="auto"/>
        <w:rPr>
          <w:rFonts w:hint="eastAsia" w:asciiTheme="minorHAnsi" w:hAnsiTheme="minorHAnsi" w:eastAsiaTheme="minorEastAsia" w:cstheme="minorBidi"/>
          <w:b/>
          <w:kern w:val="2"/>
          <w:sz w:val="24"/>
          <w:szCs w:val="21"/>
          <w:lang w:val="en-US" w:eastAsia="zh-CN" w:bidi="ar-SA"/>
        </w:rPr>
      </w:pPr>
      <w:r>
        <w:rPr>
          <w:rFonts w:hint="eastAsia" w:asciiTheme="minorHAnsi" w:hAnsiTheme="minorHAnsi" w:eastAsiaTheme="minorEastAsia" w:cstheme="minorBidi"/>
          <w:b/>
          <w:kern w:val="2"/>
          <w:sz w:val="24"/>
          <w:szCs w:val="21"/>
          <w:lang w:val="en-US" w:eastAsia="zh-CN" w:bidi="ar-SA"/>
        </w:rPr>
        <w:t>2、评委按规定的范围内进行量化打分并统计总分（四舍五入后小数点后保留两位有效数字）。</w:t>
      </w:r>
    </w:p>
    <w:p>
      <w:pPr>
        <w:widowControl/>
        <w:spacing w:line="360" w:lineRule="auto"/>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2"/>
          <w:szCs w:val="32"/>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本合同由（以下简称“需方”）与（以下简称“供方”）签订。</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hint="eastAsia" w:ascii="Times New Roman" w:hAnsi="Times New Roman" w:cs="Times New Roman"/>
          <w:kern w:val="0"/>
          <w:sz w:val="24"/>
          <w:szCs w:val="24"/>
          <w:lang w:val="en-US" w:eastAsia="zh-CN"/>
        </w:rPr>
        <w:t xml:space="preserve">                         </w:t>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2）报价组成情况表(附件2)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3）货物（服务）清单(附件3)；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）法人（负责人）代表授权书（附件7）；</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ascii="Times New Roman" w:hAnsi="Times New Roman" w:eastAsia="宋体" w:cs="Times New Roman"/>
          <w:sz w:val="24"/>
          <w:szCs w:val="24"/>
        </w:rPr>
        <w:t>）具备履行合同所必需的设备和专业技术能力的证明材料(附件10)；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10</w:t>
      </w:r>
      <w:r>
        <w:rPr>
          <w:rFonts w:ascii="Times New Roman" w:hAnsi="Times New Roman" w:eastAsia="宋体" w:cs="Times New Roman"/>
          <w:sz w:val="24"/>
          <w:szCs w:val="24"/>
        </w:rPr>
        <w:t>）参加政府采购活动前3年内在经营活动中没有重大违法记录的书面声明(附件11)；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lang w:val="en-US" w:eastAsia="zh-CN"/>
        </w:rPr>
        <w:t>11</w:t>
      </w:r>
      <w:r>
        <w:rPr>
          <w:rFonts w:hint="eastAsia"/>
          <w:bCs/>
          <w:color w:val="000000" w:themeColor="text1"/>
          <w:sz w:val="24"/>
        </w:rPr>
        <w:t>）未被列入“信用中国”网站(www.creditchina. gov.cn)失信被执行人、重大税收违法案件当事人名单、政府采购严重违法失信行为记录名单的网页打印件(附件12)。</w:t>
      </w:r>
    </w:p>
    <w:p>
      <w:pPr>
        <w:spacing w:line="360" w:lineRule="auto"/>
        <w:ind w:firstLine="480"/>
        <w:rPr>
          <w:rFonts w:ascii="Times New Roman" w:hAnsi="Times New Roman" w:eastAsia="宋体" w:cs="Times New Roman"/>
          <w:sz w:val="24"/>
          <w:szCs w:val="24"/>
        </w:rPr>
      </w:pPr>
      <w:r>
        <w:rPr>
          <w:rFonts w:hint="eastAsia"/>
          <w:bCs/>
          <w:color w:val="000000" w:themeColor="text1"/>
          <w:sz w:val="24"/>
          <w:lang w:val="en-US" w:eastAsia="zh-CN"/>
        </w:rPr>
        <w:t>12</w:t>
      </w:r>
      <w:r>
        <w:rPr>
          <w:rFonts w:hint="eastAsia"/>
          <w:bCs/>
          <w:color w:val="000000" w:themeColor="text1"/>
          <w:sz w:val="24"/>
        </w:rPr>
        <w:t>）《中小企业声明函》、《残疾人福利性单位声明函》、属于监狱企业的证明文件等（如果有的话）(附件13)。</w:t>
      </w:r>
    </w:p>
    <w:p>
      <w:pPr>
        <w:spacing w:line="360" w:lineRule="auto"/>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报价组成情况表</w:t>
      </w:r>
    </w:p>
    <w:p>
      <w:pPr>
        <w:spacing w:line="360" w:lineRule="auto"/>
        <w:rPr>
          <w:rFonts w:ascii="Times New Roman" w:hAnsi="Times New Roman" w:cs="Times New Roman"/>
          <w:color w:val="000000"/>
          <w:sz w:val="24"/>
          <w:u w:val="single"/>
        </w:rPr>
      </w:pPr>
      <w:r>
        <w:rPr>
          <w:rFonts w:ascii="Times New Roman" w:hAnsi="Times New Roman" w:cs="Times New Roman"/>
          <w:color w:val="000000"/>
          <w:sz w:val="24"/>
        </w:rPr>
        <w:t>项目编号（包号）：</w:t>
      </w:r>
    </w:p>
    <w:p>
      <w:pPr>
        <w:spacing w:line="360" w:lineRule="auto"/>
        <w:rPr>
          <w:rFonts w:ascii="Times New Roman" w:hAnsi="Times New Roman" w:eastAsia="仿宋_GB2312" w:cs="Times New Roman"/>
          <w:color w:val="000000"/>
          <w:sz w:val="24"/>
          <w:u w:val="single"/>
        </w:rPr>
      </w:pPr>
      <w:r>
        <w:rPr>
          <w:rFonts w:ascii="Times New Roman" w:hAnsi="Times New Roman" w:cs="Times New Roman"/>
          <w:color w:val="000000"/>
          <w:sz w:val="24"/>
        </w:rPr>
        <w:t>项目名称：</w:t>
      </w:r>
    </w:p>
    <w:tbl>
      <w:tblPr>
        <w:tblStyle w:val="12"/>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名称（服务）</w:t>
            </w:r>
          </w:p>
        </w:tc>
        <w:tc>
          <w:tcPr>
            <w:tcW w:w="1237"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805"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c>
          <w:tcPr>
            <w:tcW w:w="165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913"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单价</w:t>
            </w:r>
          </w:p>
        </w:tc>
        <w:tc>
          <w:tcPr>
            <w:tcW w:w="1136"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6</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其它</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88" w:leftChars="-42"/>
              <w:jc w:val="center"/>
              <w:rPr>
                <w:rFonts w:ascii="Times New Roman" w:hAnsi="Times New Roman" w:cs="Times New Roman"/>
                <w:sz w:val="24"/>
              </w:rPr>
            </w:pPr>
            <w:r>
              <w:rPr>
                <w:rFonts w:hint="eastAsia" w:ascii="Times New Roman" w:hAnsi="Times New Roman" w:cs="Times New Roman"/>
                <w:sz w:val="24"/>
              </w:rPr>
              <w:t>7</w:t>
            </w:r>
          </w:p>
        </w:tc>
        <w:tc>
          <w:tcPr>
            <w:tcW w:w="1869"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1237" w:type="dxa"/>
            <w:vAlign w:val="center"/>
          </w:tcPr>
          <w:p>
            <w:pPr>
              <w:adjustRightInd w:val="0"/>
              <w:snapToGrid w:val="0"/>
              <w:spacing w:line="360" w:lineRule="auto"/>
              <w:jc w:val="center"/>
              <w:rPr>
                <w:rFonts w:ascii="Times New Roman" w:hAnsi="Times New Roman" w:cs="Times New Roman"/>
                <w:sz w:val="24"/>
              </w:rPr>
            </w:pPr>
          </w:p>
        </w:tc>
        <w:tc>
          <w:tcPr>
            <w:tcW w:w="805" w:type="dxa"/>
            <w:vAlign w:val="center"/>
          </w:tcPr>
          <w:p>
            <w:pPr>
              <w:adjustRightInd w:val="0"/>
              <w:snapToGrid w:val="0"/>
              <w:spacing w:line="360" w:lineRule="auto"/>
              <w:jc w:val="center"/>
              <w:rPr>
                <w:rFonts w:ascii="Times New Roman" w:hAnsi="Times New Roman" w:cs="Times New Roman"/>
                <w:sz w:val="24"/>
              </w:rPr>
            </w:pPr>
          </w:p>
        </w:tc>
        <w:tc>
          <w:tcPr>
            <w:tcW w:w="1654" w:type="dxa"/>
            <w:vAlign w:val="center"/>
          </w:tcPr>
          <w:p>
            <w:pPr>
              <w:adjustRightInd w:val="0"/>
              <w:snapToGrid w:val="0"/>
              <w:spacing w:line="360" w:lineRule="auto"/>
              <w:jc w:val="center"/>
              <w:rPr>
                <w:rFonts w:ascii="Times New Roman" w:hAnsi="Times New Roman" w:cs="Times New Roman"/>
                <w:sz w:val="24"/>
              </w:rPr>
            </w:pPr>
          </w:p>
        </w:tc>
        <w:tc>
          <w:tcPr>
            <w:tcW w:w="913" w:type="dxa"/>
            <w:vAlign w:val="center"/>
          </w:tcPr>
          <w:p>
            <w:pPr>
              <w:adjustRightInd w:val="0"/>
              <w:snapToGrid w:val="0"/>
              <w:spacing w:line="360" w:lineRule="auto"/>
              <w:jc w:val="center"/>
              <w:rPr>
                <w:rFonts w:ascii="Times New Roman" w:hAnsi="Times New Roman" w:cs="Times New Roman"/>
                <w:sz w:val="24"/>
              </w:rPr>
            </w:pPr>
          </w:p>
        </w:tc>
        <w:tc>
          <w:tcPr>
            <w:tcW w:w="1136"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总计</w:t>
            </w:r>
          </w:p>
        </w:tc>
        <w:tc>
          <w:tcPr>
            <w:tcW w:w="2049" w:type="dxa"/>
            <w:gridSpan w:val="2"/>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360" w:firstLineChars="150"/>
        <w:rPr>
          <w:rFonts w:ascii="Times New Roman" w:hAnsi="Times New Roman" w:cs="Times New Roman"/>
          <w:sz w:val="24"/>
          <w:szCs w:val="24"/>
        </w:rPr>
      </w:pPr>
      <w:r>
        <w:rPr>
          <w:rFonts w:ascii="Times New Roman" w:hAnsi="Times New Roman" w:cs="Times New Roman"/>
          <w:sz w:val="24"/>
          <w:szCs w:val="24"/>
        </w:rPr>
        <w:t>注：</w:t>
      </w:r>
      <w:r>
        <w:rPr>
          <w:rFonts w:ascii="Times New Roman" w:hAnsi="Times New Roman" w:cs="Times New Roman"/>
          <w:color w:val="FF0000"/>
          <w:sz w:val="24"/>
          <w:szCs w:val="24"/>
        </w:rPr>
        <w:t>本表仅作为磋商小组了解报价组成情况，不作为最终成交价</w:t>
      </w:r>
      <w:r>
        <w:rPr>
          <w:rFonts w:ascii="Times New Roman" w:hAnsi="Times New Roman" w:cs="Times New Roman"/>
          <w:sz w:val="24"/>
          <w:szCs w:val="24"/>
        </w:rPr>
        <w:t>。</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spacing w:line="360" w:lineRule="auto"/>
        <w:jc w:val="center"/>
        <w:rPr>
          <w:rFonts w:ascii="Times New Roman" w:hAnsi="Times New Roman" w:cs="Times New Roman"/>
          <w:sz w:val="32"/>
          <w:szCs w:val="32"/>
        </w:rPr>
      </w:pPr>
      <w:r>
        <w:rPr>
          <w:rFonts w:ascii="Times New Roman" w:hAnsi="Times New Roman" w:cs="Times New Roman"/>
          <w:sz w:val="32"/>
          <w:szCs w:val="32"/>
        </w:rPr>
        <w:t>货物（服务）清单</w:t>
      </w:r>
    </w:p>
    <w:p>
      <w:pPr>
        <w:spacing w:line="360" w:lineRule="auto"/>
        <w:rPr>
          <w:rFonts w:ascii="Times New Roman" w:hAnsi="Times New Roman" w:cs="Times New Roman"/>
          <w:color w:val="000000"/>
          <w:sz w:val="24"/>
        </w:rPr>
      </w:pPr>
    </w:p>
    <w:p>
      <w:pPr>
        <w:spacing w:line="360" w:lineRule="auto"/>
        <w:rPr>
          <w:rFonts w:ascii="Times New Roman" w:hAnsi="Times New Roman" w:cs="Times New Roman"/>
          <w:color w:val="000000"/>
          <w:sz w:val="24"/>
        </w:rPr>
      </w:pPr>
      <w:r>
        <w:rPr>
          <w:rFonts w:ascii="Times New Roman" w:hAnsi="Times New Roman" w:cs="Times New Roman"/>
          <w:color w:val="000000"/>
          <w:sz w:val="24"/>
        </w:rPr>
        <w:t>项目编号（包号）：</w:t>
      </w:r>
    </w:p>
    <w:p>
      <w:pPr>
        <w:spacing w:line="360" w:lineRule="auto"/>
        <w:rPr>
          <w:rFonts w:ascii="Times New Roman" w:hAnsi="Times New Roman" w:cs="Times New Roman"/>
          <w:b/>
          <w:bCs/>
          <w:color w:val="000000"/>
          <w:sz w:val="32"/>
          <w:szCs w:val="32"/>
        </w:rPr>
      </w:pPr>
      <w:r>
        <w:rPr>
          <w:rFonts w:ascii="Times New Roman" w:hAnsi="Times New Roman" w:cs="Times New Roman"/>
          <w:color w:val="000000"/>
          <w:sz w:val="24"/>
        </w:rPr>
        <w:t>项目名称：</w:t>
      </w:r>
    </w:p>
    <w:tbl>
      <w:tblPr>
        <w:tblStyle w:val="1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序号</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货物（服务）名称</w:t>
            </w: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制造商名称</w:t>
            </w: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生产地</w:t>
            </w:r>
          </w:p>
        </w:tc>
        <w:tc>
          <w:tcPr>
            <w:tcW w:w="1701"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规格型号</w:t>
            </w:r>
          </w:p>
        </w:tc>
        <w:tc>
          <w:tcPr>
            <w:tcW w:w="1134" w:type="dxa"/>
            <w:vAlign w:val="center"/>
          </w:tcPr>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1</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2</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3</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4</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5</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6</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7</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8</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spacing w:line="360" w:lineRule="auto"/>
              <w:ind w:left="-88" w:leftChars="-42"/>
              <w:jc w:val="center"/>
              <w:rPr>
                <w:rFonts w:ascii="Times New Roman" w:hAnsi="Times New Roman" w:cs="Times New Roman"/>
                <w:sz w:val="24"/>
              </w:rPr>
            </w:pPr>
            <w:r>
              <w:rPr>
                <w:rFonts w:ascii="Times New Roman" w:hAnsi="Times New Roman" w:cs="Times New Roman"/>
                <w:sz w:val="24"/>
              </w:rPr>
              <w:t>…</w:t>
            </w:r>
          </w:p>
        </w:tc>
        <w:tc>
          <w:tcPr>
            <w:tcW w:w="2187" w:type="dxa"/>
            <w:vAlign w:val="center"/>
          </w:tcPr>
          <w:p>
            <w:pPr>
              <w:adjustRightInd w:val="0"/>
              <w:snapToGrid w:val="0"/>
              <w:spacing w:line="360" w:lineRule="auto"/>
              <w:ind w:left="-88" w:leftChars="-42"/>
              <w:jc w:val="center"/>
              <w:rPr>
                <w:rFonts w:ascii="Times New Roman" w:hAnsi="Times New Roman" w:cs="Times New Roman"/>
                <w:sz w:val="24"/>
              </w:rPr>
            </w:pPr>
          </w:p>
        </w:tc>
        <w:tc>
          <w:tcPr>
            <w:tcW w:w="1559" w:type="dxa"/>
            <w:tcBorders>
              <w:righ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560" w:type="dxa"/>
            <w:tcBorders>
              <w:left w:val="single" w:color="auto" w:sz="4" w:space="0"/>
            </w:tcBorders>
            <w:vAlign w:val="center"/>
          </w:tcPr>
          <w:p>
            <w:pPr>
              <w:adjustRightInd w:val="0"/>
              <w:snapToGrid w:val="0"/>
              <w:spacing w:line="360" w:lineRule="auto"/>
              <w:jc w:val="center"/>
              <w:rPr>
                <w:rFonts w:ascii="Times New Roman" w:hAnsi="Times New Roman" w:cs="Times New Roman"/>
                <w:sz w:val="24"/>
              </w:rPr>
            </w:pPr>
          </w:p>
        </w:tc>
        <w:tc>
          <w:tcPr>
            <w:tcW w:w="1701" w:type="dxa"/>
            <w:vAlign w:val="center"/>
          </w:tcPr>
          <w:p>
            <w:pPr>
              <w:adjustRightInd w:val="0"/>
              <w:snapToGrid w:val="0"/>
              <w:spacing w:line="360" w:lineRule="auto"/>
              <w:jc w:val="center"/>
              <w:rPr>
                <w:rFonts w:ascii="Times New Roman" w:hAnsi="Times New Roman" w:cs="Times New Roman"/>
                <w:sz w:val="24"/>
              </w:rPr>
            </w:pPr>
          </w:p>
        </w:tc>
        <w:tc>
          <w:tcPr>
            <w:tcW w:w="1134" w:type="dxa"/>
            <w:vAlign w:val="center"/>
          </w:tcPr>
          <w:p>
            <w:pPr>
              <w:adjustRightInd w:val="0"/>
              <w:snapToGrid w:val="0"/>
              <w:spacing w:line="360" w:lineRule="auto"/>
              <w:jc w:val="center"/>
              <w:rPr>
                <w:rFonts w:ascii="Times New Roman" w:hAnsi="Times New Roman" w:cs="Times New Roman"/>
                <w:sz w:val="24"/>
              </w:rPr>
            </w:pPr>
          </w:p>
        </w:tc>
      </w:tr>
    </w:tbl>
    <w:p>
      <w:pPr>
        <w:spacing w:line="360" w:lineRule="auto"/>
        <w:ind w:firstLine="480" w:firstLineChars="200"/>
        <w:rPr>
          <w:rFonts w:ascii="Times New Roman" w:hAnsi="Times New Roman" w:cs="Times New Roman"/>
          <w:color w:val="000000"/>
        </w:rPr>
      </w:pPr>
      <w:r>
        <w:rPr>
          <w:rFonts w:ascii="Times New Roman" w:hAnsi="Times New Roman" w:cs="Times New Roman"/>
          <w:sz w:val="24"/>
        </w:rPr>
        <w:t>说明：提供详细的货物和服务范围，包括货物和服务类别及制造（开发）商、备品备件等。</w:t>
      </w:r>
    </w:p>
    <w:p>
      <w:pPr>
        <w:spacing w:line="360" w:lineRule="auto"/>
        <w:rPr>
          <w:rFonts w:ascii="Times New Roman" w:hAnsi="Times New Roman" w:eastAsia="仿宋_GB2312" w:cs="Times New Roman"/>
          <w:color w:val="000000"/>
          <w:sz w:val="24"/>
        </w:rPr>
      </w:pPr>
    </w:p>
    <w:p>
      <w:pPr>
        <w:pStyle w:val="6"/>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6"/>
        <w:spacing w:line="36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pStyle w:val="6"/>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时间：</w:t>
      </w:r>
    </w:p>
    <w:p>
      <w:pPr>
        <w:widowControl/>
        <w:spacing w:line="360" w:lineRule="auto"/>
        <w:jc w:val="left"/>
        <w:rPr>
          <w:rFonts w:ascii="Times New Roman" w:hAnsi="Times New Roman" w:cs="Times New Roman"/>
          <w:sz w:val="32"/>
          <w:szCs w:val="32"/>
        </w:rPr>
      </w:pP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附件8</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附件9</w:t>
      </w:r>
    </w:p>
    <w:p>
      <w:pPr>
        <w:spacing w:line="360" w:lineRule="auto"/>
        <w:ind w:left="360" w:hanging="360" w:hangingChars="150"/>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附件10</w:t>
      </w:r>
    </w:p>
    <w:p>
      <w:pPr>
        <w:widowControl/>
        <w:spacing w:line="360" w:lineRule="auto"/>
        <w:jc w:val="left"/>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ascii="Times New Roman" w:hAnsi="Times New Roman" w:cs="Times New Roman" w:eastAsiaTheme="majorEastAsia"/>
          <w:bCs/>
          <w:color w:val="000000" w:themeColor="text1"/>
          <w:sz w:val="24"/>
        </w:rPr>
      </w:pPr>
      <w:r>
        <w:rPr>
          <w:rFonts w:ascii="Times New Roman" w:hAnsi="Times New Roman" w:cs="Times New Roman"/>
          <w:bCs/>
          <w:color w:val="000000"/>
          <w:sz w:val="24"/>
        </w:rPr>
        <w:t>（提供履行合同所必需的设备和专业技术能力的相关文件）</w:t>
      </w:r>
    </w:p>
    <w:p>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附件11</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widowControl/>
        <w:spacing w:line="360" w:lineRule="auto"/>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t>附件12</w:t>
      </w:r>
    </w:p>
    <w:p>
      <w:pPr>
        <w:adjustRightInd w:val="0"/>
        <w:snapToGrid w:val="0"/>
        <w:spacing w:line="360" w:lineRule="auto"/>
        <w:jc w:val="center"/>
        <w:outlineLvl w:val="0"/>
        <w:rPr>
          <w:rFonts w:ascii="Times New Roman" w:hAnsi="Times New Roman" w:cs="Times New Roman"/>
          <w:color w:val="000000" w:themeColor="text1"/>
          <w:sz w:val="32"/>
          <w:szCs w:val="32"/>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未被列入“信用中国”网站失信被执行人、重大税收违法案件当事人名单、政府采购严重违法失信行为</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pPr>
        <w:spacing w:line="360" w:lineRule="auto"/>
        <w:rPr>
          <w:rFonts w:ascii="Times New Roman" w:hAnsi="Times New Roman" w:cs="Times New Roman"/>
          <w:color w:val="000000" w:themeColor="text1"/>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rFonts w:hint="default" w:eastAsiaTheme="minorEastAsia"/>
          <w:sz w:val="24"/>
          <w:lang w:val="en-US" w:eastAsia="zh-CN"/>
        </w:rPr>
      </w:pPr>
      <w:r>
        <w:rPr>
          <w:rFonts w:hint="eastAsia"/>
          <w:sz w:val="24"/>
        </w:rPr>
        <w:t>附件13</w:t>
      </w:r>
      <w:r>
        <w:rPr>
          <w:rFonts w:hint="eastAsia"/>
          <w:sz w:val="24"/>
          <w:lang w:val="en-US" w:eastAsia="zh-CN"/>
        </w:rPr>
        <w:t>-1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2"/>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rPr>
          <w:sz w:val="24"/>
        </w:rPr>
      </w:pPr>
      <w:r>
        <w:rPr>
          <w:rFonts w:hint="eastAsia"/>
          <w:sz w:val="24"/>
        </w:rPr>
        <w:t>附件1</w:t>
      </w:r>
      <w:r>
        <w:rPr>
          <w:rFonts w:hint="eastAsia"/>
          <w:sz w:val="24"/>
          <w:lang w:val="en-US" w:eastAsia="zh-CN"/>
        </w:rPr>
        <w:t>3</w:t>
      </w:r>
      <w:r>
        <w:rPr>
          <w:rFonts w:hint="eastAsia"/>
          <w:sz w:val="24"/>
        </w:rPr>
        <w:t>-2</w:t>
      </w:r>
    </w:p>
    <w:p>
      <w:pPr>
        <w:spacing w:line="360" w:lineRule="auto"/>
        <w:ind w:firstLine="667"/>
        <w:jc w:val="center"/>
        <w:rPr>
          <w:rFonts w:asciiTheme="majorEastAsia" w:hAnsiTheme="majorEastAsia" w:eastAsiaTheme="majorEastAsia"/>
          <w:b/>
          <w:spacing w:val="6"/>
          <w:sz w:val="32"/>
          <w:szCs w:val="32"/>
        </w:rPr>
      </w:pPr>
      <w:bookmarkStart w:id="7" w:name="OLE_LINK14"/>
      <w:bookmarkStart w:id="8" w:name="OLE_LINK13"/>
      <w:r>
        <w:rPr>
          <w:rFonts w:asciiTheme="majorEastAsia" w:hAnsiTheme="majorEastAsia" w:eastAsiaTheme="majorEastAsia"/>
          <w:b/>
          <w:spacing w:val="6"/>
          <w:sz w:val="32"/>
          <w:szCs w:val="32"/>
        </w:rPr>
        <w:t>残疾人福利性单位声明函</w:t>
      </w:r>
    </w:p>
    <w:bookmarkEnd w:id="7"/>
    <w:bookmarkEnd w:id="8"/>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widowControl/>
        <w:spacing w:line="360" w:lineRule="auto"/>
        <w:jc w:val="left"/>
        <w:rPr>
          <w:rFonts w:ascii="宋体" w:hAnsi="宋体"/>
          <w:bCs/>
          <w:color w:val="000000"/>
          <w:sz w:val="32"/>
          <w:szCs w:val="32"/>
        </w:rPr>
      </w:pP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spacing w:line="360" w:lineRule="auto"/>
        <w:jc w:val="center"/>
        <w:outlineLvl w:val="1"/>
        <w:rPr>
          <w:color w:val="000000" w:themeColor="text1"/>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spacing w:line="360" w:lineRule="auto"/>
        <w:rPr>
          <w:rFonts w:asciiTheme="majorEastAsia" w:hAnsiTheme="majorEastAsia" w:eastAsiaTheme="majorEastAsia"/>
          <w:sz w:val="24"/>
        </w:rPr>
      </w:pPr>
    </w:p>
    <w:p>
      <w:pPr>
        <w:widowControl/>
        <w:spacing w:line="360" w:lineRule="auto"/>
        <w:jc w:val="left"/>
        <w:rPr>
          <w:rFonts w:ascii="Times New Roman" w:hAnsi="Times New Roman" w:cs="Times New Roman"/>
          <w:bCs/>
          <w:color w:val="000000"/>
          <w:sz w:val="24"/>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w Cen MT Condensed Extra Bold">
    <w:panose1 w:val="020B0803020202020204"/>
    <w:charset w:val="00"/>
    <w:family w:val="swiss"/>
    <w:pitch w:val="default"/>
    <w:sig w:usb0="00000003" w:usb1="00000000" w:usb2="00000000" w:usb3="00000000" w:csb0="20000003"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8"/>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FEB5"/>
    <w:multiLevelType w:val="singleLevel"/>
    <w:tmpl w:val="02B9FEB5"/>
    <w:lvl w:ilvl="0" w:tentative="0">
      <w:start w:val="1"/>
      <w:numFmt w:val="decimal"/>
      <w:suff w:val="nothing"/>
      <w:lvlText w:val="%1、"/>
      <w:lvlJc w:val="left"/>
    </w:lvl>
  </w:abstractNum>
  <w:abstractNum w:abstractNumId="1">
    <w:nsid w:val="0E655C2E"/>
    <w:multiLevelType w:val="multilevel"/>
    <w:tmpl w:val="0E655C2E"/>
    <w:lvl w:ilvl="0" w:tentative="0">
      <w:start w:val="1"/>
      <w:numFmt w:val="chineseCountingThousand"/>
      <w:suff w:val="nothing"/>
      <w:lvlText w:val="%1、"/>
      <w:lvlJc w:val="left"/>
      <w:pPr>
        <w:ind w:left="0" w:firstLine="0"/>
      </w:pPr>
      <w:rPr>
        <w:rFonts w:hint="default" w:ascii="Times New Roman" w:hAnsi="Times New Roman" w:eastAsia="黑体"/>
        <w:b w:val="0"/>
        <w:bCs w:val="0"/>
        <w:i w:val="0"/>
        <w:iCs w:val="0"/>
        <w:caps w:val="0"/>
        <w:smallCaps w:val="0"/>
        <w:strike w:val="0"/>
        <w:dstrike w:val="0"/>
        <w:outline w:val="0"/>
        <w:shadow w:val="0"/>
        <w:emboss w:val="0"/>
        <w:imprint w:val="0"/>
        <w:vanish w:val="0"/>
        <w:spacing w:val="0"/>
        <w:position w:val="0"/>
        <w:sz w:val="32"/>
        <w:u w:val="none"/>
        <w:vertAlign w:val="baseline"/>
      </w:rPr>
    </w:lvl>
    <w:lvl w:ilvl="1" w:tentative="0">
      <w:start w:val="1"/>
      <w:numFmt w:val="decimal"/>
      <w:pStyle w:val="43"/>
      <w:suff w:val="nothing"/>
      <w:lvlText w:val="%2、"/>
      <w:lvlJc w:val="left"/>
      <w:pPr>
        <w:ind w:left="6" w:firstLine="420"/>
      </w:pPr>
      <w:rPr>
        <w:rFonts w:hint="default" w:ascii="Times New Roman" w:hAnsi="Times New Roman" w:cs="Times New Roman"/>
        <w:b/>
        <w:i w:val="0"/>
        <w:sz w:val="24"/>
      </w:rPr>
    </w:lvl>
    <w:lvl w:ilvl="2" w:tentative="0">
      <w:start w:val="1"/>
      <w:numFmt w:val="decimal"/>
      <w:suff w:val="space"/>
      <w:lvlText w:val="%2.%3"/>
      <w:lvlJc w:val="left"/>
      <w:pPr>
        <w:ind w:left="0" w:firstLine="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space"/>
      <w:lvlText w:val="%2.%3.%4"/>
      <w:lvlJc w:val="left"/>
      <w:pPr>
        <w:ind w:left="0" w:firstLine="522"/>
      </w:pPr>
      <w:rPr>
        <w:rFonts w:hint="eastAsia"/>
        <w:b w:val="0"/>
        <w:i w:val="0"/>
      </w:rPr>
    </w:lvl>
    <w:lvl w:ilvl="4" w:tentative="0">
      <w:start w:val="1"/>
      <w:numFmt w:val="lowerLetter"/>
      <w:lvlText w:val="%5)"/>
      <w:lvlJc w:val="left"/>
      <w:pPr>
        <w:ind w:left="0" w:firstLine="400"/>
      </w:pPr>
      <w:rPr>
        <w:rFonts w:hint="eastAsia"/>
      </w:rPr>
    </w:lvl>
    <w:lvl w:ilvl="5" w:tentative="0">
      <w:start w:val="1"/>
      <w:numFmt w:val="decimal"/>
      <w:suff w:val="space"/>
      <w:lvlText w:val="%2.%3.%4.%6"/>
      <w:lvlJc w:val="left"/>
      <w:pPr>
        <w:ind w:left="0" w:firstLine="522"/>
      </w:pPr>
      <w:rPr>
        <w:rFonts w:hint="eastAsia"/>
      </w:rPr>
    </w:lvl>
    <w:lvl w:ilvl="6" w:tentative="0">
      <w:start w:val="1"/>
      <w:numFmt w:val="decimal"/>
      <w:lvlText w:val="%7."/>
      <w:lvlJc w:val="left"/>
      <w:pPr>
        <w:ind w:left="0" w:firstLine="400"/>
      </w:pPr>
      <w:rPr>
        <w:rFonts w:hint="eastAsia"/>
      </w:rPr>
    </w:lvl>
    <w:lvl w:ilvl="7" w:tentative="0">
      <w:start w:val="1"/>
      <w:numFmt w:val="lowerLetter"/>
      <w:lvlText w:val="%8)"/>
      <w:lvlJc w:val="left"/>
      <w:pPr>
        <w:ind w:left="0" w:firstLine="400"/>
      </w:pPr>
      <w:rPr>
        <w:rFonts w:hint="eastAsia"/>
      </w:rPr>
    </w:lvl>
    <w:lvl w:ilvl="8" w:tentative="0">
      <w:start w:val="1"/>
      <w:numFmt w:val="lowerRoman"/>
      <w:lvlText w:val="%9."/>
      <w:lvlJc w:val="right"/>
      <w:pPr>
        <w:ind w:left="0" w:firstLine="400"/>
      </w:pPr>
      <w:rPr>
        <w:rFonts w:hint="eastAsia"/>
      </w:rPr>
    </w:lvl>
  </w:abstractNum>
  <w:abstractNum w:abstractNumId="2">
    <w:nsid w:val="163D690B"/>
    <w:multiLevelType w:val="multilevel"/>
    <w:tmpl w:val="163D690B"/>
    <w:lvl w:ilvl="0" w:tentative="0">
      <w:start w:val="1"/>
      <w:numFmt w:val="chineseCountingThousand"/>
      <w:pStyle w:val="38"/>
      <w:suff w:val="nothing"/>
      <w:lvlText w:val="（%1）"/>
      <w:lvlJc w:val="left"/>
      <w:pPr>
        <w:ind w:left="0" w:firstLine="210"/>
      </w:pPr>
      <w:rPr>
        <w:rFonts w:hint="default" w:ascii="宋体" w:hAnsi="宋体" w:eastAsia="宋体" w:cs="Times New Roman"/>
        <w:sz w:val="24"/>
      </w:rPr>
    </w:lvl>
    <w:lvl w:ilvl="1" w:tentative="0">
      <w:start w:val="1"/>
      <w:numFmt w:val="decimal"/>
      <w:lvlText w:val="%2."/>
      <w:lvlJc w:val="left"/>
      <w:pPr>
        <w:tabs>
          <w:tab w:val="left" w:pos="284"/>
        </w:tabs>
        <w:ind w:left="0" w:firstLine="0"/>
      </w:pPr>
      <w:rPr>
        <w:rFonts w:hint="default" w:cs="Times New Roman"/>
      </w:rPr>
    </w:lvl>
    <w:lvl w:ilvl="2" w:tentative="0">
      <w:start w:val="1"/>
      <w:numFmt w:val="decimal"/>
      <w:lvlText w:val="%1）"/>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3">
    <w:nsid w:val="209B1603"/>
    <w:multiLevelType w:val="multilevel"/>
    <w:tmpl w:val="209B1603"/>
    <w:lvl w:ilvl="0" w:tentative="0">
      <w:start w:val="1"/>
      <w:numFmt w:val="chineseCountingThousand"/>
      <w:suff w:val="space"/>
      <w:lvlText w:val="第%1章"/>
      <w:lvlJc w:val="left"/>
      <w:pPr>
        <w:ind w:left="0"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lang w:val="en-US"/>
      </w:rPr>
    </w:lvl>
    <w:lvl w:ilvl="1" w:tentative="0">
      <w:start w:val="1"/>
      <w:numFmt w:val="chineseCountingThousand"/>
      <w:pStyle w:val="36"/>
      <w:suff w:val="nothing"/>
      <w:lvlText w:val="%2、"/>
      <w:lvlJc w:val="left"/>
      <w:pPr>
        <w:ind w:left="0" w:firstLine="0"/>
      </w:pPr>
      <w:rPr>
        <w:rFonts w:hint="default" w:ascii="Times New Roman" w:hAnsi="Times New Roman" w:cs="Times New Roman"/>
        <w:b w:val="0"/>
        <w:bCs w:val="0"/>
        <w:i w:val="0"/>
        <w:iCs w:val="0"/>
        <w:caps w:val="0"/>
        <w:smallCaps w:val="0"/>
        <w:strike w:val="0"/>
        <w:dstrike w:val="0"/>
        <w:outline w:val="0"/>
        <w:shadow w:val="0"/>
        <w:emboss w:val="0"/>
        <w:imprint w:val="0"/>
        <w:vanish w:val="0"/>
        <w:spacing w:val="0"/>
        <w:position w:val="0"/>
        <w:sz w:val="28"/>
        <w:u w:val="none"/>
        <w:vertAlign w:val="baseline"/>
        <w:lang w:val="en-US"/>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35332A70"/>
    <w:multiLevelType w:val="multilevel"/>
    <w:tmpl w:val="35332A70"/>
    <w:lvl w:ilvl="0" w:tentative="0">
      <w:start w:val="1"/>
      <w:numFmt w:val="chineseCountingThousand"/>
      <w:lvlText w:val="（%1）"/>
      <w:lvlJc w:val="left"/>
      <w:pPr>
        <w:tabs>
          <w:tab w:val="left" w:pos="360"/>
        </w:tabs>
        <w:ind w:left="0" w:firstLine="0"/>
      </w:pPr>
      <w:rPr>
        <w:rFonts w:hint="default" w:ascii="Tw Cen MT Condensed Extra Bold" w:hAnsi="Tw Cen MT Condensed Extra Bold" w:eastAsia="楷体" w:cs="Times New Roman"/>
        <w:sz w:val="24"/>
      </w:rPr>
    </w:lvl>
    <w:lvl w:ilvl="1" w:tentative="0">
      <w:start w:val="1"/>
      <w:numFmt w:val="decimal"/>
      <w:pStyle w:val="42"/>
      <w:suff w:val="space"/>
      <w:lvlText w:val="%2."/>
      <w:lvlJc w:val="left"/>
      <w:pPr>
        <w:ind w:left="0"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410C25ED"/>
    <w:multiLevelType w:val="multilevel"/>
    <w:tmpl w:val="410C25ED"/>
    <w:lvl w:ilvl="0" w:tentative="0">
      <w:start w:val="1"/>
      <w:numFmt w:val="decimal"/>
      <w:pStyle w:val="34"/>
      <w:suff w:val="nothing"/>
      <w:lvlText w:val="（%1）"/>
      <w:lvlJc w:val="left"/>
      <w:pPr>
        <w:ind w:left="6" w:firstLine="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1.%2."/>
      <w:lvlJc w:val="left"/>
      <w:pPr>
        <w:ind w:left="1140" w:hanging="567"/>
      </w:pPr>
      <w:rPr>
        <w:rFonts w:hint="eastAsia"/>
      </w:rPr>
    </w:lvl>
    <w:lvl w:ilvl="2" w:tentative="0">
      <w:start w:val="1"/>
      <w:numFmt w:val="decimal"/>
      <w:lvlText w:val="%1.%2.%3."/>
      <w:lvlJc w:val="left"/>
      <w:pPr>
        <w:ind w:left="1282" w:hanging="709"/>
      </w:pPr>
      <w:rPr>
        <w:rFonts w:hint="eastAsia"/>
      </w:rPr>
    </w:lvl>
    <w:lvl w:ilvl="3" w:tentative="0">
      <w:start w:val="1"/>
      <w:numFmt w:val="decimal"/>
      <w:lvlText w:val="%1.%2.%3.%4."/>
      <w:lvlJc w:val="left"/>
      <w:pPr>
        <w:ind w:left="1424" w:hanging="851"/>
      </w:pPr>
      <w:rPr>
        <w:rFonts w:hint="eastAsia"/>
      </w:rPr>
    </w:lvl>
    <w:lvl w:ilvl="4" w:tentative="0">
      <w:start w:val="1"/>
      <w:numFmt w:val="decimal"/>
      <w:lvlText w:val="%1.%2.%3.%4.%5."/>
      <w:lvlJc w:val="left"/>
      <w:pPr>
        <w:ind w:left="1565" w:hanging="992"/>
      </w:pPr>
      <w:rPr>
        <w:rFonts w:hint="eastAsia"/>
      </w:rPr>
    </w:lvl>
    <w:lvl w:ilvl="5" w:tentative="0">
      <w:start w:val="1"/>
      <w:numFmt w:val="decimal"/>
      <w:lvlText w:val="%1.%2.%3.%4.%5.%6."/>
      <w:lvlJc w:val="left"/>
      <w:pPr>
        <w:ind w:left="1707" w:hanging="1134"/>
      </w:pPr>
      <w:rPr>
        <w:rFonts w:hint="eastAsia"/>
      </w:rPr>
    </w:lvl>
    <w:lvl w:ilvl="6" w:tentative="0">
      <w:start w:val="1"/>
      <w:numFmt w:val="decimal"/>
      <w:lvlText w:val="%1.%2.%3.%4.%5.%6.%7."/>
      <w:lvlJc w:val="left"/>
      <w:pPr>
        <w:ind w:left="1849" w:hanging="1276"/>
      </w:pPr>
      <w:rPr>
        <w:rFonts w:hint="eastAsia"/>
      </w:rPr>
    </w:lvl>
    <w:lvl w:ilvl="7" w:tentative="0">
      <w:start w:val="1"/>
      <w:numFmt w:val="decimal"/>
      <w:lvlText w:val="%1.%2.%3.%4.%5.%6.%7.%8."/>
      <w:lvlJc w:val="left"/>
      <w:pPr>
        <w:ind w:left="1991" w:hanging="1418"/>
      </w:pPr>
      <w:rPr>
        <w:rFonts w:hint="eastAsia"/>
      </w:rPr>
    </w:lvl>
    <w:lvl w:ilvl="8" w:tentative="0">
      <w:start w:val="1"/>
      <w:numFmt w:val="decimal"/>
      <w:lvlText w:val="%1.%2.%3.%4.%5.%6.%7.%8.%9."/>
      <w:lvlJc w:val="left"/>
      <w:pPr>
        <w:ind w:left="2132" w:hanging="1559"/>
      </w:pPr>
      <w:rPr>
        <w:rFonts w:hint="eastAsia"/>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F5B76"/>
    <w:rsid w:val="00F07814"/>
    <w:rsid w:val="00F1043B"/>
    <w:rsid w:val="00F11F71"/>
    <w:rsid w:val="00F1495F"/>
    <w:rsid w:val="00F255ED"/>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2C15A0B"/>
    <w:rsid w:val="03357E54"/>
    <w:rsid w:val="08F65F58"/>
    <w:rsid w:val="0A21680E"/>
    <w:rsid w:val="0A8D4392"/>
    <w:rsid w:val="0E4B5FCE"/>
    <w:rsid w:val="0F102B23"/>
    <w:rsid w:val="101A23EB"/>
    <w:rsid w:val="10DD46B8"/>
    <w:rsid w:val="12596A35"/>
    <w:rsid w:val="1279795D"/>
    <w:rsid w:val="15981831"/>
    <w:rsid w:val="167B2CD8"/>
    <w:rsid w:val="16C849EF"/>
    <w:rsid w:val="16D20FE6"/>
    <w:rsid w:val="17AD397B"/>
    <w:rsid w:val="1D760F03"/>
    <w:rsid w:val="1FA53C11"/>
    <w:rsid w:val="246E1DA9"/>
    <w:rsid w:val="265F40BE"/>
    <w:rsid w:val="26B34C7C"/>
    <w:rsid w:val="27467339"/>
    <w:rsid w:val="27541198"/>
    <w:rsid w:val="2B870FC9"/>
    <w:rsid w:val="2F1803D1"/>
    <w:rsid w:val="30F3035C"/>
    <w:rsid w:val="321561CC"/>
    <w:rsid w:val="335602C3"/>
    <w:rsid w:val="33932FCC"/>
    <w:rsid w:val="373C7A4F"/>
    <w:rsid w:val="39C8795C"/>
    <w:rsid w:val="3D205459"/>
    <w:rsid w:val="3DBA0A12"/>
    <w:rsid w:val="3E0F72E7"/>
    <w:rsid w:val="405F786F"/>
    <w:rsid w:val="4062290B"/>
    <w:rsid w:val="43E10E72"/>
    <w:rsid w:val="459C34CC"/>
    <w:rsid w:val="45D0177C"/>
    <w:rsid w:val="46471F97"/>
    <w:rsid w:val="47DA5DC2"/>
    <w:rsid w:val="4A6E5A7C"/>
    <w:rsid w:val="4BE2478D"/>
    <w:rsid w:val="4C0D2254"/>
    <w:rsid w:val="4C975461"/>
    <w:rsid w:val="4E286B25"/>
    <w:rsid w:val="4EB40901"/>
    <w:rsid w:val="4F2F7295"/>
    <w:rsid w:val="50105E33"/>
    <w:rsid w:val="50617644"/>
    <w:rsid w:val="50617968"/>
    <w:rsid w:val="516D3763"/>
    <w:rsid w:val="564748A2"/>
    <w:rsid w:val="57111C19"/>
    <w:rsid w:val="5D6B3E61"/>
    <w:rsid w:val="60C1666A"/>
    <w:rsid w:val="6739223F"/>
    <w:rsid w:val="6A475748"/>
    <w:rsid w:val="718E4ED6"/>
    <w:rsid w:val="75AC121D"/>
    <w:rsid w:val="79CD384C"/>
    <w:rsid w:val="7BEF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6"/>
    <w:basedOn w:val="1"/>
    <w:next w:val="1"/>
    <w:qFormat/>
    <w:uiPriority w:val="1"/>
    <w:pPr>
      <w:ind w:left="480"/>
      <w:outlineLvl w:val="6"/>
    </w:pPr>
    <w:rPr>
      <w:rFonts w:ascii="宋体" w:hAnsi="宋体" w:eastAsia="宋体" w:cs="宋体"/>
      <w:b/>
      <w:bCs/>
      <w:sz w:val="24"/>
      <w:szCs w:val="24"/>
      <w:lang w:val="zh-CN" w:eastAsia="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Plain Text"/>
    <w:basedOn w:val="1"/>
    <w:link w:val="32"/>
    <w:qFormat/>
    <w:uiPriority w:val="0"/>
    <w:rPr>
      <w:rFonts w:ascii="宋体" w:hAnsi="Courier New" w:eastAsia="宋体" w:cs="Courier New"/>
      <w:szCs w:val="21"/>
    </w:rPr>
  </w:style>
  <w:style w:type="paragraph" w:styleId="7">
    <w:name w:val="Balloon Text"/>
    <w:basedOn w:val="1"/>
    <w:link w:val="20"/>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480" w:lineRule="atLeast"/>
    </w:pPr>
    <w:rPr>
      <w:rFonts w:ascii="宋体" w:hAnsi="宋体"/>
      <w:sz w:val="28"/>
      <w:szCs w:val="20"/>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5A5A5A"/>
      <w:u w:val="none"/>
    </w:rPr>
  </w:style>
  <w:style w:type="character" w:styleId="16">
    <w:name w:val="Emphasis"/>
    <w:basedOn w:val="14"/>
    <w:qFormat/>
    <w:uiPriority w:val="20"/>
  </w:style>
  <w:style w:type="character" w:styleId="17">
    <w:name w:val="Hyperlink"/>
    <w:basedOn w:val="14"/>
    <w:unhideWhenUsed/>
    <w:qFormat/>
    <w:uiPriority w:val="99"/>
    <w:rPr>
      <w:color w:val="0000FF" w:themeColor="hyperlink"/>
      <w:u w:val="single"/>
    </w:rPr>
  </w:style>
  <w:style w:type="character" w:customStyle="1" w:styleId="18">
    <w:name w:val="页脚 Char"/>
    <w:basedOn w:val="14"/>
    <w:link w:val="8"/>
    <w:qFormat/>
    <w:uiPriority w:val="99"/>
    <w:rPr>
      <w:sz w:val="18"/>
      <w:szCs w:val="18"/>
    </w:rPr>
  </w:style>
  <w:style w:type="paragraph" w:customStyle="1" w:styleId="19">
    <w:name w:val="列出段落1"/>
    <w:basedOn w:val="1"/>
    <w:qFormat/>
    <w:uiPriority w:val="34"/>
    <w:pPr>
      <w:ind w:firstLine="420" w:firstLineChars="200"/>
    </w:pPr>
  </w:style>
  <w:style w:type="character" w:customStyle="1" w:styleId="20">
    <w:name w:val="批注框文本 Char"/>
    <w:basedOn w:val="14"/>
    <w:link w:val="7"/>
    <w:semiHidden/>
    <w:qFormat/>
    <w:uiPriority w:val="99"/>
    <w:rPr>
      <w:sz w:val="18"/>
      <w:szCs w:val="18"/>
    </w:rPr>
  </w:style>
  <w:style w:type="character" w:customStyle="1" w:styleId="21">
    <w:name w:val="页眉 Char"/>
    <w:basedOn w:val="14"/>
    <w:link w:val="9"/>
    <w:qFormat/>
    <w:uiPriority w:val="99"/>
    <w:rPr>
      <w:sz w:val="18"/>
      <w:szCs w:val="18"/>
    </w:rPr>
  </w:style>
  <w:style w:type="character" w:customStyle="1" w:styleId="22">
    <w:name w:val="font01"/>
    <w:basedOn w:val="14"/>
    <w:qFormat/>
    <w:uiPriority w:val="0"/>
    <w:rPr>
      <w:rFonts w:ascii="Helvetica" w:hAnsi="Helvetica" w:eastAsia="Helvetica" w:cs="Helvetica"/>
      <w:color w:val="000000"/>
      <w:sz w:val="16"/>
      <w:szCs w:val="16"/>
      <w:u w:val="none"/>
    </w:rPr>
  </w:style>
  <w:style w:type="character" w:customStyle="1" w:styleId="23">
    <w:name w:val="font41"/>
    <w:basedOn w:val="14"/>
    <w:qFormat/>
    <w:uiPriority w:val="0"/>
    <w:rPr>
      <w:rFonts w:hint="eastAsia" w:ascii="宋体" w:hAnsi="宋体" w:eastAsia="宋体" w:cs="宋体"/>
      <w:color w:val="000000"/>
      <w:sz w:val="16"/>
      <w:szCs w:val="16"/>
      <w:u w:val="none"/>
    </w:rPr>
  </w:style>
  <w:style w:type="character" w:customStyle="1" w:styleId="24">
    <w:name w:val="font11"/>
    <w:basedOn w:val="14"/>
    <w:qFormat/>
    <w:uiPriority w:val="0"/>
    <w:rPr>
      <w:rFonts w:hint="default" w:ascii="Times New Roman" w:hAnsi="Times New Roman" w:cs="Times New Roman"/>
      <w:color w:val="000000"/>
      <w:sz w:val="16"/>
      <w:szCs w:val="16"/>
      <w:u w:val="none"/>
    </w:rPr>
  </w:style>
  <w:style w:type="character" w:customStyle="1" w:styleId="25">
    <w:name w:val="font21"/>
    <w:basedOn w:val="14"/>
    <w:qFormat/>
    <w:uiPriority w:val="0"/>
    <w:rPr>
      <w:rFonts w:ascii="Helvetica" w:hAnsi="Helvetica" w:eastAsia="Helvetica" w:cs="Helvetica"/>
      <w:color w:val="000000"/>
      <w:sz w:val="16"/>
      <w:szCs w:val="16"/>
      <w:u w:val="none"/>
    </w:rPr>
  </w:style>
  <w:style w:type="character" w:customStyle="1" w:styleId="26">
    <w:name w:val="font51"/>
    <w:basedOn w:val="14"/>
    <w:qFormat/>
    <w:uiPriority w:val="0"/>
    <w:rPr>
      <w:rFonts w:hint="eastAsia" w:ascii="宋体" w:hAnsi="宋体" w:eastAsia="宋体" w:cs="宋体"/>
      <w:color w:val="000000"/>
      <w:sz w:val="16"/>
      <w:szCs w:val="16"/>
      <w:u w:val="none"/>
    </w:rPr>
  </w:style>
  <w:style w:type="character" w:customStyle="1" w:styleId="27">
    <w:name w:val="font31"/>
    <w:basedOn w:val="14"/>
    <w:qFormat/>
    <w:uiPriority w:val="0"/>
    <w:rPr>
      <w:rFonts w:hint="eastAsia" w:ascii="宋体" w:hAnsi="宋体" w:eastAsia="宋体" w:cs="宋体"/>
      <w:color w:val="000000"/>
      <w:sz w:val="16"/>
      <w:szCs w:val="16"/>
      <w:u w:val="none"/>
    </w:rPr>
  </w:style>
  <w:style w:type="character" w:customStyle="1" w:styleId="28">
    <w:name w:val="font61"/>
    <w:basedOn w:val="14"/>
    <w:qFormat/>
    <w:uiPriority w:val="0"/>
    <w:rPr>
      <w:rFonts w:hint="eastAsia" w:ascii="宋体" w:hAnsi="宋体" w:eastAsia="宋体" w:cs="宋体"/>
      <w:color w:val="000000"/>
      <w:sz w:val="16"/>
      <w:szCs w:val="16"/>
      <w:u w:val="none"/>
    </w:rPr>
  </w:style>
  <w:style w:type="character" w:customStyle="1" w:styleId="29">
    <w:name w:val="font71"/>
    <w:basedOn w:val="14"/>
    <w:qFormat/>
    <w:uiPriority w:val="0"/>
    <w:rPr>
      <w:rFonts w:ascii="Helvetica" w:hAnsi="Helvetica" w:eastAsia="Helvetica" w:cs="Helvetica"/>
      <w:color w:val="000000"/>
      <w:sz w:val="16"/>
      <w:szCs w:val="16"/>
      <w:u w:val="none"/>
    </w:rPr>
  </w:style>
  <w:style w:type="character" w:customStyle="1" w:styleId="30">
    <w:name w:val="font91"/>
    <w:basedOn w:val="14"/>
    <w:qFormat/>
    <w:uiPriority w:val="0"/>
    <w:rPr>
      <w:rFonts w:hint="default" w:ascii="Times New Roman" w:hAnsi="Times New Roman" w:cs="Times New Roman"/>
      <w:color w:val="000000"/>
      <w:sz w:val="16"/>
      <w:szCs w:val="16"/>
      <w:u w:val="none"/>
    </w:rPr>
  </w:style>
  <w:style w:type="character" w:customStyle="1" w:styleId="31">
    <w:name w:val="font81"/>
    <w:basedOn w:val="14"/>
    <w:qFormat/>
    <w:uiPriority w:val="0"/>
    <w:rPr>
      <w:rFonts w:hint="eastAsia" w:ascii="宋体" w:hAnsi="宋体" w:eastAsia="宋体" w:cs="宋体"/>
      <w:color w:val="000000"/>
      <w:sz w:val="16"/>
      <w:szCs w:val="16"/>
      <w:u w:val="none"/>
    </w:rPr>
  </w:style>
  <w:style w:type="character" w:customStyle="1" w:styleId="32">
    <w:name w:val="纯文本 Char"/>
    <w:basedOn w:val="14"/>
    <w:link w:val="6"/>
    <w:qFormat/>
    <w:uiPriority w:val="0"/>
    <w:rPr>
      <w:rFonts w:ascii="宋体" w:hAnsi="Courier New" w:cs="Courier New"/>
      <w:kern w:val="2"/>
      <w:sz w:val="21"/>
      <w:szCs w:val="21"/>
    </w:rPr>
  </w:style>
  <w:style w:type="paragraph" w:styleId="33">
    <w:name w:val="List Paragraph"/>
    <w:basedOn w:val="1"/>
    <w:qFormat/>
    <w:uiPriority w:val="99"/>
    <w:pPr>
      <w:ind w:firstLine="420" w:firstLineChars="200"/>
    </w:pPr>
    <w:rPr>
      <w:rFonts w:ascii="Calibri" w:hAnsi="Calibri" w:eastAsia="宋体" w:cs="Times New Roman"/>
      <w:szCs w:val="21"/>
    </w:rPr>
  </w:style>
  <w:style w:type="paragraph" w:customStyle="1" w:styleId="34">
    <w:name w:val="小标题0"/>
    <w:basedOn w:val="35"/>
    <w:qFormat/>
    <w:uiPriority w:val="0"/>
    <w:pPr>
      <w:numPr>
        <w:ilvl w:val="0"/>
        <w:numId w:val="1"/>
      </w:numPr>
      <w:ind w:firstLineChars="0"/>
    </w:pPr>
  </w:style>
  <w:style w:type="paragraph" w:customStyle="1" w:styleId="35">
    <w:name w:val="1、正文"/>
    <w:basedOn w:val="1"/>
    <w:qFormat/>
    <w:uiPriority w:val="0"/>
    <w:pPr>
      <w:spacing w:line="360" w:lineRule="auto"/>
      <w:ind w:firstLine="200" w:firstLineChars="200"/>
    </w:pPr>
    <w:rPr>
      <w:sz w:val="24"/>
      <w:szCs w:val="21"/>
    </w:rPr>
  </w:style>
  <w:style w:type="paragraph" w:customStyle="1" w:styleId="36">
    <w:name w:val="二级标题"/>
    <w:basedOn w:val="35"/>
    <w:next w:val="35"/>
    <w:qFormat/>
    <w:uiPriority w:val="0"/>
    <w:pPr>
      <w:numPr>
        <w:ilvl w:val="1"/>
        <w:numId w:val="2"/>
      </w:numPr>
      <w:spacing w:before="168" w:beforeLines="70" w:after="24" w:afterLines="10"/>
      <w:ind w:firstLineChars="0"/>
      <w:jc w:val="left"/>
      <w:outlineLvl w:val="1"/>
    </w:pPr>
    <w:rPr>
      <w:rFonts w:eastAsia="黑体"/>
      <w:sz w:val="28"/>
    </w:rPr>
  </w:style>
  <w:style w:type="paragraph" w:customStyle="1" w:styleId="37">
    <w:name w:val="_正文段落"/>
    <w:basedOn w:val="1"/>
    <w:qFormat/>
    <w:uiPriority w:val="0"/>
    <w:pPr>
      <w:spacing w:before="120" w:beforeLines="15" w:after="120" w:afterLines="15" w:line="360" w:lineRule="auto"/>
      <w:ind w:firstLine="480" w:firstLineChars="200"/>
    </w:pPr>
    <w:rPr>
      <w:rFonts w:ascii="宋体" w:hAnsi="宋体"/>
      <w:kern w:val="0"/>
      <w:sz w:val="24"/>
    </w:rPr>
  </w:style>
  <w:style w:type="paragraph" w:customStyle="1" w:styleId="38">
    <w:name w:val="辅助2"/>
    <w:basedOn w:val="35"/>
    <w:qFormat/>
    <w:uiPriority w:val="0"/>
    <w:pPr>
      <w:numPr>
        <w:ilvl w:val="0"/>
        <w:numId w:val="3"/>
      </w:numPr>
      <w:ind w:firstLine="0" w:firstLineChars="0"/>
      <w:outlineLvl w:val="2"/>
    </w:pPr>
    <w:rPr>
      <w:szCs w:val="24"/>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0">
    <w:name w:val="is_active"/>
    <w:basedOn w:val="14"/>
    <w:qFormat/>
    <w:uiPriority w:val="0"/>
    <w:rPr>
      <w:color w:val="FFFFFF"/>
      <w:shd w:val="clear" w:fill="F07C17"/>
    </w:rPr>
  </w:style>
  <w:style w:type="character" w:customStyle="1" w:styleId="41">
    <w:name w:val="last-child"/>
    <w:basedOn w:val="14"/>
    <w:qFormat/>
    <w:uiPriority w:val="0"/>
  </w:style>
  <w:style w:type="paragraph" w:customStyle="1" w:styleId="42">
    <w:name w:val="辅助1"/>
    <w:basedOn w:val="43"/>
    <w:qFormat/>
    <w:uiPriority w:val="0"/>
    <w:pPr>
      <w:numPr>
        <w:ilvl w:val="1"/>
        <w:numId w:val="4"/>
      </w:numPr>
      <w:spacing w:before="0" w:beforeLines="0"/>
      <w:jc w:val="both"/>
    </w:pPr>
    <w:rPr>
      <w:rFonts w:ascii="宋体" w:hAnsi="宋体"/>
      <w:b w:val="0"/>
      <w:szCs w:val="24"/>
    </w:rPr>
  </w:style>
  <w:style w:type="paragraph" w:customStyle="1" w:styleId="43">
    <w:name w:val="四级标题"/>
    <w:basedOn w:val="35"/>
    <w:next w:val="35"/>
    <w:qFormat/>
    <w:uiPriority w:val="0"/>
    <w:pPr>
      <w:numPr>
        <w:ilvl w:val="1"/>
        <w:numId w:val="5"/>
      </w:numPr>
      <w:spacing w:before="60" w:beforeLines="60" w:after="10" w:afterLines="10"/>
      <w:ind w:firstLineChars="0"/>
      <w:jc w:val="left"/>
      <w:outlineLvl w:val="3"/>
    </w:pPr>
    <w:rPr>
      <w:b/>
    </w:rPr>
  </w:style>
  <w:style w:type="paragraph" w:customStyle="1" w:styleId="44">
    <w:name w:val="Table Paragraph"/>
    <w:basedOn w:val="1"/>
    <w:qFormat/>
    <w:uiPriority w:val="0"/>
    <w:rPr>
      <w:rFonts w:ascii="宋体" w:hAnsi="宋体" w:cs="宋体"/>
      <w:lang w:val="zh-CN" w:bidi="zh-CN"/>
    </w:rPr>
  </w:style>
  <w:style w:type="paragraph" w:customStyle="1" w:styleId="45">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F99F6-F961-49B2-A349-ABDFA68617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2310</Words>
  <Characters>13172</Characters>
  <Lines>109</Lines>
  <Paragraphs>30</Paragraphs>
  <TotalTime>18</TotalTime>
  <ScaleCrop>false</ScaleCrop>
  <LinksUpToDate>false</LinksUpToDate>
  <CharactersWithSpaces>15452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123</cp:lastModifiedBy>
  <cp:lastPrinted>2017-05-17T08:10:00Z</cp:lastPrinted>
  <dcterms:modified xsi:type="dcterms:W3CDTF">2021-01-13T01:49:25Z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