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Times New Roman" w:hAnsi="Times New Roman" w:cs="Times New Roman"/>
          <w:sz w:val="52"/>
          <w:szCs w:val="52"/>
        </w:rPr>
      </w:pPr>
      <w:bookmarkStart w:id="41" w:name="_GoBack"/>
      <w:bookmarkEnd w:id="41"/>
      <w:r>
        <w:rPr>
          <w:rFonts w:hint="eastAsia" w:ascii="Times New Roman" w:hAnsi="Times New Roman" w:cs="Times New Roman"/>
          <w:sz w:val="52"/>
          <w:szCs w:val="52"/>
        </w:rPr>
        <w:t>阳新县县</w:t>
      </w:r>
      <w:r>
        <w:rPr>
          <w:rFonts w:ascii="Times New Roman" w:hAnsi="Times New Roman" w:cs="Times New Roman"/>
          <w:sz w:val="52"/>
          <w:szCs w:val="52"/>
        </w:rPr>
        <w:t>级政府采购</w:t>
      </w:r>
    </w:p>
    <w:p>
      <w:pPr>
        <w:spacing w:line="360" w:lineRule="auto"/>
        <w:jc w:val="center"/>
        <w:rPr>
          <w:rFonts w:ascii="Times New Roman" w:hAnsi="Times New Roman" w:eastAsia="宋体" w:cs="Times New Roman"/>
          <w:bCs/>
          <w:w w:val="66"/>
          <w:sz w:val="144"/>
          <w:szCs w:val="144"/>
        </w:rPr>
      </w:pPr>
      <w:r>
        <w:rPr>
          <w:rFonts w:ascii="Times New Roman" w:hAnsi="Times New Roman" w:eastAsia="宋体" w:cs="Times New Roman"/>
          <w:bCs/>
          <w:w w:val="66"/>
          <w:sz w:val="144"/>
          <w:szCs w:val="144"/>
        </w:rPr>
        <w:t>竞争性磋商文件</w:t>
      </w:r>
    </w:p>
    <w:p>
      <w:pPr>
        <w:spacing w:line="360" w:lineRule="auto"/>
        <w:jc w:val="center"/>
        <w:rPr>
          <w:rFonts w:ascii="Times New Roman" w:hAnsi="Times New Roman" w:cs="Times New Roman"/>
          <w:sz w:val="72"/>
          <w:szCs w:val="20"/>
        </w:rPr>
      </w:pPr>
    </w:p>
    <w:p>
      <w:pPr>
        <w:spacing w:line="360" w:lineRule="auto"/>
        <w:rPr>
          <w:rFonts w:ascii="Times New Roman" w:hAnsi="Times New Roman" w:cs="Times New Roman"/>
          <w:sz w:val="72"/>
          <w:szCs w:val="20"/>
        </w:rPr>
      </w:pPr>
    </w:p>
    <w:p>
      <w:pPr>
        <w:spacing w:line="360" w:lineRule="auto"/>
        <w:jc w:val="center"/>
        <w:rPr>
          <w:rFonts w:ascii="Times New Roman" w:hAnsi="Times New Roman" w:cs="Times New Roman"/>
          <w:sz w:val="72"/>
          <w:szCs w:val="20"/>
        </w:rPr>
      </w:pPr>
    </w:p>
    <w:p>
      <w:pPr>
        <w:spacing w:line="360" w:lineRule="auto"/>
        <w:rPr>
          <w:rFonts w:ascii="Times New Roman" w:hAnsi="Times New Roman" w:cs="Times New Roman"/>
          <w:sz w:val="72"/>
          <w:szCs w:val="20"/>
        </w:rPr>
      </w:pPr>
    </w:p>
    <w:p>
      <w:pPr>
        <w:spacing w:line="360" w:lineRule="auto"/>
        <w:ind w:firstLine="1134" w:firstLineChars="378"/>
        <w:rPr>
          <w:rFonts w:ascii="Times New Roman" w:hAnsi="Times New Roman" w:eastAsia="宋体" w:cs="Times New Roman"/>
          <w:sz w:val="30"/>
          <w:szCs w:val="30"/>
        </w:rPr>
      </w:pPr>
      <w:r>
        <w:rPr>
          <w:rFonts w:hint="eastAsia" w:ascii="Times New Roman" w:hAnsi="Times New Roman" w:eastAsia="宋体" w:cs="Times New Roman"/>
          <w:sz w:val="30"/>
          <w:szCs w:val="30"/>
        </w:rPr>
        <w:t>项目编号：</w:t>
      </w:r>
      <w:r>
        <w:rPr>
          <w:rFonts w:hint="eastAsia" w:ascii="Times New Roman" w:hAnsi="Times New Roman" w:eastAsia="宋体" w:cs="Times New Roman"/>
          <w:sz w:val="30"/>
          <w:szCs w:val="30"/>
          <w:highlight w:val="yellow"/>
        </w:rPr>
        <w:t>131-2020CG- 298</w:t>
      </w:r>
      <w:r>
        <w:rPr>
          <w:rFonts w:hint="eastAsia" w:ascii="Times New Roman" w:hAnsi="Times New Roman" w:eastAsia="宋体" w:cs="Times New Roman"/>
          <w:sz w:val="30"/>
          <w:szCs w:val="30"/>
        </w:rPr>
        <w:t xml:space="preserve"> </w:t>
      </w:r>
    </w:p>
    <w:p>
      <w:pPr>
        <w:spacing w:line="360" w:lineRule="auto"/>
        <w:ind w:firstLine="1134" w:firstLineChars="378"/>
        <w:rPr>
          <w:rFonts w:ascii="Times New Roman" w:hAnsi="Times New Roman" w:eastAsia="宋体" w:cs="Times New Roman"/>
          <w:sz w:val="30"/>
          <w:szCs w:val="30"/>
        </w:rPr>
      </w:pPr>
      <w:r>
        <w:rPr>
          <w:rFonts w:hint="eastAsia" w:ascii="Times New Roman" w:hAnsi="Times New Roman" w:eastAsia="宋体" w:cs="Times New Roman"/>
          <w:sz w:val="30"/>
          <w:szCs w:val="30"/>
        </w:rPr>
        <w:t>采购人：阳新县小型水库除险加固工程建设管理处</w:t>
      </w:r>
    </w:p>
    <w:p>
      <w:pPr>
        <w:spacing w:line="360" w:lineRule="auto"/>
        <w:ind w:firstLine="1134" w:firstLineChars="378"/>
        <w:rPr>
          <w:rFonts w:ascii="Times New Roman" w:hAnsi="Times New Roman" w:eastAsia="宋体" w:cs="Times New Roman"/>
          <w:sz w:val="30"/>
          <w:szCs w:val="30"/>
        </w:rPr>
      </w:pPr>
      <w:r>
        <w:rPr>
          <w:rFonts w:hint="eastAsia" w:ascii="Times New Roman" w:hAnsi="Times New Roman" w:eastAsia="宋体" w:cs="Times New Roman"/>
          <w:sz w:val="30"/>
          <w:szCs w:val="30"/>
        </w:rPr>
        <w:t>项目名称：阳新县太平冲等34座小型水库安全检测</w:t>
      </w:r>
    </w:p>
    <w:p>
      <w:pPr>
        <w:spacing w:line="360" w:lineRule="auto"/>
        <w:ind w:left="1134" w:leftChars="540"/>
        <w:rPr>
          <w:rFonts w:ascii="Times New Roman" w:hAnsi="Times New Roman" w:eastAsia="宋体" w:cs="Times New Roman"/>
          <w:sz w:val="30"/>
          <w:szCs w:val="30"/>
        </w:rPr>
      </w:pPr>
      <w:r>
        <w:rPr>
          <w:rFonts w:hint="eastAsia" w:ascii="Times New Roman" w:hAnsi="Times New Roman" w:eastAsia="宋体" w:cs="Times New Roman"/>
          <w:sz w:val="30"/>
          <w:szCs w:val="30"/>
        </w:rPr>
        <w:t>磋商内容：阳新县太平冲等34座小型水库安全检测</w:t>
      </w:r>
    </w:p>
    <w:p>
      <w:pPr>
        <w:ind w:left="735" w:leftChars="350" w:firstLine="750" w:firstLineChars="250"/>
        <w:jc w:val="left"/>
        <w:rPr>
          <w:rFonts w:ascii="Times New Roman" w:hAnsi="Times New Roman" w:eastAsia="宋体" w:cs="Times New Roman"/>
          <w:sz w:val="30"/>
          <w:szCs w:val="30"/>
        </w:rPr>
      </w:pPr>
    </w:p>
    <w:p>
      <w:pPr>
        <w:pStyle w:val="18"/>
      </w:pPr>
    </w:p>
    <w:p>
      <w:pPr>
        <w:adjustRightInd w:val="0"/>
        <w:snapToGrid w:val="0"/>
        <w:spacing w:line="360" w:lineRule="auto"/>
        <w:jc w:val="center"/>
        <w:rPr>
          <w:rFonts w:ascii="Times New Roman" w:hAnsi="Times New Roman" w:cs="Times New Roman"/>
          <w:sz w:val="36"/>
          <w:szCs w:val="36"/>
        </w:rPr>
      </w:pPr>
      <w:r>
        <w:rPr>
          <w:rFonts w:hint="eastAsia" w:ascii="Times New Roman" w:hAnsi="Times New Roman" w:cs="Times New Roman"/>
          <w:sz w:val="36"/>
          <w:szCs w:val="36"/>
        </w:rPr>
        <w:t>湖北路达胜工程技术咨询有限公司</w:t>
      </w:r>
    </w:p>
    <w:p>
      <w:pPr>
        <w:adjustRightInd w:val="0"/>
        <w:snapToGrid w:val="0"/>
        <w:spacing w:line="360" w:lineRule="auto"/>
        <w:jc w:val="center"/>
        <w:rPr>
          <w:rFonts w:ascii="Times New Roman" w:hAnsi="Times New Roman" w:cs="Times New Roman"/>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425" w:num="1"/>
          <w:titlePg/>
          <w:docGrid w:type="lines" w:linePitch="312" w:charSpace="0"/>
        </w:sectPr>
      </w:pPr>
      <w:r>
        <w:rPr>
          <w:rFonts w:hint="eastAsia" w:ascii="Times New Roman" w:hAnsi="Times New Roman" w:cs="Times New Roman"/>
          <w:sz w:val="36"/>
          <w:szCs w:val="36"/>
        </w:rPr>
        <w:t>2020年 12月</w:t>
      </w:r>
    </w:p>
    <w:p>
      <w:pPr>
        <w:spacing w:line="360" w:lineRule="auto"/>
        <w:jc w:val="center"/>
        <w:rPr>
          <w:rFonts w:ascii="Times New Roman" w:hAnsi="Times New Roman" w:cs="Times New Roman"/>
          <w:b/>
          <w:sz w:val="24"/>
          <w:szCs w:val="24"/>
        </w:rPr>
      </w:pPr>
    </w:p>
    <w:p>
      <w:pPr>
        <w:spacing w:line="360" w:lineRule="auto"/>
        <w:jc w:val="center"/>
        <w:rPr>
          <w:rFonts w:ascii="Times New Roman" w:hAnsi="Times New Roman" w:cs="Times New Roman"/>
          <w:b/>
          <w:sz w:val="36"/>
          <w:szCs w:val="36"/>
        </w:rPr>
      </w:pPr>
      <w:r>
        <w:rPr>
          <w:rFonts w:ascii="Times New Roman" w:hAnsi="Times New Roman" w:cs="Times New Roman"/>
          <w:b/>
          <w:sz w:val="36"/>
          <w:szCs w:val="36"/>
        </w:rPr>
        <w:t>目录</w:t>
      </w:r>
    </w:p>
    <w:p>
      <w:pPr>
        <w:spacing w:line="360" w:lineRule="auto"/>
        <w:rPr>
          <w:rFonts w:ascii="Times New Roman" w:hAnsi="Times New Roman" w:eastAsia="黑体" w:cs="Times New Roman"/>
          <w:sz w:val="24"/>
          <w:szCs w:val="24"/>
        </w:rPr>
      </w:pP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第一章磋商邀请函··························································································0</w:t>
      </w:r>
      <w:r>
        <w:rPr>
          <w:rFonts w:hint="eastAsia" w:ascii="Times New Roman" w:hAnsi="Times New Roman" w:cs="Times New Roman"/>
          <w:sz w:val="24"/>
          <w:szCs w:val="24"/>
        </w:rPr>
        <w:t>3</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第二章磋商须知·····························································································0</w:t>
      </w:r>
      <w:r>
        <w:rPr>
          <w:rFonts w:hint="eastAsia" w:ascii="Times New Roman" w:hAnsi="Times New Roman" w:cs="Times New Roman"/>
          <w:sz w:val="24"/>
          <w:szCs w:val="24"/>
        </w:rPr>
        <w:t>5</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第三章采购货物（服务）技术参数、规格及要求···················································</w:t>
      </w:r>
      <w:r>
        <w:rPr>
          <w:rFonts w:hint="eastAsia" w:ascii="Times New Roman" w:hAnsi="Times New Roman" w:cs="Times New Roman"/>
          <w:sz w:val="24"/>
          <w:szCs w:val="24"/>
        </w:rPr>
        <w:t>13</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第四章评审办法及评审标准··············································································</w:t>
      </w:r>
      <w:r>
        <w:rPr>
          <w:rFonts w:hint="eastAsia" w:ascii="Times New Roman" w:hAnsi="Times New Roman" w:cs="Times New Roman"/>
          <w:sz w:val="24"/>
          <w:szCs w:val="24"/>
        </w:rPr>
        <w:t>14</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第五章合同书（格式）····················································································</w:t>
      </w:r>
      <w:r>
        <w:rPr>
          <w:rFonts w:hint="eastAsia" w:ascii="Times New Roman" w:hAnsi="Times New Roman" w:cs="Times New Roman"/>
          <w:sz w:val="24"/>
          <w:szCs w:val="24"/>
        </w:rPr>
        <w:t>15</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第六章响应文件格式·······················································································</w:t>
      </w:r>
      <w:r>
        <w:rPr>
          <w:rFonts w:hint="eastAsia" w:ascii="Times New Roman" w:hAnsi="Times New Roman" w:cs="Times New Roman"/>
          <w:sz w:val="24"/>
          <w:szCs w:val="24"/>
        </w:rPr>
        <w:t>17</w:t>
      </w:r>
    </w:p>
    <w:p>
      <w:pPr>
        <w:spacing w:line="360" w:lineRule="auto"/>
        <w:jc w:val="left"/>
        <w:rPr>
          <w:rFonts w:ascii="Times New Roman" w:hAnsi="Times New Roman" w:cs="Times New Roman"/>
          <w:sz w:val="24"/>
          <w:szCs w:val="24"/>
        </w:rPr>
      </w:pPr>
    </w:p>
    <w:p>
      <w:pPr>
        <w:adjustRightInd w:val="0"/>
        <w:snapToGrid w:val="0"/>
        <w:spacing w:line="360" w:lineRule="auto"/>
        <w:jc w:val="center"/>
        <w:outlineLvl w:val="0"/>
        <w:rPr>
          <w:rFonts w:ascii="Times New Roman" w:hAnsi="Times New Roman" w:cs="Times New Roman"/>
          <w:sz w:val="24"/>
          <w:szCs w:val="24"/>
        </w:rPr>
        <w:sectPr>
          <w:headerReference r:id="rId9" w:type="default"/>
          <w:pgSz w:w="11906" w:h="16838"/>
          <w:pgMar w:top="1440" w:right="1080" w:bottom="1440" w:left="1080" w:header="851" w:footer="992" w:gutter="0"/>
          <w:cols w:space="425" w:num="1"/>
          <w:docGrid w:type="lines" w:linePitch="312" w:charSpace="0"/>
        </w:sectPr>
      </w:pPr>
    </w:p>
    <w:p>
      <w:p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t>第一章</w:t>
      </w:r>
      <w:r>
        <w:rPr>
          <w:rFonts w:hint="eastAsia" w:ascii="Times New Roman" w:hAnsi="Times New Roman" w:cs="Times New Roman"/>
          <w:b/>
          <w:bCs/>
          <w:sz w:val="36"/>
          <w:szCs w:val="36"/>
        </w:rPr>
        <w:t xml:space="preserve"> 磋商</w:t>
      </w:r>
      <w:r>
        <w:rPr>
          <w:rFonts w:ascii="Times New Roman" w:hAnsi="Times New Roman" w:cs="Times New Roman"/>
          <w:b/>
          <w:bCs/>
          <w:sz w:val="36"/>
          <w:szCs w:val="36"/>
        </w:rPr>
        <w:t>邀请函</w:t>
      </w:r>
    </w:p>
    <w:p>
      <w:pPr>
        <w:spacing w:line="360" w:lineRule="auto"/>
        <w:rPr>
          <w:rFonts w:ascii="Times New Roman" w:hAnsi="Times New Roman" w:cs="Times New Roman"/>
          <w:bCs/>
          <w:sz w:val="24"/>
          <w:szCs w:val="24"/>
          <w:lang w:bidi="ar-EG"/>
        </w:rPr>
      </w:pPr>
    </w:p>
    <w:p>
      <w:pPr>
        <w:adjustRightInd w:val="0"/>
        <w:snapToGrid w:val="0"/>
        <w:spacing w:line="360" w:lineRule="auto"/>
        <w:rPr>
          <w:rFonts w:ascii="Times New Roman" w:hAnsi="Times New Roman" w:cs="Times New Roman"/>
          <w:sz w:val="24"/>
          <w:szCs w:val="24"/>
          <w:u w:val="single"/>
        </w:rPr>
      </w:pPr>
      <w:r>
        <w:rPr>
          <w:rFonts w:ascii="Times New Roman" w:hAnsi="Times New Roman" w:cs="Times New Roman"/>
          <w:bCs/>
          <w:sz w:val="24"/>
          <w:szCs w:val="24"/>
          <w:u w:val="single"/>
          <w:lang w:bidi="ar-EG"/>
        </w:rPr>
        <w:t>（受邀请供应商名称）：</w:t>
      </w:r>
    </w:p>
    <w:p>
      <w:pPr>
        <w:adjustRightInd w:val="0"/>
        <w:snapToGrid w:val="0"/>
        <w:spacing w:line="360" w:lineRule="auto"/>
        <w:ind w:firstLine="480" w:firstLineChars="200"/>
        <w:rPr>
          <w:rFonts w:ascii="Times New Roman" w:hAnsi="Times New Roman" w:cs="Times New Roman"/>
          <w:bCs/>
          <w:sz w:val="24"/>
          <w:szCs w:val="24"/>
          <w:u w:val="single"/>
        </w:rPr>
      </w:pPr>
      <w:r>
        <w:rPr>
          <w:rFonts w:ascii="Times New Roman" w:hAnsi="Times New Roman" w:cs="Times New Roman"/>
          <w:sz w:val="24"/>
          <w:szCs w:val="24"/>
        </w:rPr>
        <w:t>磋商小组确定你公司为</w:t>
      </w:r>
      <w:r>
        <w:rPr>
          <w:rFonts w:hint="eastAsia" w:ascii="Times New Roman" w:hAnsi="Times New Roman" w:cs="Times New Roman"/>
          <w:bCs/>
          <w:sz w:val="24"/>
          <w:szCs w:val="24"/>
          <w:u w:val="single"/>
        </w:rPr>
        <w:t>阳新县太平冲等34座小型水库安全检测</w:t>
      </w:r>
      <w:r>
        <w:rPr>
          <w:rFonts w:ascii="Times New Roman" w:hAnsi="Times New Roman" w:cs="Times New Roman"/>
          <w:sz w:val="24"/>
          <w:szCs w:val="24"/>
          <w:u w:val="single"/>
        </w:rPr>
        <w:t>，</w:t>
      </w:r>
      <w:r>
        <w:rPr>
          <w:rFonts w:hint="eastAsia"/>
          <w:sz w:val="24"/>
          <w:szCs w:val="24"/>
          <w:highlight w:val="yellow"/>
          <w:u w:val="single"/>
        </w:rPr>
        <w:t>阳财采计备[2020 ]</w:t>
      </w:r>
      <w:r>
        <w:rPr>
          <w:sz w:val="24"/>
          <w:szCs w:val="24"/>
          <w:highlight w:val="yellow"/>
          <w:u w:val="single"/>
        </w:rPr>
        <w:t xml:space="preserve"> A</w:t>
      </w:r>
      <w:r>
        <w:rPr>
          <w:rFonts w:hint="eastAsia"/>
          <w:sz w:val="24"/>
          <w:szCs w:val="24"/>
          <w:highlight w:val="yellow"/>
          <w:u w:val="single"/>
        </w:rPr>
        <w:t>239    号</w:t>
      </w:r>
      <w:r>
        <w:rPr>
          <w:rFonts w:ascii="Times New Roman" w:hAnsi="Times New Roman" w:cs="Times New Roman"/>
          <w:sz w:val="24"/>
          <w:szCs w:val="24"/>
        </w:rPr>
        <w:t>磋商供应商，现邀请你公司参加竞争性磋商。</w:t>
      </w:r>
    </w:p>
    <w:p>
      <w:pPr>
        <w:adjustRightInd w:val="0"/>
        <w:snapToGrid w:val="0"/>
        <w:spacing w:line="360" w:lineRule="auto"/>
        <w:ind w:firstLine="480"/>
        <w:outlineLvl w:val="0"/>
        <w:rPr>
          <w:rFonts w:ascii="Times New Roman" w:hAnsi="Times New Roman"/>
          <w:bCs/>
          <w:sz w:val="24"/>
          <w:lang w:bidi="ar-EG"/>
        </w:rPr>
      </w:pPr>
      <w:r>
        <w:rPr>
          <w:rFonts w:hint="eastAsia" w:ascii="Times New Roman" w:hAnsi="Times New Roman"/>
          <w:bCs/>
          <w:sz w:val="24"/>
          <w:lang w:bidi="ar-EG"/>
        </w:rPr>
        <w:t>一、项目编号：</w:t>
      </w:r>
      <w:r>
        <w:rPr>
          <w:rFonts w:hint="eastAsia" w:ascii="Times New Roman" w:hAnsi="Times New Roman"/>
          <w:bCs/>
          <w:sz w:val="24"/>
          <w:highlight w:val="yellow"/>
          <w:lang w:bidi="ar-EG"/>
        </w:rPr>
        <w:t>131-2020CG-</w:t>
      </w:r>
      <w:r>
        <w:rPr>
          <w:rFonts w:hint="eastAsia" w:ascii="Times New Roman" w:hAnsi="Times New Roman"/>
          <w:bCs/>
          <w:sz w:val="24"/>
          <w:lang w:bidi="ar-EG"/>
        </w:rPr>
        <w:t xml:space="preserve">298  </w:t>
      </w:r>
    </w:p>
    <w:p>
      <w:pPr>
        <w:adjustRightInd w:val="0"/>
        <w:snapToGrid w:val="0"/>
        <w:spacing w:line="360" w:lineRule="auto"/>
        <w:ind w:firstLine="480"/>
        <w:outlineLvl w:val="0"/>
        <w:rPr>
          <w:rFonts w:ascii="Times New Roman" w:hAnsi="Times New Roman"/>
          <w:bCs/>
          <w:sz w:val="24"/>
          <w:lang w:bidi="ar-EG"/>
        </w:rPr>
      </w:pPr>
      <w:r>
        <w:rPr>
          <w:rFonts w:hint="eastAsia" w:ascii="Times New Roman" w:hAnsi="Times New Roman"/>
          <w:bCs/>
          <w:sz w:val="24"/>
          <w:lang w:bidi="ar-EG"/>
        </w:rPr>
        <w:t>二、采购预算：</w:t>
      </w:r>
      <w:r>
        <w:rPr>
          <w:rFonts w:hint="eastAsia" w:ascii="宋体" w:hAnsi="宋体"/>
          <w:bCs/>
          <w:sz w:val="24"/>
          <w:szCs w:val="24"/>
          <w:highlight w:val="yellow"/>
        </w:rPr>
        <w:t xml:space="preserve"> 40.8万元</w:t>
      </w:r>
    </w:p>
    <w:p>
      <w:pPr>
        <w:adjustRightInd w:val="0"/>
        <w:snapToGrid w:val="0"/>
        <w:spacing w:line="360" w:lineRule="auto"/>
        <w:ind w:firstLine="480"/>
        <w:outlineLvl w:val="0"/>
        <w:rPr>
          <w:rFonts w:ascii="Times New Roman" w:hAnsi="Times New Roman"/>
          <w:bCs/>
          <w:sz w:val="24"/>
          <w:lang w:bidi="ar-EG"/>
        </w:rPr>
      </w:pPr>
      <w:r>
        <w:rPr>
          <w:rFonts w:hint="eastAsia" w:ascii="Times New Roman" w:hAnsi="Times New Roman"/>
          <w:bCs/>
          <w:sz w:val="24"/>
          <w:lang w:bidi="ar-EG"/>
        </w:rPr>
        <w:t>三、项目名称：阳新县太平冲等34座小型水库安全检测</w:t>
      </w:r>
    </w:p>
    <w:p>
      <w:pPr>
        <w:adjustRightInd w:val="0"/>
        <w:snapToGrid w:val="0"/>
        <w:spacing w:line="360" w:lineRule="auto"/>
        <w:ind w:firstLine="480"/>
        <w:outlineLvl w:val="0"/>
        <w:rPr>
          <w:rFonts w:ascii="Times New Roman" w:hAnsi="Times New Roman"/>
          <w:bCs/>
          <w:sz w:val="24"/>
          <w:lang w:bidi="ar-EG"/>
        </w:rPr>
      </w:pPr>
      <w:r>
        <w:rPr>
          <w:rFonts w:hint="eastAsia" w:ascii="Times New Roman" w:hAnsi="Times New Roman"/>
          <w:bCs/>
          <w:sz w:val="24"/>
          <w:lang w:bidi="ar-EG"/>
        </w:rPr>
        <w:t>四、采购内容：</w:t>
      </w:r>
    </w:p>
    <w:p>
      <w:pPr>
        <w:adjustRightInd w:val="0"/>
        <w:snapToGrid w:val="0"/>
        <w:spacing w:line="360" w:lineRule="auto"/>
        <w:ind w:firstLine="480"/>
        <w:outlineLvl w:val="0"/>
        <w:rPr>
          <w:rFonts w:ascii="宋体" w:hAnsi="宋体"/>
          <w:bCs/>
          <w:color w:val="FF0000"/>
          <w:sz w:val="24"/>
          <w:szCs w:val="24"/>
        </w:rPr>
      </w:pPr>
      <w:r>
        <w:rPr>
          <w:rFonts w:hint="eastAsia" w:ascii="宋体" w:hAnsi="宋体"/>
          <w:bCs/>
          <w:color w:val="FF0000"/>
          <w:sz w:val="24"/>
          <w:szCs w:val="24"/>
        </w:rPr>
        <w:t>阳新县太平冲等34座小型水库安全检测,最高限价40.8万元。</w:t>
      </w:r>
    </w:p>
    <w:p>
      <w:pPr>
        <w:adjustRightInd w:val="0"/>
        <w:snapToGrid w:val="0"/>
        <w:spacing w:line="360" w:lineRule="auto"/>
        <w:ind w:firstLine="480"/>
        <w:outlineLvl w:val="0"/>
        <w:rPr>
          <w:rFonts w:ascii="Times New Roman" w:hAnsi="Times New Roman"/>
          <w:bCs/>
          <w:sz w:val="24"/>
          <w:lang w:bidi="ar-EG"/>
        </w:rPr>
      </w:pPr>
      <w:r>
        <w:rPr>
          <w:rFonts w:hint="eastAsia" w:ascii="Times New Roman" w:hAnsi="Times New Roman"/>
          <w:bCs/>
          <w:sz w:val="24"/>
          <w:lang w:bidi="ar-EG"/>
        </w:rPr>
        <w:t>五、供应商资格条件</w:t>
      </w:r>
    </w:p>
    <w:p>
      <w:pPr>
        <w:adjustRightInd w:val="0"/>
        <w:snapToGrid w:val="0"/>
        <w:spacing w:line="360" w:lineRule="auto"/>
        <w:ind w:firstLine="480"/>
        <w:outlineLvl w:val="0"/>
        <w:rPr>
          <w:rFonts w:ascii="Times New Roman" w:hAnsi="Times New Roman"/>
          <w:bCs/>
          <w:sz w:val="24"/>
          <w:lang w:bidi="ar-EG"/>
        </w:rPr>
      </w:pPr>
      <w:r>
        <w:rPr>
          <w:rFonts w:hint="eastAsia" w:ascii="Times New Roman" w:hAnsi="Times New Roman"/>
          <w:bCs/>
          <w:sz w:val="24"/>
          <w:lang w:bidi="ar-EG"/>
        </w:rPr>
        <w:t>（一）应具备《政府采购法》第二十二条第一款之规定的基本条件。</w:t>
      </w:r>
    </w:p>
    <w:p>
      <w:pPr>
        <w:adjustRightInd w:val="0"/>
        <w:snapToGrid w:val="0"/>
        <w:spacing w:line="360" w:lineRule="auto"/>
        <w:ind w:firstLine="480"/>
        <w:outlineLvl w:val="0"/>
        <w:rPr>
          <w:rFonts w:ascii="Times New Roman" w:hAnsi="Times New Roman"/>
          <w:bCs/>
          <w:sz w:val="24"/>
          <w:lang w:bidi="ar-EG"/>
        </w:rPr>
      </w:pPr>
      <w:r>
        <w:rPr>
          <w:rFonts w:hint="eastAsia" w:ascii="Times New Roman" w:hAnsi="Times New Roman"/>
          <w:bCs/>
          <w:sz w:val="24"/>
          <w:lang w:bidi="ar-EG"/>
        </w:rPr>
        <w:t>（二）</w:t>
      </w:r>
      <w:r>
        <w:rPr>
          <w:rFonts w:hint="eastAsia"/>
          <w:sz w:val="24"/>
          <w:szCs w:val="24"/>
        </w:rPr>
        <w:t>参加本次政府采购活动前三年内，在经营活动中没有重大违法记录并须提交《参加政府采购活动前3年内在经营活动中没有重大违法记录的书面声明》，且必须未被列入"信用中国"网站(</w:t>
      </w:r>
      <w:r>
        <w:fldChar w:fldCharType="begin"/>
      </w:r>
      <w:r>
        <w:instrText xml:space="preserve"> HYPERLINK "http://www.creditchina.gov.cn" </w:instrText>
      </w:r>
      <w:r>
        <w:fldChar w:fldCharType="separate"/>
      </w:r>
      <w:r>
        <w:rPr>
          <w:rStyle w:val="17"/>
          <w:rFonts w:hint="eastAsia"/>
          <w:color w:val="auto"/>
          <w:sz w:val="24"/>
          <w:szCs w:val="24"/>
        </w:rPr>
        <w:t>www.creditchina.gov.cn</w:t>
      </w:r>
      <w:r>
        <w:rPr>
          <w:rStyle w:val="17"/>
          <w:rFonts w:hint="eastAsia"/>
          <w:color w:val="auto"/>
          <w:sz w:val="24"/>
          <w:szCs w:val="24"/>
        </w:rPr>
        <w:fldChar w:fldCharType="end"/>
      </w:r>
      <w:r>
        <w:rPr>
          <w:rFonts w:hint="eastAsia"/>
          <w:sz w:val="24"/>
          <w:szCs w:val="24"/>
        </w:rPr>
        <w:t>)失信被执行人（须提供网站截图）、重大税收违法案件当事人、"中国政府采购网"（www.ccgp.gov.cn）政府采购严重违法失信行为记录名单。</w:t>
      </w:r>
    </w:p>
    <w:p>
      <w:pPr>
        <w:adjustRightInd w:val="0"/>
        <w:snapToGrid w:val="0"/>
        <w:spacing w:line="360" w:lineRule="auto"/>
        <w:ind w:firstLine="480"/>
        <w:outlineLvl w:val="0"/>
        <w:rPr>
          <w:rFonts w:ascii="Times New Roman" w:hAnsi="Times New Roman"/>
          <w:bCs/>
          <w:sz w:val="24"/>
          <w:lang w:bidi="ar-EG"/>
        </w:rPr>
      </w:pPr>
      <w:r>
        <w:rPr>
          <w:rFonts w:hint="eastAsia" w:ascii="Times New Roman" w:hAnsi="Times New Roman"/>
          <w:bCs/>
          <w:sz w:val="24"/>
          <w:lang w:bidi="ar-EG"/>
        </w:rPr>
        <w:t>（三）本项目不接收联合体投标。</w:t>
      </w:r>
    </w:p>
    <w:p>
      <w:pPr>
        <w:pStyle w:val="2"/>
        <w:ind w:firstLine="480"/>
        <w:rPr>
          <w:lang w:bidi="ar-EG"/>
        </w:rPr>
      </w:pPr>
      <w:r>
        <w:rPr>
          <w:rFonts w:hint="eastAsia"/>
          <w:lang w:bidi="ar-EG"/>
        </w:rPr>
        <w:t>（四）特定条件：</w:t>
      </w:r>
    </w:p>
    <w:p>
      <w:pPr>
        <w:pStyle w:val="2"/>
        <w:ind w:firstLine="482"/>
        <w:rPr>
          <w:rFonts w:ascii="Times New Roman"/>
          <w:b/>
          <w:bCs/>
          <w:color w:val="000000" w:themeColor="text1"/>
          <w:lang w:bidi="ar-EG"/>
        </w:rPr>
      </w:pPr>
      <w:r>
        <w:rPr>
          <w:rFonts w:hint="eastAsia" w:ascii="Times New Roman"/>
          <w:b/>
          <w:bCs/>
          <w:color w:val="000000" w:themeColor="text1"/>
          <w:lang w:bidi="ar-EG"/>
        </w:rPr>
        <w:t>（1）须同时具有水利工程质量检测岩土工程类、混凝土工程类、金属结构类乙级及以上资质；</w:t>
      </w:r>
    </w:p>
    <w:p>
      <w:pPr>
        <w:pStyle w:val="2"/>
        <w:ind w:firstLine="482"/>
        <w:rPr>
          <w:rFonts w:ascii="Times New Roman"/>
          <w:bCs/>
          <w:color w:val="000000" w:themeColor="text1"/>
          <w:lang w:bidi="ar-EG"/>
        </w:rPr>
      </w:pPr>
      <w:r>
        <w:rPr>
          <w:rFonts w:hint="eastAsia" w:ascii="Times New Roman"/>
          <w:b/>
          <w:bCs/>
          <w:color w:val="000000" w:themeColor="text1"/>
          <w:lang w:bidi="ar-EG"/>
        </w:rPr>
        <w:t>（2）单位负责人为同一人或者为控股、管理关系的不同单位，不得参加同一标段投标</w:t>
      </w:r>
      <w:r>
        <w:rPr>
          <w:rFonts w:hint="eastAsia" w:ascii="Times New Roman"/>
          <w:bCs/>
          <w:color w:val="000000" w:themeColor="text1"/>
          <w:lang w:bidi="ar-EG"/>
        </w:rPr>
        <w:t>；</w:t>
      </w:r>
    </w:p>
    <w:p>
      <w:pPr>
        <w:adjustRightInd w:val="0"/>
        <w:snapToGrid w:val="0"/>
        <w:spacing w:line="360" w:lineRule="auto"/>
        <w:ind w:firstLine="480"/>
        <w:outlineLvl w:val="0"/>
        <w:rPr>
          <w:rFonts w:ascii="Times New Roman" w:hAnsi="Times New Roman"/>
          <w:sz w:val="24"/>
        </w:rPr>
      </w:pPr>
      <w:r>
        <w:rPr>
          <w:rFonts w:hint="eastAsia" w:ascii="Times New Roman" w:hAnsi="Times New Roman"/>
          <w:sz w:val="24"/>
        </w:rPr>
        <w:t>六、是否专门面向中小企业、监狱企业、残疾人福利性单位：否。</w:t>
      </w:r>
    </w:p>
    <w:p>
      <w:pPr>
        <w:adjustRightInd w:val="0"/>
        <w:snapToGrid w:val="0"/>
        <w:spacing w:line="360" w:lineRule="auto"/>
        <w:ind w:firstLine="480"/>
        <w:outlineLvl w:val="0"/>
        <w:rPr>
          <w:rFonts w:ascii="Times New Roman" w:hAnsi="Times New Roman"/>
          <w:sz w:val="24"/>
        </w:rPr>
      </w:pPr>
      <w:r>
        <w:rPr>
          <w:rFonts w:hint="eastAsia" w:ascii="Times New Roman" w:hAnsi="Times New Roman"/>
          <w:sz w:val="24"/>
        </w:rPr>
        <w:t>七、竞争性磋商文件的获得</w:t>
      </w:r>
    </w:p>
    <w:p>
      <w:pPr>
        <w:adjustRightInd w:val="0"/>
        <w:snapToGrid w:val="0"/>
        <w:spacing w:line="360" w:lineRule="auto"/>
        <w:ind w:firstLine="480"/>
        <w:rPr>
          <w:rFonts w:ascii="Times New Roman" w:hAnsi="Times New Roman"/>
          <w:sz w:val="24"/>
          <w:highlight w:val="yellow"/>
          <w:lang w:bidi="ar-EG"/>
        </w:rPr>
      </w:pPr>
      <w:r>
        <w:rPr>
          <w:rFonts w:hint="eastAsia" w:ascii="Times New Roman" w:hAnsi="Times New Roman"/>
          <w:sz w:val="24"/>
          <w:highlight w:val="yellow"/>
          <w:lang w:bidi="ar-EG"/>
        </w:rPr>
        <w:t xml:space="preserve">1、时间：2020年12月29日至2021年1月6日，每天上午09:00至12:00，下午14:00至17:30（北京时间，法定节假日除外） </w:t>
      </w:r>
    </w:p>
    <w:p>
      <w:pPr>
        <w:adjustRightInd w:val="0"/>
        <w:snapToGrid w:val="0"/>
        <w:spacing w:line="360" w:lineRule="auto"/>
        <w:ind w:firstLine="480"/>
        <w:rPr>
          <w:rFonts w:ascii="Times New Roman" w:hAnsi="Times New Roman"/>
          <w:sz w:val="24"/>
          <w:lang w:bidi="ar-EG"/>
        </w:rPr>
      </w:pPr>
      <w:r>
        <w:rPr>
          <w:rFonts w:hint="eastAsia" w:ascii="Times New Roman" w:hAnsi="Times New Roman"/>
          <w:sz w:val="24"/>
          <w:lang w:bidi="ar-EG"/>
        </w:rPr>
        <w:t>2、领取方式：采购代理公司按磋商小组征集并确定好的供应商发送电子邮件通知其合格，并邀请其前往采购代理公司领取纸质采购文件。本采购文件</w:t>
      </w:r>
      <w:r>
        <w:rPr>
          <w:rFonts w:ascii="Times New Roman" w:hAnsi="Times New Roman"/>
          <w:sz w:val="24"/>
          <w:lang w:bidi="ar-EG"/>
        </w:rPr>
        <w:t>300</w:t>
      </w:r>
      <w:r>
        <w:rPr>
          <w:rFonts w:hint="eastAsia" w:ascii="Times New Roman" w:hAnsi="Times New Roman"/>
          <w:sz w:val="24"/>
          <w:lang w:bidi="ar-EG"/>
        </w:rPr>
        <w:t>元</w:t>
      </w:r>
      <w:r>
        <w:rPr>
          <w:rFonts w:ascii="Times New Roman" w:hAnsi="Times New Roman"/>
          <w:sz w:val="24"/>
          <w:lang w:bidi="ar-EG"/>
        </w:rPr>
        <w:t>/</w:t>
      </w:r>
      <w:r>
        <w:rPr>
          <w:rFonts w:hint="eastAsia" w:ascii="Times New Roman" w:hAnsi="Times New Roman"/>
          <w:sz w:val="24"/>
          <w:lang w:bidi="ar-EG"/>
        </w:rPr>
        <w:t>套。</w:t>
      </w:r>
    </w:p>
    <w:p>
      <w:pPr>
        <w:adjustRightInd w:val="0"/>
        <w:snapToGrid w:val="0"/>
        <w:spacing w:line="360" w:lineRule="auto"/>
        <w:ind w:firstLine="480"/>
        <w:rPr>
          <w:rFonts w:ascii="Times New Roman" w:hAnsi="Times New Roman"/>
          <w:sz w:val="24"/>
          <w:szCs w:val="24"/>
          <w:lang w:val="hr-HR" w:bidi="ar-EG"/>
        </w:rPr>
      </w:pPr>
      <w:r>
        <w:rPr>
          <w:rFonts w:hint="eastAsia" w:ascii="Times New Roman" w:hAnsi="Times New Roman"/>
          <w:sz w:val="24"/>
          <w:lang w:bidi="ar-EG"/>
        </w:rPr>
        <w:t>八</w:t>
      </w:r>
      <w:r>
        <w:rPr>
          <w:rFonts w:hint="eastAsia" w:ascii="Times New Roman" w:hAnsi="Times New Roman"/>
          <w:sz w:val="24"/>
          <w:lang w:val="hr-HR" w:bidi="ar-EG"/>
        </w:rPr>
        <w:t>、递交响应文件截止时间、磋商时间和磋商地点</w:t>
      </w:r>
    </w:p>
    <w:p>
      <w:pPr>
        <w:adjustRightInd w:val="0"/>
        <w:snapToGrid w:val="0"/>
        <w:spacing w:line="360" w:lineRule="auto"/>
        <w:ind w:left="479" w:leftChars="228"/>
        <w:outlineLvl w:val="0"/>
        <w:rPr>
          <w:rFonts w:ascii="Calibri" w:hAnsi="Calibri"/>
          <w:sz w:val="24"/>
          <w:highlight w:val="yellow"/>
          <w:lang w:bidi="en-US"/>
        </w:rPr>
      </w:pPr>
      <w:r>
        <w:rPr>
          <w:rFonts w:hint="eastAsia" w:ascii="Times New Roman" w:hAnsi="Times New Roman"/>
          <w:sz w:val="24"/>
          <w:highlight w:val="yellow"/>
          <w:lang w:val="hr-HR" w:bidi="ar-EG"/>
        </w:rPr>
        <w:t>递交响应文件截止时间：</w:t>
      </w:r>
      <w:r>
        <w:rPr>
          <w:rFonts w:hint="eastAsia" w:ascii="Times New Roman" w:hAnsi="Times New Roman"/>
          <w:color w:val="000000" w:themeColor="text1"/>
          <w:sz w:val="24"/>
          <w:highlight w:val="yellow"/>
          <w:u w:val="single"/>
          <w:lang w:bidi="ar-EG"/>
        </w:rPr>
        <w:t>2021</w:t>
      </w:r>
      <w:r>
        <w:rPr>
          <w:rFonts w:hint="eastAsia" w:ascii="Times New Roman" w:hAnsi="Times New Roman"/>
          <w:bCs/>
          <w:color w:val="000000" w:themeColor="text1"/>
          <w:sz w:val="24"/>
          <w:highlight w:val="yellow"/>
          <w:u w:val="single"/>
          <w:lang w:bidi="ar-EG"/>
        </w:rPr>
        <w:t>年1月13日 9点00分</w:t>
      </w:r>
      <w:r>
        <w:rPr>
          <w:rFonts w:hint="eastAsia"/>
          <w:sz w:val="24"/>
          <w:highlight w:val="yellow"/>
        </w:rPr>
        <w:t>（8时30分开始接受响应文件）。</w:t>
      </w:r>
      <w:r>
        <w:rPr>
          <w:rFonts w:hint="eastAsia" w:ascii="Times New Roman" w:hAnsi="Times New Roman"/>
          <w:sz w:val="24"/>
          <w:highlight w:val="yellow"/>
          <w:lang w:val="hr-HR" w:bidi="ar-EG"/>
        </w:rPr>
        <w:t>递交响应文件截止时间即为磋商时间，逾期送达的响应文件概不接受。</w:t>
      </w:r>
    </w:p>
    <w:p>
      <w:pPr>
        <w:adjustRightInd w:val="0"/>
        <w:snapToGrid w:val="0"/>
        <w:spacing w:line="360" w:lineRule="auto"/>
        <w:ind w:firstLine="480" w:firstLineChars="200"/>
        <w:textAlignment w:val="baseline"/>
        <w:rPr>
          <w:sz w:val="24"/>
          <w:highlight w:val="yellow"/>
          <w:lang w:val="hr-HR" w:bidi="ar-EG"/>
        </w:rPr>
      </w:pPr>
      <w:r>
        <w:rPr>
          <w:rFonts w:hint="eastAsia"/>
          <w:sz w:val="24"/>
          <w:highlight w:val="yellow"/>
          <w:lang w:bidi="ar-EG"/>
        </w:rPr>
        <w:t>磋商</w:t>
      </w:r>
      <w:r>
        <w:rPr>
          <w:rFonts w:hint="eastAsia"/>
          <w:sz w:val="24"/>
          <w:highlight w:val="yellow"/>
          <w:lang w:val="hr-HR" w:bidi="ar-EG"/>
        </w:rPr>
        <w:t>响应文件送达地点：阳新县公共资源交易中</w:t>
      </w:r>
      <w:r>
        <w:rPr>
          <w:rFonts w:hint="eastAsia"/>
          <w:color w:val="000000" w:themeColor="text1"/>
          <w:sz w:val="24"/>
          <w:highlight w:val="yellow"/>
          <w:lang w:val="hr-HR" w:bidi="ar-EG"/>
        </w:rPr>
        <w:t>心1 楼开</w:t>
      </w:r>
      <w:r>
        <w:rPr>
          <w:rFonts w:hint="eastAsia"/>
          <w:sz w:val="24"/>
          <w:highlight w:val="yellow"/>
          <w:lang w:val="hr-HR" w:bidi="ar-EG"/>
        </w:rPr>
        <w:t>标大厅（</w:t>
      </w:r>
      <w:r>
        <w:rPr>
          <w:rFonts w:hint="eastAsia"/>
          <w:sz w:val="24"/>
          <w:highlight w:val="yellow"/>
        </w:rPr>
        <w:t>阳新大道熊家垴安置小区东侧</w:t>
      </w:r>
      <w:r>
        <w:rPr>
          <w:rFonts w:hint="eastAsia"/>
          <w:sz w:val="24"/>
          <w:highlight w:val="yellow"/>
          <w:lang w:val="hr-HR" w:bidi="ar-EG"/>
        </w:rPr>
        <w:t>）</w:t>
      </w:r>
    </w:p>
    <w:p>
      <w:pPr>
        <w:adjustRightInd w:val="0"/>
        <w:snapToGrid w:val="0"/>
        <w:spacing w:line="360" w:lineRule="auto"/>
        <w:ind w:firstLine="480" w:firstLineChars="200"/>
        <w:textAlignment w:val="baseline"/>
        <w:rPr>
          <w:sz w:val="24"/>
          <w:lang w:val="hr-HR" w:bidi="ar-EG"/>
        </w:rPr>
      </w:pPr>
      <w:r>
        <w:rPr>
          <w:rFonts w:hint="eastAsia" w:ascii="Times New Roman" w:hAnsi="Times New Roman"/>
          <w:sz w:val="24"/>
          <w:lang w:val="hr-HR" w:bidi="ar-EG"/>
        </w:rPr>
        <w:t>九、</w:t>
      </w:r>
      <w:r>
        <w:rPr>
          <w:rFonts w:hint="eastAsia" w:cs="宋体"/>
          <w:sz w:val="24"/>
        </w:rPr>
        <w:t>届时请参加磋商的授权代表携带有效身份证、法人身份证明书或法人授权委托书（原件）出席磋商会并参加磋商，否则磋商小组将拒绝供应商参加磋商。</w:t>
      </w:r>
    </w:p>
    <w:p>
      <w:pPr>
        <w:adjustRightInd w:val="0"/>
        <w:snapToGrid w:val="0"/>
        <w:spacing w:line="360" w:lineRule="auto"/>
        <w:ind w:firstLine="480"/>
        <w:rPr>
          <w:rFonts w:ascii="Times New Roman" w:hAnsi="Times New Roman"/>
          <w:sz w:val="24"/>
          <w:lang w:bidi="en-US"/>
        </w:rPr>
      </w:pPr>
      <w:r>
        <w:rPr>
          <w:rFonts w:hint="eastAsia" w:ascii="Times New Roman" w:hAnsi="Times New Roman"/>
          <w:sz w:val="24"/>
        </w:rPr>
        <w:t>十、询问和质疑</w:t>
      </w:r>
    </w:p>
    <w:p>
      <w:pPr>
        <w:adjustRightInd w:val="0"/>
        <w:snapToGrid w:val="0"/>
        <w:spacing w:line="360" w:lineRule="auto"/>
        <w:ind w:firstLine="480"/>
        <w:rPr>
          <w:rFonts w:ascii="Times New Roman" w:hAnsi="Times New Roman"/>
          <w:sz w:val="24"/>
        </w:rPr>
      </w:pPr>
      <w:r>
        <w:rPr>
          <w:rFonts w:hint="eastAsia" w:ascii="Times New Roman" w:hAnsi="Times New Roman"/>
          <w:sz w:val="24"/>
        </w:rPr>
        <w:t>相关供应商对磋商文件、磋商过程和成交结果有异议的，可在知道或者应知其权益受到损害之日起</w:t>
      </w:r>
      <w:r>
        <w:rPr>
          <w:rFonts w:ascii="Times New Roman" w:hAnsi="Times New Roman"/>
          <w:sz w:val="24"/>
        </w:rPr>
        <w:t>7</w:t>
      </w:r>
      <w:r>
        <w:rPr>
          <w:rFonts w:hint="eastAsia" w:ascii="Times New Roman" w:hAnsi="Times New Roman"/>
          <w:sz w:val="24"/>
        </w:rPr>
        <w:t>个工作日内，向采购人、采购代理公司提出询问和质疑。质疑时请提交书面质疑函一份（法人或负责人）代表签字、加盖单位公章，并附相关证据材料。</w:t>
      </w:r>
    </w:p>
    <w:p>
      <w:pPr>
        <w:adjustRightInd w:val="0"/>
        <w:snapToGrid w:val="0"/>
        <w:spacing w:line="360" w:lineRule="auto"/>
        <w:ind w:firstLine="480"/>
        <w:rPr>
          <w:rFonts w:ascii="Times New Roman" w:hAnsi="Times New Roman"/>
          <w:sz w:val="24"/>
        </w:rPr>
      </w:pPr>
      <w:r>
        <w:rPr>
          <w:rFonts w:hint="eastAsia" w:ascii="Times New Roman" w:hAnsi="Times New Roman"/>
          <w:sz w:val="24"/>
        </w:rPr>
        <w:t>十一、公告期限：自磋商公告发布之日起</w:t>
      </w:r>
      <w:r>
        <w:rPr>
          <w:rFonts w:ascii="Times New Roman" w:hAnsi="Times New Roman"/>
          <w:sz w:val="24"/>
        </w:rPr>
        <w:t>5</w:t>
      </w:r>
      <w:r>
        <w:rPr>
          <w:rFonts w:hint="eastAsia" w:ascii="Times New Roman" w:hAnsi="Times New Roman"/>
          <w:sz w:val="24"/>
        </w:rPr>
        <w:t>个工作日。</w:t>
      </w:r>
    </w:p>
    <w:p>
      <w:pPr>
        <w:adjustRightInd w:val="0"/>
        <w:snapToGrid w:val="0"/>
        <w:spacing w:line="360" w:lineRule="auto"/>
        <w:ind w:firstLine="480"/>
        <w:rPr>
          <w:rFonts w:ascii="Times New Roman" w:hAnsi="Times New Roman"/>
          <w:sz w:val="24"/>
        </w:rPr>
      </w:pPr>
      <w:r>
        <w:rPr>
          <w:rFonts w:hint="eastAsia" w:ascii="Times New Roman" w:hAnsi="Times New Roman"/>
          <w:sz w:val="24"/>
        </w:rPr>
        <w:t>十二、联系方式</w:t>
      </w:r>
    </w:p>
    <w:p>
      <w:pPr>
        <w:adjustRightInd w:val="0"/>
        <w:snapToGrid w:val="0"/>
        <w:spacing w:line="360" w:lineRule="auto"/>
        <w:outlineLvl w:val="0"/>
        <w:rPr>
          <w:rFonts w:ascii="Times New Roman" w:hAnsi="Times New Roman"/>
          <w:sz w:val="24"/>
          <w:lang w:val="hr-HR" w:bidi="ar-EG"/>
        </w:rPr>
      </w:pPr>
      <w:r>
        <w:rPr>
          <w:rFonts w:hint="eastAsia" w:ascii="Times New Roman" w:hAnsi="Times New Roman"/>
          <w:sz w:val="24"/>
          <w:lang w:val="hr-HR" w:bidi="ar-EG"/>
        </w:rPr>
        <w:t>招标代理机构：湖北路达胜工程技术咨询有限公司</w:t>
      </w:r>
    </w:p>
    <w:p>
      <w:pPr>
        <w:adjustRightInd w:val="0"/>
        <w:snapToGrid w:val="0"/>
        <w:spacing w:line="360" w:lineRule="auto"/>
        <w:outlineLvl w:val="0"/>
        <w:rPr>
          <w:rFonts w:ascii="Times New Roman" w:hAnsi="Times New Roman"/>
          <w:sz w:val="24"/>
          <w:lang w:val="hr-HR" w:bidi="ar-EG"/>
        </w:rPr>
      </w:pPr>
      <w:r>
        <w:rPr>
          <w:rFonts w:hint="eastAsia" w:ascii="Times New Roman" w:hAnsi="Times New Roman"/>
          <w:sz w:val="24"/>
          <w:lang w:val="hr-HR" w:bidi="ar-EG"/>
        </w:rPr>
        <w:t>联 系 人：徐工</w:t>
      </w:r>
    </w:p>
    <w:p>
      <w:pPr>
        <w:adjustRightInd w:val="0"/>
        <w:snapToGrid w:val="0"/>
        <w:spacing w:line="360" w:lineRule="auto"/>
        <w:outlineLvl w:val="0"/>
        <w:rPr>
          <w:rFonts w:ascii="Times New Roman" w:hAnsi="Times New Roman"/>
          <w:sz w:val="24"/>
          <w:lang w:val="hr-HR" w:bidi="ar-EG"/>
        </w:rPr>
      </w:pPr>
      <w:r>
        <w:rPr>
          <w:rFonts w:hint="eastAsia" w:ascii="Times New Roman" w:hAnsi="Times New Roman"/>
          <w:sz w:val="24"/>
          <w:lang w:val="hr-HR" w:bidi="ar-EG"/>
        </w:rPr>
        <w:t>联系电话：17771177479</w:t>
      </w:r>
    </w:p>
    <w:p>
      <w:pPr>
        <w:adjustRightInd w:val="0"/>
        <w:snapToGrid w:val="0"/>
        <w:spacing w:line="360" w:lineRule="auto"/>
        <w:outlineLvl w:val="0"/>
        <w:rPr>
          <w:rFonts w:ascii="Times New Roman" w:hAnsi="Times New Roman"/>
          <w:sz w:val="24"/>
          <w:lang w:val="hr-HR" w:bidi="ar-EG"/>
        </w:rPr>
      </w:pPr>
      <w:r>
        <w:rPr>
          <w:rFonts w:hint="eastAsia" w:ascii="Times New Roman" w:hAnsi="Times New Roman"/>
          <w:sz w:val="24"/>
          <w:lang w:val="hr-HR" w:bidi="ar-EG"/>
        </w:rPr>
        <w:t>电子邮箱：654701265 @qq.com</w:t>
      </w:r>
    </w:p>
    <w:p>
      <w:pPr>
        <w:adjustRightInd w:val="0"/>
        <w:snapToGrid w:val="0"/>
        <w:spacing w:line="360" w:lineRule="auto"/>
        <w:outlineLvl w:val="0"/>
        <w:rPr>
          <w:rFonts w:ascii="Times New Roman" w:hAnsi="Times New Roman"/>
          <w:sz w:val="24"/>
          <w:lang w:val="hr-HR" w:bidi="ar-EG"/>
        </w:rPr>
      </w:pPr>
      <w:r>
        <w:rPr>
          <w:rFonts w:hint="eastAsia" w:ascii="Times New Roman" w:hAnsi="Times New Roman"/>
          <w:sz w:val="24"/>
          <w:lang w:val="hr-HR" w:bidi="ar-EG"/>
        </w:rPr>
        <w:t>联系地址：阳新县兴国镇熊家垴安置小区1栋1单元1503</w:t>
      </w:r>
    </w:p>
    <w:p>
      <w:pPr>
        <w:adjustRightInd w:val="0"/>
        <w:snapToGrid w:val="0"/>
        <w:spacing w:line="360" w:lineRule="auto"/>
        <w:outlineLvl w:val="0"/>
        <w:rPr>
          <w:rFonts w:ascii="Times New Roman" w:hAnsi="Times New Roman"/>
          <w:sz w:val="24"/>
          <w:lang w:val="hr-HR" w:bidi="ar-EG"/>
        </w:rPr>
      </w:pPr>
    </w:p>
    <w:p>
      <w:pPr>
        <w:adjustRightInd w:val="0"/>
        <w:snapToGrid w:val="0"/>
        <w:spacing w:line="360" w:lineRule="auto"/>
        <w:outlineLvl w:val="0"/>
        <w:rPr>
          <w:rFonts w:ascii="Times New Roman" w:hAnsi="Times New Roman"/>
          <w:sz w:val="24"/>
          <w:lang w:val="hr-HR" w:bidi="ar-EG"/>
        </w:rPr>
      </w:pPr>
      <w:r>
        <w:rPr>
          <w:rFonts w:hint="eastAsia" w:ascii="Times New Roman" w:hAnsi="Times New Roman"/>
          <w:sz w:val="24"/>
          <w:lang w:val="hr-HR" w:bidi="ar-EG"/>
        </w:rPr>
        <w:t>招 标 人：阳新县小型水库除险加固工程建设管理处</w:t>
      </w:r>
      <w:r>
        <w:rPr>
          <w:rFonts w:hint="eastAsia" w:ascii="Times New Roman" w:hAnsi="Times New Roman"/>
          <w:sz w:val="24"/>
          <w:lang w:val="hr-HR" w:bidi="ar-EG"/>
        </w:rPr>
        <w:tab/>
      </w:r>
    </w:p>
    <w:p>
      <w:pPr>
        <w:adjustRightInd w:val="0"/>
        <w:snapToGrid w:val="0"/>
        <w:spacing w:line="360" w:lineRule="auto"/>
        <w:outlineLvl w:val="0"/>
        <w:rPr>
          <w:rFonts w:ascii="Times New Roman" w:hAnsi="Times New Roman"/>
          <w:sz w:val="24"/>
          <w:lang w:val="hr-HR" w:bidi="ar-EG"/>
        </w:rPr>
      </w:pPr>
      <w:r>
        <w:rPr>
          <w:rFonts w:hint="eastAsia" w:ascii="Times New Roman" w:hAnsi="Times New Roman"/>
          <w:sz w:val="24"/>
          <w:lang w:val="hr-HR" w:bidi="ar-EG"/>
        </w:rPr>
        <w:t>联 系 人：刘科长</w:t>
      </w:r>
    </w:p>
    <w:p>
      <w:pPr>
        <w:adjustRightInd w:val="0"/>
        <w:snapToGrid w:val="0"/>
        <w:spacing w:line="360" w:lineRule="auto"/>
        <w:outlineLvl w:val="0"/>
        <w:rPr>
          <w:rFonts w:ascii="Times New Roman" w:hAnsi="Times New Roman"/>
          <w:sz w:val="24"/>
          <w:lang w:val="hr-HR" w:bidi="ar-EG"/>
        </w:rPr>
      </w:pPr>
      <w:r>
        <w:rPr>
          <w:rFonts w:hint="eastAsia" w:ascii="Times New Roman" w:hAnsi="Times New Roman"/>
          <w:sz w:val="24"/>
          <w:lang w:val="hr-HR" w:bidi="ar-EG"/>
        </w:rPr>
        <w:t>联系电话：13886480587</w:t>
      </w:r>
    </w:p>
    <w:p>
      <w:pPr>
        <w:adjustRightInd w:val="0"/>
        <w:snapToGrid w:val="0"/>
        <w:spacing w:line="360" w:lineRule="auto"/>
        <w:outlineLvl w:val="0"/>
        <w:rPr>
          <w:rFonts w:ascii="Times New Roman" w:hAnsi="Times New Roman"/>
          <w:sz w:val="24"/>
          <w:lang w:val="hr-HR" w:bidi="ar-EG"/>
        </w:rPr>
      </w:pPr>
      <w:r>
        <w:rPr>
          <w:rFonts w:hint="eastAsia" w:ascii="Times New Roman" w:hAnsi="Times New Roman"/>
          <w:sz w:val="24"/>
          <w:lang w:val="hr-HR" w:bidi="ar-EG"/>
        </w:rPr>
        <w:t>联系地址：</w:t>
      </w:r>
      <w:r>
        <w:rPr>
          <w:rFonts w:hint="eastAsia" w:ascii="Calibri" w:hAnsi="Calibri" w:eastAsia="宋体" w:cs="Times New Roman"/>
          <w:color w:val="000000"/>
          <w:sz w:val="24"/>
          <w:lang w:val="hr-HR" w:bidi="ar-EG"/>
        </w:rPr>
        <w:t>阳新县兴国镇兴国大道19号</w:t>
      </w:r>
    </w:p>
    <w:p>
      <w:pPr>
        <w:adjustRightInd w:val="0"/>
        <w:snapToGrid w:val="0"/>
        <w:spacing w:line="360" w:lineRule="auto"/>
        <w:jc w:val="right"/>
        <w:outlineLvl w:val="0"/>
        <w:rPr>
          <w:rFonts w:ascii="Times New Roman" w:hAnsi="Times New Roman"/>
          <w:sz w:val="24"/>
          <w:lang w:val="hr-HR" w:bidi="ar-EG"/>
        </w:rPr>
      </w:pPr>
      <w:r>
        <w:rPr>
          <w:rFonts w:hint="eastAsia" w:ascii="Times New Roman" w:hAnsi="Times New Roman"/>
          <w:sz w:val="24"/>
          <w:lang w:val="hr-HR" w:bidi="ar-EG"/>
        </w:rPr>
        <w:t>湖北路达胜工程技术咨询有限公司</w:t>
      </w:r>
    </w:p>
    <w:p>
      <w:pPr>
        <w:adjustRightInd w:val="0"/>
        <w:snapToGrid w:val="0"/>
        <w:spacing w:line="360" w:lineRule="auto"/>
        <w:jc w:val="center"/>
        <w:outlineLvl w:val="0"/>
        <w:rPr>
          <w:rFonts w:ascii="Times New Roman" w:hAnsi="Times New Roman"/>
          <w:color w:val="000000" w:themeColor="text1"/>
          <w:sz w:val="24"/>
          <w:lang w:val="hr-HR" w:bidi="ar-EG"/>
        </w:rPr>
      </w:pPr>
      <w:r>
        <w:rPr>
          <w:rFonts w:hint="eastAsia" w:ascii="Times New Roman" w:hAnsi="Times New Roman"/>
          <w:color w:val="FF0000"/>
          <w:sz w:val="24"/>
          <w:lang w:bidi="ar-EG"/>
        </w:rPr>
        <w:t xml:space="preserve">                                             </w:t>
      </w:r>
      <w:r>
        <w:rPr>
          <w:rFonts w:hint="eastAsia" w:ascii="Times New Roman" w:hAnsi="Times New Roman"/>
          <w:sz w:val="24"/>
          <w:lang w:bidi="ar-EG"/>
        </w:rPr>
        <w:t xml:space="preserve">      </w:t>
      </w:r>
      <w:r>
        <w:rPr>
          <w:rFonts w:hint="eastAsia" w:ascii="Times New Roman" w:hAnsi="Times New Roman"/>
          <w:sz w:val="24"/>
          <w:highlight w:val="yellow"/>
          <w:lang w:bidi="ar-EG"/>
        </w:rPr>
        <w:t xml:space="preserve"> </w:t>
      </w:r>
      <w:r>
        <w:rPr>
          <w:rFonts w:hint="eastAsia" w:ascii="Times New Roman" w:hAnsi="Times New Roman"/>
          <w:color w:val="000000" w:themeColor="text1"/>
          <w:sz w:val="24"/>
          <w:highlight w:val="yellow"/>
          <w:lang w:val="hr-HR" w:bidi="ar-EG"/>
        </w:rPr>
        <w:t>2020年</w:t>
      </w:r>
      <w:r>
        <w:rPr>
          <w:rFonts w:hint="eastAsia" w:ascii="Times New Roman" w:hAnsi="Times New Roman"/>
          <w:color w:val="000000" w:themeColor="text1"/>
          <w:sz w:val="24"/>
          <w:highlight w:val="yellow"/>
          <w:lang w:bidi="ar-EG"/>
        </w:rPr>
        <w:t>12</w:t>
      </w:r>
      <w:r>
        <w:rPr>
          <w:rFonts w:hint="eastAsia" w:ascii="Times New Roman" w:hAnsi="Times New Roman"/>
          <w:color w:val="000000" w:themeColor="text1"/>
          <w:sz w:val="24"/>
          <w:highlight w:val="yellow"/>
          <w:lang w:val="hr-HR" w:bidi="ar-EG"/>
        </w:rPr>
        <w:t>月29 日</w:t>
      </w:r>
    </w:p>
    <w:p>
      <w:pPr>
        <w:pStyle w:val="2"/>
        <w:ind w:firstLine="480"/>
        <w:rPr>
          <w:lang w:val="hr-HR" w:bidi="ar-EG"/>
        </w:rPr>
      </w:pPr>
    </w:p>
    <w:p>
      <w:pPr>
        <w:rPr>
          <w:lang w:val="hr-HR" w:bidi="ar-EG"/>
        </w:rPr>
      </w:pPr>
    </w:p>
    <w:p>
      <w:pPr>
        <w:pStyle w:val="2"/>
        <w:ind w:firstLine="480"/>
        <w:rPr>
          <w:lang w:val="hr-HR" w:bidi="ar-EG"/>
        </w:rPr>
      </w:pPr>
    </w:p>
    <w:p>
      <w:pPr>
        <w:rPr>
          <w:lang w:val="hr-HR" w:bidi="ar-EG"/>
        </w:rPr>
      </w:pPr>
    </w:p>
    <w:p>
      <w:pPr>
        <w:rPr>
          <w:lang w:val="hr-HR" w:bidi="ar-EG"/>
        </w:rPr>
      </w:pPr>
    </w:p>
    <w:p>
      <w:pPr>
        <w:pStyle w:val="2"/>
        <w:ind w:firstLine="480"/>
        <w:rPr>
          <w:lang w:val="hr-HR" w:bidi="ar-EG"/>
        </w:rPr>
      </w:pPr>
    </w:p>
    <w:p>
      <w:pPr>
        <w:pStyle w:val="2"/>
        <w:ind w:firstLine="480"/>
        <w:rPr>
          <w:lang w:val="hr-HR" w:bidi="ar-EG"/>
        </w:rPr>
      </w:pPr>
    </w:p>
    <w:p>
      <w:pPr>
        <w:adjustRightInd w:val="0"/>
        <w:snapToGrid w:val="0"/>
        <w:spacing w:line="360" w:lineRule="auto"/>
        <w:jc w:val="center"/>
        <w:outlineLvl w:val="0"/>
        <w:rPr>
          <w:rFonts w:ascii="Times New Roman" w:hAnsi="Times New Roman" w:cs="Times New Roman"/>
          <w:b/>
          <w:bCs/>
          <w:sz w:val="36"/>
          <w:szCs w:val="36"/>
        </w:rPr>
      </w:pPr>
      <w:r>
        <w:rPr>
          <w:rFonts w:ascii="Times New Roman" w:hAnsi="Times New Roman" w:cs="Times New Roman"/>
          <w:b/>
          <w:bCs/>
          <w:sz w:val="36"/>
          <w:szCs w:val="36"/>
        </w:rPr>
        <w:t>第二章</w:t>
      </w:r>
      <w:r>
        <w:rPr>
          <w:rFonts w:hint="eastAsia" w:ascii="Times New Roman" w:hAnsi="Times New Roman" w:cs="Times New Roman"/>
          <w:b/>
          <w:bCs/>
          <w:sz w:val="36"/>
          <w:szCs w:val="36"/>
        </w:rPr>
        <w:t xml:space="preserve"> </w:t>
      </w:r>
      <w:r>
        <w:rPr>
          <w:rFonts w:ascii="Times New Roman" w:hAnsi="Times New Roman" w:cs="Times New Roman"/>
          <w:b/>
          <w:bCs/>
          <w:sz w:val="36"/>
          <w:szCs w:val="36"/>
        </w:rPr>
        <w:t>磋商须知</w:t>
      </w:r>
    </w:p>
    <w:p>
      <w:pPr>
        <w:spacing w:line="360" w:lineRule="auto"/>
        <w:jc w:val="center"/>
        <w:rPr>
          <w:rFonts w:ascii="Times New Roman" w:hAnsi="Times New Roman" w:cs="Times New Roman"/>
          <w:szCs w:val="28"/>
        </w:rPr>
      </w:pP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磋商须知前附表</w:t>
      </w:r>
    </w:p>
    <w:tbl>
      <w:tblPr>
        <w:tblStyle w:val="14"/>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2693"/>
        <w:gridCol w:w="5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16" w:type="dxa"/>
            <w:tcBorders>
              <w:top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 w:val="24"/>
              </w:rPr>
            </w:pPr>
            <w:r>
              <w:rPr>
                <w:rFonts w:ascii="Times New Roman" w:hAnsi="Times New Roman" w:cs="Times New Roman"/>
                <w:sz w:val="24"/>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项目</w:t>
            </w:r>
          </w:p>
        </w:tc>
        <w:tc>
          <w:tcPr>
            <w:tcW w:w="5013" w:type="dxa"/>
            <w:tcBorders>
              <w:top w:val="single" w:color="auto" w:sz="4" w:space="0"/>
              <w:left w:val="single" w:color="auto" w:sz="4" w:space="0"/>
              <w:bottom w:val="single" w:color="auto" w:sz="4" w:space="0"/>
            </w:tcBorders>
            <w:vAlign w:val="center"/>
          </w:tcPr>
          <w:p>
            <w:pPr>
              <w:spacing w:line="360" w:lineRule="auto"/>
              <w:ind w:left="57" w:right="57" w:firstLine="482" w:firstLineChars="201"/>
              <w:jc w:val="center"/>
              <w:rPr>
                <w:rFonts w:ascii="Times New Roman" w:hAnsi="Times New Roman" w:cs="Times New Roman"/>
                <w:sz w:val="24"/>
              </w:rPr>
            </w:pPr>
            <w:r>
              <w:rPr>
                <w:rFonts w:ascii="Times New Roman" w:hAnsi="Times New Roman" w:cs="Times New Roman"/>
                <w:sz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项目名称</w:t>
            </w:r>
          </w:p>
        </w:tc>
        <w:tc>
          <w:tcPr>
            <w:tcW w:w="5013" w:type="dxa"/>
            <w:tcBorders>
              <w:top w:val="single" w:color="auto" w:sz="4" w:space="0"/>
              <w:left w:val="single" w:color="auto" w:sz="4" w:space="0"/>
              <w:bottom w:val="single" w:color="auto" w:sz="4" w:space="0"/>
            </w:tcBorders>
            <w:vAlign w:val="center"/>
          </w:tcPr>
          <w:p>
            <w:pPr>
              <w:spacing w:line="360" w:lineRule="auto"/>
              <w:jc w:val="left"/>
              <w:rPr>
                <w:rFonts w:ascii="Times New Roman" w:hAnsi="Times New Roman" w:cs="Times New Roman"/>
                <w:sz w:val="24"/>
              </w:rPr>
            </w:pPr>
            <w:r>
              <w:rPr>
                <w:rFonts w:hint="eastAsia" w:ascii="Times New Roman" w:hAnsi="Times New Roman"/>
                <w:bCs/>
                <w:sz w:val="24"/>
                <w:lang w:bidi="ar-EG"/>
              </w:rPr>
              <w:t>阳新县太平冲等34座小型水库安全检测</w:t>
            </w:r>
            <w:r>
              <w:rPr>
                <w:rFonts w:ascii="Times New Roman" w:hAnsi="Times New Roman" w:cs="Times New Roman"/>
                <w:kern w:val="0"/>
                <w:sz w:val="24"/>
              </w:rPr>
              <w:fldChar w:fldCharType="begin"/>
            </w:r>
            <w:r>
              <w:rPr>
                <w:rFonts w:ascii="Times New Roman" w:hAnsi="Times New Roman" w:cs="Times New Roman"/>
                <w:kern w:val="0"/>
                <w:sz w:val="24"/>
              </w:rPr>
              <w:instrText xml:space="preserve">&lt;MK&gt;pro.projectname &lt;/MK&gt;</w:instrText>
            </w:r>
            <w:r>
              <w:rPr>
                <w:rFonts w:ascii="Times New Roman" w:hAnsi="Times New Roman" w:cs="Times New Roman"/>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项目编号</w:t>
            </w:r>
          </w:p>
        </w:tc>
        <w:tc>
          <w:tcPr>
            <w:tcW w:w="5013" w:type="dxa"/>
            <w:tcBorders>
              <w:top w:val="single" w:color="auto" w:sz="4" w:space="0"/>
              <w:left w:val="single" w:color="auto" w:sz="4" w:space="0"/>
              <w:bottom w:val="single" w:color="auto" w:sz="4" w:space="0"/>
            </w:tcBorders>
            <w:vAlign w:val="center"/>
          </w:tcPr>
          <w:p>
            <w:pPr>
              <w:spacing w:line="360" w:lineRule="auto"/>
              <w:jc w:val="left"/>
              <w:rPr>
                <w:rFonts w:ascii="Times New Roman" w:hAnsi="Times New Roman" w:cs="Times New Roman"/>
                <w:kern w:val="0"/>
                <w:sz w:val="24"/>
              </w:rPr>
            </w:pPr>
            <w:r>
              <w:rPr>
                <w:rFonts w:hint="eastAsia" w:ascii="Times New Roman" w:hAnsi="Times New Roman" w:cs="Times New Roman"/>
                <w:kern w:val="0"/>
                <w:sz w:val="24"/>
                <w:highlight w:val="yellow"/>
              </w:rPr>
              <w:t>131-2020CG-</w:t>
            </w:r>
            <w:r>
              <w:rPr>
                <w:rFonts w:hint="eastAsia" w:ascii="Times New Roman" w:hAnsi="Times New Roman" w:cs="Times New Roman"/>
                <w:kern w:val="0"/>
                <w:sz w:val="24"/>
              </w:rPr>
              <w:t>298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采购人</w:t>
            </w:r>
          </w:p>
        </w:tc>
        <w:tc>
          <w:tcPr>
            <w:tcW w:w="5013" w:type="dxa"/>
            <w:tcBorders>
              <w:top w:val="single" w:color="auto" w:sz="4" w:space="0"/>
              <w:left w:val="single" w:color="auto" w:sz="4" w:space="0"/>
              <w:bottom w:val="single" w:color="auto" w:sz="4" w:space="0"/>
            </w:tcBorders>
            <w:vAlign w:val="center"/>
          </w:tcPr>
          <w:p>
            <w:pPr>
              <w:spacing w:line="360" w:lineRule="auto"/>
              <w:jc w:val="left"/>
              <w:rPr>
                <w:rFonts w:ascii="Times New Roman" w:hAnsi="Times New Roman" w:cs="Times New Roman"/>
                <w:kern w:val="0"/>
                <w:sz w:val="24"/>
                <w:lang w:val="hr-HR"/>
              </w:rPr>
            </w:pPr>
            <w:r>
              <w:rPr>
                <w:rFonts w:hint="eastAsia" w:ascii="Times New Roman" w:hAnsi="Times New Roman" w:cs="Times New Roman"/>
                <w:kern w:val="0"/>
                <w:sz w:val="24"/>
                <w:lang w:val="hr-HR"/>
              </w:rPr>
              <w:t>招 标 人：阳新县小型水库除险加固工程建设管理处</w:t>
            </w:r>
            <w:r>
              <w:rPr>
                <w:rFonts w:hint="eastAsia" w:ascii="Times New Roman" w:hAnsi="Times New Roman" w:cs="Times New Roman"/>
                <w:kern w:val="0"/>
                <w:sz w:val="24"/>
                <w:lang w:val="hr-HR"/>
              </w:rPr>
              <w:tab/>
            </w:r>
          </w:p>
          <w:p>
            <w:pPr>
              <w:spacing w:line="360" w:lineRule="auto"/>
              <w:jc w:val="left"/>
              <w:rPr>
                <w:rFonts w:ascii="Times New Roman" w:hAnsi="Times New Roman" w:cs="Times New Roman"/>
                <w:kern w:val="0"/>
                <w:sz w:val="24"/>
                <w:lang w:val="hr-HR"/>
              </w:rPr>
            </w:pPr>
            <w:r>
              <w:rPr>
                <w:rFonts w:hint="eastAsia" w:ascii="Times New Roman" w:hAnsi="Times New Roman" w:cs="Times New Roman"/>
                <w:kern w:val="0"/>
                <w:sz w:val="24"/>
                <w:lang w:val="hr-HR"/>
              </w:rPr>
              <w:t>联 系 人：刘科长</w:t>
            </w:r>
          </w:p>
          <w:p>
            <w:pPr>
              <w:spacing w:line="360" w:lineRule="auto"/>
              <w:jc w:val="left"/>
              <w:rPr>
                <w:rFonts w:ascii="Times New Roman" w:hAnsi="Times New Roman" w:cs="Times New Roman"/>
                <w:kern w:val="0"/>
                <w:sz w:val="24"/>
                <w:lang w:val="hr-HR"/>
              </w:rPr>
            </w:pPr>
            <w:r>
              <w:rPr>
                <w:rFonts w:hint="eastAsia" w:ascii="Times New Roman" w:hAnsi="Times New Roman" w:cs="Times New Roman"/>
                <w:kern w:val="0"/>
                <w:sz w:val="24"/>
                <w:lang w:val="hr-HR"/>
              </w:rPr>
              <w:t>联系电话：13886480587</w:t>
            </w:r>
          </w:p>
          <w:p>
            <w:pPr>
              <w:spacing w:line="360" w:lineRule="auto"/>
              <w:jc w:val="left"/>
              <w:rPr>
                <w:rFonts w:ascii="Times New Roman" w:hAnsi="Times New Roman" w:cs="Times New Roman"/>
              </w:rPr>
            </w:pPr>
            <w:r>
              <w:rPr>
                <w:rFonts w:hint="eastAsia" w:ascii="Times New Roman" w:hAnsi="Times New Roman" w:cs="Times New Roman"/>
                <w:kern w:val="0"/>
                <w:sz w:val="24"/>
                <w:lang w:val="hr-HR"/>
              </w:rPr>
              <w:t>联系地址：</w:t>
            </w:r>
            <w:r>
              <w:rPr>
                <w:rFonts w:hint="eastAsia" w:ascii="Calibri" w:hAnsi="Calibri" w:eastAsia="宋体" w:cs="Times New Roman"/>
                <w:color w:val="000000"/>
                <w:sz w:val="24"/>
                <w:lang w:val="hr-HR" w:bidi="ar-EG"/>
              </w:rPr>
              <w:t>阳新县兴国镇兴国大道19号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Times New Roman" w:hAnsi="Times New Roman" w:cs="Times New Roman"/>
                <w:sz w:val="24"/>
              </w:rPr>
            </w:pPr>
            <w:r>
              <w:rPr>
                <w:rFonts w:ascii="Times New Roman" w:hAnsi="Times New Roman" w:cs="Times New Roman"/>
                <w:sz w:val="24"/>
              </w:rPr>
              <w:t>采购</w:t>
            </w:r>
            <w:r>
              <w:rPr>
                <w:rFonts w:hint="eastAsia" w:ascii="Times New Roman" w:hAnsi="Times New Roman" w:cs="Times New Roman"/>
                <w:sz w:val="24"/>
              </w:rPr>
              <w:t>代理机构</w:t>
            </w:r>
          </w:p>
        </w:tc>
        <w:tc>
          <w:tcPr>
            <w:tcW w:w="5013" w:type="dxa"/>
            <w:tcBorders>
              <w:top w:val="single" w:color="auto" w:sz="4" w:space="0"/>
              <w:left w:val="single" w:color="auto" w:sz="4" w:space="0"/>
              <w:bottom w:val="single" w:color="auto" w:sz="4" w:space="0"/>
            </w:tcBorders>
            <w:vAlign w:val="center"/>
          </w:tcPr>
          <w:p>
            <w:pPr>
              <w:spacing w:line="360" w:lineRule="auto"/>
              <w:jc w:val="left"/>
              <w:rPr>
                <w:rFonts w:ascii="Times New Roman" w:hAnsi="Times New Roman" w:cs="Times New Roman"/>
                <w:kern w:val="0"/>
                <w:sz w:val="24"/>
              </w:rPr>
            </w:pPr>
            <w:r>
              <w:rPr>
                <w:rFonts w:hint="eastAsia" w:ascii="Times New Roman" w:hAnsi="Times New Roman" w:cs="Times New Roman"/>
                <w:kern w:val="0"/>
                <w:sz w:val="24"/>
              </w:rPr>
              <w:t>招标代理机构：湖北路达胜工程技术咨询有限公司</w:t>
            </w:r>
          </w:p>
          <w:p>
            <w:pPr>
              <w:spacing w:line="360" w:lineRule="auto"/>
              <w:jc w:val="left"/>
              <w:rPr>
                <w:rFonts w:ascii="Times New Roman" w:hAnsi="Times New Roman" w:cs="Times New Roman"/>
                <w:kern w:val="0"/>
                <w:sz w:val="24"/>
              </w:rPr>
            </w:pPr>
            <w:r>
              <w:rPr>
                <w:rFonts w:hint="eastAsia" w:ascii="Times New Roman" w:hAnsi="Times New Roman" w:cs="Times New Roman"/>
                <w:kern w:val="0"/>
                <w:sz w:val="24"/>
              </w:rPr>
              <w:t>联 系 人：徐工</w:t>
            </w:r>
          </w:p>
          <w:p>
            <w:pPr>
              <w:spacing w:line="360" w:lineRule="auto"/>
              <w:jc w:val="left"/>
              <w:rPr>
                <w:rFonts w:ascii="Times New Roman" w:hAnsi="Times New Roman" w:cs="Times New Roman"/>
                <w:kern w:val="0"/>
                <w:sz w:val="24"/>
              </w:rPr>
            </w:pPr>
            <w:r>
              <w:rPr>
                <w:rFonts w:hint="eastAsia" w:ascii="Times New Roman" w:hAnsi="Times New Roman" w:cs="Times New Roman"/>
                <w:kern w:val="0"/>
                <w:sz w:val="24"/>
              </w:rPr>
              <w:t>联系电话：17771177479</w:t>
            </w:r>
          </w:p>
          <w:p>
            <w:pPr>
              <w:spacing w:line="360" w:lineRule="auto"/>
              <w:jc w:val="left"/>
              <w:rPr>
                <w:rFonts w:ascii="Times New Roman" w:hAnsi="Times New Roman" w:cs="Times New Roman"/>
                <w:kern w:val="0"/>
                <w:sz w:val="24"/>
              </w:rPr>
            </w:pPr>
            <w:r>
              <w:rPr>
                <w:rFonts w:hint="eastAsia" w:ascii="Times New Roman" w:hAnsi="Times New Roman" w:cs="Times New Roman"/>
                <w:kern w:val="0"/>
                <w:sz w:val="24"/>
              </w:rPr>
              <w:t>电子邮箱：654701265 @qq.com</w:t>
            </w:r>
          </w:p>
          <w:p>
            <w:pPr>
              <w:spacing w:line="360" w:lineRule="auto"/>
              <w:jc w:val="left"/>
              <w:rPr>
                <w:rFonts w:ascii="Times New Roman" w:hAnsi="Times New Roman" w:cs="Times New Roman"/>
                <w:kern w:val="0"/>
                <w:sz w:val="24"/>
                <w:lang w:val="hr-HR"/>
              </w:rPr>
            </w:pPr>
            <w:r>
              <w:rPr>
                <w:rFonts w:hint="eastAsia" w:ascii="Times New Roman" w:hAnsi="Times New Roman" w:cs="Times New Roman"/>
                <w:kern w:val="0"/>
                <w:sz w:val="24"/>
              </w:rPr>
              <w:t>联系地址：阳新县兴国镇熊家垴安置小区1栋1单元1503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ascii="Times New Roman" w:hAnsi="Times New Roman" w:cs="Times New Roman"/>
                <w:sz w:val="24"/>
              </w:rPr>
              <w:t>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sz w:val="24"/>
              </w:rPr>
            </w:pPr>
            <w:r>
              <w:rPr>
                <w:rFonts w:ascii="Times New Roman" w:hAnsi="Times New Roman" w:cs="Times New Roman"/>
                <w:sz w:val="24"/>
              </w:rPr>
              <w:t>是否专门面向中小企业、监狱企业、残疾人福利性单位</w:t>
            </w:r>
          </w:p>
        </w:tc>
        <w:tc>
          <w:tcPr>
            <w:tcW w:w="5013" w:type="dxa"/>
            <w:tcBorders>
              <w:top w:val="single" w:color="auto" w:sz="4" w:space="0"/>
              <w:left w:val="single" w:color="auto" w:sz="4" w:space="0"/>
              <w:bottom w:val="single" w:color="auto" w:sz="4" w:space="0"/>
            </w:tcBorders>
            <w:vAlign w:val="center"/>
          </w:tcPr>
          <w:p>
            <w:pPr>
              <w:spacing w:line="360" w:lineRule="auto"/>
              <w:ind w:right="-105" w:rightChars="-50"/>
              <w:jc w:val="left"/>
              <w:rPr>
                <w:rFonts w:ascii="Times New Roman" w:hAnsi="Times New Roman" w:cs="Times New Roman"/>
                <w:kern w:val="0"/>
                <w:sz w:val="24"/>
              </w:rPr>
            </w:pPr>
            <w:r>
              <w:rPr>
                <w:rFonts w:ascii="Times New Roman" w:hAnsi="Times New Roman" w:cs="Times New Roman"/>
                <w:sz w:val="24"/>
              </w:rPr>
              <w:t>否</w:t>
            </w:r>
          </w:p>
        </w:tc>
      </w:tr>
    </w:tbl>
    <w:p>
      <w:pPr>
        <w:widowControl/>
        <w:spacing w:line="360" w:lineRule="auto"/>
        <w:jc w:val="left"/>
        <w:rPr>
          <w:rFonts w:ascii="Times New Roman" w:hAnsi="Times New Roman" w:eastAsia="仿宋_GB2312" w:cs="Times New Roman"/>
          <w:bCs/>
          <w:sz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一、总　则</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 适用范围</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1.1 本文件仅适用于本文件中所叙述的货物、服务类政府采购项目。</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 定义</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2.1“采购人”是指：</w:t>
      </w:r>
      <w:r>
        <w:rPr>
          <w:rFonts w:hint="eastAsia"/>
          <w:bCs/>
          <w:sz w:val="24"/>
        </w:rPr>
        <w:t>详见《磋商须知前附表》</w:t>
      </w:r>
      <w:r>
        <w:rPr>
          <w:rFonts w:ascii="Times New Roman" w:hAnsi="Times New Roman" w:cs="Times New Roman"/>
          <w:bCs/>
          <w:sz w:val="24"/>
          <w:szCs w:val="24"/>
        </w:rPr>
        <w:t>。</w:t>
      </w:r>
    </w:p>
    <w:p>
      <w:pPr>
        <w:adjustRightInd w:val="0"/>
        <w:snapToGrid w:val="0"/>
        <w:spacing w:line="360" w:lineRule="auto"/>
        <w:rPr>
          <w:rFonts w:ascii="Times New Roman" w:hAnsi="Times New Roman" w:cs="Times New Roman"/>
          <w:bCs/>
          <w:sz w:val="24"/>
          <w:szCs w:val="24"/>
        </w:rPr>
      </w:pPr>
      <w:r>
        <w:rPr>
          <w:rFonts w:ascii="Times New Roman" w:hAnsi="Times New Roman" w:cs="Times New Roman"/>
          <w:bCs/>
          <w:sz w:val="24"/>
          <w:szCs w:val="24"/>
        </w:rPr>
        <w:t>2.2“监管部门”是指：</w:t>
      </w:r>
      <w:r>
        <w:rPr>
          <w:rFonts w:hint="eastAsia" w:ascii="Times New Roman" w:hAnsi="Times New Roman" w:cs="Times New Roman"/>
          <w:bCs/>
          <w:sz w:val="24"/>
          <w:szCs w:val="24"/>
        </w:rPr>
        <w:t>阳新县政府采购办公室、阳新县公共资源交易监督管理局。</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2.3“采购</w:t>
      </w:r>
      <w:r>
        <w:rPr>
          <w:rFonts w:hint="eastAsia" w:ascii="Times New Roman" w:hAnsi="Times New Roman" w:cs="Times New Roman"/>
          <w:bCs/>
          <w:sz w:val="24"/>
          <w:szCs w:val="24"/>
        </w:rPr>
        <w:t>代理</w:t>
      </w:r>
      <w:r>
        <w:rPr>
          <w:rFonts w:ascii="Times New Roman" w:hAnsi="Times New Roman" w:cs="Times New Roman"/>
          <w:bCs/>
          <w:sz w:val="24"/>
          <w:szCs w:val="24"/>
        </w:rPr>
        <w:t>机构”是指：</w:t>
      </w:r>
      <w:r>
        <w:rPr>
          <w:rFonts w:hint="eastAsia"/>
          <w:bCs/>
          <w:sz w:val="24"/>
        </w:rPr>
        <w:t>详见《磋商须知前附表》</w:t>
      </w:r>
      <w:r>
        <w:rPr>
          <w:rFonts w:ascii="Times New Roman" w:hAnsi="Times New Roman" w:cs="Times New Roman"/>
          <w:bCs/>
          <w:sz w:val="24"/>
          <w:szCs w:val="24"/>
        </w:rPr>
        <w:t>。</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2.4“磋商文件”是指：竞争性磋商文件。</w:t>
      </w:r>
    </w:p>
    <w:p>
      <w:pPr>
        <w:spacing w:line="360" w:lineRule="auto"/>
        <w:ind w:left="240" w:hanging="240" w:hangingChars="100"/>
        <w:rPr>
          <w:rFonts w:ascii="Times New Roman" w:hAnsi="Times New Roman" w:cs="Times New Roman"/>
          <w:bCs/>
          <w:sz w:val="24"/>
          <w:szCs w:val="24"/>
        </w:rPr>
      </w:pPr>
      <w:r>
        <w:rPr>
          <w:rFonts w:ascii="Times New Roman" w:hAnsi="Times New Roman" w:cs="Times New Roman"/>
          <w:bCs/>
          <w:sz w:val="24"/>
          <w:szCs w:val="24"/>
        </w:rPr>
        <w:t>2.5“供应商”是指：获得该项目磋商小组确定参加竞争性磋商的法人、其他组织或者自然人。如果该供应商在本次磋商中成交,即成为“成交供应商”。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2.6“货物”是指：是指成交供应商按本文件规定，向采购人提供的一切货物及其相关服务。根据《政府采购法》的相关规定均应是本国货物，另有规定的除外。</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2.7“服务”是指：成交供应商按本文件规定向采购人提供的所有服务。</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2.8“响应文件”是指：供应商根据本文件要求编制包含价格、技术、服务和合同草案条款等所有内容的文件。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3.1具备《政府采购法》第二十二条第一款规定的条件，并提供以下证明材料：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1）法人或者其他组织的营业执照等证明文件，如供应商是自然人的提供身份证明材料；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2）财务状况报告，依法缴纳税收的相关材料；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3）具备履行合同所必需的设备和专业技术能力的证明材料；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4）参加政府采购活动前3年内在经营活动中没有重大违法记录的书面声明；</w:t>
      </w:r>
    </w:p>
    <w:p>
      <w:pPr>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5）具备法律、行政法规规定的其他条件的证明材料。</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3.2</w:t>
      </w:r>
      <w:r>
        <w:rPr>
          <w:rFonts w:hint="eastAsia" w:ascii="Times New Roman" w:hAnsi="Times New Roman" w:cs="Times New Roman"/>
          <w:bCs/>
          <w:sz w:val="24"/>
          <w:szCs w:val="24"/>
        </w:rPr>
        <w:t>未被列入"信用中国"网站(www.creditchina.gov.cn)失信被执行人（须提供网站截图）、重大税收违法案件当事人、"中国政府采购网"（www.ccgp.gov.cn）政府采购严重违法失信行为记录名单的</w:t>
      </w:r>
      <w:r>
        <w:rPr>
          <w:rFonts w:ascii="Times New Roman" w:hAnsi="Times New Roman" w:cs="Times New Roman"/>
          <w:bCs/>
          <w:sz w:val="24"/>
          <w:szCs w:val="24"/>
        </w:rPr>
        <w:t>网页打印件。</w:t>
      </w:r>
    </w:p>
    <w:p>
      <w:pPr>
        <w:adjustRightInd w:val="0"/>
        <w:snapToGrid w:val="0"/>
        <w:spacing w:line="360" w:lineRule="auto"/>
        <w:rPr>
          <w:rFonts w:ascii="Times New Roman" w:hAnsi="Times New Roman" w:cs="Times New Roman"/>
          <w:bCs/>
          <w:sz w:val="24"/>
          <w:szCs w:val="24"/>
        </w:rPr>
      </w:pPr>
      <w:r>
        <w:rPr>
          <w:rFonts w:hint="eastAsia" w:ascii="Times New Roman" w:hAnsi="Times New Roman" w:cs="Times New Roman"/>
          <w:bCs/>
          <w:sz w:val="24"/>
          <w:szCs w:val="24"/>
        </w:rPr>
        <w:t>3.3特定条件：见招标公告</w:t>
      </w:r>
      <w:r>
        <w:rPr>
          <w:rFonts w:hint="eastAsia" w:ascii="Times New Roman" w:hAnsi="Times New Roman" w:cs="Times New Roman"/>
          <w:sz w:val="24"/>
          <w:szCs w:val="24"/>
        </w:rPr>
        <w:t>；</w:t>
      </w:r>
    </w:p>
    <w:p>
      <w:pPr>
        <w:adjustRightInd w:val="0"/>
        <w:snapToGrid w:val="0"/>
        <w:spacing w:line="360" w:lineRule="auto"/>
        <w:rPr>
          <w:rFonts w:ascii="Times New Roman" w:hAnsi="Times New Roman" w:cs="Times New Roman"/>
          <w:bCs/>
          <w:sz w:val="24"/>
          <w:szCs w:val="24"/>
        </w:rPr>
      </w:pPr>
      <w:r>
        <w:rPr>
          <w:rFonts w:hint="eastAsia" w:ascii="Times New Roman" w:hAnsi="Times New Roman" w:cs="Times New Roman"/>
          <w:bCs/>
          <w:sz w:val="24"/>
          <w:szCs w:val="24"/>
        </w:rPr>
        <w:t>3.4</w:t>
      </w:r>
      <w:r>
        <w:rPr>
          <w:rFonts w:ascii="Times New Roman" w:hAnsi="Times New Roman" w:cs="Times New Roman"/>
          <w:bCs/>
          <w:sz w:val="24"/>
          <w:szCs w:val="24"/>
        </w:rPr>
        <w:t>本文件第一章第五条除上述以外的条款。</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4. 费用</w:t>
      </w:r>
    </w:p>
    <w:p>
      <w:pPr>
        <w:spacing w:line="360" w:lineRule="auto"/>
        <w:ind w:left="420" w:hanging="420"/>
        <w:rPr>
          <w:bCs/>
          <w:sz w:val="24"/>
        </w:rPr>
      </w:pPr>
      <w:r>
        <w:rPr>
          <w:rFonts w:hint="eastAsia"/>
          <w:bCs/>
          <w:sz w:val="24"/>
        </w:rPr>
        <w:t>4.1供应商应自行承担所有与编写和提交响应文件有关的费用，不论磋商结果如何，采购人和采购代理机构在任何情况下无义务和责任承担此类费用。</w:t>
      </w:r>
    </w:p>
    <w:p>
      <w:pPr>
        <w:spacing w:line="360" w:lineRule="auto"/>
        <w:rPr>
          <w:sz w:val="24"/>
        </w:rPr>
      </w:pPr>
      <w:r>
        <w:rPr>
          <w:rFonts w:hint="eastAsia"/>
          <w:bCs/>
          <w:sz w:val="24"/>
        </w:rPr>
        <w:t>4.2</w:t>
      </w:r>
      <w:r>
        <w:rPr>
          <w:rFonts w:hint="eastAsia" w:ascii="宋体" w:hAnsi="宋体"/>
          <w:sz w:val="24"/>
        </w:rPr>
        <w:t>采购代理服务费</w:t>
      </w:r>
    </w:p>
    <w:p>
      <w:pPr>
        <w:pStyle w:val="34"/>
        <w:spacing w:line="360" w:lineRule="auto"/>
        <w:ind w:left="420" w:firstLine="0" w:firstLineChars="0"/>
        <w:rPr>
          <w:rFonts w:ascii="宋体" w:hAnsi="宋体"/>
          <w:b/>
          <w:sz w:val="24"/>
          <w:szCs w:val="24"/>
        </w:rPr>
      </w:pPr>
      <w:r>
        <w:rPr>
          <w:rFonts w:hint="eastAsia" w:ascii="宋体" w:hAnsi="宋体"/>
          <w:b/>
          <w:sz w:val="24"/>
          <w:szCs w:val="24"/>
        </w:rPr>
        <w:t>经过采购代理机构与采购人协议，规定由中标单位支付。采购代理服务费收费标准如下：</w:t>
      </w:r>
    </w:p>
    <w:tbl>
      <w:tblPr>
        <w:tblStyle w:val="14"/>
        <w:tblW w:w="9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5"/>
        <w:gridCol w:w="2381"/>
        <w:gridCol w:w="2162"/>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2905" w:type="dxa"/>
          </w:tcPr>
          <w:p>
            <w:pPr>
              <w:spacing w:line="360" w:lineRule="auto"/>
              <w:ind w:firstLine="998" w:firstLineChars="416"/>
              <w:rPr>
                <w:rFonts w:ascii="宋体" w:hAnsi="宋体" w:cs="宋体"/>
                <w:sz w:val="24"/>
              </w:rPr>
            </w:pPr>
            <w:r>
              <w:rPr>
                <w:rFonts w:ascii="宋体" w:hAnsi="宋体" w:cs="宋体"/>
                <w:sz w:val="24"/>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-12700</wp:posOffset>
                      </wp:positionV>
                      <wp:extent cx="1885950" cy="568325"/>
                      <wp:effectExtent l="1270" t="4445" r="17780" b="17780"/>
                      <wp:wrapNone/>
                      <wp:docPr id="2" name="Line 17"/>
                      <wp:cNvGraphicFramePr/>
                      <a:graphic xmlns:a="http://schemas.openxmlformats.org/drawingml/2006/main">
                        <a:graphicData uri="http://schemas.microsoft.com/office/word/2010/wordprocessingShape">
                          <wps:wsp>
                            <wps:cNvSpPr/>
                            <wps:spPr>
                              <a:xfrm flipH="1" flipV="1">
                                <a:off x="0" y="0"/>
                                <a:ext cx="1885950" cy="5683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9pt;margin-top:-1pt;height:44.75pt;width:148.5pt;z-index:251658240;mso-width-relative:page;mso-height-relative:page;" filled="f" stroked="t" coordsize="21600,21600" o:gfxdata="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8hbu40wAA&#10;AAkBAAAPAAAAAAAAAAEAIAAAACIAAABkcnMvZG93bnJldi54bWxQSwECFAAUAAAACACHTuJAP1CR&#10;HeoBAADzAwAADgAAAAAAAAABACAAAAAiAQAAZHJzL2Uyb0RvYy54bWxQSwUGAAAAAAYABgBZAQAA&#10;fgU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57216" behindDoc="0" locked="0" layoutInCell="1" allowOverlap="1">
                      <wp:simplePos x="0" y="0"/>
                      <wp:positionH relativeFrom="column">
                        <wp:posOffset>-64135</wp:posOffset>
                      </wp:positionH>
                      <wp:positionV relativeFrom="paragraph">
                        <wp:posOffset>-12700</wp:posOffset>
                      </wp:positionV>
                      <wp:extent cx="1235710" cy="1206500"/>
                      <wp:effectExtent l="3175" t="3175" r="18415" b="9525"/>
                      <wp:wrapNone/>
                      <wp:docPr id="1" name="Line 16"/>
                      <wp:cNvGraphicFramePr/>
                      <a:graphic xmlns:a="http://schemas.openxmlformats.org/drawingml/2006/main">
                        <a:graphicData uri="http://schemas.microsoft.com/office/word/2010/wordprocessingShape">
                          <wps:wsp>
                            <wps:cNvSpPr/>
                            <wps:spPr>
                              <a:xfrm flipH="1" flipV="1">
                                <a:off x="0" y="0"/>
                                <a:ext cx="1235710" cy="12065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5.05pt;margin-top:-1pt;height:95pt;width:97.3pt;z-index:251657216;mso-width-relative:page;mso-height-relative:page;" filled="f" stroked="t" coordsize="21600,21600" o:gfxdata="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F8jGbT&#10;AAAACgEAAA8AAAAAAAAAAQAgAAAAIgAAAGRycy9kb3ducmV2LnhtbFBLAQIUABQAAAAIAIdO4kC/&#10;7MOb7AEAAPQDAAAOAAAAAAAAAAEAIAAAACIBAABkcnMvZTJvRG9jLnhtbFBLBQYAAAAABgAGAFkB&#10;AACABQ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58240" behindDoc="0" locked="0" layoutInCell="0" allowOverlap="1">
                      <wp:simplePos x="0" y="0"/>
                      <wp:positionH relativeFrom="column">
                        <wp:posOffset>-114300</wp:posOffset>
                      </wp:positionH>
                      <wp:positionV relativeFrom="paragraph">
                        <wp:posOffset>-6350</wp:posOffset>
                      </wp:positionV>
                      <wp:extent cx="635" cy="0"/>
                      <wp:effectExtent l="0" t="0" r="0" b="0"/>
                      <wp:wrapNone/>
                      <wp:docPr id="3" name="Line 15"/>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9pt;margin-top:-0.5pt;height:0pt;width:0.05pt;z-index:251658240;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5HTftUAAAAJAQAADwAAAAAAAAABACAA&#10;AAAiAAAAZHJzL2Rvd25yZXYueG1sUEsBAhQAFAAAAAgAh07iQG38nHLXAQAA1gMAAA4AAAAAAAAA&#10;AQAgAAAAJAEAAGRycy9lMm9Eb2MueG1sUEsFBgAAAAAGAAYAWQEAAG0FAAAAAA==&#10;">
                      <v:fill on="f" focussize="0,0"/>
                      <v:stroke color="#000000" joinstyle="round"/>
                      <v:imagedata o:title=""/>
                      <o:lock v:ext="edit" aspectratio="f"/>
                    </v:line>
                  </w:pict>
                </mc:Fallback>
              </mc:AlternateContent>
            </w:r>
            <w:r>
              <w:rPr>
                <w:rFonts w:hint="eastAsia" w:ascii="宋体" w:hAnsi="宋体" w:cs="宋体"/>
                <w:sz w:val="24"/>
              </w:rPr>
              <w:t>招标类型　　　</w:t>
            </w:r>
          </w:p>
          <w:p>
            <w:pPr>
              <w:spacing w:line="360" w:lineRule="auto"/>
              <w:ind w:firstLine="998" w:firstLineChars="416"/>
              <w:rPr>
                <w:rFonts w:ascii="宋体" w:hAnsi="宋体" w:cs="宋体"/>
                <w:sz w:val="24"/>
              </w:rPr>
            </w:pPr>
            <w:r>
              <w:rPr>
                <w:rFonts w:hint="eastAsia" w:ascii="宋体" w:hAnsi="宋体" w:cs="宋体"/>
                <w:bCs/>
                <w:sz w:val="24"/>
              </w:rPr>
              <w:t>中标</w:t>
            </w:r>
            <w:r>
              <w:rPr>
                <w:rFonts w:hint="eastAsia" w:ascii="宋体" w:hAnsi="宋体" w:cs="宋体"/>
                <w:sz w:val="24"/>
              </w:rPr>
              <w:t>　　　</w:t>
            </w:r>
          </w:p>
          <w:p>
            <w:pPr>
              <w:spacing w:line="360" w:lineRule="auto"/>
              <w:ind w:firstLine="1504" w:firstLineChars="627"/>
              <w:rPr>
                <w:rFonts w:ascii="宋体" w:hAnsi="宋体" w:cs="宋体"/>
                <w:bCs/>
                <w:sz w:val="24"/>
              </w:rPr>
            </w:pPr>
            <w:r>
              <w:rPr>
                <w:rFonts w:hint="eastAsia" w:ascii="宋体" w:hAnsi="宋体" w:cs="宋体"/>
                <w:bCs/>
                <w:sz w:val="24"/>
              </w:rPr>
              <w:t>费率</w:t>
            </w:r>
          </w:p>
          <w:p>
            <w:pPr>
              <w:spacing w:line="360" w:lineRule="auto"/>
              <w:rPr>
                <w:rFonts w:ascii="宋体" w:hAnsi="宋体" w:cs="宋体"/>
                <w:sz w:val="24"/>
              </w:rPr>
            </w:pPr>
            <w:r>
              <w:rPr>
                <w:rFonts w:hint="eastAsia" w:ascii="宋体" w:hAnsi="宋体" w:cs="宋体"/>
                <w:sz w:val="24"/>
              </w:rPr>
              <w:t>金额（万元）</w:t>
            </w:r>
          </w:p>
        </w:tc>
        <w:tc>
          <w:tcPr>
            <w:tcW w:w="2381" w:type="dxa"/>
            <w:vAlign w:val="center"/>
          </w:tcPr>
          <w:p>
            <w:pPr>
              <w:spacing w:line="360" w:lineRule="auto"/>
              <w:jc w:val="center"/>
              <w:rPr>
                <w:rFonts w:ascii="宋体" w:hAnsi="宋体" w:cs="宋体"/>
                <w:sz w:val="24"/>
              </w:rPr>
            </w:pPr>
            <w:r>
              <w:rPr>
                <w:rFonts w:hint="eastAsia" w:ascii="宋体" w:hAnsi="宋体" w:cs="宋体"/>
                <w:sz w:val="24"/>
              </w:rPr>
              <w:t>货物招标</w:t>
            </w:r>
          </w:p>
        </w:tc>
        <w:tc>
          <w:tcPr>
            <w:tcW w:w="2162" w:type="dxa"/>
            <w:vAlign w:val="center"/>
          </w:tcPr>
          <w:p>
            <w:pPr>
              <w:spacing w:line="360" w:lineRule="auto"/>
              <w:jc w:val="center"/>
              <w:rPr>
                <w:rFonts w:ascii="宋体" w:hAnsi="宋体" w:cs="宋体"/>
                <w:sz w:val="24"/>
              </w:rPr>
            </w:pPr>
            <w:r>
              <w:rPr>
                <w:rFonts w:hint="eastAsia" w:ascii="宋体" w:hAnsi="宋体" w:cs="宋体"/>
                <w:sz w:val="24"/>
              </w:rPr>
              <w:t>服务招标</w:t>
            </w:r>
          </w:p>
        </w:tc>
        <w:tc>
          <w:tcPr>
            <w:tcW w:w="2330" w:type="dxa"/>
            <w:vAlign w:val="center"/>
          </w:tcPr>
          <w:p>
            <w:pPr>
              <w:spacing w:line="360" w:lineRule="auto"/>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905" w:type="dxa"/>
          </w:tcPr>
          <w:p>
            <w:pPr>
              <w:spacing w:line="360" w:lineRule="auto"/>
              <w:jc w:val="center"/>
              <w:rPr>
                <w:rFonts w:ascii="宋体" w:hAnsi="宋体" w:cs="宋体"/>
                <w:sz w:val="24"/>
              </w:rPr>
            </w:pPr>
            <w:r>
              <w:rPr>
                <w:rFonts w:hint="eastAsia" w:ascii="宋体" w:hAnsi="宋体" w:cs="宋体"/>
                <w:sz w:val="24"/>
              </w:rPr>
              <w:t>100以下</w:t>
            </w:r>
          </w:p>
        </w:tc>
        <w:tc>
          <w:tcPr>
            <w:tcW w:w="2381" w:type="dxa"/>
          </w:tcPr>
          <w:p>
            <w:pPr>
              <w:spacing w:line="360" w:lineRule="auto"/>
              <w:jc w:val="center"/>
              <w:rPr>
                <w:rFonts w:ascii="宋体" w:hAnsi="宋体" w:cs="宋体"/>
                <w:sz w:val="24"/>
              </w:rPr>
            </w:pPr>
            <w:r>
              <w:rPr>
                <w:rFonts w:hint="eastAsia" w:ascii="宋体" w:hAnsi="宋体" w:cs="宋体"/>
                <w:sz w:val="24"/>
              </w:rPr>
              <w:t>1.5%</w:t>
            </w:r>
          </w:p>
        </w:tc>
        <w:tc>
          <w:tcPr>
            <w:tcW w:w="2162" w:type="dxa"/>
          </w:tcPr>
          <w:p>
            <w:pPr>
              <w:spacing w:line="360" w:lineRule="auto"/>
              <w:jc w:val="center"/>
              <w:rPr>
                <w:rFonts w:ascii="宋体" w:hAnsi="宋体" w:cs="宋体"/>
                <w:sz w:val="24"/>
              </w:rPr>
            </w:pPr>
            <w:r>
              <w:rPr>
                <w:rFonts w:hint="eastAsia" w:ascii="宋体" w:hAnsi="宋体" w:cs="宋体"/>
                <w:sz w:val="24"/>
              </w:rPr>
              <w:t>1.5%</w:t>
            </w:r>
          </w:p>
        </w:tc>
        <w:tc>
          <w:tcPr>
            <w:tcW w:w="2330" w:type="dxa"/>
          </w:tcPr>
          <w:p>
            <w:pPr>
              <w:spacing w:line="360" w:lineRule="auto"/>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905" w:type="dxa"/>
          </w:tcPr>
          <w:p>
            <w:pPr>
              <w:spacing w:line="360" w:lineRule="auto"/>
              <w:jc w:val="center"/>
              <w:rPr>
                <w:rFonts w:ascii="宋体" w:hAnsi="宋体" w:cs="宋体"/>
                <w:sz w:val="24"/>
              </w:rPr>
            </w:pPr>
            <w:r>
              <w:rPr>
                <w:rFonts w:hint="eastAsia" w:ascii="宋体" w:hAnsi="宋体" w:cs="宋体"/>
                <w:sz w:val="24"/>
              </w:rPr>
              <w:t>100-500</w:t>
            </w:r>
          </w:p>
        </w:tc>
        <w:tc>
          <w:tcPr>
            <w:tcW w:w="2381" w:type="dxa"/>
          </w:tcPr>
          <w:p>
            <w:pPr>
              <w:spacing w:line="360" w:lineRule="auto"/>
              <w:jc w:val="center"/>
              <w:rPr>
                <w:rFonts w:ascii="宋体" w:hAnsi="宋体" w:cs="宋体"/>
                <w:sz w:val="24"/>
              </w:rPr>
            </w:pPr>
            <w:r>
              <w:rPr>
                <w:rFonts w:hint="eastAsia" w:ascii="宋体" w:hAnsi="宋体" w:cs="宋体"/>
                <w:sz w:val="24"/>
              </w:rPr>
              <w:t>1.1%</w:t>
            </w:r>
          </w:p>
        </w:tc>
        <w:tc>
          <w:tcPr>
            <w:tcW w:w="2162" w:type="dxa"/>
          </w:tcPr>
          <w:p>
            <w:pPr>
              <w:spacing w:line="360" w:lineRule="auto"/>
              <w:jc w:val="center"/>
              <w:rPr>
                <w:rFonts w:ascii="宋体" w:hAnsi="宋体" w:cs="宋体"/>
                <w:sz w:val="24"/>
              </w:rPr>
            </w:pPr>
            <w:r>
              <w:rPr>
                <w:rFonts w:hint="eastAsia" w:ascii="宋体" w:hAnsi="宋体" w:cs="宋体"/>
                <w:sz w:val="24"/>
              </w:rPr>
              <w:t>0.8%</w:t>
            </w:r>
          </w:p>
        </w:tc>
        <w:tc>
          <w:tcPr>
            <w:tcW w:w="2330" w:type="dxa"/>
          </w:tcPr>
          <w:p>
            <w:pPr>
              <w:spacing w:line="360" w:lineRule="auto"/>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905" w:type="dxa"/>
          </w:tcPr>
          <w:p>
            <w:pPr>
              <w:spacing w:line="360" w:lineRule="auto"/>
              <w:jc w:val="center"/>
              <w:rPr>
                <w:rFonts w:ascii="宋体" w:hAnsi="宋体" w:cs="宋体"/>
                <w:sz w:val="24"/>
              </w:rPr>
            </w:pPr>
            <w:r>
              <w:rPr>
                <w:rFonts w:hint="eastAsia" w:ascii="宋体" w:hAnsi="宋体" w:cs="宋体"/>
                <w:sz w:val="24"/>
              </w:rPr>
              <w:t>500-1000</w:t>
            </w:r>
          </w:p>
        </w:tc>
        <w:tc>
          <w:tcPr>
            <w:tcW w:w="2381" w:type="dxa"/>
          </w:tcPr>
          <w:p>
            <w:pPr>
              <w:spacing w:line="360" w:lineRule="auto"/>
              <w:jc w:val="center"/>
              <w:rPr>
                <w:rFonts w:ascii="宋体" w:hAnsi="宋体" w:cs="宋体"/>
                <w:sz w:val="24"/>
              </w:rPr>
            </w:pPr>
            <w:r>
              <w:rPr>
                <w:rFonts w:hint="eastAsia" w:ascii="宋体" w:hAnsi="宋体" w:cs="宋体"/>
                <w:sz w:val="24"/>
              </w:rPr>
              <w:t>0.8%</w:t>
            </w:r>
          </w:p>
        </w:tc>
        <w:tc>
          <w:tcPr>
            <w:tcW w:w="2162" w:type="dxa"/>
          </w:tcPr>
          <w:p>
            <w:pPr>
              <w:spacing w:line="360" w:lineRule="auto"/>
              <w:jc w:val="center"/>
              <w:rPr>
                <w:rFonts w:ascii="宋体" w:hAnsi="宋体" w:cs="宋体"/>
                <w:sz w:val="24"/>
              </w:rPr>
            </w:pPr>
            <w:r>
              <w:rPr>
                <w:rFonts w:hint="eastAsia" w:ascii="宋体" w:hAnsi="宋体" w:cs="宋体"/>
                <w:sz w:val="24"/>
              </w:rPr>
              <w:t>0.45%</w:t>
            </w:r>
          </w:p>
        </w:tc>
        <w:tc>
          <w:tcPr>
            <w:tcW w:w="2330" w:type="dxa"/>
          </w:tcPr>
          <w:p>
            <w:pPr>
              <w:spacing w:line="360" w:lineRule="auto"/>
              <w:jc w:val="center"/>
              <w:rPr>
                <w:rFonts w:ascii="宋体" w:hAnsi="宋体" w:cs="宋体"/>
                <w:sz w:val="24"/>
              </w:rPr>
            </w:pPr>
            <w:r>
              <w:rPr>
                <w:rFonts w:hint="eastAsia" w:ascii="宋体" w:hAnsi="宋体" w:cs="宋体"/>
                <w:sz w:val="24"/>
              </w:rPr>
              <w:t>0.55％</w:t>
            </w:r>
          </w:p>
        </w:tc>
      </w:tr>
    </w:tbl>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二、响应文件的编制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 响应文件编制基本要求</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5.1响应文件以及与集中采购机构和采购人就有关磋商的所有来往函电均应使用简体中文。</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5.2供应商应认真阅读、并充分理解本文件的全部内容（包括所有的补充、修改内容），承诺并履行本文件中各项条款规定及要求。</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5.3响应文件应按本文件的全部内容，包括所有的补充通知及附件进行编制。供应商受邀参加本文件多个包磋商的，其响应文件的编制应按每包要求分别装订和封装。</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5.4如因供应商只填写和提供了本文件要求的部分内容和附件，磋商小组有权拒绝其补充和磋商。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5.5响应文件的组成</w:t>
      </w:r>
    </w:p>
    <w:p>
      <w:pPr>
        <w:spacing w:line="360" w:lineRule="auto"/>
        <w:ind w:left="315" w:leftChars="150"/>
        <w:rPr>
          <w:rFonts w:ascii="Times New Roman" w:hAnsi="Times New Roman" w:cs="Times New Roman"/>
          <w:bCs/>
          <w:sz w:val="24"/>
          <w:szCs w:val="24"/>
        </w:rPr>
      </w:pPr>
      <w:r>
        <w:rPr>
          <w:rFonts w:ascii="Times New Roman" w:hAnsi="Times New Roman" w:cs="Times New Roman"/>
          <w:bCs/>
          <w:sz w:val="24"/>
          <w:szCs w:val="24"/>
        </w:rPr>
        <w:t>不限于以下内容,应该有的必须提供,如未提供,磋商小组有权拒绝其响应文件：</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1）磋商</w:t>
      </w:r>
      <w:r>
        <w:rPr>
          <w:rFonts w:hint="eastAsia" w:ascii="Times New Roman" w:hAnsi="Times New Roman" w:cs="Times New Roman"/>
          <w:bCs/>
          <w:sz w:val="24"/>
          <w:szCs w:val="24"/>
        </w:rPr>
        <w:t>函</w:t>
      </w:r>
      <w:r>
        <w:rPr>
          <w:rFonts w:ascii="Times New Roman" w:hAnsi="Times New Roman" w:cs="Times New Roman"/>
          <w:bCs/>
          <w:sz w:val="24"/>
          <w:szCs w:val="24"/>
        </w:rPr>
        <w:t xml:space="preserve"> (附件1) ；</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磋商报价表</w:t>
      </w:r>
      <w:r>
        <w:rPr>
          <w:rFonts w:ascii="Times New Roman" w:hAnsi="Times New Roman" w:cs="Times New Roman"/>
          <w:bCs/>
          <w:sz w:val="24"/>
          <w:szCs w:val="24"/>
        </w:rPr>
        <w:t>(附件2) ；</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3）</w:t>
      </w:r>
      <w:r>
        <w:rPr>
          <w:rFonts w:ascii="Times New Roman" w:hAnsi="Times New Roman" w:cs="Times New Roman"/>
          <w:bCs/>
          <w:sz w:val="24"/>
          <w:szCs w:val="24"/>
        </w:rPr>
        <w:t>法人代表授权书(附件</w:t>
      </w:r>
      <w:r>
        <w:rPr>
          <w:rFonts w:hint="eastAsia" w:ascii="Times New Roman" w:hAnsi="Times New Roman" w:cs="Times New Roman"/>
          <w:bCs/>
          <w:sz w:val="24"/>
          <w:szCs w:val="24"/>
        </w:rPr>
        <w:t>3</w:t>
      </w:r>
      <w:r>
        <w:rPr>
          <w:rFonts w:ascii="Times New Roman" w:hAnsi="Times New Roman" w:cs="Times New Roman"/>
          <w:bCs/>
          <w:sz w:val="24"/>
          <w:szCs w:val="24"/>
        </w:rPr>
        <w:t>)</w:t>
      </w:r>
      <w:r>
        <w:rPr>
          <w:rFonts w:hint="eastAsia"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4</w:t>
      </w:r>
      <w:r>
        <w:rPr>
          <w:rFonts w:ascii="Times New Roman" w:hAnsi="Times New Roman" w:cs="Times New Roman"/>
          <w:bCs/>
          <w:sz w:val="24"/>
          <w:szCs w:val="24"/>
        </w:rPr>
        <w:t>）法人或者其他组织的营业执照等证明文件，自然人的身份证明等证明材料（附件</w:t>
      </w:r>
      <w:r>
        <w:rPr>
          <w:rFonts w:hint="eastAsia" w:ascii="Times New Roman" w:hAnsi="Times New Roman" w:cs="Times New Roman"/>
          <w:bCs/>
          <w:sz w:val="24"/>
          <w:szCs w:val="24"/>
        </w:rPr>
        <w:t>4</w:t>
      </w:r>
      <w:r>
        <w:rPr>
          <w:rFonts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5</w:t>
      </w:r>
      <w:r>
        <w:rPr>
          <w:rFonts w:ascii="Times New Roman" w:hAnsi="Times New Roman" w:cs="Times New Roman"/>
          <w:bCs/>
          <w:sz w:val="24"/>
          <w:szCs w:val="24"/>
        </w:rPr>
        <w:t>）财务状况报告，依法缴纳税收</w:t>
      </w:r>
      <w:r>
        <w:rPr>
          <w:rFonts w:hint="eastAsia" w:ascii="Times New Roman" w:hAnsi="Times New Roman" w:cs="Times New Roman"/>
          <w:bCs/>
          <w:sz w:val="24"/>
          <w:szCs w:val="24"/>
        </w:rPr>
        <w:t>和社会保障金</w:t>
      </w:r>
      <w:r>
        <w:rPr>
          <w:rFonts w:ascii="Times New Roman" w:hAnsi="Times New Roman" w:cs="Times New Roman"/>
          <w:bCs/>
          <w:sz w:val="24"/>
          <w:szCs w:val="24"/>
        </w:rPr>
        <w:t>的相关材料(附件</w:t>
      </w:r>
      <w:r>
        <w:rPr>
          <w:rFonts w:hint="eastAsia" w:ascii="Times New Roman" w:hAnsi="Times New Roman" w:cs="Times New Roman"/>
          <w:bCs/>
          <w:sz w:val="24"/>
          <w:szCs w:val="24"/>
        </w:rPr>
        <w:t>5)</w:t>
      </w:r>
      <w:r>
        <w:rPr>
          <w:rFonts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6</w:t>
      </w:r>
      <w:r>
        <w:rPr>
          <w:rFonts w:ascii="Times New Roman" w:hAnsi="Times New Roman" w:cs="Times New Roman"/>
          <w:bCs/>
          <w:sz w:val="24"/>
          <w:szCs w:val="24"/>
        </w:rPr>
        <w:t>）具备履行合同所必需的设备和专业技术能力的证明材料(附件</w:t>
      </w:r>
      <w:r>
        <w:rPr>
          <w:rFonts w:hint="eastAsia" w:ascii="Times New Roman" w:hAnsi="Times New Roman" w:cs="Times New Roman"/>
          <w:bCs/>
          <w:sz w:val="24"/>
          <w:szCs w:val="24"/>
        </w:rPr>
        <w:t>6</w:t>
      </w:r>
      <w:r>
        <w:rPr>
          <w:rFonts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7</w:t>
      </w:r>
      <w:r>
        <w:rPr>
          <w:rFonts w:ascii="Times New Roman" w:hAnsi="Times New Roman" w:cs="Times New Roman"/>
          <w:bCs/>
          <w:sz w:val="24"/>
          <w:szCs w:val="24"/>
        </w:rPr>
        <w:t>）参加政府采购活动前3年内在经营活动中没有重大违法记录的书面声明(附件</w:t>
      </w:r>
      <w:r>
        <w:rPr>
          <w:rFonts w:hint="eastAsia" w:ascii="Times New Roman" w:hAnsi="Times New Roman" w:cs="Times New Roman"/>
          <w:bCs/>
          <w:sz w:val="24"/>
          <w:szCs w:val="24"/>
        </w:rPr>
        <w:t>7</w:t>
      </w:r>
      <w:r>
        <w:rPr>
          <w:rFonts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8）具备法律、行政法规规定的其他条件的证明材料</w:t>
      </w:r>
      <w:r>
        <w:rPr>
          <w:rFonts w:ascii="Times New Roman" w:hAnsi="Times New Roman" w:cs="Times New Roman"/>
          <w:bCs/>
          <w:sz w:val="24"/>
          <w:szCs w:val="24"/>
        </w:rPr>
        <w:t xml:space="preserve"> (附件</w:t>
      </w:r>
      <w:r>
        <w:rPr>
          <w:rFonts w:hint="eastAsia" w:ascii="Times New Roman" w:hAnsi="Times New Roman" w:cs="Times New Roman"/>
          <w:bCs/>
          <w:sz w:val="24"/>
          <w:szCs w:val="24"/>
        </w:rPr>
        <w:t>8</w:t>
      </w:r>
      <w:r>
        <w:rPr>
          <w:rFonts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9</w:t>
      </w:r>
      <w:r>
        <w:rPr>
          <w:rFonts w:ascii="Times New Roman" w:hAnsi="Times New Roman" w:cs="Times New Roman"/>
          <w:bCs/>
          <w:sz w:val="24"/>
          <w:szCs w:val="24"/>
        </w:rPr>
        <w:t>）</w:t>
      </w:r>
      <w:r>
        <w:rPr>
          <w:rFonts w:hint="eastAsia"/>
          <w:bCs/>
          <w:sz w:val="24"/>
        </w:rPr>
        <w:t>未被列入"信用中国"网站(www.creditchina.gov.cn)、"中国政府采购网"（www.ccgp.gov.cn）失信被执行人（须提供网站截图）、重大税收违法案件当事人、政府采购严重违法失信行为记录名单的网页打印件</w:t>
      </w:r>
      <w:r>
        <w:rPr>
          <w:rFonts w:ascii="Times New Roman" w:hAnsi="Times New Roman" w:cs="Times New Roman"/>
          <w:bCs/>
          <w:sz w:val="24"/>
          <w:szCs w:val="24"/>
        </w:rPr>
        <w:t>(附件</w:t>
      </w:r>
      <w:r>
        <w:rPr>
          <w:rFonts w:hint="eastAsia" w:ascii="Times New Roman" w:hAnsi="Times New Roman" w:cs="Times New Roman"/>
          <w:bCs/>
          <w:sz w:val="24"/>
          <w:szCs w:val="24"/>
        </w:rPr>
        <w:t>9</w:t>
      </w:r>
      <w:r>
        <w:rPr>
          <w:rFonts w:ascii="Times New Roman" w:hAnsi="Times New Roman" w:cs="Times New Roman"/>
          <w:bCs/>
          <w:sz w:val="24"/>
          <w:szCs w:val="24"/>
        </w:rPr>
        <w:t>)；</w:t>
      </w:r>
    </w:p>
    <w:p>
      <w:pPr>
        <w:spacing w:line="360" w:lineRule="auto"/>
        <w:ind w:left="362" w:leftChars="1" w:hanging="360" w:hangingChars="150"/>
        <w:rPr>
          <w:bCs/>
          <w:sz w:val="24"/>
        </w:rPr>
      </w:pPr>
      <w:r>
        <w:rPr>
          <w:rFonts w:hint="eastAsia"/>
          <w:bCs/>
          <w:sz w:val="24"/>
        </w:rPr>
        <w:t>10）</w:t>
      </w:r>
      <w:r>
        <w:rPr>
          <w:bCs/>
          <w:sz w:val="24"/>
        </w:rPr>
        <w:t>其他</w:t>
      </w:r>
      <w:r>
        <w:rPr>
          <w:rFonts w:hint="eastAsia"/>
          <w:bCs/>
          <w:sz w:val="24"/>
        </w:rPr>
        <w:t>资格证明文件及</w:t>
      </w:r>
      <w:r>
        <w:rPr>
          <w:bCs/>
          <w:sz w:val="24"/>
        </w:rPr>
        <w:t>资料</w:t>
      </w:r>
      <w:r>
        <w:rPr>
          <w:rFonts w:hint="eastAsia"/>
          <w:bCs/>
          <w:sz w:val="24"/>
        </w:rPr>
        <w:t xml:space="preserve"> (附件10)</w:t>
      </w:r>
      <w:r>
        <w:rPr>
          <w:rFonts w:hint="eastAsia"/>
          <w:sz w:val="24"/>
          <w:szCs w:val="24"/>
        </w:rPr>
        <w:t>；</w:t>
      </w:r>
    </w:p>
    <w:p>
      <w:pPr>
        <w:autoSpaceDE w:val="0"/>
        <w:autoSpaceDN w:val="0"/>
        <w:adjustRightInd w:val="0"/>
        <w:spacing w:line="360" w:lineRule="auto"/>
        <w:outlineLvl w:val="1"/>
        <w:rPr>
          <w:rFonts w:ascii="宋体" w:hAnsi="宋体"/>
          <w:sz w:val="24"/>
        </w:rPr>
      </w:pPr>
      <w:r>
        <w:rPr>
          <w:rFonts w:hint="eastAsia"/>
          <w:bCs/>
          <w:sz w:val="24"/>
        </w:rPr>
        <w:t>11）</w:t>
      </w:r>
      <w:r>
        <w:rPr>
          <w:rFonts w:hint="eastAsia" w:ascii="宋体" w:hAnsi="宋体"/>
          <w:sz w:val="24"/>
        </w:rPr>
        <w:t>技术文件</w:t>
      </w:r>
      <w:r>
        <w:rPr>
          <w:rFonts w:hint="eastAsia"/>
          <w:bCs/>
          <w:sz w:val="24"/>
        </w:rPr>
        <w:t>(附件11)。</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6. 计量单位</w:t>
      </w:r>
      <w:r>
        <w:rPr>
          <w:rFonts w:hint="eastAsia" w:ascii="Times New Roman" w:hAnsi="Times New Roman" w:cs="Times New Roman"/>
          <w:bCs/>
          <w:sz w:val="24"/>
          <w:szCs w:val="24"/>
        </w:rPr>
        <w:t>：</w:t>
      </w:r>
      <w:r>
        <w:rPr>
          <w:rFonts w:ascii="Times New Roman" w:hAnsi="Times New Roman" w:cs="Times New Roman"/>
          <w:bCs/>
          <w:sz w:val="24"/>
          <w:szCs w:val="24"/>
        </w:rPr>
        <w:t>除技术要求中另有规定外，本文件所使用的计量单位均应采用国家法定计量单位。</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三、响应文件有效期</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7. 本项目磋商内容自磋商之日算</w:t>
      </w:r>
      <w:r>
        <w:rPr>
          <w:bCs/>
          <w:sz w:val="24"/>
        </w:rPr>
        <w:t>起</w:t>
      </w:r>
      <w:r>
        <w:rPr>
          <w:rFonts w:hint="eastAsia"/>
          <w:bCs/>
          <w:sz w:val="24"/>
        </w:rPr>
        <w:t>（180）</w:t>
      </w:r>
      <w:r>
        <w:rPr>
          <w:bCs/>
          <w:sz w:val="24"/>
        </w:rPr>
        <w:t>日历日</w:t>
      </w:r>
      <w:r>
        <w:rPr>
          <w:rFonts w:hint="eastAsia"/>
          <w:bCs/>
          <w:sz w:val="24"/>
        </w:rPr>
        <w:t>内</w:t>
      </w:r>
      <w:r>
        <w:rPr>
          <w:rFonts w:ascii="Times New Roman" w:hAnsi="Times New Roman" w:cs="Times New Roman"/>
          <w:bCs/>
          <w:sz w:val="24"/>
          <w:szCs w:val="24"/>
        </w:rPr>
        <w:t>保持有效。磋商结束后，在有效期内供应商不得改变磋商报价、服务期及承诺的全部义务。响应文件有效期比本文件规定短的，磋商小组将视响应文件无效予以拒绝。</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8. 在特殊情况下，在原磋商有效期满之前，</w:t>
      </w:r>
      <w:r>
        <w:rPr>
          <w:rFonts w:hint="eastAsia" w:ascii="Times New Roman" w:hAnsi="Times New Roman" w:cs="Times New Roman"/>
          <w:bCs/>
          <w:sz w:val="24"/>
          <w:szCs w:val="24"/>
        </w:rPr>
        <w:t>采购代理机构</w:t>
      </w:r>
      <w:r>
        <w:rPr>
          <w:rFonts w:ascii="Times New Roman" w:hAnsi="Times New Roman" w:cs="Times New Roman"/>
          <w:bCs/>
          <w:sz w:val="24"/>
          <w:szCs w:val="24"/>
        </w:rPr>
        <w:t>可向供应商提出延长磋商有效期的要求。这种要求与答复均应采用书面形式。供应商可以拒绝</w:t>
      </w:r>
      <w:r>
        <w:rPr>
          <w:rFonts w:hint="eastAsia" w:ascii="Times New Roman" w:hAnsi="Times New Roman" w:cs="Times New Roman"/>
          <w:bCs/>
          <w:sz w:val="24"/>
          <w:szCs w:val="24"/>
        </w:rPr>
        <w:t>采购代理机构</w:t>
      </w:r>
      <w:r>
        <w:rPr>
          <w:rFonts w:ascii="Times New Roman" w:hAnsi="Times New Roman" w:cs="Times New Roman"/>
          <w:bCs/>
          <w:sz w:val="24"/>
          <w:szCs w:val="24"/>
        </w:rPr>
        <w:t>的要求，但其响应文件在原有效期期满后将不再有效。同意延长磋商有效期的供应商不允许修改其响应文件。</w:t>
      </w:r>
    </w:p>
    <w:p>
      <w:pPr>
        <w:spacing w:line="360" w:lineRule="auto"/>
        <w:outlineLvl w:val="0"/>
        <w:rPr>
          <w:rFonts w:ascii="Times New Roman" w:hAnsi="Times New Roman" w:eastAsia="黑体" w:cs="Times New Roman"/>
          <w:sz w:val="24"/>
          <w:szCs w:val="24"/>
        </w:rPr>
      </w:pPr>
      <w:r>
        <w:rPr>
          <w:rFonts w:ascii="Times New Roman" w:hAnsi="Times New Roman" w:eastAsia="黑体" w:cs="Times New Roman"/>
          <w:sz w:val="24"/>
          <w:szCs w:val="24"/>
        </w:rPr>
        <w:t>四、报价要求</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sz w:val="24"/>
          <w:szCs w:val="24"/>
        </w:rPr>
        <w:t>9. 报价以人民币报价。</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360" w:lineRule="auto"/>
        <w:ind w:left="360" w:hanging="360" w:hangingChars="150"/>
        <w:rPr>
          <w:rFonts w:ascii="Times New Roman" w:hAnsi="Times New Roman" w:cs="Times New Roman"/>
          <w:sz w:val="24"/>
          <w:szCs w:val="24"/>
        </w:rPr>
      </w:pPr>
      <w:r>
        <w:rPr>
          <w:rFonts w:ascii="Times New Roman" w:hAnsi="Times New Roman" w:cs="Times New Roman"/>
          <w:bCs/>
          <w:sz w:val="24"/>
          <w:szCs w:val="24"/>
        </w:rPr>
        <w:t>11. 成交供应商负</w:t>
      </w:r>
      <w:r>
        <w:rPr>
          <w:rFonts w:ascii="Times New Roman" w:hAnsi="Times New Roman" w:cs="Times New Roman"/>
          <w:sz w:val="24"/>
          <w:szCs w:val="24"/>
        </w:rPr>
        <w:t>责本项目所需的售后服务等全部工作，文件另有规定的除外。</w:t>
      </w:r>
    </w:p>
    <w:p>
      <w:pPr>
        <w:spacing w:line="360" w:lineRule="auto"/>
        <w:ind w:left="420" w:hanging="420"/>
        <w:rPr>
          <w:rFonts w:ascii="Times New Roman" w:hAnsi="Times New Roman" w:cs="Times New Roman"/>
          <w:b/>
          <w:bCs/>
          <w:sz w:val="24"/>
          <w:szCs w:val="24"/>
        </w:rPr>
      </w:pPr>
    </w:p>
    <w:p>
      <w:pPr>
        <w:spacing w:line="360" w:lineRule="auto"/>
        <w:ind w:left="420" w:hanging="420"/>
        <w:rPr>
          <w:rFonts w:ascii="Times New Roman" w:hAnsi="Times New Roman" w:eastAsia="黑体" w:cs="Times New Roman"/>
          <w:bCs/>
          <w:sz w:val="24"/>
          <w:szCs w:val="24"/>
        </w:rPr>
      </w:pPr>
      <w:r>
        <w:rPr>
          <w:rFonts w:ascii="Times New Roman" w:hAnsi="Times New Roman" w:eastAsia="黑体" w:cs="Times New Roman"/>
          <w:bCs/>
          <w:sz w:val="24"/>
          <w:szCs w:val="24"/>
        </w:rPr>
        <w:t>五、响应文件的份数、封装和递交</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12. 响应文件的份数和封装</w:t>
      </w:r>
    </w:p>
    <w:p>
      <w:pPr>
        <w:spacing w:line="360" w:lineRule="auto"/>
        <w:ind w:left="420" w:hanging="420"/>
        <w:rPr>
          <w:rFonts w:ascii="Times New Roman" w:hAnsi="Times New Roman" w:cs="Times New Roman"/>
          <w:b/>
          <w:bCs/>
          <w:sz w:val="24"/>
          <w:szCs w:val="24"/>
        </w:rPr>
      </w:pPr>
      <w:r>
        <w:rPr>
          <w:rFonts w:ascii="Times New Roman" w:hAnsi="Times New Roman" w:cs="Times New Roman"/>
          <w:b/>
          <w:bCs/>
          <w:sz w:val="24"/>
          <w:szCs w:val="24"/>
        </w:rPr>
        <w:t>12.1响应文</w:t>
      </w:r>
      <w:r>
        <w:rPr>
          <w:rFonts w:ascii="Times New Roman" w:hAnsi="Times New Roman" w:cs="Times New Roman"/>
          <w:b/>
          <w:sz w:val="24"/>
          <w:szCs w:val="24"/>
        </w:rPr>
        <w:t>件一式</w:t>
      </w:r>
      <w:r>
        <w:rPr>
          <w:rFonts w:hint="eastAsia" w:ascii="Times New Roman" w:hAnsi="Times New Roman" w:cs="Times New Roman"/>
          <w:b/>
          <w:sz w:val="24"/>
          <w:szCs w:val="24"/>
        </w:rPr>
        <w:t>三</w:t>
      </w:r>
      <w:r>
        <w:rPr>
          <w:rFonts w:ascii="Times New Roman" w:hAnsi="Times New Roman" w:cs="Times New Roman"/>
          <w:b/>
          <w:sz w:val="24"/>
          <w:szCs w:val="24"/>
        </w:rPr>
        <w:t>份，其中正本一份，副本</w:t>
      </w:r>
      <w:r>
        <w:rPr>
          <w:rFonts w:hint="eastAsia" w:ascii="Times New Roman" w:hAnsi="Times New Roman" w:cs="Times New Roman"/>
          <w:b/>
          <w:bCs/>
          <w:sz w:val="24"/>
          <w:szCs w:val="24"/>
        </w:rPr>
        <w:t>两</w:t>
      </w:r>
      <w:r>
        <w:rPr>
          <w:rFonts w:ascii="Times New Roman" w:hAnsi="Times New Roman" w:cs="Times New Roman"/>
          <w:b/>
          <w:bCs/>
          <w:sz w:val="24"/>
          <w:szCs w:val="24"/>
        </w:rPr>
        <w:t>份。</w:t>
      </w:r>
      <w:r>
        <w:rPr>
          <w:rFonts w:ascii="Calibri" w:hAnsi="Calibri" w:eastAsia="宋体" w:cs="Times New Roman"/>
          <w:sz w:val="24"/>
        </w:rPr>
        <w:t>正本与副本应使用A4纸幅按谈判文件规定的内容和格式填写；要求采用打印、复印或不能擦去的墨水书写，文字要清晰，语意要明确，并按本</w:t>
      </w:r>
      <w:r>
        <w:rPr>
          <w:rFonts w:hint="eastAsia" w:eastAsia="宋体"/>
          <w:sz w:val="24"/>
        </w:rPr>
        <w:t>磋商</w:t>
      </w:r>
      <w:r>
        <w:rPr>
          <w:rFonts w:ascii="Calibri" w:hAnsi="Calibri" w:eastAsia="宋体" w:cs="Times New Roman"/>
          <w:sz w:val="24"/>
        </w:rPr>
        <w:t>文件的要求加盖公章和法定代表人或委托代理人签字；不得采用活页</w:t>
      </w:r>
      <w:r>
        <w:rPr>
          <w:rFonts w:hint="eastAsia" w:eastAsia="宋体"/>
          <w:sz w:val="24"/>
        </w:rPr>
        <w:t>。</w:t>
      </w:r>
      <w:r>
        <w:rPr>
          <w:rFonts w:ascii="Calibri" w:hAnsi="Calibri" w:eastAsia="宋体" w:cs="Times New Roman"/>
          <w:sz w:val="24"/>
        </w:rPr>
        <w:t>每份文件要注明“正本”和“副本”字样，</w:t>
      </w:r>
      <w:r>
        <w:rPr>
          <w:rFonts w:hint="eastAsia" w:eastAsia="宋体"/>
          <w:sz w:val="24"/>
        </w:rPr>
        <w:t>磋商</w:t>
      </w:r>
      <w:r>
        <w:rPr>
          <w:rFonts w:ascii="Calibri" w:hAnsi="Calibri" w:eastAsia="宋体" w:cs="Times New Roman"/>
          <w:sz w:val="24"/>
        </w:rPr>
        <w:t>响应文件的副本与正本不符，以正本为准。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12.2</w:t>
      </w:r>
      <w:r>
        <w:rPr>
          <w:rFonts w:hint="eastAsia" w:ascii="Times New Roman" w:hAnsi="Times New Roman" w:cs="Times New Roman"/>
          <w:bCs/>
          <w:sz w:val="24"/>
          <w:szCs w:val="24"/>
        </w:rPr>
        <w:t>磋商响应文件的正本和所有副本应单独密封，然后合封在一个外层包装内。外层包装</w:t>
      </w:r>
      <w:r>
        <w:rPr>
          <w:rFonts w:ascii="Times New Roman" w:hAnsi="Times New Roman" w:cs="Times New Roman"/>
          <w:bCs/>
          <w:sz w:val="24"/>
          <w:szCs w:val="24"/>
        </w:rPr>
        <w:t>上应写明:项目编号、项目名称、磋商内容、供应商名称。</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13. 响应文件的递交</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13.1所有响应文件应于第一章“竞争性磋商邀请函”中规定的时间前递交到</w:t>
      </w:r>
      <w:r>
        <w:rPr>
          <w:rFonts w:hint="eastAsia" w:ascii="Times New Roman" w:hAnsi="Times New Roman" w:cs="Times New Roman"/>
          <w:bCs/>
          <w:sz w:val="24"/>
          <w:szCs w:val="24"/>
        </w:rPr>
        <w:t>采购代理机构指定地点</w:t>
      </w:r>
      <w:r>
        <w:rPr>
          <w:rFonts w:ascii="Times New Roman" w:hAnsi="Times New Roman" w:cs="Times New Roman"/>
          <w:bCs/>
          <w:sz w:val="24"/>
          <w:szCs w:val="24"/>
        </w:rPr>
        <w:t>。</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14. 迟交的响应文件</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14.1</w:t>
      </w:r>
      <w:r>
        <w:rPr>
          <w:rFonts w:hint="eastAsia" w:ascii="Times New Roman" w:hAnsi="Times New Roman" w:cs="Times New Roman"/>
          <w:bCs/>
          <w:sz w:val="24"/>
          <w:szCs w:val="24"/>
        </w:rPr>
        <w:t>采购代理机构</w:t>
      </w:r>
      <w:r>
        <w:rPr>
          <w:rFonts w:ascii="Times New Roman" w:hAnsi="Times New Roman" w:cs="Times New Roman"/>
          <w:bCs/>
          <w:sz w:val="24"/>
          <w:szCs w:val="24"/>
        </w:rPr>
        <w:t>将拒绝或原封退回在其规定的递交响应文件截止时间之后递交的任何响应文件。</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六、磋商小组的组成</w:t>
      </w:r>
    </w:p>
    <w:p>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15.磋商小组成员由</w:t>
      </w:r>
      <w:r>
        <w:rPr>
          <w:bCs/>
          <w:sz w:val="24"/>
        </w:rPr>
        <w:t>采购人代表一名</w:t>
      </w:r>
      <w:r>
        <w:rPr>
          <w:rFonts w:hint="eastAsia"/>
          <w:bCs/>
          <w:sz w:val="24"/>
        </w:rPr>
        <w:t>和</w:t>
      </w:r>
      <w:r>
        <w:rPr>
          <w:rFonts w:hint="eastAsia" w:ascii="Times New Roman" w:hAnsi="Times New Roman" w:cs="Times New Roman"/>
          <w:bCs/>
          <w:sz w:val="24"/>
          <w:szCs w:val="24"/>
        </w:rPr>
        <w:t>专家库</w:t>
      </w:r>
      <w:r>
        <w:rPr>
          <w:rFonts w:ascii="Times New Roman" w:hAnsi="Times New Roman" w:cs="Times New Roman"/>
          <w:bCs/>
          <w:sz w:val="24"/>
          <w:szCs w:val="24"/>
        </w:rPr>
        <w:t>专家</w:t>
      </w:r>
      <w:r>
        <w:rPr>
          <w:rFonts w:hint="eastAsia" w:ascii="Times New Roman" w:hAnsi="Times New Roman" w:cs="Times New Roman"/>
          <w:bCs/>
          <w:sz w:val="24"/>
          <w:szCs w:val="24"/>
        </w:rPr>
        <w:t>两</w:t>
      </w:r>
      <w:r>
        <w:rPr>
          <w:rFonts w:ascii="Times New Roman" w:hAnsi="Times New Roman" w:cs="Times New Roman"/>
          <w:bCs/>
          <w:sz w:val="24"/>
          <w:szCs w:val="24"/>
        </w:rPr>
        <w:t>名及以上（技术、经济、法律等方面）组成。</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15.1磋商小组负责制定磋商文件、确定磋商供应商名单、响应文件的评审、磋商谈判、商务服务评议并评分、根据综合评分情况编写评审报告，协助处理质疑等工作。</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七、磋商的步骤</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16. 供应商授权代表按要求参加本项目磋商过程</w:t>
      </w:r>
      <w:r>
        <w:rPr>
          <w:rFonts w:hint="eastAsia" w:ascii="Times New Roman" w:hAnsi="Times New Roman" w:cs="Times New Roman"/>
          <w:bCs/>
          <w:sz w:val="24"/>
          <w:szCs w:val="24"/>
        </w:rPr>
        <w:t>。</w:t>
      </w:r>
      <w:r>
        <w:rPr>
          <w:rFonts w:hint="eastAsia"/>
          <w:bCs/>
          <w:sz w:val="24"/>
        </w:rPr>
        <w:t>若磋商小组和授权代表磋商时，授权代表只能简单的回答"不知道"、"不清楚"等，该供应商的磋商将有可能被拒绝。</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17. 资格性审查</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17.1磋商小组验证各供应商代表或委托授权人的身份。供应商代表或委托授权人身份与响应文件不符的、响应文件未按要求加盖印章和签字的，磋商小组</w:t>
      </w:r>
      <w:r>
        <w:rPr>
          <w:rFonts w:hint="eastAsia" w:ascii="Times New Roman" w:hAnsi="Times New Roman" w:cs="Times New Roman"/>
          <w:bCs/>
          <w:sz w:val="24"/>
          <w:szCs w:val="24"/>
        </w:rPr>
        <w:t>将</w:t>
      </w:r>
      <w:r>
        <w:rPr>
          <w:rFonts w:ascii="Times New Roman" w:hAnsi="Times New Roman" w:cs="Times New Roman"/>
          <w:bCs/>
          <w:sz w:val="24"/>
          <w:szCs w:val="24"/>
        </w:rPr>
        <w:t>拒绝该供应商参加磋商。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 第一轮磋商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18.1磋商小组将按照随机抽签的顺序决定供应商的磋商顺序，并与单一供应商分别进行磋商。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18.3 响应文件的澄清和说明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3）供应商可以对参加竞争性磋商项目的采购需求提出优化建议，并以书面提交磋商小组。</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18.4磋商小组按磋商文件设定的方法和标准确定供应商符合磋商文件要求的，该供应商即为合格的供应商。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18.6合格的供应商不足三家的，磋商小组、采购人在调整采购需求中的技术、服务要求以及合同草案条款后进行下一轮磋商。否则，本次磋商终止。</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19.磋商文件修正</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19.2磋商小组将磋商文件的修改结果以书面形式通知参加磋商的供应商。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19.4对无法详细描述需求，需要供应商提供设计或者解决方案的项目，磋商小组可以根据采购人对需求确认情况，进行多轮磋商，直至采购人代表最终确认</w:t>
      </w:r>
      <w:r>
        <w:rPr>
          <w:rFonts w:hint="eastAsia" w:ascii="Times New Roman" w:hAnsi="Times New Roman" w:cs="Times New Roman"/>
          <w:bCs/>
          <w:sz w:val="24"/>
          <w:szCs w:val="24"/>
        </w:rPr>
        <w:t>采购</w:t>
      </w:r>
      <w:r>
        <w:rPr>
          <w:rFonts w:ascii="Times New Roman" w:hAnsi="Times New Roman" w:cs="Times New Roman"/>
          <w:bCs/>
          <w:sz w:val="24"/>
          <w:szCs w:val="24"/>
        </w:rPr>
        <w:t>需求为止。</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20. 第二轮磋商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20.1磋商小组就修正后的磋商文件与供应商分别进行磋商。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20.2第二轮磋商结束后，实质性响应磋商文件及变动后磋商文件要求的供应商超过或不足三家的，按照上一轮磋商程序办理，以此类推。</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 最后报价</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21.1磋商小组对磋商文件中能够详细列明采购标的的技术、服务要求的，在磋商结束后，所有继续参加磋商合格的供应商应在规定时间内提交最后报价。</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21.3供应商的报价均超过了政府采购预算或报价未超过采购预算的供应商不足三家的，磋商活动终止。</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21.4最后报价</w:t>
      </w:r>
      <w:r>
        <w:rPr>
          <w:rFonts w:hint="eastAsia" w:ascii="Times New Roman" w:hAnsi="Times New Roman" w:cs="Times New Roman"/>
          <w:bCs/>
          <w:sz w:val="24"/>
          <w:szCs w:val="24"/>
        </w:rPr>
        <w:t>现场填写</w:t>
      </w:r>
      <w:r>
        <w:rPr>
          <w:rFonts w:ascii="Times New Roman" w:hAnsi="Times New Roman" w:cs="Times New Roman"/>
          <w:bCs/>
          <w:sz w:val="24"/>
          <w:szCs w:val="24"/>
        </w:rPr>
        <w:t>。</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21.5在提交最后报价之前，供应商可以根据磋商情况退出磋商。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22. 综合评议</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22.1 磋商小组将按照磋商文件确定的评审办法对各供应商的响应文件进行商务服务评议和价格评议。</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22.2评审采用综合评分法，具体见“第四章评审办法及评审标准”。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3.</w:t>
      </w:r>
      <w:r>
        <w:rPr>
          <w:rFonts w:ascii="Times New Roman" w:hAnsi="Times New Roman" w:cs="Times New Roman"/>
          <w:bCs/>
          <w:sz w:val="24"/>
          <w:szCs w:val="24"/>
        </w:rPr>
        <w:t>价格分采用低价优先法计算，即满足磋商文件要求且最后报价最低的供应商的价格为磋商基准价，其价格分为满分。其他供应商的价格分计算公式：磋商报价得分=（磋商基准价/最后磋商报价）×价格权值×100。</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 xml:space="preserve">   </w:t>
      </w:r>
      <w:r>
        <w:rPr>
          <w:rFonts w:eastAsia="宋体"/>
          <w:b/>
          <w:sz w:val="24"/>
        </w:rPr>
        <w:t>（注：</w:t>
      </w:r>
      <w:r>
        <w:rPr>
          <w:rFonts w:hint="eastAsia" w:eastAsia="宋体"/>
          <w:b/>
          <w:sz w:val="24"/>
        </w:rPr>
        <w:t>磋商</w:t>
      </w:r>
      <w:r>
        <w:rPr>
          <w:rFonts w:eastAsia="宋体"/>
          <w:b/>
          <w:sz w:val="24"/>
        </w:rPr>
        <w:t>小组有权否决明显低于市场成本价的投标报价。</w:t>
      </w:r>
      <w:r>
        <w:rPr>
          <w:rFonts w:eastAsia="宋体"/>
          <w:sz w:val="24"/>
        </w:rPr>
        <w:t>评标委员会比较各投标人的投标总报价和分项报价，如发现投标人的报价明显低于其他投标报价，投标人应作出书面说明并提供相关证明材料。投标人不能合理说明或者不能提供相关证明材料的，由评标委员会认定该投标人以低于成本价投标，其投标作废标处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3.1</w:t>
      </w:r>
      <w:r>
        <w:rPr>
          <w:rFonts w:ascii="Times New Roman" w:hAnsi="Times New Roman" w:cs="Times New Roman"/>
          <w:bCs/>
          <w:sz w:val="24"/>
          <w:szCs w:val="24"/>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4.</w:t>
      </w:r>
      <w:r>
        <w:rPr>
          <w:rFonts w:ascii="Times New Roman" w:hAnsi="Times New Roman" w:cs="Times New Roman"/>
          <w:bCs/>
          <w:sz w:val="24"/>
          <w:szCs w:val="24"/>
        </w:rPr>
        <w:t>磋商小组决定响应文件的响应性只根据响应文件本身的真实无误的内容，而不依据外部的证据，但响应文件有不真实不正确的内容时除外。</w:t>
      </w:r>
    </w:p>
    <w:p>
      <w:pPr>
        <w:spacing w:line="360" w:lineRule="auto"/>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八、确定成交供应商</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6</w:t>
      </w:r>
      <w:r>
        <w:rPr>
          <w:rFonts w:ascii="Times New Roman" w:hAnsi="Times New Roman" w:cs="Times New Roman"/>
          <w:bCs/>
          <w:sz w:val="24"/>
          <w:szCs w:val="24"/>
        </w:rPr>
        <w:t>.磋商小组根据综合评分情况，按照评审得分由高到低顺序推荐3名以上成交候选供应商，并编写评审报告。评审得分相同的，按照最</w:t>
      </w:r>
      <w:r>
        <w:rPr>
          <w:rFonts w:hint="eastAsia" w:ascii="Times New Roman" w:hAnsi="Times New Roman" w:cs="Times New Roman"/>
          <w:bCs/>
          <w:sz w:val="24"/>
          <w:szCs w:val="24"/>
        </w:rPr>
        <w:t>终</w:t>
      </w:r>
      <w:r>
        <w:rPr>
          <w:rFonts w:ascii="Times New Roman" w:hAnsi="Times New Roman" w:cs="Times New Roman"/>
          <w:bCs/>
          <w:sz w:val="24"/>
          <w:szCs w:val="24"/>
        </w:rPr>
        <w:t>报价由低到高的顺序推荐。评审得分且最后报价相同的，按照技术指标优劣顺序推荐。</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7</w:t>
      </w:r>
      <w:r>
        <w:rPr>
          <w:rFonts w:ascii="Times New Roman" w:hAnsi="Times New Roman" w:cs="Times New Roman"/>
          <w:bCs/>
          <w:sz w:val="24"/>
          <w:szCs w:val="24"/>
        </w:rPr>
        <w:t>.采购人从评审报告提出的成交候选供应商中，按照</w:t>
      </w:r>
      <w:r>
        <w:rPr>
          <w:rFonts w:hint="eastAsia" w:ascii="Times New Roman" w:hAnsi="Times New Roman" w:cs="Times New Roman"/>
          <w:bCs/>
          <w:sz w:val="24"/>
          <w:szCs w:val="24"/>
        </w:rPr>
        <w:t>实质上响应磋商文件要求且排名第一的</w:t>
      </w:r>
      <w:r>
        <w:rPr>
          <w:rFonts w:ascii="Times New Roman" w:hAnsi="Times New Roman" w:cs="Times New Roman"/>
          <w:bCs/>
          <w:sz w:val="24"/>
          <w:szCs w:val="24"/>
        </w:rPr>
        <w:t>原则确定成交供应商。</w:t>
      </w:r>
    </w:p>
    <w:p>
      <w:pPr>
        <w:spacing w:line="360" w:lineRule="auto"/>
        <w:ind w:left="360" w:hanging="360" w:hangingChars="150"/>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九、成交公告和质疑</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8</w:t>
      </w:r>
      <w:r>
        <w:rPr>
          <w:rFonts w:ascii="Times New Roman" w:hAnsi="Times New Roman" w:cs="Times New Roman"/>
          <w:bCs/>
          <w:sz w:val="24"/>
          <w:szCs w:val="24"/>
        </w:rPr>
        <w:t>.</w:t>
      </w:r>
      <w:r>
        <w:rPr>
          <w:rFonts w:hint="eastAsia" w:ascii="Times New Roman" w:hAnsi="Times New Roman" w:cs="Times New Roman"/>
          <w:bCs/>
          <w:sz w:val="24"/>
          <w:szCs w:val="24"/>
        </w:rPr>
        <w:t>采购代理机构</w:t>
      </w:r>
      <w:r>
        <w:rPr>
          <w:rFonts w:ascii="Times New Roman" w:hAnsi="Times New Roman" w:cs="Times New Roman"/>
          <w:bCs/>
          <w:sz w:val="24"/>
          <w:szCs w:val="24"/>
        </w:rPr>
        <w:t>在成交供应商确定后，在财政部门指定的媒体上公告成交结果，同时向成交供应商发出成交通知书。公告期为一个工作日。</w:t>
      </w:r>
    </w:p>
    <w:p>
      <w:pPr>
        <w:spacing w:line="360" w:lineRule="auto"/>
        <w:ind w:left="360" w:hanging="360" w:hangingChars="150"/>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9</w:t>
      </w:r>
      <w:r>
        <w:rPr>
          <w:rFonts w:ascii="Times New Roman" w:hAnsi="Times New Roman" w:cs="Times New Roman"/>
          <w:bCs/>
          <w:sz w:val="24"/>
          <w:szCs w:val="24"/>
        </w:rPr>
        <w:t>.相关供应商对成交结果、磋商过程有询问或质疑的，可在公告期届满之日起七个工作日内，依据政府采购相关规定，向</w:t>
      </w:r>
      <w:r>
        <w:rPr>
          <w:rFonts w:hint="eastAsia" w:ascii="Times New Roman" w:hAnsi="Times New Roman" w:cs="Times New Roman"/>
          <w:bCs/>
          <w:sz w:val="24"/>
          <w:szCs w:val="24"/>
        </w:rPr>
        <w:t>采购人或采购代理机构</w:t>
      </w:r>
      <w:r>
        <w:rPr>
          <w:rFonts w:ascii="Times New Roman" w:hAnsi="Times New Roman" w:cs="Times New Roman"/>
          <w:bCs/>
          <w:sz w:val="24"/>
          <w:szCs w:val="24"/>
        </w:rPr>
        <w:t>提出询问或质疑，</w:t>
      </w:r>
      <w:r>
        <w:rPr>
          <w:rFonts w:hint="eastAsia" w:ascii="Times New Roman" w:hAnsi="Times New Roman" w:cs="Times New Roman"/>
          <w:bCs/>
          <w:sz w:val="24"/>
          <w:szCs w:val="24"/>
        </w:rPr>
        <w:t>采购人或采购代理机构</w:t>
      </w:r>
      <w:r>
        <w:rPr>
          <w:rFonts w:ascii="Times New Roman" w:hAnsi="Times New Roman" w:cs="Times New Roman"/>
          <w:bCs/>
          <w:sz w:val="24"/>
          <w:szCs w:val="24"/>
        </w:rPr>
        <w:t>将按政府采购询问或质疑程序处理。质疑书应当包括下列主要内容：</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29.1</w:t>
      </w:r>
      <w:r>
        <w:rPr>
          <w:rFonts w:ascii="Times New Roman" w:hAnsi="Times New Roman" w:cs="Times New Roman"/>
          <w:sz w:val="24"/>
          <w:szCs w:val="24"/>
        </w:rPr>
        <w:t>质疑人的名称、地址、电话及联系人（法人或负责人授权代表）等；</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2质疑人法人（负责人）签章和单位公章；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3具体的质疑事项及事实依据；</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4明确的请求和必要的证明材料；</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5以联合体形式参与磋商的，则必须联合体各方共同签署、盖章；</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29.</w:t>
      </w:r>
      <w:r>
        <w:rPr>
          <w:rFonts w:ascii="Times New Roman" w:hAnsi="Times New Roman" w:cs="Times New Roman"/>
          <w:sz w:val="24"/>
          <w:szCs w:val="24"/>
        </w:rPr>
        <w:t>6提起质疑的日期。</w:t>
      </w:r>
    </w:p>
    <w:p>
      <w:pPr>
        <w:spacing w:line="360" w:lineRule="auto"/>
        <w:rPr>
          <w:rFonts w:ascii="Times New Roman" w:hAnsi="Times New Roman" w:eastAsia="黑体"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十、签订合同</w:t>
      </w:r>
    </w:p>
    <w:p>
      <w:pPr>
        <w:adjustRightInd w:val="0"/>
        <w:snapToGrid w:val="0"/>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30</w:t>
      </w:r>
      <w:r>
        <w:rPr>
          <w:rFonts w:ascii="Times New Roman" w:hAnsi="Times New Roman" w:cs="Times New Roman"/>
          <w:bCs/>
          <w:sz w:val="24"/>
          <w:szCs w:val="24"/>
        </w:rPr>
        <w:t>.成交供应商在收到成交通知书后，三十日内与采购人签订供货（服务）合同。</w:t>
      </w:r>
    </w:p>
    <w:p>
      <w:pPr>
        <w:spacing w:line="360" w:lineRule="auto"/>
        <w:rPr>
          <w:rFonts w:ascii="Times New Roman" w:hAnsi="Times New Roman" w:cs="Times New Roman"/>
          <w:sz w:val="24"/>
          <w:szCs w:val="24"/>
        </w:rPr>
      </w:pPr>
    </w:p>
    <w:p>
      <w:pPr>
        <w:spacing w:line="360" w:lineRule="auto"/>
        <w:rPr>
          <w:rFonts w:ascii="Times New Roman" w:hAnsi="Times New Roman" w:eastAsia="黑体" w:cs="Times New Roman"/>
          <w:sz w:val="24"/>
          <w:szCs w:val="24"/>
        </w:rPr>
      </w:pPr>
      <w:r>
        <w:rPr>
          <w:rFonts w:ascii="Times New Roman" w:hAnsi="Times New Roman" w:eastAsia="黑体" w:cs="Times New Roman"/>
          <w:sz w:val="24"/>
          <w:szCs w:val="24"/>
        </w:rPr>
        <w:t>十一、付款方式</w:t>
      </w:r>
    </w:p>
    <w:p>
      <w:pPr>
        <w:adjustRightInd w:val="0"/>
        <w:snapToGrid w:val="0"/>
        <w:spacing w:line="360" w:lineRule="auto"/>
        <w:ind w:left="360" w:hanging="360" w:hangingChars="150"/>
        <w:rPr>
          <w:rFonts w:ascii="Times New Roman" w:hAnsi="Times New Roman" w:cs="Times New Roman"/>
          <w:bCs/>
          <w:sz w:val="24"/>
          <w:szCs w:val="24"/>
        </w:rPr>
      </w:pPr>
      <w:r>
        <w:rPr>
          <w:rFonts w:hint="eastAsia" w:ascii="Times New Roman" w:hAnsi="Times New Roman" w:cs="Times New Roman"/>
          <w:bCs/>
          <w:sz w:val="24"/>
          <w:szCs w:val="24"/>
        </w:rPr>
        <w:t>31</w:t>
      </w:r>
      <w:r>
        <w:rPr>
          <w:rFonts w:ascii="Times New Roman" w:hAnsi="Times New Roman" w:cs="Times New Roman"/>
          <w:bCs/>
          <w:sz w:val="24"/>
          <w:szCs w:val="24"/>
        </w:rPr>
        <w:t>.货物（服务）交付验收合格后，采购人办理相应金额的支付手续。</w:t>
      </w:r>
    </w:p>
    <w:p>
      <w:pPr>
        <w:spacing w:line="360" w:lineRule="auto"/>
        <w:rPr>
          <w:rFonts w:ascii="Times New Roman" w:hAnsi="Times New Roman" w:cs="Times New Roman"/>
          <w:bCs/>
          <w:sz w:val="24"/>
          <w:szCs w:val="24"/>
        </w:rPr>
      </w:pPr>
    </w:p>
    <w:p>
      <w:pPr>
        <w:spacing w:line="360" w:lineRule="auto"/>
        <w:rPr>
          <w:rFonts w:ascii="Times New Roman" w:hAnsi="Times New Roman" w:eastAsia="黑体" w:cs="Times New Roman"/>
          <w:bCs/>
          <w:sz w:val="24"/>
          <w:szCs w:val="24"/>
        </w:rPr>
      </w:pPr>
      <w:r>
        <w:rPr>
          <w:rFonts w:ascii="Times New Roman" w:hAnsi="Times New Roman" w:eastAsia="黑体" w:cs="Times New Roman"/>
          <w:bCs/>
          <w:sz w:val="24"/>
          <w:szCs w:val="24"/>
        </w:rPr>
        <w:t>十二、适用法律</w:t>
      </w:r>
    </w:p>
    <w:p>
      <w:pPr>
        <w:adjustRightInd w:val="0"/>
        <w:snapToGrid w:val="0"/>
        <w:spacing w:line="360" w:lineRule="auto"/>
        <w:ind w:left="360" w:hanging="360" w:hangingChars="150"/>
        <w:rPr>
          <w:rFonts w:ascii="Times New Roman" w:hAnsi="Times New Roman" w:cs="Times New Roman"/>
          <w:sz w:val="24"/>
          <w:szCs w:val="24"/>
        </w:rPr>
      </w:pPr>
      <w:r>
        <w:rPr>
          <w:rFonts w:hint="eastAsia" w:ascii="Times New Roman" w:hAnsi="Times New Roman" w:cs="Times New Roman"/>
          <w:bCs/>
          <w:sz w:val="24"/>
          <w:szCs w:val="24"/>
        </w:rPr>
        <w:t>32</w:t>
      </w:r>
      <w:r>
        <w:rPr>
          <w:rFonts w:ascii="Times New Roman" w:hAnsi="Times New Roman" w:cs="Times New Roman"/>
          <w:bCs/>
          <w:sz w:val="24"/>
          <w:szCs w:val="24"/>
        </w:rPr>
        <w:t>.采购当事人的一切活动均适用于《中华人民共和国政府采购法》、《中华人民共和国政府采购法实施条例》、《政府采购非招标采购方式管理办法》</w:t>
      </w:r>
      <w:r>
        <w:rPr>
          <w:rFonts w:hint="eastAsia" w:ascii="Times New Roman" w:hAnsi="Times New Roman" w:cs="Times New Roman"/>
          <w:bCs/>
          <w:sz w:val="24"/>
          <w:szCs w:val="24"/>
        </w:rPr>
        <w:t>、《政府采购竞争性磋商采购方式管理暂行办法》</w:t>
      </w:r>
      <w:r>
        <w:rPr>
          <w:rFonts w:ascii="Times New Roman" w:hAnsi="Times New Roman" w:cs="Times New Roman"/>
          <w:bCs/>
          <w:sz w:val="24"/>
          <w:szCs w:val="24"/>
        </w:rPr>
        <w:t>及相关法规。</w:t>
      </w:r>
    </w:p>
    <w:p>
      <w:pPr>
        <w:spacing w:line="360" w:lineRule="auto"/>
        <w:jc w:val="center"/>
        <w:rPr>
          <w:rFonts w:ascii="Times New Roman" w:hAnsi="Times New Roman" w:cs="Times New Roman"/>
          <w:b/>
          <w:sz w:val="24"/>
          <w:szCs w:val="24"/>
          <w:lang w:bidi="ar-EG"/>
        </w:rPr>
        <w:sectPr>
          <w:headerReference r:id="rId10" w:type="default"/>
          <w:pgSz w:w="11906" w:h="16838"/>
          <w:pgMar w:top="1440" w:right="1080" w:bottom="1440" w:left="1080" w:header="851" w:footer="992" w:gutter="0"/>
          <w:cols w:space="425" w:num="1"/>
          <w:docGrid w:type="lines" w:linePitch="312" w:charSpace="0"/>
        </w:sectPr>
      </w:pPr>
    </w:p>
    <w:p>
      <w:pPr>
        <w:adjustRightInd w:val="0"/>
        <w:snapToGrid w:val="0"/>
        <w:spacing w:line="360" w:lineRule="auto"/>
        <w:jc w:val="center"/>
        <w:outlineLvl w:val="0"/>
        <w:rPr>
          <w:rFonts w:ascii="Times New Roman" w:hAnsi="Times New Roman" w:cs="Times New Roman"/>
          <w:b/>
          <w:bCs/>
          <w:sz w:val="36"/>
          <w:szCs w:val="36"/>
        </w:rPr>
      </w:pPr>
      <w:r>
        <w:rPr>
          <w:rFonts w:ascii="Times New Roman" w:hAnsi="Times New Roman" w:cs="Times New Roman"/>
          <w:b/>
          <w:bCs/>
          <w:sz w:val="36"/>
          <w:szCs w:val="36"/>
        </w:rPr>
        <w:t>第三章</w:t>
      </w:r>
      <w:r>
        <w:rPr>
          <w:rFonts w:hint="eastAsia" w:ascii="Times New Roman" w:hAnsi="Times New Roman" w:cs="Times New Roman"/>
          <w:b/>
          <w:bCs/>
          <w:sz w:val="36"/>
          <w:szCs w:val="36"/>
        </w:rPr>
        <w:t xml:space="preserve"> </w:t>
      </w:r>
      <w:r>
        <w:rPr>
          <w:rFonts w:ascii="Times New Roman" w:hAnsi="Times New Roman" w:cs="Times New Roman"/>
          <w:b/>
          <w:bCs/>
          <w:sz w:val="36"/>
          <w:szCs w:val="36"/>
        </w:rPr>
        <w:t>采购货物</w:t>
      </w:r>
      <w:r>
        <w:rPr>
          <w:rFonts w:hint="eastAsia" w:ascii="Times New Roman" w:hAnsi="Times New Roman" w:cs="Times New Roman"/>
          <w:b/>
          <w:bCs/>
          <w:sz w:val="36"/>
          <w:szCs w:val="36"/>
        </w:rPr>
        <w:t>（服务）</w:t>
      </w:r>
      <w:r>
        <w:rPr>
          <w:rFonts w:ascii="Times New Roman" w:hAnsi="Times New Roman" w:cs="Times New Roman"/>
          <w:b/>
          <w:bCs/>
          <w:sz w:val="36"/>
          <w:szCs w:val="36"/>
        </w:rPr>
        <w:t>技术参数、规格及要求</w:t>
      </w:r>
    </w:p>
    <w:p>
      <w:pPr>
        <w:jc w:val="center"/>
        <w:rPr>
          <w:sz w:val="28"/>
        </w:rPr>
      </w:pPr>
      <w:r>
        <w:rPr>
          <w:rFonts w:hint="eastAsia"/>
          <w:b/>
          <w:bCs/>
          <w:sz w:val="28"/>
        </w:rPr>
        <w:t>采购需求</w:t>
      </w:r>
    </w:p>
    <w:p>
      <w:pPr>
        <w:spacing w:line="360" w:lineRule="auto"/>
        <w:ind w:firstLine="420" w:firstLineChars="150"/>
        <w:rPr>
          <w:rFonts w:asciiTheme="majorEastAsia" w:hAnsiTheme="majorEastAsia" w:eastAsiaTheme="majorEastAsia"/>
          <w:sz w:val="28"/>
          <w:szCs w:val="28"/>
        </w:rPr>
      </w:pPr>
      <w:bookmarkStart w:id="0" w:name="_Toc203539740"/>
      <w:bookmarkStart w:id="1" w:name="_Toc203539887"/>
      <w:bookmarkStart w:id="2" w:name="_Toc203904188"/>
      <w:bookmarkStart w:id="3" w:name="_Toc202773071"/>
      <w:bookmarkStart w:id="4" w:name="_Toc202773070"/>
      <w:bookmarkStart w:id="5" w:name="_Toc277055000"/>
      <w:bookmarkStart w:id="6" w:name="_Toc277054411"/>
      <w:bookmarkStart w:id="7" w:name="_Toc277054844"/>
    </w:p>
    <w:p>
      <w:pPr>
        <w:rPr>
          <w:rFonts w:ascii="宋体" w:hAnsi="宋体"/>
          <w:bCs/>
          <w:sz w:val="24"/>
          <w:szCs w:val="24"/>
        </w:rPr>
      </w:pPr>
    </w:p>
    <w:bookmarkEnd w:id="0"/>
    <w:bookmarkEnd w:id="1"/>
    <w:bookmarkEnd w:id="2"/>
    <w:bookmarkEnd w:id="3"/>
    <w:bookmarkEnd w:id="4"/>
    <w:bookmarkEnd w:id="5"/>
    <w:bookmarkEnd w:id="6"/>
    <w:bookmarkEnd w:id="7"/>
    <w:p>
      <w:pPr>
        <w:rPr>
          <w:rFonts w:ascii="宋体" w:hAnsi="宋体" w:cs="宋体"/>
          <w:b/>
          <w:bCs/>
          <w:kern w:val="0"/>
          <w:sz w:val="24"/>
          <w:szCs w:val="24"/>
        </w:rPr>
      </w:pPr>
      <w:r>
        <w:rPr>
          <w:rFonts w:hint="eastAsia" w:ascii="宋体" w:hAnsi="宋体" w:cs="宋体"/>
          <w:b/>
          <w:bCs/>
          <w:kern w:val="0"/>
          <w:sz w:val="24"/>
          <w:szCs w:val="24"/>
        </w:rPr>
        <w:t>一、技术要求：</w:t>
      </w:r>
    </w:p>
    <w:p>
      <w:pPr>
        <w:adjustRightInd w:val="0"/>
        <w:snapToGrid w:val="0"/>
        <w:spacing w:line="300" w:lineRule="auto"/>
        <w:ind w:left="283" w:hanging="283" w:hangingChars="118"/>
        <w:rPr>
          <w:rFonts w:ascii="宋体" w:hAnsi="宋体" w:cs="黑体"/>
          <w:bCs/>
          <w:sz w:val="24"/>
          <w:szCs w:val="24"/>
        </w:rPr>
      </w:pPr>
      <w:r>
        <w:rPr>
          <w:rFonts w:hint="eastAsia" w:ascii="宋体" w:hAnsi="宋体"/>
          <w:bCs/>
          <w:sz w:val="24"/>
          <w:szCs w:val="24"/>
        </w:rPr>
        <w:t>1.编制依据：</w:t>
      </w:r>
    </w:p>
    <w:p>
      <w:pPr>
        <w:adjustRightInd w:val="0"/>
        <w:snapToGrid w:val="0"/>
        <w:spacing w:line="300" w:lineRule="auto"/>
        <w:ind w:left="283" w:hanging="283" w:hangingChars="118"/>
        <w:rPr>
          <w:rFonts w:ascii="宋体" w:hAnsi="宋体"/>
          <w:bCs/>
          <w:sz w:val="24"/>
          <w:szCs w:val="24"/>
        </w:rPr>
      </w:pPr>
      <w:r>
        <w:rPr>
          <w:rFonts w:hint="eastAsia" w:ascii="宋体" w:hAnsi="宋体"/>
          <w:bCs/>
          <w:sz w:val="24"/>
          <w:szCs w:val="24"/>
        </w:rPr>
        <w:t>符合国家、湖北省和黄石市有关法律、法规、规程、规范及标准的要求。</w:t>
      </w:r>
    </w:p>
    <w:p>
      <w:pPr>
        <w:adjustRightInd w:val="0"/>
        <w:snapToGrid w:val="0"/>
        <w:spacing w:line="300" w:lineRule="auto"/>
        <w:ind w:left="284" w:hanging="284" w:hangingChars="118"/>
        <w:rPr>
          <w:rFonts w:ascii="宋体" w:hAnsi="宋体"/>
          <w:b/>
          <w:bCs/>
          <w:sz w:val="24"/>
          <w:szCs w:val="24"/>
        </w:rPr>
      </w:pPr>
      <w:r>
        <w:rPr>
          <w:rFonts w:hint="eastAsia" w:ascii="宋体" w:hAnsi="宋体"/>
          <w:b/>
          <w:bCs/>
          <w:sz w:val="24"/>
          <w:szCs w:val="24"/>
        </w:rPr>
        <w:t>二、检测内容包括：</w:t>
      </w:r>
    </w:p>
    <w:p>
      <w:pPr>
        <w:adjustRightInd w:val="0"/>
        <w:snapToGrid w:val="0"/>
        <w:spacing w:line="300" w:lineRule="auto"/>
        <w:ind w:left="2" w:firstLine="1"/>
        <w:rPr>
          <w:rFonts w:ascii="宋体" w:hAnsi="宋体"/>
          <w:b/>
          <w:bCs/>
          <w:sz w:val="24"/>
          <w:szCs w:val="24"/>
        </w:rPr>
      </w:pPr>
      <w:r>
        <w:rPr>
          <w:rFonts w:hint="eastAsia" w:ascii="宋体" w:hAnsi="宋体"/>
          <w:b/>
          <w:bCs/>
          <w:sz w:val="24"/>
          <w:szCs w:val="24"/>
        </w:rPr>
        <w:t>1 大坝工程安全检测：</w:t>
      </w:r>
    </w:p>
    <w:p>
      <w:pPr>
        <w:adjustRightInd w:val="0"/>
        <w:snapToGrid w:val="0"/>
        <w:spacing w:line="300" w:lineRule="auto"/>
        <w:ind w:left="2" w:firstLine="1"/>
        <w:rPr>
          <w:rFonts w:ascii="宋体" w:hAnsi="宋体"/>
          <w:bCs/>
          <w:sz w:val="24"/>
          <w:szCs w:val="24"/>
        </w:rPr>
      </w:pPr>
      <w:r>
        <w:rPr>
          <w:rFonts w:hint="eastAsia" w:ascii="宋体" w:hAnsi="宋体"/>
          <w:bCs/>
          <w:sz w:val="24"/>
          <w:szCs w:val="24"/>
        </w:rPr>
        <w:t>1）大坝护坡、路面混凝土强度和厚度检测；</w:t>
      </w:r>
    </w:p>
    <w:p>
      <w:pPr>
        <w:adjustRightInd w:val="0"/>
        <w:snapToGrid w:val="0"/>
        <w:spacing w:line="300" w:lineRule="auto"/>
        <w:ind w:left="2" w:firstLine="1"/>
        <w:rPr>
          <w:rFonts w:ascii="宋体" w:hAnsi="宋体"/>
          <w:bCs/>
          <w:sz w:val="24"/>
          <w:szCs w:val="24"/>
        </w:rPr>
      </w:pPr>
      <w:r>
        <w:rPr>
          <w:rFonts w:hint="eastAsia" w:ascii="宋体" w:hAnsi="宋体"/>
          <w:bCs/>
          <w:sz w:val="24"/>
          <w:szCs w:val="24"/>
        </w:rPr>
        <w:t>2）溢洪道</w:t>
      </w:r>
      <w:r>
        <w:rPr>
          <w:rFonts w:ascii="宋体" w:hAnsi="宋体"/>
          <w:bCs/>
          <w:sz w:val="24"/>
          <w:szCs w:val="24"/>
        </w:rPr>
        <w:t>混凝土强度及碳化深度检测</w:t>
      </w:r>
      <w:r>
        <w:rPr>
          <w:rFonts w:hint="eastAsia" w:ascii="宋体" w:hAnsi="宋体"/>
          <w:bCs/>
          <w:sz w:val="24"/>
          <w:szCs w:val="24"/>
        </w:rPr>
        <w:t>；</w:t>
      </w:r>
    </w:p>
    <w:p>
      <w:pPr>
        <w:adjustRightInd w:val="0"/>
        <w:snapToGrid w:val="0"/>
        <w:spacing w:line="300" w:lineRule="auto"/>
        <w:ind w:left="2" w:firstLine="1"/>
        <w:rPr>
          <w:rFonts w:ascii="宋体" w:hAnsi="宋体"/>
          <w:bCs/>
          <w:sz w:val="24"/>
          <w:szCs w:val="24"/>
        </w:rPr>
      </w:pPr>
      <w:r>
        <w:rPr>
          <w:rFonts w:hint="eastAsia" w:ascii="宋体" w:hAnsi="宋体"/>
          <w:bCs/>
          <w:sz w:val="24"/>
          <w:szCs w:val="24"/>
        </w:rPr>
        <w:t>3）块石结构外观检查、检测；</w:t>
      </w:r>
    </w:p>
    <w:p>
      <w:pPr>
        <w:adjustRightInd w:val="0"/>
        <w:snapToGrid w:val="0"/>
        <w:spacing w:line="300" w:lineRule="auto"/>
        <w:ind w:left="2" w:firstLine="1"/>
        <w:rPr>
          <w:rFonts w:ascii="宋体" w:hAnsi="宋体"/>
          <w:bCs/>
          <w:sz w:val="24"/>
          <w:szCs w:val="24"/>
        </w:rPr>
      </w:pPr>
      <w:r>
        <w:rPr>
          <w:rFonts w:hint="eastAsia" w:ascii="宋体" w:hAnsi="宋体"/>
          <w:bCs/>
          <w:sz w:val="24"/>
          <w:szCs w:val="24"/>
        </w:rPr>
        <w:t>4）其它缺陷情况检查。</w:t>
      </w:r>
    </w:p>
    <w:p>
      <w:pPr>
        <w:adjustRightInd w:val="0"/>
        <w:snapToGrid w:val="0"/>
        <w:spacing w:line="300" w:lineRule="auto"/>
        <w:ind w:left="2" w:firstLine="1"/>
        <w:rPr>
          <w:rFonts w:ascii="宋体" w:hAnsi="宋体"/>
          <w:b/>
          <w:bCs/>
          <w:sz w:val="24"/>
          <w:szCs w:val="24"/>
        </w:rPr>
      </w:pPr>
      <w:r>
        <w:rPr>
          <w:rFonts w:hint="eastAsia" w:ascii="宋体" w:hAnsi="宋体"/>
          <w:b/>
          <w:bCs/>
          <w:sz w:val="24"/>
          <w:szCs w:val="24"/>
        </w:rPr>
        <w:t>2  输水工程安全检测：</w:t>
      </w:r>
    </w:p>
    <w:p>
      <w:pPr>
        <w:adjustRightInd w:val="0"/>
        <w:snapToGrid w:val="0"/>
        <w:spacing w:line="300" w:lineRule="auto"/>
        <w:ind w:left="2" w:firstLine="1"/>
        <w:rPr>
          <w:rFonts w:ascii="宋体" w:hAnsi="宋体"/>
          <w:bCs/>
          <w:sz w:val="24"/>
          <w:szCs w:val="24"/>
        </w:rPr>
      </w:pPr>
      <w:r>
        <w:rPr>
          <w:rFonts w:hint="eastAsia" w:ascii="宋体" w:hAnsi="宋体"/>
          <w:bCs/>
          <w:sz w:val="24"/>
          <w:szCs w:val="24"/>
        </w:rPr>
        <w:t>1）输水洞内衬质量机器人检测；</w:t>
      </w:r>
    </w:p>
    <w:p>
      <w:pPr>
        <w:adjustRightInd w:val="0"/>
        <w:snapToGrid w:val="0"/>
        <w:spacing w:line="300" w:lineRule="auto"/>
        <w:ind w:left="2" w:firstLine="1"/>
        <w:rPr>
          <w:rFonts w:ascii="宋体" w:hAnsi="宋体"/>
          <w:bCs/>
          <w:sz w:val="24"/>
          <w:szCs w:val="24"/>
        </w:rPr>
      </w:pPr>
      <w:r>
        <w:rPr>
          <w:rFonts w:hint="eastAsia" w:ascii="宋体" w:hAnsi="宋体"/>
          <w:bCs/>
          <w:sz w:val="24"/>
          <w:szCs w:val="24"/>
        </w:rPr>
        <w:t>2）建筑物混凝土外观检查、</w:t>
      </w:r>
      <w:r>
        <w:rPr>
          <w:rFonts w:ascii="宋体" w:hAnsi="宋体"/>
          <w:bCs/>
          <w:sz w:val="24"/>
          <w:szCs w:val="24"/>
        </w:rPr>
        <w:t>混凝土强度及碳化深度检测</w:t>
      </w:r>
      <w:r>
        <w:rPr>
          <w:rFonts w:hint="eastAsia" w:ascii="宋体" w:hAnsi="宋体"/>
          <w:bCs/>
          <w:sz w:val="24"/>
          <w:szCs w:val="24"/>
        </w:rPr>
        <w:t>；</w:t>
      </w:r>
    </w:p>
    <w:p>
      <w:pPr>
        <w:adjustRightInd w:val="0"/>
        <w:snapToGrid w:val="0"/>
        <w:spacing w:line="300" w:lineRule="auto"/>
        <w:ind w:left="2" w:firstLine="1"/>
        <w:rPr>
          <w:rFonts w:ascii="宋体" w:hAnsi="宋体"/>
          <w:bCs/>
          <w:sz w:val="24"/>
          <w:szCs w:val="24"/>
        </w:rPr>
      </w:pPr>
      <w:r>
        <w:rPr>
          <w:rFonts w:hint="eastAsia" w:ascii="宋体" w:hAnsi="宋体"/>
          <w:bCs/>
          <w:sz w:val="24"/>
          <w:szCs w:val="24"/>
        </w:rPr>
        <w:t>3）输水洞出口消力池混凝土外观检查、</w:t>
      </w:r>
      <w:r>
        <w:rPr>
          <w:rFonts w:ascii="宋体" w:hAnsi="宋体"/>
          <w:bCs/>
          <w:sz w:val="24"/>
          <w:szCs w:val="24"/>
        </w:rPr>
        <w:t>混凝土强度及碳化深度检测</w:t>
      </w:r>
      <w:r>
        <w:rPr>
          <w:rFonts w:hint="eastAsia" w:ascii="宋体" w:hAnsi="宋体"/>
          <w:bCs/>
          <w:sz w:val="24"/>
          <w:szCs w:val="24"/>
        </w:rPr>
        <w:t>；</w:t>
      </w:r>
    </w:p>
    <w:p>
      <w:pPr>
        <w:adjustRightInd w:val="0"/>
        <w:snapToGrid w:val="0"/>
        <w:spacing w:line="300" w:lineRule="auto"/>
        <w:ind w:left="2" w:firstLine="1"/>
        <w:rPr>
          <w:rFonts w:ascii="宋体" w:hAnsi="宋体"/>
          <w:b/>
          <w:bCs/>
          <w:sz w:val="24"/>
          <w:szCs w:val="24"/>
        </w:rPr>
      </w:pPr>
      <w:r>
        <w:rPr>
          <w:rFonts w:hint="eastAsia" w:ascii="宋体" w:hAnsi="宋体"/>
          <w:b/>
          <w:bCs/>
          <w:sz w:val="24"/>
          <w:szCs w:val="24"/>
        </w:rPr>
        <w:t>3 金属结构安全检测：</w:t>
      </w:r>
    </w:p>
    <w:p>
      <w:pPr>
        <w:adjustRightInd w:val="0"/>
        <w:snapToGrid w:val="0"/>
        <w:spacing w:line="300" w:lineRule="auto"/>
        <w:ind w:left="2" w:firstLine="1"/>
        <w:rPr>
          <w:rFonts w:ascii="宋体" w:hAnsi="宋体"/>
          <w:bCs/>
          <w:sz w:val="24"/>
          <w:szCs w:val="24"/>
        </w:rPr>
      </w:pPr>
      <w:r>
        <w:rPr>
          <w:rFonts w:ascii="宋体" w:hAnsi="宋体"/>
          <w:bCs/>
          <w:sz w:val="24"/>
          <w:szCs w:val="24"/>
        </w:rPr>
        <w:t>1）</w:t>
      </w:r>
      <w:r>
        <w:rPr>
          <w:rFonts w:hint="eastAsia" w:ascii="宋体" w:hAnsi="宋体"/>
          <w:bCs/>
          <w:sz w:val="24"/>
          <w:szCs w:val="24"/>
        </w:rPr>
        <w:t>闸门外观检测、止水及蚀余厚度检测；</w:t>
      </w:r>
    </w:p>
    <w:p>
      <w:pPr>
        <w:adjustRightInd w:val="0"/>
        <w:snapToGrid w:val="0"/>
        <w:spacing w:line="300" w:lineRule="auto"/>
        <w:ind w:left="2" w:firstLine="1"/>
        <w:rPr>
          <w:rFonts w:ascii="宋体" w:hAnsi="宋体"/>
          <w:bCs/>
          <w:sz w:val="24"/>
          <w:szCs w:val="24"/>
        </w:rPr>
      </w:pPr>
      <w:r>
        <w:rPr>
          <w:rFonts w:hint="eastAsia" w:ascii="宋体" w:hAnsi="宋体"/>
          <w:bCs/>
          <w:sz w:val="24"/>
          <w:szCs w:val="24"/>
        </w:rPr>
        <w:t>2</w:t>
      </w:r>
      <w:r>
        <w:rPr>
          <w:rFonts w:ascii="宋体" w:hAnsi="宋体"/>
          <w:bCs/>
          <w:sz w:val="24"/>
          <w:szCs w:val="24"/>
        </w:rPr>
        <w:t>）</w:t>
      </w:r>
      <w:r>
        <w:rPr>
          <w:rFonts w:hint="eastAsia" w:ascii="宋体" w:hAnsi="宋体"/>
          <w:bCs/>
          <w:sz w:val="24"/>
          <w:szCs w:val="24"/>
        </w:rPr>
        <w:t>启闭机外观检测和主要构件的尺寸及公差。</w:t>
      </w:r>
    </w:p>
    <w:p>
      <w:pPr>
        <w:adjustRightInd w:val="0"/>
        <w:snapToGrid w:val="0"/>
        <w:spacing w:line="300" w:lineRule="auto"/>
        <w:ind w:left="284" w:hanging="284" w:hangingChars="118"/>
        <w:rPr>
          <w:rFonts w:ascii="宋体" w:hAnsi="宋体"/>
          <w:b/>
          <w:bCs/>
          <w:sz w:val="24"/>
          <w:szCs w:val="24"/>
        </w:rPr>
      </w:pPr>
      <w:r>
        <w:rPr>
          <w:rFonts w:hint="eastAsia" w:ascii="宋体" w:hAnsi="宋体"/>
          <w:b/>
          <w:bCs/>
          <w:sz w:val="24"/>
          <w:szCs w:val="24"/>
        </w:rPr>
        <w:t>三、商务服务要求：</w:t>
      </w:r>
    </w:p>
    <w:p>
      <w:pPr>
        <w:rPr>
          <w:rFonts w:ascii="宋体" w:hAnsi="宋体"/>
          <w:bCs/>
          <w:sz w:val="24"/>
          <w:szCs w:val="24"/>
        </w:rPr>
      </w:pPr>
      <w:r>
        <w:rPr>
          <w:rFonts w:hint="eastAsia" w:ascii="宋体" w:hAnsi="宋体"/>
          <w:bCs/>
          <w:sz w:val="24"/>
          <w:szCs w:val="24"/>
        </w:rPr>
        <w:t>1、计划工期：30日历天</w:t>
      </w:r>
    </w:p>
    <w:p>
      <w:pPr>
        <w:rPr>
          <w:rFonts w:ascii="宋体" w:hAnsi="宋体"/>
          <w:bCs/>
          <w:sz w:val="24"/>
          <w:szCs w:val="24"/>
        </w:rPr>
      </w:pPr>
      <w:r>
        <w:rPr>
          <w:rFonts w:hint="eastAsia" w:ascii="宋体" w:hAnsi="宋体"/>
          <w:bCs/>
          <w:sz w:val="24"/>
          <w:szCs w:val="24"/>
        </w:rPr>
        <w:t>2</w:t>
      </w:r>
      <w:r>
        <w:rPr>
          <w:rFonts w:hint="eastAsia" w:ascii="宋体" w:hAnsi="宋体"/>
          <w:bCs/>
          <w:sz w:val="24"/>
          <w:szCs w:val="24"/>
          <w:highlight w:val="yellow"/>
        </w:rPr>
        <w:t>、付款方式：</w:t>
      </w:r>
      <w:r>
        <w:rPr>
          <w:rFonts w:hint="eastAsia" w:ascii="宋体" w:hAnsi="宋体"/>
          <w:bCs/>
          <w:color w:val="000000" w:themeColor="text1"/>
          <w:sz w:val="24"/>
          <w:szCs w:val="24"/>
          <w:highlight w:val="yellow"/>
        </w:rPr>
        <w:t>按报告进度进行支付。</w:t>
      </w:r>
    </w:p>
    <w:p>
      <w:pPr>
        <w:adjustRightInd w:val="0"/>
        <w:snapToGrid w:val="0"/>
        <w:spacing w:line="300" w:lineRule="auto"/>
        <w:ind w:firstLine="480" w:firstLineChars="200"/>
        <w:rPr>
          <w:rFonts w:ascii="宋体" w:hAnsi="宋体"/>
          <w:bCs/>
          <w:sz w:val="24"/>
          <w:szCs w:val="24"/>
        </w:rPr>
      </w:pPr>
    </w:p>
    <w:p>
      <w:pPr>
        <w:spacing w:line="500" w:lineRule="exact"/>
        <w:ind w:left="105" w:leftChars="50" w:firstLine="540" w:firstLineChars="225"/>
        <w:rPr>
          <w:rFonts w:ascii="宋体" w:hAnsi="宋体" w:cs="宋体"/>
          <w:bCs/>
          <w:kern w:val="0"/>
          <w:sz w:val="24"/>
          <w:szCs w:val="24"/>
        </w:rPr>
      </w:pPr>
      <w:r>
        <w:rPr>
          <w:rFonts w:ascii="宋体" w:hAnsi="宋体" w:cs="宋体"/>
          <w:bCs/>
          <w:kern w:val="0"/>
          <w:sz w:val="24"/>
          <w:szCs w:val="24"/>
        </w:rPr>
        <w:br w:type="page"/>
      </w:r>
    </w:p>
    <w:p>
      <w:pPr>
        <w:spacing w:line="360" w:lineRule="auto"/>
        <w:jc w:val="center"/>
        <w:outlineLvl w:val="0"/>
        <w:rPr>
          <w:b/>
          <w:sz w:val="32"/>
          <w:szCs w:val="32"/>
        </w:rPr>
      </w:pPr>
      <w:bookmarkStart w:id="8" w:name="_Toc459732506"/>
      <w:bookmarkStart w:id="9" w:name="_Toc13242"/>
      <w:bookmarkStart w:id="10" w:name="_Toc13926"/>
      <w:bookmarkStart w:id="11" w:name="_Toc11718"/>
      <w:bookmarkStart w:id="12" w:name="_Toc15883"/>
      <w:bookmarkStart w:id="13" w:name="_Toc11469"/>
      <w:bookmarkStart w:id="14" w:name="_Toc18981"/>
      <w:bookmarkStart w:id="15" w:name="_Toc24942"/>
      <w:r>
        <w:rPr>
          <w:rFonts w:hint="eastAsia"/>
          <w:b/>
          <w:sz w:val="32"/>
          <w:szCs w:val="32"/>
        </w:rPr>
        <w:t>第四章 评标办法（综合评分法）</w:t>
      </w:r>
      <w:bookmarkEnd w:id="8"/>
      <w:bookmarkEnd w:id="9"/>
      <w:bookmarkEnd w:id="10"/>
      <w:bookmarkEnd w:id="11"/>
      <w:bookmarkEnd w:id="12"/>
      <w:bookmarkEnd w:id="13"/>
      <w:bookmarkEnd w:id="14"/>
      <w:bookmarkEnd w:id="15"/>
    </w:p>
    <w:p>
      <w:pPr>
        <w:adjustRightInd w:val="0"/>
        <w:snapToGrid w:val="0"/>
        <w:rPr>
          <w:rFonts w:ascii="宋体" w:hAnsi="宋体"/>
          <w:bCs/>
          <w:sz w:val="24"/>
          <w:szCs w:val="24"/>
        </w:rPr>
      </w:pPr>
      <w:r>
        <w:rPr>
          <w:rFonts w:hint="eastAsia" w:ascii="宋体" w:hAnsi="宋体"/>
          <w:bCs/>
          <w:sz w:val="24"/>
          <w:szCs w:val="24"/>
        </w:rPr>
        <w:t>根据《政府采购法》的相关规定确定以下评标办法、步骤及标准</w:t>
      </w:r>
      <w:r>
        <w:rPr>
          <w:rFonts w:ascii="宋体" w:hAnsi="宋体"/>
          <w:bCs/>
          <w:sz w:val="24"/>
          <w:szCs w:val="24"/>
        </w:rPr>
        <w:t>。</w:t>
      </w:r>
    </w:p>
    <w:p>
      <w:pPr>
        <w:pStyle w:val="5"/>
        <w:rPr>
          <w:rFonts w:hAnsi="宋体"/>
          <w:sz w:val="21"/>
          <w:szCs w:val="21"/>
        </w:rPr>
      </w:pPr>
      <w:bookmarkStart w:id="16" w:name="_Toc459732507"/>
      <w:bookmarkStart w:id="17" w:name="_Toc10729"/>
      <w:bookmarkStart w:id="18" w:name="_Toc31095"/>
      <w:bookmarkStart w:id="19" w:name="_Toc17736"/>
      <w:bookmarkStart w:id="20" w:name="_Toc28405"/>
      <w:bookmarkStart w:id="21" w:name="_Toc2304"/>
      <w:bookmarkStart w:id="22" w:name="_Toc15148"/>
      <w:bookmarkStart w:id="23" w:name="_Toc21205"/>
      <w:bookmarkStart w:id="24" w:name="_Toc4869"/>
      <w:r>
        <w:rPr>
          <w:rFonts w:hint="eastAsia" w:hAnsi="宋体"/>
          <w:sz w:val="21"/>
          <w:szCs w:val="21"/>
        </w:rPr>
        <w:t>1、评标方法</w:t>
      </w:r>
      <w:bookmarkEnd w:id="16"/>
      <w:bookmarkEnd w:id="17"/>
      <w:bookmarkEnd w:id="18"/>
      <w:bookmarkEnd w:id="19"/>
      <w:bookmarkEnd w:id="20"/>
      <w:bookmarkEnd w:id="21"/>
      <w:bookmarkEnd w:id="22"/>
      <w:bookmarkEnd w:id="23"/>
      <w:bookmarkEnd w:id="24"/>
    </w:p>
    <w:p>
      <w:pPr>
        <w:widowControl/>
        <w:spacing w:line="360" w:lineRule="auto"/>
        <w:ind w:firstLine="480" w:firstLineChars="200"/>
        <w:jc w:val="left"/>
        <w:rPr>
          <w:rFonts w:hAnsi="宋体"/>
          <w:b/>
          <w:szCs w:val="21"/>
        </w:rPr>
      </w:pPr>
      <w:r>
        <w:rPr>
          <w:rFonts w:hint="eastAsia" w:ascii="宋体" w:hAnsi="宋体"/>
          <w:bCs/>
          <w:sz w:val="24"/>
          <w:szCs w:val="24"/>
        </w:rPr>
        <w:t>本次评标采用综合评分法，是指响应文件满足磋商文件全部实质性要求且按评审因素的量化指标评审得分最高的供应商为成交候选供应商的评审方法，且价格分统一采用低价优先法计算，即满足磋商文件要求且最后报价最低的供应商的价格为磋商基准价，其价格分为满分。根据供应商递交第二章“供应商须知”第3.5项规定的相关资料，依据本章第2.1款规定的标准对响应文件进行初步评审，有一项不符合评审标准的，作废标处理。</w:t>
      </w:r>
      <w:r>
        <w:rPr>
          <w:rFonts w:hint="eastAsia" w:hAnsi="宋体"/>
          <w:b/>
          <w:szCs w:val="21"/>
        </w:rPr>
        <w:t>磋商文件能详细列明采购标的的技术、服务要求的，磋商结束后，磋商小组应当要求所有实质性响应的供应商在规定时间内提交最后报价。经磋商确定最终采购需求和提交最后报价的供应商后，由磋商小组采用本章第2.2 款规定综合评分法对提交最后报价的供应商的响应文件和最后报价进行综合评分。</w:t>
      </w:r>
      <w:r>
        <w:rPr>
          <w:rFonts w:hint="eastAsia" w:ascii="宋体" w:hAnsi="宋体"/>
          <w:bCs/>
          <w:sz w:val="24"/>
          <w:szCs w:val="24"/>
        </w:rPr>
        <w:t>评审时，磋商小组各成员应当独立对每个有效响应的文件进行评价、打分，然后汇总每个供应商每项评分因素的得分，</w:t>
      </w:r>
      <w:r>
        <w:rPr>
          <w:rFonts w:ascii="宋体" w:hAnsi="宋体"/>
          <w:bCs/>
          <w:sz w:val="24"/>
          <w:szCs w:val="24"/>
        </w:rPr>
        <w:t>评委的评分</w:t>
      </w:r>
      <w:r>
        <w:rPr>
          <w:rFonts w:hint="eastAsia" w:ascii="宋体" w:hAnsi="宋体"/>
          <w:bCs/>
          <w:sz w:val="24"/>
          <w:szCs w:val="24"/>
        </w:rPr>
        <w:t>之</w:t>
      </w:r>
      <w:r>
        <w:rPr>
          <w:rFonts w:ascii="宋体" w:hAnsi="宋体"/>
          <w:bCs/>
          <w:sz w:val="24"/>
          <w:szCs w:val="24"/>
        </w:rPr>
        <w:t>和即为该供应商的最终得分</w:t>
      </w:r>
      <w:r>
        <w:rPr>
          <w:rFonts w:hint="eastAsia" w:ascii="宋体" w:hAnsi="宋体"/>
          <w:bCs/>
          <w:sz w:val="24"/>
          <w:szCs w:val="24"/>
        </w:rPr>
        <w:t>，并按得分由高到低顺序推荐成交候选人。</w:t>
      </w:r>
      <w:r>
        <w:rPr>
          <w:rFonts w:ascii="宋体" w:hAnsi="宋体"/>
          <w:bCs/>
          <w:sz w:val="24"/>
          <w:szCs w:val="24"/>
        </w:rPr>
        <w:t>若出现两个或多个供应商最终得分相同，</w:t>
      </w:r>
      <w:r>
        <w:rPr>
          <w:rFonts w:hint="eastAsia" w:ascii="宋体" w:hAnsi="宋体"/>
          <w:bCs/>
          <w:sz w:val="24"/>
          <w:szCs w:val="24"/>
        </w:rPr>
        <w:t>则按评审后得分由高到低顺序排列。</w:t>
      </w:r>
      <w:r>
        <w:rPr>
          <w:rFonts w:hint="eastAsia" w:hAnsi="宋体"/>
          <w:b/>
          <w:szCs w:val="21"/>
        </w:rPr>
        <w:t>得分相同的，按投标报价由低到高顺序排列。得分且投标报价相同的，按技术指标优劣顺序排列。</w:t>
      </w:r>
    </w:p>
    <w:p>
      <w:pPr>
        <w:spacing w:line="360" w:lineRule="auto"/>
        <w:ind w:firstLine="480" w:firstLineChars="200"/>
        <w:rPr>
          <w:rFonts w:ascii="宋体" w:hAnsi="宋体"/>
          <w:bCs/>
          <w:sz w:val="24"/>
          <w:szCs w:val="24"/>
        </w:rPr>
      </w:pPr>
      <w:r>
        <w:rPr>
          <w:rFonts w:hint="eastAsia" w:ascii="宋体" w:hAnsi="宋体"/>
          <w:bCs/>
          <w:sz w:val="24"/>
          <w:szCs w:val="24"/>
        </w:rPr>
        <w:t>1.1 磋商原则</w:t>
      </w:r>
    </w:p>
    <w:p>
      <w:pPr>
        <w:spacing w:line="360" w:lineRule="auto"/>
        <w:ind w:firstLine="480" w:firstLineChars="200"/>
        <w:rPr>
          <w:rFonts w:ascii="宋体" w:hAnsi="宋体"/>
          <w:bCs/>
          <w:sz w:val="24"/>
          <w:szCs w:val="24"/>
        </w:rPr>
      </w:pPr>
      <w:r>
        <w:rPr>
          <w:rFonts w:hint="eastAsia" w:ascii="宋体" w:hAnsi="宋体"/>
          <w:bCs/>
          <w:sz w:val="24"/>
          <w:szCs w:val="24"/>
        </w:rPr>
        <w:t>1</w:t>
      </w:r>
      <w:r>
        <w:rPr>
          <w:rFonts w:ascii="宋体" w:hAnsi="宋体"/>
          <w:bCs/>
          <w:sz w:val="24"/>
          <w:szCs w:val="24"/>
        </w:rPr>
        <w:t>.1</w:t>
      </w:r>
      <w:r>
        <w:rPr>
          <w:rFonts w:hint="eastAsia" w:ascii="宋体" w:hAnsi="宋体"/>
          <w:bCs/>
          <w:sz w:val="24"/>
          <w:szCs w:val="24"/>
        </w:rPr>
        <w:t>.1</w:t>
      </w:r>
      <w:r>
        <w:rPr>
          <w:rFonts w:ascii="宋体" w:hAnsi="宋体"/>
          <w:bCs/>
          <w:sz w:val="24"/>
          <w:szCs w:val="24"/>
        </w:rPr>
        <w:t xml:space="preserve"> </w:t>
      </w:r>
      <w:r>
        <w:rPr>
          <w:rFonts w:hint="eastAsia" w:ascii="宋体" w:hAnsi="宋体"/>
          <w:bCs/>
          <w:sz w:val="24"/>
          <w:szCs w:val="24"/>
        </w:rPr>
        <w:t>磋商活动遵循“公平、公正、科学、择优”的原则。</w:t>
      </w:r>
    </w:p>
    <w:p>
      <w:pPr>
        <w:spacing w:line="360" w:lineRule="auto"/>
        <w:ind w:firstLine="480" w:firstLineChars="200"/>
        <w:rPr>
          <w:rFonts w:ascii="宋体" w:hAnsi="宋体"/>
          <w:bCs/>
          <w:sz w:val="24"/>
          <w:szCs w:val="24"/>
        </w:rPr>
      </w:pPr>
      <w:r>
        <w:rPr>
          <w:rFonts w:hint="eastAsia" w:ascii="宋体" w:hAnsi="宋体"/>
          <w:bCs/>
          <w:sz w:val="24"/>
          <w:szCs w:val="24"/>
        </w:rPr>
        <w:t>1.2 磋商小组</w:t>
      </w:r>
    </w:p>
    <w:p>
      <w:pPr>
        <w:spacing w:line="360" w:lineRule="auto"/>
        <w:ind w:firstLine="480" w:firstLineChars="200"/>
        <w:rPr>
          <w:rFonts w:ascii="宋体" w:hAnsi="宋体"/>
          <w:bCs/>
          <w:sz w:val="24"/>
          <w:szCs w:val="24"/>
        </w:rPr>
      </w:pPr>
      <w:r>
        <w:rPr>
          <w:rFonts w:hint="eastAsia" w:ascii="宋体" w:hAnsi="宋体"/>
          <w:bCs/>
          <w:sz w:val="24"/>
          <w:szCs w:val="24"/>
        </w:rPr>
        <w:t>1.2</w:t>
      </w:r>
      <w:r>
        <w:rPr>
          <w:rFonts w:ascii="宋体" w:hAnsi="宋体"/>
          <w:bCs/>
          <w:sz w:val="24"/>
          <w:szCs w:val="24"/>
        </w:rPr>
        <w:t>.1</w:t>
      </w:r>
      <w:r>
        <w:rPr>
          <w:rFonts w:hint="eastAsia" w:ascii="宋体" w:hAnsi="宋体"/>
          <w:bCs/>
          <w:sz w:val="24"/>
          <w:szCs w:val="24"/>
        </w:rPr>
        <w:t>磋商小组的组成：磋商小组成员由采购人代表1人和从湖北省政府采购专家库中随机抽取的评审专家2人，共3人组成。</w:t>
      </w:r>
    </w:p>
    <w:p>
      <w:pPr>
        <w:spacing w:line="360" w:lineRule="auto"/>
        <w:ind w:firstLine="480" w:firstLineChars="200"/>
        <w:rPr>
          <w:rFonts w:ascii="宋体" w:hAnsi="宋体"/>
          <w:bCs/>
          <w:sz w:val="24"/>
          <w:szCs w:val="24"/>
        </w:rPr>
      </w:pPr>
      <w:r>
        <w:rPr>
          <w:rFonts w:hint="eastAsia" w:ascii="宋体" w:hAnsi="宋体"/>
          <w:bCs/>
          <w:sz w:val="24"/>
          <w:szCs w:val="24"/>
        </w:rPr>
        <w:t>1.2</w:t>
      </w:r>
      <w:r>
        <w:rPr>
          <w:rFonts w:ascii="宋体" w:hAnsi="宋体"/>
          <w:bCs/>
          <w:sz w:val="24"/>
          <w:szCs w:val="24"/>
        </w:rPr>
        <w:t>.2</w:t>
      </w:r>
      <w:r>
        <w:rPr>
          <w:rFonts w:hint="eastAsia" w:ascii="宋体" w:hAnsi="宋体"/>
          <w:bCs/>
          <w:sz w:val="24"/>
          <w:szCs w:val="24"/>
        </w:rPr>
        <w:t>磋商小组主任：磋商小组设主任</w:t>
      </w:r>
      <w:r>
        <w:rPr>
          <w:rFonts w:ascii="宋体" w:hAnsi="宋体"/>
          <w:bCs/>
          <w:sz w:val="24"/>
          <w:szCs w:val="24"/>
        </w:rPr>
        <w:t>1</w:t>
      </w:r>
      <w:r>
        <w:rPr>
          <w:rFonts w:hint="eastAsia" w:ascii="宋体" w:hAnsi="宋体"/>
          <w:bCs/>
          <w:sz w:val="24"/>
          <w:szCs w:val="24"/>
        </w:rPr>
        <w:t>名，由磋商小组全体成员共同推选产生。磋商小组主任负责组织评标活动，与其他评委有同等表决权。磋商小组负责评标工作，并根据竞争性磋商文件的要求对响应文件进行审查、质疑、评估和比较。</w:t>
      </w:r>
    </w:p>
    <w:p>
      <w:pPr>
        <w:adjustRightInd w:val="0"/>
        <w:snapToGrid w:val="0"/>
        <w:outlineLvl w:val="1"/>
        <w:rPr>
          <w:rFonts w:ascii="宋体" w:hAnsi="宋体"/>
          <w:b/>
          <w:bCs/>
        </w:rPr>
      </w:pPr>
      <w:r>
        <w:rPr>
          <w:rFonts w:ascii="宋体" w:hAnsi="宋体"/>
          <w:b/>
          <w:szCs w:val="21"/>
        </w:rPr>
        <w:br w:type="page"/>
      </w:r>
      <w:bookmarkStart w:id="25" w:name="_Toc12526"/>
      <w:bookmarkStart w:id="26" w:name="_Toc13400"/>
      <w:r>
        <w:rPr>
          <w:rFonts w:hint="eastAsia" w:hAnsi="宋体"/>
          <w:b/>
          <w:bCs/>
          <w:szCs w:val="21"/>
        </w:rPr>
        <w:t>2、分值构成与评分标准</w:t>
      </w:r>
      <w:bookmarkEnd w:id="25"/>
      <w:bookmarkEnd w:id="26"/>
    </w:p>
    <w:p>
      <w:pPr>
        <w:adjustRightInd w:val="0"/>
        <w:snapToGrid w:val="0"/>
        <w:rPr>
          <w:b/>
          <w:sz w:val="24"/>
        </w:rPr>
      </w:pPr>
    </w:p>
    <w:tbl>
      <w:tblPr>
        <w:tblStyle w:val="14"/>
        <w:tblW w:w="94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6"/>
        <w:gridCol w:w="1888"/>
        <w:gridCol w:w="862"/>
        <w:gridCol w:w="5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blHeader/>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3"/>
              <w:snapToGrid w:val="0"/>
              <w:spacing w:before="0" w:after="0" w:line="216" w:lineRule="auto"/>
              <w:jc w:val="both"/>
              <w:rPr>
                <w:rFonts w:ascii="Times New Roman" w:hAnsi="Times New Roman"/>
                <w:sz w:val="20"/>
                <w:lang w:val="zh-CN"/>
              </w:rPr>
            </w:pPr>
            <w:bookmarkStart w:id="27" w:name="_Toc10865"/>
            <w:bookmarkStart w:id="28" w:name="_Toc19729"/>
            <w:bookmarkStart w:id="29" w:name="_Toc21532"/>
            <w:r>
              <w:rPr>
                <w:rFonts w:hint="eastAsia" w:ascii="Times New Roman" w:hAnsi="Times New Roman"/>
                <w:sz w:val="20"/>
                <w:lang w:val="zh-CN"/>
              </w:rPr>
              <w:t>项目</w:t>
            </w:r>
            <w:bookmarkEnd w:id="27"/>
            <w:bookmarkEnd w:id="28"/>
            <w:bookmarkEnd w:id="29"/>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3"/>
              <w:snapToGrid w:val="0"/>
              <w:spacing w:before="0" w:after="0" w:line="216" w:lineRule="auto"/>
              <w:rPr>
                <w:rFonts w:ascii="Times New Roman" w:hAnsi="Times New Roman"/>
                <w:sz w:val="20"/>
                <w:lang w:val="zh-CN"/>
              </w:rPr>
            </w:pPr>
            <w:bookmarkStart w:id="30" w:name="_Toc21421"/>
            <w:bookmarkStart w:id="31" w:name="_Toc25276"/>
            <w:bookmarkStart w:id="32" w:name="_Toc10892"/>
            <w:r>
              <w:rPr>
                <w:rFonts w:hint="eastAsia" w:ascii="Times New Roman" w:hAnsi="Times New Roman"/>
                <w:sz w:val="20"/>
                <w:lang w:val="zh-CN"/>
              </w:rPr>
              <w:t>评分内容</w:t>
            </w:r>
            <w:bookmarkEnd w:id="30"/>
            <w:bookmarkEnd w:id="31"/>
            <w:bookmarkEnd w:id="32"/>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3"/>
              <w:snapToGrid w:val="0"/>
              <w:spacing w:before="0" w:after="0" w:line="216" w:lineRule="auto"/>
              <w:rPr>
                <w:rFonts w:ascii="Times New Roman" w:hAnsi="Times New Roman"/>
                <w:sz w:val="20"/>
                <w:lang w:val="zh-CN"/>
              </w:rPr>
            </w:pPr>
            <w:bookmarkStart w:id="33" w:name="_Toc27453"/>
            <w:bookmarkStart w:id="34" w:name="_Toc818"/>
            <w:bookmarkStart w:id="35" w:name="_Toc4149"/>
            <w:r>
              <w:rPr>
                <w:rFonts w:hint="eastAsia" w:ascii="Times New Roman" w:hAnsi="Times New Roman"/>
                <w:sz w:val="20"/>
                <w:lang w:val="zh-CN"/>
              </w:rPr>
              <w:t>满分值</w:t>
            </w:r>
            <w:bookmarkEnd w:id="33"/>
            <w:bookmarkEnd w:id="34"/>
            <w:bookmarkEnd w:id="35"/>
          </w:p>
        </w:tc>
        <w:tc>
          <w:tcPr>
            <w:tcW w:w="5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3"/>
              <w:snapToGrid w:val="0"/>
              <w:spacing w:before="0" w:after="0" w:line="216" w:lineRule="auto"/>
              <w:jc w:val="both"/>
              <w:rPr>
                <w:rFonts w:ascii="Times New Roman" w:hAnsi="Times New Roman"/>
                <w:sz w:val="20"/>
                <w:lang w:val="zh-CN"/>
              </w:rPr>
            </w:pPr>
            <w:bookmarkStart w:id="36" w:name="_Toc11541"/>
            <w:bookmarkStart w:id="37" w:name="_Toc11723"/>
            <w:bookmarkStart w:id="38" w:name="_Toc12459"/>
            <w:r>
              <w:rPr>
                <w:rFonts w:hint="eastAsia" w:ascii="Times New Roman" w:hAnsi="Times New Roman"/>
                <w:sz w:val="20"/>
                <w:lang w:val="zh-CN"/>
              </w:rPr>
              <w:t>评分指标</w:t>
            </w:r>
            <w:bookmarkEnd w:id="36"/>
            <w:bookmarkEnd w:id="37"/>
            <w:bookmarkEnd w:id="3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6" w:hRule="atLeast"/>
          <w:tblHeader/>
          <w:jc w:val="center"/>
        </w:trPr>
        <w:tc>
          <w:tcPr>
            <w:tcW w:w="1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16" w:lineRule="auto"/>
              <w:ind w:left="-105" w:right="-105"/>
              <w:jc w:val="center"/>
              <w:rPr>
                <w:kern w:val="0"/>
                <w:sz w:val="20"/>
                <w:szCs w:val="15"/>
                <w:lang w:val="zh-CN"/>
              </w:rPr>
            </w:pPr>
            <w:r>
              <w:rPr>
                <w:rFonts w:hint="eastAsia"/>
                <w:kern w:val="0"/>
                <w:sz w:val="20"/>
                <w:szCs w:val="15"/>
                <w:lang w:val="zh-CN"/>
              </w:rPr>
              <w:t>价格部分</w:t>
            </w:r>
          </w:p>
          <w:p>
            <w:pPr>
              <w:autoSpaceDE w:val="0"/>
              <w:autoSpaceDN w:val="0"/>
              <w:adjustRightInd w:val="0"/>
              <w:snapToGrid w:val="0"/>
              <w:spacing w:line="216" w:lineRule="auto"/>
              <w:ind w:left="-105" w:right="-105"/>
              <w:jc w:val="center"/>
              <w:rPr>
                <w:kern w:val="0"/>
                <w:sz w:val="20"/>
                <w:szCs w:val="15"/>
                <w:lang w:val="zh-CN"/>
              </w:rPr>
            </w:pPr>
            <w:r>
              <w:rPr>
                <w:rFonts w:hint="eastAsia"/>
                <w:kern w:val="0"/>
                <w:sz w:val="20"/>
                <w:szCs w:val="15"/>
                <w:lang w:val="zh-CN"/>
              </w:rPr>
              <w:t>（</w:t>
            </w:r>
            <w:r>
              <w:rPr>
                <w:rFonts w:hint="eastAsia"/>
                <w:kern w:val="0"/>
                <w:sz w:val="20"/>
                <w:szCs w:val="15"/>
              </w:rPr>
              <w:t>20</w:t>
            </w:r>
            <w:r>
              <w:rPr>
                <w:rFonts w:hint="eastAsia"/>
                <w:kern w:val="0"/>
                <w:sz w:val="20"/>
                <w:szCs w:val="15"/>
                <w:lang w:val="zh-CN"/>
              </w:rPr>
              <w:t>分）</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16" w:lineRule="auto"/>
              <w:ind w:left="-50" w:right="-50"/>
              <w:jc w:val="center"/>
              <w:rPr>
                <w:kern w:val="0"/>
                <w:szCs w:val="15"/>
                <w:lang w:val="zh-CN"/>
              </w:rPr>
            </w:pPr>
            <w:r>
              <w:rPr>
                <w:rFonts w:hint="eastAsia"/>
                <w:kern w:val="0"/>
                <w:szCs w:val="15"/>
                <w:lang w:val="zh-CN"/>
              </w:rPr>
              <w:t>报价得分</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16" w:lineRule="auto"/>
              <w:ind w:left="-50" w:right="-50"/>
              <w:jc w:val="center"/>
              <w:rPr>
                <w:kern w:val="0"/>
                <w:szCs w:val="15"/>
                <w:lang w:val="zh-CN"/>
              </w:rPr>
            </w:pPr>
            <w:r>
              <w:rPr>
                <w:rFonts w:hint="eastAsia"/>
                <w:kern w:val="0"/>
                <w:szCs w:val="15"/>
              </w:rPr>
              <w:t>20</w:t>
            </w:r>
          </w:p>
        </w:tc>
        <w:tc>
          <w:tcPr>
            <w:tcW w:w="5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firstLine="315" w:firstLineChars="150"/>
              <w:rPr>
                <w:szCs w:val="15"/>
              </w:rPr>
            </w:pPr>
            <w:r>
              <w:rPr>
                <w:rFonts w:hint="eastAsia"/>
                <w:szCs w:val="15"/>
              </w:rPr>
              <w:t>报价得分统一采用合理低价优先计算（由磋商小组确定），即以满足竞争性磋商文件要求且投标文件中最终总报价最低的投标人的报价为评标基准价，其价格分为满分。其他投标人的价格分统一按照下列公式计算：磋商报价得分=（评标基准价/最后磋商报价）×价格权值（20%）×100</w:t>
            </w:r>
          </w:p>
          <w:p>
            <w:pPr>
              <w:snapToGrid w:val="0"/>
              <w:ind w:firstLine="315" w:firstLineChars="150"/>
              <w:rPr>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7" w:hRule="atLeast"/>
          <w:tblHeader/>
          <w:jc w:val="center"/>
        </w:trPr>
        <w:tc>
          <w:tcPr>
            <w:tcW w:w="1236" w:type="dxa"/>
            <w:vMerge w:val="restart"/>
            <w:tcBorders>
              <w:top w:val="single" w:color="000000" w:sz="4" w:space="0"/>
              <w:left w:val="single" w:color="000000" w:sz="4" w:space="0"/>
              <w:right w:val="single" w:color="000000" w:sz="4" w:space="0"/>
            </w:tcBorders>
            <w:shd w:val="clear" w:color="auto" w:fill="auto"/>
            <w:vAlign w:val="center"/>
          </w:tcPr>
          <w:p>
            <w:pPr>
              <w:autoSpaceDE w:val="0"/>
              <w:autoSpaceDN w:val="0"/>
              <w:adjustRightInd w:val="0"/>
              <w:snapToGrid w:val="0"/>
              <w:spacing w:line="216" w:lineRule="auto"/>
              <w:jc w:val="center"/>
              <w:rPr>
                <w:kern w:val="0"/>
                <w:sz w:val="20"/>
                <w:szCs w:val="15"/>
                <w:lang w:val="zh-CN"/>
              </w:rPr>
            </w:pPr>
            <w:r>
              <w:rPr>
                <w:rFonts w:hint="eastAsia"/>
                <w:kern w:val="0"/>
                <w:sz w:val="20"/>
                <w:szCs w:val="15"/>
                <w:lang w:val="zh-CN"/>
              </w:rPr>
              <w:t>商</w:t>
            </w:r>
          </w:p>
          <w:p>
            <w:pPr>
              <w:autoSpaceDE w:val="0"/>
              <w:autoSpaceDN w:val="0"/>
              <w:adjustRightInd w:val="0"/>
              <w:snapToGrid w:val="0"/>
              <w:spacing w:line="216" w:lineRule="auto"/>
              <w:jc w:val="center"/>
              <w:rPr>
                <w:kern w:val="0"/>
                <w:sz w:val="20"/>
                <w:szCs w:val="15"/>
                <w:lang w:val="zh-CN"/>
              </w:rPr>
            </w:pPr>
            <w:r>
              <w:rPr>
                <w:rFonts w:hint="eastAsia"/>
                <w:kern w:val="0"/>
                <w:sz w:val="20"/>
                <w:szCs w:val="15"/>
                <w:lang w:val="zh-CN"/>
              </w:rPr>
              <w:t>务</w:t>
            </w:r>
          </w:p>
          <w:p>
            <w:pPr>
              <w:autoSpaceDE w:val="0"/>
              <w:autoSpaceDN w:val="0"/>
              <w:adjustRightInd w:val="0"/>
              <w:snapToGrid w:val="0"/>
              <w:spacing w:line="216" w:lineRule="auto"/>
              <w:jc w:val="center"/>
              <w:rPr>
                <w:kern w:val="0"/>
                <w:sz w:val="20"/>
                <w:szCs w:val="15"/>
                <w:lang w:val="zh-CN"/>
              </w:rPr>
            </w:pPr>
            <w:r>
              <w:rPr>
                <w:rFonts w:hint="eastAsia"/>
                <w:kern w:val="0"/>
                <w:sz w:val="20"/>
                <w:szCs w:val="15"/>
                <w:lang w:val="zh-CN"/>
              </w:rPr>
              <w:t>部</w:t>
            </w:r>
          </w:p>
          <w:p>
            <w:pPr>
              <w:autoSpaceDE w:val="0"/>
              <w:autoSpaceDN w:val="0"/>
              <w:adjustRightInd w:val="0"/>
              <w:snapToGrid w:val="0"/>
              <w:spacing w:line="216" w:lineRule="auto"/>
              <w:jc w:val="center"/>
              <w:rPr>
                <w:kern w:val="0"/>
                <w:sz w:val="20"/>
                <w:szCs w:val="15"/>
                <w:lang w:val="zh-CN"/>
              </w:rPr>
            </w:pPr>
            <w:r>
              <w:rPr>
                <w:rFonts w:hint="eastAsia"/>
                <w:kern w:val="0"/>
                <w:sz w:val="20"/>
                <w:szCs w:val="15"/>
                <w:lang w:val="zh-CN"/>
              </w:rPr>
              <w:t>分</w:t>
            </w:r>
          </w:p>
          <w:p>
            <w:pPr>
              <w:snapToGrid w:val="0"/>
              <w:jc w:val="center"/>
              <w:rPr>
                <w:kern w:val="0"/>
                <w:sz w:val="20"/>
                <w:szCs w:val="15"/>
                <w:lang w:val="zh-CN"/>
              </w:rPr>
            </w:pPr>
            <w:r>
              <w:rPr>
                <w:rFonts w:hint="eastAsia"/>
                <w:kern w:val="0"/>
                <w:sz w:val="20"/>
                <w:szCs w:val="15"/>
              </w:rPr>
              <w:t>（40</w:t>
            </w:r>
            <w:r>
              <w:rPr>
                <w:rFonts w:hint="eastAsia"/>
                <w:kern w:val="0"/>
                <w:sz w:val="20"/>
                <w:szCs w:val="15"/>
                <w:lang w:val="zh-CN"/>
              </w:rPr>
              <w:t>分）</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16" w:lineRule="auto"/>
              <w:jc w:val="center"/>
              <w:rPr>
                <w:kern w:val="0"/>
                <w:szCs w:val="15"/>
              </w:rPr>
            </w:pPr>
            <w:r>
              <w:rPr>
                <w:rFonts w:hint="eastAsia"/>
                <w:kern w:val="0"/>
                <w:szCs w:val="15"/>
                <w:lang w:val="zh-CN"/>
              </w:rPr>
              <w:t>项目负责人的资格</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16" w:lineRule="auto"/>
              <w:jc w:val="center"/>
              <w:rPr>
                <w:kern w:val="0"/>
                <w:szCs w:val="15"/>
              </w:rPr>
            </w:pPr>
            <w:r>
              <w:rPr>
                <w:rFonts w:hint="eastAsia"/>
                <w:kern w:val="0"/>
                <w:szCs w:val="15"/>
              </w:rPr>
              <w:t>3</w:t>
            </w:r>
          </w:p>
        </w:tc>
        <w:tc>
          <w:tcPr>
            <w:tcW w:w="5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ind w:firstLine="420" w:firstLineChars="200"/>
              <w:rPr>
                <w:kern w:val="0"/>
                <w:szCs w:val="15"/>
                <w:lang w:val="zh-CN"/>
              </w:rPr>
            </w:pPr>
            <w:r>
              <w:rPr>
                <w:rFonts w:hint="eastAsia"/>
                <w:kern w:val="0"/>
                <w:szCs w:val="15"/>
                <w:lang w:val="zh-CN"/>
              </w:rPr>
              <w:t>项目负责人具有水利工程类中级级及以上职称和水利工程质量检测员证书，且拥有水利工程混凝土工程、岩土工程及金属结构类别质量检测员资格证书二项及以上的得3分，否则不得分。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4" w:hRule="atLeast"/>
          <w:tblHeader/>
          <w:jc w:val="center"/>
        </w:trPr>
        <w:tc>
          <w:tcPr>
            <w:tcW w:w="1236" w:type="dxa"/>
            <w:vMerge w:val="continue"/>
            <w:tcBorders>
              <w:left w:val="single" w:color="000000" w:sz="4" w:space="0"/>
              <w:right w:val="single" w:color="000000" w:sz="4" w:space="0"/>
            </w:tcBorders>
            <w:shd w:val="clear" w:color="auto" w:fill="auto"/>
            <w:vAlign w:val="center"/>
          </w:tcPr>
          <w:p>
            <w:pPr>
              <w:widowControl/>
              <w:jc w:val="center"/>
              <w:rPr>
                <w:kern w:val="0"/>
                <w:sz w:val="20"/>
                <w:szCs w:val="15"/>
                <w:lang w:val="zh-CN"/>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16" w:lineRule="auto"/>
              <w:jc w:val="center"/>
              <w:rPr>
                <w:kern w:val="0"/>
                <w:szCs w:val="15"/>
              </w:rPr>
            </w:pPr>
            <w:r>
              <w:rPr>
                <w:rFonts w:hint="eastAsia"/>
                <w:kern w:val="0"/>
                <w:szCs w:val="15"/>
                <w:lang w:val="zh-CN"/>
              </w:rPr>
              <w:t>项目负责人</w:t>
            </w:r>
            <w:r>
              <w:rPr>
                <w:rFonts w:hint="eastAsia"/>
                <w:kern w:val="0"/>
                <w:szCs w:val="15"/>
              </w:rPr>
              <w:t xml:space="preserve">     </w:t>
            </w:r>
            <w:r>
              <w:rPr>
                <w:rFonts w:hint="eastAsia"/>
                <w:kern w:val="0"/>
                <w:szCs w:val="15"/>
                <w:lang w:val="zh-CN"/>
              </w:rPr>
              <w:t>工作经验</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16" w:lineRule="auto"/>
              <w:jc w:val="center"/>
              <w:rPr>
                <w:kern w:val="0"/>
                <w:szCs w:val="15"/>
              </w:rPr>
            </w:pPr>
            <w:r>
              <w:rPr>
                <w:rFonts w:hint="eastAsia"/>
                <w:kern w:val="0"/>
                <w:szCs w:val="15"/>
              </w:rPr>
              <w:t>6</w:t>
            </w:r>
          </w:p>
        </w:tc>
        <w:tc>
          <w:tcPr>
            <w:tcW w:w="5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rPr>
                <w:rStyle w:val="45"/>
                <w:szCs w:val="15"/>
              </w:rPr>
            </w:pPr>
          </w:p>
          <w:p>
            <w:pPr>
              <w:autoSpaceDE w:val="0"/>
              <w:autoSpaceDN w:val="0"/>
              <w:adjustRightInd w:val="0"/>
              <w:snapToGrid w:val="0"/>
              <w:rPr>
                <w:rStyle w:val="45"/>
                <w:szCs w:val="15"/>
              </w:rPr>
            </w:pPr>
            <w:r>
              <w:rPr>
                <w:rStyle w:val="45"/>
                <w:rFonts w:hint="eastAsia"/>
                <w:szCs w:val="15"/>
              </w:rPr>
              <w:t>①近三年（从投标截止时间往前推算，下同）担任过类似</w:t>
            </w:r>
            <w:r>
              <w:rPr>
                <w:rStyle w:val="45"/>
                <w:rFonts w:hint="eastAsia"/>
                <w:b/>
                <w:szCs w:val="15"/>
              </w:rPr>
              <w:t>工程质量检测机构</w:t>
            </w:r>
            <w:r>
              <w:rPr>
                <w:rStyle w:val="45"/>
                <w:rFonts w:hint="eastAsia"/>
                <w:szCs w:val="15"/>
              </w:rPr>
              <w:t>项目负责人且有业主对其胜任工作评价的，每个项目得2分，最多得6分；</w:t>
            </w:r>
          </w:p>
          <w:p>
            <w:pPr>
              <w:autoSpaceDE w:val="0"/>
              <w:autoSpaceDN w:val="0"/>
              <w:adjustRightInd w:val="0"/>
              <w:snapToGrid w:val="0"/>
              <w:rPr>
                <w:rStyle w:val="45"/>
                <w:szCs w:val="15"/>
              </w:rPr>
            </w:pPr>
            <w:r>
              <w:rPr>
                <w:rStyle w:val="45"/>
                <w:rFonts w:hint="eastAsia"/>
                <w:szCs w:val="15"/>
              </w:rPr>
              <w:t>②近三年（从投标截止时间往前推算，下同）担任过其他</w:t>
            </w:r>
            <w:r>
              <w:rPr>
                <w:rStyle w:val="45"/>
                <w:rFonts w:hint="eastAsia"/>
                <w:b/>
                <w:szCs w:val="15"/>
              </w:rPr>
              <w:t>水利水电工程质量检测机构</w:t>
            </w:r>
            <w:r>
              <w:rPr>
                <w:rStyle w:val="45"/>
                <w:rFonts w:hint="eastAsia"/>
                <w:szCs w:val="15"/>
              </w:rPr>
              <w:t>项目负责人且有业主对其胜任工作评价的，每个项目得1分，最多得3分；</w:t>
            </w:r>
          </w:p>
          <w:p>
            <w:pPr>
              <w:autoSpaceDE w:val="0"/>
              <w:autoSpaceDN w:val="0"/>
              <w:adjustRightInd w:val="0"/>
              <w:snapToGrid w:val="0"/>
              <w:rPr>
                <w:rStyle w:val="45"/>
                <w:szCs w:val="15"/>
              </w:rPr>
            </w:pPr>
            <w:r>
              <w:rPr>
                <w:rStyle w:val="45"/>
                <w:rFonts w:hint="eastAsia"/>
                <w:szCs w:val="15"/>
              </w:rPr>
              <w:t>③近三年没有担任过水利水电工程质量检测机构项目负责人的得0分。（注：类似工程指水利水电工程安全检测、安全鉴定、安全评价等）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7" w:hRule="atLeast"/>
          <w:tblHeader/>
          <w:jc w:val="center"/>
        </w:trPr>
        <w:tc>
          <w:tcPr>
            <w:tcW w:w="1236" w:type="dxa"/>
            <w:vMerge w:val="continue"/>
            <w:tcBorders>
              <w:left w:val="single" w:color="000000" w:sz="4" w:space="0"/>
              <w:right w:val="single" w:color="000000" w:sz="4" w:space="0"/>
            </w:tcBorders>
            <w:shd w:val="clear" w:color="auto" w:fill="auto"/>
            <w:vAlign w:val="center"/>
          </w:tcPr>
          <w:p>
            <w:pPr>
              <w:widowControl/>
              <w:jc w:val="center"/>
              <w:rPr>
                <w:kern w:val="0"/>
                <w:sz w:val="20"/>
                <w:szCs w:val="15"/>
                <w:lang w:val="zh-CN"/>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16" w:lineRule="auto"/>
              <w:jc w:val="center"/>
              <w:rPr>
                <w:kern w:val="0"/>
                <w:szCs w:val="15"/>
                <w:lang w:val="zh-CN"/>
              </w:rPr>
            </w:pPr>
            <w:r>
              <w:rPr>
                <w:rFonts w:hint="eastAsia"/>
                <w:kern w:val="0"/>
                <w:szCs w:val="15"/>
                <w:lang w:val="zh-CN"/>
              </w:rPr>
              <w:t>检测机构技术负责人的资格</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16" w:lineRule="auto"/>
              <w:jc w:val="center"/>
              <w:rPr>
                <w:kern w:val="0"/>
                <w:szCs w:val="15"/>
              </w:rPr>
            </w:pPr>
            <w:r>
              <w:rPr>
                <w:rFonts w:hint="eastAsia"/>
                <w:kern w:val="0"/>
                <w:szCs w:val="15"/>
              </w:rPr>
              <w:t>4</w:t>
            </w:r>
          </w:p>
        </w:tc>
        <w:tc>
          <w:tcPr>
            <w:tcW w:w="5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rPr>
                <w:kern w:val="0"/>
                <w:szCs w:val="15"/>
                <w:lang w:val="zh-CN"/>
              </w:rPr>
            </w:pPr>
          </w:p>
          <w:p>
            <w:pPr>
              <w:autoSpaceDE w:val="0"/>
              <w:autoSpaceDN w:val="0"/>
              <w:adjustRightInd w:val="0"/>
              <w:snapToGrid w:val="0"/>
              <w:rPr>
                <w:kern w:val="0"/>
                <w:szCs w:val="15"/>
                <w:lang w:val="zh-CN"/>
              </w:rPr>
            </w:pPr>
            <w:r>
              <w:rPr>
                <w:rFonts w:hint="eastAsia"/>
                <w:kern w:val="0"/>
                <w:szCs w:val="15"/>
                <w:lang w:val="zh-CN"/>
              </w:rPr>
              <w:t>①具有工程类高级及以上技术职称和水利工程质量检测员证书，且拥有水利工程混凝土工程、岩土工程及金属结构类别质量检测员资格证书二项及以上的得4分；</w:t>
            </w:r>
          </w:p>
          <w:p>
            <w:pPr>
              <w:autoSpaceDE w:val="0"/>
              <w:autoSpaceDN w:val="0"/>
              <w:adjustRightInd w:val="0"/>
              <w:snapToGrid w:val="0"/>
              <w:rPr>
                <w:kern w:val="0"/>
                <w:szCs w:val="15"/>
                <w:lang w:val="zh-CN"/>
              </w:rPr>
            </w:pPr>
            <w:r>
              <w:rPr>
                <w:rFonts w:hint="eastAsia"/>
                <w:kern w:val="0"/>
                <w:szCs w:val="15"/>
                <w:lang w:val="zh-CN"/>
              </w:rPr>
              <w:t>②具有工程类中级技术职称和水利工程质量检测员证书，且拥有水利工程混凝土工程、岩土工程及金属结构类别质量检测员资格证书二项及以上的得2分。</w:t>
            </w:r>
          </w:p>
          <w:p>
            <w:pPr>
              <w:autoSpaceDE w:val="0"/>
              <w:autoSpaceDN w:val="0"/>
              <w:adjustRightInd w:val="0"/>
              <w:snapToGrid w:val="0"/>
              <w:rPr>
                <w:kern w:val="0"/>
                <w:szCs w:val="15"/>
                <w:lang w:val="zh-CN"/>
              </w:rPr>
            </w:pPr>
            <w:r>
              <w:rPr>
                <w:rStyle w:val="45"/>
                <w:rFonts w:hint="eastAsia"/>
                <w:szCs w:val="15"/>
              </w:rPr>
              <w:t>③其他情况得0分。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blHeader/>
          <w:jc w:val="center"/>
        </w:trPr>
        <w:tc>
          <w:tcPr>
            <w:tcW w:w="1236" w:type="dxa"/>
            <w:vMerge w:val="continue"/>
            <w:tcBorders>
              <w:left w:val="single" w:color="000000" w:sz="4" w:space="0"/>
              <w:right w:val="single" w:color="000000" w:sz="4" w:space="0"/>
            </w:tcBorders>
            <w:shd w:val="clear" w:color="auto" w:fill="auto"/>
            <w:vAlign w:val="center"/>
          </w:tcPr>
          <w:p>
            <w:pPr>
              <w:widowControl/>
              <w:jc w:val="center"/>
              <w:rPr>
                <w:kern w:val="0"/>
                <w:sz w:val="20"/>
                <w:szCs w:val="15"/>
                <w:lang w:val="zh-CN"/>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16" w:lineRule="auto"/>
              <w:jc w:val="center"/>
              <w:rPr>
                <w:kern w:val="0"/>
                <w:szCs w:val="15"/>
                <w:lang w:val="zh-CN"/>
              </w:rPr>
            </w:pPr>
            <w:r>
              <w:rPr>
                <w:rFonts w:hint="eastAsia"/>
                <w:kern w:val="0"/>
                <w:szCs w:val="15"/>
                <w:lang w:val="zh-CN"/>
              </w:rPr>
              <w:t>检测人员配置</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16" w:lineRule="auto"/>
              <w:jc w:val="center"/>
              <w:rPr>
                <w:kern w:val="0"/>
                <w:szCs w:val="15"/>
              </w:rPr>
            </w:pPr>
            <w:r>
              <w:rPr>
                <w:rFonts w:hint="eastAsia"/>
                <w:kern w:val="0"/>
                <w:szCs w:val="15"/>
              </w:rPr>
              <w:t>4</w:t>
            </w:r>
          </w:p>
        </w:tc>
        <w:tc>
          <w:tcPr>
            <w:tcW w:w="5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300" w:lineRule="auto"/>
              <w:rPr>
                <w:rStyle w:val="45"/>
                <w:rFonts w:ascii="宋体" w:cs="宋体"/>
              </w:rPr>
            </w:pPr>
            <w:r>
              <w:rPr>
                <w:rFonts w:ascii="宋体" w:cs="宋体"/>
              </w:rPr>
              <w:t>现场检测人员（除项目负责人和技术负责人之外）专业（岩土工程、混凝土工程、金属结构）配置齐全的得4分，否则得</w:t>
            </w:r>
            <w:r>
              <w:rPr>
                <w:rFonts w:hint="eastAsia" w:ascii="宋体" w:cs="宋体"/>
              </w:rPr>
              <w:t>2</w:t>
            </w:r>
            <w:r>
              <w:rPr>
                <w:rFonts w:ascii="宋体" w:cs="宋体"/>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tblHeader/>
          <w:jc w:val="center"/>
        </w:trPr>
        <w:tc>
          <w:tcPr>
            <w:tcW w:w="1236" w:type="dxa"/>
            <w:vMerge w:val="continue"/>
            <w:tcBorders>
              <w:left w:val="single" w:color="000000" w:sz="4" w:space="0"/>
              <w:right w:val="single" w:color="000000" w:sz="4" w:space="0"/>
            </w:tcBorders>
            <w:shd w:val="clear" w:color="auto" w:fill="auto"/>
            <w:vAlign w:val="center"/>
          </w:tcPr>
          <w:p>
            <w:pPr>
              <w:widowControl/>
              <w:jc w:val="center"/>
              <w:rPr>
                <w:kern w:val="0"/>
                <w:sz w:val="20"/>
                <w:szCs w:val="15"/>
                <w:lang w:val="zh-CN"/>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16" w:lineRule="auto"/>
              <w:jc w:val="center"/>
              <w:rPr>
                <w:kern w:val="0"/>
                <w:szCs w:val="15"/>
                <w:lang w:val="zh-CN"/>
              </w:rPr>
            </w:pPr>
            <w:r>
              <w:rPr>
                <w:rFonts w:hint="eastAsia"/>
                <w:kern w:val="0"/>
                <w:szCs w:val="15"/>
                <w:lang w:val="zh-CN"/>
              </w:rPr>
              <w:t>类似业绩</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napToGrid w:val="0"/>
              <w:spacing w:line="216" w:lineRule="auto"/>
              <w:jc w:val="center"/>
              <w:rPr>
                <w:kern w:val="0"/>
                <w:szCs w:val="15"/>
              </w:rPr>
            </w:pPr>
            <w:r>
              <w:rPr>
                <w:rFonts w:hint="eastAsia"/>
                <w:kern w:val="0"/>
                <w:szCs w:val="15"/>
              </w:rPr>
              <w:t>12</w:t>
            </w:r>
          </w:p>
        </w:tc>
        <w:tc>
          <w:tcPr>
            <w:tcW w:w="548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napToGrid w:val="0"/>
              <w:rPr>
                <w:rStyle w:val="45"/>
                <w:szCs w:val="15"/>
              </w:rPr>
            </w:pPr>
          </w:p>
          <w:p>
            <w:pPr>
              <w:autoSpaceDE w:val="0"/>
              <w:autoSpaceDN w:val="0"/>
              <w:adjustRightInd w:val="0"/>
              <w:snapToGrid w:val="0"/>
              <w:ind w:firstLine="420" w:firstLineChars="200"/>
              <w:rPr>
                <w:rStyle w:val="45"/>
                <w:szCs w:val="15"/>
              </w:rPr>
            </w:pPr>
            <w:r>
              <w:rPr>
                <w:rFonts w:hint="eastAsia" w:ascii="宋体" w:cs="宋体"/>
                <w:lang w:val="zh-CN"/>
              </w:rPr>
              <w:t>①</w:t>
            </w:r>
            <w:r>
              <w:rPr>
                <w:rStyle w:val="45"/>
                <w:rFonts w:hint="eastAsia"/>
                <w:szCs w:val="15"/>
              </w:rPr>
              <w:t>近三年承接过类似工程安全鉴定业务的，每一项（单个合同）得2分，最多得10分；</w:t>
            </w:r>
          </w:p>
          <w:p>
            <w:pPr>
              <w:autoSpaceDE w:val="0"/>
              <w:autoSpaceDN w:val="0"/>
              <w:adjustRightInd w:val="0"/>
              <w:snapToGrid w:val="0"/>
              <w:ind w:firstLine="420" w:firstLineChars="200"/>
              <w:rPr>
                <w:rStyle w:val="45"/>
                <w:szCs w:val="15"/>
              </w:rPr>
            </w:pPr>
            <w:r>
              <w:rPr>
                <w:rFonts w:hint="eastAsia" w:ascii="宋体" w:cs="宋体"/>
                <w:lang w:val="zh-CN"/>
              </w:rPr>
              <w:t>②</w:t>
            </w:r>
            <w:r>
              <w:rPr>
                <w:rStyle w:val="45"/>
                <w:rFonts w:hint="eastAsia"/>
                <w:szCs w:val="15"/>
              </w:rPr>
              <w:t>近三年承接过其它水利工程质量检测业务的，每一项（单个合同）得1分，最多得2分。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2" w:hRule="atLeast"/>
          <w:tblHeader/>
          <w:jc w:val="center"/>
        </w:trPr>
        <w:tc>
          <w:tcPr>
            <w:tcW w:w="1236" w:type="dxa"/>
            <w:vMerge w:val="continue"/>
            <w:tcBorders>
              <w:left w:val="single" w:color="000000" w:sz="4" w:space="0"/>
              <w:right w:val="single" w:color="000000" w:sz="4" w:space="0"/>
            </w:tcBorders>
            <w:shd w:val="clear" w:color="auto" w:fill="auto"/>
            <w:vAlign w:val="center"/>
          </w:tcPr>
          <w:p>
            <w:pPr>
              <w:widowControl/>
              <w:jc w:val="center"/>
              <w:rPr>
                <w:kern w:val="0"/>
                <w:sz w:val="20"/>
                <w:szCs w:val="15"/>
                <w:lang w:val="zh-CN"/>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210"/>
              </w:tabs>
              <w:snapToGrid w:val="0"/>
              <w:spacing w:line="276" w:lineRule="auto"/>
              <w:jc w:val="center"/>
              <w:rPr>
                <w:rStyle w:val="45"/>
                <w:szCs w:val="15"/>
              </w:rPr>
            </w:pPr>
            <w:r>
              <w:rPr>
                <w:rStyle w:val="45"/>
                <w:szCs w:val="15"/>
              </w:rPr>
              <w:t>重合同守信用证书</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210"/>
              </w:tabs>
              <w:snapToGrid w:val="0"/>
              <w:spacing w:line="276" w:lineRule="auto"/>
              <w:jc w:val="center"/>
              <w:rPr>
                <w:rStyle w:val="45"/>
                <w:szCs w:val="15"/>
              </w:rPr>
            </w:pPr>
            <w:r>
              <w:rPr>
                <w:rStyle w:val="45"/>
                <w:szCs w:val="15"/>
              </w:rPr>
              <w:t>4</w:t>
            </w:r>
          </w:p>
        </w:tc>
        <w:tc>
          <w:tcPr>
            <w:tcW w:w="5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210"/>
              </w:tabs>
              <w:snapToGrid w:val="0"/>
              <w:spacing w:line="276" w:lineRule="auto"/>
              <w:rPr>
                <w:rStyle w:val="45"/>
                <w:szCs w:val="15"/>
              </w:rPr>
            </w:pPr>
          </w:p>
          <w:p>
            <w:pPr>
              <w:tabs>
                <w:tab w:val="left" w:pos="210"/>
              </w:tabs>
              <w:snapToGrid w:val="0"/>
              <w:spacing w:line="276" w:lineRule="auto"/>
              <w:rPr>
                <w:rStyle w:val="45"/>
                <w:szCs w:val="15"/>
              </w:rPr>
            </w:pPr>
            <w:r>
              <w:rPr>
                <w:rStyle w:val="45"/>
                <w:szCs w:val="15"/>
              </w:rPr>
              <w:t>①近三年（从投标截止日往前推算，下同）获得</w:t>
            </w:r>
            <w:r>
              <w:rPr>
                <w:rStyle w:val="45"/>
                <w:rFonts w:hint="eastAsia"/>
                <w:szCs w:val="15"/>
              </w:rPr>
              <w:t>省市场监督管理局</w:t>
            </w:r>
            <w:r>
              <w:rPr>
                <w:rStyle w:val="45"/>
                <w:szCs w:val="15"/>
              </w:rPr>
              <w:t>颁发的守合同重信用证书（且开标之日在有效期内的，下同）的得4分；</w:t>
            </w:r>
          </w:p>
          <w:p>
            <w:pPr>
              <w:tabs>
                <w:tab w:val="left" w:pos="210"/>
              </w:tabs>
              <w:snapToGrid w:val="0"/>
              <w:spacing w:line="276" w:lineRule="auto"/>
              <w:rPr>
                <w:rStyle w:val="45"/>
                <w:szCs w:val="15"/>
              </w:rPr>
            </w:pPr>
            <w:r>
              <w:rPr>
                <w:rStyle w:val="45"/>
                <w:szCs w:val="15"/>
              </w:rPr>
              <w:t>②近三年获得</w:t>
            </w:r>
            <w:r>
              <w:rPr>
                <w:rStyle w:val="45"/>
                <w:rFonts w:hint="eastAsia"/>
                <w:szCs w:val="15"/>
              </w:rPr>
              <w:t>市市场监督管理局</w:t>
            </w:r>
            <w:r>
              <w:rPr>
                <w:rStyle w:val="45"/>
                <w:szCs w:val="15"/>
              </w:rPr>
              <w:t>颁发的守合同重信用证书的得2分；</w:t>
            </w:r>
          </w:p>
          <w:p>
            <w:pPr>
              <w:tabs>
                <w:tab w:val="left" w:pos="210"/>
              </w:tabs>
              <w:snapToGrid w:val="0"/>
              <w:spacing w:line="276" w:lineRule="auto"/>
            </w:pPr>
            <w:r>
              <w:rPr>
                <w:rStyle w:val="45"/>
                <w:szCs w:val="15"/>
              </w:rPr>
              <w:t>③其他情况得0分。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8" w:hRule="atLeast"/>
          <w:tblHeader/>
          <w:jc w:val="center"/>
        </w:trPr>
        <w:tc>
          <w:tcPr>
            <w:tcW w:w="1236" w:type="dxa"/>
            <w:tcBorders>
              <w:left w:val="single" w:color="000000" w:sz="4" w:space="0"/>
              <w:right w:val="single" w:color="000000" w:sz="4" w:space="0"/>
            </w:tcBorders>
            <w:shd w:val="clear" w:color="auto" w:fill="auto"/>
            <w:vAlign w:val="center"/>
          </w:tcPr>
          <w:p>
            <w:pPr>
              <w:widowControl/>
              <w:jc w:val="center"/>
              <w:rPr>
                <w:kern w:val="0"/>
                <w:sz w:val="20"/>
                <w:szCs w:val="15"/>
                <w:lang w:val="zh-CN"/>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210"/>
              </w:tabs>
              <w:snapToGrid w:val="0"/>
              <w:spacing w:line="276" w:lineRule="auto"/>
              <w:jc w:val="center"/>
              <w:rPr>
                <w:rStyle w:val="45"/>
                <w:szCs w:val="15"/>
              </w:rPr>
            </w:pPr>
            <w:r>
              <w:rPr>
                <w:rStyle w:val="45"/>
                <w:szCs w:val="15"/>
              </w:rPr>
              <w:t>市场信用</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210"/>
              </w:tabs>
              <w:snapToGrid w:val="0"/>
              <w:spacing w:line="276" w:lineRule="auto"/>
              <w:jc w:val="center"/>
              <w:rPr>
                <w:rStyle w:val="45"/>
                <w:szCs w:val="15"/>
              </w:rPr>
            </w:pPr>
            <w:r>
              <w:rPr>
                <w:rStyle w:val="45"/>
                <w:szCs w:val="15"/>
              </w:rPr>
              <w:t>4</w:t>
            </w:r>
          </w:p>
        </w:tc>
        <w:tc>
          <w:tcPr>
            <w:tcW w:w="5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210"/>
              </w:tabs>
              <w:snapToGrid w:val="0"/>
              <w:spacing w:line="276" w:lineRule="auto"/>
              <w:rPr>
                <w:rStyle w:val="45"/>
                <w:szCs w:val="15"/>
              </w:rPr>
            </w:pPr>
          </w:p>
          <w:p>
            <w:pPr>
              <w:tabs>
                <w:tab w:val="left" w:pos="210"/>
              </w:tabs>
              <w:snapToGrid w:val="0"/>
              <w:spacing w:line="276" w:lineRule="auto"/>
              <w:rPr>
                <w:rStyle w:val="45"/>
                <w:szCs w:val="15"/>
              </w:rPr>
            </w:pPr>
            <w:r>
              <w:rPr>
                <w:rStyle w:val="45"/>
                <w:szCs w:val="15"/>
              </w:rPr>
              <w:t>①经中国水利工程协会认定为AAA级的得4分。</w:t>
            </w:r>
          </w:p>
          <w:p>
            <w:pPr>
              <w:tabs>
                <w:tab w:val="left" w:pos="210"/>
              </w:tabs>
              <w:snapToGrid w:val="0"/>
              <w:spacing w:line="276" w:lineRule="auto"/>
              <w:rPr>
                <w:rStyle w:val="45"/>
                <w:szCs w:val="15"/>
              </w:rPr>
            </w:pPr>
            <w:r>
              <w:rPr>
                <w:rStyle w:val="45"/>
                <w:szCs w:val="15"/>
              </w:rPr>
              <w:t xml:space="preserve">②经中国水利工程协会认定为AA级的得2分。 </w:t>
            </w:r>
          </w:p>
          <w:p>
            <w:pPr>
              <w:tabs>
                <w:tab w:val="left" w:pos="210"/>
              </w:tabs>
              <w:snapToGrid w:val="0"/>
              <w:spacing w:line="276" w:lineRule="auto"/>
              <w:rPr>
                <w:rStyle w:val="45"/>
                <w:szCs w:val="15"/>
              </w:rPr>
            </w:pPr>
            <w:r>
              <w:rPr>
                <w:rStyle w:val="45"/>
                <w:szCs w:val="15"/>
              </w:rPr>
              <w:t>③经中国水利工程协会认定为A级的得1分。</w:t>
            </w:r>
          </w:p>
          <w:p>
            <w:pPr>
              <w:tabs>
                <w:tab w:val="left" w:pos="210"/>
              </w:tabs>
              <w:snapToGrid w:val="0"/>
              <w:spacing w:line="276" w:lineRule="auto"/>
              <w:rPr>
                <w:rStyle w:val="45"/>
                <w:szCs w:val="15"/>
              </w:rPr>
            </w:pPr>
            <w:r>
              <w:rPr>
                <w:rStyle w:val="45"/>
                <w:rFonts w:hint="eastAsia" w:ascii="宋体" w:hAnsi="宋体" w:cs="宋体"/>
                <w:szCs w:val="15"/>
              </w:rPr>
              <w:t>④</w:t>
            </w:r>
            <w:r>
              <w:rPr>
                <w:rStyle w:val="45"/>
                <w:szCs w:val="15"/>
              </w:rPr>
              <w:t>其他情况得0分。（以水利建设市场监管平台公示的文件为准）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8" w:hRule="atLeast"/>
          <w:tblHeader/>
          <w:jc w:val="center"/>
        </w:trPr>
        <w:tc>
          <w:tcPr>
            <w:tcW w:w="1236" w:type="dxa"/>
            <w:tcBorders>
              <w:left w:val="single" w:color="000000" w:sz="4" w:space="0"/>
              <w:right w:val="single" w:color="000000" w:sz="4" w:space="0"/>
            </w:tcBorders>
            <w:shd w:val="clear" w:color="auto" w:fill="auto"/>
            <w:vAlign w:val="center"/>
          </w:tcPr>
          <w:p>
            <w:pPr>
              <w:widowControl/>
              <w:jc w:val="center"/>
              <w:rPr>
                <w:kern w:val="0"/>
                <w:sz w:val="20"/>
                <w:szCs w:val="15"/>
                <w:lang w:val="zh-CN"/>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210"/>
              </w:tabs>
              <w:snapToGrid w:val="0"/>
              <w:spacing w:line="312" w:lineRule="auto"/>
              <w:jc w:val="center"/>
              <w:rPr>
                <w:rFonts w:ascii="宋体" w:hAnsi="宋体"/>
                <w:szCs w:val="21"/>
              </w:rPr>
            </w:pPr>
            <w:r>
              <w:rPr>
                <w:rFonts w:hint="eastAsia" w:ascii="宋体" w:hAnsi="宋体"/>
                <w:szCs w:val="21"/>
              </w:rPr>
              <w:t>资信等级</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210"/>
              </w:tabs>
              <w:snapToGrid w:val="0"/>
              <w:spacing w:line="312" w:lineRule="auto"/>
              <w:jc w:val="center"/>
              <w:rPr>
                <w:rFonts w:ascii="宋体" w:hAnsi="宋体"/>
                <w:szCs w:val="21"/>
              </w:rPr>
            </w:pPr>
            <w:r>
              <w:rPr>
                <w:rFonts w:hint="eastAsia" w:ascii="宋体" w:hAnsi="宋体"/>
                <w:szCs w:val="21"/>
              </w:rPr>
              <w:t>3</w:t>
            </w:r>
          </w:p>
        </w:tc>
        <w:tc>
          <w:tcPr>
            <w:tcW w:w="5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210"/>
              </w:tabs>
              <w:snapToGrid w:val="0"/>
              <w:spacing w:line="312" w:lineRule="auto"/>
              <w:rPr>
                <w:rFonts w:ascii="宋体" w:hAnsi="宋体"/>
                <w:szCs w:val="21"/>
              </w:rPr>
            </w:pPr>
            <w:r>
              <w:rPr>
                <w:rFonts w:hint="eastAsia" w:ascii="宋体" w:hAnsi="宋体"/>
                <w:szCs w:val="21"/>
              </w:rPr>
              <w:t>具有中国人民银行备案的第三方征信机构出具的信用报告，信用等级达到AAA级得3分，AA级得2分，A级得1分。（提供资信等级证书和出具该信用报告的第三方征信机构在中国人民银行备案的证明材料）。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9" w:hRule="atLeast"/>
          <w:tblHeader/>
          <w:jc w:val="center"/>
        </w:trPr>
        <w:tc>
          <w:tcPr>
            <w:tcW w:w="1236" w:type="dxa"/>
            <w:vMerge w:val="restart"/>
            <w:tcBorders>
              <w:top w:val="single" w:color="000000" w:sz="4" w:space="0"/>
              <w:left w:val="single" w:color="000000" w:sz="4" w:space="0"/>
              <w:right w:val="single" w:color="000000" w:sz="4" w:space="0"/>
            </w:tcBorders>
            <w:shd w:val="clear" w:color="auto" w:fill="auto"/>
            <w:vAlign w:val="center"/>
          </w:tcPr>
          <w:p>
            <w:pPr>
              <w:snapToGrid w:val="0"/>
              <w:jc w:val="center"/>
              <w:rPr>
                <w:sz w:val="20"/>
                <w:szCs w:val="15"/>
              </w:rPr>
            </w:pPr>
            <w:r>
              <w:rPr>
                <w:rFonts w:hint="eastAsia"/>
                <w:sz w:val="20"/>
                <w:szCs w:val="15"/>
              </w:rPr>
              <w:t>技</w:t>
            </w:r>
          </w:p>
          <w:p>
            <w:pPr>
              <w:snapToGrid w:val="0"/>
              <w:jc w:val="center"/>
              <w:rPr>
                <w:sz w:val="20"/>
                <w:szCs w:val="15"/>
              </w:rPr>
            </w:pPr>
            <w:r>
              <w:rPr>
                <w:rFonts w:hint="eastAsia"/>
                <w:sz w:val="20"/>
                <w:szCs w:val="15"/>
              </w:rPr>
              <w:t>术</w:t>
            </w:r>
          </w:p>
          <w:p>
            <w:pPr>
              <w:snapToGrid w:val="0"/>
              <w:jc w:val="center"/>
              <w:rPr>
                <w:sz w:val="20"/>
                <w:szCs w:val="15"/>
              </w:rPr>
            </w:pPr>
            <w:r>
              <w:rPr>
                <w:rFonts w:hint="eastAsia"/>
                <w:sz w:val="20"/>
                <w:szCs w:val="15"/>
              </w:rPr>
              <w:t>部</w:t>
            </w:r>
          </w:p>
          <w:p>
            <w:pPr>
              <w:snapToGrid w:val="0"/>
              <w:jc w:val="center"/>
              <w:rPr>
                <w:sz w:val="20"/>
                <w:szCs w:val="15"/>
              </w:rPr>
            </w:pPr>
            <w:r>
              <w:rPr>
                <w:rFonts w:hint="eastAsia"/>
                <w:sz w:val="20"/>
                <w:szCs w:val="15"/>
              </w:rPr>
              <w:t>分</w:t>
            </w:r>
          </w:p>
          <w:p>
            <w:pPr>
              <w:snapToGrid w:val="0"/>
              <w:spacing w:line="216" w:lineRule="auto"/>
              <w:jc w:val="center"/>
              <w:rPr>
                <w:kern w:val="0"/>
                <w:sz w:val="20"/>
                <w:szCs w:val="15"/>
                <w:lang w:val="zh-CN"/>
              </w:rPr>
            </w:pPr>
            <w:r>
              <w:rPr>
                <w:rFonts w:hint="eastAsia"/>
                <w:sz w:val="20"/>
                <w:szCs w:val="15"/>
              </w:rPr>
              <w:t>（40分）</w:t>
            </w: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Style w:val="45"/>
                <w:szCs w:val="15"/>
              </w:rPr>
            </w:pPr>
            <w:r>
              <w:rPr>
                <w:rStyle w:val="45"/>
                <w:rFonts w:hint="eastAsia"/>
                <w:szCs w:val="15"/>
              </w:rPr>
              <w:t>工程分析</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76" w:lineRule="auto"/>
              <w:jc w:val="center"/>
              <w:rPr>
                <w:rStyle w:val="45"/>
                <w:szCs w:val="15"/>
              </w:rPr>
            </w:pPr>
            <w:r>
              <w:rPr>
                <w:rStyle w:val="45"/>
                <w:rFonts w:hint="eastAsia"/>
                <w:szCs w:val="15"/>
              </w:rPr>
              <w:t>6</w:t>
            </w:r>
          </w:p>
        </w:tc>
        <w:tc>
          <w:tcPr>
            <w:tcW w:w="5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210"/>
              </w:tabs>
              <w:snapToGrid w:val="0"/>
              <w:spacing w:line="276" w:lineRule="auto"/>
              <w:rPr>
                <w:rStyle w:val="45"/>
                <w:szCs w:val="15"/>
              </w:rPr>
            </w:pPr>
            <w:r>
              <w:rPr>
                <w:rStyle w:val="45"/>
                <w:rFonts w:hint="eastAsia"/>
                <w:szCs w:val="15"/>
              </w:rPr>
              <w:t>1、</w:t>
            </w:r>
            <w:r>
              <w:rPr>
                <w:rStyle w:val="45"/>
                <w:szCs w:val="15"/>
              </w:rPr>
              <w:t>检测</w:t>
            </w:r>
            <w:r>
              <w:rPr>
                <w:rStyle w:val="45"/>
                <w:rFonts w:hint="eastAsia"/>
                <w:szCs w:val="15"/>
              </w:rPr>
              <w:t>范围与目标</w:t>
            </w:r>
            <w:r>
              <w:rPr>
                <w:rStyle w:val="45"/>
                <w:szCs w:val="15"/>
              </w:rPr>
              <w:t>明确的得</w:t>
            </w:r>
            <w:r>
              <w:rPr>
                <w:rStyle w:val="45"/>
                <w:rFonts w:hint="eastAsia"/>
                <w:szCs w:val="15"/>
              </w:rPr>
              <w:t>2</w:t>
            </w:r>
            <w:r>
              <w:rPr>
                <w:rStyle w:val="45"/>
                <w:szCs w:val="15"/>
              </w:rPr>
              <w:t>分，</w:t>
            </w:r>
            <w:r>
              <w:rPr>
                <w:rStyle w:val="45"/>
                <w:rFonts w:hint="eastAsia"/>
                <w:szCs w:val="15"/>
              </w:rPr>
              <w:t>一般的得1分，没有明确的得0分</w:t>
            </w:r>
            <w:r>
              <w:rPr>
                <w:rStyle w:val="45"/>
                <w:szCs w:val="15"/>
              </w:rPr>
              <w:t>；</w:t>
            </w:r>
          </w:p>
          <w:p>
            <w:pPr>
              <w:tabs>
                <w:tab w:val="left" w:pos="210"/>
              </w:tabs>
              <w:snapToGrid w:val="0"/>
              <w:spacing w:line="276" w:lineRule="auto"/>
              <w:rPr>
                <w:rStyle w:val="45"/>
                <w:szCs w:val="15"/>
              </w:rPr>
            </w:pPr>
            <w:r>
              <w:rPr>
                <w:rStyle w:val="45"/>
                <w:rFonts w:hint="eastAsia"/>
                <w:szCs w:val="15"/>
              </w:rPr>
              <w:t>2、</w:t>
            </w:r>
            <w:r>
              <w:rPr>
                <w:rStyle w:val="45"/>
                <w:szCs w:val="15"/>
              </w:rPr>
              <w:t>对影响检测关键问题以及检测的重点和难点分析清楚的得</w:t>
            </w:r>
            <w:r>
              <w:rPr>
                <w:rStyle w:val="45"/>
                <w:rFonts w:hint="eastAsia"/>
                <w:szCs w:val="15"/>
              </w:rPr>
              <w:t>2</w:t>
            </w:r>
            <w:r>
              <w:rPr>
                <w:rStyle w:val="45"/>
                <w:szCs w:val="15"/>
              </w:rPr>
              <w:t>分，</w:t>
            </w:r>
            <w:r>
              <w:rPr>
                <w:rStyle w:val="45"/>
                <w:rFonts w:hint="eastAsia"/>
                <w:szCs w:val="15"/>
              </w:rPr>
              <w:t>一般的得1分，没有分析清楚的得0分</w:t>
            </w:r>
            <w:r>
              <w:rPr>
                <w:rStyle w:val="45"/>
                <w:szCs w:val="15"/>
              </w:rPr>
              <w:t>；</w:t>
            </w:r>
          </w:p>
          <w:p>
            <w:pPr>
              <w:pStyle w:val="44"/>
              <w:spacing w:line="276" w:lineRule="auto"/>
              <w:rPr>
                <w:rStyle w:val="45"/>
                <w:szCs w:val="15"/>
                <w:lang w:val="en-US"/>
              </w:rPr>
            </w:pPr>
            <w:r>
              <w:rPr>
                <w:rStyle w:val="45"/>
                <w:rFonts w:hint="eastAsia"/>
                <w:szCs w:val="15"/>
              </w:rPr>
              <w:t>3、</w:t>
            </w:r>
            <w:r>
              <w:rPr>
                <w:rStyle w:val="45"/>
                <w:szCs w:val="15"/>
                <w:lang w:val="en-US"/>
              </w:rPr>
              <w:t>检测项目及参数符合工程实际和相关规程规范的得</w:t>
            </w:r>
            <w:r>
              <w:rPr>
                <w:rStyle w:val="45"/>
                <w:rFonts w:hint="eastAsia"/>
                <w:szCs w:val="15"/>
                <w:lang w:val="en-US"/>
              </w:rPr>
              <w:t>2</w:t>
            </w:r>
            <w:r>
              <w:rPr>
                <w:rStyle w:val="45"/>
                <w:szCs w:val="15"/>
                <w:lang w:val="en-US"/>
              </w:rPr>
              <w:t>分，</w:t>
            </w:r>
            <w:r>
              <w:rPr>
                <w:rStyle w:val="45"/>
                <w:rFonts w:hint="eastAsia"/>
                <w:szCs w:val="15"/>
              </w:rPr>
              <w:t>一般的得1分，没有明确的得0分</w:t>
            </w:r>
            <w:r>
              <w:rPr>
                <w:rStyle w:val="45"/>
                <w:szCs w:val="15"/>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blHeader/>
          <w:jc w:val="center"/>
        </w:trPr>
        <w:tc>
          <w:tcPr>
            <w:tcW w:w="1236" w:type="dxa"/>
            <w:vMerge w:val="continue"/>
            <w:tcBorders>
              <w:left w:val="single" w:color="000000" w:sz="4" w:space="0"/>
              <w:right w:val="single" w:color="000000" w:sz="4" w:space="0"/>
            </w:tcBorders>
            <w:shd w:val="clear" w:color="auto" w:fill="auto"/>
            <w:vAlign w:val="center"/>
          </w:tcPr>
          <w:p>
            <w:pPr>
              <w:widowControl/>
              <w:rPr>
                <w:kern w:val="0"/>
                <w:sz w:val="20"/>
                <w:szCs w:val="15"/>
                <w:lang w:val="zh-CN"/>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45"/>
                <w:szCs w:val="15"/>
              </w:rPr>
            </w:pPr>
            <w:r>
              <w:rPr>
                <w:rStyle w:val="45"/>
                <w:szCs w:val="15"/>
              </w:rPr>
              <w:t>检测机构组织设置</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45"/>
                <w:szCs w:val="15"/>
              </w:rPr>
            </w:pPr>
            <w:r>
              <w:rPr>
                <w:rStyle w:val="45"/>
                <w:rFonts w:hint="eastAsia"/>
                <w:szCs w:val="15"/>
              </w:rPr>
              <w:t>5</w:t>
            </w:r>
          </w:p>
        </w:tc>
        <w:tc>
          <w:tcPr>
            <w:tcW w:w="5488" w:type="dxa"/>
            <w:tcBorders>
              <w:top w:val="single" w:color="000000" w:sz="4" w:space="0"/>
              <w:left w:val="single" w:color="000000" w:sz="4" w:space="0"/>
              <w:bottom w:val="single" w:color="000000" w:sz="4" w:space="0"/>
              <w:right w:val="single" w:color="000000" w:sz="4" w:space="0"/>
            </w:tcBorders>
            <w:shd w:val="clear" w:color="auto" w:fill="FFFFFF"/>
          </w:tcPr>
          <w:p>
            <w:pPr>
              <w:pStyle w:val="44"/>
              <w:spacing w:line="276" w:lineRule="auto"/>
              <w:rPr>
                <w:rStyle w:val="45"/>
                <w:szCs w:val="15"/>
                <w:lang w:val="en-US"/>
              </w:rPr>
            </w:pPr>
            <w:r>
              <w:rPr>
                <w:rStyle w:val="45"/>
                <w:szCs w:val="15"/>
                <w:lang w:val="en-US"/>
              </w:rPr>
              <w:t>项目检测机构组织健全的得</w:t>
            </w:r>
            <w:r>
              <w:rPr>
                <w:rStyle w:val="45"/>
                <w:rFonts w:hint="eastAsia"/>
                <w:szCs w:val="15"/>
                <w:lang w:val="en-US"/>
              </w:rPr>
              <w:t>5</w:t>
            </w:r>
            <w:r>
              <w:rPr>
                <w:rStyle w:val="45"/>
                <w:szCs w:val="15"/>
                <w:lang w:val="en-US"/>
              </w:rPr>
              <w:t>分，</w:t>
            </w:r>
            <w:r>
              <w:rPr>
                <w:rStyle w:val="45"/>
                <w:rFonts w:hint="eastAsia"/>
                <w:szCs w:val="15"/>
              </w:rPr>
              <w:t>一般的得3分，没有设置的得0分</w:t>
            </w:r>
            <w:r>
              <w:rPr>
                <w:rStyle w:val="45"/>
                <w:szCs w:val="15"/>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blHeader/>
          <w:jc w:val="center"/>
        </w:trPr>
        <w:tc>
          <w:tcPr>
            <w:tcW w:w="1236" w:type="dxa"/>
            <w:vMerge w:val="continue"/>
            <w:tcBorders>
              <w:left w:val="single" w:color="000000" w:sz="4" w:space="0"/>
              <w:right w:val="single" w:color="000000" w:sz="4" w:space="0"/>
            </w:tcBorders>
            <w:shd w:val="clear" w:color="auto" w:fill="auto"/>
            <w:vAlign w:val="center"/>
          </w:tcPr>
          <w:p>
            <w:pPr>
              <w:widowControl/>
              <w:rPr>
                <w:kern w:val="0"/>
                <w:sz w:val="20"/>
                <w:szCs w:val="15"/>
                <w:lang w:val="zh-CN"/>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4"/>
              <w:spacing w:line="276" w:lineRule="auto"/>
              <w:jc w:val="center"/>
              <w:rPr>
                <w:rStyle w:val="45"/>
                <w:szCs w:val="15"/>
                <w:lang w:val="en-US"/>
              </w:rPr>
            </w:pPr>
            <w:r>
              <w:rPr>
                <w:rStyle w:val="45"/>
                <w:rFonts w:hint="eastAsia"/>
                <w:szCs w:val="15"/>
                <w:lang w:val="en-US"/>
              </w:rPr>
              <w:t>质量保证体系及确保检测质量的措施</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4"/>
              <w:spacing w:line="276" w:lineRule="auto"/>
              <w:jc w:val="center"/>
              <w:rPr>
                <w:rStyle w:val="45"/>
                <w:szCs w:val="15"/>
                <w:lang w:val="en-US"/>
              </w:rPr>
            </w:pPr>
            <w:r>
              <w:rPr>
                <w:rStyle w:val="45"/>
                <w:rFonts w:hint="eastAsia"/>
                <w:szCs w:val="15"/>
                <w:lang w:val="en-US"/>
              </w:rPr>
              <w:t>6</w:t>
            </w:r>
          </w:p>
        </w:tc>
        <w:tc>
          <w:tcPr>
            <w:tcW w:w="5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4"/>
              <w:spacing w:line="276" w:lineRule="auto"/>
              <w:rPr>
                <w:rStyle w:val="45"/>
                <w:szCs w:val="15"/>
                <w:lang w:val="en-US"/>
              </w:rPr>
            </w:pPr>
            <w:r>
              <w:rPr>
                <w:rStyle w:val="45"/>
                <w:rFonts w:hint="eastAsia"/>
                <w:szCs w:val="15"/>
                <w:lang w:val="en-US"/>
              </w:rPr>
              <w:t>质量保证体系健全得力、检测程序严格、措施易于实施、合理可行得6分</w:t>
            </w:r>
            <w:r>
              <w:rPr>
                <w:rStyle w:val="45"/>
                <w:szCs w:val="15"/>
                <w:lang w:val="en-US"/>
              </w:rPr>
              <w:t>，</w:t>
            </w:r>
            <w:r>
              <w:rPr>
                <w:rStyle w:val="45"/>
                <w:rFonts w:hint="eastAsia"/>
                <w:szCs w:val="15"/>
              </w:rPr>
              <w:t>一般的得3分，不合理的得0分</w:t>
            </w:r>
            <w:r>
              <w:rPr>
                <w:rStyle w:val="45"/>
                <w:szCs w:val="15"/>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blHeader/>
          <w:jc w:val="center"/>
        </w:trPr>
        <w:tc>
          <w:tcPr>
            <w:tcW w:w="1236" w:type="dxa"/>
            <w:vMerge w:val="continue"/>
            <w:tcBorders>
              <w:left w:val="single" w:color="000000" w:sz="4" w:space="0"/>
              <w:right w:val="single" w:color="000000" w:sz="4" w:space="0"/>
            </w:tcBorders>
            <w:shd w:val="clear" w:color="auto" w:fill="auto"/>
            <w:vAlign w:val="center"/>
          </w:tcPr>
          <w:p>
            <w:pPr>
              <w:widowControl/>
              <w:rPr>
                <w:kern w:val="0"/>
                <w:sz w:val="20"/>
                <w:szCs w:val="15"/>
                <w:lang w:val="zh-CN"/>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4"/>
              <w:spacing w:line="276" w:lineRule="auto"/>
              <w:jc w:val="center"/>
              <w:rPr>
                <w:rStyle w:val="45"/>
                <w:szCs w:val="15"/>
                <w:lang w:val="en-US"/>
              </w:rPr>
            </w:pPr>
            <w:r>
              <w:rPr>
                <w:rStyle w:val="45"/>
                <w:rFonts w:hint="eastAsia"/>
                <w:szCs w:val="15"/>
                <w:lang w:val="en-US"/>
              </w:rPr>
              <w:t>安全保障体系及确保安全的措施</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4"/>
              <w:spacing w:line="276" w:lineRule="auto"/>
              <w:jc w:val="center"/>
              <w:rPr>
                <w:rStyle w:val="45"/>
                <w:szCs w:val="15"/>
                <w:lang w:val="en-US"/>
              </w:rPr>
            </w:pPr>
            <w:r>
              <w:rPr>
                <w:rStyle w:val="45"/>
                <w:rFonts w:hint="eastAsia"/>
                <w:szCs w:val="15"/>
                <w:lang w:val="en-US"/>
              </w:rPr>
              <w:t>6</w:t>
            </w:r>
          </w:p>
        </w:tc>
        <w:tc>
          <w:tcPr>
            <w:tcW w:w="5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4"/>
              <w:spacing w:line="276" w:lineRule="auto"/>
              <w:rPr>
                <w:rStyle w:val="45"/>
                <w:szCs w:val="15"/>
                <w:lang w:val="en-US"/>
              </w:rPr>
            </w:pPr>
            <w:r>
              <w:rPr>
                <w:rStyle w:val="45"/>
                <w:rFonts w:hint="eastAsia"/>
                <w:szCs w:val="15"/>
                <w:lang w:val="en-US"/>
              </w:rPr>
              <w:t>安全保证体系健全，可操作性、针对性强，安全措施及安全管理资源配置合理可行得6分</w:t>
            </w:r>
            <w:r>
              <w:rPr>
                <w:rStyle w:val="45"/>
                <w:szCs w:val="15"/>
                <w:lang w:val="en-US"/>
              </w:rPr>
              <w:t>，</w:t>
            </w:r>
            <w:r>
              <w:rPr>
                <w:rStyle w:val="45"/>
                <w:rFonts w:hint="eastAsia"/>
                <w:szCs w:val="15"/>
              </w:rPr>
              <w:t>一般的得3分，不合理的得0分</w:t>
            </w:r>
            <w:r>
              <w:rPr>
                <w:rStyle w:val="45"/>
                <w:szCs w:val="15"/>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blHeader/>
          <w:jc w:val="center"/>
        </w:trPr>
        <w:tc>
          <w:tcPr>
            <w:tcW w:w="1236" w:type="dxa"/>
            <w:vMerge w:val="continue"/>
            <w:tcBorders>
              <w:left w:val="single" w:color="000000" w:sz="4" w:space="0"/>
              <w:right w:val="single" w:color="000000" w:sz="4" w:space="0"/>
            </w:tcBorders>
            <w:shd w:val="clear" w:color="auto" w:fill="auto"/>
            <w:vAlign w:val="center"/>
          </w:tcPr>
          <w:p>
            <w:pPr>
              <w:widowControl/>
              <w:rPr>
                <w:kern w:val="0"/>
                <w:sz w:val="20"/>
                <w:szCs w:val="15"/>
                <w:lang w:val="zh-CN"/>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4"/>
              <w:spacing w:line="276" w:lineRule="auto"/>
              <w:jc w:val="center"/>
              <w:rPr>
                <w:rStyle w:val="45"/>
                <w:szCs w:val="15"/>
                <w:lang w:val="en-US"/>
              </w:rPr>
            </w:pPr>
            <w:r>
              <w:rPr>
                <w:rStyle w:val="45"/>
                <w:szCs w:val="15"/>
                <w:lang w:val="en-US"/>
              </w:rPr>
              <w:t>信息管理制度</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4"/>
              <w:spacing w:line="276" w:lineRule="auto"/>
              <w:jc w:val="center"/>
              <w:rPr>
                <w:rStyle w:val="45"/>
                <w:szCs w:val="15"/>
                <w:lang w:val="en-US"/>
              </w:rPr>
            </w:pPr>
            <w:r>
              <w:rPr>
                <w:rStyle w:val="45"/>
                <w:rFonts w:hint="eastAsia"/>
                <w:szCs w:val="15"/>
                <w:lang w:val="en-US"/>
              </w:rPr>
              <w:t>3</w:t>
            </w:r>
          </w:p>
        </w:tc>
        <w:tc>
          <w:tcPr>
            <w:tcW w:w="5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4"/>
              <w:spacing w:line="276" w:lineRule="auto"/>
              <w:rPr>
                <w:rStyle w:val="45"/>
                <w:szCs w:val="15"/>
                <w:lang w:val="en-US"/>
              </w:rPr>
            </w:pPr>
            <w:r>
              <w:rPr>
                <w:rStyle w:val="45"/>
                <w:szCs w:val="15"/>
                <w:lang w:val="en-US"/>
              </w:rPr>
              <w:t>信息管理制度健全、方法正确的得</w:t>
            </w:r>
            <w:r>
              <w:rPr>
                <w:rStyle w:val="45"/>
                <w:rFonts w:hint="eastAsia"/>
                <w:szCs w:val="15"/>
                <w:lang w:val="en-US"/>
              </w:rPr>
              <w:t>3</w:t>
            </w:r>
            <w:r>
              <w:rPr>
                <w:rStyle w:val="45"/>
                <w:szCs w:val="15"/>
                <w:lang w:val="en-US"/>
              </w:rPr>
              <w:t>分，</w:t>
            </w:r>
            <w:r>
              <w:rPr>
                <w:rStyle w:val="45"/>
                <w:rFonts w:hint="eastAsia"/>
                <w:szCs w:val="15"/>
              </w:rPr>
              <w:t>一般的得</w:t>
            </w:r>
            <w:r>
              <w:rPr>
                <w:rStyle w:val="45"/>
                <w:rFonts w:hint="eastAsia"/>
                <w:szCs w:val="15"/>
                <w:lang w:val="en-US"/>
              </w:rPr>
              <w:t>1</w:t>
            </w:r>
            <w:r>
              <w:rPr>
                <w:rStyle w:val="45"/>
                <w:rFonts w:hint="eastAsia"/>
                <w:szCs w:val="15"/>
              </w:rPr>
              <w:t>分</w:t>
            </w:r>
            <w:r>
              <w:rPr>
                <w:rStyle w:val="45"/>
                <w:rFonts w:hint="eastAsia"/>
                <w:szCs w:val="15"/>
                <w:lang w:val="en-US"/>
              </w:rPr>
              <w:t>，</w:t>
            </w:r>
            <w:r>
              <w:rPr>
                <w:rStyle w:val="45"/>
                <w:rFonts w:hint="eastAsia"/>
                <w:szCs w:val="15"/>
              </w:rPr>
              <w:t>不健全、不合理的得</w:t>
            </w:r>
            <w:r>
              <w:rPr>
                <w:rStyle w:val="45"/>
                <w:rFonts w:hint="eastAsia"/>
                <w:szCs w:val="15"/>
                <w:lang w:val="en-US"/>
              </w:rPr>
              <w:t>0</w:t>
            </w:r>
            <w:r>
              <w:rPr>
                <w:rStyle w:val="45"/>
                <w:rFonts w:hint="eastAsia"/>
                <w:szCs w:val="15"/>
              </w:rPr>
              <w:t>分</w:t>
            </w:r>
            <w:r>
              <w:rPr>
                <w:rStyle w:val="45"/>
                <w:szCs w:val="15"/>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blHeader/>
          <w:jc w:val="center"/>
        </w:trPr>
        <w:tc>
          <w:tcPr>
            <w:tcW w:w="1236" w:type="dxa"/>
            <w:vMerge w:val="continue"/>
            <w:tcBorders>
              <w:left w:val="single" w:color="000000" w:sz="4" w:space="0"/>
              <w:right w:val="single" w:color="000000" w:sz="4" w:space="0"/>
            </w:tcBorders>
            <w:shd w:val="clear" w:color="auto" w:fill="auto"/>
            <w:vAlign w:val="center"/>
          </w:tcPr>
          <w:p>
            <w:pPr>
              <w:widowControl/>
              <w:rPr>
                <w:kern w:val="0"/>
                <w:sz w:val="20"/>
                <w:szCs w:val="15"/>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4"/>
              <w:spacing w:line="276" w:lineRule="auto"/>
              <w:jc w:val="center"/>
              <w:rPr>
                <w:rStyle w:val="45"/>
                <w:szCs w:val="15"/>
                <w:lang w:val="en-US"/>
              </w:rPr>
            </w:pPr>
            <w:r>
              <w:rPr>
                <w:rStyle w:val="45"/>
                <w:szCs w:val="15"/>
                <w:lang w:val="en-US"/>
              </w:rPr>
              <w:t>合同管理措施</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4"/>
              <w:spacing w:line="276" w:lineRule="auto"/>
              <w:jc w:val="center"/>
              <w:rPr>
                <w:rStyle w:val="45"/>
                <w:szCs w:val="15"/>
                <w:lang w:val="en-US"/>
              </w:rPr>
            </w:pPr>
            <w:r>
              <w:rPr>
                <w:rStyle w:val="45"/>
                <w:rFonts w:hint="eastAsia"/>
                <w:szCs w:val="15"/>
                <w:lang w:val="en-US"/>
              </w:rPr>
              <w:t>3</w:t>
            </w:r>
          </w:p>
        </w:tc>
        <w:tc>
          <w:tcPr>
            <w:tcW w:w="5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4"/>
              <w:spacing w:line="276" w:lineRule="auto"/>
              <w:rPr>
                <w:rStyle w:val="45"/>
                <w:szCs w:val="15"/>
                <w:lang w:val="en-US"/>
              </w:rPr>
            </w:pPr>
            <w:r>
              <w:rPr>
                <w:rStyle w:val="45"/>
                <w:szCs w:val="15"/>
                <w:lang w:val="en-US"/>
              </w:rPr>
              <w:t>合同管理措施具体完善的得</w:t>
            </w:r>
            <w:r>
              <w:rPr>
                <w:rStyle w:val="45"/>
                <w:rFonts w:hint="eastAsia"/>
                <w:szCs w:val="15"/>
                <w:lang w:val="en-US"/>
              </w:rPr>
              <w:t>3</w:t>
            </w:r>
            <w:r>
              <w:rPr>
                <w:rStyle w:val="45"/>
                <w:szCs w:val="15"/>
                <w:lang w:val="en-US"/>
              </w:rPr>
              <w:t>分，</w:t>
            </w:r>
            <w:r>
              <w:rPr>
                <w:rStyle w:val="45"/>
                <w:rFonts w:hint="eastAsia"/>
                <w:szCs w:val="15"/>
                <w:lang w:val="en-US"/>
              </w:rPr>
              <w:t>基本完善的得1分，不完善得0分</w:t>
            </w:r>
            <w:r>
              <w:rPr>
                <w:rStyle w:val="45"/>
                <w:szCs w:val="15"/>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blHeader/>
          <w:jc w:val="center"/>
        </w:trPr>
        <w:tc>
          <w:tcPr>
            <w:tcW w:w="1236" w:type="dxa"/>
            <w:vMerge w:val="continue"/>
            <w:tcBorders>
              <w:left w:val="single" w:color="000000" w:sz="4" w:space="0"/>
              <w:right w:val="single" w:color="000000" w:sz="4" w:space="0"/>
            </w:tcBorders>
            <w:shd w:val="clear" w:color="auto" w:fill="auto"/>
            <w:vAlign w:val="center"/>
          </w:tcPr>
          <w:p>
            <w:pPr>
              <w:widowControl/>
              <w:rPr>
                <w:kern w:val="0"/>
                <w:sz w:val="20"/>
                <w:szCs w:val="15"/>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4"/>
              <w:spacing w:line="276" w:lineRule="auto"/>
              <w:jc w:val="center"/>
              <w:rPr>
                <w:rStyle w:val="45"/>
                <w:szCs w:val="15"/>
                <w:lang w:val="en-US"/>
              </w:rPr>
            </w:pPr>
            <w:r>
              <w:rPr>
                <w:rStyle w:val="45"/>
                <w:rFonts w:hint="eastAsia"/>
                <w:szCs w:val="15"/>
                <w:lang w:val="en-US"/>
              </w:rPr>
              <w:t>文明检测管理措施</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4"/>
              <w:spacing w:line="276" w:lineRule="auto"/>
              <w:jc w:val="center"/>
              <w:rPr>
                <w:rStyle w:val="45"/>
                <w:szCs w:val="15"/>
                <w:lang w:val="en-US"/>
              </w:rPr>
            </w:pPr>
            <w:r>
              <w:rPr>
                <w:rStyle w:val="45"/>
                <w:rFonts w:hint="eastAsia"/>
                <w:szCs w:val="15"/>
                <w:lang w:val="en-US"/>
              </w:rPr>
              <w:t>3</w:t>
            </w:r>
          </w:p>
        </w:tc>
        <w:tc>
          <w:tcPr>
            <w:tcW w:w="5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4"/>
              <w:spacing w:line="276" w:lineRule="auto"/>
              <w:rPr>
                <w:rStyle w:val="45"/>
                <w:szCs w:val="15"/>
                <w:lang w:val="en-US"/>
              </w:rPr>
            </w:pPr>
            <w:r>
              <w:rPr>
                <w:rStyle w:val="45"/>
                <w:szCs w:val="15"/>
                <w:lang w:val="en-US"/>
              </w:rPr>
              <w:t>文明检测管理措施具体完善的得</w:t>
            </w:r>
            <w:r>
              <w:rPr>
                <w:rStyle w:val="45"/>
                <w:rFonts w:hint="eastAsia"/>
                <w:szCs w:val="15"/>
                <w:lang w:val="en-US"/>
              </w:rPr>
              <w:t>3</w:t>
            </w:r>
            <w:r>
              <w:rPr>
                <w:rStyle w:val="45"/>
                <w:szCs w:val="15"/>
                <w:lang w:val="en-US"/>
              </w:rPr>
              <w:t>分，</w:t>
            </w:r>
            <w:r>
              <w:rPr>
                <w:rStyle w:val="45"/>
                <w:rFonts w:hint="eastAsia"/>
                <w:szCs w:val="15"/>
                <w:lang w:val="en-US"/>
              </w:rPr>
              <w:t>基本完善的得1分，不完善得0分。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blHeader/>
          <w:jc w:val="center"/>
        </w:trPr>
        <w:tc>
          <w:tcPr>
            <w:tcW w:w="1236" w:type="dxa"/>
            <w:vMerge w:val="continue"/>
            <w:tcBorders>
              <w:left w:val="single" w:color="000000" w:sz="4" w:space="0"/>
              <w:right w:val="single" w:color="000000" w:sz="4" w:space="0"/>
            </w:tcBorders>
            <w:shd w:val="clear" w:color="auto" w:fill="auto"/>
            <w:vAlign w:val="center"/>
          </w:tcPr>
          <w:p>
            <w:pPr>
              <w:widowControl/>
              <w:rPr>
                <w:kern w:val="0"/>
                <w:sz w:val="20"/>
                <w:szCs w:val="15"/>
                <w:lang w:val="zh-CN"/>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4"/>
              <w:spacing w:line="276" w:lineRule="auto"/>
              <w:jc w:val="center"/>
              <w:rPr>
                <w:rStyle w:val="45"/>
                <w:szCs w:val="15"/>
                <w:lang w:val="en-US"/>
              </w:rPr>
            </w:pPr>
            <w:r>
              <w:rPr>
                <w:rStyle w:val="45"/>
                <w:szCs w:val="15"/>
                <w:lang w:val="en-US"/>
              </w:rPr>
              <w:t>环境保护措施</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4"/>
              <w:spacing w:line="276" w:lineRule="auto"/>
              <w:jc w:val="center"/>
              <w:rPr>
                <w:rStyle w:val="45"/>
                <w:szCs w:val="15"/>
                <w:lang w:val="en-US"/>
              </w:rPr>
            </w:pPr>
            <w:r>
              <w:rPr>
                <w:rStyle w:val="45"/>
                <w:rFonts w:hint="eastAsia"/>
                <w:szCs w:val="15"/>
                <w:lang w:val="en-US"/>
              </w:rPr>
              <w:t>3</w:t>
            </w:r>
          </w:p>
        </w:tc>
        <w:tc>
          <w:tcPr>
            <w:tcW w:w="5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4"/>
              <w:spacing w:line="276" w:lineRule="auto"/>
              <w:rPr>
                <w:rStyle w:val="45"/>
                <w:szCs w:val="15"/>
                <w:lang w:val="en-US"/>
              </w:rPr>
            </w:pPr>
            <w:r>
              <w:rPr>
                <w:rStyle w:val="45"/>
                <w:szCs w:val="15"/>
                <w:lang w:val="en-US"/>
              </w:rPr>
              <w:t>环境保护措施具体完善的得</w:t>
            </w:r>
            <w:r>
              <w:rPr>
                <w:rStyle w:val="45"/>
                <w:rFonts w:hint="eastAsia"/>
                <w:szCs w:val="15"/>
                <w:lang w:val="en-US"/>
              </w:rPr>
              <w:t xml:space="preserve"> 3</w:t>
            </w:r>
            <w:r>
              <w:rPr>
                <w:rStyle w:val="45"/>
                <w:szCs w:val="15"/>
                <w:lang w:val="en-US"/>
              </w:rPr>
              <w:t>分，</w:t>
            </w:r>
            <w:r>
              <w:rPr>
                <w:rStyle w:val="45"/>
                <w:rFonts w:hint="eastAsia"/>
                <w:szCs w:val="15"/>
                <w:lang w:val="en-US"/>
              </w:rPr>
              <w:t>基本完善的得1分，不完善得0分。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blHeader/>
          <w:jc w:val="center"/>
        </w:trPr>
        <w:tc>
          <w:tcPr>
            <w:tcW w:w="1236" w:type="dxa"/>
            <w:vMerge w:val="continue"/>
            <w:tcBorders>
              <w:left w:val="single" w:color="000000" w:sz="4" w:space="0"/>
              <w:right w:val="single" w:color="000000" w:sz="4" w:space="0"/>
            </w:tcBorders>
            <w:shd w:val="clear" w:color="auto" w:fill="auto"/>
            <w:vAlign w:val="center"/>
          </w:tcPr>
          <w:p>
            <w:pPr>
              <w:widowControl/>
              <w:rPr>
                <w:kern w:val="0"/>
                <w:sz w:val="20"/>
                <w:szCs w:val="15"/>
                <w:lang w:val="zh-CN"/>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kern w:val="0"/>
                <w:szCs w:val="15"/>
                <w:lang w:val="zh-CN"/>
              </w:rPr>
            </w:pPr>
            <w:r>
              <w:rPr>
                <w:rFonts w:hint="eastAsia"/>
                <w:kern w:val="0"/>
                <w:szCs w:val="15"/>
                <w:lang w:val="zh-CN"/>
              </w:rPr>
              <w:t>交通车辆</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kern w:val="0"/>
                <w:szCs w:val="15"/>
                <w:lang w:val="zh-CN"/>
              </w:rPr>
            </w:pPr>
            <w:r>
              <w:rPr>
                <w:rFonts w:hint="eastAsia"/>
                <w:kern w:val="0"/>
                <w:szCs w:val="15"/>
                <w:lang w:val="zh-CN"/>
              </w:rPr>
              <w:t>3</w:t>
            </w:r>
          </w:p>
        </w:tc>
        <w:tc>
          <w:tcPr>
            <w:tcW w:w="5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Style w:val="45"/>
                <w:szCs w:val="15"/>
              </w:rPr>
            </w:pPr>
            <w:r>
              <w:rPr>
                <w:rStyle w:val="45"/>
                <w:rFonts w:hint="eastAsia"/>
                <w:szCs w:val="15"/>
              </w:rPr>
              <w:t>完全满足检测服务需要的得3分；基本满足的得1分，不满足的得0分。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blHeader/>
          <w:jc w:val="center"/>
        </w:trPr>
        <w:tc>
          <w:tcPr>
            <w:tcW w:w="1236" w:type="dxa"/>
            <w:vMerge w:val="continue"/>
            <w:tcBorders>
              <w:left w:val="single" w:color="000000" w:sz="4" w:space="0"/>
              <w:bottom w:val="single" w:color="000000" w:sz="4" w:space="0"/>
              <w:right w:val="single" w:color="000000" w:sz="4" w:space="0"/>
            </w:tcBorders>
            <w:shd w:val="clear" w:color="auto" w:fill="auto"/>
            <w:vAlign w:val="center"/>
          </w:tcPr>
          <w:p>
            <w:pPr>
              <w:widowControl/>
              <w:rPr>
                <w:kern w:val="0"/>
                <w:sz w:val="20"/>
                <w:szCs w:val="15"/>
                <w:lang w:val="zh-CN"/>
              </w:rPr>
            </w:pPr>
          </w:p>
        </w:tc>
        <w:tc>
          <w:tcPr>
            <w:tcW w:w="18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kern w:val="0"/>
                <w:szCs w:val="15"/>
                <w:lang w:val="zh-CN"/>
              </w:rPr>
            </w:pPr>
            <w:r>
              <w:rPr>
                <w:rFonts w:hint="eastAsia"/>
                <w:kern w:val="0"/>
                <w:szCs w:val="15"/>
                <w:lang w:val="zh-CN"/>
              </w:rPr>
              <w:t>技术文件内容完整性和编制水平</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kern w:val="0"/>
                <w:szCs w:val="15"/>
                <w:lang w:val="zh-CN"/>
              </w:rPr>
            </w:pPr>
            <w:r>
              <w:rPr>
                <w:rFonts w:hint="eastAsia"/>
                <w:kern w:val="0"/>
                <w:szCs w:val="15"/>
                <w:lang w:val="zh-CN"/>
              </w:rPr>
              <w:t>2</w:t>
            </w:r>
          </w:p>
        </w:tc>
        <w:tc>
          <w:tcPr>
            <w:tcW w:w="5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44"/>
              <w:rPr>
                <w:szCs w:val="15"/>
              </w:rPr>
            </w:pPr>
            <w:r>
              <w:rPr>
                <w:rFonts w:hint="eastAsia"/>
                <w:szCs w:val="15"/>
              </w:rPr>
              <w:t>内容完整且编制合理得2分</w:t>
            </w:r>
            <w:r>
              <w:rPr>
                <w:szCs w:val="15"/>
              </w:rPr>
              <w:t>，</w:t>
            </w:r>
            <w:r>
              <w:rPr>
                <w:rStyle w:val="45"/>
                <w:rFonts w:hint="eastAsia"/>
                <w:szCs w:val="15"/>
              </w:rPr>
              <w:t>基本合理的得1分，不合理的得0分。</w:t>
            </w:r>
          </w:p>
        </w:tc>
      </w:tr>
    </w:tbl>
    <w:p>
      <w:pPr>
        <w:spacing w:line="271" w:lineRule="exact"/>
        <w:rPr>
          <w:sz w:val="22"/>
        </w:rPr>
      </w:pPr>
    </w:p>
    <w:p>
      <w:pPr>
        <w:jc w:val="left"/>
        <w:rPr>
          <w:rFonts w:ascii="Times New Roman" w:hAnsi="Times New Roman" w:eastAsia="方正姚体" w:cs="Times New Roman"/>
          <w:bCs/>
          <w:sz w:val="22"/>
          <w:szCs w:val="24"/>
        </w:rPr>
      </w:pPr>
      <w:r>
        <w:rPr>
          <w:rFonts w:hint="eastAsia" w:ascii="Times New Roman" w:hAnsi="宋体" w:eastAsia="宋体" w:cs="宋体"/>
          <w:sz w:val="24"/>
          <w:szCs w:val="28"/>
        </w:rPr>
        <w:t>备注：以上所有须提供的证件、证书、有关资料必须真实有效，提供扫描件并加盖公章。投标人投标时须认真对待，凡提供虚假材料谋取中标的，一经查实，根据《政府采购法》第七十七条之规定，将对供应商处以罚款、列入不良行为记录名单、依法追究刑事责任等。</w:t>
      </w:r>
    </w:p>
    <w:p>
      <w:pPr>
        <w:adjustRightInd w:val="0"/>
        <w:snapToGrid w:val="0"/>
        <w:spacing w:line="360" w:lineRule="auto"/>
        <w:jc w:val="center"/>
        <w:outlineLvl w:val="0"/>
        <w:rPr>
          <w:rFonts w:ascii="Times New Roman" w:hAnsi="Times New Roman" w:cs="Times New Roman"/>
          <w:b/>
          <w:bCs/>
          <w:sz w:val="36"/>
          <w:szCs w:val="36"/>
        </w:rPr>
      </w:pPr>
      <w:r>
        <w:rPr>
          <w:rFonts w:ascii="Times New Roman" w:hAnsi="Times New Roman" w:cs="Times New Roman"/>
          <w:b/>
          <w:sz w:val="24"/>
          <w:szCs w:val="24"/>
        </w:rPr>
        <w:br w:type="page"/>
      </w:r>
      <w:r>
        <w:rPr>
          <w:rFonts w:ascii="Times New Roman" w:hAnsi="Times New Roman" w:cs="Times New Roman"/>
          <w:b/>
          <w:bCs/>
          <w:sz w:val="36"/>
          <w:szCs w:val="36"/>
        </w:rPr>
        <w:t>第五章</w:t>
      </w:r>
      <w:r>
        <w:rPr>
          <w:rFonts w:hint="eastAsia" w:ascii="Times New Roman" w:hAnsi="Times New Roman" w:cs="Times New Roman"/>
          <w:b/>
          <w:bCs/>
          <w:sz w:val="36"/>
          <w:szCs w:val="36"/>
        </w:rPr>
        <w:t xml:space="preserve"> </w:t>
      </w:r>
      <w:r>
        <w:rPr>
          <w:rFonts w:ascii="Times New Roman" w:hAnsi="Times New Roman" w:cs="Times New Roman"/>
          <w:b/>
          <w:bCs/>
          <w:sz w:val="36"/>
          <w:szCs w:val="36"/>
        </w:rPr>
        <w:t>合同书（参考格式）</w:t>
      </w:r>
    </w:p>
    <w:p>
      <w:pPr>
        <w:spacing w:line="360" w:lineRule="auto"/>
        <w:ind w:firstLine="480" w:firstLineChars="200"/>
        <w:rPr>
          <w:rFonts w:ascii="Times New Roman" w:hAnsi="Times New Roman" w:cs="Times New Roman"/>
          <w:sz w:val="24"/>
          <w:szCs w:val="24"/>
        </w:rPr>
      </w:pPr>
    </w:p>
    <w:p>
      <w:pPr>
        <w:spacing w:line="360" w:lineRule="auto"/>
        <w:ind w:firstLine="480" w:firstLineChars="200"/>
        <w:rPr>
          <w:rFonts w:ascii="Times New Roman" w:hAnsi="Times New Roman" w:cs="Times New Roman"/>
          <w:spacing w:val="-10"/>
          <w:sz w:val="24"/>
          <w:szCs w:val="24"/>
        </w:rPr>
      </w:pPr>
      <w:r>
        <w:rPr>
          <w:rFonts w:ascii="Times New Roman" w:hAnsi="Times New Roman" w:cs="Times New Roman"/>
          <w:sz w:val="24"/>
          <w:szCs w:val="24"/>
        </w:rPr>
        <w:t>（根据《政府采购法》和《合同法》。采购人和供应商之间的权利和义务，应当按照平等的原则以合同方式约定。）</w:t>
      </w:r>
    </w:p>
    <w:p>
      <w:pPr>
        <w:spacing w:line="360" w:lineRule="auto"/>
        <w:ind w:firstLine="540"/>
        <w:jc w:val="center"/>
        <w:rPr>
          <w:rFonts w:ascii="Times New Roman" w:hAnsi="Times New Roman" w:cs="Times New Roman"/>
          <w:b/>
          <w:kern w:val="0"/>
          <w:sz w:val="24"/>
          <w:szCs w:val="24"/>
        </w:rPr>
      </w:pPr>
    </w:p>
    <w:p>
      <w:pPr>
        <w:adjustRightInd w:val="0"/>
        <w:snapToGrid w:val="0"/>
        <w:spacing w:line="360" w:lineRule="auto"/>
        <w:jc w:val="left"/>
        <w:outlineLvl w:val="0"/>
        <w:rPr>
          <w:rStyle w:val="40"/>
          <w:color w:val="auto"/>
        </w:rPr>
      </w:pPr>
    </w:p>
    <w:p>
      <w:pPr>
        <w:adjustRightInd w:val="0"/>
        <w:snapToGrid w:val="0"/>
        <w:spacing w:line="360" w:lineRule="auto"/>
        <w:jc w:val="left"/>
        <w:outlineLvl w:val="0"/>
        <w:rPr>
          <w:rStyle w:val="40"/>
          <w:color w:val="auto"/>
          <w:u w:val="single"/>
        </w:rPr>
      </w:pPr>
    </w:p>
    <w:p>
      <w:pPr>
        <w:adjustRightInd w:val="0"/>
        <w:snapToGrid w:val="0"/>
        <w:spacing w:line="360" w:lineRule="auto"/>
        <w:jc w:val="left"/>
        <w:outlineLvl w:val="0"/>
        <w:rPr>
          <w:rStyle w:val="40"/>
          <w:color w:val="auto"/>
          <w:u w:val="single"/>
        </w:rPr>
      </w:pPr>
    </w:p>
    <w:p>
      <w:pPr>
        <w:adjustRightInd w:val="0"/>
        <w:snapToGrid w:val="0"/>
        <w:spacing w:line="360" w:lineRule="auto"/>
        <w:jc w:val="left"/>
        <w:outlineLvl w:val="0"/>
        <w:rPr>
          <w:rStyle w:val="40"/>
          <w:color w:val="auto"/>
          <w:u w:val="single"/>
        </w:rPr>
      </w:pPr>
    </w:p>
    <w:p>
      <w:pPr>
        <w:adjustRightInd w:val="0"/>
        <w:snapToGrid w:val="0"/>
        <w:spacing w:line="360" w:lineRule="auto"/>
        <w:jc w:val="left"/>
        <w:outlineLvl w:val="0"/>
        <w:rPr>
          <w:rStyle w:val="40"/>
          <w:color w:val="auto"/>
          <w:u w:val="single"/>
        </w:rPr>
      </w:pPr>
    </w:p>
    <w:p>
      <w:pPr>
        <w:adjustRightInd w:val="0"/>
        <w:snapToGrid w:val="0"/>
        <w:spacing w:line="360" w:lineRule="auto"/>
        <w:jc w:val="left"/>
        <w:outlineLvl w:val="0"/>
        <w:rPr>
          <w:rStyle w:val="40"/>
          <w:color w:val="auto"/>
          <w:u w:val="single"/>
        </w:rPr>
      </w:pPr>
    </w:p>
    <w:p>
      <w:pPr>
        <w:adjustRightInd w:val="0"/>
        <w:snapToGrid w:val="0"/>
        <w:spacing w:line="360" w:lineRule="auto"/>
        <w:jc w:val="left"/>
        <w:outlineLvl w:val="0"/>
        <w:rPr>
          <w:rStyle w:val="40"/>
          <w:color w:val="auto"/>
          <w:u w:val="single"/>
        </w:rPr>
      </w:pPr>
    </w:p>
    <w:p>
      <w:pPr>
        <w:adjustRightInd w:val="0"/>
        <w:snapToGrid w:val="0"/>
        <w:spacing w:line="360" w:lineRule="auto"/>
        <w:jc w:val="left"/>
        <w:outlineLvl w:val="0"/>
        <w:rPr>
          <w:rStyle w:val="40"/>
          <w:color w:val="auto"/>
          <w:u w:val="single"/>
        </w:rPr>
      </w:pPr>
    </w:p>
    <w:p>
      <w:pPr>
        <w:adjustRightInd w:val="0"/>
        <w:snapToGrid w:val="0"/>
        <w:spacing w:line="360" w:lineRule="auto"/>
        <w:jc w:val="left"/>
        <w:outlineLvl w:val="0"/>
        <w:rPr>
          <w:rStyle w:val="40"/>
          <w:color w:val="auto"/>
          <w:u w:val="single"/>
        </w:rPr>
      </w:pPr>
    </w:p>
    <w:p>
      <w:pPr>
        <w:adjustRightInd w:val="0"/>
        <w:snapToGrid w:val="0"/>
        <w:spacing w:line="360" w:lineRule="auto"/>
        <w:jc w:val="left"/>
        <w:outlineLvl w:val="0"/>
        <w:rPr>
          <w:rStyle w:val="40"/>
          <w:color w:val="auto"/>
          <w:u w:val="single"/>
        </w:rPr>
      </w:pPr>
    </w:p>
    <w:p>
      <w:pPr>
        <w:adjustRightInd w:val="0"/>
        <w:snapToGrid w:val="0"/>
        <w:spacing w:line="360" w:lineRule="auto"/>
        <w:jc w:val="left"/>
        <w:outlineLvl w:val="0"/>
        <w:rPr>
          <w:rStyle w:val="40"/>
          <w:color w:val="auto"/>
          <w:u w:val="single"/>
        </w:rPr>
      </w:pPr>
    </w:p>
    <w:p>
      <w:pPr>
        <w:adjustRightInd w:val="0"/>
        <w:snapToGrid w:val="0"/>
        <w:spacing w:line="360" w:lineRule="auto"/>
        <w:jc w:val="left"/>
        <w:outlineLvl w:val="0"/>
        <w:rPr>
          <w:rStyle w:val="40"/>
          <w:color w:val="auto"/>
          <w:u w:val="single"/>
        </w:rPr>
      </w:pPr>
    </w:p>
    <w:p>
      <w:pPr>
        <w:adjustRightInd w:val="0"/>
        <w:snapToGrid w:val="0"/>
        <w:spacing w:line="360" w:lineRule="auto"/>
        <w:jc w:val="left"/>
        <w:outlineLvl w:val="0"/>
        <w:rPr>
          <w:rStyle w:val="40"/>
          <w:color w:val="auto"/>
          <w:u w:val="single"/>
        </w:rPr>
      </w:pPr>
    </w:p>
    <w:p>
      <w:pPr>
        <w:adjustRightInd w:val="0"/>
        <w:snapToGrid w:val="0"/>
        <w:spacing w:line="360" w:lineRule="auto"/>
        <w:jc w:val="left"/>
        <w:outlineLvl w:val="0"/>
        <w:rPr>
          <w:rStyle w:val="40"/>
          <w:color w:val="auto"/>
          <w:u w:val="single"/>
        </w:rPr>
      </w:pPr>
    </w:p>
    <w:p>
      <w:pPr>
        <w:adjustRightInd w:val="0"/>
        <w:snapToGrid w:val="0"/>
        <w:spacing w:line="360" w:lineRule="auto"/>
        <w:jc w:val="left"/>
        <w:outlineLvl w:val="0"/>
        <w:rPr>
          <w:rStyle w:val="40"/>
          <w:color w:val="auto"/>
          <w:u w:val="single"/>
        </w:rPr>
      </w:pPr>
    </w:p>
    <w:p>
      <w:pPr>
        <w:adjustRightInd w:val="0"/>
        <w:snapToGrid w:val="0"/>
        <w:spacing w:line="360" w:lineRule="auto"/>
        <w:jc w:val="left"/>
        <w:outlineLvl w:val="0"/>
        <w:rPr>
          <w:rStyle w:val="40"/>
          <w:color w:val="auto"/>
          <w:u w:val="single"/>
        </w:rPr>
      </w:pPr>
    </w:p>
    <w:p>
      <w:pPr>
        <w:pStyle w:val="2"/>
        <w:ind w:firstLine="480"/>
      </w:pPr>
    </w:p>
    <w:p/>
    <w:p>
      <w:pPr>
        <w:adjustRightInd w:val="0"/>
        <w:snapToGrid w:val="0"/>
        <w:spacing w:line="360" w:lineRule="auto"/>
        <w:jc w:val="left"/>
        <w:outlineLvl w:val="0"/>
        <w:rPr>
          <w:rStyle w:val="40"/>
          <w:color w:val="auto"/>
          <w:u w:val="single"/>
        </w:rPr>
      </w:pPr>
    </w:p>
    <w:p>
      <w:pPr>
        <w:adjustRightInd w:val="0"/>
        <w:snapToGrid w:val="0"/>
        <w:spacing w:line="360" w:lineRule="auto"/>
        <w:jc w:val="left"/>
        <w:outlineLvl w:val="0"/>
        <w:rPr>
          <w:rStyle w:val="40"/>
          <w:color w:val="auto"/>
          <w:u w:val="single"/>
        </w:rPr>
      </w:pPr>
    </w:p>
    <w:p>
      <w:pPr>
        <w:adjustRightInd w:val="0"/>
        <w:snapToGrid w:val="0"/>
        <w:spacing w:line="360" w:lineRule="auto"/>
        <w:jc w:val="left"/>
        <w:outlineLvl w:val="0"/>
        <w:rPr>
          <w:rStyle w:val="40"/>
          <w:color w:val="auto"/>
          <w:u w:val="single"/>
        </w:rPr>
      </w:pPr>
    </w:p>
    <w:p>
      <w:pPr>
        <w:adjustRightInd w:val="0"/>
        <w:snapToGrid w:val="0"/>
        <w:spacing w:line="360" w:lineRule="auto"/>
        <w:jc w:val="left"/>
        <w:outlineLvl w:val="0"/>
        <w:rPr>
          <w:rStyle w:val="40"/>
          <w:color w:val="auto"/>
          <w:u w:val="single"/>
        </w:rPr>
      </w:pPr>
    </w:p>
    <w:p>
      <w:pPr>
        <w:pStyle w:val="2"/>
        <w:ind w:firstLine="480"/>
      </w:pPr>
    </w:p>
    <w:p/>
    <w:p>
      <w:pPr>
        <w:pStyle w:val="2"/>
        <w:ind w:firstLine="480"/>
      </w:pPr>
    </w:p>
    <w:p/>
    <w:p>
      <w:pPr>
        <w:pStyle w:val="2"/>
        <w:ind w:firstLine="480"/>
      </w:pPr>
    </w:p>
    <w:p>
      <w:pPr>
        <w:adjustRightInd w:val="0"/>
        <w:snapToGrid w:val="0"/>
        <w:spacing w:line="360" w:lineRule="auto"/>
        <w:jc w:val="left"/>
        <w:outlineLvl w:val="0"/>
        <w:rPr>
          <w:rStyle w:val="40"/>
          <w:color w:val="auto"/>
          <w:u w:val="single"/>
        </w:rPr>
      </w:pPr>
    </w:p>
    <w:p>
      <w:pPr>
        <w:adjustRightInd w:val="0"/>
        <w:snapToGrid w:val="0"/>
        <w:spacing w:line="360" w:lineRule="auto"/>
        <w:jc w:val="center"/>
        <w:outlineLvl w:val="0"/>
        <w:rPr>
          <w:rFonts w:ascii="Times New Roman" w:hAnsi="Times New Roman" w:cs="Times New Roman"/>
          <w:b/>
          <w:bCs/>
          <w:sz w:val="36"/>
          <w:szCs w:val="36"/>
        </w:rPr>
      </w:pPr>
      <w:r>
        <w:rPr>
          <w:rFonts w:ascii="Times New Roman" w:hAnsi="Times New Roman" w:cs="Times New Roman"/>
          <w:b/>
          <w:bCs/>
          <w:sz w:val="36"/>
          <w:szCs w:val="36"/>
        </w:rPr>
        <w:t>第六章</w:t>
      </w:r>
      <w:r>
        <w:rPr>
          <w:rFonts w:hint="eastAsia" w:ascii="Times New Roman" w:hAnsi="Times New Roman" w:cs="Times New Roman"/>
          <w:b/>
          <w:bCs/>
          <w:sz w:val="36"/>
          <w:szCs w:val="36"/>
        </w:rPr>
        <w:t xml:space="preserve"> </w:t>
      </w:r>
      <w:r>
        <w:rPr>
          <w:rFonts w:ascii="Times New Roman" w:hAnsi="Times New Roman" w:cs="Times New Roman"/>
          <w:b/>
          <w:bCs/>
          <w:sz w:val="36"/>
          <w:szCs w:val="36"/>
        </w:rPr>
        <w:t>响应文件格式</w:t>
      </w:r>
    </w:p>
    <w:p>
      <w:pPr>
        <w:adjustRightInd w:val="0"/>
        <w:snapToGrid w:val="0"/>
        <w:spacing w:line="360" w:lineRule="auto"/>
        <w:jc w:val="center"/>
        <w:outlineLvl w:val="0"/>
        <w:rPr>
          <w:rFonts w:ascii="Times New Roman" w:hAnsi="Times New Roman" w:cs="Times New Roman"/>
          <w:b/>
          <w:sz w:val="18"/>
          <w:szCs w:val="18"/>
        </w:rPr>
      </w:pPr>
    </w:p>
    <w:p>
      <w:pPr>
        <w:adjustRightInd w:val="0"/>
        <w:snapToGrid w:val="0"/>
        <w:spacing w:line="360" w:lineRule="auto"/>
        <w:outlineLvl w:val="0"/>
        <w:rPr>
          <w:rFonts w:ascii="Times New Roman" w:hAnsi="Times New Roman" w:cs="Times New Roman"/>
          <w:szCs w:val="28"/>
        </w:rPr>
      </w:pPr>
      <w:r>
        <w:rPr>
          <w:rFonts w:ascii="Times New Roman" w:hAnsi="Times New Roman" w:cs="Times New Roman"/>
          <w:szCs w:val="28"/>
        </w:rPr>
        <w:t>封面：</w:t>
      </w:r>
    </w:p>
    <w:p>
      <w:pPr>
        <w:tabs>
          <w:tab w:val="left" w:pos="1260"/>
        </w:tabs>
        <w:spacing w:line="360" w:lineRule="auto"/>
        <w:jc w:val="center"/>
        <w:rPr>
          <w:rFonts w:ascii="Times New Roman" w:hAnsi="Times New Roman" w:eastAsia="宋体" w:cs="Times New Roman"/>
          <w:b/>
          <w:bCs/>
          <w:spacing w:val="100"/>
          <w:w w:val="110"/>
          <w:sz w:val="36"/>
          <w:szCs w:val="36"/>
        </w:rPr>
      </w:pPr>
    </w:p>
    <w:p>
      <w:pPr>
        <w:tabs>
          <w:tab w:val="left" w:pos="1260"/>
        </w:tabs>
        <w:spacing w:line="360" w:lineRule="auto"/>
        <w:jc w:val="center"/>
        <w:rPr>
          <w:rFonts w:ascii="Times New Roman" w:hAnsi="Times New Roman" w:eastAsia="宋体" w:cs="Times New Roman"/>
          <w:bCs/>
          <w:spacing w:val="100"/>
          <w:w w:val="110"/>
          <w:sz w:val="36"/>
          <w:szCs w:val="36"/>
        </w:rPr>
      </w:pPr>
      <w:r>
        <w:rPr>
          <w:rFonts w:hint="eastAsia" w:ascii="Times New Roman" w:hAnsi="Times New Roman" w:eastAsia="宋体" w:cs="Times New Roman"/>
          <w:bCs/>
          <w:spacing w:val="100"/>
          <w:w w:val="110"/>
          <w:sz w:val="36"/>
          <w:szCs w:val="36"/>
        </w:rPr>
        <w:t>阳新县县</w:t>
      </w:r>
      <w:r>
        <w:rPr>
          <w:rFonts w:ascii="Times New Roman" w:hAnsi="Times New Roman" w:eastAsia="宋体" w:cs="Times New Roman"/>
          <w:bCs/>
          <w:spacing w:val="100"/>
          <w:w w:val="110"/>
          <w:sz w:val="36"/>
          <w:szCs w:val="36"/>
        </w:rPr>
        <w:t>级政府采购</w:t>
      </w:r>
    </w:p>
    <w:p>
      <w:pPr>
        <w:tabs>
          <w:tab w:val="left" w:pos="1260"/>
        </w:tabs>
        <w:spacing w:line="360" w:lineRule="auto"/>
        <w:jc w:val="center"/>
        <w:rPr>
          <w:rFonts w:ascii="Times New Roman" w:hAnsi="Times New Roman" w:eastAsia="宋体" w:cs="Times New Roman"/>
          <w:spacing w:val="100"/>
          <w:w w:val="110"/>
          <w:sz w:val="100"/>
          <w:szCs w:val="100"/>
        </w:rPr>
      </w:pPr>
      <w:r>
        <w:rPr>
          <w:rFonts w:hint="eastAsia" w:ascii="Times New Roman" w:hAnsi="Times New Roman" w:eastAsia="宋体" w:cs="Times New Roman"/>
          <w:bCs/>
          <w:spacing w:val="100"/>
          <w:w w:val="110"/>
          <w:sz w:val="100"/>
          <w:szCs w:val="100"/>
        </w:rPr>
        <w:t>磋商</w:t>
      </w:r>
      <w:r>
        <w:rPr>
          <w:rFonts w:ascii="Times New Roman" w:hAnsi="Times New Roman" w:eastAsia="宋体" w:cs="Times New Roman"/>
          <w:bCs/>
          <w:spacing w:val="100"/>
          <w:w w:val="110"/>
          <w:sz w:val="100"/>
          <w:szCs w:val="100"/>
        </w:rPr>
        <w:t>响应文件</w:t>
      </w:r>
    </w:p>
    <w:p>
      <w:pPr>
        <w:spacing w:line="360" w:lineRule="auto"/>
        <w:jc w:val="center"/>
        <w:rPr>
          <w:rFonts w:ascii="Times New Roman" w:hAnsi="Times New Roman" w:eastAsia="宋体" w:cs="Times New Roman"/>
          <w:sz w:val="44"/>
          <w:szCs w:val="21"/>
        </w:rPr>
      </w:pPr>
      <w:r>
        <w:rPr>
          <w:rFonts w:ascii="Times New Roman" w:hAnsi="Times New Roman" w:eastAsia="宋体" w:cs="Times New Roman"/>
          <w:sz w:val="44"/>
          <w:szCs w:val="21"/>
        </w:rPr>
        <w:t>（正本/副本）</w:t>
      </w:r>
    </w:p>
    <w:p>
      <w:pPr>
        <w:spacing w:line="360" w:lineRule="auto"/>
        <w:jc w:val="center"/>
        <w:rPr>
          <w:rFonts w:ascii="Times New Roman" w:hAnsi="Times New Roman" w:eastAsia="宋体" w:cs="Times New Roman"/>
          <w:sz w:val="44"/>
          <w:szCs w:val="21"/>
        </w:rPr>
      </w:pPr>
    </w:p>
    <w:p>
      <w:pPr>
        <w:spacing w:line="360" w:lineRule="auto"/>
        <w:jc w:val="center"/>
        <w:rPr>
          <w:rFonts w:ascii="Times New Roman" w:hAnsi="Times New Roman" w:eastAsia="宋体" w:cs="Times New Roman"/>
          <w:sz w:val="44"/>
          <w:szCs w:val="21"/>
        </w:rPr>
      </w:pPr>
    </w:p>
    <w:p>
      <w:pPr>
        <w:spacing w:line="360" w:lineRule="auto"/>
        <w:jc w:val="center"/>
        <w:rPr>
          <w:rFonts w:ascii="Times New Roman" w:hAnsi="Times New Roman" w:eastAsia="宋体" w:cs="Times New Roman"/>
          <w:sz w:val="44"/>
          <w:szCs w:val="21"/>
        </w:rPr>
      </w:pP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项目编号：</w:t>
      </w:r>
    </w:p>
    <w:p>
      <w:pPr>
        <w:spacing w:line="360" w:lineRule="auto"/>
        <w:ind w:firstLine="1280" w:firstLineChars="4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采购人：</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项目名称：</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磋商内容：</w:t>
      </w:r>
    </w:p>
    <w:p>
      <w:pPr>
        <w:spacing w:line="360" w:lineRule="auto"/>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供应商名称</w:t>
      </w:r>
      <w:r>
        <w:rPr>
          <w:rFonts w:hint="eastAsia" w:ascii="Times New Roman" w:hAnsi="Times New Roman" w:eastAsia="宋体" w:cs="Times New Roman"/>
          <w:sz w:val="32"/>
          <w:szCs w:val="32"/>
        </w:rPr>
        <w:t>：</w:t>
      </w:r>
    </w:p>
    <w:p>
      <w:pPr>
        <w:spacing w:line="360" w:lineRule="auto"/>
        <w:jc w:val="center"/>
        <w:rPr>
          <w:rFonts w:ascii="Times New Roman" w:hAnsi="Times New Roman" w:eastAsia="宋体" w:cs="Times New Roman"/>
          <w:sz w:val="32"/>
          <w:szCs w:val="32"/>
          <w:u w:val="single"/>
        </w:rPr>
      </w:pPr>
      <w:r>
        <w:rPr>
          <w:rFonts w:ascii="Times New Roman" w:hAnsi="Times New Roman" w:eastAsia="宋体" w:cs="Times New Roman"/>
          <w:sz w:val="32"/>
          <w:szCs w:val="32"/>
        </w:rPr>
        <w:t>年</w:t>
      </w:r>
      <w:r>
        <w:rPr>
          <w:rFonts w:hint="eastAsia" w:ascii="Times New Roman" w:hAnsi="Times New Roman" w:eastAsia="宋体" w:cs="Times New Roman"/>
          <w:sz w:val="32"/>
          <w:szCs w:val="32"/>
        </w:rPr>
        <w:t xml:space="preserve">   </w:t>
      </w:r>
      <w:r>
        <w:rPr>
          <w:rFonts w:ascii="Times New Roman" w:hAnsi="Times New Roman" w:eastAsia="宋体" w:cs="Times New Roman"/>
          <w:sz w:val="32"/>
          <w:szCs w:val="32"/>
        </w:rPr>
        <w:t>月</w:t>
      </w:r>
      <w:r>
        <w:rPr>
          <w:rFonts w:hint="eastAsia" w:ascii="Times New Roman" w:hAnsi="Times New Roman" w:eastAsia="宋体" w:cs="Times New Roman"/>
          <w:sz w:val="32"/>
          <w:szCs w:val="32"/>
        </w:rPr>
        <w:t xml:space="preserve">   </w:t>
      </w:r>
      <w:r>
        <w:rPr>
          <w:rFonts w:ascii="Times New Roman" w:hAnsi="Times New Roman" w:eastAsia="宋体" w:cs="Times New Roman"/>
          <w:sz w:val="32"/>
          <w:szCs w:val="32"/>
        </w:rPr>
        <w:t>日</w:t>
      </w:r>
    </w:p>
    <w:p>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rPr>
        <w:br w:type="page"/>
      </w:r>
      <w:r>
        <w:rPr>
          <w:rFonts w:ascii="Times New Roman" w:hAnsi="Times New Roman" w:cs="Times New Roman"/>
          <w:b/>
          <w:sz w:val="32"/>
          <w:szCs w:val="32"/>
        </w:rPr>
        <w:t>目录</w:t>
      </w:r>
    </w:p>
    <w:p>
      <w:pPr>
        <w:adjustRightInd w:val="0"/>
        <w:snapToGrid w:val="0"/>
        <w:spacing w:line="360" w:lineRule="auto"/>
        <w:outlineLvl w:val="0"/>
        <w:rPr>
          <w:rFonts w:ascii="Times New Roman" w:hAnsi="Times New Roman" w:cs="Times New Roman"/>
          <w:bCs/>
          <w:sz w:val="24"/>
          <w:szCs w:val="24"/>
        </w:rPr>
      </w:pPr>
      <w:r>
        <w:rPr>
          <w:rFonts w:ascii="Times New Roman" w:hAnsi="Times New Roman" w:cs="Times New Roman"/>
          <w:b/>
          <w:sz w:val="24"/>
          <w:szCs w:val="24"/>
        </w:rPr>
        <w:br w:type="page"/>
      </w:r>
      <w:r>
        <w:rPr>
          <w:rFonts w:ascii="Times New Roman" w:hAnsi="Times New Roman" w:cs="Times New Roman"/>
          <w:bCs/>
          <w:sz w:val="24"/>
          <w:szCs w:val="24"/>
        </w:rPr>
        <w:t>附件1</w:t>
      </w:r>
    </w:p>
    <w:p>
      <w:pPr>
        <w:spacing w:line="360" w:lineRule="auto"/>
        <w:jc w:val="center"/>
        <w:rPr>
          <w:rFonts w:ascii="Times New Roman" w:hAnsi="Times New Roman" w:cs="Times New Roman"/>
          <w:sz w:val="32"/>
          <w:szCs w:val="32"/>
        </w:rPr>
      </w:pPr>
      <w:r>
        <w:rPr>
          <w:rFonts w:ascii="Times New Roman" w:hAnsi="Times New Roman" w:cs="Times New Roman"/>
          <w:sz w:val="32"/>
          <w:szCs w:val="32"/>
        </w:rPr>
        <w:t>磋商</w:t>
      </w:r>
      <w:r>
        <w:rPr>
          <w:rFonts w:hint="eastAsia" w:ascii="Times New Roman" w:hAnsi="Times New Roman" w:cs="Times New Roman"/>
          <w:sz w:val="32"/>
          <w:szCs w:val="32"/>
        </w:rPr>
        <w:t>函</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w:t>
      </w:r>
      <w:r>
        <w:rPr>
          <w:rFonts w:hint="eastAsia" w:ascii="Times New Roman" w:hAnsi="Times New Roman" w:eastAsia="宋体" w:cs="Times New Roman"/>
          <w:sz w:val="24"/>
          <w:szCs w:val="24"/>
          <w:u w:val="single"/>
        </w:rPr>
        <w:t>采购人、采购代理机构</w:t>
      </w:r>
      <w:r>
        <w:rPr>
          <w:rFonts w:ascii="Times New Roman" w:hAnsi="Times New Roman" w:eastAsia="宋体" w:cs="Times New Roman"/>
          <w:sz w:val="24"/>
          <w:szCs w:val="24"/>
          <w:u w:val="single"/>
        </w:rPr>
        <w:t>)</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根据贵方</w:t>
      </w:r>
      <w:r>
        <w:rPr>
          <w:rFonts w:ascii="Times New Roman" w:hAnsi="Times New Roman" w:eastAsia="宋体" w:cs="Times New Roman"/>
          <w:sz w:val="24"/>
          <w:szCs w:val="24"/>
          <w:u w:val="single"/>
        </w:rPr>
        <w:t>（项目名称/项目编号）</w:t>
      </w:r>
      <w:r>
        <w:rPr>
          <w:rFonts w:ascii="Times New Roman" w:hAnsi="Times New Roman" w:eastAsia="宋体" w:cs="Times New Roman"/>
          <w:sz w:val="24"/>
          <w:szCs w:val="24"/>
        </w:rPr>
        <w:t>项目政府采购的磋商邀请，</w:t>
      </w:r>
      <w:r>
        <w:rPr>
          <w:rFonts w:ascii="Times New Roman" w:hAnsi="Times New Roman" w:eastAsia="宋体" w:cs="Times New Roman"/>
          <w:sz w:val="24"/>
          <w:szCs w:val="24"/>
          <w:u w:val="single"/>
        </w:rPr>
        <w:t>签字代表</w:t>
      </w:r>
      <w:r>
        <w:rPr>
          <w:rFonts w:ascii="Times New Roman" w:hAnsi="Times New Roman" w:eastAsia="宋体" w:cs="Times New Roman"/>
          <w:sz w:val="24"/>
          <w:szCs w:val="24"/>
        </w:rPr>
        <w:t>（姓名和职务）经正式授权并代表供应商</w:t>
      </w:r>
      <w:r>
        <w:rPr>
          <w:rFonts w:ascii="Times New Roman" w:hAnsi="Times New Roman" w:eastAsia="宋体" w:cs="Times New Roman"/>
          <w:sz w:val="24"/>
          <w:szCs w:val="24"/>
          <w:u w:val="single"/>
        </w:rPr>
        <w:t>（供应商名称、地址）</w:t>
      </w:r>
      <w:r>
        <w:rPr>
          <w:rFonts w:ascii="Times New Roman" w:hAnsi="Times New Roman" w:eastAsia="宋体" w:cs="Times New Roman"/>
          <w:sz w:val="24"/>
          <w:szCs w:val="24"/>
        </w:rPr>
        <w:t>提交下述响应文件正本一份、副本二份。</w:t>
      </w:r>
    </w:p>
    <w:p>
      <w:pPr>
        <w:spacing w:line="360" w:lineRule="auto"/>
        <w:rPr>
          <w:rFonts w:ascii="Times New Roman" w:hAnsi="Times New Roman" w:cs="Times New Roman"/>
          <w:bCs/>
          <w:sz w:val="24"/>
          <w:szCs w:val="24"/>
        </w:rPr>
      </w:pPr>
      <w:r>
        <w:rPr>
          <w:rFonts w:ascii="Times New Roman" w:hAnsi="Times New Roman" w:cs="Times New Roman"/>
          <w:bCs/>
          <w:sz w:val="24"/>
          <w:szCs w:val="24"/>
        </w:rPr>
        <w:t>1）磋商书 (附件1) ；</w:t>
      </w:r>
    </w:p>
    <w:p>
      <w:pPr>
        <w:spacing w:line="360" w:lineRule="auto"/>
        <w:rPr>
          <w:rFonts w:ascii="Times New Roman" w:hAnsi="Times New Roman" w:cs="Times New Roman"/>
          <w:bCs/>
          <w:sz w:val="24"/>
          <w:szCs w:val="24"/>
        </w:rPr>
      </w:pPr>
      <w:r>
        <w:rPr>
          <w:rFonts w:ascii="Times New Roman" w:hAnsi="Times New Roman" w:cs="Times New Roman"/>
          <w:bCs/>
          <w:sz w:val="24"/>
          <w:szCs w:val="24"/>
        </w:rPr>
        <w:t>2）</w:t>
      </w:r>
      <w:r>
        <w:rPr>
          <w:rFonts w:hint="eastAsia" w:ascii="Times New Roman" w:hAnsi="Times New Roman" w:cs="Times New Roman"/>
          <w:bCs/>
          <w:sz w:val="24"/>
          <w:szCs w:val="24"/>
        </w:rPr>
        <w:t>磋商报价表</w:t>
      </w:r>
      <w:r>
        <w:rPr>
          <w:rFonts w:ascii="Times New Roman" w:hAnsi="Times New Roman" w:cs="Times New Roman"/>
          <w:bCs/>
          <w:sz w:val="24"/>
          <w:szCs w:val="24"/>
        </w:rPr>
        <w:t>(附件2) ；</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3）</w:t>
      </w:r>
      <w:r>
        <w:rPr>
          <w:rFonts w:ascii="Times New Roman" w:hAnsi="Times New Roman" w:cs="Times New Roman"/>
          <w:bCs/>
          <w:sz w:val="24"/>
          <w:szCs w:val="24"/>
        </w:rPr>
        <w:t>法人代表授权书(附件</w:t>
      </w:r>
      <w:r>
        <w:rPr>
          <w:rFonts w:hint="eastAsia" w:ascii="Times New Roman" w:hAnsi="Times New Roman" w:cs="Times New Roman"/>
          <w:bCs/>
          <w:sz w:val="24"/>
          <w:szCs w:val="24"/>
        </w:rPr>
        <w:t>3)；</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4</w:t>
      </w:r>
      <w:r>
        <w:rPr>
          <w:rFonts w:ascii="Times New Roman" w:hAnsi="Times New Roman" w:cs="Times New Roman"/>
          <w:bCs/>
          <w:sz w:val="24"/>
          <w:szCs w:val="24"/>
        </w:rPr>
        <w:t>）法人或者其他组织的营业执照等证明文件，自然人的身份证明等证明材料（附件</w:t>
      </w:r>
      <w:r>
        <w:rPr>
          <w:rFonts w:hint="eastAsia" w:ascii="Times New Roman" w:hAnsi="Times New Roman" w:cs="Times New Roman"/>
          <w:bCs/>
          <w:sz w:val="24"/>
          <w:szCs w:val="24"/>
        </w:rPr>
        <w:t>4</w:t>
      </w:r>
      <w:r>
        <w:rPr>
          <w:rFonts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5</w:t>
      </w:r>
      <w:r>
        <w:rPr>
          <w:rFonts w:ascii="Times New Roman" w:hAnsi="Times New Roman" w:cs="Times New Roman"/>
          <w:bCs/>
          <w:sz w:val="24"/>
          <w:szCs w:val="24"/>
        </w:rPr>
        <w:t>）财务状况报告，依法缴纳税收</w:t>
      </w:r>
      <w:r>
        <w:rPr>
          <w:rFonts w:hint="eastAsia" w:ascii="Times New Roman" w:hAnsi="Times New Roman" w:cs="Times New Roman"/>
          <w:bCs/>
          <w:sz w:val="24"/>
          <w:szCs w:val="24"/>
        </w:rPr>
        <w:t>和社会保障金</w:t>
      </w:r>
      <w:r>
        <w:rPr>
          <w:rFonts w:ascii="Times New Roman" w:hAnsi="Times New Roman" w:cs="Times New Roman"/>
          <w:bCs/>
          <w:sz w:val="24"/>
          <w:szCs w:val="24"/>
        </w:rPr>
        <w:t>的相关材料(附件</w:t>
      </w:r>
      <w:r>
        <w:rPr>
          <w:rFonts w:hint="eastAsia" w:ascii="Times New Roman" w:hAnsi="Times New Roman" w:cs="Times New Roman"/>
          <w:bCs/>
          <w:sz w:val="24"/>
          <w:szCs w:val="24"/>
        </w:rPr>
        <w:t>5)</w:t>
      </w:r>
      <w:r>
        <w:rPr>
          <w:rFonts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6</w:t>
      </w:r>
      <w:r>
        <w:rPr>
          <w:rFonts w:ascii="Times New Roman" w:hAnsi="Times New Roman" w:cs="Times New Roman"/>
          <w:bCs/>
          <w:sz w:val="24"/>
          <w:szCs w:val="24"/>
        </w:rPr>
        <w:t>）具备履行合同所必需的设备和专业技术能力的证明材料(附件</w:t>
      </w:r>
      <w:r>
        <w:rPr>
          <w:rFonts w:hint="eastAsia" w:ascii="Times New Roman" w:hAnsi="Times New Roman" w:cs="Times New Roman"/>
          <w:bCs/>
          <w:sz w:val="24"/>
          <w:szCs w:val="24"/>
        </w:rPr>
        <w:t>6</w:t>
      </w:r>
      <w:r>
        <w:rPr>
          <w:rFonts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7</w:t>
      </w:r>
      <w:r>
        <w:rPr>
          <w:rFonts w:ascii="Times New Roman" w:hAnsi="Times New Roman" w:cs="Times New Roman"/>
          <w:bCs/>
          <w:sz w:val="24"/>
          <w:szCs w:val="24"/>
        </w:rPr>
        <w:t>）参加政府采购活动前3年内在经营活动中没有重大违法记录的书面声明(附件</w:t>
      </w:r>
      <w:r>
        <w:rPr>
          <w:rFonts w:hint="eastAsia" w:ascii="Times New Roman" w:hAnsi="Times New Roman" w:cs="Times New Roman"/>
          <w:bCs/>
          <w:sz w:val="24"/>
          <w:szCs w:val="24"/>
        </w:rPr>
        <w:t>7</w:t>
      </w:r>
      <w:r>
        <w:rPr>
          <w:rFonts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8）具备法律、行政法规规定的其他条件的证明材料</w:t>
      </w:r>
      <w:r>
        <w:rPr>
          <w:rFonts w:ascii="Times New Roman" w:hAnsi="Times New Roman" w:cs="Times New Roman"/>
          <w:bCs/>
          <w:sz w:val="24"/>
          <w:szCs w:val="24"/>
        </w:rPr>
        <w:t>(附件</w:t>
      </w:r>
      <w:r>
        <w:rPr>
          <w:rFonts w:hint="eastAsia" w:ascii="Times New Roman" w:hAnsi="Times New Roman" w:cs="Times New Roman"/>
          <w:bCs/>
          <w:sz w:val="24"/>
          <w:szCs w:val="24"/>
        </w:rPr>
        <w:t>8</w:t>
      </w:r>
      <w:r>
        <w:rPr>
          <w:rFonts w:ascii="Times New Roman" w:hAnsi="Times New Roman" w:cs="Times New Roman"/>
          <w:bCs/>
          <w:sz w:val="24"/>
          <w:szCs w:val="24"/>
        </w:rPr>
        <w:t>)；</w:t>
      </w:r>
    </w:p>
    <w:p>
      <w:pPr>
        <w:spacing w:line="360" w:lineRule="auto"/>
        <w:rPr>
          <w:rFonts w:ascii="Times New Roman" w:hAnsi="Times New Roman" w:cs="Times New Roman"/>
          <w:bCs/>
          <w:sz w:val="24"/>
          <w:szCs w:val="24"/>
        </w:rPr>
      </w:pPr>
      <w:r>
        <w:rPr>
          <w:rFonts w:hint="eastAsia" w:ascii="Times New Roman" w:hAnsi="Times New Roman" w:cs="Times New Roman"/>
          <w:bCs/>
          <w:sz w:val="24"/>
          <w:szCs w:val="24"/>
        </w:rPr>
        <w:t>9</w:t>
      </w:r>
      <w:r>
        <w:rPr>
          <w:rFonts w:ascii="Times New Roman" w:hAnsi="Times New Roman" w:cs="Times New Roman"/>
          <w:bCs/>
          <w:sz w:val="24"/>
          <w:szCs w:val="24"/>
        </w:rPr>
        <w:t>）</w:t>
      </w:r>
      <w:r>
        <w:rPr>
          <w:rFonts w:hint="eastAsia"/>
          <w:bCs/>
          <w:sz w:val="24"/>
        </w:rPr>
        <w:t>未被列入"信用中国"网站(www.creditchina.gov.cn)、"中国政府采购网"（www.ccgp.gov.cn）失信被执行人（须提供网站截图）、重大税收违法案件当事人、政府采购严重违法失信行为记录名单</w:t>
      </w:r>
      <w:r>
        <w:rPr>
          <w:rFonts w:ascii="Times New Roman" w:hAnsi="Times New Roman" w:cs="Times New Roman"/>
          <w:bCs/>
          <w:sz w:val="24"/>
          <w:szCs w:val="24"/>
        </w:rPr>
        <w:t>(附件</w:t>
      </w:r>
      <w:r>
        <w:rPr>
          <w:rFonts w:hint="eastAsia" w:ascii="Times New Roman" w:hAnsi="Times New Roman" w:cs="Times New Roman"/>
          <w:bCs/>
          <w:sz w:val="24"/>
          <w:szCs w:val="24"/>
        </w:rPr>
        <w:t>9</w:t>
      </w:r>
      <w:r>
        <w:rPr>
          <w:rFonts w:ascii="Times New Roman" w:hAnsi="Times New Roman" w:cs="Times New Roman"/>
          <w:bCs/>
          <w:sz w:val="24"/>
          <w:szCs w:val="24"/>
        </w:rPr>
        <w:t>)；</w:t>
      </w:r>
    </w:p>
    <w:p>
      <w:pPr>
        <w:spacing w:line="360" w:lineRule="auto"/>
        <w:ind w:left="362" w:leftChars="1" w:hanging="360" w:hangingChars="150"/>
        <w:rPr>
          <w:bCs/>
          <w:sz w:val="24"/>
        </w:rPr>
      </w:pPr>
      <w:r>
        <w:rPr>
          <w:rFonts w:hint="eastAsia"/>
          <w:bCs/>
          <w:sz w:val="24"/>
        </w:rPr>
        <w:t>10）</w:t>
      </w:r>
      <w:r>
        <w:rPr>
          <w:bCs/>
          <w:sz w:val="24"/>
        </w:rPr>
        <w:t>其他</w:t>
      </w:r>
      <w:r>
        <w:rPr>
          <w:rFonts w:hint="eastAsia"/>
          <w:bCs/>
          <w:sz w:val="24"/>
        </w:rPr>
        <w:t>资格证明文件及</w:t>
      </w:r>
      <w:r>
        <w:rPr>
          <w:bCs/>
          <w:sz w:val="24"/>
        </w:rPr>
        <w:t>资料</w:t>
      </w:r>
      <w:r>
        <w:rPr>
          <w:rFonts w:hint="eastAsia"/>
          <w:bCs/>
          <w:sz w:val="24"/>
        </w:rPr>
        <w:t xml:space="preserve"> (附件10)</w:t>
      </w:r>
      <w:r>
        <w:rPr>
          <w:rFonts w:hint="eastAsia"/>
          <w:sz w:val="24"/>
          <w:szCs w:val="24"/>
        </w:rPr>
        <w:t>；</w:t>
      </w:r>
    </w:p>
    <w:p>
      <w:pPr>
        <w:autoSpaceDE w:val="0"/>
        <w:autoSpaceDN w:val="0"/>
        <w:adjustRightInd w:val="0"/>
        <w:spacing w:line="360" w:lineRule="auto"/>
        <w:outlineLvl w:val="1"/>
        <w:rPr>
          <w:rFonts w:ascii="宋体" w:hAnsi="宋体"/>
          <w:sz w:val="24"/>
        </w:rPr>
      </w:pPr>
      <w:r>
        <w:rPr>
          <w:rFonts w:hint="eastAsia"/>
          <w:bCs/>
          <w:sz w:val="24"/>
        </w:rPr>
        <w:t>11）</w:t>
      </w:r>
      <w:r>
        <w:rPr>
          <w:rFonts w:hint="eastAsia" w:ascii="宋体" w:hAnsi="宋体"/>
          <w:sz w:val="24"/>
        </w:rPr>
        <w:t>技术文件</w:t>
      </w:r>
      <w:r>
        <w:rPr>
          <w:rFonts w:hint="eastAsia"/>
          <w:bCs/>
          <w:sz w:val="24"/>
        </w:rPr>
        <w:t>(附件11)。</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在此，我方宣布同意如下：</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1. 将按磋商文件的规定履行合同责任和义务；</w:t>
      </w:r>
    </w:p>
    <w:p>
      <w:pPr>
        <w:spacing w:line="360" w:lineRule="auto"/>
        <w:ind w:left="840" w:hanging="360"/>
        <w:rPr>
          <w:rFonts w:ascii="Times New Roman" w:hAnsi="Times New Roman" w:eastAsia="宋体" w:cs="Times New Roman"/>
          <w:sz w:val="24"/>
          <w:szCs w:val="24"/>
        </w:rPr>
      </w:pPr>
      <w:r>
        <w:rPr>
          <w:rFonts w:ascii="Times New Roman" w:hAnsi="Times New Roman" w:eastAsia="宋体" w:cs="Times New Roman"/>
          <w:sz w:val="24"/>
          <w:szCs w:val="24"/>
        </w:rPr>
        <w:t>2. 已详细审查全部磋商文件，包括第（编号、补遗书）（如果有的话）；我们完全理解并同意放弃对这方面有不明及误解的权力；</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3. 本响应文件有效期为自磋商之日起</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rPr>
        <w:t>个日历</w:t>
      </w:r>
      <w:r>
        <w:rPr>
          <w:rFonts w:hint="eastAsia" w:ascii="Times New Roman" w:hAnsi="Times New Roman" w:eastAsia="宋体" w:cs="Times New Roman"/>
          <w:sz w:val="24"/>
          <w:szCs w:val="24"/>
        </w:rPr>
        <w:t>天</w:t>
      </w:r>
      <w:r>
        <w:rPr>
          <w:rFonts w:ascii="Times New Roman" w:hAnsi="Times New Roman" w:eastAsia="宋体" w:cs="Times New Roman"/>
          <w:sz w:val="24"/>
          <w:szCs w:val="24"/>
        </w:rPr>
        <w:t>；</w:t>
      </w:r>
    </w:p>
    <w:p>
      <w:pPr>
        <w:spacing w:line="360" w:lineRule="auto"/>
        <w:ind w:left="840" w:hanging="360"/>
        <w:rPr>
          <w:rFonts w:ascii="Times New Roman" w:hAnsi="Times New Roman" w:eastAsia="宋体" w:cs="Times New Roman"/>
          <w:sz w:val="24"/>
          <w:szCs w:val="24"/>
        </w:rPr>
      </w:pPr>
      <w:r>
        <w:rPr>
          <w:rFonts w:ascii="Times New Roman" w:hAnsi="Times New Roman" w:eastAsia="宋体" w:cs="Times New Roman"/>
          <w:sz w:val="24"/>
          <w:szCs w:val="24"/>
        </w:rPr>
        <w:t>4. 同意提供按照贵方可能要求的与其磋商有关的一切数据或资料；</w:t>
      </w:r>
    </w:p>
    <w:p>
      <w:pPr>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5. 与本磋商有关的一切正式往来信函请寄：</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地址：</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电话/传真：</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电子信箱：</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供应商（授权）代表签字：</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供应商名称（公章）：</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t>日期：</w:t>
      </w:r>
    </w:p>
    <w:p>
      <w:pPr>
        <w:spacing w:line="360" w:lineRule="auto"/>
        <w:ind w:firstLine="840"/>
        <w:rPr>
          <w:rFonts w:ascii="Times New Roman" w:hAnsi="Times New Roman" w:eastAsia="宋体" w:cs="Times New Roman"/>
          <w:sz w:val="24"/>
          <w:szCs w:val="24"/>
        </w:rPr>
      </w:pPr>
      <w:r>
        <w:rPr>
          <w:rFonts w:ascii="Times New Roman" w:hAnsi="Times New Roman" w:eastAsia="宋体" w:cs="Times New Roman"/>
          <w:sz w:val="24"/>
          <w:szCs w:val="24"/>
        </w:rPr>
        <w:br w:type="page"/>
      </w:r>
    </w:p>
    <w:p>
      <w:pPr>
        <w:spacing w:line="360" w:lineRule="auto"/>
        <w:ind w:left="480" w:hanging="480"/>
        <w:rPr>
          <w:rFonts w:ascii="Times New Roman" w:hAnsi="Times New Roman" w:eastAsia="宋体" w:cs="Times New Roman"/>
          <w:bCs/>
          <w:sz w:val="24"/>
          <w:szCs w:val="24"/>
        </w:rPr>
      </w:pPr>
      <w:r>
        <w:rPr>
          <w:rFonts w:ascii="Times New Roman" w:hAnsi="Times New Roman" w:cs="Times New Roman"/>
          <w:bCs/>
          <w:sz w:val="24"/>
          <w:szCs w:val="24"/>
        </w:rPr>
        <w:t>附件2</w:t>
      </w:r>
    </w:p>
    <w:p>
      <w:pPr>
        <w:pStyle w:val="4"/>
        <w:tabs>
          <w:tab w:val="left" w:pos="1264"/>
        </w:tabs>
        <w:ind w:right="295"/>
      </w:pPr>
      <w:r>
        <w:t>磋 商 报 价</w:t>
      </w:r>
      <w:r>
        <w:rPr>
          <w:spacing w:val="-7"/>
        </w:rPr>
        <w:t xml:space="preserve"> </w:t>
      </w:r>
      <w:r>
        <w:t>表</w:t>
      </w:r>
    </w:p>
    <w:p>
      <w:pPr>
        <w:pStyle w:val="7"/>
        <w:rPr>
          <w:b/>
          <w:sz w:val="20"/>
        </w:rPr>
      </w:pPr>
    </w:p>
    <w:p>
      <w:pPr>
        <w:pStyle w:val="7"/>
        <w:rPr>
          <w:b/>
          <w:sz w:val="20"/>
        </w:rPr>
      </w:pPr>
    </w:p>
    <w:p>
      <w:pPr>
        <w:pStyle w:val="7"/>
        <w:spacing w:before="8"/>
        <w:rPr>
          <w:b/>
          <w:sz w:val="17"/>
        </w:rPr>
      </w:pPr>
    </w:p>
    <w:tbl>
      <w:tblPr>
        <w:tblStyle w:val="14"/>
        <w:tblW w:w="0" w:type="auto"/>
        <w:tblInd w:w="460"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908"/>
        <w:gridCol w:w="6700"/>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74" w:hRule="atLeast"/>
        </w:trPr>
        <w:tc>
          <w:tcPr>
            <w:tcW w:w="1908" w:type="dxa"/>
            <w:tcBorders>
              <w:bottom w:val="single" w:color="000000" w:sz="6" w:space="0"/>
              <w:right w:val="single" w:color="000000" w:sz="6" w:space="0"/>
            </w:tcBorders>
          </w:tcPr>
          <w:p>
            <w:pPr>
              <w:pStyle w:val="44"/>
              <w:spacing w:before="9"/>
              <w:rPr>
                <w:b/>
                <w:sz w:val="15"/>
              </w:rPr>
            </w:pPr>
          </w:p>
          <w:p>
            <w:pPr>
              <w:pStyle w:val="44"/>
              <w:ind w:left="516"/>
            </w:pPr>
            <w:r>
              <w:t>项目名称</w:t>
            </w:r>
          </w:p>
        </w:tc>
        <w:tc>
          <w:tcPr>
            <w:tcW w:w="6700" w:type="dxa"/>
            <w:tcBorders>
              <w:left w:val="single" w:color="000000" w:sz="6" w:space="0"/>
              <w:bottom w:val="single" w:color="000000" w:sz="6" w:space="0"/>
            </w:tcBorders>
          </w:tcPr>
          <w:p>
            <w:pPr>
              <w:pStyle w:val="44"/>
              <w:rPr>
                <w:rFonts w:ascii="Times New Roman"/>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244" w:hRule="atLeast"/>
        </w:trPr>
        <w:tc>
          <w:tcPr>
            <w:tcW w:w="1908" w:type="dxa"/>
            <w:tcBorders>
              <w:top w:val="single" w:color="000000" w:sz="6" w:space="0"/>
              <w:bottom w:val="single" w:color="000000" w:sz="6" w:space="0"/>
              <w:right w:val="single" w:color="000000" w:sz="6" w:space="0"/>
            </w:tcBorders>
          </w:tcPr>
          <w:p>
            <w:pPr>
              <w:pStyle w:val="44"/>
              <w:rPr>
                <w:b/>
                <w:sz w:val="20"/>
              </w:rPr>
            </w:pPr>
          </w:p>
          <w:p>
            <w:pPr>
              <w:pStyle w:val="44"/>
              <w:spacing w:before="12"/>
              <w:rPr>
                <w:b/>
                <w:sz w:val="17"/>
              </w:rPr>
            </w:pPr>
          </w:p>
          <w:p>
            <w:pPr>
              <w:pStyle w:val="44"/>
              <w:ind w:right="106"/>
              <w:jc w:val="right"/>
            </w:pPr>
            <w:r>
              <w:rPr>
                <w:w w:val="95"/>
              </w:rPr>
              <w:t>投标报价（元）</w:t>
            </w:r>
          </w:p>
        </w:tc>
        <w:tc>
          <w:tcPr>
            <w:tcW w:w="6700" w:type="dxa"/>
            <w:tcBorders>
              <w:top w:val="single" w:color="000000" w:sz="6" w:space="0"/>
              <w:left w:val="single" w:color="000000" w:sz="6" w:space="0"/>
              <w:bottom w:val="single" w:color="000000" w:sz="6" w:space="0"/>
            </w:tcBorders>
          </w:tcPr>
          <w:p>
            <w:pPr>
              <w:pStyle w:val="44"/>
              <w:spacing w:before="10"/>
              <w:rPr>
                <w:b/>
                <w:sz w:val="19"/>
              </w:rPr>
            </w:pPr>
          </w:p>
          <w:p>
            <w:pPr>
              <w:pStyle w:val="44"/>
              <w:tabs>
                <w:tab w:val="left" w:pos="3367"/>
              </w:tabs>
              <w:spacing w:line="417" w:lineRule="auto"/>
              <w:ind w:left="584" w:right="3308"/>
              <w:rPr>
                <w:rFonts w:ascii="Times New Roman" w:eastAsia="Times New Roman"/>
              </w:rPr>
            </w:pPr>
            <w:r>
              <w:t>大写：</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 xml:space="preserve"> </w:t>
            </w:r>
            <w:r>
              <w:t>小写：</w:t>
            </w:r>
            <w:r>
              <w:rPr>
                <w:rFonts w:ascii="Times New Roman" w:eastAsia="Times New Roman"/>
                <w:u w:val="single"/>
              </w:rPr>
              <w:t xml:space="preserve"> </w:t>
            </w:r>
            <w:r>
              <w:rPr>
                <w:rFonts w:ascii="Times New Roman" w:eastAsia="Times New Roman"/>
                <w:u w:val="single"/>
              </w:rPr>
              <w:tab/>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15" w:hRule="atLeast"/>
        </w:trPr>
        <w:tc>
          <w:tcPr>
            <w:tcW w:w="1908" w:type="dxa"/>
            <w:tcBorders>
              <w:top w:val="single" w:color="000000" w:sz="6" w:space="0"/>
              <w:bottom w:val="single" w:color="000000" w:sz="6" w:space="0"/>
              <w:right w:val="single" w:color="000000" w:sz="6" w:space="0"/>
            </w:tcBorders>
          </w:tcPr>
          <w:p>
            <w:pPr>
              <w:pStyle w:val="44"/>
              <w:spacing w:before="2"/>
              <w:rPr>
                <w:b/>
              </w:rPr>
            </w:pPr>
          </w:p>
          <w:p>
            <w:pPr>
              <w:pStyle w:val="44"/>
              <w:ind w:right="106"/>
              <w:jc w:val="right"/>
            </w:pPr>
            <w:r>
              <w:rPr>
                <w:w w:val="95"/>
              </w:rPr>
              <w:t>服务期（日历天</w:t>
            </w:r>
          </w:p>
        </w:tc>
        <w:tc>
          <w:tcPr>
            <w:tcW w:w="6700" w:type="dxa"/>
            <w:tcBorders>
              <w:top w:val="single" w:color="000000" w:sz="6" w:space="0"/>
              <w:left w:val="single" w:color="000000" w:sz="6" w:space="0"/>
              <w:bottom w:val="single" w:color="000000" w:sz="6" w:space="0"/>
            </w:tcBorders>
          </w:tcPr>
          <w:p>
            <w:pPr>
              <w:pStyle w:val="44"/>
              <w:spacing w:before="2"/>
              <w:rPr>
                <w:b/>
              </w:rPr>
            </w:pPr>
          </w:p>
          <w:p>
            <w:pPr>
              <w:pStyle w:val="44"/>
              <w:ind w:left="-124"/>
            </w:pPr>
            <w:r>
              <w:rPr>
                <w:w w:val="99"/>
              </w:rPr>
              <w:t>）</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37" w:hRule="atLeast"/>
        </w:trPr>
        <w:tc>
          <w:tcPr>
            <w:tcW w:w="1908" w:type="dxa"/>
            <w:tcBorders>
              <w:top w:val="single" w:color="000000" w:sz="6" w:space="0"/>
              <w:bottom w:val="single" w:color="000000" w:sz="6" w:space="0"/>
              <w:right w:val="single" w:color="000000" w:sz="6" w:space="0"/>
            </w:tcBorders>
          </w:tcPr>
          <w:p>
            <w:pPr>
              <w:pStyle w:val="44"/>
              <w:spacing w:before="1"/>
              <w:rPr>
                <w:b/>
                <w:sz w:val="26"/>
              </w:rPr>
            </w:pPr>
          </w:p>
          <w:p>
            <w:pPr>
              <w:pStyle w:val="44"/>
              <w:ind w:left="516"/>
            </w:pPr>
            <w:r>
              <w:t>项目负责人</w:t>
            </w:r>
          </w:p>
        </w:tc>
        <w:tc>
          <w:tcPr>
            <w:tcW w:w="6700" w:type="dxa"/>
            <w:tcBorders>
              <w:top w:val="single" w:color="000000" w:sz="6" w:space="0"/>
              <w:left w:val="single" w:color="000000" w:sz="6" w:space="0"/>
              <w:bottom w:val="single" w:color="000000" w:sz="6" w:space="0"/>
            </w:tcBorders>
          </w:tcPr>
          <w:p>
            <w:pPr>
              <w:pStyle w:val="44"/>
              <w:rPr>
                <w:rFonts w:ascii="Times New Roman"/>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92" w:hRule="atLeast"/>
        </w:trPr>
        <w:tc>
          <w:tcPr>
            <w:tcW w:w="1908" w:type="dxa"/>
            <w:tcBorders>
              <w:top w:val="single" w:color="000000" w:sz="6" w:space="0"/>
              <w:bottom w:val="single" w:color="000000" w:sz="6" w:space="0"/>
              <w:right w:val="single" w:color="000000" w:sz="6" w:space="0"/>
            </w:tcBorders>
          </w:tcPr>
          <w:p>
            <w:pPr>
              <w:pStyle w:val="44"/>
              <w:spacing w:before="5"/>
              <w:rPr>
                <w:b/>
                <w:sz w:val="20"/>
              </w:rPr>
            </w:pPr>
          </w:p>
          <w:p>
            <w:pPr>
              <w:pStyle w:val="44"/>
              <w:spacing w:before="1"/>
              <w:ind w:right="106"/>
              <w:jc w:val="right"/>
            </w:pPr>
            <w:r>
              <w:rPr>
                <w:w w:val="95"/>
              </w:rPr>
              <w:t>服务要求及标准</w:t>
            </w:r>
          </w:p>
        </w:tc>
        <w:tc>
          <w:tcPr>
            <w:tcW w:w="6700" w:type="dxa"/>
            <w:tcBorders>
              <w:top w:val="single" w:color="000000" w:sz="6" w:space="0"/>
              <w:left w:val="single" w:color="000000" w:sz="6" w:space="0"/>
              <w:bottom w:val="single" w:color="000000" w:sz="6" w:space="0"/>
            </w:tcBorders>
          </w:tcPr>
          <w:p>
            <w:pPr>
              <w:pStyle w:val="44"/>
              <w:rPr>
                <w:rFonts w:ascii="Times New Roman"/>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91" w:hRule="atLeast"/>
        </w:trPr>
        <w:tc>
          <w:tcPr>
            <w:tcW w:w="1908" w:type="dxa"/>
            <w:tcBorders>
              <w:top w:val="single" w:color="000000" w:sz="6" w:space="0"/>
              <w:right w:val="single" w:color="000000" w:sz="6" w:space="0"/>
            </w:tcBorders>
          </w:tcPr>
          <w:p>
            <w:pPr>
              <w:pStyle w:val="44"/>
              <w:spacing w:before="5"/>
              <w:rPr>
                <w:b/>
                <w:sz w:val="20"/>
              </w:rPr>
            </w:pPr>
          </w:p>
          <w:p>
            <w:pPr>
              <w:pStyle w:val="44"/>
              <w:tabs>
                <w:tab w:val="left" w:pos="936"/>
              </w:tabs>
              <w:ind w:left="516"/>
            </w:pPr>
            <w:r>
              <w:t>备</w:t>
            </w:r>
            <w:r>
              <w:tab/>
            </w:r>
            <w:r>
              <w:t>注</w:t>
            </w:r>
          </w:p>
        </w:tc>
        <w:tc>
          <w:tcPr>
            <w:tcW w:w="6700" w:type="dxa"/>
            <w:tcBorders>
              <w:top w:val="single" w:color="000000" w:sz="6" w:space="0"/>
              <w:left w:val="single" w:color="000000" w:sz="6" w:space="0"/>
            </w:tcBorders>
          </w:tcPr>
          <w:p>
            <w:pPr>
              <w:pStyle w:val="44"/>
              <w:rPr>
                <w:rFonts w:ascii="Times New Roman"/>
                <w:sz w:val="20"/>
              </w:rPr>
            </w:pPr>
          </w:p>
        </w:tc>
      </w:tr>
    </w:tbl>
    <w:p>
      <w:pPr>
        <w:pStyle w:val="6"/>
        <w:spacing w:before="92"/>
      </w:pPr>
      <w:r>
        <w:t>备注：</w:t>
      </w:r>
    </w:p>
    <w:p>
      <w:pPr>
        <w:spacing w:before="160"/>
        <w:ind w:left="720"/>
        <w:jc w:val="left"/>
      </w:pPr>
      <w:r>
        <w:t>1、本项目最高限价为：</w:t>
      </w:r>
      <w:r>
        <w:rPr>
          <w:rFonts w:hint="eastAsia"/>
          <w:color w:val="333333"/>
          <w:sz w:val="24"/>
        </w:rPr>
        <w:t>40.8万</w:t>
      </w:r>
      <w:r>
        <w:t>元整，高于最高限价的报价无效，视为废标处理。</w:t>
      </w:r>
    </w:p>
    <w:p>
      <w:pPr>
        <w:spacing w:before="179"/>
        <w:ind w:left="720"/>
        <w:jc w:val="left"/>
      </w:pPr>
      <w:r>
        <w:t>2、报价时所有价格均用人民币表示，单位为元；</w:t>
      </w:r>
    </w:p>
    <w:p>
      <w:pPr>
        <w:pStyle w:val="7"/>
        <w:spacing w:before="6"/>
        <w:rPr>
          <w:sz w:val="15"/>
        </w:rPr>
      </w:pPr>
    </w:p>
    <w:p>
      <w:pPr>
        <w:ind w:left="720"/>
        <w:jc w:val="left"/>
      </w:pPr>
      <w:r>
        <w:t>3、本表为磋商报价所用，一式贰份，装订在磋商响应文件中一份，另一份单独密封递交。</w:t>
      </w:r>
    </w:p>
    <w:p>
      <w:pPr>
        <w:pStyle w:val="7"/>
        <w:spacing w:before="7"/>
        <w:rPr>
          <w:sz w:val="15"/>
        </w:rPr>
      </w:pPr>
    </w:p>
    <w:p>
      <w:pPr>
        <w:pStyle w:val="7"/>
        <w:rPr>
          <w:sz w:val="20"/>
        </w:rPr>
      </w:pPr>
    </w:p>
    <w:p>
      <w:pPr>
        <w:pStyle w:val="7"/>
        <w:rPr>
          <w:sz w:val="20"/>
        </w:rPr>
      </w:pPr>
    </w:p>
    <w:p>
      <w:pPr>
        <w:pStyle w:val="7"/>
        <w:tabs>
          <w:tab w:val="left" w:pos="7023"/>
        </w:tabs>
        <w:spacing w:before="169"/>
        <w:ind w:left="844"/>
        <w:rPr>
          <w:rFonts w:eastAsia="Times New Roman"/>
        </w:rPr>
      </w:pPr>
      <w:r>
        <w:rPr>
          <w:spacing w:val="-1"/>
        </w:rPr>
        <w:t>法</w:t>
      </w:r>
      <w:r>
        <w:t>定代表人或授权代表(签字):</w:t>
      </w:r>
      <w:r>
        <w:rPr>
          <w:rFonts w:eastAsia="Times New Roman"/>
          <w:u w:val="single"/>
        </w:rPr>
        <w:t xml:space="preserve"> </w:t>
      </w:r>
      <w:r>
        <w:rPr>
          <w:rFonts w:eastAsia="Times New Roman"/>
          <w:u w:val="single"/>
        </w:rPr>
        <w:tab/>
      </w:r>
    </w:p>
    <w:p>
      <w:pPr>
        <w:pStyle w:val="7"/>
        <w:spacing w:before="8"/>
        <w:rPr>
          <w:sz w:val="28"/>
        </w:rPr>
      </w:pPr>
    </w:p>
    <w:p>
      <w:pPr>
        <w:pStyle w:val="7"/>
        <w:tabs>
          <w:tab w:val="left" w:pos="7023"/>
        </w:tabs>
        <w:spacing w:before="74"/>
        <w:ind w:left="844"/>
        <w:rPr>
          <w:sz w:val="20"/>
        </w:rPr>
      </w:pPr>
      <w:r>
        <w:t>磋商供应商名称(盖章):</w:t>
      </w:r>
      <w:r>
        <w:rPr>
          <w:spacing w:val="-1"/>
        </w:rPr>
        <w:t xml:space="preserve"> </w:t>
      </w:r>
      <w:r>
        <w:rPr>
          <w:rFonts w:eastAsia="Times New Roman"/>
          <w:u w:val="single"/>
        </w:rPr>
        <w:t xml:space="preserve"> </w:t>
      </w:r>
      <w:r>
        <w:rPr>
          <w:rFonts w:eastAsia="Times New Roman"/>
          <w:u w:val="single"/>
        </w:rPr>
        <w:tab/>
      </w:r>
    </w:p>
    <w:p>
      <w:pPr>
        <w:pStyle w:val="7"/>
        <w:spacing w:before="2"/>
        <w:rPr>
          <w:sz w:val="29"/>
        </w:rPr>
      </w:pPr>
    </w:p>
    <w:p>
      <w:pPr>
        <w:pStyle w:val="7"/>
        <w:tabs>
          <w:tab w:val="left" w:pos="2644"/>
          <w:tab w:val="left" w:pos="3364"/>
          <w:tab w:val="left" w:pos="4084"/>
        </w:tabs>
        <w:spacing w:before="66"/>
        <w:ind w:left="844"/>
      </w:pPr>
      <w:r>
        <w:t>报价时间: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ectPr>
          <w:pgSz w:w="11910" w:h="16840"/>
          <w:pgMar w:top="1520" w:right="780" w:bottom="1180" w:left="1080" w:header="0" w:footer="993" w:gutter="0"/>
          <w:cols w:space="720" w:num="1"/>
        </w:sectPr>
      </w:pPr>
    </w:p>
    <w:p>
      <w:pPr>
        <w:widowControl/>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附件</w:t>
      </w:r>
      <w:r>
        <w:rPr>
          <w:rFonts w:hint="eastAsia" w:ascii="Times New Roman" w:hAnsi="Times New Roman" w:eastAsia="宋体" w:cs="Times New Roman"/>
          <w:sz w:val="24"/>
          <w:szCs w:val="24"/>
        </w:rPr>
        <w:t>3</w:t>
      </w:r>
    </w:p>
    <w:p>
      <w:pPr>
        <w:adjustRightInd w:val="0"/>
        <w:snapToGrid w:val="0"/>
        <w:spacing w:line="360" w:lineRule="auto"/>
        <w:jc w:val="center"/>
        <w:outlineLvl w:val="0"/>
        <w:rPr>
          <w:rFonts w:ascii="Times New Roman" w:hAnsi="Times New Roman" w:cs="Times New Roman"/>
          <w:sz w:val="32"/>
          <w:szCs w:val="32"/>
        </w:rPr>
      </w:pPr>
      <w:r>
        <w:rPr>
          <w:rFonts w:ascii="Times New Roman" w:hAnsi="Times New Roman" w:cs="Times New Roman"/>
          <w:sz w:val="32"/>
          <w:szCs w:val="32"/>
        </w:rPr>
        <w:t>法人代表授权书</w:t>
      </w:r>
    </w:p>
    <w:p>
      <w:pPr>
        <w:spacing w:beforeLines="50" w:afterLines="100" w:line="360" w:lineRule="auto"/>
        <w:rPr>
          <w:rFonts w:ascii="Times New Roman" w:hAnsi="Times New Roman" w:cs="Times New Roman"/>
          <w:sz w:val="24"/>
          <w:szCs w:val="24"/>
        </w:rPr>
      </w:pPr>
    </w:p>
    <w:p>
      <w:pPr>
        <w:adjustRightInd w:val="0"/>
        <w:snapToGrid w:val="0"/>
        <w:spacing w:line="500" w:lineRule="exact"/>
        <w:ind w:firstLine="480"/>
        <w:rPr>
          <w:rFonts w:ascii="宋体" w:hAnsi="宋体"/>
          <w:bCs/>
          <w:sz w:val="24"/>
        </w:rPr>
      </w:pPr>
      <w:r>
        <w:rPr>
          <w:rFonts w:hint="eastAsia" w:ascii="宋体" w:hAnsi="宋体"/>
          <w:bCs/>
          <w:sz w:val="24"/>
        </w:rPr>
        <w:t>本授权委托书声明：我</w:t>
      </w:r>
      <w:r>
        <w:rPr>
          <w:rFonts w:hint="eastAsia" w:ascii="宋体" w:hAnsi="宋体"/>
          <w:bCs/>
          <w:sz w:val="24"/>
          <w:u w:val="single"/>
        </w:rPr>
        <w:t xml:space="preserve">   </w:t>
      </w:r>
      <w:r>
        <w:rPr>
          <w:rFonts w:hint="eastAsia" w:ascii="宋体" w:hAnsi="宋体"/>
          <w:bCs/>
          <w:i/>
          <w:sz w:val="24"/>
          <w:u w:val="single"/>
        </w:rPr>
        <w:t xml:space="preserve">（法定代表人姓名）  </w:t>
      </w:r>
      <w:r>
        <w:rPr>
          <w:rFonts w:hint="eastAsia" w:ascii="宋体" w:hAnsi="宋体"/>
          <w:bCs/>
          <w:sz w:val="24"/>
          <w:u w:val="single"/>
        </w:rPr>
        <w:t xml:space="preserve"> </w:t>
      </w:r>
      <w:r>
        <w:rPr>
          <w:rFonts w:hint="eastAsia" w:ascii="宋体" w:hAnsi="宋体"/>
          <w:bCs/>
          <w:sz w:val="24"/>
        </w:rPr>
        <w:t>，系</w:t>
      </w:r>
      <w:r>
        <w:rPr>
          <w:rFonts w:hint="eastAsia" w:ascii="宋体" w:hAnsi="宋体"/>
          <w:bCs/>
          <w:sz w:val="24"/>
          <w:u w:val="single"/>
        </w:rPr>
        <w:t xml:space="preserve">     </w:t>
      </w:r>
      <w:r>
        <w:rPr>
          <w:rFonts w:hint="eastAsia" w:ascii="宋体" w:hAnsi="宋体"/>
          <w:bCs/>
          <w:i/>
          <w:sz w:val="24"/>
          <w:u w:val="single"/>
        </w:rPr>
        <w:t xml:space="preserve">（供应商名称） </w:t>
      </w:r>
      <w:r>
        <w:rPr>
          <w:rFonts w:hint="eastAsia" w:ascii="宋体" w:hAnsi="宋体"/>
          <w:bCs/>
          <w:sz w:val="24"/>
          <w:u w:val="single"/>
        </w:rPr>
        <w:t xml:space="preserve">    </w:t>
      </w:r>
      <w:r>
        <w:rPr>
          <w:rFonts w:hint="eastAsia" w:ascii="宋体" w:hAnsi="宋体"/>
          <w:bCs/>
          <w:sz w:val="24"/>
        </w:rPr>
        <w:t>的法定代表人，现授权委托</w:t>
      </w:r>
      <w:r>
        <w:rPr>
          <w:rFonts w:hint="eastAsia" w:ascii="宋体" w:hAnsi="宋体"/>
          <w:bCs/>
          <w:sz w:val="24"/>
          <w:u w:val="single"/>
        </w:rPr>
        <w:t xml:space="preserve">  </w:t>
      </w:r>
      <w:r>
        <w:rPr>
          <w:rFonts w:hint="eastAsia" w:ascii="宋体" w:hAnsi="宋体"/>
          <w:bCs/>
          <w:i/>
          <w:sz w:val="24"/>
          <w:u w:val="single"/>
        </w:rPr>
        <w:t xml:space="preserve">（授权代理人姓名） </w:t>
      </w:r>
      <w:r>
        <w:rPr>
          <w:rFonts w:hint="eastAsia" w:ascii="宋体" w:hAnsi="宋体"/>
          <w:bCs/>
          <w:sz w:val="24"/>
          <w:u w:val="single"/>
        </w:rPr>
        <w:t xml:space="preserve"> </w:t>
      </w:r>
      <w:r>
        <w:rPr>
          <w:rFonts w:hint="eastAsia" w:ascii="宋体" w:hAnsi="宋体"/>
          <w:bCs/>
          <w:sz w:val="24"/>
        </w:rPr>
        <w:t>为我公司委托代理人，以本公司的名义参加</w:t>
      </w:r>
      <w:r>
        <w:rPr>
          <w:rFonts w:hint="eastAsia" w:ascii="宋体" w:hAnsi="宋体"/>
          <w:bCs/>
          <w:sz w:val="24"/>
          <w:u w:val="single"/>
        </w:rPr>
        <w:t xml:space="preserve">  </w:t>
      </w:r>
      <w:r>
        <w:rPr>
          <w:rFonts w:hint="eastAsia" w:ascii="宋体" w:hAnsi="宋体"/>
          <w:bCs/>
          <w:i/>
          <w:sz w:val="24"/>
          <w:u w:val="single"/>
        </w:rPr>
        <w:t xml:space="preserve">（项目名称） </w:t>
      </w:r>
      <w:r>
        <w:rPr>
          <w:rFonts w:hint="eastAsia" w:ascii="宋体" w:hAnsi="宋体"/>
          <w:bCs/>
          <w:sz w:val="24"/>
          <w:u w:val="single"/>
        </w:rPr>
        <w:t xml:space="preserve"> </w:t>
      </w:r>
      <w:r>
        <w:rPr>
          <w:rFonts w:hint="eastAsia" w:ascii="宋体" w:hAnsi="宋体"/>
          <w:bCs/>
          <w:sz w:val="24"/>
        </w:rPr>
        <w:t>的投标活动，委托代理人在开标、评标、合同谈判、签约及办理相关公证等过程中所签署的一切文件和处理与之有关的一切事务，我均予承认。</w:t>
      </w:r>
    </w:p>
    <w:p>
      <w:pPr>
        <w:adjustRightInd w:val="0"/>
        <w:snapToGrid w:val="0"/>
        <w:spacing w:line="500" w:lineRule="exact"/>
        <w:ind w:firstLine="480"/>
        <w:rPr>
          <w:rFonts w:ascii="宋体" w:hAnsi="宋体"/>
          <w:bCs/>
          <w:sz w:val="24"/>
        </w:rPr>
      </w:pPr>
      <w:r>
        <w:rPr>
          <w:rFonts w:hint="eastAsia" w:ascii="宋体" w:hAnsi="宋体"/>
          <w:bCs/>
          <w:sz w:val="24"/>
        </w:rPr>
        <w:t>该授权代理人无转委托权。</w:t>
      </w:r>
    </w:p>
    <w:p>
      <w:pPr>
        <w:adjustRightInd w:val="0"/>
        <w:snapToGrid w:val="0"/>
        <w:spacing w:line="500" w:lineRule="exact"/>
        <w:ind w:firstLine="480"/>
        <w:rPr>
          <w:rFonts w:ascii="宋体" w:hAnsi="宋体"/>
          <w:bCs/>
          <w:sz w:val="24"/>
        </w:rPr>
      </w:pPr>
    </w:p>
    <w:p>
      <w:pPr>
        <w:adjustRightInd w:val="0"/>
        <w:snapToGrid w:val="0"/>
        <w:spacing w:line="500" w:lineRule="exact"/>
        <w:ind w:firstLine="480"/>
        <w:rPr>
          <w:rFonts w:ascii="宋体" w:hAnsi="宋体"/>
          <w:bCs/>
          <w:sz w:val="24"/>
        </w:rPr>
      </w:pPr>
      <w:r>
        <w:rPr>
          <w:rFonts w:hint="eastAsia" w:ascii="宋体" w:hAnsi="宋体"/>
          <w:bCs/>
          <w:sz w:val="24"/>
        </w:rPr>
        <w:t>特此授权。</w:t>
      </w:r>
    </w:p>
    <w:p>
      <w:pPr>
        <w:adjustRightInd w:val="0"/>
        <w:snapToGrid w:val="0"/>
        <w:spacing w:line="500" w:lineRule="exact"/>
        <w:jc w:val="left"/>
        <w:rPr>
          <w:rFonts w:ascii="宋体" w:hAnsi="宋体"/>
          <w:bCs/>
          <w:sz w:val="24"/>
        </w:rPr>
      </w:pPr>
    </w:p>
    <w:p>
      <w:pPr>
        <w:adjustRightInd w:val="0"/>
        <w:snapToGrid w:val="0"/>
        <w:spacing w:line="500" w:lineRule="exact"/>
        <w:jc w:val="left"/>
        <w:rPr>
          <w:rFonts w:ascii="宋体" w:hAnsi="宋体"/>
          <w:bCs/>
          <w:sz w:val="24"/>
        </w:rPr>
      </w:pPr>
    </w:p>
    <w:p>
      <w:pPr>
        <w:adjustRightInd w:val="0"/>
        <w:snapToGrid w:val="0"/>
        <w:spacing w:line="640" w:lineRule="exact"/>
        <w:ind w:firstLine="3120" w:firstLineChars="1300"/>
        <w:jc w:val="left"/>
        <w:rPr>
          <w:rFonts w:ascii="宋体" w:hAnsi="宋体"/>
          <w:bCs/>
          <w:sz w:val="24"/>
        </w:rPr>
      </w:pPr>
      <w:r>
        <w:rPr>
          <w:rFonts w:hint="eastAsia" w:ascii="宋体" w:hAnsi="宋体"/>
          <w:bCs/>
          <w:sz w:val="24"/>
        </w:rPr>
        <w:t>供应商 （公章）：</w:t>
      </w:r>
    </w:p>
    <w:p>
      <w:pPr>
        <w:adjustRightInd w:val="0"/>
        <w:snapToGrid w:val="0"/>
        <w:spacing w:line="640" w:lineRule="exact"/>
        <w:ind w:firstLine="3120" w:firstLineChars="1300"/>
        <w:jc w:val="left"/>
        <w:rPr>
          <w:rFonts w:ascii="宋体" w:hAnsi="宋体"/>
          <w:bCs/>
          <w:sz w:val="24"/>
        </w:rPr>
      </w:pPr>
      <w:r>
        <w:rPr>
          <w:rFonts w:hint="eastAsia" w:ascii="宋体" w:hAnsi="宋体"/>
          <w:bCs/>
          <w:sz w:val="24"/>
        </w:rPr>
        <w:t>法定代表人（签字或盖章）：</w:t>
      </w:r>
    </w:p>
    <w:p>
      <w:pPr>
        <w:adjustRightInd w:val="0"/>
        <w:snapToGrid w:val="0"/>
        <w:spacing w:line="640" w:lineRule="exact"/>
        <w:ind w:left="3720" w:hanging="3720" w:hangingChars="1550"/>
        <w:jc w:val="left"/>
        <w:rPr>
          <w:rFonts w:ascii="宋体" w:hAnsi="宋体"/>
          <w:bCs/>
          <w:sz w:val="24"/>
        </w:rPr>
      </w:pPr>
      <w:r>
        <w:rPr>
          <w:rFonts w:hint="eastAsia" w:ascii="宋体" w:hAnsi="宋体"/>
          <w:bCs/>
          <w:sz w:val="24"/>
        </w:rPr>
        <w:t xml:space="preserve">                          代理人姓名：            性别：       年龄：        </w:t>
      </w:r>
    </w:p>
    <w:p>
      <w:pPr>
        <w:adjustRightInd w:val="0"/>
        <w:snapToGrid w:val="0"/>
        <w:spacing w:line="640" w:lineRule="exact"/>
        <w:ind w:left="3712" w:leftChars="1482" w:hanging="600" w:hangingChars="250"/>
        <w:jc w:val="left"/>
        <w:rPr>
          <w:rFonts w:ascii="宋体" w:hAnsi="宋体"/>
          <w:bCs/>
          <w:sz w:val="24"/>
        </w:rPr>
      </w:pPr>
      <w:r>
        <w:rPr>
          <w:rFonts w:hint="eastAsia" w:ascii="宋体" w:hAnsi="宋体"/>
          <w:bCs/>
          <w:sz w:val="24"/>
        </w:rPr>
        <w:t>职务：</w:t>
      </w:r>
    </w:p>
    <w:p>
      <w:pPr>
        <w:adjustRightInd w:val="0"/>
        <w:snapToGrid w:val="0"/>
        <w:spacing w:line="640" w:lineRule="exact"/>
        <w:jc w:val="left"/>
        <w:rPr>
          <w:rFonts w:ascii="宋体" w:hAnsi="宋体"/>
          <w:bCs/>
          <w:sz w:val="24"/>
          <w:u w:val="single"/>
        </w:rPr>
      </w:pPr>
      <w:r>
        <w:rPr>
          <w:rFonts w:hint="eastAsia" w:ascii="宋体" w:hAnsi="宋体"/>
          <w:bCs/>
          <w:sz w:val="24"/>
        </w:rPr>
        <w:t xml:space="preserve">                          授权委托日期：       年        月        日</w:t>
      </w:r>
    </w:p>
    <w:p>
      <w:pPr>
        <w:adjustRightInd w:val="0"/>
        <w:snapToGrid w:val="0"/>
        <w:spacing w:line="500" w:lineRule="exact"/>
        <w:jc w:val="left"/>
        <w:rPr>
          <w:rFonts w:ascii="宋体" w:hAnsi="宋体"/>
          <w:bCs/>
          <w:sz w:val="24"/>
        </w:rPr>
      </w:pPr>
    </w:p>
    <w:p>
      <w:pPr>
        <w:adjustRightInd w:val="0"/>
        <w:snapToGrid w:val="0"/>
        <w:spacing w:line="500" w:lineRule="exact"/>
        <w:jc w:val="left"/>
        <w:rPr>
          <w:rFonts w:ascii="宋体" w:hAnsi="宋体"/>
          <w:bCs/>
          <w:sz w:val="24"/>
        </w:rPr>
      </w:pPr>
    </w:p>
    <w:p>
      <w:pPr>
        <w:adjustRightInd w:val="0"/>
        <w:snapToGrid w:val="0"/>
        <w:spacing w:line="500" w:lineRule="exact"/>
        <w:jc w:val="left"/>
        <w:rPr>
          <w:rFonts w:ascii="宋体" w:hAnsi="宋体"/>
          <w:bCs/>
          <w:sz w:val="24"/>
        </w:rPr>
      </w:pPr>
      <w:r>
        <w:rPr>
          <w:rFonts w:hint="eastAsia" w:ascii="宋体" w:hAnsi="宋体"/>
          <w:bCs/>
          <w:sz w:val="24"/>
        </w:rPr>
        <w:t>（附授权代理人身份证复印件）</w:t>
      </w:r>
    </w:p>
    <w:p>
      <w:pPr>
        <w:spacing w:beforeLines="50" w:afterLines="100" w:line="360" w:lineRule="auto"/>
        <w:rPr>
          <w:rFonts w:ascii="Times New Roman" w:hAnsi="Times New Roman" w:cs="Times New Roman"/>
          <w:bCs/>
          <w:sz w:val="24"/>
          <w:szCs w:val="24"/>
          <w:u w:val="single"/>
        </w:rPr>
      </w:pPr>
    </w:p>
    <w:p>
      <w:pPr>
        <w:spacing w:line="360" w:lineRule="auto"/>
        <w:rPr>
          <w:rFonts w:ascii="Times New Roman" w:hAnsi="Times New Roman" w:cs="Times New Roman"/>
          <w:bCs/>
          <w:sz w:val="24"/>
          <w:szCs w:val="24"/>
        </w:rPr>
      </w:pPr>
    </w:p>
    <w:p>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pPr>
        <w:spacing w:beforeLines="50" w:afterLines="100" w:line="360" w:lineRule="auto"/>
        <w:rPr>
          <w:rFonts w:ascii="Times New Roman" w:hAnsi="Times New Roman" w:cs="Times New Roman"/>
          <w:bCs/>
          <w:sz w:val="24"/>
        </w:rPr>
      </w:pPr>
      <w:r>
        <w:rPr>
          <w:rFonts w:ascii="Times New Roman" w:hAnsi="Times New Roman" w:cs="Times New Roman"/>
          <w:bCs/>
          <w:sz w:val="24"/>
        </w:rPr>
        <w:t>附件</w:t>
      </w:r>
      <w:r>
        <w:rPr>
          <w:rFonts w:hint="eastAsia" w:ascii="Times New Roman" w:hAnsi="Times New Roman" w:cs="Times New Roman"/>
          <w:bCs/>
          <w:sz w:val="24"/>
        </w:rPr>
        <w:t>4</w:t>
      </w:r>
    </w:p>
    <w:p>
      <w:pPr>
        <w:spacing w:line="360" w:lineRule="auto"/>
        <w:jc w:val="center"/>
        <w:rPr>
          <w:rFonts w:ascii="Times New Roman" w:hAnsi="Times New Roman" w:cs="Times New Roman"/>
          <w:bCs/>
          <w:sz w:val="32"/>
          <w:szCs w:val="32"/>
        </w:rPr>
      </w:pPr>
      <w:r>
        <w:rPr>
          <w:rFonts w:ascii="Times New Roman" w:hAnsi="Times New Roman" w:cs="Times New Roman"/>
          <w:bCs/>
          <w:sz w:val="32"/>
          <w:szCs w:val="32"/>
        </w:rPr>
        <w:t>法人或者其他组织的营业执照等证明文件，自然人的</w:t>
      </w:r>
    </w:p>
    <w:p>
      <w:pPr>
        <w:spacing w:line="360" w:lineRule="auto"/>
        <w:jc w:val="center"/>
        <w:rPr>
          <w:rFonts w:ascii="Times New Roman" w:hAnsi="Times New Roman" w:cs="Times New Roman"/>
          <w:bCs/>
          <w:sz w:val="32"/>
          <w:szCs w:val="32"/>
        </w:rPr>
      </w:pPr>
      <w:r>
        <w:rPr>
          <w:rFonts w:ascii="Times New Roman" w:hAnsi="Times New Roman" w:cs="Times New Roman"/>
          <w:bCs/>
          <w:sz w:val="32"/>
          <w:szCs w:val="32"/>
        </w:rPr>
        <w:t>身份证明等证明材料</w:t>
      </w:r>
    </w:p>
    <w:p>
      <w:pPr>
        <w:spacing w:line="360" w:lineRule="auto"/>
        <w:rPr>
          <w:rFonts w:ascii="Times New Roman" w:hAnsi="Times New Roman" w:eastAsia="仿宋_GB2312" w:cs="Times New Roman"/>
          <w:bCs/>
          <w:szCs w:val="28"/>
        </w:rPr>
      </w:pPr>
    </w:p>
    <w:p>
      <w:pPr>
        <w:widowControl/>
        <w:spacing w:line="360" w:lineRule="auto"/>
        <w:jc w:val="center"/>
        <w:rPr>
          <w:rFonts w:ascii="Times New Roman" w:hAnsi="Times New Roman" w:cs="Times New Roman"/>
          <w:bCs/>
          <w:sz w:val="24"/>
        </w:rPr>
      </w:pPr>
      <w:r>
        <w:rPr>
          <w:rFonts w:ascii="Times New Roman" w:hAnsi="Times New Roman" w:cs="Times New Roman"/>
          <w:bCs/>
          <w:sz w:val="24"/>
        </w:rPr>
        <w:t>（企业法人营业执照、税务登记证，供应商是自然人的身份证明材料等）</w:t>
      </w:r>
    </w:p>
    <w:p>
      <w:pPr>
        <w:widowControl/>
        <w:spacing w:line="360" w:lineRule="auto"/>
        <w:jc w:val="left"/>
        <w:rPr>
          <w:rFonts w:ascii="Times New Roman" w:hAnsi="Times New Roman" w:cs="Times New Roman"/>
          <w:bCs/>
          <w:sz w:val="24"/>
        </w:rPr>
      </w:pPr>
      <w:r>
        <w:rPr>
          <w:rFonts w:ascii="Times New Roman" w:hAnsi="Times New Roman" w:cs="Times New Roman"/>
          <w:bCs/>
          <w:sz w:val="24"/>
        </w:rPr>
        <w:br w:type="page"/>
      </w:r>
    </w:p>
    <w:p>
      <w:pPr>
        <w:spacing w:line="360" w:lineRule="auto"/>
        <w:ind w:left="360" w:hanging="360" w:hangingChars="150"/>
        <w:rPr>
          <w:rFonts w:ascii="Times New Roman" w:hAnsi="Times New Roman" w:cs="Times New Roman"/>
          <w:bCs/>
          <w:sz w:val="24"/>
        </w:rPr>
      </w:pPr>
      <w:r>
        <w:rPr>
          <w:rFonts w:ascii="Times New Roman" w:hAnsi="Times New Roman" w:cs="Times New Roman"/>
          <w:bCs/>
          <w:sz w:val="24"/>
        </w:rPr>
        <w:t>附件</w:t>
      </w:r>
      <w:r>
        <w:rPr>
          <w:rFonts w:hint="eastAsia" w:ascii="Times New Roman" w:hAnsi="Times New Roman" w:cs="Times New Roman"/>
          <w:bCs/>
          <w:sz w:val="24"/>
        </w:rPr>
        <w:t>5</w:t>
      </w:r>
    </w:p>
    <w:p>
      <w:pPr>
        <w:spacing w:line="360" w:lineRule="auto"/>
        <w:ind w:left="360" w:hanging="360" w:hangingChars="150"/>
        <w:rPr>
          <w:rFonts w:ascii="Times New Roman" w:hAnsi="Times New Roman" w:cs="Times New Roman"/>
          <w:bCs/>
          <w:sz w:val="24"/>
        </w:rPr>
      </w:pPr>
    </w:p>
    <w:p>
      <w:pPr>
        <w:spacing w:line="360" w:lineRule="auto"/>
        <w:jc w:val="center"/>
        <w:rPr>
          <w:rFonts w:ascii="Times New Roman" w:hAnsi="Times New Roman" w:cs="Times New Roman"/>
          <w:bCs/>
          <w:sz w:val="32"/>
          <w:szCs w:val="32"/>
        </w:rPr>
      </w:pPr>
      <w:r>
        <w:rPr>
          <w:rFonts w:ascii="Times New Roman" w:hAnsi="Times New Roman" w:cs="Times New Roman"/>
          <w:bCs/>
          <w:sz w:val="32"/>
          <w:szCs w:val="32"/>
        </w:rPr>
        <w:t>财务状况报告，依法缴纳税收</w:t>
      </w:r>
      <w:r>
        <w:rPr>
          <w:rFonts w:hint="eastAsia" w:ascii="Times New Roman" w:hAnsi="Times New Roman" w:cs="Times New Roman"/>
          <w:bCs/>
          <w:sz w:val="32"/>
          <w:szCs w:val="32"/>
        </w:rPr>
        <w:t>和社会保障金</w:t>
      </w:r>
      <w:r>
        <w:rPr>
          <w:rFonts w:ascii="Times New Roman" w:hAnsi="Times New Roman" w:cs="Times New Roman"/>
          <w:bCs/>
          <w:sz w:val="32"/>
          <w:szCs w:val="32"/>
        </w:rPr>
        <w:t>的相关材料</w:t>
      </w:r>
    </w:p>
    <w:p>
      <w:pPr>
        <w:spacing w:line="360" w:lineRule="auto"/>
        <w:rPr>
          <w:rFonts w:ascii="Times New Roman" w:hAnsi="Times New Roman" w:eastAsia="仿宋_GB2312" w:cs="Times New Roman"/>
          <w:bCs/>
          <w:szCs w:val="28"/>
        </w:rPr>
      </w:pPr>
    </w:p>
    <w:p>
      <w:pPr>
        <w:spacing w:line="360" w:lineRule="auto"/>
        <w:ind w:firstLine="480" w:firstLineChars="200"/>
        <w:rPr>
          <w:rFonts w:ascii="Times New Roman" w:hAnsi="Times New Roman" w:cs="Times New Roman"/>
          <w:bCs/>
          <w:sz w:val="24"/>
        </w:rPr>
      </w:pPr>
      <w:r>
        <w:rPr>
          <w:rFonts w:hint="eastAsia" w:ascii="Times New Roman" w:hAnsi="Times New Roman" w:cs="Times New Roman"/>
          <w:bCs/>
          <w:sz w:val="24"/>
        </w:rPr>
        <w:t>1、</w:t>
      </w:r>
      <w:r>
        <w:rPr>
          <w:rFonts w:ascii="Times New Roman" w:hAnsi="Times New Roman" w:cs="Times New Roman"/>
          <w:bCs/>
          <w:sz w:val="24"/>
        </w:rPr>
        <w:t>参加本采购项目</w:t>
      </w:r>
      <w:r>
        <w:rPr>
          <w:rFonts w:hint="eastAsia" w:ascii="Times New Roman" w:hAnsi="Times New Roman" w:cs="Times New Roman"/>
          <w:bCs/>
          <w:sz w:val="24"/>
        </w:rPr>
        <w:t>上一年</w:t>
      </w:r>
      <w:r>
        <w:rPr>
          <w:rFonts w:ascii="Times New Roman" w:hAnsi="Times New Roman" w:cs="Times New Roman"/>
          <w:bCs/>
          <w:sz w:val="24"/>
        </w:rPr>
        <w:t>的</w:t>
      </w:r>
      <w:r>
        <w:rPr>
          <w:rFonts w:hint="eastAsia" w:ascii="Times New Roman" w:hAnsi="Times New Roman" w:cs="Times New Roman"/>
          <w:bCs/>
          <w:sz w:val="24"/>
        </w:rPr>
        <w:t>财务审计报告或财务报表</w:t>
      </w:r>
      <w:r>
        <w:rPr>
          <w:rFonts w:ascii="Times New Roman" w:hAnsi="Times New Roman" w:cs="Times New Roman"/>
          <w:bCs/>
          <w:sz w:val="24"/>
        </w:rPr>
        <w:t>（企业成立时间不足一年不适用），或其他证明具备实施本项目的财务状况证明材料；</w:t>
      </w:r>
    </w:p>
    <w:p>
      <w:pPr>
        <w:spacing w:line="360" w:lineRule="auto"/>
        <w:ind w:firstLine="480" w:firstLineChars="200"/>
        <w:rPr>
          <w:rFonts w:ascii="Times New Roman" w:hAnsi="Times New Roman" w:cs="Times New Roman"/>
          <w:bCs/>
          <w:sz w:val="24"/>
        </w:rPr>
      </w:pPr>
      <w:r>
        <w:rPr>
          <w:rFonts w:hint="eastAsia" w:ascii="Times New Roman" w:hAnsi="Times New Roman" w:cs="Times New Roman"/>
          <w:bCs/>
          <w:sz w:val="24"/>
        </w:rPr>
        <w:t>2、依法缴纳税收和社会保障金的证明材料（</w:t>
      </w:r>
      <w:r>
        <w:rPr>
          <w:rFonts w:hint="eastAsia" w:ascii="Times New Roman" w:hAnsi="Times New Roman" w:cs="Times New Roman"/>
          <w:bCs/>
          <w:sz w:val="24"/>
          <w:szCs w:val="24"/>
        </w:rPr>
        <w:t>提供参加本次采购活动近一年内至少一个月的纳税和社会保险费缴纳的证明材料</w:t>
      </w:r>
      <w:r>
        <w:rPr>
          <w:rFonts w:hint="eastAsia" w:ascii="Times New Roman" w:hAnsi="Times New Roman" w:cs="Times New Roman"/>
          <w:bCs/>
          <w:sz w:val="24"/>
        </w:rPr>
        <w:t>）</w:t>
      </w:r>
      <w:r>
        <w:rPr>
          <w:rFonts w:ascii="Times New Roman" w:hAnsi="Times New Roman" w:cs="Times New Roman"/>
          <w:bCs/>
          <w:sz w:val="24"/>
        </w:rPr>
        <w:t>；</w:t>
      </w:r>
    </w:p>
    <w:p>
      <w:pPr>
        <w:spacing w:line="360" w:lineRule="auto"/>
        <w:ind w:left="2" w:leftChars="1" w:firstLine="420" w:firstLineChars="200"/>
        <w:rPr>
          <w:rFonts w:ascii="Times New Roman" w:hAnsi="Times New Roman" w:cs="Times New Roman"/>
          <w:bCs/>
          <w:sz w:val="24"/>
        </w:rPr>
      </w:pPr>
      <w:r>
        <w:rPr>
          <w:rFonts w:ascii="Times New Roman" w:hAnsi="Times New Roman" w:cs="Times New Roman"/>
          <w:szCs w:val="28"/>
        </w:rPr>
        <w:br w:type="page"/>
      </w:r>
      <w:r>
        <w:rPr>
          <w:rFonts w:ascii="Times New Roman" w:hAnsi="Times New Roman" w:cs="Times New Roman"/>
          <w:bCs/>
          <w:sz w:val="24"/>
        </w:rPr>
        <w:t>附件</w:t>
      </w:r>
      <w:r>
        <w:rPr>
          <w:rFonts w:hint="eastAsia" w:ascii="Times New Roman" w:hAnsi="Times New Roman" w:cs="Times New Roman"/>
          <w:bCs/>
          <w:sz w:val="24"/>
        </w:rPr>
        <w:t>6</w:t>
      </w:r>
    </w:p>
    <w:p>
      <w:pPr>
        <w:widowControl/>
        <w:spacing w:line="360" w:lineRule="auto"/>
        <w:jc w:val="left"/>
        <w:rPr>
          <w:rFonts w:ascii="Times New Roman" w:hAnsi="Times New Roman" w:cs="Times New Roman"/>
          <w:bCs/>
          <w:sz w:val="24"/>
        </w:rPr>
      </w:pPr>
    </w:p>
    <w:p>
      <w:pPr>
        <w:spacing w:line="360" w:lineRule="auto"/>
        <w:jc w:val="center"/>
        <w:rPr>
          <w:rFonts w:ascii="Times New Roman" w:hAnsi="Times New Roman" w:cs="Times New Roman"/>
          <w:bCs/>
          <w:sz w:val="32"/>
          <w:szCs w:val="32"/>
        </w:rPr>
      </w:pPr>
      <w:r>
        <w:rPr>
          <w:rFonts w:ascii="Times New Roman" w:hAnsi="Times New Roman" w:cs="Times New Roman"/>
          <w:bCs/>
          <w:sz w:val="32"/>
          <w:szCs w:val="32"/>
        </w:rPr>
        <w:t>具备履行合同所必需的设备和专业技术能力的</w:t>
      </w:r>
    </w:p>
    <w:p>
      <w:pPr>
        <w:spacing w:line="360" w:lineRule="auto"/>
        <w:jc w:val="center"/>
        <w:rPr>
          <w:rFonts w:ascii="Times New Roman" w:hAnsi="Times New Roman" w:cs="Times New Roman"/>
          <w:bCs/>
          <w:sz w:val="32"/>
          <w:szCs w:val="32"/>
        </w:rPr>
      </w:pPr>
      <w:r>
        <w:rPr>
          <w:rFonts w:ascii="Times New Roman" w:hAnsi="Times New Roman" w:cs="Times New Roman"/>
          <w:bCs/>
          <w:sz w:val="32"/>
          <w:szCs w:val="32"/>
        </w:rPr>
        <w:t>证明材料</w:t>
      </w:r>
    </w:p>
    <w:p>
      <w:pPr>
        <w:spacing w:line="360" w:lineRule="auto"/>
        <w:jc w:val="center"/>
        <w:rPr>
          <w:rFonts w:ascii="Times New Roman" w:hAnsi="Times New Roman" w:cs="Times New Roman"/>
          <w:bCs/>
          <w:sz w:val="32"/>
          <w:szCs w:val="32"/>
        </w:rPr>
      </w:pPr>
    </w:p>
    <w:p>
      <w:pPr>
        <w:spacing w:line="360" w:lineRule="auto"/>
        <w:jc w:val="center"/>
        <w:rPr>
          <w:rFonts w:ascii="Times New Roman" w:hAnsi="Times New Roman" w:cs="Times New Roman" w:eastAsiaTheme="majorEastAsia"/>
          <w:bCs/>
          <w:sz w:val="24"/>
        </w:rPr>
      </w:pPr>
      <w:r>
        <w:rPr>
          <w:rFonts w:ascii="Times New Roman" w:hAnsi="Times New Roman" w:cs="Times New Roman"/>
          <w:bCs/>
          <w:sz w:val="24"/>
        </w:rPr>
        <w:t>（提供履行合同所必需的设备和专业技术能力的相关文件）</w:t>
      </w:r>
    </w:p>
    <w:p>
      <w:pPr>
        <w:widowControl/>
        <w:spacing w:line="360" w:lineRule="auto"/>
        <w:jc w:val="left"/>
        <w:rPr>
          <w:rFonts w:ascii="Times New Roman" w:hAnsi="Times New Roman" w:cs="Times New Roman"/>
          <w:sz w:val="24"/>
        </w:rPr>
      </w:pPr>
      <w:r>
        <w:rPr>
          <w:rFonts w:ascii="Times New Roman" w:hAnsi="Times New Roman" w:cs="Times New Roman"/>
          <w:sz w:val="24"/>
        </w:rPr>
        <w:br w:type="page"/>
      </w:r>
    </w:p>
    <w:p>
      <w:pPr>
        <w:spacing w:beforeLines="50" w:afterLines="100" w:line="360" w:lineRule="auto"/>
        <w:rPr>
          <w:rFonts w:ascii="Times New Roman" w:hAnsi="Times New Roman" w:cs="Times New Roman"/>
          <w:bCs/>
          <w:sz w:val="24"/>
        </w:rPr>
      </w:pPr>
      <w:r>
        <w:rPr>
          <w:rFonts w:ascii="Times New Roman" w:hAnsi="Times New Roman" w:cs="Times New Roman"/>
          <w:bCs/>
          <w:sz w:val="24"/>
        </w:rPr>
        <w:t>附件</w:t>
      </w:r>
      <w:r>
        <w:rPr>
          <w:rFonts w:hint="eastAsia" w:ascii="Times New Roman" w:hAnsi="Times New Roman" w:cs="Times New Roman"/>
          <w:bCs/>
          <w:sz w:val="24"/>
        </w:rPr>
        <w:t>7</w:t>
      </w:r>
    </w:p>
    <w:p>
      <w:pPr>
        <w:spacing w:line="360" w:lineRule="auto"/>
        <w:jc w:val="center"/>
        <w:rPr>
          <w:rFonts w:ascii="Times New Roman" w:hAnsi="Times New Roman" w:cs="Times New Roman"/>
          <w:bCs/>
          <w:sz w:val="32"/>
          <w:szCs w:val="32"/>
        </w:rPr>
      </w:pPr>
      <w:r>
        <w:rPr>
          <w:rFonts w:ascii="Times New Roman" w:hAnsi="Times New Roman" w:cs="Times New Roman"/>
          <w:bCs/>
          <w:sz w:val="32"/>
          <w:szCs w:val="32"/>
        </w:rPr>
        <w:t>参加政府采购活动前3年内在经营活动中</w:t>
      </w:r>
    </w:p>
    <w:p>
      <w:pPr>
        <w:spacing w:line="360" w:lineRule="auto"/>
        <w:jc w:val="center"/>
        <w:rPr>
          <w:rFonts w:ascii="Times New Roman" w:hAnsi="Times New Roman" w:cs="Times New Roman"/>
          <w:bCs/>
          <w:sz w:val="32"/>
          <w:szCs w:val="32"/>
        </w:rPr>
      </w:pPr>
      <w:r>
        <w:rPr>
          <w:rFonts w:ascii="Times New Roman" w:hAnsi="Times New Roman" w:cs="Times New Roman"/>
          <w:bCs/>
          <w:sz w:val="32"/>
          <w:szCs w:val="32"/>
        </w:rPr>
        <w:t>没有重大违法记录的书面声明</w:t>
      </w:r>
    </w:p>
    <w:p>
      <w:pPr>
        <w:spacing w:line="360" w:lineRule="auto"/>
        <w:jc w:val="center"/>
        <w:rPr>
          <w:rFonts w:ascii="Times New Roman" w:hAnsi="Times New Roman" w:eastAsia="仿宋_GB2312" w:cs="Times New Roman"/>
          <w:sz w:val="24"/>
        </w:rPr>
      </w:pPr>
    </w:p>
    <w:p>
      <w:pPr>
        <w:spacing w:line="360" w:lineRule="auto"/>
        <w:jc w:val="center"/>
        <w:rPr>
          <w:rFonts w:ascii="Times New Roman" w:hAnsi="Times New Roman" w:cs="Times New Roman" w:eastAsiaTheme="majorEastAsia"/>
          <w:bCs/>
          <w:sz w:val="32"/>
          <w:szCs w:val="32"/>
        </w:rPr>
      </w:pPr>
      <w:r>
        <w:rPr>
          <w:rFonts w:ascii="Times New Roman" w:hAnsi="Times New Roman" w:cs="Times New Roman"/>
          <w:sz w:val="24"/>
        </w:rPr>
        <w:t>（供应商自行编写）</w:t>
      </w:r>
    </w:p>
    <w:p>
      <w:pPr>
        <w:widowControl/>
        <w:spacing w:line="360" w:lineRule="auto"/>
        <w:jc w:val="left"/>
        <w:rPr>
          <w:rFonts w:ascii="Times New Roman" w:hAnsi="Times New Roman" w:cs="Times New Roman" w:eastAsiaTheme="majorEastAsia"/>
          <w:bCs/>
          <w:sz w:val="32"/>
          <w:szCs w:val="32"/>
        </w:rPr>
      </w:pPr>
      <w:r>
        <w:rPr>
          <w:rFonts w:ascii="Times New Roman" w:hAnsi="Times New Roman" w:cs="Times New Roman" w:eastAsiaTheme="majorEastAsia"/>
          <w:bCs/>
          <w:sz w:val="32"/>
          <w:szCs w:val="32"/>
        </w:rPr>
        <w:br w:type="page"/>
      </w:r>
    </w:p>
    <w:p>
      <w:pPr>
        <w:spacing w:beforeLines="50" w:afterLines="100" w:line="360" w:lineRule="auto"/>
        <w:rPr>
          <w:rFonts w:ascii="Times New Roman" w:hAnsi="Times New Roman" w:cs="Times New Roman"/>
          <w:bCs/>
          <w:sz w:val="24"/>
        </w:rPr>
      </w:pPr>
      <w:r>
        <w:rPr>
          <w:rFonts w:ascii="Times New Roman" w:hAnsi="Times New Roman" w:cs="Times New Roman"/>
          <w:bCs/>
          <w:sz w:val="24"/>
        </w:rPr>
        <w:t>附件</w:t>
      </w:r>
      <w:r>
        <w:rPr>
          <w:rFonts w:hint="eastAsia" w:ascii="Times New Roman" w:hAnsi="Times New Roman" w:cs="Times New Roman"/>
          <w:bCs/>
          <w:sz w:val="24"/>
        </w:rPr>
        <w:t>8</w:t>
      </w:r>
    </w:p>
    <w:p>
      <w:pPr>
        <w:spacing w:beforeLines="50" w:afterLines="100" w:line="360" w:lineRule="auto"/>
        <w:jc w:val="center"/>
        <w:rPr>
          <w:rFonts w:ascii="Times New Roman" w:hAnsi="Times New Roman" w:cs="Times New Roman"/>
          <w:bCs/>
          <w:sz w:val="32"/>
          <w:szCs w:val="32"/>
        </w:rPr>
      </w:pPr>
      <w:r>
        <w:rPr>
          <w:rFonts w:hint="eastAsia" w:ascii="Times New Roman" w:hAnsi="Times New Roman" w:cs="Times New Roman"/>
          <w:bCs/>
          <w:sz w:val="32"/>
          <w:szCs w:val="32"/>
        </w:rPr>
        <w:t>具备法律、行政法规规定的其他条件的证明材料</w:t>
      </w:r>
    </w:p>
    <w:p>
      <w:pPr>
        <w:widowControl/>
        <w:spacing w:line="360" w:lineRule="auto"/>
        <w:jc w:val="left"/>
        <w:rPr>
          <w:rFonts w:ascii="Times New Roman" w:hAnsi="Times New Roman" w:cs="Times New Roman" w:eastAsiaTheme="majorEastAsia"/>
          <w:bCs/>
          <w:sz w:val="32"/>
          <w:szCs w:val="32"/>
        </w:rPr>
      </w:pPr>
    </w:p>
    <w:p>
      <w:pPr>
        <w:widowControl/>
        <w:spacing w:line="360" w:lineRule="auto"/>
        <w:jc w:val="left"/>
        <w:rPr>
          <w:rFonts w:ascii="Times New Roman" w:hAnsi="Times New Roman" w:cs="Times New Roman" w:eastAsiaTheme="majorEastAsia"/>
          <w:bCs/>
          <w:sz w:val="32"/>
          <w:szCs w:val="32"/>
        </w:rPr>
      </w:pPr>
    </w:p>
    <w:p>
      <w:pPr>
        <w:widowControl/>
        <w:spacing w:line="360" w:lineRule="auto"/>
        <w:jc w:val="left"/>
        <w:rPr>
          <w:rFonts w:ascii="Times New Roman" w:hAnsi="Times New Roman" w:cs="Times New Roman" w:eastAsiaTheme="majorEastAsia"/>
          <w:bCs/>
          <w:sz w:val="32"/>
          <w:szCs w:val="32"/>
        </w:rPr>
      </w:pPr>
    </w:p>
    <w:p>
      <w:pPr>
        <w:widowControl/>
        <w:spacing w:line="360" w:lineRule="auto"/>
        <w:jc w:val="left"/>
        <w:rPr>
          <w:rFonts w:ascii="Times New Roman" w:hAnsi="Times New Roman" w:cs="Times New Roman" w:eastAsiaTheme="majorEastAsia"/>
          <w:bCs/>
          <w:sz w:val="32"/>
          <w:szCs w:val="32"/>
        </w:rPr>
      </w:pPr>
    </w:p>
    <w:p>
      <w:pPr>
        <w:widowControl/>
        <w:spacing w:line="360" w:lineRule="auto"/>
        <w:jc w:val="left"/>
        <w:rPr>
          <w:rFonts w:ascii="Times New Roman" w:hAnsi="Times New Roman" w:cs="Times New Roman" w:eastAsiaTheme="majorEastAsia"/>
          <w:bCs/>
          <w:sz w:val="32"/>
          <w:szCs w:val="32"/>
        </w:rPr>
      </w:pPr>
    </w:p>
    <w:p>
      <w:pPr>
        <w:widowControl/>
        <w:spacing w:line="360" w:lineRule="auto"/>
        <w:jc w:val="left"/>
        <w:rPr>
          <w:rFonts w:ascii="Times New Roman" w:hAnsi="Times New Roman" w:cs="Times New Roman" w:eastAsiaTheme="majorEastAsia"/>
          <w:bCs/>
          <w:sz w:val="32"/>
          <w:szCs w:val="32"/>
        </w:rPr>
      </w:pPr>
    </w:p>
    <w:p>
      <w:pPr>
        <w:widowControl/>
        <w:spacing w:line="360" w:lineRule="auto"/>
        <w:jc w:val="left"/>
        <w:rPr>
          <w:rFonts w:ascii="Times New Roman" w:hAnsi="Times New Roman" w:cs="Times New Roman" w:eastAsiaTheme="majorEastAsia"/>
          <w:bCs/>
          <w:sz w:val="32"/>
          <w:szCs w:val="32"/>
        </w:rPr>
      </w:pPr>
    </w:p>
    <w:p>
      <w:pPr>
        <w:widowControl/>
        <w:spacing w:line="360" w:lineRule="auto"/>
        <w:jc w:val="left"/>
        <w:rPr>
          <w:rFonts w:ascii="Times New Roman" w:hAnsi="Times New Roman" w:cs="Times New Roman" w:eastAsiaTheme="majorEastAsia"/>
          <w:bCs/>
          <w:sz w:val="32"/>
          <w:szCs w:val="32"/>
        </w:rPr>
      </w:pPr>
    </w:p>
    <w:p>
      <w:pPr>
        <w:widowControl/>
        <w:spacing w:line="360" w:lineRule="auto"/>
        <w:jc w:val="left"/>
        <w:rPr>
          <w:rFonts w:ascii="Times New Roman" w:hAnsi="Times New Roman" w:cs="Times New Roman" w:eastAsiaTheme="majorEastAsia"/>
          <w:bCs/>
          <w:sz w:val="32"/>
          <w:szCs w:val="32"/>
        </w:rPr>
      </w:pPr>
    </w:p>
    <w:p>
      <w:pPr>
        <w:widowControl/>
        <w:spacing w:line="360" w:lineRule="auto"/>
        <w:jc w:val="left"/>
        <w:rPr>
          <w:rFonts w:ascii="Times New Roman" w:hAnsi="Times New Roman" w:cs="Times New Roman" w:eastAsiaTheme="majorEastAsia"/>
          <w:bCs/>
          <w:sz w:val="32"/>
          <w:szCs w:val="32"/>
        </w:rPr>
      </w:pPr>
    </w:p>
    <w:p>
      <w:pPr>
        <w:widowControl/>
        <w:spacing w:line="360" w:lineRule="auto"/>
        <w:jc w:val="left"/>
        <w:rPr>
          <w:rFonts w:ascii="Times New Roman" w:hAnsi="Times New Roman" w:cs="Times New Roman" w:eastAsiaTheme="majorEastAsia"/>
          <w:bCs/>
          <w:sz w:val="32"/>
          <w:szCs w:val="32"/>
        </w:rPr>
      </w:pPr>
    </w:p>
    <w:p>
      <w:pPr>
        <w:widowControl/>
        <w:spacing w:line="360" w:lineRule="auto"/>
        <w:jc w:val="left"/>
        <w:rPr>
          <w:rFonts w:ascii="Times New Roman" w:hAnsi="Times New Roman" w:cs="Times New Roman" w:eastAsiaTheme="majorEastAsia"/>
          <w:bCs/>
          <w:sz w:val="32"/>
          <w:szCs w:val="32"/>
        </w:rPr>
      </w:pPr>
    </w:p>
    <w:p>
      <w:pPr>
        <w:widowControl/>
        <w:spacing w:line="360" w:lineRule="auto"/>
        <w:jc w:val="left"/>
        <w:rPr>
          <w:rFonts w:ascii="Times New Roman" w:hAnsi="Times New Roman" w:cs="Times New Roman" w:eastAsiaTheme="majorEastAsia"/>
          <w:bCs/>
          <w:sz w:val="32"/>
          <w:szCs w:val="32"/>
        </w:rPr>
      </w:pPr>
    </w:p>
    <w:p>
      <w:pPr>
        <w:widowControl/>
        <w:spacing w:line="360" w:lineRule="auto"/>
        <w:jc w:val="left"/>
        <w:rPr>
          <w:rFonts w:ascii="Times New Roman" w:hAnsi="Times New Roman" w:cs="Times New Roman" w:eastAsiaTheme="majorEastAsia"/>
          <w:bCs/>
          <w:sz w:val="32"/>
          <w:szCs w:val="32"/>
        </w:rPr>
      </w:pPr>
    </w:p>
    <w:p>
      <w:pPr>
        <w:widowControl/>
        <w:spacing w:line="360" w:lineRule="auto"/>
        <w:jc w:val="left"/>
        <w:rPr>
          <w:rFonts w:ascii="Times New Roman" w:hAnsi="Times New Roman" w:cs="Times New Roman" w:eastAsiaTheme="majorEastAsia"/>
          <w:bCs/>
          <w:sz w:val="32"/>
          <w:szCs w:val="32"/>
        </w:rPr>
      </w:pPr>
    </w:p>
    <w:p>
      <w:pPr>
        <w:widowControl/>
        <w:spacing w:line="360" w:lineRule="auto"/>
        <w:jc w:val="left"/>
        <w:rPr>
          <w:rFonts w:ascii="Times New Roman" w:hAnsi="Times New Roman" w:cs="Times New Roman" w:eastAsiaTheme="majorEastAsia"/>
          <w:bCs/>
          <w:sz w:val="32"/>
          <w:szCs w:val="32"/>
        </w:rPr>
      </w:pPr>
    </w:p>
    <w:p>
      <w:pPr>
        <w:widowControl/>
        <w:spacing w:line="360" w:lineRule="auto"/>
        <w:jc w:val="left"/>
        <w:rPr>
          <w:rFonts w:ascii="Times New Roman" w:hAnsi="Times New Roman" w:cs="Times New Roman" w:eastAsiaTheme="majorEastAsia"/>
          <w:bCs/>
          <w:sz w:val="32"/>
          <w:szCs w:val="32"/>
        </w:rPr>
      </w:pPr>
    </w:p>
    <w:p>
      <w:pPr>
        <w:widowControl/>
        <w:spacing w:line="360" w:lineRule="auto"/>
        <w:jc w:val="left"/>
        <w:rPr>
          <w:rFonts w:ascii="Times New Roman" w:hAnsi="Times New Roman" w:cs="Times New Roman" w:eastAsiaTheme="majorEastAsia"/>
          <w:bCs/>
          <w:sz w:val="32"/>
          <w:szCs w:val="32"/>
        </w:rPr>
      </w:pPr>
    </w:p>
    <w:p>
      <w:pPr>
        <w:widowControl/>
        <w:spacing w:line="360" w:lineRule="auto"/>
        <w:jc w:val="left"/>
        <w:rPr>
          <w:rFonts w:ascii="Times New Roman" w:hAnsi="Times New Roman" w:cs="Times New Roman" w:eastAsiaTheme="majorEastAsia"/>
          <w:bCs/>
          <w:sz w:val="32"/>
          <w:szCs w:val="32"/>
        </w:rPr>
      </w:pPr>
    </w:p>
    <w:p>
      <w:pPr>
        <w:widowControl/>
        <w:spacing w:line="360" w:lineRule="auto"/>
        <w:jc w:val="left"/>
        <w:rPr>
          <w:rFonts w:ascii="Times New Roman" w:hAnsi="Times New Roman" w:cs="Times New Roman" w:eastAsiaTheme="majorEastAsia"/>
          <w:bCs/>
          <w:sz w:val="32"/>
          <w:szCs w:val="32"/>
        </w:rPr>
      </w:pPr>
    </w:p>
    <w:p>
      <w:pPr>
        <w:widowControl/>
        <w:spacing w:line="360" w:lineRule="auto"/>
        <w:jc w:val="left"/>
        <w:rPr>
          <w:rFonts w:ascii="Times New Roman" w:hAnsi="Times New Roman" w:cs="Times New Roman" w:eastAsiaTheme="majorEastAsia"/>
          <w:bCs/>
          <w:sz w:val="32"/>
          <w:szCs w:val="32"/>
        </w:rPr>
      </w:pPr>
    </w:p>
    <w:p>
      <w:pPr>
        <w:widowControl/>
        <w:spacing w:line="360" w:lineRule="auto"/>
        <w:jc w:val="left"/>
        <w:rPr>
          <w:rFonts w:ascii="Times New Roman" w:hAnsi="Times New Roman" w:cs="Times New Roman" w:eastAsiaTheme="majorEastAsia"/>
          <w:bCs/>
          <w:sz w:val="32"/>
          <w:szCs w:val="32"/>
        </w:rPr>
      </w:pPr>
    </w:p>
    <w:p>
      <w:pPr>
        <w:widowControl/>
        <w:spacing w:line="360" w:lineRule="auto"/>
        <w:jc w:val="left"/>
        <w:rPr>
          <w:rFonts w:ascii="Times New Roman" w:hAnsi="Times New Roman" w:cs="Times New Roman"/>
          <w:sz w:val="32"/>
          <w:szCs w:val="32"/>
        </w:rPr>
      </w:pPr>
      <w:r>
        <w:rPr>
          <w:rFonts w:ascii="Times New Roman" w:hAnsi="Times New Roman" w:cs="Times New Roman"/>
          <w:bCs/>
          <w:sz w:val="24"/>
        </w:rPr>
        <w:t>附件</w:t>
      </w:r>
      <w:r>
        <w:rPr>
          <w:rFonts w:hint="eastAsia" w:ascii="Times New Roman" w:hAnsi="Times New Roman" w:cs="Times New Roman"/>
          <w:bCs/>
          <w:sz w:val="24"/>
        </w:rPr>
        <w:t>9</w:t>
      </w:r>
    </w:p>
    <w:p>
      <w:pPr>
        <w:adjustRightInd w:val="0"/>
        <w:snapToGrid w:val="0"/>
        <w:spacing w:line="360" w:lineRule="auto"/>
        <w:jc w:val="center"/>
        <w:outlineLvl w:val="0"/>
        <w:rPr>
          <w:rFonts w:ascii="Times New Roman" w:hAnsi="Times New Roman" w:cs="Times New Roman"/>
          <w:sz w:val="32"/>
          <w:szCs w:val="32"/>
        </w:rPr>
      </w:pPr>
    </w:p>
    <w:p>
      <w:pPr>
        <w:spacing w:line="360" w:lineRule="auto"/>
        <w:jc w:val="center"/>
        <w:rPr>
          <w:rFonts w:ascii="Times New Roman" w:hAnsi="Times New Roman" w:cs="Times New Roman"/>
          <w:bCs/>
          <w:sz w:val="32"/>
          <w:szCs w:val="32"/>
        </w:rPr>
      </w:pPr>
      <w:r>
        <w:rPr>
          <w:rFonts w:hint="eastAsia" w:ascii="Times New Roman" w:hAnsi="Times New Roman" w:cs="Times New Roman"/>
          <w:bCs/>
          <w:sz w:val="32"/>
          <w:szCs w:val="32"/>
        </w:rPr>
        <w:t>未被列入"信用中国"网站(www.creditchina.gov.cn)失信被执行人（须提供网站截图）、重大税收违法案件当事人、"中国政府采购网"（www.ccgp.gov.cn）政府采购严重违法失信行为记录名单</w:t>
      </w:r>
      <w:r>
        <w:rPr>
          <w:rFonts w:ascii="Times New Roman" w:hAnsi="Times New Roman" w:cs="Times New Roman"/>
          <w:bCs/>
          <w:sz w:val="32"/>
          <w:szCs w:val="32"/>
        </w:rPr>
        <w:t>网页打印件</w:t>
      </w:r>
    </w:p>
    <w:p>
      <w:pPr>
        <w:spacing w:line="360" w:lineRule="auto"/>
        <w:jc w:val="center"/>
        <w:rPr>
          <w:rFonts w:ascii="Times New Roman" w:hAnsi="Times New Roman" w:cs="Times New Roman"/>
          <w:sz w:val="24"/>
        </w:rPr>
      </w:pPr>
    </w:p>
    <w:p>
      <w:pPr>
        <w:spacing w:line="360" w:lineRule="auto"/>
        <w:jc w:val="center"/>
        <w:rPr>
          <w:rFonts w:ascii="Times New Roman" w:hAnsi="Times New Roman" w:cs="Times New Roman"/>
        </w:rPr>
      </w:pPr>
      <w:r>
        <w:rPr>
          <w:rFonts w:ascii="Times New Roman" w:hAnsi="Times New Roman" w:cs="Times New Roman"/>
          <w:sz w:val="24"/>
        </w:rPr>
        <w:t>（供应商自行打印）</w:t>
      </w:r>
    </w:p>
    <w:p>
      <w:pPr>
        <w:spacing w:line="360" w:lineRule="auto"/>
        <w:rPr>
          <w:rFonts w:ascii="Times New Roman" w:hAnsi="Times New Roman" w:cs="Times New Roman"/>
        </w:rPr>
      </w:pPr>
    </w:p>
    <w:p>
      <w:pPr>
        <w:widowControl/>
        <w:spacing w:line="360" w:lineRule="auto"/>
        <w:jc w:val="left"/>
        <w:rPr>
          <w:rFonts w:ascii="Times New Roman" w:hAnsi="Times New Roman" w:cs="Times New Roman"/>
          <w:bCs/>
          <w:sz w:val="24"/>
        </w:rPr>
      </w:pPr>
      <w:r>
        <w:rPr>
          <w:rFonts w:ascii="Times New Roman" w:hAnsi="Times New Roman" w:cs="Times New Roman"/>
          <w:bCs/>
          <w:sz w:val="24"/>
        </w:rPr>
        <w:br w:type="page"/>
      </w:r>
    </w:p>
    <w:p>
      <w:pPr>
        <w:spacing w:line="360" w:lineRule="auto"/>
        <w:rPr>
          <w:sz w:val="24"/>
        </w:rPr>
      </w:pPr>
      <w:r>
        <w:rPr>
          <w:rFonts w:hint="eastAsia"/>
          <w:sz w:val="24"/>
        </w:rPr>
        <w:t>附件10</w:t>
      </w:r>
    </w:p>
    <w:p>
      <w:pPr>
        <w:spacing w:line="360" w:lineRule="auto"/>
        <w:rPr>
          <w:sz w:val="24"/>
        </w:rPr>
      </w:pPr>
    </w:p>
    <w:p>
      <w:pPr>
        <w:widowControl/>
        <w:jc w:val="center"/>
        <w:rPr>
          <w:rFonts w:ascii="宋体" w:hAnsi="宋体"/>
          <w:bCs/>
          <w:sz w:val="24"/>
        </w:rPr>
      </w:pPr>
      <w:bookmarkStart w:id="39" w:name="_Toc31578"/>
      <w:bookmarkStart w:id="40" w:name="_Toc449192104"/>
      <w:r>
        <w:rPr>
          <w:rFonts w:ascii="宋体" w:hAnsi="宋体"/>
          <w:bCs/>
          <w:sz w:val="32"/>
          <w:szCs w:val="32"/>
        </w:rPr>
        <w:t>其他</w:t>
      </w:r>
      <w:r>
        <w:rPr>
          <w:rFonts w:hint="eastAsia" w:ascii="宋体" w:hAnsi="宋体"/>
          <w:bCs/>
          <w:sz w:val="32"/>
          <w:szCs w:val="32"/>
        </w:rPr>
        <w:t>资格证明文件及</w:t>
      </w:r>
      <w:r>
        <w:rPr>
          <w:rFonts w:ascii="宋体" w:hAnsi="宋体"/>
          <w:bCs/>
          <w:sz w:val="32"/>
          <w:szCs w:val="32"/>
        </w:rPr>
        <w:t>资料</w:t>
      </w:r>
      <w:r>
        <w:rPr>
          <w:rFonts w:ascii="宋体" w:hAnsi="宋体"/>
          <w:bCs/>
          <w:sz w:val="24"/>
        </w:rPr>
        <w:br w:type="page"/>
      </w:r>
    </w:p>
    <w:bookmarkEnd w:id="39"/>
    <w:bookmarkEnd w:id="40"/>
    <w:p>
      <w:pPr>
        <w:spacing w:line="360" w:lineRule="auto"/>
        <w:rPr>
          <w:rFonts w:ascii="宋体" w:hAnsi="宋体"/>
          <w:bCs/>
          <w:sz w:val="32"/>
          <w:szCs w:val="32"/>
        </w:rPr>
      </w:pPr>
      <w:r>
        <w:rPr>
          <w:rFonts w:hint="eastAsia"/>
          <w:sz w:val="24"/>
        </w:rPr>
        <w:t xml:space="preserve">附件：11         </w:t>
      </w:r>
      <w:r>
        <w:rPr>
          <w:rFonts w:hint="eastAsia" w:ascii="宋体" w:hAnsi="宋体"/>
          <w:bCs/>
          <w:sz w:val="32"/>
          <w:szCs w:val="32"/>
        </w:rPr>
        <w:t xml:space="preserve">                技术文件</w:t>
      </w:r>
    </w:p>
    <w:p>
      <w:pPr>
        <w:pStyle w:val="5"/>
        <w:spacing w:beforeLines="50" w:afterLines="50" w:line="360" w:lineRule="auto"/>
        <w:jc w:val="center"/>
        <w:rPr>
          <w:rFonts w:hAnsi="宋体"/>
          <w:sz w:val="28"/>
          <w:szCs w:val="28"/>
        </w:rPr>
      </w:pPr>
      <w:r>
        <w:rPr>
          <w:rFonts w:hint="eastAsia" w:hAnsi="宋体"/>
          <w:sz w:val="28"/>
          <w:szCs w:val="28"/>
        </w:rPr>
        <w:t>本项目负责人简况表</w:t>
      </w:r>
    </w:p>
    <w:p>
      <w:pPr>
        <w:spacing w:line="160" w:lineRule="exact"/>
        <w:jc w:val="center"/>
        <w:rPr>
          <w:rFonts w:ascii="黑体" w:hAnsi="黑体" w:eastAsia="黑体" w:cs="黑体"/>
          <w:b/>
          <w:sz w:val="32"/>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496"/>
        <w:gridCol w:w="3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sz w:val="24"/>
              </w:rPr>
            </w:pPr>
            <w:r>
              <w:rPr>
                <w:rFonts w:hint="eastAsia"/>
                <w:sz w:val="24"/>
              </w:rPr>
              <w:t>姓   名</w:t>
            </w:r>
          </w:p>
        </w:tc>
        <w:tc>
          <w:tcPr>
            <w:tcW w:w="4496" w:type="dxa"/>
            <w:vAlign w:val="center"/>
          </w:tcPr>
          <w:p>
            <w:pPr>
              <w:jc w:val="center"/>
              <w:rPr>
                <w:sz w:val="24"/>
              </w:rPr>
            </w:pPr>
            <w:r>
              <w:rPr>
                <w:rFonts w:hint="eastAsia"/>
                <w:sz w:val="24"/>
              </w:rPr>
              <w:t>备   注</w:t>
            </w:r>
          </w:p>
        </w:tc>
        <w:tc>
          <w:tcPr>
            <w:tcW w:w="3889" w:type="dxa"/>
            <w:vAlign w:val="center"/>
          </w:tcPr>
          <w:p>
            <w:pPr>
              <w:spacing w:line="360" w:lineRule="exact"/>
              <w:jc w:val="center"/>
              <w:rPr>
                <w:sz w:val="24"/>
              </w:rPr>
            </w:pPr>
            <w:r>
              <w:rPr>
                <w:rFonts w:hint="eastAsia"/>
                <w:sz w:val="24"/>
              </w:rPr>
              <w:t>近三年来的主要工作业绩</w:t>
            </w:r>
          </w:p>
          <w:p>
            <w:pPr>
              <w:spacing w:line="360" w:lineRule="exact"/>
              <w:jc w:val="center"/>
              <w:rPr>
                <w:sz w:val="24"/>
              </w:rPr>
            </w:pPr>
            <w:r>
              <w:rPr>
                <w:rFonts w:hint="eastAsia"/>
                <w:sz w:val="24"/>
              </w:rPr>
              <w:t>及担任的主要工作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1242" w:type="dxa"/>
            <w:vAlign w:val="center"/>
          </w:tcPr>
          <w:p>
            <w:pPr>
              <w:jc w:val="center"/>
              <w:rPr>
                <w:sz w:val="24"/>
              </w:rPr>
            </w:pPr>
            <w:r>
              <w:rPr>
                <w:rFonts w:hint="eastAsia"/>
                <w:sz w:val="24"/>
              </w:rPr>
              <w:t>性    别</w:t>
            </w:r>
          </w:p>
        </w:tc>
        <w:tc>
          <w:tcPr>
            <w:tcW w:w="4496" w:type="dxa"/>
            <w:vAlign w:val="center"/>
          </w:tcPr>
          <w:p>
            <w:pPr>
              <w:pStyle w:val="9"/>
              <w:jc w:val="center"/>
            </w:pPr>
          </w:p>
        </w:tc>
        <w:tc>
          <w:tcPr>
            <w:tcW w:w="3889" w:type="dxa"/>
            <w:vMerge w:val="restart"/>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1242" w:type="dxa"/>
            <w:vAlign w:val="center"/>
          </w:tcPr>
          <w:p>
            <w:pPr>
              <w:jc w:val="center"/>
              <w:rPr>
                <w:sz w:val="24"/>
              </w:rPr>
            </w:pPr>
            <w:r>
              <w:rPr>
                <w:rFonts w:hint="eastAsia"/>
                <w:sz w:val="24"/>
              </w:rPr>
              <w:t>年    龄</w:t>
            </w:r>
          </w:p>
        </w:tc>
        <w:tc>
          <w:tcPr>
            <w:tcW w:w="4496" w:type="dxa"/>
            <w:vAlign w:val="center"/>
          </w:tcPr>
          <w:p>
            <w:pPr>
              <w:jc w:val="center"/>
              <w:rPr>
                <w:sz w:val="24"/>
              </w:rPr>
            </w:pPr>
          </w:p>
        </w:tc>
        <w:tc>
          <w:tcPr>
            <w:tcW w:w="3889" w:type="dxa"/>
            <w:vMerge w:val="continue"/>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1242" w:type="dxa"/>
            <w:vAlign w:val="center"/>
          </w:tcPr>
          <w:p>
            <w:pPr>
              <w:jc w:val="center"/>
              <w:rPr>
                <w:sz w:val="24"/>
              </w:rPr>
            </w:pPr>
            <w:r>
              <w:rPr>
                <w:rFonts w:hint="eastAsia"/>
                <w:sz w:val="24"/>
              </w:rPr>
              <w:t>职    称</w:t>
            </w:r>
          </w:p>
        </w:tc>
        <w:tc>
          <w:tcPr>
            <w:tcW w:w="4496" w:type="dxa"/>
            <w:vAlign w:val="center"/>
          </w:tcPr>
          <w:p>
            <w:pPr>
              <w:jc w:val="center"/>
              <w:rPr>
                <w:sz w:val="24"/>
              </w:rPr>
            </w:pPr>
          </w:p>
        </w:tc>
        <w:tc>
          <w:tcPr>
            <w:tcW w:w="3889" w:type="dxa"/>
            <w:vMerge w:val="continue"/>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1242" w:type="dxa"/>
            <w:vAlign w:val="center"/>
          </w:tcPr>
          <w:p>
            <w:pPr>
              <w:jc w:val="center"/>
              <w:rPr>
                <w:sz w:val="24"/>
              </w:rPr>
            </w:pPr>
            <w:r>
              <w:rPr>
                <w:rFonts w:hint="eastAsia"/>
                <w:sz w:val="24"/>
              </w:rPr>
              <w:t>毕业学校</w:t>
            </w:r>
          </w:p>
        </w:tc>
        <w:tc>
          <w:tcPr>
            <w:tcW w:w="4496" w:type="dxa"/>
            <w:vAlign w:val="center"/>
          </w:tcPr>
          <w:p>
            <w:pPr>
              <w:jc w:val="center"/>
              <w:rPr>
                <w:sz w:val="24"/>
              </w:rPr>
            </w:pPr>
          </w:p>
        </w:tc>
        <w:tc>
          <w:tcPr>
            <w:tcW w:w="3889" w:type="dxa"/>
            <w:vMerge w:val="continue"/>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1242" w:type="dxa"/>
            <w:vAlign w:val="center"/>
          </w:tcPr>
          <w:p>
            <w:pPr>
              <w:jc w:val="center"/>
              <w:rPr>
                <w:sz w:val="24"/>
              </w:rPr>
            </w:pPr>
            <w:r>
              <w:rPr>
                <w:rFonts w:hint="eastAsia"/>
                <w:sz w:val="24"/>
              </w:rPr>
              <w:t>毕业时间</w:t>
            </w:r>
          </w:p>
        </w:tc>
        <w:tc>
          <w:tcPr>
            <w:tcW w:w="4496" w:type="dxa"/>
            <w:vAlign w:val="center"/>
          </w:tcPr>
          <w:p>
            <w:pPr>
              <w:jc w:val="center"/>
              <w:rPr>
                <w:sz w:val="24"/>
              </w:rPr>
            </w:pPr>
          </w:p>
        </w:tc>
        <w:tc>
          <w:tcPr>
            <w:tcW w:w="3889" w:type="dxa"/>
            <w:vMerge w:val="continue"/>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1242" w:type="dxa"/>
            <w:vAlign w:val="center"/>
          </w:tcPr>
          <w:p>
            <w:pPr>
              <w:jc w:val="center"/>
              <w:rPr>
                <w:sz w:val="24"/>
              </w:rPr>
            </w:pPr>
            <w:r>
              <w:rPr>
                <w:rFonts w:hint="eastAsia"/>
                <w:sz w:val="24"/>
              </w:rPr>
              <w:t>所学专业</w:t>
            </w:r>
          </w:p>
        </w:tc>
        <w:tc>
          <w:tcPr>
            <w:tcW w:w="4496" w:type="dxa"/>
            <w:vAlign w:val="center"/>
          </w:tcPr>
          <w:p>
            <w:pPr>
              <w:pStyle w:val="9"/>
              <w:jc w:val="center"/>
            </w:pPr>
          </w:p>
        </w:tc>
        <w:tc>
          <w:tcPr>
            <w:tcW w:w="3889" w:type="dxa"/>
            <w:vMerge w:val="continue"/>
          </w:tcPr>
          <w:p>
            <w:pPr>
              <w:spacing w:line="500" w:lineRule="exact"/>
              <w:rPr>
                <w:sz w:val="24"/>
              </w:rPr>
            </w:pPr>
          </w:p>
        </w:tc>
      </w:tr>
    </w:tbl>
    <w:p>
      <w:pPr>
        <w:spacing w:line="500" w:lineRule="exact"/>
        <w:rPr>
          <w:sz w:val="22"/>
        </w:rPr>
      </w:pPr>
      <w:r>
        <w:rPr>
          <w:rFonts w:hint="eastAsia"/>
          <w:sz w:val="22"/>
        </w:rPr>
        <w:t>注：提供拟派人员身份证、职称证等证明材料复印件。</w:t>
      </w:r>
    </w:p>
    <w:p>
      <w:pPr>
        <w:spacing w:line="500" w:lineRule="exact"/>
        <w:rPr>
          <w:sz w:val="22"/>
        </w:rPr>
      </w:pPr>
      <w:r>
        <w:rPr>
          <w:rFonts w:hint="eastAsia"/>
          <w:sz w:val="22"/>
        </w:rPr>
        <w:t xml:space="preserve">  </w:t>
      </w:r>
    </w:p>
    <w:p/>
    <w:p>
      <w:pPr>
        <w:spacing w:line="500" w:lineRule="exact"/>
        <w:ind w:firstLine="4620" w:firstLineChars="2100"/>
        <w:rPr>
          <w:sz w:val="22"/>
        </w:rPr>
      </w:pPr>
    </w:p>
    <w:p>
      <w:pPr>
        <w:spacing w:line="500" w:lineRule="exact"/>
        <w:ind w:firstLine="4620" w:firstLineChars="2100"/>
        <w:rPr>
          <w:sz w:val="22"/>
        </w:rPr>
      </w:pPr>
      <w:r>
        <w:rPr>
          <w:rFonts w:hint="eastAsia"/>
          <w:sz w:val="22"/>
        </w:rPr>
        <w:t>投标人签字、盖章：</w:t>
      </w:r>
    </w:p>
    <w:p>
      <w:pPr>
        <w:spacing w:line="500" w:lineRule="exact"/>
        <w:rPr>
          <w:sz w:val="22"/>
        </w:rPr>
      </w:pPr>
      <w:r>
        <w:rPr>
          <w:rFonts w:hint="eastAsia"/>
          <w:sz w:val="22"/>
        </w:rPr>
        <w:t xml:space="preserve">                                                    年    月    日</w:t>
      </w:r>
    </w:p>
    <w:p>
      <w:pPr>
        <w:spacing w:line="500" w:lineRule="exact"/>
        <w:rPr>
          <w:sz w:val="22"/>
        </w:rPr>
      </w:pPr>
    </w:p>
    <w:p>
      <w:pPr>
        <w:spacing w:line="500" w:lineRule="exact"/>
        <w:rPr>
          <w:rFonts w:eastAsia="仿宋_GB2312"/>
          <w:sz w:val="26"/>
        </w:rPr>
      </w:pPr>
      <w:r>
        <w:rPr>
          <w:rFonts w:ascii="黑体" w:hAnsi="黑体" w:eastAsia="黑体" w:cs="黑体"/>
          <w:sz w:val="32"/>
        </w:rPr>
        <w:br w:type="page"/>
      </w:r>
    </w:p>
    <w:p>
      <w:pPr>
        <w:spacing w:afterLines="50" w:line="360" w:lineRule="auto"/>
        <w:jc w:val="center"/>
        <w:rPr>
          <w:rFonts w:ascii="方正宋三简体" w:hAnsi="方正宋三简体" w:eastAsia="方正宋三简体" w:cs="方正宋三简体"/>
          <w:sz w:val="24"/>
          <w:u w:val="single"/>
        </w:rPr>
      </w:pPr>
      <w:r>
        <w:rPr>
          <w:rFonts w:hint="eastAsia" w:ascii="方正宋三简体" w:hAnsi="方正宋三简体" w:eastAsia="方正宋三简体" w:cs="方正宋三简体"/>
          <w:sz w:val="28"/>
          <w:szCs w:val="28"/>
        </w:rPr>
        <w:t>拟派本项目组成员列表</w:t>
      </w:r>
    </w:p>
    <w:p>
      <w:pPr>
        <w:spacing w:line="360" w:lineRule="auto"/>
        <w:ind w:firstLine="480" w:firstLineChars="200"/>
        <w:rPr>
          <w:rFonts w:ascii="Times New Roman" w:hAnsi="Times New Roman" w:cs="Times New Roman"/>
          <w:sz w:val="24"/>
          <w:u w:val="single"/>
        </w:rPr>
      </w:pPr>
      <w:r>
        <w:rPr>
          <w:rFonts w:ascii="Times New Roman" w:hAnsi="Times New Roman" w:cs="Times New Roman"/>
          <w:sz w:val="24"/>
        </w:rPr>
        <w:t>项目编号：</w:t>
      </w:r>
    </w:p>
    <w:p>
      <w:pPr>
        <w:spacing w:afterLines="50" w:line="360" w:lineRule="auto"/>
        <w:ind w:firstLine="480" w:firstLineChars="200"/>
        <w:rPr>
          <w:rFonts w:ascii="方正宋三简体" w:hAnsi="方正宋三简体" w:eastAsia="方正宋三简体" w:cs="方正宋三简体"/>
          <w:sz w:val="24"/>
          <w:u w:val="single"/>
        </w:rPr>
      </w:pPr>
      <w:r>
        <w:rPr>
          <w:rFonts w:ascii="Times New Roman" w:hAnsi="Times New Roman" w:cs="Times New Roman"/>
          <w:sz w:val="24"/>
        </w:rPr>
        <w:t>项目名称：</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416"/>
        <w:gridCol w:w="1246"/>
        <w:gridCol w:w="2695"/>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4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b/>
                <w:bCs/>
                <w:sz w:val="24"/>
                <w:szCs w:val="24"/>
              </w:rPr>
            </w:pPr>
            <w:r>
              <w:rPr>
                <w:rFonts w:hint="eastAsia" w:ascii="宋体" w:hAnsi="宋体" w:eastAsia="宋体" w:cs="宋体"/>
                <w:b/>
                <w:bCs/>
                <w:sz w:val="24"/>
                <w:szCs w:val="24"/>
              </w:rPr>
              <w:t>姓名</w:t>
            </w:r>
          </w:p>
        </w:tc>
        <w:tc>
          <w:tcPr>
            <w:tcW w:w="12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b/>
                <w:bCs/>
                <w:sz w:val="24"/>
                <w:szCs w:val="24"/>
              </w:rPr>
            </w:pPr>
            <w:r>
              <w:rPr>
                <w:rFonts w:hint="eastAsia" w:ascii="宋体" w:hAnsi="宋体" w:eastAsia="宋体" w:cs="宋体"/>
                <w:b/>
                <w:bCs/>
                <w:sz w:val="24"/>
                <w:szCs w:val="24"/>
              </w:rPr>
              <w:t>年龄</w:t>
            </w:r>
          </w:p>
        </w:tc>
        <w:tc>
          <w:tcPr>
            <w:tcW w:w="2695" w:type="dxa"/>
            <w:tcBorders>
              <w:top w:val="single" w:color="auto" w:sz="4" w:space="0"/>
              <w:left w:val="single" w:color="auto" w:sz="4" w:space="0"/>
              <w:right w:val="single" w:color="auto" w:sz="4" w:space="0"/>
            </w:tcBorders>
            <w:vAlign w:val="center"/>
          </w:tcPr>
          <w:p>
            <w:pPr>
              <w:spacing w:line="300" w:lineRule="exact"/>
              <w:jc w:val="center"/>
              <w:rPr>
                <w:rFonts w:ascii="宋体" w:hAnsi="宋体" w:eastAsia="宋体" w:cs="宋体"/>
                <w:b/>
                <w:bCs/>
                <w:sz w:val="24"/>
                <w:szCs w:val="24"/>
              </w:rPr>
            </w:pPr>
            <w:r>
              <w:rPr>
                <w:rFonts w:hint="eastAsia" w:ascii="宋体" w:hAnsi="宋体" w:eastAsia="宋体" w:cs="宋体"/>
                <w:b/>
                <w:bCs/>
                <w:sz w:val="24"/>
                <w:szCs w:val="24"/>
              </w:rPr>
              <w:t>在本项目中承担的工作</w:t>
            </w:r>
          </w:p>
        </w:tc>
        <w:tc>
          <w:tcPr>
            <w:tcW w:w="2139" w:type="dxa"/>
            <w:tcBorders>
              <w:top w:val="single" w:color="auto" w:sz="4" w:space="0"/>
              <w:left w:val="single" w:color="auto" w:sz="4" w:space="0"/>
              <w:right w:val="single" w:color="auto" w:sz="4" w:space="0"/>
            </w:tcBorders>
            <w:vAlign w:val="center"/>
          </w:tcPr>
          <w:p>
            <w:pPr>
              <w:spacing w:line="300" w:lineRule="exact"/>
              <w:jc w:val="center"/>
              <w:rPr>
                <w:rFonts w:ascii="宋体" w:hAnsi="宋体" w:eastAsia="宋体" w:cs="宋体"/>
                <w:b/>
                <w:bCs/>
                <w:sz w:val="24"/>
                <w:szCs w:val="24"/>
              </w:rPr>
            </w:pPr>
            <w:r>
              <w:rPr>
                <w:rFonts w:hint="eastAsia" w:ascii="宋体" w:hAnsi="宋体" w:eastAsia="宋体" w:cs="宋体"/>
                <w:b/>
                <w:bCs/>
                <w:sz w:val="24"/>
                <w:szCs w:val="24"/>
              </w:rPr>
              <w:t>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eastAsia="宋体" w:cs="宋体"/>
                <w:sz w:val="24"/>
                <w:szCs w:val="24"/>
              </w:rPr>
            </w:pPr>
            <w:r>
              <w:rPr>
                <w:rFonts w:hint="eastAsia" w:ascii="宋体" w:hAnsi="宋体" w:eastAsia="宋体" w:cs="宋体"/>
                <w:sz w:val="24"/>
                <w:szCs w:val="24"/>
              </w:rPr>
              <w:t>1</w:t>
            </w:r>
          </w:p>
        </w:tc>
        <w:tc>
          <w:tcPr>
            <w:tcW w:w="1416"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宋体" w:hAnsi="宋体" w:eastAsia="宋体" w:cs="宋体"/>
                <w:sz w:val="24"/>
                <w:szCs w:val="24"/>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宋体" w:hAnsi="宋体" w:eastAsia="宋体" w:cs="宋体"/>
                <w:sz w:val="24"/>
                <w:szCs w:val="24"/>
              </w:rPr>
            </w:pPr>
          </w:p>
        </w:tc>
        <w:tc>
          <w:tcPr>
            <w:tcW w:w="2695" w:type="dxa"/>
            <w:tcBorders>
              <w:left w:val="single" w:color="auto" w:sz="4" w:space="0"/>
              <w:right w:val="single" w:color="auto" w:sz="4" w:space="0"/>
            </w:tcBorders>
          </w:tcPr>
          <w:p>
            <w:pPr>
              <w:spacing w:beforeLines="50" w:afterLines="50"/>
              <w:rPr>
                <w:rFonts w:ascii="宋体" w:hAnsi="宋体" w:eastAsia="宋体" w:cs="宋体"/>
                <w:sz w:val="24"/>
                <w:szCs w:val="24"/>
              </w:rPr>
            </w:pPr>
          </w:p>
        </w:tc>
        <w:tc>
          <w:tcPr>
            <w:tcW w:w="2139" w:type="dxa"/>
            <w:tcBorders>
              <w:left w:val="single" w:color="auto" w:sz="4" w:space="0"/>
              <w:right w:val="single" w:color="auto" w:sz="4" w:space="0"/>
            </w:tcBorders>
          </w:tcPr>
          <w:p>
            <w:pPr>
              <w:spacing w:beforeLines="50" w:afterLines="5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eastAsia="宋体" w:cs="宋体"/>
                <w:sz w:val="24"/>
                <w:szCs w:val="24"/>
              </w:rPr>
            </w:pPr>
            <w:r>
              <w:rPr>
                <w:rFonts w:hint="eastAsia" w:ascii="宋体" w:hAnsi="宋体" w:eastAsia="宋体" w:cs="宋体"/>
                <w:sz w:val="24"/>
                <w:szCs w:val="24"/>
              </w:rPr>
              <w:t>2</w:t>
            </w:r>
          </w:p>
        </w:tc>
        <w:tc>
          <w:tcPr>
            <w:tcW w:w="1416"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宋体" w:hAnsi="宋体" w:eastAsia="宋体" w:cs="宋体"/>
                <w:sz w:val="24"/>
                <w:szCs w:val="24"/>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宋体" w:hAnsi="宋体" w:eastAsia="宋体" w:cs="宋体"/>
                <w:sz w:val="24"/>
                <w:szCs w:val="24"/>
              </w:rPr>
            </w:pPr>
          </w:p>
        </w:tc>
        <w:tc>
          <w:tcPr>
            <w:tcW w:w="2695" w:type="dxa"/>
            <w:tcBorders>
              <w:left w:val="single" w:color="auto" w:sz="4" w:space="0"/>
              <w:right w:val="single" w:color="auto" w:sz="4" w:space="0"/>
            </w:tcBorders>
          </w:tcPr>
          <w:p>
            <w:pPr>
              <w:spacing w:beforeLines="50" w:afterLines="50"/>
              <w:rPr>
                <w:rFonts w:ascii="宋体" w:hAnsi="宋体" w:eastAsia="宋体" w:cs="宋体"/>
                <w:sz w:val="24"/>
                <w:szCs w:val="24"/>
              </w:rPr>
            </w:pPr>
          </w:p>
        </w:tc>
        <w:tc>
          <w:tcPr>
            <w:tcW w:w="2139" w:type="dxa"/>
            <w:tcBorders>
              <w:left w:val="single" w:color="auto" w:sz="4" w:space="0"/>
              <w:right w:val="single" w:color="auto" w:sz="4" w:space="0"/>
            </w:tcBorders>
          </w:tcPr>
          <w:p>
            <w:pPr>
              <w:spacing w:beforeLines="50" w:afterLines="5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eastAsia="宋体" w:cs="宋体"/>
                <w:sz w:val="24"/>
                <w:szCs w:val="24"/>
              </w:rPr>
            </w:pPr>
            <w:r>
              <w:rPr>
                <w:rFonts w:hint="eastAsia" w:ascii="宋体" w:hAnsi="宋体" w:eastAsia="宋体" w:cs="宋体"/>
                <w:sz w:val="24"/>
                <w:szCs w:val="24"/>
              </w:rPr>
              <w:t>3</w:t>
            </w:r>
          </w:p>
        </w:tc>
        <w:tc>
          <w:tcPr>
            <w:tcW w:w="1416"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宋体" w:hAnsi="宋体" w:eastAsia="宋体" w:cs="宋体"/>
                <w:sz w:val="24"/>
                <w:szCs w:val="24"/>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宋体" w:hAnsi="宋体" w:eastAsia="宋体" w:cs="宋体"/>
                <w:sz w:val="24"/>
                <w:szCs w:val="24"/>
              </w:rPr>
            </w:pPr>
          </w:p>
        </w:tc>
        <w:tc>
          <w:tcPr>
            <w:tcW w:w="2695" w:type="dxa"/>
            <w:tcBorders>
              <w:left w:val="single" w:color="auto" w:sz="4" w:space="0"/>
              <w:right w:val="single" w:color="auto" w:sz="4" w:space="0"/>
            </w:tcBorders>
          </w:tcPr>
          <w:p>
            <w:pPr>
              <w:spacing w:beforeLines="50" w:afterLines="50"/>
              <w:rPr>
                <w:rFonts w:ascii="宋体" w:hAnsi="宋体" w:eastAsia="宋体" w:cs="宋体"/>
                <w:sz w:val="24"/>
                <w:szCs w:val="24"/>
              </w:rPr>
            </w:pPr>
          </w:p>
        </w:tc>
        <w:tc>
          <w:tcPr>
            <w:tcW w:w="2139" w:type="dxa"/>
            <w:tcBorders>
              <w:left w:val="single" w:color="auto" w:sz="4" w:space="0"/>
              <w:right w:val="single" w:color="auto" w:sz="4" w:space="0"/>
            </w:tcBorders>
          </w:tcPr>
          <w:p>
            <w:pPr>
              <w:spacing w:beforeLines="50" w:afterLines="5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eastAsia="宋体" w:cs="宋体"/>
                <w:sz w:val="24"/>
                <w:szCs w:val="24"/>
              </w:rPr>
            </w:pPr>
            <w:r>
              <w:rPr>
                <w:rFonts w:hint="eastAsia" w:ascii="宋体" w:hAnsi="宋体" w:eastAsia="宋体" w:cs="宋体"/>
                <w:sz w:val="24"/>
                <w:szCs w:val="24"/>
              </w:rPr>
              <w:t>4</w:t>
            </w:r>
          </w:p>
        </w:tc>
        <w:tc>
          <w:tcPr>
            <w:tcW w:w="1416"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宋体" w:hAnsi="宋体" w:eastAsia="宋体" w:cs="宋体"/>
                <w:sz w:val="24"/>
                <w:szCs w:val="24"/>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宋体" w:hAnsi="宋体" w:eastAsia="宋体" w:cs="宋体"/>
                <w:sz w:val="24"/>
                <w:szCs w:val="24"/>
              </w:rPr>
            </w:pPr>
          </w:p>
        </w:tc>
        <w:tc>
          <w:tcPr>
            <w:tcW w:w="2695" w:type="dxa"/>
            <w:tcBorders>
              <w:left w:val="single" w:color="auto" w:sz="4" w:space="0"/>
              <w:right w:val="single" w:color="auto" w:sz="4" w:space="0"/>
            </w:tcBorders>
          </w:tcPr>
          <w:p>
            <w:pPr>
              <w:spacing w:beforeLines="50" w:afterLines="50"/>
              <w:rPr>
                <w:rFonts w:ascii="宋体" w:hAnsi="宋体" w:eastAsia="宋体" w:cs="宋体"/>
                <w:sz w:val="24"/>
                <w:szCs w:val="24"/>
              </w:rPr>
            </w:pPr>
          </w:p>
        </w:tc>
        <w:tc>
          <w:tcPr>
            <w:tcW w:w="2139" w:type="dxa"/>
            <w:tcBorders>
              <w:left w:val="single" w:color="auto" w:sz="4" w:space="0"/>
              <w:right w:val="single" w:color="auto" w:sz="4" w:space="0"/>
            </w:tcBorders>
          </w:tcPr>
          <w:p>
            <w:pPr>
              <w:spacing w:beforeLines="50" w:afterLines="5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eastAsia="宋体" w:cs="宋体"/>
                <w:sz w:val="24"/>
                <w:szCs w:val="24"/>
              </w:rPr>
            </w:pPr>
            <w:r>
              <w:rPr>
                <w:rFonts w:hint="eastAsia" w:ascii="宋体" w:hAnsi="宋体" w:eastAsia="宋体" w:cs="宋体"/>
                <w:sz w:val="24"/>
                <w:szCs w:val="24"/>
              </w:rPr>
              <w:t>5</w:t>
            </w:r>
          </w:p>
        </w:tc>
        <w:tc>
          <w:tcPr>
            <w:tcW w:w="1416"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宋体" w:hAnsi="宋体" w:eastAsia="宋体" w:cs="宋体"/>
                <w:sz w:val="24"/>
                <w:szCs w:val="24"/>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宋体" w:hAnsi="宋体" w:eastAsia="宋体" w:cs="宋体"/>
                <w:sz w:val="24"/>
                <w:szCs w:val="24"/>
              </w:rPr>
            </w:pPr>
          </w:p>
        </w:tc>
        <w:tc>
          <w:tcPr>
            <w:tcW w:w="2695" w:type="dxa"/>
            <w:tcBorders>
              <w:left w:val="single" w:color="auto" w:sz="4" w:space="0"/>
              <w:right w:val="single" w:color="auto" w:sz="4" w:space="0"/>
            </w:tcBorders>
          </w:tcPr>
          <w:p>
            <w:pPr>
              <w:spacing w:beforeLines="50" w:afterLines="50"/>
              <w:rPr>
                <w:rFonts w:ascii="宋体" w:hAnsi="宋体" w:eastAsia="宋体" w:cs="宋体"/>
                <w:sz w:val="24"/>
                <w:szCs w:val="24"/>
              </w:rPr>
            </w:pPr>
          </w:p>
        </w:tc>
        <w:tc>
          <w:tcPr>
            <w:tcW w:w="2139" w:type="dxa"/>
            <w:tcBorders>
              <w:left w:val="single" w:color="auto" w:sz="4" w:space="0"/>
              <w:right w:val="single" w:color="auto" w:sz="4" w:space="0"/>
            </w:tcBorders>
          </w:tcPr>
          <w:p>
            <w:pPr>
              <w:spacing w:beforeLines="50" w:afterLines="5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eastAsia="宋体" w:cs="宋体"/>
                <w:sz w:val="24"/>
                <w:szCs w:val="24"/>
              </w:rPr>
            </w:pPr>
            <w:r>
              <w:rPr>
                <w:rFonts w:hint="eastAsia" w:ascii="宋体" w:hAnsi="宋体" w:eastAsia="宋体" w:cs="宋体"/>
                <w:sz w:val="24"/>
                <w:szCs w:val="24"/>
              </w:rPr>
              <w:t>6</w:t>
            </w:r>
          </w:p>
        </w:tc>
        <w:tc>
          <w:tcPr>
            <w:tcW w:w="1416"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宋体" w:hAnsi="宋体" w:eastAsia="宋体" w:cs="宋体"/>
                <w:sz w:val="24"/>
                <w:szCs w:val="24"/>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宋体" w:hAnsi="宋体" w:eastAsia="宋体" w:cs="宋体"/>
                <w:sz w:val="24"/>
                <w:szCs w:val="24"/>
              </w:rPr>
            </w:pPr>
          </w:p>
        </w:tc>
        <w:tc>
          <w:tcPr>
            <w:tcW w:w="2695" w:type="dxa"/>
            <w:tcBorders>
              <w:left w:val="single" w:color="auto" w:sz="4" w:space="0"/>
              <w:right w:val="single" w:color="auto" w:sz="4" w:space="0"/>
            </w:tcBorders>
          </w:tcPr>
          <w:p>
            <w:pPr>
              <w:spacing w:beforeLines="50" w:afterLines="50"/>
              <w:rPr>
                <w:rFonts w:ascii="宋体" w:hAnsi="宋体" w:eastAsia="宋体" w:cs="宋体"/>
                <w:sz w:val="24"/>
                <w:szCs w:val="24"/>
              </w:rPr>
            </w:pPr>
          </w:p>
        </w:tc>
        <w:tc>
          <w:tcPr>
            <w:tcW w:w="2139" w:type="dxa"/>
            <w:tcBorders>
              <w:left w:val="single" w:color="auto" w:sz="4" w:space="0"/>
              <w:right w:val="single" w:color="auto" w:sz="4" w:space="0"/>
            </w:tcBorders>
          </w:tcPr>
          <w:p>
            <w:pPr>
              <w:spacing w:beforeLines="50" w:afterLines="5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eastAsia="宋体" w:cs="宋体"/>
                <w:sz w:val="24"/>
                <w:szCs w:val="24"/>
              </w:rPr>
            </w:pPr>
            <w:r>
              <w:rPr>
                <w:rFonts w:hint="eastAsia" w:ascii="宋体" w:hAnsi="宋体" w:eastAsia="宋体" w:cs="宋体"/>
                <w:sz w:val="24"/>
                <w:szCs w:val="24"/>
              </w:rPr>
              <w:t>7</w:t>
            </w:r>
          </w:p>
        </w:tc>
        <w:tc>
          <w:tcPr>
            <w:tcW w:w="1416"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宋体" w:hAnsi="宋体" w:eastAsia="宋体" w:cs="宋体"/>
                <w:sz w:val="24"/>
                <w:szCs w:val="24"/>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宋体" w:hAnsi="宋体" w:eastAsia="宋体" w:cs="宋体"/>
                <w:sz w:val="24"/>
                <w:szCs w:val="24"/>
              </w:rPr>
            </w:pPr>
          </w:p>
        </w:tc>
        <w:tc>
          <w:tcPr>
            <w:tcW w:w="2695" w:type="dxa"/>
            <w:tcBorders>
              <w:left w:val="single" w:color="auto" w:sz="4" w:space="0"/>
              <w:right w:val="single" w:color="auto" w:sz="4" w:space="0"/>
            </w:tcBorders>
          </w:tcPr>
          <w:p>
            <w:pPr>
              <w:spacing w:beforeLines="50" w:afterLines="50"/>
              <w:rPr>
                <w:rFonts w:ascii="宋体" w:hAnsi="宋体" w:eastAsia="宋体" w:cs="宋体"/>
                <w:sz w:val="24"/>
                <w:szCs w:val="24"/>
              </w:rPr>
            </w:pPr>
          </w:p>
        </w:tc>
        <w:tc>
          <w:tcPr>
            <w:tcW w:w="2139" w:type="dxa"/>
            <w:tcBorders>
              <w:left w:val="single" w:color="auto" w:sz="4" w:space="0"/>
              <w:right w:val="single" w:color="auto" w:sz="4" w:space="0"/>
            </w:tcBorders>
          </w:tcPr>
          <w:p>
            <w:pPr>
              <w:spacing w:beforeLines="50" w:afterLines="5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eastAsia="宋体" w:cs="宋体"/>
                <w:sz w:val="24"/>
                <w:szCs w:val="24"/>
              </w:rPr>
            </w:pPr>
            <w:r>
              <w:rPr>
                <w:rFonts w:hint="eastAsia" w:ascii="宋体" w:hAnsi="宋体" w:eastAsia="宋体" w:cs="宋体"/>
                <w:sz w:val="24"/>
                <w:szCs w:val="24"/>
              </w:rPr>
              <w:t>8</w:t>
            </w:r>
          </w:p>
        </w:tc>
        <w:tc>
          <w:tcPr>
            <w:tcW w:w="1416"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宋体" w:hAnsi="宋体" w:eastAsia="宋体" w:cs="宋体"/>
                <w:sz w:val="24"/>
                <w:szCs w:val="24"/>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宋体" w:hAnsi="宋体" w:eastAsia="宋体" w:cs="宋体"/>
                <w:sz w:val="24"/>
                <w:szCs w:val="24"/>
              </w:rPr>
            </w:pPr>
          </w:p>
        </w:tc>
        <w:tc>
          <w:tcPr>
            <w:tcW w:w="2695" w:type="dxa"/>
            <w:tcBorders>
              <w:left w:val="single" w:color="auto" w:sz="4" w:space="0"/>
              <w:right w:val="single" w:color="auto" w:sz="4" w:space="0"/>
            </w:tcBorders>
          </w:tcPr>
          <w:p>
            <w:pPr>
              <w:spacing w:beforeLines="50" w:afterLines="50"/>
              <w:rPr>
                <w:rFonts w:ascii="宋体" w:hAnsi="宋体" w:eastAsia="宋体" w:cs="宋体"/>
                <w:sz w:val="24"/>
                <w:szCs w:val="24"/>
              </w:rPr>
            </w:pPr>
          </w:p>
        </w:tc>
        <w:tc>
          <w:tcPr>
            <w:tcW w:w="2139" w:type="dxa"/>
            <w:tcBorders>
              <w:left w:val="single" w:color="auto" w:sz="4" w:space="0"/>
              <w:right w:val="single" w:color="auto" w:sz="4" w:space="0"/>
            </w:tcBorders>
          </w:tcPr>
          <w:p>
            <w:pPr>
              <w:spacing w:beforeLines="50" w:afterLines="5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spacing w:beforeLines="50" w:afterLines="50"/>
              <w:jc w:val="center"/>
              <w:rPr>
                <w:rFonts w:ascii="宋体" w:hAnsi="宋体" w:eastAsia="宋体" w:cs="宋体"/>
                <w:sz w:val="24"/>
                <w:szCs w:val="24"/>
              </w:rPr>
            </w:pPr>
            <w:r>
              <w:rPr>
                <w:rFonts w:hint="eastAsia" w:ascii="宋体" w:hAnsi="宋体" w:eastAsia="宋体" w:cs="宋体"/>
                <w:sz w:val="24"/>
                <w:szCs w:val="24"/>
              </w:rPr>
              <w:t>... ...</w:t>
            </w:r>
          </w:p>
        </w:tc>
        <w:tc>
          <w:tcPr>
            <w:tcW w:w="1416"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宋体" w:hAnsi="宋体" w:eastAsia="宋体" w:cs="宋体"/>
                <w:sz w:val="24"/>
                <w:szCs w:val="24"/>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beforeLines="50" w:afterLines="50"/>
              <w:rPr>
                <w:rFonts w:ascii="宋体" w:hAnsi="宋体" w:eastAsia="宋体" w:cs="宋体"/>
                <w:sz w:val="24"/>
                <w:szCs w:val="24"/>
              </w:rPr>
            </w:pPr>
          </w:p>
        </w:tc>
        <w:tc>
          <w:tcPr>
            <w:tcW w:w="2695" w:type="dxa"/>
            <w:tcBorders>
              <w:left w:val="single" w:color="auto" w:sz="4" w:space="0"/>
              <w:bottom w:val="single" w:color="auto" w:sz="4" w:space="0"/>
              <w:right w:val="single" w:color="auto" w:sz="4" w:space="0"/>
            </w:tcBorders>
          </w:tcPr>
          <w:p>
            <w:pPr>
              <w:spacing w:beforeLines="50" w:afterLines="50"/>
              <w:rPr>
                <w:rFonts w:ascii="宋体" w:hAnsi="宋体" w:eastAsia="宋体" w:cs="宋体"/>
                <w:sz w:val="24"/>
                <w:szCs w:val="24"/>
              </w:rPr>
            </w:pPr>
          </w:p>
        </w:tc>
        <w:tc>
          <w:tcPr>
            <w:tcW w:w="2139" w:type="dxa"/>
            <w:tcBorders>
              <w:left w:val="single" w:color="auto" w:sz="4" w:space="0"/>
              <w:bottom w:val="single" w:color="auto" w:sz="4" w:space="0"/>
              <w:right w:val="single" w:color="auto" w:sz="4" w:space="0"/>
            </w:tcBorders>
          </w:tcPr>
          <w:p>
            <w:pPr>
              <w:spacing w:beforeLines="50" w:afterLines="50"/>
              <w:rPr>
                <w:rFonts w:ascii="宋体" w:hAnsi="宋体" w:eastAsia="宋体" w:cs="宋体"/>
                <w:sz w:val="24"/>
                <w:szCs w:val="24"/>
              </w:rPr>
            </w:pPr>
          </w:p>
        </w:tc>
      </w:tr>
    </w:tbl>
    <w:p>
      <w:pPr>
        <w:spacing w:line="500" w:lineRule="exact"/>
        <w:ind w:firstLine="440" w:firstLineChars="200"/>
        <w:rPr>
          <w:sz w:val="22"/>
        </w:rPr>
      </w:pPr>
      <w:r>
        <w:rPr>
          <w:rFonts w:hint="eastAsia"/>
          <w:sz w:val="22"/>
        </w:rPr>
        <w:t>注：提供拟派人员身份证、职称证等证明材料复印件。</w:t>
      </w:r>
    </w:p>
    <w:p>
      <w:pPr>
        <w:spacing w:line="500" w:lineRule="exact"/>
        <w:rPr>
          <w:sz w:val="22"/>
        </w:rPr>
      </w:pPr>
    </w:p>
    <w:p>
      <w:pPr>
        <w:pStyle w:val="5"/>
        <w:spacing w:beforeLines="50" w:afterLines="50" w:line="360" w:lineRule="auto"/>
        <w:jc w:val="center"/>
        <w:rPr>
          <w:rFonts w:hAnsi="宋体"/>
          <w:sz w:val="28"/>
          <w:szCs w:val="28"/>
        </w:rPr>
      </w:pPr>
      <w:r>
        <w:rPr>
          <w:rFonts w:hAnsi="宋体"/>
          <w:sz w:val="28"/>
          <w:szCs w:val="28"/>
        </w:rPr>
        <w:br w:type="page"/>
      </w:r>
    </w:p>
    <w:p>
      <w:pPr>
        <w:pStyle w:val="4"/>
        <w:tabs>
          <w:tab w:val="left" w:pos="1264"/>
        </w:tabs>
      </w:pPr>
      <w:r>
        <w:t>类似业绩一览表</w:t>
      </w:r>
    </w:p>
    <w:p>
      <w:pPr>
        <w:pStyle w:val="7"/>
        <w:spacing w:before="5"/>
        <w:rPr>
          <w:b/>
          <w:sz w:val="11"/>
        </w:rPr>
      </w:pPr>
    </w:p>
    <w:p>
      <w:pPr>
        <w:pStyle w:val="7"/>
        <w:spacing w:before="66"/>
        <w:ind w:left="1200"/>
      </w:pPr>
      <w:r>
        <w:t>采购项目名称：</w:t>
      </w:r>
    </w:p>
    <w:p>
      <w:pPr>
        <w:pStyle w:val="7"/>
        <w:spacing w:before="3"/>
        <w:rPr>
          <w:sz w:val="6"/>
        </w:rPr>
      </w:pPr>
    </w:p>
    <w:tbl>
      <w:tblPr>
        <w:tblStyle w:val="14"/>
        <w:tblW w:w="0" w:type="auto"/>
        <w:tblInd w:w="6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8"/>
        <w:gridCol w:w="1293"/>
        <w:gridCol w:w="1590"/>
        <w:gridCol w:w="2070"/>
        <w:gridCol w:w="1845"/>
        <w:gridCol w:w="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808" w:type="dxa"/>
          </w:tcPr>
          <w:p>
            <w:pPr>
              <w:pStyle w:val="44"/>
              <w:spacing w:before="164"/>
              <w:ind w:left="108"/>
              <w:rPr>
                <w:sz w:val="24"/>
              </w:rPr>
            </w:pPr>
            <w:r>
              <w:rPr>
                <w:sz w:val="24"/>
              </w:rPr>
              <w:t>序号</w:t>
            </w:r>
          </w:p>
        </w:tc>
        <w:tc>
          <w:tcPr>
            <w:tcW w:w="1293" w:type="dxa"/>
          </w:tcPr>
          <w:p>
            <w:pPr>
              <w:pStyle w:val="44"/>
              <w:spacing w:before="164"/>
              <w:ind w:left="106"/>
              <w:rPr>
                <w:sz w:val="24"/>
              </w:rPr>
            </w:pPr>
            <w:r>
              <w:rPr>
                <w:sz w:val="24"/>
              </w:rPr>
              <w:t>建设单位</w:t>
            </w:r>
          </w:p>
        </w:tc>
        <w:tc>
          <w:tcPr>
            <w:tcW w:w="1590" w:type="dxa"/>
          </w:tcPr>
          <w:p>
            <w:pPr>
              <w:pStyle w:val="44"/>
              <w:spacing w:before="164"/>
              <w:ind w:left="107"/>
              <w:rPr>
                <w:sz w:val="24"/>
              </w:rPr>
            </w:pPr>
            <w:r>
              <w:rPr>
                <w:sz w:val="24"/>
              </w:rPr>
              <w:t>项目名称</w:t>
            </w:r>
          </w:p>
        </w:tc>
        <w:tc>
          <w:tcPr>
            <w:tcW w:w="2070" w:type="dxa"/>
          </w:tcPr>
          <w:p>
            <w:pPr>
              <w:pStyle w:val="44"/>
              <w:spacing w:before="164"/>
              <w:ind w:left="108"/>
              <w:rPr>
                <w:sz w:val="24"/>
              </w:rPr>
            </w:pPr>
            <w:r>
              <w:rPr>
                <w:sz w:val="24"/>
              </w:rPr>
              <w:t>项目金额</w:t>
            </w:r>
          </w:p>
        </w:tc>
        <w:tc>
          <w:tcPr>
            <w:tcW w:w="1845" w:type="dxa"/>
          </w:tcPr>
          <w:p>
            <w:pPr>
              <w:pStyle w:val="44"/>
              <w:spacing w:before="164"/>
              <w:ind w:left="107"/>
              <w:rPr>
                <w:sz w:val="24"/>
              </w:rPr>
            </w:pPr>
            <w:r>
              <w:rPr>
                <w:sz w:val="24"/>
              </w:rPr>
              <w:t>合同签订日期</w:t>
            </w:r>
          </w:p>
        </w:tc>
        <w:tc>
          <w:tcPr>
            <w:tcW w:w="825" w:type="dxa"/>
          </w:tcPr>
          <w:p>
            <w:pPr>
              <w:pStyle w:val="44"/>
              <w:spacing w:before="164"/>
              <w:ind w:left="107"/>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08" w:type="dxa"/>
          </w:tcPr>
          <w:p>
            <w:pPr>
              <w:pStyle w:val="44"/>
              <w:rPr>
                <w:rFonts w:ascii="Times New Roman"/>
                <w:sz w:val="24"/>
              </w:rPr>
            </w:pPr>
          </w:p>
        </w:tc>
        <w:tc>
          <w:tcPr>
            <w:tcW w:w="1293" w:type="dxa"/>
          </w:tcPr>
          <w:p>
            <w:pPr>
              <w:pStyle w:val="44"/>
              <w:rPr>
                <w:rFonts w:ascii="Times New Roman"/>
                <w:sz w:val="24"/>
              </w:rPr>
            </w:pPr>
          </w:p>
        </w:tc>
        <w:tc>
          <w:tcPr>
            <w:tcW w:w="1590" w:type="dxa"/>
          </w:tcPr>
          <w:p>
            <w:pPr>
              <w:pStyle w:val="44"/>
              <w:rPr>
                <w:rFonts w:ascii="Times New Roman"/>
                <w:sz w:val="24"/>
              </w:rPr>
            </w:pPr>
          </w:p>
        </w:tc>
        <w:tc>
          <w:tcPr>
            <w:tcW w:w="2070" w:type="dxa"/>
          </w:tcPr>
          <w:p>
            <w:pPr>
              <w:pStyle w:val="44"/>
              <w:rPr>
                <w:rFonts w:ascii="Times New Roman"/>
                <w:sz w:val="24"/>
              </w:rPr>
            </w:pPr>
          </w:p>
        </w:tc>
        <w:tc>
          <w:tcPr>
            <w:tcW w:w="1845" w:type="dxa"/>
          </w:tcPr>
          <w:p>
            <w:pPr>
              <w:pStyle w:val="44"/>
              <w:rPr>
                <w:rFonts w:ascii="Times New Roman"/>
                <w:sz w:val="24"/>
              </w:rPr>
            </w:pPr>
          </w:p>
        </w:tc>
        <w:tc>
          <w:tcPr>
            <w:tcW w:w="825" w:type="dxa"/>
          </w:tcPr>
          <w:p>
            <w:pPr>
              <w:pStyle w:val="4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808" w:type="dxa"/>
          </w:tcPr>
          <w:p>
            <w:pPr>
              <w:pStyle w:val="44"/>
              <w:rPr>
                <w:rFonts w:ascii="Times New Roman"/>
                <w:sz w:val="24"/>
              </w:rPr>
            </w:pPr>
          </w:p>
        </w:tc>
        <w:tc>
          <w:tcPr>
            <w:tcW w:w="1293" w:type="dxa"/>
          </w:tcPr>
          <w:p>
            <w:pPr>
              <w:pStyle w:val="44"/>
              <w:rPr>
                <w:rFonts w:ascii="Times New Roman"/>
                <w:sz w:val="24"/>
              </w:rPr>
            </w:pPr>
          </w:p>
        </w:tc>
        <w:tc>
          <w:tcPr>
            <w:tcW w:w="1590" w:type="dxa"/>
          </w:tcPr>
          <w:p>
            <w:pPr>
              <w:pStyle w:val="44"/>
              <w:rPr>
                <w:rFonts w:ascii="Times New Roman"/>
                <w:sz w:val="24"/>
              </w:rPr>
            </w:pPr>
          </w:p>
        </w:tc>
        <w:tc>
          <w:tcPr>
            <w:tcW w:w="2070" w:type="dxa"/>
          </w:tcPr>
          <w:p>
            <w:pPr>
              <w:pStyle w:val="44"/>
              <w:rPr>
                <w:rFonts w:ascii="Times New Roman"/>
                <w:sz w:val="24"/>
              </w:rPr>
            </w:pPr>
          </w:p>
        </w:tc>
        <w:tc>
          <w:tcPr>
            <w:tcW w:w="1845" w:type="dxa"/>
          </w:tcPr>
          <w:p>
            <w:pPr>
              <w:pStyle w:val="44"/>
              <w:rPr>
                <w:rFonts w:ascii="Times New Roman"/>
                <w:sz w:val="24"/>
              </w:rPr>
            </w:pPr>
          </w:p>
        </w:tc>
        <w:tc>
          <w:tcPr>
            <w:tcW w:w="825" w:type="dxa"/>
          </w:tcPr>
          <w:p>
            <w:pPr>
              <w:pStyle w:val="4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08" w:type="dxa"/>
          </w:tcPr>
          <w:p>
            <w:pPr>
              <w:pStyle w:val="44"/>
              <w:rPr>
                <w:rFonts w:ascii="Times New Roman"/>
                <w:sz w:val="24"/>
              </w:rPr>
            </w:pPr>
          </w:p>
        </w:tc>
        <w:tc>
          <w:tcPr>
            <w:tcW w:w="1293" w:type="dxa"/>
          </w:tcPr>
          <w:p>
            <w:pPr>
              <w:pStyle w:val="44"/>
              <w:rPr>
                <w:rFonts w:ascii="Times New Roman"/>
                <w:sz w:val="24"/>
              </w:rPr>
            </w:pPr>
          </w:p>
        </w:tc>
        <w:tc>
          <w:tcPr>
            <w:tcW w:w="1590" w:type="dxa"/>
          </w:tcPr>
          <w:p>
            <w:pPr>
              <w:pStyle w:val="44"/>
              <w:rPr>
                <w:rFonts w:ascii="Times New Roman"/>
                <w:sz w:val="24"/>
              </w:rPr>
            </w:pPr>
          </w:p>
        </w:tc>
        <w:tc>
          <w:tcPr>
            <w:tcW w:w="2070" w:type="dxa"/>
          </w:tcPr>
          <w:p>
            <w:pPr>
              <w:pStyle w:val="44"/>
              <w:rPr>
                <w:rFonts w:ascii="Times New Roman"/>
                <w:sz w:val="24"/>
              </w:rPr>
            </w:pPr>
          </w:p>
        </w:tc>
        <w:tc>
          <w:tcPr>
            <w:tcW w:w="1845" w:type="dxa"/>
          </w:tcPr>
          <w:p>
            <w:pPr>
              <w:pStyle w:val="44"/>
              <w:rPr>
                <w:rFonts w:ascii="Times New Roman"/>
                <w:sz w:val="24"/>
              </w:rPr>
            </w:pPr>
          </w:p>
        </w:tc>
        <w:tc>
          <w:tcPr>
            <w:tcW w:w="825" w:type="dxa"/>
          </w:tcPr>
          <w:p>
            <w:pPr>
              <w:pStyle w:val="4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808" w:type="dxa"/>
          </w:tcPr>
          <w:p>
            <w:pPr>
              <w:pStyle w:val="44"/>
              <w:rPr>
                <w:rFonts w:ascii="Times New Roman"/>
                <w:sz w:val="24"/>
              </w:rPr>
            </w:pPr>
          </w:p>
        </w:tc>
        <w:tc>
          <w:tcPr>
            <w:tcW w:w="1293" w:type="dxa"/>
          </w:tcPr>
          <w:p>
            <w:pPr>
              <w:pStyle w:val="44"/>
              <w:rPr>
                <w:rFonts w:ascii="Times New Roman"/>
                <w:sz w:val="24"/>
              </w:rPr>
            </w:pPr>
          </w:p>
        </w:tc>
        <w:tc>
          <w:tcPr>
            <w:tcW w:w="1590" w:type="dxa"/>
          </w:tcPr>
          <w:p>
            <w:pPr>
              <w:pStyle w:val="44"/>
              <w:rPr>
                <w:rFonts w:ascii="Times New Roman"/>
                <w:sz w:val="24"/>
              </w:rPr>
            </w:pPr>
          </w:p>
        </w:tc>
        <w:tc>
          <w:tcPr>
            <w:tcW w:w="2070" w:type="dxa"/>
          </w:tcPr>
          <w:p>
            <w:pPr>
              <w:pStyle w:val="44"/>
              <w:rPr>
                <w:rFonts w:ascii="Times New Roman"/>
                <w:sz w:val="24"/>
              </w:rPr>
            </w:pPr>
          </w:p>
        </w:tc>
        <w:tc>
          <w:tcPr>
            <w:tcW w:w="1845" w:type="dxa"/>
          </w:tcPr>
          <w:p>
            <w:pPr>
              <w:pStyle w:val="44"/>
              <w:rPr>
                <w:rFonts w:ascii="Times New Roman"/>
                <w:sz w:val="24"/>
              </w:rPr>
            </w:pPr>
          </w:p>
        </w:tc>
        <w:tc>
          <w:tcPr>
            <w:tcW w:w="825" w:type="dxa"/>
          </w:tcPr>
          <w:p>
            <w:pPr>
              <w:pStyle w:val="4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08" w:type="dxa"/>
          </w:tcPr>
          <w:p>
            <w:pPr>
              <w:pStyle w:val="44"/>
              <w:rPr>
                <w:rFonts w:ascii="Times New Roman"/>
                <w:sz w:val="24"/>
              </w:rPr>
            </w:pPr>
          </w:p>
        </w:tc>
        <w:tc>
          <w:tcPr>
            <w:tcW w:w="1293" w:type="dxa"/>
          </w:tcPr>
          <w:p>
            <w:pPr>
              <w:pStyle w:val="44"/>
              <w:rPr>
                <w:rFonts w:ascii="Times New Roman"/>
                <w:sz w:val="24"/>
              </w:rPr>
            </w:pPr>
          </w:p>
        </w:tc>
        <w:tc>
          <w:tcPr>
            <w:tcW w:w="1590" w:type="dxa"/>
          </w:tcPr>
          <w:p>
            <w:pPr>
              <w:pStyle w:val="44"/>
              <w:rPr>
                <w:rFonts w:ascii="Times New Roman"/>
                <w:sz w:val="24"/>
              </w:rPr>
            </w:pPr>
          </w:p>
        </w:tc>
        <w:tc>
          <w:tcPr>
            <w:tcW w:w="2070" w:type="dxa"/>
          </w:tcPr>
          <w:p>
            <w:pPr>
              <w:pStyle w:val="44"/>
              <w:rPr>
                <w:rFonts w:ascii="Times New Roman"/>
                <w:sz w:val="24"/>
              </w:rPr>
            </w:pPr>
          </w:p>
        </w:tc>
        <w:tc>
          <w:tcPr>
            <w:tcW w:w="1845" w:type="dxa"/>
          </w:tcPr>
          <w:p>
            <w:pPr>
              <w:pStyle w:val="44"/>
              <w:rPr>
                <w:rFonts w:ascii="Times New Roman"/>
                <w:sz w:val="24"/>
              </w:rPr>
            </w:pPr>
          </w:p>
        </w:tc>
        <w:tc>
          <w:tcPr>
            <w:tcW w:w="825" w:type="dxa"/>
          </w:tcPr>
          <w:p>
            <w:pPr>
              <w:pStyle w:val="4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808" w:type="dxa"/>
          </w:tcPr>
          <w:p>
            <w:pPr>
              <w:pStyle w:val="44"/>
              <w:rPr>
                <w:rFonts w:ascii="Times New Roman"/>
                <w:sz w:val="24"/>
              </w:rPr>
            </w:pPr>
          </w:p>
        </w:tc>
        <w:tc>
          <w:tcPr>
            <w:tcW w:w="1293" w:type="dxa"/>
          </w:tcPr>
          <w:p>
            <w:pPr>
              <w:pStyle w:val="44"/>
              <w:rPr>
                <w:rFonts w:ascii="Times New Roman"/>
                <w:sz w:val="24"/>
              </w:rPr>
            </w:pPr>
          </w:p>
        </w:tc>
        <w:tc>
          <w:tcPr>
            <w:tcW w:w="1590" w:type="dxa"/>
          </w:tcPr>
          <w:p>
            <w:pPr>
              <w:pStyle w:val="44"/>
              <w:rPr>
                <w:rFonts w:ascii="Times New Roman"/>
                <w:sz w:val="24"/>
              </w:rPr>
            </w:pPr>
          </w:p>
        </w:tc>
        <w:tc>
          <w:tcPr>
            <w:tcW w:w="2070" w:type="dxa"/>
          </w:tcPr>
          <w:p>
            <w:pPr>
              <w:pStyle w:val="44"/>
              <w:rPr>
                <w:rFonts w:ascii="Times New Roman"/>
                <w:sz w:val="24"/>
              </w:rPr>
            </w:pPr>
          </w:p>
        </w:tc>
        <w:tc>
          <w:tcPr>
            <w:tcW w:w="1845" w:type="dxa"/>
          </w:tcPr>
          <w:p>
            <w:pPr>
              <w:pStyle w:val="44"/>
              <w:rPr>
                <w:rFonts w:ascii="Times New Roman"/>
                <w:sz w:val="24"/>
              </w:rPr>
            </w:pPr>
          </w:p>
        </w:tc>
        <w:tc>
          <w:tcPr>
            <w:tcW w:w="825" w:type="dxa"/>
          </w:tcPr>
          <w:p>
            <w:pPr>
              <w:pStyle w:val="44"/>
              <w:rPr>
                <w:rFonts w:ascii="Times New Roman"/>
                <w:sz w:val="24"/>
              </w:rPr>
            </w:pPr>
          </w:p>
        </w:tc>
      </w:tr>
    </w:tbl>
    <w:p>
      <w:pPr>
        <w:pStyle w:val="7"/>
        <w:ind w:left="1200"/>
      </w:pPr>
      <w:r>
        <w:t>注：</w:t>
      </w:r>
    </w:p>
    <w:p>
      <w:pPr>
        <w:pStyle w:val="34"/>
        <w:tabs>
          <w:tab w:val="left" w:pos="1441"/>
        </w:tabs>
        <w:spacing w:before="161" w:line="364" w:lineRule="auto"/>
        <w:ind w:left="420" w:leftChars="200" w:right="1017" w:firstLine="0" w:firstLineChars="0"/>
        <w:jc w:val="left"/>
        <w:rPr>
          <w:sz w:val="24"/>
        </w:rPr>
      </w:pPr>
      <w:r>
        <w:rPr>
          <w:rFonts w:hint="eastAsia"/>
          <w:spacing w:val="-5"/>
          <w:sz w:val="24"/>
        </w:rPr>
        <w:t>1.</w:t>
      </w:r>
      <w:r>
        <w:rPr>
          <w:spacing w:val="-5"/>
          <w:sz w:val="24"/>
        </w:rPr>
        <w:t>供应商应在此表后附上业绩的合同协议书作为证明材料，并加盖供应商单</w:t>
      </w:r>
      <w:r>
        <w:rPr>
          <w:sz w:val="24"/>
        </w:rPr>
        <w:t>位公章，对其真实性负责，否则业绩将不予认可。</w:t>
      </w:r>
    </w:p>
    <w:p>
      <w:pPr>
        <w:pStyle w:val="34"/>
        <w:tabs>
          <w:tab w:val="left" w:pos="1441"/>
        </w:tabs>
        <w:spacing w:before="1"/>
        <w:ind w:left="420" w:leftChars="200" w:firstLine="0" w:firstLineChars="0"/>
        <w:jc w:val="left"/>
        <w:rPr>
          <w:sz w:val="24"/>
        </w:rPr>
      </w:pPr>
      <w:r>
        <w:rPr>
          <w:rFonts w:hint="eastAsia"/>
          <w:sz w:val="24"/>
        </w:rPr>
        <w:t>2.</w:t>
      </w:r>
      <w:r>
        <w:rPr>
          <w:sz w:val="24"/>
        </w:rPr>
        <w:t>业绩认定时间以上述证明材料的签署时间为准。</w:t>
      </w:r>
    </w:p>
    <w:p>
      <w:pPr>
        <w:pStyle w:val="7"/>
      </w:pPr>
    </w:p>
    <w:p>
      <w:pPr>
        <w:pStyle w:val="7"/>
      </w:pPr>
    </w:p>
    <w:p>
      <w:pPr>
        <w:pStyle w:val="7"/>
      </w:pPr>
    </w:p>
    <w:p>
      <w:pPr>
        <w:pStyle w:val="7"/>
        <w:spacing w:before="174" w:line="364" w:lineRule="auto"/>
        <w:ind w:left="1200" w:right="4525"/>
      </w:pPr>
      <w:r>
        <w:t xml:space="preserve">磋商供应商法定代表人或授权代表签字： </w:t>
      </w:r>
    </w:p>
    <w:p>
      <w:pPr>
        <w:pStyle w:val="7"/>
        <w:spacing w:before="174" w:line="364" w:lineRule="auto"/>
        <w:ind w:left="1200" w:right="4525"/>
      </w:pPr>
      <w:r>
        <w:rPr>
          <w:rFonts w:hint="eastAsia"/>
        </w:rPr>
        <w:t>磋商</w:t>
      </w:r>
      <w:r>
        <w:t>供应商名称（签章）：</w:t>
      </w:r>
    </w:p>
    <w:p>
      <w:pPr>
        <w:pStyle w:val="7"/>
        <w:tabs>
          <w:tab w:val="left" w:pos="2879"/>
          <w:tab w:val="left" w:pos="3959"/>
          <w:tab w:val="left" w:pos="5039"/>
        </w:tabs>
        <w:spacing w:before="1"/>
        <w:ind w:left="1200"/>
      </w:pPr>
      <w:r>
        <w:t>日期：</w:t>
      </w:r>
      <w:r>
        <w:tab/>
      </w:r>
      <w:r>
        <w:t>年</w:t>
      </w:r>
      <w:r>
        <w:tab/>
      </w:r>
      <w:r>
        <w:t>月</w:t>
      </w:r>
      <w:r>
        <w:tab/>
      </w:r>
      <w:r>
        <w:t>日</w:t>
      </w:r>
    </w:p>
    <w:p>
      <w:pPr>
        <w:sectPr>
          <w:pgSz w:w="11910" w:h="16840"/>
          <w:pgMar w:top="1520" w:right="780" w:bottom="1180" w:left="1080" w:header="0" w:footer="993" w:gutter="0"/>
          <w:cols w:space="720" w:num="1"/>
        </w:sectPr>
      </w:pPr>
    </w:p>
    <w:p>
      <w:pPr>
        <w:spacing w:line="300" w:lineRule="auto"/>
      </w:pPr>
    </w:p>
    <w:p>
      <w:pPr>
        <w:spacing w:line="360" w:lineRule="auto"/>
        <w:jc w:val="center"/>
        <w:rPr>
          <w:rFonts w:ascii="宋体" w:hAnsi="宋体" w:eastAsia="宋体" w:cs="宋体"/>
          <w:bCs/>
          <w:sz w:val="28"/>
          <w:szCs w:val="28"/>
        </w:rPr>
      </w:pPr>
      <w:r>
        <w:rPr>
          <w:rFonts w:hint="eastAsia" w:ascii="宋体" w:hAnsi="宋体" w:eastAsia="宋体" w:cs="宋体"/>
          <w:bCs/>
          <w:sz w:val="28"/>
          <w:szCs w:val="28"/>
        </w:rPr>
        <w:t>技术方案</w:t>
      </w:r>
    </w:p>
    <w:p>
      <w:pPr>
        <w:spacing w:line="360" w:lineRule="auto"/>
        <w:ind w:firstLine="1890" w:firstLineChars="900"/>
      </w:pPr>
      <w:r>
        <w:rPr>
          <w:rFonts w:hint="eastAsia"/>
        </w:rPr>
        <w:t xml:space="preserve"> 投标人根据招标要求及评分标准内容编制技术方案书</w:t>
      </w:r>
    </w:p>
    <w:sectPr>
      <w:footerReference r:id="rId11" w:type="default"/>
      <w:pgSz w:w="11906" w:h="16838"/>
      <w:pgMar w:top="1440" w:right="1080" w:bottom="1440" w:left="108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方正姚体">
    <w:panose1 w:val="02010601030101010101"/>
    <w:charset w:val="86"/>
    <w:family w:val="auto"/>
    <w:pitch w:val="default"/>
    <w:sig w:usb0="00000003" w:usb1="080E0000" w:usb2="00000000" w:usb3="00000000" w:csb0="00040000" w:csb1="00000000"/>
  </w:font>
  <w:font w:name="方正宋三简体">
    <w:altName w:val="宋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24</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22</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11"/>
          <w:jc w:val="center"/>
        </w:pPr>
        <w:r>
          <w:fldChar w:fldCharType="begin"/>
        </w:r>
        <w:r>
          <w:instrText xml:space="preserve">PAGE   \* MERGEFORMAT</w:instrText>
        </w:r>
        <w:r>
          <w:fldChar w:fldCharType="separate"/>
        </w:r>
        <w:r>
          <w:rPr>
            <w:lang w:val="zh-CN"/>
          </w:rPr>
          <w:t>35</w:t>
        </w:r>
        <w:r>
          <w:rPr>
            <w:lang w:val="zh-CN"/>
          </w:rP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AB"/>
    <w:rsid w:val="000009E7"/>
    <w:rsid w:val="00000FBD"/>
    <w:rsid w:val="00002556"/>
    <w:rsid w:val="00003D5F"/>
    <w:rsid w:val="00004E16"/>
    <w:rsid w:val="00006AB3"/>
    <w:rsid w:val="00006FA4"/>
    <w:rsid w:val="00012488"/>
    <w:rsid w:val="00017A7D"/>
    <w:rsid w:val="000200C7"/>
    <w:rsid w:val="00020A54"/>
    <w:rsid w:val="00025685"/>
    <w:rsid w:val="00025EE6"/>
    <w:rsid w:val="00030E97"/>
    <w:rsid w:val="0003158D"/>
    <w:rsid w:val="00032974"/>
    <w:rsid w:val="00034ABB"/>
    <w:rsid w:val="0003503B"/>
    <w:rsid w:val="00035860"/>
    <w:rsid w:val="00035EC7"/>
    <w:rsid w:val="000362FA"/>
    <w:rsid w:val="0003701E"/>
    <w:rsid w:val="00040017"/>
    <w:rsid w:val="0004593B"/>
    <w:rsid w:val="0005055B"/>
    <w:rsid w:val="0005482A"/>
    <w:rsid w:val="00055210"/>
    <w:rsid w:val="00060E9C"/>
    <w:rsid w:val="00061756"/>
    <w:rsid w:val="00063A8F"/>
    <w:rsid w:val="00066596"/>
    <w:rsid w:val="000713E4"/>
    <w:rsid w:val="000715E3"/>
    <w:rsid w:val="00073F1A"/>
    <w:rsid w:val="00076E88"/>
    <w:rsid w:val="0007705F"/>
    <w:rsid w:val="0008250A"/>
    <w:rsid w:val="000831E9"/>
    <w:rsid w:val="00083226"/>
    <w:rsid w:val="00083499"/>
    <w:rsid w:val="00083EDD"/>
    <w:rsid w:val="00084658"/>
    <w:rsid w:val="000871F1"/>
    <w:rsid w:val="000918E7"/>
    <w:rsid w:val="00091BFE"/>
    <w:rsid w:val="00095FF7"/>
    <w:rsid w:val="00096A27"/>
    <w:rsid w:val="0009772B"/>
    <w:rsid w:val="000A25FC"/>
    <w:rsid w:val="000A3ADE"/>
    <w:rsid w:val="000A4045"/>
    <w:rsid w:val="000A44C4"/>
    <w:rsid w:val="000A65E4"/>
    <w:rsid w:val="000A71DA"/>
    <w:rsid w:val="000A795B"/>
    <w:rsid w:val="000B0CD0"/>
    <w:rsid w:val="000B0CE8"/>
    <w:rsid w:val="000B29BD"/>
    <w:rsid w:val="000B72E7"/>
    <w:rsid w:val="000B7F00"/>
    <w:rsid w:val="000C1C7B"/>
    <w:rsid w:val="000C358D"/>
    <w:rsid w:val="000C7DE5"/>
    <w:rsid w:val="000D05D5"/>
    <w:rsid w:val="000D24FB"/>
    <w:rsid w:val="000D4073"/>
    <w:rsid w:val="000D7AB8"/>
    <w:rsid w:val="000D7B7A"/>
    <w:rsid w:val="000E0852"/>
    <w:rsid w:val="000E30C0"/>
    <w:rsid w:val="000E6F6B"/>
    <w:rsid w:val="000F2A73"/>
    <w:rsid w:val="000F2F39"/>
    <w:rsid w:val="00104B02"/>
    <w:rsid w:val="00105430"/>
    <w:rsid w:val="00110244"/>
    <w:rsid w:val="0011461B"/>
    <w:rsid w:val="001151DF"/>
    <w:rsid w:val="00116D6B"/>
    <w:rsid w:val="001209D4"/>
    <w:rsid w:val="00123EFA"/>
    <w:rsid w:val="00126B2B"/>
    <w:rsid w:val="00130F62"/>
    <w:rsid w:val="0013566F"/>
    <w:rsid w:val="00143879"/>
    <w:rsid w:val="00145AC9"/>
    <w:rsid w:val="00145EE0"/>
    <w:rsid w:val="00146B0C"/>
    <w:rsid w:val="00147130"/>
    <w:rsid w:val="0015348D"/>
    <w:rsid w:val="00153820"/>
    <w:rsid w:val="00161CC7"/>
    <w:rsid w:val="0016269F"/>
    <w:rsid w:val="00163032"/>
    <w:rsid w:val="00165BD6"/>
    <w:rsid w:val="00170C05"/>
    <w:rsid w:val="00170C2F"/>
    <w:rsid w:val="001733D0"/>
    <w:rsid w:val="0017452F"/>
    <w:rsid w:val="0018203A"/>
    <w:rsid w:val="001828AF"/>
    <w:rsid w:val="001914D6"/>
    <w:rsid w:val="00192EAC"/>
    <w:rsid w:val="0019735F"/>
    <w:rsid w:val="001A6184"/>
    <w:rsid w:val="001A6CDB"/>
    <w:rsid w:val="001B46AC"/>
    <w:rsid w:val="001B6EA3"/>
    <w:rsid w:val="001C03B0"/>
    <w:rsid w:val="001C24A1"/>
    <w:rsid w:val="001C6D1A"/>
    <w:rsid w:val="001C6F6C"/>
    <w:rsid w:val="001C78C9"/>
    <w:rsid w:val="001D18D5"/>
    <w:rsid w:val="001D1983"/>
    <w:rsid w:val="001D5A0A"/>
    <w:rsid w:val="001E05EF"/>
    <w:rsid w:val="001E1558"/>
    <w:rsid w:val="001E530C"/>
    <w:rsid w:val="001F3B6E"/>
    <w:rsid w:val="001F42EE"/>
    <w:rsid w:val="0020267B"/>
    <w:rsid w:val="00202D3B"/>
    <w:rsid w:val="00202F63"/>
    <w:rsid w:val="00205453"/>
    <w:rsid w:val="00210B5E"/>
    <w:rsid w:val="0021394C"/>
    <w:rsid w:val="00221F69"/>
    <w:rsid w:val="002228A8"/>
    <w:rsid w:val="0022499F"/>
    <w:rsid w:val="002275AF"/>
    <w:rsid w:val="00231898"/>
    <w:rsid w:val="00235F99"/>
    <w:rsid w:val="00243C59"/>
    <w:rsid w:val="00247DAB"/>
    <w:rsid w:val="00251B53"/>
    <w:rsid w:val="00254D6A"/>
    <w:rsid w:val="002563E6"/>
    <w:rsid w:val="0025720C"/>
    <w:rsid w:val="00260529"/>
    <w:rsid w:val="002622A4"/>
    <w:rsid w:val="00262405"/>
    <w:rsid w:val="00271890"/>
    <w:rsid w:val="00273E5A"/>
    <w:rsid w:val="00274B51"/>
    <w:rsid w:val="00275699"/>
    <w:rsid w:val="00276971"/>
    <w:rsid w:val="00280839"/>
    <w:rsid w:val="00280A6D"/>
    <w:rsid w:val="00283219"/>
    <w:rsid w:val="00284BA0"/>
    <w:rsid w:val="002872E2"/>
    <w:rsid w:val="00291AF0"/>
    <w:rsid w:val="002A000F"/>
    <w:rsid w:val="002A0CA1"/>
    <w:rsid w:val="002A2EE5"/>
    <w:rsid w:val="002A4A4D"/>
    <w:rsid w:val="002A5502"/>
    <w:rsid w:val="002A582F"/>
    <w:rsid w:val="002A6475"/>
    <w:rsid w:val="002A7C10"/>
    <w:rsid w:val="002B38F0"/>
    <w:rsid w:val="002B517D"/>
    <w:rsid w:val="002B5A87"/>
    <w:rsid w:val="002B61E7"/>
    <w:rsid w:val="002B6681"/>
    <w:rsid w:val="002C0328"/>
    <w:rsid w:val="002C04F0"/>
    <w:rsid w:val="002C17D9"/>
    <w:rsid w:val="002C2B4C"/>
    <w:rsid w:val="002C2CA2"/>
    <w:rsid w:val="002C661C"/>
    <w:rsid w:val="002C750A"/>
    <w:rsid w:val="002D0A5D"/>
    <w:rsid w:val="002D13CF"/>
    <w:rsid w:val="002D1837"/>
    <w:rsid w:val="002D20AD"/>
    <w:rsid w:val="002D2166"/>
    <w:rsid w:val="002D2F1B"/>
    <w:rsid w:val="002D3E0B"/>
    <w:rsid w:val="002D47A8"/>
    <w:rsid w:val="002D4A75"/>
    <w:rsid w:val="002D63B0"/>
    <w:rsid w:val="002E04D1"/>
    <w:rsid w:val="002E3DFB"/>
    <w:rsid w:val="002E4D3A"/>
    <w:rsid w:val="002E7B59"/>
    <w:rsid w:val="002F11F5"/>
    <w:rsid w:val="002F297A"/>
    <w:rsid w:val="002F3396"/>
    <w:rsid w:val="002F38E8"/>
    <w:rsid w:val="002F3F09"/>
    <w:rsid w:val="002F4D10"/>
    <w:rsid w:val="0030140D"/>
    <w:rsid w:val="0030177B"/>
    <w:rsid w:val="00312609"/>
    <w:rsid w:val="00312651"/>
    <w:rsid w:val="003134CE"/>
    <w:rsid w:val="00314043"/>
    <w:rsid w:val="00316887"/>
    <w:rsid w:val="00317E8D"/>
    <w:rsid w:val="00321A60"/>
    <w:rsid w:val="00321B6E"/>
    <w:rsid w:val="00322237"/>
    <w:rsid w:val="003317A6"/>
    <w:rsid w:val="00333205"/>
    <w:rsid w:val="00336CE8"/>
    <w:rsid w:val="003435E7"/>
    <w:rsid w:val="003447FC"/>
    <w:rsid w:val="00344AFD"/>
    <w:rsid w:val="00345728"/>
    <w:rsid w:val="00350E3B"/>
    <w:rsid w:val="003519FC"/>
    <w:rsid w:val="00351ED9"/>
    <w:rsid w:val="00353B65"/>
    <w:rsid w:val="00353F12"/>
    <w:rsid w:val="00354F0C"/>
    <w:rsid w:val="00355AD3"/>
    <w:rsid w:val="003571C1"/>
    <w:rsid w:val="003573E6"/>
    <w:rsid w:val="00361C22"/>
    <w:rsid w:val="003732A3"/>
    <w:rsid w:val="0037368B"/>
    <w:rsid w:val="00375118"/>
    <w:rsid w:val="0037753D"/>
    <w:rsid w:val="003800B9"/>
    <w:rsid w:val="003861C9"/>
    <w:rsid w:val="00386D5F"/>
    <w:rsid w:val="003874D4"/>
    <w:rsid w:val="003919A1"/>
    <w:rsid w:val="00396C3C"/>
    <w:rsid w:val="003A0A23"/>
    <w:rsid w:val="003A2732"/>
    <w:rsid w:val="003A5280"/>
    <w:rsid w:val="003B221E"/>
    <w:rsid w:val="003B2797"/>
    <w:rsid w:val="003B3E33"/>
    <w:rsid w:val="003B52ED"/>
    <w:rsid w:val="003C2106"/>
    <w:rsid w:val="003C754C"/>
    <w:rsid w:val="003D1BFB"/>
    <w:rsid w:val="003D6222"/>
    <w:rsid w:val="003E4AF6"/>
    <w:rsid w:val="003E4F78"/>
    <w:rsid w:val="003E7FE2"/>
    <w:rsid w:val="003F14C4"/>
    <w:rsid w:val="003F1A5C"/>
    <w:rsid w:val="003F1CA4"/>
    <w:rsid w:val="003F3C98"/>
    <w:rsid w:val="004035A8"/>
    <w:rsid w:val="00404A2F"/>
    <w:rsid w:val="00407B3A"/>
    <w:rsid w:val="0041126F"/>
    <w:rsid w:val="00412BA1"/>
    <w:rsid w:val="00414509"/>
    <w:rsid w:val="004152BD"/>
    <w:rsid w:val="00416B19"/>
    <w:rsid w:val="00420A8E"/>
    <w:rsid w:val="00423555"/>
    <w:rsid w:val="00423B1D"/>
    <w:rsid w:val="004264EE"/>
    <w:rsid w:val="00427A79"/>
    <w:rsid w:val="00430EDF"/>
    <w:rsid w:val="00436D46"/>
    <w:rsid w:val="00436E8F"/>
    <w:rsid w:val="00440181"/>
    <w:rsid w:val="004446B7"/>
    <w:rsid w:val="0044654C"/>
    <w:rsid w:val="00450D2D"/>
    <w:rsid w:val="00451D53"/>
    <w:rsid w:val="00455E46"/>
    <w:rsid w:val="00461558"/>
    <w:rsid w:val="0046639F"/>
    <w:rsid w:val="00472ABA"/>
    <w:rsid w:val="004830BD"/>
    <w:rsid w:val="00487CE1"/>
    <w:rsid w:val="00491B8D"/>
    <w:rsid w:val="00494EEA"/>
    <w:rsid w:val="0049516C"/>
    <w:rsid w:val="004B431D"/>
    <w:rsid w:val="004B6ECC"/>
    <w:rsid w:val="004B7EBC"/>
    <w:rsid w:val="004C1E56"/>
    <w:rsid w:val="004D3D06"/>
    <w:rsid w:val="004D7317"/>
    <w:rsid w:val="004E043F"/>
    <w:rsid w:val="004E4AD7"/>
    <w:rsid w:val="004F28E4"/>
    <w:rsid w:val="004F3852"/>
    <w:rsid w:val="004F3D37"/>
    <w:rsid w:val="004F3DD5"/>
    <w:rsid w:val="004F5745"/>
    <w:rsid w:val="004F6A97"/>
    <w:rsid w:val="004F7C48"/>
    <w:rsid w:val="005007A0"/>
    <w:rsid w:val="00501B6E"/>
    <w:rsid w:val="00505134"/>
    <w:rsid w:val="00507B07"/>
    <w:rsid w:val="00510CBF"/>
    <w:rsid w:val="00516FB5"/>
    <w:rsid w:val="005203E4"/>
    <w:rsid w:val="00521790"/>
    <w:rsid w:val="00521D58"/>
    <w:rsid w:val="00522B52"/>
    <w:rsid w:val="005237F8"/>
    <w:rsid w:val="00524F99"/>
    <w:rsid w:val="00527CC7"/>
    <w:rsid w:val="0053047A"/>
    <w:rsid w:val="005308E2"/>
    <w:rsid w:val="00530CB1"/>
    <w:rsid w:val="005324BD"/>
    <w:rsid w:val="00532ADB"/>
    <w:rsid w:val="00536182"/>
    <w:rsid w:val="0054010F"/>
    <w:rsid w:val="00540736"/>
    <w:rsid w:val="00541968"/>
    <w:rsid w:val="00545EBA"/>
    <w:rsid w:val="00547300"/>
    <w:rsid w:val="00562278"/>
    <w:rsid w:val="00565DC0"/>
    <w:rsid w:val="00567115"/>
    <w:rsid w:val="00567487"/>
    <w:rsid w:val="00567D6C"/>
    <w:rsid w:val="00570587"/>
    <w:rsid w:val="005712B0"/>
    <w:rsid w:val="00571B73"/>
    <w:rsid w:val="00573053"/>
    <w:rsid w:val="005740F9"/>
    <w:rsid w:val="005761D6"/>
    <w:rsid w:val="00577755"/>
    <w:rsid w:val="00582D82"/>
    <w:rsid w:val="005846C3"/>
    <w:rsid w:val="005909D5"/>
    <w:rsid w:val="0059476F"/>
    <w:rsid w:val="00594D10"/>
    <w:rsid w:val="00595606"/>
    <w:rsid w:val="005A1B29"/>
    <w:rsid w:val="005A2CDE"/>
    <w:rsid w:val="005A312F"/>
    <w:rsid w:val="005A634B"/>
    <w:rsid w:val="005A7E41"/>
    <w:rsid w:val="005B0A06"/>
    <w:rsid w:val="005B344F"/>
    <w:rsid w:val="005B7737"/>
    <w:rsid w:val="005C0476"/>
    <w:rsid w:val="005C054A"/>
    <w:rsid w:val="005C1EC3"/>
    <w:rsid w:val="005C74DC"/>
    <w:rsid w:val="005D004D"/>
    <w:rsid w:val="005D0460"/>
    <w:rsid w:val="005D7F18"/>
    <w:rsid w:val="005E1429"/>
    <w:rsid w:val="005E3F31"/>
    <w:rsid w:val="005E5181"/>
    <w:rsid w:val="005E6A23"/>
    <w:rsid w:val="006040C1"/>
    <w:rsid w:val="00604611"/>
    <w:rsid w:val="0060525F"/>
    <w:rsid w:val="00607108"/>
    <w:rsid w:val="006075F3"/>
    <w:rsid w:val="00610051"/>
    <w:rsid w:val="006100DE"/>
    <w:rsid w:val="0061026D"/>
    <w:rsid w:val="006108C4"/>
    <w:rsid w:val="00611F49"/>
    <w:rsid w:val="00612616"/>
    <w:rsid w:val="00616FCF"/>
    <w:rsid w:val="006171FF"/>
    <w:rsid w:val="00617AD1"/>
    <w:rsid w:val="00622D73"/>
    <w:rsid w:val="00632920"/>
    <w:rsid w:val="00634543"/>
    <w:rsid w:val="00634B5B"/>
    <w:rsid w:val="00637129"/>
    <w:rsid w:val="006400F7"/>
    <w:rsid w:val="00642FD5"/>
    <w:rsid w:val="00646607"/>
    <w:rsid w:val="00647336"/>
    <w:rsid w:val="00652A93"/>
    <w:rsid w:val="006530FD"/>
    <w:rsid w:val="00653CB4"/>
    <w:rsid w:val="006608EB"/>
    <w:rsid w:val="00660E01"/>
    <w:rsid w:val="00662443"/>
    <w:rsid w:val="00666005"/>
    <w:rsid w:val="00666CB0"/>
    <w:rsid w:val="00670A02"/>
    <w:rsid w:val="0067461F"/>
    <w:rsid w:val="00677F08"/>
    <w:rsid w:val="00685BE9"/>
    <w:rsid w:val="00696E59"/>
    <w:rsid w:val="006B0B35"/>
    <w:rsid w:val="006B311E"/>
    <w:rsid w:val="006B4913"/>
    <w:rsid w:val="006B748E"/>
    <w:rsid w:val="006C18C8"/>
    <w:rsid w:val="006C1B9D"/>
    <w:rsid w:val="006C4C3C"/>
    <w:rsid w:val="006D05DB"/>
    <w:rsid w:val="006D18B2"/>
    <w:rsid w:val="006D40A6"/>
    <w:rsid w:val="006D4323"/>
    <w:rsid w:val="006D4AA3"/>
    <w:rsid w:val="006E1A25"/>
    <w:rsid w:val="006E1C93"/>
    <w:rsid w:val="006E30B2"/>
    <w:rsid w:val="006F0658"/>
    <w:rsid w:val="006F16B4"/>
    <w:rsid w:val="006F48EF"/>
    <w:rsid w:val="006F6EA1"/>
    <w:rsid w:val="00701456"/>
    <w:rsid w:val="00701B57"/>
    <w:rsid w:val="00705D12"/>
    <w:rsid w:val="0070731E"/>
    <w:rsid w:val="00710A25"/>
    <w:rsid w:val="00712570"/>
    <w:rsid w:val="00712E7D"/>
    <w:rsid w:val="00725053"/>
    <w:rsid w:val="00726173"/>
    <w:rsid w:val="00731C0F"/>
    <w:rsid w:val="00731D14"/>
    <w:rsid w:val="00733A4E"/>
    <w:rsid w:val="0073728E"/>
    <w:rsid w:val="00745FCF"/>
    <w:rsid w:val="00747FF3"/>
    <w:rsid w:val="007507EE"/>
    <w:rsid w:val="00751B05"/>
    <w:rsid w:val="00755221"/>
    <w:rsid w:val="00760B9A"/>
    <w:rsid w:val="00761A5E"/>
    <w:rsid w:val="00762B88"/>
    <w:rsid w:val="00763910"/>
    <w:rsid w:val="00763CC9"/>
    <w:rsid w:val="00763F7E"/>
    <w:rsid w:val="0076462D"/>
    <w:rsid w:val="0076544A"/>
    <w:rsid w:val="00766354"/>
    <w:rsid w:val="00767D2B"/>
    <w:rsid w:val="00767F5C"/>
    <w:rsid w:val="00771323"/>
    <w:rsid w:val="007724BC"/>
    <w:rsid w:val="00772D83"/>
    <w:rsid w:val="00772F70"/>
    <w:rsid w:val="00774A9B"/>
    <w:rsid w:val="00785C3D"/>
    <w:rsid w:val="00787F3D"/>
    <w:rsid w:val="00790CE5"/>
    <w:rsid w:val="00791121"/>
    <w:rsid w:val="007929B6"/>
    <w:rsid w:val="007929FF"/>
    <w:rsid w:val="007961F2"/>
    <w:rsid w:val="007971C9"/>
    <w:rsid w:val="00797D03"/>
    <w:rsid w:val="007A1654"/>
    <w:rsid w:val="007A589E"/>
    <w:rsid w:val="007A68BC"/>
    <w:rsid w:val="007A748C"/>
    <w:rsid w:val="007B524E"/>
    <w:rsid w:val="007C5475"/>
    <w:rsid w:val="007D03DC"/>
    <w:rsid w:val="007D123E"/>
    <w:rsid w:val="007D2F6B"/>
    <w:rsid w:val="007D3D3B"/>
    <w:rsid w:val="007D424D"/>
    <w:rsid w:val="007D6494"/>
    <w:rsid w:val="007E27C0"/>
    <w:rsid w:val="007E2A8F"/>
    <w:rsid w:val="007F0382"/>
    <w:rsid w:val="007F1494"/>
    <w:rsid w:val="007F2463"/>
    <w:rsid w:val="007F2A61"/>
    <w:rsid w:val="007F5767"/>
    <w:rsid w:val="007F58A7"/>
    <w:rsid w:val="007F5F8D"/>
    <w:rsid w:val="00800C96"/>
    <w:rsid w:val="008012B5"/>
    <w:rsid w:val="00804A78"/>
    <w:rsid w:val="0080747B"/>
    <w:rsid w:val="00810937"/>
    <w:rsid w:val="00811A5C"/>
    <w:rsid w:val="008133E1"/>
    <w:rsid w:val="008151E5"/>
    <w:rsid w:val="00816F84"/>
    <w:rsid w:val="0082052A"/>
    <w:rsid w:val="00821ABE"/>
    <w:rsid w:val="00821C3F"/>
    <w:rsid w:val="00822A1A"/>
    <w:rsid w:val="00822F1B"/>
    <w:rsid w:val="008239E5"/>
    <w:rsid w:val="008251EB"/>
    <w:rsid w:val="00825678"/>
    <w:rsid w:val="00827B28"/>
    <w:rsid w:val="00830FB7"/>
    <w:rsid w:val="00831A77"/>
    <w:rsid w:val="00832D54"/>
    <w:rsid w:val="00833C88"/>
    <w:rsid w:val="00834EA2"/>
    <w:rsid w:val="00836D81"/>
    <w:rsid w:val="00837ED8"/>
    <w:rsid w:val="00840983"/>
    <w:rsid w:val="00840EBA"/>
    <w:rsid w:val="00845213"/>
    <w:rsid w:val="00860769"/>
    <w:rsid w:val="00862F66"/>
    <w:rsid w:val="0086326C"/>
    <w:rsid w:val="00864BE1"/>
    <w:rsid w:val="0086521A"/>
    <w:rsid w:val="0086616B"/>
    <w:rsid w:val="008662F2"/>
    <w:rsid w:val="00867683"/>
    <w:rsid w:val="0087223A"/>
    <w:rsid w:val="00872321"/>
    <w:rsid w:val="00874E75"/>
    <w:rsid w:val="00881315"/>
    <w:rsid w:val="00882D51"/>
    <w:rsid w:val="008866BC"/>
    <w:rsid w:val="008869EE"/>
    <w:rsid w:val="00887862"/>
    <w:rsid w:val="008972FD"/>
    <w:rsid w:val="008A1CE3"/>
    <w:rsid w:val="008A25D2"/>
    <w:rsid w:val="008A2612"/>
    <w:rsid w:val="008A47D4"/>
    <w:rsid w:val="008A4A94"/>
    <w:rsid w:val="008A635D"/>
    <w:rsid w:val="008B13FB"/>
    <w:rsid w:val="008B1BA8"/>
    <w:rsid w:val="008B2EB9"/>
    <w:rsid w:val="008B79A5"/>
    <w:rsid w:val="008C2627"/>
    <w:rsid w:val="008C2D07"/>
    <w:rsid w:val="008C757C"/>
    <w:rsid w:val="008C7874"/>
    <w:rsid w:val="008C7E53"/>
    <w:rsid w:val="008D11C1"/>
    <w:rsid w:val="008D17AE"/>
    <w:rsid w:val="008D1AF0"/>
    <w:rsid w:val="008D4A31"/>
    <w:rsid w:val="008D5EE1"/>
    <w:rsid w:val="008D689E"/>
    <w:rsid w:val="008D7586"/>
    <w:rsid w:val="008E0F39"/>
    <w:rsid w:val="008E1428"/>
    <w:rsid w:val="008E5F84"/>
    <w:rsid w:val="008E68D7"/>
    <w:rsid w:val="008E7B09"/>
    <w:rsid w:val="008F619D"/>
    <w:rsid w:val="00907EF1"/>
    <w:rsid w:val="00913613"/>
    <w:rsid w:val="009159D5"/>
    <w:rsid w:val="00924836"/>
    <w:rsid w:val="00927B80"/>
    <w:rsid w:val="009300F9"/>
    <w:rsid w:val="00930A3E"/>
    <w:rsid w:val="009318F0"/>
    <w:rsid w:val="009342E1"/>
    <w:rsid w:val="009362F7"/>
    <w:rsid w:val="00942EC5"/>
    <w:rsid w:val="00944A1B"/>
    <w:rsid w:val="009450F7"/>
    <w:rsid w:val="00946100"/>
    <w:rsid w:val="0094645F"/>
    <w:rsid w:val="009464E6"/>
    <w:rsid w:val="0095132A"/>
    <w:rsid w:val="00951477"/>
    <w:rsid w:val="00953A93"/>
    <w:rsid w:val="009600FC"/>
    <w:rsid w:val="00964D13"/>
    <w:rsid w:val="009653A4"/>
    <w:rsid w:val="00966858"/>
    <w:rsid w:val="009674C4"/>
    <w:rsid w:val="00967F09"/>
    <w:rsid w:val="00971B53"/>
    <w:rsid w:val="00972BB0"/>
    <w:rsid w:val="00982524"/>
    <w:rsid w:val="00982AF2"/>
    <w:rsid w:val="009833CE"/>
    <w:rsid w:val="00983452"/>
    <w:rsid w:val="00986BF2"/>
    <w:rsid w:val="00990E50"/>
    <w:rsid w:val="00992625"/>
    <w:rsid w:val="00995751"/>
    <w:rsid w:val="00996829"/>
    <w:rsid w:val="009A0E6F"/>
    <w:rsid w:val="009A1B1E"/>
    <w:rsid w:val="009A561D"/>
    <w:rsid w:val="009A6F0B"/>
    <w:rsid w:val="009B0337"/>
    <w:rsid w:val="009B1BB1"/>
    <w:rsid w:val="009B4A0C"/>
    <w:rsid w:val="009B4AD5"/>
    <w:rsid w:val="009B5316"/>
    <w:rsid w:val="009B7886"/>
    <w:rsid w:val="009B7F86"/>
    <w:rsid w:val="009C0077"/>
    <w:rsid w:val="009C051E"/>
    <w:rsid w:val="009C2206"/>
    <w:rsid w:val="009C46AD"/>
    <w:rsid w:val="009D4795"/>
    <w:rsid w:val="009D49E4"/>
    <w:rsid w:val="009D78D5"/>
    <w:rsid w:val="009D7C59"/>
    <w:rsid w:val="009E0002"/>
    <w:rsid w:val="009E099B"/>
    <w:rsid w:val="009E10C8"/>
    <w:rsid w:val="009E3E80"/>
    <w:rsid w:val="009E3F96"/>
    <w:rsid w:val="009E5F22"/>
    <w:rsid w:val="009F2ED0"/>
    <w:rsid w:val="009F36F4"/>
    <w:rsid w:val="00A0050C"/>
    <w:rsid w:val="00A04633"/>
    <w:rsid w:val="00A106BF"/>
    <w:rsid w:val="00A111A7"/>
    <w:rsid w:val="00A12178"/>
    <w:rsid w:val="00A1247E"/>
    <w:rsid w:val="00A158E8"/>
    <w:rsid w:val="00A164EA"/>
    <w:rsid w:val="00A178B4"/>
    <w:rsid w:val="00A17ABD"/>
    <w:rsid w:val="00A17F3D"/>
    <w:rsid w:val="00A222E4"/>
    <w:rsid w:val="00A250B8"/>
    <w:rsid w:val="00A27C17"/>
    <w:rsid w:val="00A33A4C"/>
    <w:rsid w:val="00A35E22"/>
    <w:rsid w:val="00A443B8"/>
    <w:rsid w:val="00A45BC8"/>
    <w:rsid w:val="00A473A2"/>
    <w:rsid w:val="00A51137"/>
    <w:rsid w:val="00A51B7E"/>
    <w:rsid w:val="00A553D0"/>
    <w:rsid w:val="00A55710"/>
    <w:rsid w:val="00A55863"/>
    <w:rsid w:val="00A562A1"/>
    <w:rsid w:val="00A579E8"/>
    <w:rsid w:val="00A60047"/>
    <w:rsid w:val="00A618B7"/>
    <w:rsid w:val="00A708B9"/>
    <w:rsid w:val="00A70F0F"/>
    <w:rsid w:val="00A7288F"/>
    <w:rsid w:val="00A802C9"/>
    <w:rsid w:val="00A81A93"/>
    <w:rsid w:val="00A86A6C"/>
    <w:rsid w:val="00A87F30"/>
    <w:rsid w:val="00AA0687"/>
    <w:rsid w:val="00AA1FB3"/>
    <w:rsid w:val="00AA2D6E"/>
    <w:rsid w:val="00AA339F"/>
    <w:rsid w:val="00AA6234"/>
    <w:rsid w:val="00AA7008"/>
    <w:rsid w:val="00AA7ED8"/>
    <w:rsid w:val="00AB4B5E"/>
    <w:rsid w:val="00AC21DD"/>
    <w:rsid w:val="00AC50A0"/>
    <w:rsid w:val="00AD213B"/>
    <w:rsid w:val="00AD74B5"/>
    <w:rsid w:val="00AD7807"/>
    <w:rsid w:val="00AE2B04"/>
    <w:rsid w:val="00AF0FA7"/>
    <w:rsid w:val="00AF2783"/>
    <w:rsid w:val="00AF456F"/>
    <w:rsid w:val="00AF66FA"/>
    <w:rsid w:val="00AF7C83"/>
    <w:rsid w:val="00B012F7"/>
    <w:rsid w:val="00B040BA"/>
    <w:rsid w:val="00B041C1"/>
    <w:rsid w:val="00B04E7B"/>
    <w:rsid w:val="00B0592C"/>
    <w:rsid w:val="00B06A86"/>
    <w:rsid w:val="00B10B28"/>
    <w:rsid w:val="00B10EAB"/>
    <w:rsid w:val="00B11718"/>
    <w:rsid w:val="00B1318B"/>
    <w:rsid w:val="00B16CA3"/>
    <w:rsid w:val="00B1794F"/>
    <w:rsid w:val="00B314B3"/>
    <w:rsid w:val="00B31C93"/>
    <w:rsid w:val="00B32063"/>
    <w:rsid w:val="00B32792"/>
    <w:rsid w:val="00B34D1A"/>
    <w:rsid w:val="00B356DD"/>
    <w:rsid w:val="00B3714C"/>
    <w:rsid w:val="00B401AB"/>
    <w:rsid w:val="00B412DD"/>
    <w:rsid w:val="00B451BF"/>
    <w:rsid w:val="00B552BC"/>
    <w:rsid w:val="00B615A0"/>
    <w:rsid w:val="00B61792"/>
    <w:rsid w:val="00B6747D"/>
    <w:rsid w:val="00B71ED9"/>
    <w:rsid w:val="00B74703"/>
    <w:rsid w:val="00B75C1B"/>
    <w:rsid w:val="00B82517"/>
    <w:rsid w:val="00B8498C"/>
    <w:rsid w:val="00B86382"/>
    <w:rsid w:val="00B87234"/>
    <w:rsid w:val="00B90C0D"/>
    <w:rsid w:val="00B91D14"/>
    <w:rsid w:val="00B93798"/>
    <w:rsid w:val="00B939CB"/>
    <w:rsid w:val="00B94C24"/>
    <w:rsid w:val="00B95809"/>
    <w:rsid w:val="00B95945"/>
    <w:rsid w:val="00B970B0"/>
    <w:rsid w:val="00BA12B2"/>
    <w:rsid w:val="00BA1D4D"/>
    <w:rsid w:val="00BA248B"/>
    <w:rsid w:val="00BA2681"/>
    <w:rsid w:val="00BA2938"/>
    <w:rsid w:val="00BA2E9D"/>
    <w:rsid w:val="00BA6A8E"/>
    <w:rsid w:val="00BB17B1"/>
    <w:rsid w:val="00BB2685"/>
    <w:rsid w:val="00BB495C"/>
    <w:rsid w:val="00BB68D2"/>
    <w:rsid w:val="00BB7B05"/>
    <w:rsid w:val="00BC245F"/>
    <w:rsid w:val="00BC4641"/>
    <w:rsid w:val="00BC528F"/>
    <w:rsid w:val="00BC6D0A"/>
    <w:rsid w:val="00BD249D"/>
    <w:rsid w:val="00BD39D8"/>
    <w:rsid w:val="00BD52A7"/>
    <w:rsid w:val="00BD6B25"/>
    <w:rsid w:val="00BD735B"/>
    <w:rsid w:val="00BE13A5"/>
    <w:rsid w:val="00BE25AE"/>
    <w:rsid w:val="00BE323C"/>
    <w:rsid w:val="00BE7CF5"/>
    <w:rsid w:val="00BF015B"/>
    <w:rsid w:val="00BF0A22"/>
    <w:rsid w:val="00BF4669"/>
    <w:rsid w:val="00BF7B3F"/>
    <w:rsid w:val="00C020AB"/>
    <w:rsid w:val="00C04E2F"/>
    <w:rsid w:val="00C12BE5"/>
    <w:rsid w:val="00C167DC"/>
    <w:rsid w:val="00C256EF"/>
    <w:rsid w:val="00C25808"/>
    <w:rsid w:val="00C27503"/>
    <w:rsid w:val="00C419E9"/>
    <w:rsid w:val="00C44329"/>
    <w:rsid w:val="00C46658"/>
    <w:rsid w:val="00C466D8"/>
    <w:rsid w:val="00C51D7B"/>
    <w:rsid w:val="00C528F1"/>
    <w:rsid w:val="00C55D11"/>
    <w:rsid w:val="00C63C0B"/>
    <w:rsid w:val="00C65DE8"/>
    <w:rsid w:val="00C72223"/>
    <w:rsid w:val="00C74820"/>
    <w:rsid w:val="00C77309"/>
    <w:rsid w:val="00C82293"/>
    <w:rsid w:val="00C83CB9"/>
    <w:rsid w:val="00C90535"/>
    <w:rsid w:val="00C914AB"/>
    <w:rsid w:val="00C938EA"/>
    <w:rsid w:val="00C95EA4"/>
    <w:rsid w:val="00CA5B6E"/>
    <w:rsid w:val="00CB0AED"/>
    <w:rsid w:val="00CB35DC"/>
    <w:rsid w:val="00CB42E0"/>
    <w:rsid w:val="00CB5A6F"/>
    <w:rsid w:val="00CB5B46"/>
    <w:rsid w:val="00CB695C"/>
    <w:rsid w:val="00CC037C"/>
    <w:rsid w:val="00CC1812"/>
    <w:rsid w:val="00CC20A3"/>
    <w:rsid w:val="00CC38AE"/>
    <w:rsid w:val="00CC3B32"/>
    <w:rsid w:val="00CC53A0"/>
    <w:rsid w:val="00CD1DD5"/>
    <w:rsid w:val="00CD3D99"/>
    <w:rsid w:val="00CD5E4B"/>
    <w:rsid w:val="00CD6F95"/>
    <w:rsid w:val="00CE23DF"/>
    <w:rsid w:val="00CE42C6"/>
    <w:rsid w:val="00CE6772"/>
    <w:rsid w:val="00CE74B1"/>
    <w:rsid w:val="00CE7CE2"/>
    <w:rsid w:val="00CF4E82"/>
    <w:rsid w:val="00D03497"/>
    <w:rsid w:val="00D05443"/>
    <w:rsid w:val="00D06548"/>
    <w:rsid w:val="00D066AF"/>
    <w:rsid w:val="00D1342D"/>
    <w:rsid w:val="00D1416A"/>
    <w:rsid w:val="00D15486"/>
    <w:rsid w:val="00D1766A"/>
    <w:rsid w:val="00D20861"/>
    <w:rsid w:val="00D24724"/>
    <w:rsid w:val="00D25E25"/>
    <w:rsid w:val="00D305A0"/>
    <w:rsid w:val="00D31044"/>
    <w:rsid w:val="00D3118F"/>
    <w:rsid w:val="00D327D1"/>
    <w:rsid w:val="00D3490A"/>
    <w:rsid w:val="00D37928"/>
    <w:rsid w:val="00D47D7C"/>
    <w:rsid w:val="00D53DDF"/>
    <w:rsid w:val="00D54B9D"/>
    <w:rsid w:val="00D56889"/>
    <w:rsid w:val="00D56979"/>
    <w:rsid w:val="00D60AF8"/>
    <w:rsid w:val="00D643FA"/>
    <w:rsid w:val="00D64FB1"/>
    <w:rsid w:val="00D67912"/>
    <w:rsid w:val="00D709F6"/>
    <w:rsid w:val="00D72B6E"/>
    <w:rsid w:val="00D72BFA"/>
    <w:rsid w:val="00D73CF3"/>
    <w:rsid w:val="00D75740"/>
    <w:rsid w:val="00D770C9"/>
    <w:rsid w:val="00D81585"/>
    <w:rsid w:val="00D82245"/>
    <w:rsid w:val="00D83DD7"/>
    <w:rsid w:val="00D86EF9"/>
    <w:rsid w:val="00D91C89"/>
    <w:rsid w:val="00D9265E"/>
    <w:rsid w:val="00D92E22"/>
    <w:rsid w:val="00D950C6"/>
    <w:rsid w:val="00D954E8"/>
    <w:rsid w:val="00D979EA"/>
    <w:rsid w:val="00DA4965"/>
    <w:rsid w:val="00DA6EED"/>
    <w:rsid w:val="00DA76C7"/>
    <w:rsid w:val="00DB0776"/>
    <w:rsid w:val="00DB24BD"/>
    <w:rsid w:val="00DB3189"/>
    <w:rsid w:val="00DB4153"/>
    <w:rsid w:val="00DC20BA"/>
    <w:rsid w:val="00DC25B8"/>
    <w:rsid w:val="00DC3683"/>
    <w:rsid w:val="00DC586E"/>
    <w:rsid w:val="00DD0B77"/>
    <w:rsid w:val="00DD3FD4"/>
    <w:rsid w:val="00DD711E"/>
    <w:rsid w:val="00DE07D7"/>
    <w:rsid w:val="00DE0833"/>
    <w:rsid w:val="00DE2948"/>
    <w:rsid w:val="00DE2EEF"/>
    <w:rsid w:val="00DE6523"/>
    <w:rsid w:val="00DF3B83"/>
    <w:rsid w:val="00DF3C9A"/>
    <w:rsid w:val="00DF3CF6"/>
    <w:rsid w:val="00DF4205"/>
    <w:rsid w:val="00DF65F8"/>
    <w:rsid w:val="00DF749D"/>
    <w:rsid w:val="00E0584C"/>
    <w:rsid w:val="00E060B9"/>
    <w:rsid w:val="00E07156"/>
    <w:rsid w:val="00E079A5"/>
    <w:rsid w:val="00E1095D"/>
    <w:rsid w:val="00E11181"/>
    <w:rsid w:val="00E11885"/>
    <w:rsid w:val="00E13824"/>
    <w:rsid w:val="00E13E80"/>
    <w:rsid w:val="00E153F4"/>
    <w:rsid w:val="00E16A37"/>
    <w:rsid w:val="00E202B7"/>
    <w:rsid w:val="00E20897"/>
    <w:rsid w:val="00E208EF"/>
    <w:rsid w:val="00E22433"/>
    <w:rsid w:val="00E25946"/>
    <w:rsid w:val="00E26696"/>
    <w:rsid w:val="00E27DB8"/>
    <w:rsid w:val="00E322F1"/>
    <w:rsid w:val="00E3238A"/>
    <w:rsid w:val="00E327A9"/>
    <w:rsid w:val="00E37669"/>
    <w:rsid w:val="00E40501"/>
    <w:rsid w:val="00E42E40"/>
    <w:rsid w:val="00E43C4C"/>
    <w:rsid w:val="00E44424"/>
    <w:rsid w:val="00E45F4C"/>
    <w:rsid w:val="00E513D4"/>
    <w:rsid w:val="00E63FD0"/>
    <w:rsid w:val="00E644FF"/>
    <w:rsid w:val="00E64FA4"/>
    <w:rsid w:val="00E66485"/>
    <w:rsid w:val="00E75B29"/>
    <w:rsid w:val="00E80323"/>
    <w:rsid w:val="00E810ED"/>
    <w:rsid w:val="00E826C8"/>
    <w:rsid w:val="00E854E3"/>
    <w:rsid w:val="00E875A0"/>
    <w:rsid w:val="00E87AFC"/>
    <w:rsid w:val="00E929B2"/>
    <w:rsid w:val="00E9351F"/>
    <w:rsid w:val="00E97882"/>
    <w:rsid w:val="00E97962"/>
    <w:rsid w:val="00EA0B5A"/>
    <w:rsid w:val="00EA1D65"/>
    <w:rsid w:val="00EA2D5A"/>
    <w:rsid w:val="00EA30DF"/>
    <w:rsid w:val="00EA3F41"/>
    <w:rsid w:val="00EA4E30"/>
    <w:rsid w:val="00EA61EF"/>
    <w:rsid w:val="00EC4A8D"/>
    <w:rsid w:val="00ED6ECF"/>
    <w:rsid w:val="00EE7031"/>
    <w:rsid w:val="00EF53BA"/>
    <w:rsid w:val="00EF5B76"/>
    <w:rsid w:val="00F02F0F"/>
    <w:rsid w:val="00F069B7"/>
    <w:rsid w:val="00F06CD2"/>
    <w:rsid w:val="00F07814"/>
    <w:rsid w:val="00F1043B"/>
    <w:rsid w:val="00F11F71"/>
    <w:rsid w:val="00F1495F"/>
    <w:rsid w:val="00F178A2"/>
    <w:rsid w:val="00F179B4"/>
    <w:rsid w:val="00F255ED"/>
    <w:rsid w:val="00F35284"/>
    <w:rsid w:val="00F36424"/>
    <w:rsid w:val="00F3656A"/>
    <w:rsid w:val="00F37A5E"/>
    <w:rsid w:val="00F44183"/>
    <w:rsid w:val="00F51C93"/>
    <w:rsid w:val="00F55DBC"/>
    <w:rsid w:val="00F57371"/>
    <w:rsid w:val="00F60C3B"/>
    <w:rsid w:val="00F65129"/>
    <w:rsid w:val="00F7284C"/>
    <w:rsid w:val="00F74637"/>
    <w:rsid w:val="00F74C61"/>
    <w:rsid w:val="00F75269"/>
    <w:rsid w:val="00F761B1"/>
    <w:rsid w:val="00F8259B"/>
    <w:rsid w:val="00F83A27"/>
    <w:rsid w:val="00F93964"/>
    <w:rsid w:val="00F9446D"/>
    <w:rsid w:val="00F95149"/>
    <w:rsid w:val="00F9618B"/>
    <w:rsid w:val="00FA0133"/>
    <w:rsid w:val="00FA0A39"/>
    <w:rsid w:val="00FB5640"/>
    <w:rsid w:val="00FB610C"/>
    <w:rsid w:val="00FB640A"/>
    <w:rsid w:val="00FB7B56"/>
    <w:rsid w:val="00FC3F62"/>
    <w:rsid w:val="00FC4666"/>
    <w:rsid w:val="00FC5002"/>
    <w:rsid w:val="00FC65B3"/>
    <w:rsid w:val="00FD0418"/>
    <w:rsid w:val="00FD228A"/>
    <w:rsid w:val="00FD3293"/>
    <w:rsid w:val="00FD7C0E"/>
    <w:rsid w:val="00FE6E97"/>
    <w:rsid w:val="00FE7D1E"/>
    <w:rsid w:val="00FF0428"/>
    <w:rsid w:val="00FF1D43"/>
    <w:rsid w:val="00FF2198"/>
    <w:rsid w:val="00FF2662"/>
    <w:rsid w:val="00FF2D7C"/>
    <w:rsid w:val="00FF35D7"/>
    <w:rsid w:val="00FF60D2"/>
    <w:rsid w:val="00FF6C4F"/>
    <w:rsid w:val="02C15A0B"/>
    <w:rsid w:val="02D0368C"/>
    <w:rsid w:val="06A548A7"/>
    <w:rsid w:val="0938043D"/>
    <w:rsid w:val="09704F8B"/>
    <w:rsid w:val="0A21680E"/>
    <w:rsid w:val="0C2D1692"/>
    <w:rsid w:val="0F1542E3"/>
    <w:rsid w:val="0F7B6886"/>
    <w:rsid w:val="101A23EB"/>
    <w:rsid w:val="10DD46B8"/>
    <w:rsid w:val="118F6BB4"/>
    <w:rsid w:val="1279795D"/>
    <w:rsid w:val="12BD6C2F"/>
    <w:rsid w:val="1386625C"/>
    <w:rsid w:val="13B55FB1"/>
    <w:rsid w:val="13DA0C45"/>
    <w:rsid w:val="15981831"/>
    <w:rsid w:val="15C06C5B"/>
    <w:rsid w:val="16C849EF"/>
    <w:rsid w:val="17AD397B"/>
    <w:rsid w:val="19B35124"/>
    <w:rsid w:val="19E80960"/>
    <w:rsid w:val="1E0716F1"/>
    <w:rsid w:val="1FA53C11"/>
    <w:rsid w:val="24692F5E"/>
    <w:rsid w:val="246E1DA9"/>
    <w:rsid w:val="24FE7780"/>
    <w:rsid w:val="265F40BE"/>
    <w:rsid w:val="27541198"/>
    <w:rsid w:val="28EA7A89"/>
    <w:rsid w:val="2929072A"/>
    <w:rsid w:val="29D262CB"/>
    <w:rsid w:val="2A2C1FB5"/>
    <w:rsid w:val="2A2D515D"/>
    <w:rsid w:val="2B870FC9"/>
    <w:rsid w:val="2DAE2B4C"/>
    <w:rsid w:val="2DB00FDC"/>
    <w:rsid w:val="2F1803D1"/>
    <w:rsid w:val="335602C3"/>
    <w:rsid w:val="33615836"/>
    <w:rsid w:val="34055BE8"/>
    <w:rsid w:val="34F154EF"/>
    <w:rsid w:val="351F6937"/>
    <w:rsid w:val="373C7A4F"/>
    <w:rsid w:val="384444F7"/>
    <w:rsid w:val="38DC1566"/>
    <w:rsid w:val="3BAF65FD"/>
    <w:rsid w:val="3D205459"/>
    <w:rsid w:val="3DDE4EA3"/>
    <w:rsid w:val="3E0F72E7"/>
    <w:rsid w:val="3F6D561C"/>
    <w:rsid w:val="405F786F"/>
    <w:rsid w:val="4062290B"/>
    <w:rsid w:val="40A4746C"/>
    <w:rsid w:val="41BA1394"/>
    <w:rsid w:val="43E10E72"/>
    <w:rsid w:val="44D0237C"/>
    <w:rsid w:val="46471F97"/>
    <w:rsid w:val="493B3D27"/>
    <w:rsid w:val="4B98021B"/>
    <w:rsid w:val="4BE2478D"/>
    <w:rsid w:val="4C0D2254"/>
    <w:rsid w:val="4C4B2F65"/>
    <w:rsid w:val="4C975461"/>
    <w:rsid w:val="4DB6075B"/>
    <w:rsid w:val="4E286B25"/>
    <w:rsid w:val="4F2F7295"/>
    <w:rsid w:val="50105E33"/>
    <w:rsid w:val="50617644"/>
    <w:rsid w:val="516D3763"/>
    <w:rsid w:val="52A525AC"/>
    <w:rsid w:val="532E303D"/>
    <w:rsid w:val="53DE09BE"/>
    <w:rsid w:val="54803E1F"/>
    <w:rsid w:val="551766DE"/>
    <w:rsid w:val="564748A2"/>
    <w:rsid w:val="56A1792E"/>
    <w:rsid w:val="578F067E"/>
    <w:rsid w:val="585A742E"/>
    <w:rsid w:val="5B6C7F3D"/>
    <w:rsid w:val="5BB506FC"/>
    <w:rsid w:val="5CAE079A"/>
    <w:rsid w:val="5D6B3E61"/>
    <w:rsid w:val="5D751274"/>
    <w:rsid w:val="5E530268"/>
    <w:rsid w:val="5F975C92"/>
    <w:rsid w:val="5FC57E6C"/>
    <w:rsid w:val="63A55DF1"/>
    <w:rsid w:val="65575308"/>
    <w:rsid w:val="6573033E"/>
    <w:rsid w:val="66A87780"/>
    <w:rsid w:val="694A22D9"/>
    <w:rsid w:val="6A475748"/>
    <w:rsid w:val="6D2502E1"/>
    <w:rsid w:val="724752AE"/>
    <w:rsid w:val="74CA4F88"/>
    <w:rsid w:val="74F151D4"/>
    <w:rsid w:val="750C55D1"/>
    <w:rsid w:val="762F05A3"/>
    <w:rsid w:val="77BF5CEB"/>
    <w:rsid w:val="79CD384C"/>
    <w:rsid w:val="79F7403A"/>
    <w:rsid w:val="7B7E2B92"/>
    <w:rsid w:val="7D344FF5"/>
    <w:rsid w:val="7DA801FD"/>
    <w:rsid w:val="7EEF4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1"/>
    <w:pPr>
      <w:spacing w:before="35"/>
      <w:ind w:right="297"/>
      <w:jc w:val="center"/>
      <w:outlineLvl w:val="1"/>
    </w:pPr>
    <w:rPr>
      <w:rFonts w:ascii="宋体" w:hAnsi="宋体" w:eastAsia="宋体" w:cs="宋体"/>
      <w:b/>
      <w:bCs/>
      <w:sz w:val="28"/>
      <w:szCs w:val="28"/>
      <w:lang w:val="zh-CN" w:bidi="zh-CN"/>
    </w:rPr>
  </w:style>
  <w:style w:type="paragraph" w:styleId="5">
    <w:name w:val="heading 3"/>
    <w:basedOn w:val="1"/>
    <w:next w:val="1"/>
    <w:link w:val="41"/>
    <w:qFormat/>
    <w:uiPriority w:val="0"/>
    <w:pPr>
      <w:keepNext/>
      <w:keepLines/>
      <w:spacing w:before="120" w:after="120" w:line="300" w:lineRule="auto"/>
      <w:outlineLvl w:val="2"/>
    </w:pPr>
    <w:rPr>
      <w:rFonts w:ascii="宋体" w:hAnsi="Times New Roman" w:eastAsia="宋体" w:cs="Times New Roman"/>
      <w:b/>
      <w:bCs/>
      <w:kern w:val="0"/>
      <w:sz w:val="24"/>
      <w:szCs w:val="32"/>
    </w:rPr>
  </w:style>
  <w:style w:type="paragraph" w:styleId="6">
    <w:name w:val="heading 4"/>
    <w:basedOn w:val="1"/>
    <w:next w:val="1"/>
    <w:qFormat/>
    <w:uiPriority w:val="1"/>
    <w:pPr>
      <w:ind w:left="720"/>
      <w:outlineLvl w:val="3"/>
    </w:pPr>
    <w:rPr>
      <w:rFonts w:ascii="宋体" w:hAnsi="宋体" w:eastAsia="宋体" w:cs="宋体"/>
      <w:b/>
      <w:bCs/>
      <w:sz w:val="24"/>
      <w:szCs w:val="24"/>
      <w:lang w:val="zh-CN" w:bidi="zh-CN"/>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7">
    <w:name w:val="Body Text"/>
    <w:basedOn w:val="1"/>
    <w:link w:val="35"/>
    <w:qFormat/>
    <w:uiPriority w:val="0"/>
    <w:pPr>
      <w:spacing w:after="120"/>
    </w:pPr>
    <w:rPr>
      <w:rFonts w:ascii="Times New Roman" w:hAnsi="Times New Roman" w:eastAsia="宋体" w:cs="Times New Roman"/>
      <w:szCs w:val="24"/>
    </w:rPr>
  </w:style>
  <w:style w:type="paragraph" w:styleId="8">
    <w:name w:val="Plain Text"/>
    <w:basedOn w:val="1"/>
    <w:link w:val="33"/>
    <w:qFormat/>
    <w:uiPriority w:val="0"/>
    <w:rPr>
      <w:rFonts w:ascii="宋体" w:hAnsi="Courier New" w:eastAsia="宋体" w:cs="Courier New"/>
      <w:szCs w:val="21"/>
    </w:rPr>
  </w:style>
  <w:style w:type="paragraph" w:styleId="9">
    <w:name w:val="Date"/>
    <w:basedOn w:val="1"/>
    <w:next w:val="1"/>
    <w:link w:val="43"/>
    <w:qFormat/>
    <w:uiPriority w:val="0"/>
    <w:rPr>
      <w:rFonts w:ascii="Times New Roman" w:hAnsi="Times New Roman" w:eastAsia="宋体" w:cs="Times New Roman"/>
      <w:szCs w:val="20"/>
    </w:rPr>
  </w:style>
  <w:style w:type="paragraph" w:styleId="10">
    <w:name w:val="Balloon Text"/>
    <w:basedOn w:val="1"/>
    <w:link w:val="21"/>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itle"/>
    <w:basedOn w:val="1"/>
    <w:next w:val="1"/>
    <w:link w:val="47"/>
    <w:qFormat/>
    <w:uiPriority w:val="0"/>
    <w:pPr>
      <w:spacing w:before="240" w:after="60"/>
      <w:jc w:val="center"/>
      <w:outlineLvl w:val="0"/>
    </w:pPr>
    <w:rPr>
      <w:rFonts w:ascii="Arial" w:hAnsi="Arial" w:eastAsia="宋体" w:cs="Times New Roman"/>
      <w:b/>
      <w:kern w:val="0"/>
      <w:sz w:val="32"/>
      <w:szCs w:val="20"/>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unhideWhenUsed/>
    <w:qFormat/>
    <w:uiPriority w:val="99"/>
    <w:rPr>
      <w:color w:val="0000FF" w:themeColor="hyperlink"/>
      <w:u w:val="single"/>
    </w:rPr>
  </w:style>
  <w:style w:type="paragraph" w:customStyle="1" w:styleId="18">
    <w:name w:val="TOC 标题1"/>
    <w:basedOn w:val="3"/>
    <w:next w:val="1"/>
    <w:qFormat/>
    <w:uiPriority w:val="39"/>
    <w:pPr>
      <w:spacing w:before="480" w:line="276" w:lineRule="auto"/>
      <w:outlineLvl w:val="9"/>
    </w:pPr>
    <w:rPr>
      <w:rFonts w:ascii="仿宋" w:hAnsi="仿宋" w:eastAsia="仿宋"/>
      <w:color w:val="000000"/>
      <w:kern w:val="0"/>
      <w:sz w:val="32"/>
      <w:szCs w:val="32"/>
    </w:rPr>
  </w:style>
  <w:style w:type="character" w:customStyle="1" w:styleId="19">
    <w:name w:val="页脚 Char"/>
    <w:basedOn w:val="16"/>
    <w:link w:val="11"/>
    <w:qFormat/>
    <w:uiPriority w:val="99"/>
    <w:rPr>
      <w:sz w:val="18"/>
      <w:szCs w:val="18"/>
    </w:rPr>
  </w:style>
  <w:style w:type="paragraph" w:customStyle="1" w:styleId="20">
    <w:name w:val="列出段落1"/>
    <w:basedOn w:val="1"/>
    <w:qFormat/>
    <w:uiPriority w:val="34"/>
    <w:pPr>
      <w:ind w:firstLine="420" w:firstLineChars="200"/>
    </w:pPr>
  </w:style>
  <w:style w:type="character" w:customStyle="1" w:styleId="21">
    <w:name w:val="批注框文本 Char"/>
    <w:basedOn w:val="16"/>
    <w:link w:val="10"/>
    <w:semiHidden/>
    <w:qFormat/>
    <w:uiPriority w:val="99"/>
    <w:rPr>
      <w:sz w:val="18"/>
      <w:szCs w:val="18"/>
    </w:rPr>
  </w:style>
  <w:style w:type="character" w:customStyle="1" w:styleId="22">
    <w:name w:val="页眉 Char"/>
    <w:basedOn w:val="16"/>
    <w:link w:val="12"/>
    <w:qFormat/>
    <w:uiPriority w:val="99"/>
    <w:rPr>
      <w:sz w:val="18"/>
      <w:szCs w:val="18"/>
    </w:rPr>
  </w:style>
  <w:style w:type="character" w:customStyle="1" w:styleId="23">
    <w:name w:val="font01"/>
    <w:basedOn w:val="16"/>
    <w:qFormat/>
    <w:uiPriority w:val="0"/>
    <w:rPr>
      <w:rFonts w:ascii="Helvetica" w:hAnsi="Helvetica" w:eastAsia="Helvetica" w:cs="Helvetica"/>
      <w:color w:val="000000"/>
      <w:sz w:val="16"/>
      <w:szCs w:val="16"/>
      <w:u w:val="none"/>
    </w:rPr>
  </w:style>
  <w:style w:type="character" w:customStyle="1" w:styleId="24">
    <w:name w:val="font41"/>
    <w:basedOn w:val="16"/>
    <w:qFormat/>
    <w:uiPriority w:val="0"/>
    <w:rPr>
      <w:rFonts w:hint="eastAsia" w:ascii="宋体" w:hAnsi="宋体" w:eastAsia="宋体" w:cs="宋体"/>
      <w:color w:val="000000"/>
      <w:sz w:val="16"/>
      <w:szCs w:val="16"/>
      <w:u w:val="none"/>
    </w:rPr>
  </w:style>
  <w:style w:type="character" w:customStyle="1" w:styleId="25">
    <w:name w:val="font11"/>
    <w:basedOn w:val="16"/>
    <w:qFormat/>
    <w:uiPriority w:val="0"/>
    <w:rPr>
      <w:rFonts w:hint="default" w:ascii="Times New Roman" w:hAnsi="Times New Roman" w:cs="Times New Roman"/>
      <w:color w:val="000000"/>
      <w:sz w:val="16"/>
      <w:szCs w:val="16"/>
      <w:u w:val="none"/>
    </w:rPr>
  </w:style>
  <w:style w:type="character" w:customStyle="1" w:styleId="26">
    <w:name w:val="font21"/>
    <w:basedOn w:val="16"/>
    <w:qFormat/>
    <w:uiPriority w:val="0"/>
    <w:rPr>
      <w:rFonts w:ascii="Helvetica" w:hAnsi="Helvetica" w:eastAsia="Helvetica" w:cs="Helvetica"/>
      <w:color w:val="000000"/>
      <w:sz w:val="16"/>
      <w:szCs w:val="16"/>
      <w:u w:val="none"/>
    </w:rPr>
  </w:style>
  <w:style w:type="character" w:customStyle="1" w:styleId="27">
    <w:name w:val="font51"/>
    <w:basedOn w:val="16"/>
    <w:qFormat/>
    <w:uiPriority w:val="0"/>
    <w:rPr>
      <w:rFonts w:hint="eastAsia" w:ascii="宋体" w:hAnsi="宋体" w:eastAsia="宋体" w:cs="宋体"/>
      <w:color w:val="000000"/>
      <w:sz w:val="16"/>
      <w:szCs w:val="16"/>
      <w:u w:val="none"/>
    </w:rPr>
  </w:style>
  <w:style w:type="character" w:customStyle="1" w:styleId="28">
    <w:name w:val="font31"/>
    <w:basedOn w:val="16"/>
    <w:qFormat/>
    <w:uiPriority w:val="0"/>
    <w:rPr>
      <w:rFonts w:hint="eastAsia" w:ascii="宋体" w:hAnsi="宋体" w:eastAsia="宋体" w:cs="宋体"/>
      <w:color w:val="000000"/>
      <w:sz w:val="16"/>
      <w:szCs w:val="16"/>
      <w:u w:val="none"/>
    </w:rPr>
  </w:style>
  <w:style w:type="character" w:customStyle="1" w:styleId="29">
    <w:name w:val="font61"/>
    <w:basedOn w:val="16"/>
    <w:qFormat/>
    <w:uiPriority w:val="0"/>
    <w:rPr>
      <w:rFonts w:hint="eastAsia" w:ascii="宋体" w:hAnsi="宋体" w:eastAsia="宋体" w:cs="宋体"/>
      <w:color w:val="000000"/>
      <w:sz w:val="16"/>
      <w:szCs w:val="16"/>
      <w:u w:val="none"/>
    </w:rPr>
  </w:style>
  <w:style w:type="character" w:customStyle="1" w:styleId="30">
    <w:name w:val="font71"/>
    <w:basedOn w:val="16"/>
    <w:qFormat/>
    <w:uiPriority w:val="0"/>
    <w:rPr>
      <w:rFonts w:ascii="Helvetica" w:hAnsi="Helvetica" w:eastAsia="Helvetica" w:cs="Helvetica"/>
      <w:color w:val="000000"/>
      <w:sz w:val="16"/>
      <w:szCs w:val="16"/>
      <w:u w:val="none"/>
    </w:rPr>
  </w:style>
  <w:style w:type="character" w:customStyle="1" w:styleId="31">
    <w:name w:val="font91"/>
    <w:basedOn w:val="16"/>
    <w:qFormat/>
    <w:uiPriority w:val="0"/>
    <w:rPr>
      <w:rFonts w:hint="default" w:ascii="Times New Roman" w:hAnsi="Times New Roman" w:cs="Times New Roman"/>
      <w:color w:val="000000"/>
      <w:sz w:val="16"/>
      <w:szCs w:val="16"/>
      <w:u w:val="none"/>
    </w:rPr>
  </w:style>
  <w:style w:type="character" w:customStyle="1" w:styleId="32">
    <w:name w:val="font81"/>
    <w:basedOn w:val="16"/>
    <w:qFormat/>
    <w:uiPriority w:val="0"/>
    <w:rPr>
      <w:rFonts w:hint="eastAsia" w:ascii="宋体" w:hAnsi="宋体" w:eastAsia="宋体" w:cs="宋体"/>
      <w:color w:val="000000"/>
      <w:sz w:val="16"/>
      <w:szCs w:val="16"/>
      <w:u w:val="none"/>
    </w:rPr>
  </w:style>
  <w:style w:type="character" w:customStyle="1" w:styleId="33">
    <w:name w:val="纯文本 Char"/>
    <w:basedOn w:val="16"/>
    <w:link w:val="8"/>
    <w:qFormat/>
    <w:uiPriority w:val="0"/>
    <w:rPr>
      <w:rFonts w:ascii="宋体" w:hAnsi="Courier New" w:cs="Courier New"/>
      <w:kern w:val="2"/>
      <w:sz w:val="21"/>
      <w:szCs w:val="21"/>
    </w:rPr>
  </w:style>
  <w:style w:type="paragraph" w:styleId="34">
    <w:name w:val="List Paragraph"/>
    <w:basedOn w:val="1"/>
    <w:qFormat/>
    <w:uiPriority w:val="99"/>
    <w:pPr>
      <w:ind w:firstLine="420" w:firstLineChars="200"/>
    </w:pPr>
    <w:rPr>
      <w:rFonts w:ascii="Calibri" w:hAnsi="Calibri" w:eastAsia="宋体" w:cs="Times New Roman"/>
      <w:szCs w:val="21"/>
    </w:rPr>
  </w:style>
  <w:style w:type="character" w:customStyle="1" w:styleId="35">
    <w:name w:val="正文文本 Char"/>
    <w:basedOn w:val="16"/>
    <w:link w:val="7"/>
    <w:qFormat/>
    <w:uiPriority w:val="0"/>
    <w:rPr>
      <w:kern w:val="2"/>
      <w:sz w:val="21"/>
      <w:szCs w:val="24"/>
    </w:rPr>
  </w:style>
  <w:style w:type="paragraph" w:customStyle="1" w:styleId="36">
    <w:name w:val="标题 41"/>
    <w:basedOn w:val="1"/>
    <w:qFormat/>
    <w:uiPriority w:val="1"/>
    <w:pPr>
      <w:autoSpaceDE w:val="0"/>
      <w:autoSpaceDN w:val="0"/>
      <w:adjustRightInd w:val="0"/>
      <w:spacing w:before="192"/>
      <w:ind w:left="141"/>
      <w:jc w:val="left"/>
      <w:outlineLvl w:val="3"/>
    </w:pPr>
    <w:rPr>
      <w:rFonts w:ascii="宋体" w:hAnsi="Times New Roman" w:eastAsia="宋体" w:cs="宋体"/>
      <w:b/>
      <w:bCs/>
      <w:kern w:val="0"/>
      <w:sz w:val="24"/>
      <w:szCs w:val="24"/>
    </w:rPr>
  </w:style>
  <w:style w:type="paragraph" w:customStyle="1" w:styleId="37">
    <w:name w:val="List Paragraph1"/>
    <w:basedOn w:val="1"/>
    <w:qFormat/>
    <w:uiPriority w:val="0"/>
    <w:pPr>
      <w:widowControl/>
      <w:spacing w:line="360" w:lineRule="atLeast"/>
      <w:ind w:firstLine="420" w:firstLineChars="200"/>
      <w:jc w:val="left"/>
      <w:textAlignment w:val="baseline"/>
    </w:pPr>
    <w:rPr>
      <w:rFonts w:ascii="Calibri" w:hAnsi="Calibri" w:eastAsia="宋体" w:cs="宋体"/>
      <w:kern w:val="0"/>
      <w:sz w:val="22"/>
      <w:szCs w:val="28"/>
    </w:rPr>
  </w:style>
  <w:style w:type="character" w:customStyle="1" w:styleId="38">
    <w:name w:val="fontstyle01"/>
    <w:basedOn w:val="16"/>
    <w:qFormat/>
    <w:uiPriority w:val="0"/>
    <w:rPr>
      <w:rFonts w:hint="eastAsia" w:ascii="黑体" w:hAnsi="黑体" w:eastAsia="黑体"/>
      <w:color w:val="000000"/>
      <w:sz w:val="28"/>
      <w:szCs w:val="28"/>
    </w:rPr>
  </w:style>
  <w:style w:type="character" w:customStyle="1" w:styleId="39">
    <w:name w:val="fontstyle21"/>
    <w:basedOn w:val="16"/>
    <w:qFormat/>
    <w:uiPriority w:val="0"/>
    <w:rPr>
      <w:rFonts w:hint="eastAsia" w:ascii="宋体" w:hAnsi="宋体" w:eastAsia="宋体"/>
      <w:color w:val="000000"/>
      <w:sz w:val="24"/>
      <w:szCs w:val="24"/>
    </w:rPr>
  </w:style>
  <w:style w:type="character" w:customStyle="1" w:styleId="40">
    <w:name w:val="fontstyle31"/>
    <w:basedOn w:val="16"/>
    <w:qFormat/>
    <w:uiPriority w:val="0"/>
    <w:rPr>
      <w:rFonts w:hint="default" w:ascii="Times New Roman" w:hAnsi="Times New Roman" w:cs="Times New Roman"/>
      <w:color w:val="000000"/>
      <w:sz w:val="24"/>
      <w:szCs w:val="24"/>
    </w:rPr>
  </w:style>
  <w:style w:type="character" w:customStyle="1" w:styleId="41">
    <w:name w:val="标题 3 Char"/>
    <w:basedOn w:val="16"/>
    <w:link w:val="5"/>
    <w:qFormat/>
    <w:uiPriority w:val="0"/>
    <w:rPr>
      <w:rFonts w:ascii="宋体"/>
      <w:b/>
      <w:bCs/>
      <w:sz w:val="24"/>
      <w:szCs w:val="32"/>
    </w:rPr>
  </w:style>
  <w:style w:type="character" w:customStyle="1" w:styleId="42">
    <w:name w:val="日期 Char"/>
    <w:basedOn w:val="16"/>
    <w:link w:val="9"/>
    <w:qFormat/>
    <w:uiPriority w:val="0"/>
    <w:rPr>
      <w:kern w:val="2"/>
      <w:sz w:val="21"/>
    </w:rPr>
  </w:style>
  <w:style w:type="character" w:customStyle="1" w:styleId="43">
    <w:name w:val="日期 Char1"/>
    <w:basedOn w:val="16"/>
    <w:link w:val="9"/>
    <w:semiHidden/>
    <w:qFormat/>
    <w:uiPriority w:val="99"/>
    <w:rPr>
      <w:rFonts w:asciiTheme="minorHAnsi" w:hAnsiTheme="minorHAnsi" w:eastAsiaTheme="minorEastAsia" w:cstheme="minorBidi"/>
      <w:kern w:val="2"/>
      <w:sz w:val="21"/>
      <w:szCs w:val="22"/>
    </w:rPr>
  </w:style>
  <w:style w:type="paragraph" w:customStyle="1" w:styleId="44">
    <w:name w:val="Table Paragraph"/>
    <w:basedOn w:val="1"/>
    <w:qFormat/>
    <w:uiPriority w:val="0"/>
    <w:rPr>
      <w:rFonts w:ascii="宋体" w:hAnsi="宋体" w:eastAsia="宋体" w:cs="宋体"/>
      <w:lang w:val="zh-CN" w:bidi="zh-CN"/>
    </w:rPr>
  </w:style>
  <w:style w:type="character" w:customStyle="1" w:styleId="45">
    <w:name w:val="html_txt1"/>
    <w:qFormat/>
    <w:uiPriority w:val="0"/>
    <w:rPr>
      <w:color w:val="000000"/>
    </w:rPr>
  </w:style>
  <w:style w:type="character" w:customStyle="1" w:styleId="46">
    <w:name w:val="标题 Char"/>
    <w:link w:val="13"/>
    <w:qFormat/>
    <w:uiPriority w:val="0"/>
    <w:rPr>
      <w:rFonts w:ascii="Arial" w:hAnsi="Arial"/>
      <w:b/>
      <w:sz w:val="32"/>
    </w:rPr>
  </w:style>
  <w:style w:type="character" w:customStyle="1" w:styleId="47">
    <w:name w:val="标题 Char1"/>
    <w:basedOn w:val="16"/>
    <w:link w:val="13"/>
    <w:qFormat/>
    <w:uiPriority w:val="1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9E3F13-6736-46BB-9F64-9F6D52D446D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2039</Words>
  <Characters>11625</Characters>
  <Lines>96</Lines>
  <Paragraphs>27</Paragraphs>
  <TotalTime>3</TotalTime>
  <ScaleCrop>false</ScaleCrop>
  <LinksUpToDate>false</LinksUpToDate>
  <CharactersWithSpaces>13637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2020-12-18T05:16:00Z</dcterms:created>
  <dc:creator>lenovo</dc:creator>
  <cp:lastModifiedBy>123</cp:lastModifiedBy>
  <cp:lastPrinted>2020-12-18T05:13:00Z</cp:lastPrinted>
  <dcterms:modified xsi:type="dcterms:W3CDTF">2021-01-14T07:33:17Z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