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eastAsiaTheme="minorEastAsia" w:cstheme="minorEastAsia"/>
          <w:sz w:val="32"/>
          <w:szCs w:val="48"/>
        </w:rPr>
      </w:pPr>
    </w:p>
    <w:p>
      <w:pPr>
        <w:pStyle w:val="2"/>
      </w:pPr>
    </w:p>
    <w:p>
      <w:pPr>
        <w:jc w:val="center"/>
        <w:rPr>
          <w:rFonts w:asciiTheme="minorEastAsia" w:hAnsiTheme="minorEastAsia" w:eastAsiaTheme="minorEastAsia" w:cstheme="minorEastAsia"/>
          <w:b/>
          <w:bCs/>
          <w:sz w:val="32"/>
          <w:szCs w:val="48"/>
        </w:rPr>
      </w:pPr>
      <w:r>
        <w:rPr>
          <w:rFonts w:hint="eastAsia" w:asciiTheme="minorEastAsia" w:hAnsiTheme="minorEastAsia" w:eastAsiaTheme="minorEastAsia" w:cstheme="minorEastAsia"/>
          <w:b/>
          <w:bCs/>
          <w:sz w:val="32"/>
          <w:szCs w:val="48"/>
        </w:rPr>
        <w:t>阳新县白沙镇四屋组采石厂矿山生态修复治理工程</w:t>
      </w: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jc w:val="center"/>
        <w:rPr>
          <w:rFonts w:asciiTheme="minorEastAsia" w:hAnsiTheme="minorEastAsia" w:eastAsiaTheme="minorEastAsia" w:cstheme="minorEastAsia"/>
          <w:bCs/>
          <w:w w:val="66"/>
          <w:sz w:val="144"/>
          <w:szCs w:val="48"/>
        </w:rPr>
      </w:pPr>
      <w:r>
        <w:rPr>
          <w:rFonts w:hint="eastAsia" w:asciiTheme="minorEastAsia" w:hAnsiTheme="minorEastAsia" w:eastAsiaTheme="minorEastAsia" w:cstheme="minorEastAsia"/>
          <w:bCs/>
          <w:w w:val="66"/>
          <w:sz w:val="144"/>
          <w:szCs w:val="48"/>
        </w:rPr>
        <w:t>竞争性磋商文件</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60" w:lineRule="auto"/>
        <w:ind w:firstLine="1120" w:firstLineChars="400"/>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rPr>
        <w:t>项目编号：</w:t>
      </w:r>
      <w:r>
        <w:rPr>
          <w:rFonts w:hint="eastAsia" w:asciiTheme="minorEastAsia" w:hAnsiTheme="minorEastAsia" w:eastAsiaTheme="minorEastAsia" w:cstheme="minorEastAsia"/>
          <w:sz w:val="28"/>
          <w:szCs w:val="36"/>
          <w:lang w:eastAsia="zh-CN"/>
        </w:rPr>
        <w:t>131-2021CG-067</w:t>
      </w:r>
    </w:p>
    <w:p>
      <w:pPr>
        <w:spacing w:line="360" w:lineRule="auto"/>
        <w:ind w:firstLine="1120" w:firstLineChars="400"/>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采 购 人：阳新县自然资源和规划局</w:t>
      </w:r>
    </w:p>
    <w:p>
      <w:pPr>
        <w:spacing w:line="360" w:lineRule="auto"/>
        <w:ind w:firstLine="1120" w:firstLineChars="400"/>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采购代理机构：昀锦工程咨询有限公司</w:t>
      </w:r>
    </w:p>
    <w:p>
      <w:pPr>
        <w:pStyle w:val="15"/>
        <w:ind w:firstLine="1120" w:firstLineChars="400"/>
        <w:rPr>
          <w:rFonts w:asciiTheme="minorEastAsia" w:hAnsiTheme="minorEastAsia" w:eastAsiaTheme="minorEastAsia" w:cstheme="minorEastAsia"/>
          <w:sz w:val="28"/>
          <w:szCs w:val="36"/>
        </w:rPr>
      </w:pPr>
    </w:p>
    <w:p>
      <w:pPr>
        <w:pStyle w:val="15"/>
        <w:rPr>
          <w:rFonts w:asciiTheme="minorEastAsia" w:hAnsiTheme="minorEastAsia" w:eastAsiaTheme="minorEastAsia" w:cstheme="minorEastAsia"/>
          <w:sz w:val="15"/>
        </w:rPr>
      </w:pPr>
    </w:p>
    <w:p>
      <w:pPr>
        <w:ind w:firstLine="686" w:firstLineChars="245"/>
        <w:rPr>
          <w:rFonts w:asciiTheme="minorEastAsia" w:hAnsiTheme="minorEastAsia" w:eastAsiaTheme="minorEastAsia" w:cstheme="minorEastAsia"/>
          <w:sz w:val="28"/>
        </w:rPr>
      </w:pPr>
    </w:p>
    <w:p>
      <w:pPr>
        <w:spacing w:line="360" w:lineRule="auto"/>
        <w:ind w:firstLine="1960" w:firstLineChars="700"/>
        <w:jc w:val="both"/>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二零二一年四月</w:t>
      </w:r>
    </w:p>
    <w:p>
      <w:pPr>
        <w:jc w:val="center"/>
        <w:rPr>
          <w:b/>
          <w:sz w:val="24"/>
        </w:rPr>
      </w:pPr>
      <w:r>
        <w:rPr>
          <w:rFonts w:hint="eastAsia"/>
          <w:b/>
          <w:sz w:val="24"/>
        </w:rPr>
        <w:br w:type="page"/>
      </w:r>
    </w:p>
    <w:sdt>
      <w:sdtPr>
        <w:rPr>
          <w:rFonts w:ascii="宋体" w:hAnsi="宋体"/>
          <w:b/>
          <w:bCs/>
          <w:kern w:val="44"/>
          <w:sz w:val="44"/>
          <w:szCs w:val="44"/>
        </w:rPr>
        <w:id w:val="147471559"/>
        <w:docPartObj>
          <w:docPartGallery w:val="Table of Contents"/>
          <w:docPartUnique/>
        </w:docPartObj>
      </w:sdtPr>
      <w:sdtEndPr>
        <w:rPr>
          <w:rFonts w:hint="eastAsia" w:ascii="黑体" w:hAnsi="黑体" w:eastAsia="黑体"/>
          <w:b/>
          <w:bCs/>
          <w:kern w:val="44"/>
          <w:sz w:val="44"/>
          <w:szCs w:val="32"/>
        </w:rPr>
      </w:sdtEndPr>
      <w:sdtContent>
        <w:p>
          <w:pPr>
            <w:jc w:val="center"/>
          </w:pPr>
          <w:bookmarkStart w:id="0" w:name="_Toc4490"/>
          <w:r>
            <w:rPr>
              <w:rFonts w:ascii="宋体" w:hAnsi="宋体"/>
            </w:rPr>
            <w:t>目录</w:t>
          </w:r>
        </w:p>
        <w:p>
          <w:pPr>
            <w:pStyle w:val="17"/>
            <w:tabs>
              <w:tab w:val="right" w:leader="dot" w:pos="8633"/>
            </w:tabs>
          </w:pPr>
          <w:r>
            <w:rPr>
              <w:rFonts w:hint="eastAsia" w:ascii="黑体" w:hAnsi="黑体" w:eastAsia="黑体"/>
              <w:sz w:val="32"/>
              <w:szCs w:val="32"/>
            </w:rPr>
            <w:fldChar w:fldCharType="begin"/>
          </w:r>
          <w:r>
            <w:rPr>
              <w:rFonts w:hint="eastAsia" w:ascii="黑体" w:hAnsi="黑体" w:eastAsia="黑体"/>
              <w:sz w:val="32"/>
              <w:szCs w:val="32"/>
            </w:rPr>
            <w:instrText xml:space="preserve">TOC \o "1-2" \h \u </w:instrText>
          </w:r>
          <w:r>
            <w:rPr>
              <w:rFonts w:hint="eastAsia" w:ascii="黑体" w:hAnsi="黑体" w:eastAsia="黑体"/>
              <w:sz w:val="32"/>
              <w:szCs w:val="32"/>
            </w:rPr>
            <w:fldChar w:fldCharType="separate"/>
          </w:r>
          <w:r>
            <w:rPr>
              <w:rFonts w:hint="eastAsia" w:ascii="黑体" w:hAnsi="黑体" w:eastAsia="黑体"/>
              <w:szCs w:val="32"/>
            </w:rPr>
            <w:fldChar w:fldCharType="begin"/>
          </w:r>
          <w:r>
            <w:rPr>
              <w:rFonts w:hint="eastAsia" w:ascii="黑体" w:hAnsi="黑体" w:eastAsia="黑体"/>
              <w:szCs w:val="32"/>
            </w:rPr>
            <w:instrText xml:space="preserve"> HYPERLINK \l _Toc11643 </w:instrText>
          </w:r>
          <w:r>
            <w:rPr>
              <w:rFonts w:hint="eastAsia" w:ascii="黑体" w:hAnsi="黑体" w:eastAsia="黑体"/>
              <w:szCs w:val="32"/>
            </w:rPr>
            <w:fldChar w:fldCharType="separate"/>
          </w:r>
          <w:r>
            <w:rPr>
              <w:rFonts w:hint="eastAsia" w:ascii="黑体" w:hAnsi="黑体" w:eastAsia="黑体"/>
              <w:szCs w:val="32"/>
            </w:rPr>
            <w:t>第一章竞争性磋商公告</w:t>
          </w:r>
          <w:r>
            <w:tab/>
          </w:r>
          <w:r>
            <w:fldChar w:fldCharType="begin"/>
          </w:r>
          <w:r>
            <w:instrText xml:space="preserve"> PAGEREF _Toc11643 </w:instrText>
          </w:r>
          <w:r>
            <w:fldChar w:fldCharType="separate"/>
          </w:r>
          <w:r>
            <w:t>1</w:t>
          </w:r>
          <w:r>
            <w:fldChar w:fldCharType="end"/>
          </w:r>
          <w:r>
            <w:rPr>
              <w:rFonts w:hint="eastAsia" w:ascii="黑体" w:hAnsi="黑体" w:eastAsia="黑体"/>
              <w:szCs w:val="32"/>
            </w:rPr>
            <w:fldChar w:fldCharType="end"/>
          </w:r>
        </w:p>
        <w:p>
          <w:pPr>
            <w:pStyle w:val="17"/>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_Toc14885 </w:instrText>
          </w:r>
          <w:r>
            <w:rPr>
              <w:rFonts w:hint="eastAsia" w:ascii="黑体" w:hAnsi="黑体" w:eastAsia="黑体"/>
              <w:szCs w:val="32"/>
            </w:rPr>
            <w:fldChar w:fldCharType="separate"/>
          </w:r>
          <w:r>
            <w:rPr>
              <w:rFonts w:hint="eastAsia" w:ascii="黑体" w:hAnsi="黑体" w:eastAsia="黑体"/>
              <w:bCs w:val="0"/>
            </w:rPr>
            <w:t>第二章供应商须知</w:t>
          </w:r>
          <w:r>
            <w:tab/>
          </w:r>
          <w:r>
            <w:fldChar w:fldCharType="begin"/>
          </w:r>
          <w:r>
            <w:instrText xml:space="preserve"> PAGEREF _Toc14885 </w:instrText>
          </w:r>
          <w:r>
            <w:fldChar w:fldCharType="separate"/>
          </w:r>
          <w:r>
            <w:t>4</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_Toc11465 </w:instrText>
          </w:r>
          <w:r>
            <w:rPr>
              <w:rFonts w:hint="eastAsia" w:ascii="黑体" w:hAnsi="黑体" w:eastAsia="黑体"/>
              <w:szCs w:val="32"/>
            </w:rPr>
            <w:fldChar w:fldCharType="separate"/>
          </w:r>
          <w:r>
            <w:rPr>
              <w:rFonts w:hint="eastAsia" w:ascii="黑体" w:hAnsi="黑体"/>
              <w:bCs w:val="0"/>
              <w:spacing w:val="12"/>
            </w:rPr>
            <w:t>供应商须知前附表</w:t>
          </w:r>
          <w:r>
            <w:tab/>
          </w:r>
          <w:r>
            <w:fldChar w:fldCharType="begin"/>
          </w:r>
          <w:r>
            <w:instrText xml:space="preserve"> PAGEREF _Toc11465 </w:instrText>
          </w:r>
          <w:r>
            <w:fldChar w:fldCharType="separate"/>
          </w:r>
          <w:r>
            <w:t>4</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_Toc9570 </w:instrText>
          </w:r>
          <w:r>
            <w:rPr>
              <w:rFonts w:hint="eastAsia" w:ascii="黑体" w:hAnsi="黑体" w:eastAsia="黑体"/>
              <w:szCs w:val="32"/>
            </w:rPr>
            <w:fldChar w:fldCharType="separate"/>
          </w:r>
          <w:r>
            <w:rPr>
              <w:rFonts w:ascii="黑体" w:hAnsi="黑体"/>
              <w:szCs w:val="28"/>
            </w:rPr>
            <w:t xml:space="preserve">1. </w:t>
          </w:r>
          <w:r>
            <w:rPr>
              <w:rFonts w:hint="eastAsia" w:ascii="黑体" w:hAnsi="黑体"/>
              <w:szCs w:val="28"/>
            </w:rPr>
            <w:t>总则</w:t>
          </w:r>
          <w:r>
            <w:tab/>
          </w:r>
          <w:r>
            <w:fldChar w:fldCharType="begin"/>
          </w:r>
          <w:r>
            <w:instrText xml:space="preserve"> PAGEREF _Toc9570 </w:instrText>
          </w:r>
          <w:r>
            <w:fldChar w:fldCharType="separate"/>
          </w:r>
          <w:r>
            <w:t>7</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_Toc15032 </w:instrText>
          </w:r>
          <w:r>
            <w:rPr>
              <w:rFonts w:hint="eastAsia" w:ascii="黑体" w:hAnsi="黑体" w:eastAsia="黑体"/>
              <w:szCs w:val="32"/>
            </w:rPr>
            <w:fldChar w:fldCharType="separate"/>
          </w:r>
          <w:r>
            <w:rPr>
              <w:rFonts w:ascii="黑体" w:hAnsi="黑体"/>
              <w:szCs w:val="28"/>
            </w:rPr>
            <w:t xml:space="preserve">2. </w:t>
          </w:r>
          <w:r>
            <w:rPr>
              <w:rFonts w:hint="eastAsia" w:ascii="黑体" w:hAnsi="黑体"/>
              <w:szCs w:val="28"/>
            </w:rPr>
            <w:t>磋商文件</w:t>
          </w:r>
          <w:r>
            <w:tab/>
          </w:r>
          <w:r>
            <w:fldChar w:fldCharType="begin"/>
          </w:r>
          <w:r>
            <w:instrText xml:space="preserve"> PAGEREF _Toc15032 </w:instrText>
          </w:r>
          <w:r>
            <w:fldChar w:fldCharType="separate"/>
          </w:r>
          <w:r>
            <w:t>8</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_Toc27454 </w:instrText>
          </w:r>
          <w:r>
            <w:rPr>
              <w:rFonts w:hint="eastAsia" w:ascii="黑体" w:hAnsi="黑体" w:eastAsia="黑体"/>
              <w:szCs w:val="32"/>
            </w:rPr>
            <w:fldChar w:fldCharType="separate"/>
          </w:r>
          <w:r>
            <w:rPr>
              <w:rFonts w:ascii="黑体" w:hAnsi="黑体"/>
              <w:szCs w:val="28"/>
            </w:rPr>
            <w:t xml:space="preserve">3. </w:t>
          </w:r>
          <w:r>
            <w:rPr>
              <w:rFonts w:hint="eastAsia" w:ascii="黑体" w:hAnsi="黑体"/>
              <w:szCs w:val="28"/>
            </w:rPr>
            <w:t>响应文件</w:t>
          </w:r>
          <w:r>
            <w:tab/>
          </w:r>
          <w:r>
            <w:fldChar w:fldCharType="begin"/>
          </w:r>
          <w:r>
            <w:instrText xml:space="preserve"> PAGEREF _Toc27454 </w:instrText>
          </w:r>
          <w:r>
            <w:fldChar w:fldCharType="separate"/>
          </w:r>
          <w:r>
            <w:t>9</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_Toc32326 </w:instrText>
          </w:r>
          <w:r>
            <w:rPr>
              <w:rFonts w:hint="eastAsia" w:ascii="黑体" w:hAnsi="黑体" w:eastAsia="黑体"/>
              <w:szCs w:val="32"/>
            </w:rPr>
            <w:fldChar w:fldCharType="separate"/>
          </w:r>
          <w:r>
            <w:rPr>
              <w:rFonts w:ascii="黑体" w:hAnsi="黑体"/>
              <w:szCs w:val="28"/>
            </w:rPr>
            <w:t xml:space="preserve">4. </w:t>
          </w:r>
          <w:r>
            <w:rPr>
              <w:rFonts w:hint="eastAsia" w:ascii="黑体" w:hAnsi="黑体"/>
              <w:szCs w:val="28"/>
            </w:rPr>
            <w:t>磋商</w:t>
          </w:r>
          <w:r>
            <w:tab/>
          </w:r>
          <w:r>
            <w:fldChar w:fldCharType="begin"/>
          </w:r>
          <w:r>
            <w:instrText xml:space="preserve"> PAGEREF _Toc32326 </w:instrText>
          </w:r>
          <w:r>
            <w:fldChar w:fldCharType="separate"/>
          </w:r>
          <w:r>
            <w:t>11</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_Toc13525 </w:instrText>
          </w:r>
          <w:r>
            <w:rPr>
              <w:rFonts w:hint="eastAsia" w:ascii="黑体" w:hAnsi="黑体" w:eastAsia="黑体"/>
              <w:szCs w:val="32"/>
            </w:rPr>
            <w:fldChar w:fldCharType="separate"/>
          </w:r>
          <w:r>
            <w:rPr>
              <w:rFonts w:ascii="黑体" w:hAnsi="黑体"/>
              <w:szCs w:val="28"/>
            </w:rPr>
            <w:t xml:space="preserve">5. </w:t>
          </w:r>
          <w:r>
            <w:rPr>
              <w:rFonts w:hint="eastAsia" w:ascii="黑体" w:hAnsi="黑体"/>
              <w:szCs w:val="28"/>
            </w:rPr>
            <w:t>开标</w:t>
          </w:r>
          <w:r>
            <w:tab/>
          </w:r>
          <w:r>
            <w:fldChar w:fldCharType="begin"/>
          </w:r>
          <w:r>
            <w:instrText xml:space="preserve"> PAGEREF _Toc13525 </w:instrText>
          </w:r>
          <w:r>
            <w:fldChar w:fldCharType="separate"/>
          </w:r>
          <w:r>
            <w:t>11</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_Toc27108 </w:instrText>
          </w:r>
          <w:r>
            <w:rPr>
              <w:rFonts w:hint="eastAsia" w:ascii="黑体" w:hAnsi="黑体" w:eastAsia="黑体"/>
              <w:szCs w:val="32"/>
            </w:rPr>
            <w:fldChar w:fldCharType="separate"/>
          </w:r>
          <w:r>
            <w:rPr>
              <w:rFonts w:ascii="黑体" w:hAnsi="黑体"/>
              <w:szCs w:val="28"/>
            </w:rPr>
            <w:t xml:space="preserve">6. </w:t>
          </w:r>
          <w:r>
            <w:rPr>
              <w:rFonts w:hint="eastAsia" w:ascii="黑体" w:hAnsi="黑体"/>
              <w:szCs w:val="28"/>
            </w:rPr>
            <w:t>评审</w:t>
          </w:r>
          <w:r>
            <w:tab/>
          </w:r>
          <w:r>
            <w:fldChar w:fldCharType="begin"/>
          </w:r>
          <w:r>
            <w:instrText xml:space="preserve"> PAGEREF _Toc27108 </w:instrText>
          </w:r>
          <w:r>
            <w:fldChar w:fldCharType="separate"/>
          </w:r>
          <w:r>
            <w:t>12</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_Toc2416 </w:instrText>
          </w:r>
          <w:r>
            <w:rPr>
              <w:rFonts w:hint="eastAsia" w:ascii="黑体" w:hAnsi="黑体" w:eastAsia="黑体"/>
              <w:szCs w:val="32"/>
            </w:rPr>
            <w:fldChar w:fldCharType="separate"/>
          </w:r>
          <w:r>
            <w:rPr>
              <w:rFonts w:ascii="黑体" w:hAnsi="黑体"/>
              <w:szCs w:val="28"/>
            </w:rPr>
            <w:t xml:space="preserve">7. </w:t>
          </w:r>
          <w:r>
            <w:rPr>
              <w:rFonts w:hint="eastAsia" w:ascii="黑体" w:hAnsi="黑体"/>
              <w:szCs w:val="28"/>
            </w:rPr>
            <w:t>合同授予</w:t>
          </w:r>
          <w:r>
            <w:tab/>
          </w:r>
          <w:r>
            <w:fldChar w:fldCharType="begin"/>
          </w:r>
          <w:r>
            <w:instrText xml:space="preserve"> PAGEREF _Toc2416 </w:instrText>
          </w:r>
          <w:r>
            <w:fldChar w:fldCharType="separate"/>
          </w:r>
          <w:r>
            <w:t>13</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_Toc21460 </w:instrText>
          </w:r>
          <w:r>
            <w:rPr>
              <w:rFonts w:hint="eastAsia" w:ascii="黑体" w:hAnsi="黑体" w:eastAsia="黑体"/>
              <w:szCs w:val="32"/>
            </w:rPr>
            <w:fldChar w:fldCharType="separate"/>
          </w:r>
          <w:r>
            <w:rPr>
              <w:rFonts w:ascii="黑体" w:hAnsi="黑体"/>
              <w:szCs w:val="28"/>
            </w:rPr>
            <w:t xml:space="preserve">8. </w:t>
          </w:r>
          <w:r>
            <w:rPr>
              <w:rFonts w:hint="eastAsia" w:ascii="黑体" w:hAnsi="黑体"/>
              <w:szCs w:val="28"/>
            </w:rPr>
            <w:t>重新磋商、不再磋商和终止磋商</w:t>
          </w:r>
          <w:r>
            <w:tab/>
          </w:r>
          <w:r>
            <w:fldChar w:fldCharType="begin"/>
          </w:r>
          <w:r>
            <w:instrText xml:space="preserve"> PAGEREF _Toc21460 </w:instrText>
          </w:r>
          <w:r>
            <w:fldChar w:fldCharType="separate"/>
          </w:r>
          <w:r>
            <w:t>13</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_Toc2557 </w:instrText>
          </w:r>
          <w:r>
            <w:rPr>
              <w:rFonts w:hint="eastAsia" w:ascii="黑体" w:hAnsi="黑体" w:eastAsia="黑体"/>
              <w:szCs w:val="32"/>
            </w:rPr>
            <w:fldChar w:fldCharType="separate"/>
          </w:r>
          <w:r>
            <w:rPr>
              <w:rFonts w:ascii="黑体" w:hAnsi="黑体"/>
              <w:szCs w:val="28"/>
            </w:rPr>
            <w:t xml:space="preserve">9. </w:t>
          </w:r>
          <w:r>
            <w:rPr>
              <w:rFonts w:hint="eastAsia" w:ascii="黑体" w:hAnsi="黑体"/>
              <w:szCs w:val="28"/>
            </w:rPr>
            <w:t>纪律和监督</w:t>
          </w:r>
          <w:r>
            <w:tab/>
          </w:r>
          <w:r>
            <w:fldChar w:fldCharType="begin"/>
          </w:r>
          <w:r>
            <w:instrText xml:space="preserve"> PAGEREF _Toc2557 </w:instrText>
          </w:r>
          <w:r>
            <w:fldChar w:fldCharType="separate"/>
          </w:r>
          <w:r>
            <w:t>14</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_Toc13878 </w:instrText>
          </w:r>
          <w:r>
            <w:rPr>
              <w:rFonts w:hint="eastAsia" w:ascii="黑体" w:hAnsi="黑体" w:eastAsia="黑体"/>
              <w:szCs w:val="32"/>
            </w:rPr>
            <w:fldChar w:fldCharType="separate"/>
          </w:r>
          <w:r>
            <w:rPr>
              <w:rFonts w:ascii="黑体" w:hAnsi="黑体"/>
              <w:szCs w:val="28"/>
            </w:rPr>
            <w:t xml:space="preserve">10. </w:t>
          </w:r>
          <w:r>
            <w:rPr>
              <w:rFonts w:hint="eastAsia" w:ascii="黑体" w:hAnsi="黑体"/>
              <w:szCs w:val="28"/>
            </w:rPr>
            <w:t>需要补充的其他内容</w:t>
          </w:r>
          <w:r>
            <w:tab/>
          </w:r>
          <w:r>
            <w:fldChar w:fldCharType="begin"/>
          </w:r>
          <w:r>
            <w:instrText xml:space="preserve"> PAGEREF _Toc13878 </w:instrText>
          </w:r>
          <w:r>
            <w:fldChar w:fldCharType="separate"/>
          </w:r>
          <w:r>
            <w:t>15</w:t>
          </w:r>
          <w:r>
            <w:fldChar w:fldCharType="end"/>
          </w:r>
          <w:r>
            <w:rPr>
              <w:rFonts w:hint="eastAsia" w:ascii="黑体" w:hAnsi="黑体" w:eastAsia="黑体"/>
              <w:szCs w:val="32"/>
            </w:rPr>
            <w:fldChar w:fldCharType="end"/>
          </w:r>
        </w:p>
        <w:p>
          <w:pPr>
            <w:pStyle w:val="17"/>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_Toc22880 </w:instrText>
          </w:r>
          <w:r>
            <w:rPr>
              <w:rFonts w:hint="eastAsia" w:ascii="黑体" w:hAnsi="黑体" w:eastAsia="黑体"/>
              <w:szCs w:val="32"/>
            </w:rPr>
            <w:fldChar w:fldCharType="separate"/>
          </w:r>
          <w:r>
            <w:rPr>
              <w:rFonts w:hint="eastAsia" w:ascii="黑体" w:hAnsi="仿宋_GB2312" w:eastAsia="黑体"/>
              <w:szCs w:val="32"/>
            </w:rPr>
            <w:t>第三章评审办法（综合评分法）</w:t>
          </w:r>
          <w:r>
            <w:tab/>
          </w:r>
          <w:r>
            <w:fldChar w:fldCharType="begin"/>
          </w:r>
          <w:r>
            <w:instrText xml:space="preserve"> PAGEREF _Toc22880 </w:instrText>
          </w:r>
          <w:r>
            <w:fldChar w:fldCharType="separate"/>
          </w:r>
          <w:r>
            <w:t>16</w:t>
          </w:r>
          <w:r>
            <w:fldChar w:fldCharType="end"/>
          </w:r>
          <w:r>
            <w:rPr>
              <w:rFonts w:hint="eastAsia" w:ascii="黑体" w:hAnsi="黑体" w:eastAsia="黑体"/>
              <w:szCs w:val="32"/>
            </w:rPr>
            <w:fldChar w:fldCharType="end"/>
          </w:r>
        </w:p>
        <w:p>
          <w:pPr>
            <w:pStyle w:val="17"/>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_Toc31895 </w:instrText>
          </w:r>
          <w:r>
            <w:rPr>
              <w:rFonts w:hint="eastAsia" w:ascii="黑体" w:hAnsi="黑体" w:eastAsia="黑体"/>
              <w:szCs w:val="32"/>
            </w:rPr>
            <w:fldChar w:fldCharType="separate"/>
          </w:r>
          <w:r>
            <w:rPr>
              <w:rFonts w:hint="eastAsia" w:ascii="黑体" w:hAnsi="仿宋_GB2312" w:eastAsia="黑体"/>
              <w:szCs w:val="32"/>
            </w:rPr>
            <w:t>第四章合同草案条款</w:t>
          </w:r>
          <w:r>
            <w:tab/>
          </w:r>
          <w:r>
            <w:fldChar w:fldCharType="begin"/>
          </w:r>
          <w:r>
            <w:instrText xml:space="preserve"> PAGEREF _Toc31895 </w:instrText>
          </w:r>
          <w:r>
            <w:fldChar w:fldCharType="separate"/>
          </w:r>
          <w:r>
            <w:t>22</w:t>
          </w:r>
          <w:r>
            <w:fldChar w:fldCharType="end"/>
          </w:r>
          <w:r>
            <w:rPr>
              <w:rFonts w:hint="eastAsia" w:ascii="黑体" w:hAnsi="黑体" w:eastAsia="黑体"/>
              <w:szCs w:val="32"/>
            </w:rPr>
            <w:fldChar w:fldCharType="end"/>
          </w:r>
        </w:p>
        <w:p>
          <w:pPr>
            <w:pStyle w:val="17"/>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_Toc8254 </w:instrText>
          </w:r>
          <w:r>
            <w:rPr>
              <w:rFonts w:hint="eastAsia" w:ascii="黑体" w:hAnsi="黑体" w:eastAsia="黑体"/>
              <w:szCs w:val="32"/>
            </w:rPr>
            <w:fldChar w:fldCharType="separate"/>
          </w:r>
          <w:r>
            <w:rPr>
              <w:rFonts w:hint="eastAsia" w:ascii="黑体" w:hAnsi="仿宋_GB2312" w:eastAsia="黑体"/>
              <w:bCs w:val="0"/>
              <w:szCs w:val="32"/>
            </w:rPr>
            <w:t>第五章采购需求</w:t>
          </w:r>
          <w:r>
            <w:tab/>
          </w:r>
          <w:r>
            <w:fldChar w:fldCharType="begin"/>
          </w:r>
          <w:r>
            <w:instrText xml:space="preserve"> PAGEREF _Toc8254 </w:instrText>
          </w:r>
          <w:r>
            <w:fldChar w:fldCharType="separate"/>
          </w:r>
          <w:r>
            <w:t>26</w:t>
          </w:r>
          <w:r>
            <w:fldChar w:fldCharType="end"/>
          </w:r>
          <w:r>
            <w:rPr>
              <w:rFonts w:hint="eastAsia" w:ascii="黑体" w:hAnsi="黑体" w:eastAsia="黑体"/>
              <w:szCs w:val="32"/>
            </w:rPr>
            <w:fldChar w:fldCharType="end"/>
          </w:r>
        </w:p>
        <w:p>
          <w:pPr>
            <w:pStyle w:val="17"/>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_Toc13074 </w:instrText>
          </w:r>
          <w:r>
            <w:rPr>
              <w:rFonts w:hint="eastAsia" w:ascii="黑体" w:hAnsi="黑体" w:eastAsia="黑体"/>
              <w:szCs w:val="32"/>
            </w:rPr>
            <w:fldChar w:fldCharType="separate"/>
          </w:r>
          <w:r>
            <w:rPr>
              <w:rFonts w:hint="eastAsia"/>
            </w:rPr>
            <w:t>第六章响应文件格式</w:t>
          </w:r>
          <w:r>
            <w:tab/>
          </w:r>
          <w:r>
            <w:fldChar w:fldCharType="begin"/>
          </w:r>
          <w:r>
            <w:instrText xml:space="preserve"> PAGEREF _Toc13074 </w:instrText>
          </w:r>
          <w:r>
            <w:fldChar w:fldCharType="separate"/>
          </w:r>
          <w:r>
            <w:t>28</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_Toc20529 </w:instrText>
          </w:r>
          <w:r>
            <w:rPr>
              <w:rFonts w:hint="eastAsia" w:ascii="黑体" w:hAnsi="黑体" w:eastAsia="黑体"/>
              <w:szCs w:val="32"/>
            </w:rPr>
            <w:fldChar w:fldCharType="separate"/>
          </w:r>
          <w:r>
            <w:rPr>
              <w:rFonts w:hint="eastAsia" w:ascii="黑体" w:hAnsi="黑体"/>
              <w:bCs w:val="0"/>
              <w:spacing w:val="12"/>
            </w:rPr>
            <w:t>一、磋商函</w:t>
          </w:r>
          <w:r>
            <w:tab/>
          </w:r>
          <w:r>
            <w:fldChar w:fldCharType="begin"/>
          </w:r>
          <w:r>
            <w:instrText xml:space="preserve"> PAGEREF _Toc20529 </w:instrText>
          </w:r>
          <w:r>
            <w:fldChar w:fldCharType="separate"/>
          </w:r>
          <w:r>
            <w:t>30</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_Toc19249 </w:instrText>
          </w:r>
          <w:r>
            <w:rPr>
              <w:rFonts w:hint="eastAsia" w:ascii="黑体" w:hAnsi="黑体" w:eastAsia="黑体"/>
              <w:szCs w:val="32"/>
            </w:rPr>
            <w:fldChar w:fldCharType="separate"/>
          </w:r>
          <w:r>
            <w:rPr>
              <w:rFonts w:hint="eastAsia" w:ascii="黑体" w:hAnsi="黑体"/>
              <w:bCs w:val="0"/>
              <w:spacing w:val="12"/>
            </w:rPr>
            <w:t>二、磋商一览表（报价表）</w:t>
          </w:r>
          <w:r>
            <w:tab/>
          </w:r>
          <w:r>
            <w:fldChar w:fldCharType="begin"/>
          </w:r>
          <w:r>
            <w:instrText xml:space="preserve"> PAGEREF _Toc19249 </w:instrText>
          </w:r>
          <w:r>
            <w:fldChar w:fldCharType="separate"/>
          </w:r>
          <w:r>
            <w:t>31</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_Toc10631 </w:instrText>
          </w:r>
          <w:r>
            <w:rPr>
              <w:rFonts w:hint="eastAsia" w:ascii="黑体" w:hAnsi="黑体" w:eastAsia="黑体"/>
              <w:szCs w:val="32"/>
            </w:rPr>
            <w:fldChar w:fldCharType="separate"/>
          </w:r>
          <w:r>
            <w:rPr>
              <w:rFonts w:hint="eastAsia" w:ascii="黑体" w:hAnsi="黑体"/>
              <w:bCs w:val="0"/>
              <w:spacing w:val="12"/>
            </w:rPr>
            <w:t>三、法定代表人身份证明</w:t>
          </w:r>
          <w:r>
            <w:tab/>
          </w:r>
          <w:r>
            <w:fldChar w:fldCharType="begin"/>
          </w:r>
          <w:r>
            <w:instrText xml:space="preserve"> PAGEREF _Toc10631 </w:instrText>
          </w:r>
          <w:r>
            <w:fldChar w:fldCharType="separate"/>
          </w:r>
          <w:r>
            <w:t>32</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_Toc3386 </w:instrText>
          </w:r>
          <w:r>
            <w:rPr>
              <w:rFonts w:hint="eastAsia" w:ascii="黑体" w:hAnsi="黑体" w:eastAsia="黑体"/>
              <w:szCs w:val="32"/>
            </w:rPr>
            <w:fldChar w:fldCharType="separate"/>
          </w:r>
          <w:r>
            <w:rPr>
              <w:rFonts w:hint="eastAsia" w:ascii="黑体" w:hAnsi="黑体"/>
              <w:bCs w:val="0"/>
              <w:spacing w:val="12"/>
            </w:rPr>
            <w:t>四、法定代表人授权委托书</w:t>
          </w:r>
          <w:r>
            <w:tab/>
          </w:r>
          <w:r>
            <w:fldChar w:fldCharType="begin"/>
          </w:r>
          <w:r>
            <w:instrText xml:space="preserve"> PAGEREF _Toc3386 </w:instrText>
          </w:r>
          <w:r>
            <w:fldChar w:fldCharType="separate"/>
          </w:r>
          <w:r>
            <w:t>33</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_Toc24560 </w:instrText>
          </w:r>
          <w:r>
            <w:rPr>
              <w:rFonts w:hint="eastAsia" w:ascii="黑体" w:hAnsi="黑体" w:eastAsia="黑体"/>
              <w:szCs w:val="32"/>
            </w:rPr>
            <w:fldChar w:fldCharType="separate"/>
          </w:r>
          <w:r>
            <w:rPr>
              <w:rFonts w:hint="eastAsia" w:ascii="黑体" w:hAnsi="黑体"/>
              <w:bCs w:val="0"/>
              <w:spacing w:val="12"/>
            </w:rPr>
            <w:t>五、资格审查资料</w:t>
          </w:r>
          <w:r>
            <w:tab/>
          </w:r>
          <w:r>
            <w:fldChar w:fldCharType="begin"/>
          </w:r>
          <w:r>
            <w:instrText xml:space="preserve"> PAGEREF _Toc24560 </w:instrText>
          </w:r>
          <w:r>
            <w:fldChar w:fldCharType="separate"/>
          </w:r>
          <w:r>
            <w:t>34</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_Toc16528 </w:instrText>
          </w:r>
          <w:r>
            <w:rPr>
              <w:rFonts w:hint="eastAsia" w:ascii="黑体" w:hAnsi="黑体" w:eastAsia="黑体"/>
              <w:szCs w:val="32"/>
            </w:rPr>
            <w:fldChar w:fldCharType="separate"/>
          </w:r>
          <w:r>
            <w:rPr>
              <w:rFonts w:hint="eastAsia" w:ascii="黑体" w:hAnsi="黑体"/>
            </w:rPr>
            <w:t>六、磋商文件中要求提供的其他资料</w:t>
          </w:r>
          <w:r>
            <w:tab/>
          </w:r>
          <w:r>
            <w:fldChar w:fldCharType="begin"/>
          </w:r>
          <w:r>
            <w:instrText xml:space="preserve"> PAGEREF _Toc16528 </w:instrText>
          </w:r>
          <w:r>
            <w:fldChar w:fldCharType="separate"/>
          </w:r>
          <w:r>
            <w:t>45</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_Toc24023 </w:instrText>
          </w:r>
          <w:r>
            <w:rPr>
              <w:rFonts w:hint="eastAsia" w:ascii="黑体" w:hAnsi="黑体" w:eastAsia="黑体"/>
              <w:szCs w:val="32"/>
            </w:rPr>
            <w:fldChar w:fldCharType="separate"/>
          </w:r>
          <w:r>
            <w:rPr>
              <w:rFonts w:hint="eastAsia" w:ascii="黑体" w:hAnsi="黑体"/>
            </w:rPr>
            <w:t>七、技术方案</w:t>
          </w:r>
          <w:r>
            <w:tab/>
          </w:r>
          <w:r>
            <w:fldChar w:fldCharType="begin"/>
          </w:r>
          <w:r>
            <w:instrText xml:space="preserve"> PAGEREF _Toc24023 </w:instrText>
          </w:r>
          <w:r>
            <w:fldChar w:fldCharType="separate"/>
          </w:r>
          <w:r>
            <w:t>48</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_Toc11330 </w:instrText>
          </w:r>
          <w:r>
            <w:rPr>
              <w:rFonts w:hint="eastAsia" w:ascii="黑体" w:hAnsi="黑体" w:eastAsia="黑体"/>
              <w:szCs w:val="32"/>
            </w:rPr>
            <w:fldChar w:fldCharType="separate"/>
          </w:r>
          <w:r>
            <w:rPr>
              <w:rFonts w:hint="eastAsia" w:ascii="黑体" w:hAnsi="黑体"/>
            </w:rPr>
            <w:t>八、报价工程量清单</w:t>
          </w:r>
          <w:r>
            <w:tab/>
          </w:r>
          <w:r>
            <w:fldChar w:fldCharType="begin"/>
          </w:r>
          <w:r>
            <w:instrText xml:space="preserve"> PAGEREF _Toc11330 </w:instrText>
          </w:r>
          <w:r>
            <w:fldChar w:fldCharType="separate"/>
          </w:r>
          <w:r>
            <w:t>49</w:t>
          </w:r>
          <w:r>
            <w:fldChar w:fldCharType="end"/>
          </w:r>
          <w:r>
            <w:rPr>
              <w:rFonts w:hint="eastAsia" w:ascii="黑体" w:hAnsi="黑体" w:eastAsia="黑体"/>
              <w:szCs w:val="32"/>
            </w:rPr>
            <w:fldChar w:fldCharType="end"/>
          </w:r>
        </w:p>
        <w:p>
          <w:pPr>
            <w:pStyle w:val="18"/>
            <w:tabs>
              <w:tab w:val="right" w:leader="dot" w:pos="8633"/>
            </w:tabs>
          </w:pPr>
          <w:r>
            <w:rPr>
              <w:rFonts w:hint="eastAsia" w:ascii="黑体" w:hAnsi="黑体" w:eastAsia="黑体"/>
              <w:szCs w:val="32"/>
            </w:rPr>
            <w:fldChar w:fldCharType="begin"/>
          </w:r>
          <w:r>
            <w:rPr>
              <w:rFonts w:hint="eastAsia" w:ascii="黑体" w:hAnsi="黑体" w:eastAsia="黑体"/>
              <w:szCs w:val="32"/>
            </w:rPr>
            <w:instrText xml:space="preserve"> HYPERLINK \l _Toc25392 </w:instrText>
          </w:r>
          <w:r>
            <w:rPr>
              <w:rFonts w:hint="eastAsia" w:ascii="黑体" w:hAnsi="黑体" w:eastAsia="黑体"/>
              <w:szCs w:val="32"/>
            </w:rPr>
            <w:fldChar w:fldCharType="separate"/>
          </w:r>
          <w:r>
            <w:rPr>
              <w:rFonts w:hint="eastAsia" w:ascii="黑体" w:hAnsi="黑体"/>
            </w:rPr>
            <w:t>九、其他必要的补充或声明</w:t>
          </w:r>
          <w:r>
            <w:tab/>
          </w:r>
          <w:r>
            <w:fldChar w:fldCharType="begin"/>
          </w:r>
          <w:r>
            <w:instrText xml:space="preserve"> PAGEREF _Toc25392 </w:instrText>
          </w:r>
          <w:r>
            <w:fldChar w:fldCharType="separate"/>
          </w:r>
          <w:r>
            <w:t>50</w:t>
          </w:r>
          <w:r>
            <w:fldChar w:fldCharType="end"/>
          </w:r>
          <w:r>
            <w:rPr>
              <w:rFonts w:hint="eastAsia" w:ascii="黑体" w:hAnsi="黑体" w:eastAsia="黑体"/>
              <w:szCs w:val="32"/>
            </w:rPr>
            <w:fldChar w:fldCharType="end"/>
          </w:r>
        </w:p>
        <w:p>
          <w:pPr>
            <w:pStyle w:val="3"/>
            <w:spacing w:after="210" w:line="400" w:lineRule="exact"/>
            <w:jc w:val="center"/>
            <w:rPr>
              <w:rFonts w:ascii="黑体" w:hAnsi="黑体" w:eastAsia="黑体"/>
              <w:sz w:val="32"/>
              <w:szCs w:val="32"/>
            </w:rPr>
            <w:sectPr>
              <w:headerReference r:id="rId3" w:type="default"/>
              <w:pgSz w:w="11849" w:h="16781"/>
              <w:pgMar w:top="1440" w:right="1416" w:bottom="1440" w:left="1800" w:header="850" w:footer="992" w:gutter="0"/>
              <w:pgNumType w:start="1"/>
              <w:cols w:space="720" w:num="1"/>
              <w:docGrid w:type="lines" w:linePitch="407" w:charSpace="0"/>
            </w:sectPr>
          </w:pPr>
          <w:r>
            <w:rPr>
              <w:rFonts w:hint="eastAsia" w:ascii="黑体" w:hAnsi="黑体" w:eastAsia="黑体"/>
              <w:szCs w:val="32"/>
            </w:rPr>
            <w:fldChar w:fldCharType="end"/>
          </w:r>
        </w:p>
      </w:sdtContent>
    </w:sdt>
    <w:p>
      <w:pPr>
        <w:pStyle w:val="3"/>
        <w:spacing w:after="210" w:line="400" w:lineRule="exact"/>
        <w:jc w:val="center"/>
        <w:rPr>
          <w:rFonts w:ascii="黑体" w:hAnsi="黑体" w:eastAsia="黑体"/>
          <w:sz w:val="32"/>
          <w:szCs w:val="32"/>
        </w:rPr>
      </w:pPr>
      <w:bookmarkStart w:id="1" w:name="_Toc11643"/>
      <w:r>
        <w:rPr>
          <w:rFonts w:hint="eastAsia" w:ascii="黑体" w:hAnsi="黑体" w:eastAsia="黑体"/>
          <w:sz w:val="32"/>
          <w:szCs w:val="32"/>
        </w:rPr>
        <w:t>第一章竞争性磋商公告</w:t>
      </w:r>
      <w:bookmarkEnd w:id="0"/>
      <w:bookmarkEnd w:id="1"/>
    </w:p>
    <w:p>
      <w:pPr>
        <w:adjustRightInd w:val="0"/>
        <w:snapToGrid w:val="0"/>
        <w:spacing w:line="360" w:lineRule="auto"/>
        <w:ind w:firstLine="422" w:firstLineChars="200"/>
        <w:jc w:val="left"/>
        <w:rPr>
          <w:rFonts w:ascii="宋体" w:hAnsi="宋体" w:cs="宋体"/>
          <w:b/>
          <w:color w:val="0C0C0C"/>
          <w:szCs w:val="21"/>
        </w:rPr>
      </w:pPr>
      <w:bookmarkStart w:id="2" w:name="_Toc387647208"/>
      <w:bookmarkStart w:id="3" w:name="_Toc450217462"/>
      <w:r>
        <w:rPr>
          <w:rFonts w:hint="eastAsia" w:ascii="宋体" w:hAnsi="宋体" w:cs="宋体"/>
          <w:b/>
          <w:color w:val="0C0C0C"/>
          <w:szCs w:val="21"/>
        </w:rPr>
        <w:t>项目概况</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u w:val="single"/>
        </w:rPr>
        <w:t>阳新县白沙镇四屋组采石厂矿山生态修复治理工程</w:t>
      </w:r>
      <w:r>
        <w:rPr>
          <w:rFonts w:hint="eastAsia" w:ascii="宋体" w:hAnsi="宋体" w:cs="宋体"/>
          <w:color w:val="0C0C0C"/>
          <w:szCs w:val="21"/>
        </w:rPr>
        <w:t>的潜在供应商应在</w:t>
      </w:r>
      <w:r>
        <w:rPr>
          <w:rFonts w:hint="eastAsia" w:ascii="宋体" w:hAnsi="宋体" w:cs="宋体"/>
          <w:color w:val="0C0C0C"/>
          <w:szCs w:val="21"/>
          <w:u w:val="single"/>
        </w:rPr>
        <w:t>昀锦工程咨询有限公司，湖北省武汉市武昌区汉街总部国际A座1001室</w:t>
      </w:r>
      <w:r>
        <w:rPr>
          <w:rFonts w:hint="eastAsia" w:ascii="宋体" w:hAnsi="宋体" w:cs="宋体"/>
          <w:color w:val="0C0C0C"/>
          <w:szCs w:val="21"/>
        </w:rPr>
        <w:t>获取采购文件，并于</w:t>
      </w:r>
      <w:r>
        <w:rPr>
          <w:rFonts w:hint="eastAsia" w:ascii="宋体" w:hAnsi="宋体" w:cs="宋体"/>
          <w:color w:val="0C0C0C"/>
          <w:szCs w:val="21"/>
          <w:highlight w:val="none"/>
          <w:u w:val="single"/>
        </w:rPr>
        <w:t>2021年</w:t>
      </w:r>
      <w:r>
        <w:rPr>
          <w:rFonts w:hint="eastAsia" w:ascii="宋体" w:hAnsi="宋体" w:cs="宋体"/>
          <w:color w:val="0C0C0C"/>
          <w:szCs w:val="21"/>
          <w:highlight w:val="none"/>
          <w:u w:val="single"/>
          <w:lang w:val="en-US" w:eastAsia="zh-CN"/>
        </w:rPr>
        <w:t>05</w:t>
      </w:r>
      <w:r>
        <w:rPr>
          <w:rFonts w:hint="eastAsia" w:ascii="宋体" w:hAnsi="宋体" w:cs="宋体"/>
          <w:color w:val="0C0C0C"/>
          <w:szCs w:val="21"/>
          <w:highlight w:val="none"/>
          <w:u w:val="single"/>
        </w:rPr>
        <w:t>月</w:t>
      </w:r>
      <w:r>
        <w:rPr>
          <w:rFonts w:hint="eastAsia" w:ascii="宋体" w:hAnsi="宋体" w:cs="宋体"/>
          <w:color w:val="0C0C0C"/>
          <w:szCs w:val="21"/>
          <w:highlight w:val="none"/>
          <w:u w:val="single"/>
          <w:lang w:val="en-US" w:eastAsia="zh-CN"/>
        </w:rPr>
        <w:t>08</w:t>
      </w:r>
      <w:r>
        <w:rPr>
          <w:rFonts w:hint="eastAsia" w:ascii="宋体" w:hAnsi="宋体" w:cs="宋体"/>
          <w:color w:val="0C0C0C"/>
          <w:szCs w:val="21"/>
          <w:highlight w:val="none"/>
          <w:u w:val="single"/>
        </w:rPr>
        <w:t>日</w:t>
      </w:r>
      <w:r>
        <w:rPr>
          <w:rFonts w:hint="eastAsia" w:ascii="宋体" w:hAnsi="宋体" w:cs="宋体"/>
          <w:color w:val="0C0C0C"/>
          <w:szCs w:val="21"/>
          <w:highlight w:val="none"/>
          <w:u w:val="single"/>
          <w:lang w:val="en-US" w:eastAsia="zh-CN"/>
        </w:rPr>
        <w:t>15</w:t>
      </w:r>
      <w:r>
        <w:rPr>
          <w:rFonts w:hint="eastAsia" w:ascii="宋体" w:hAnsi="宋体" w:cs="宋体"/>
          <w:color w:val="0C0C0C"/>
          <w:szCs w:val="21"/>
          <w:highlight w:val="none"/>
          <w:u w:val="single"/>
        </w:rPr>
        <w:t>点</w:t>
      </w:r>
      <w:r>
        <w:rPr>
          <w:rFonts w:hint="eastAsia" w:ascii="宋体" w:hAnsi="宋体" w:cs="宋体"/>
          <w:color w:val="0C0C0C"/>
          <w:szCs w:val="21"/>
          <w:highlight w:val="none"/>
          <w:u w:val="single"/>
          <w:lang w:val="en-US" w:eastAsia="zh-CN"/>
        </w:rPr>
        <w:t>00</w:t>
      </w:r>
      <w:r>
        <w:rPr>
          <w:rFonts w:hint="eastAsia" w:ascii="宋体" w:hAnsi="宋体" w:cs="宋体"/>
          <w:color w:val="0C0C0C"/>
          <w:szCs w:val="21"/>
          <w:highlight w:val="none"/>
          <w:u w:val="single"/>
        </w:rPr>
        <w:t>分</w:t>
      </w:r>
      <w:r>
        <w:rPr>
          <w:rFonts w:hint="eastAsia" w:ascii="宋体" w:hAnsi="宋体" w:cs="宋体"/>
          <w:color w:val="0C0C0C"/>
          <w:szCs w:val="21"/>
        </w:rPr>
        <w:t>（北京时间）前提交响应文件。</w:t>
      </w:r>
    </w:p>
    <w:p>
      <w:pPr>
        <w:adjustRightInd w:val="0"/>
        <w:snapToGrid w:val="0"/>
        <w:spacing w:line="360" w:lineRule="auto"/>
        <w:ind w:firstLine="420" w:firstLineChars="200"/>
        <w:jc w:val="left"/>
        <w:rPr>
          <w:rFonts w:ascii="宋体" w:hAnsi="宋体" w:cs="宋体"/>
          <w:szCs w:val="21"/>
        </w:rPr>
      </w:pPr>
      <w:bookmarkStart w:id="4" w:name="_Toc54982321"/>
      <w:bookmarkStart w:id="5" w:name="_Toc6493"/>
      <w:bookmarkStart w:id="6" w:name="_Toc1770"/>
      <w:bookmarkStart w:id="7" w:name="_Toc21700"/>
      <w:bookmarkStart w:id="8" w:name="_Toc884"/>
      <w:bookmarkStart w:id="9" w:name="_Toc2730"/>
      <w:bookmarkStart w:id="10" w:name="_Toc26173"/>
      <w:r>
        <w:rPr>
          <w:rFonts w:hint="eastAsia" w:ascii="宋体" w:hAnsi="宋体" w:cs="宋体"/>
          <w:szCs w:val="21"/>
        </w:rPr>
        <w:t>一、项目基本情况</w:t>
      </w:r>
      <w:bookmarkEnd w:id="4"/>
      <w:bookmarkEnd w:id="5"/>
      <w:bookmarkEnd w:id="6"/>
      <w:bookmarkEnd w:id="7"/>
      <w:bookmarkEnd w:id="8"/>
      <w:bookmarkEnd w:id="9"/>
      <w:bookmarkEnd w:id="10"/>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1）项目编号：</w:t>
      </w:r>
      <w:r>
        <w:rPr>
          <w:rFonts w:hint="eastAsia" w:ascii="宋体" w:hAnsi="宋体" w:cs="宋体"/>
          <w:color w:val="0C0C0C"/>
          <w:szCs w:val="21"/>
          <w:lang w:eastAsia="zh-CN"/>
        </w:rPr>
        <w:t>131-2021CG-067</w:t>
      </w:r>
      <w:r>
        <w:rPr>
          <w:rFonts w:hint="eastAsia" w:ascii="宋体" w:hAnsi="宋体" w:cs="宋体"/>
          <w:color w:val="0C0C0C"/>
          <w:szCs w:val="21"/>
        </w:rPr>
        <w:t>；</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2）项目名称：阳新县白沙镇四屋组采石厂矿山生态修复治理工程；</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3）采购方式：竞争性磋商；</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4）项目预算金额：</w:t>
      </w:r>
    </w:p>
    <w:p>
      <w:pPr>
        <w:adjustRightInd w:val="0"/>
        <w:snapToGrid w:val="0"/>
        <w:spacing w:line="360" w:lineRule="auto"/>
        <w:ind w:firstLine="420" w:firstLineChars="200"/>
        <w:jc w:val="left"/>
        <w:rPr>
          <w:rFonts w:ascii="宋体" w:hAnsi="宋体" w:cs="宋体"/>
          <w:color w:val="0C0C0C"/>
          <w:szCs w:val="21"/>
          <w:highlight w:val="none"/>
        </w:rPr>
      </w:pPr>
      <w:r>
        <w:rPr>
          <w:rFonts w:hint="eastAsia" w:ascii="宋体" w:hAnsi="宋体" w:cs="宋体"/>
          <w:color w:val="0C0C0C"/>
          <w:szCs w:val="21"/>
        </w:rPr>
        <w:t>阳新县白沙镇四屋组采石厂矿山生态修复治理工程，采购计划备案号</w:t>
      </w:r>
      <w:r>
        <w:rPr>
          <w:rFonts w:hint="eastAsia" w:ascii="宋体" w:hAnsi="宋体" w:cs="宋体"/>
          <w:color w:val="0C0C0C"/>
          <w:szCs w:val="21"/>
          <w:highlight w:val="none"/>
          <w:lang w:val="en-US" w:eastAsia="zh-CN"/>
        </w:rPr>
        <w:t>阳财采计备[2021]B35号</w:t>
      </w:r>
      <w:r>
        <w:rPr>
          <w:rFonts w:hint="eastAsia" w:ascii="宋体" w:hAnsi="宋体" w:cs="宋体"/>
          <w:color w:val="0C0C0C"/>
          <w:szCs w:val="21"/>
          <w:highlight w:val="none"/>
        </w:rPr>
        <w:t>，预算金额</w:t>
      </w:r>
      <w:r>
        <w:rPr>
          <w:rFonts w:hint="eastAsia" w:ascii="宋体" w:hAnsi="宋体" w:cs="宋体"/>
          <w:color w:val="0C0C0C"/>
          <w:szCs w:val="21"/>
          <w:highlight w:val="none"/>
          <w:lang w:val="en-US" w:eastAsia="zh-CN"/>
        </w:rPr>
        <w:t>238.43万</w:t>
      </w:r>
      <w:r>
        <w:rPr>
          <w:rFonts w:hint="eastAsia" w:ascii="宋体" w:hAnsi="宋体" w:cs="宋体"/>
          <w:color w:val="0C0C0C"/>
          <w:szCs w:val="21"/>
          <w:highlight w:val="none"/>
        </w:rPr>
        <w:t>元；</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5）最高限价：供应商投标报价超过预算金额的，其报价无效；</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6）采购需求：阳新县白沙镇四屋组采石厂矿山生态修复治理工程，具体工作内容详见磋商文件图纸和工程量清单；</w:t>
      </w:r>
    </w:p>
    <w:p>
      <w:pPr>
        <w:adjustRightInd w:val="0"/>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7）合同履行期限（工期）：三个月</w:t>
      </w:r>
      <w:r>
        <w:rPr>
          <w:rFonts w:hint="eastAsia" w:ascii="宋体" w:hAnsi="宋体" w:cs="宋体"/>
          <w:szCs w:val="21"/>
          <w:lang w:eastAsia="zh-CN"/>
        </w:rPr>
        <w:t>；</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8）质保期：按照国家相关标准执行；</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9）本项目不接受联合体。</w:t>
      </w:r>
    </w:p>
    <w:p>
      <w:pPr>
        <w:adjustRightInd w:val="0"/>
        <w:snapToGrid w:val="0"/>
        <w:spacing w:line="360" w:lineRule="auto"/>
        <w:ind w:firstLine="420" w:firstLineChars="200"/>
        <w:jc w:val="left"/>
        <w:rPr>
          <w:rFonts w:ascii="宋体" w:hAnsi="宋体" w:cs="宋体"/>
          <w:szCs w:val="21"/>
        </w:rPr>
      </w:pPr>
      <w:bookmarkStart w:id="11" w:name="_Toc28826"/>
      <w:bookmarkStart w:id="12" w:name="_Toc26732"/>
      <w:bookmarkStart w:id="13" w:name="_Toc18324"/>
      <w:bookmarkStart w:id="14" w:name="_Toc54982322"/>
      <w:bookmarkStart w:id="15" w:name="_Toc31077"/>
      <w:bookmarkStart w:id="16" w:name="_Toc6472"/>
      <w:bookmarkStart w:id="17" w:name="_Toc20166"/>
      <w:bookmarkStart w:id="18" w:name="_Toc24751"/>
      <w:r>
        <w:rPr>
          <w:rFonts w:hint="eastAsia" w:ascii="宋体" w:hAnsi="宋体" w:cs="宋体"/>
          <w:szCs w:val="21"/>
        </w:rPr>
        <w:t>二、供应商的资格要求：</w:t>
      </w:r>
      <w:bookmarkEnd w:id="11"/>
      <w:bookmarkEnd w:id="12"/>
      <w:bookmarkEnd w:id="13"/>
      <w:bookmarkEnd w:id="14"/>
      <w:bookmarkEnd w:id="15"/>
      <w:bookmarkEnd w:id="16"/>
      <w:bookmarkEnd w:id="17"/>
      <w:bookmarkEnd w:id="18"/>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1、满足《中华人民共和国政府采购法》第二十二条规定，即：</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（1）具有独立承担民事责任的能力；</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（2）具有良好的商业信誉和健全的财务会计制度；</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（3）具有履行合同所必需的设备和专业技术能力；</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（4）有依法缴纳税收和社会保障资金的良好记录；</w:t>
      </w:r>
    </w:p>
    <w:p>
      <w:pPr>
        <w:adjustRightInd w:val="0"/>
        <w:snapToGrid w:val="0"/>
        <w:spacing w:line="360" w:lineRule="auto"/>
        <w:ind w:firstLine="420" w:firstLineChars="200"/>
        <w:jc w:val="left"/>
        <w:rPr>
          <w:rFonts w:ascii="宋体" w:hAnsi="宋体" w:cs="宋体"/>
          <w:color w:val="0C0C0C"/>
          <w:szCs w:val="21"/>
          <w:highlight w:val="none"/>
        </w:rPr>
      </w:pPr>
      <w:r>
        <w:rPr>
          <w:rFonts w:hint="eastAsia" w:ascii="宋体" w:hAnsi="宋体" w:cs="宋体"/>
          <w:color w:val="0C0C0C"/>
          <w:szCs w:val="21"/>
          <w:highlight w:val="none"/>
        </w:rPr>
        <w:t>（5）参加政府采购活动前三年内，在经营活动中没有重大违法记录；</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（6）法律、行政法规规定的其他条件。</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2、单位负责人为同一人或者存在直接控股、管理关系的不同投标人，不得参加本项目同一合同项下的政府采购活动。</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3、为本采购项目提供整体设计、规范编制或者项目管理、监理、检测等服务的，不得再参加本项目的其他招标采购活动。</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4、未被列入失信被执行人、重大税收违法案件当事人名单，未被列入政府采购严重违法失信行为记录名单。</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 xml:space="preserve">5、落实政府采购政策需满足的资格要求：（1）政府采购促进中小企业发展政策；（2）政府采购支持监狱企业发展政策；（3）促进残疾人就业政府采购政策；（4）具体约定详见本项目磋商文件核减办法。 </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6、本项目的特定资格要求：</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（1）供应商须具备相关行政主管部门颁发的地质灾害防治丙级及以上资质证书。</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（2）供应商须提供在有效期内的安全生产许可证。</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供应商拟派项目经理须具备注册建造师执业资格，具备有效的安全生产考核合格证书（B证），并出具项目经理无在建工程的违约经济处罚承诺书，须同时提供项目经理的身份证、学历证、注册证、安全生产考核B证、劳动合同及社保行政管理部门的社保证明材料（</w:t>
      </w:r>
      <w:r>
        <w:rPr>
          <w:rFonts w:hint="eastAsia" w:ascii="宋体" w:hAnsi="宋体" w:cs="宋体"/>
          <w:szCs w:val="21"/>
          <w:highlight w:val="none"/>
          <w:lang w:eastAsia="zh-CN"/>
        </w:rPr>
        <w:t>三个月</w:t>
      </w:r>
      <w:r>
        <w:rPr>
          <w:rFonts w:hint="eastAsia" w:ascii="宋体" w:hAnsi="宋体" w:cs="宋体"/>
          <w:szCs w:val="21"/>
          <w:highlight w:val="none"/>
        </w:rPr>
        <w:t>以上）。</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（4）供应商项目管理机构还应配备具有岗位证的施工员、质量员、标准员、材料员、机械员、资料员、劳务员、安全员等相应专业管理人员，其中安全员还应具备安全生产考核合格证书（C 证），项目技术负责人必须具有相关专业中级以上工程师职称或</w:t>
      </w:r>
      <w:r>
        <w:rPr>
          <w:rFonts w:hint="eastAsia" w:ascii="宋体" w:hAnsi="宋体" w:cs="宋体"/>
          <w:szCs w:val="21"/>
          <w:lang w:eastAsia="zh-CN"/>
        </w:rPr>
        <w:t>相关</w:t>
      </w:r>
      <w:r>
        <w:rPr>
          <w:rFonts w:hint="eastAsia" w:ascii="宋体" w:hAnsi="宋体" w:cs="宋体"/>
          <w:szCs w:val="21"/>
        </w:rPr>
        <w:t>工程注册建造师执业资格，以上项目管理团队人员必须是本单位的正式在册员工（须提供劳动合同及社保行政管理部门的社保证明材料,社会保险证明应至少体现以下内容：缴纳保险单位名称、人员姓名、社会保障号（或身份证号）、险种、缴费期限等）。</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注：如供应商相关资格证明文件正在年检、核准等相关手续办理，可提供相关部门出具的证明材料。</w:t>
      </w:r>
    </w:p>
    <w:p>
      <w:pPr>
        <w:adjustRightInd w:val="0"/>
        <w:snapToGrid w:val="0"/>
        <w:spacing w:line="360" w:lineRule="auto"/>
        <w:ind w:firstLine="420" w:firstLineChars="200"/>
        <w:jc w:val="left"/>
        <w:rPr>
          <w:rFonts w:ascii="宋体" w:hAnsi="宋体" w:cs="宋体"/>
          <w:szCs w:val="21"/>
        </w:rPr>
      </w:pPr>
      <w:bookmarkStart w:id="19" w:name="_Toc16484"/>
      <w:bookmarkStart w:id="20" w:name="_Toc17548"/>
      <w:bookmarkStart w:id="21" w:name="_Toc32392"/>
      <w:bookmarkStart w:id="22" w:name="_Toc30183"/>
      <w:bookmarkStart w:id="23" w:name="_Toc15716"/>
      <w:bookmarkStart w:id="24" w:name="_Toc54982323"/>
      <w:bookmarkStart w:id="25" w:name="_Toc4766"/>
      <w:bookmarkStart w:id="26" w:name="_Toc31002"/>
      <w:r>
        <w:rPr>
          <w:rFonts w:hint="eastAsia" w:ascii="宋体" w:hAnsi="宋体" w:cs="宋体"/>
          <w:szCs w:val="21"/>
        </w:rPr>
        <w:t>三、获取竞争性磋商文件</w:t>
      </w:r>
      <w:bookmarkEnd w:id="19"/>
      <w:bookmarkEnd w:id="20"/>
      <w:bookmarkEnd w:id="21"/>
      <w:bookmarkEnd w:id="22"/>
      <w:bookmarkEnd w:id="23"/>
      <w:bookmarkEnd w:id="24"/>
      <w:bookmarkEnd w:id="25"/>
      <w:bookmarkEnd w:id="26"/>
    </w:p>
    <w:p>
      <w:pPr>
        <w:adjustRightInd w:val="0"/>
        <w:snapToGrid w:val="0"/>
        <w:spacing w:line="360" w:lineRule="auto"/>
        <w:ind w:firstLine="420" w:firstLineChars="200"/>
        <w:jc w:val="left"/>
        <w:rPr>
          <w:rFonts w:ascii="宋体" w:hAnsi="宋体" w:cs="宋体"/>
          <w:color w:val="0C0C0C"/>
          <w:szCs w:val="21"/>
          <w:highlight w:val="yellow"/>
        </w:rPr>
      </w:pPr>
      <w:r>
        <w:rPr>
          <w:rFonts w:hint="eastAsia" w:ascii="宋体" w:hAnsi="宋体" w:cs="宋体"/>
          <w:color w:val="0C0C0C"/>
          <w:szCs w:val="21"/>
        </w:rPr>
        <w:t>时</w:t>
      </w:r>
      <w:r>
        <w:rPr>
          <w:rFonts w:hint="eastAsia" w:ascii="宋体" w:hAnsi="宋体" w:cs="宋体"/>
          <w:color w:val="0C0C0C"/>
          <w:szCs w:val="21"/>
          <w:highlight w:val="none"/>
        </w:rPr>
        <w:t>间：2021年</w:t>
      </w:r>
      <w:r>
        <w:rPr>
          <w:rFonts w:hint="eastAsia" w:ascii="宋体" w:hAnsi="宋体" w:cs="宋体"/>
          <w:color w:val="0C0C0C"/>
          <w:szCs w:val="21"/>
          <w:highlight w:val="none"/>
          <w:lang w:val="en-US" w:eastAsia="zh-CN"/>
        </w:rPr>
        <w:t>04</w:t>
      </w:r>
      <w:r>
        <w:rPr>
          <w:rFonts w:hint="eastAsia" w:ascii="宋体" w:hAnsi="宋体" w:cs="宋体"/>
          <w:color w:val="0C0C0C"/>
          <w:szCs w:val="21"/>
          <w:highlight w:val="none"/>
        </w:rPr>
        <w:t>月</w:t>
      </w:r>
      <w:r>
        <w:rPr>
          <w:rFonts w:hint="eastAsia" w:ascii="宋体" w:hAnsi="宋体" w:cs="宋体"/>
          <w:color w:val="0C0C0C"/>
          <w:szCs w:val="21"/>
          <w:highlight w:val="none"/>
          <w:lang w:val="en-US" w:eastAsia="zh-CN"/>
        </w:rPr>
        <w:t>26</w:t>
      </w:r>
      <w:r>
        <w:rPr>
          <w:rFonts w:hint="eastAsia" w:ascii="宋体" w:hAnsi="宋体" w:cs="宋体"/>
          <w:color w:val="0C0C0C"/>
          <w:szCs w:val="21"/>
          <w:highlight w:val="none"/>
        </w:rPr>
        <w:t>日至2021年</w:t>
      </w:r>
      <w:r>
        <w:rPr>
          <w:rFonts w:hint="eastAsia" w:ascii="宋体" w:hAnsi="宋体" w:cs="宋体"/>
          <w:color w:val="0C0C0C"/>
          <w:szCs w:val="21"/>
          <w:highlight w:val="none"/>
          <w:lang w:val="en-US" w:eastAsia="zh-CN"/>
        </w:rPr>
        <w:t>05</w:t>
      </w:r>
      <w:r>
        <w:rPr>
          <w:rFonts w:hint="eastAsia" w:ascii="宋体" w:hAnsi="宋体" w:cs="宋体"/>
          <w:color w:val="0C0C0C"/>
          <w:szCs w:val="21"/>
          <w:highlight w:val="none"/>
        </w:rPr>
        <w:t>月</w:t>
      </w:r>
      <w:r>
        <w:rPr>
          <w:rFonts w:hint="eastAsia" w:ascii="宋体" w:hAnsi="宋体" w:cs="宋体"/>
          <w:color w:val="0C0C0C"/>
          <w:szCs w:val="21"/>
          <w:highlight w:val="none"/>
          <w:lang w:val="en-US" w:eastAsia="zh-CN"/>
        </w:rPr>
        <w:t>06</w:t>
      </w:r>
      <w:r>
        <w:rPr>
          <w:rFonts w:hint="eastAsia" w:ascii="宋体" w:hAnsi="宋体" w:cs="宋体"/>
          <w:color w:val="0C0C0C"/>
          <w:szCs w:val="21"/>
          <w:highlight w:val="none"/>
        </w:rPr>
        <w:t>日，每天上午</w:t>
      </w:r>
      <w:r>
        <w:rPr>
          <w:rFonts w:hint="eastAsia" w:ascii="宋体" w:hAnsi="宋体" w:cs="宋体"/>
          <w:color w:val="0C0C0C"/>
          <w:szCs w:val="21"/>
          <w:highlight w:val="none"/>
          <w:lang w:val="en-US" w:eastAsia="zh-CN"/>
        </w:rPr>
        <w:t>9</w:t>
      </w:r>
      <w:r>
        <w:rPr>
          <w:rFonts w:hint="eastAsia" w:ascii="宋体" w:hAnsi="宋体" w:cs="宋体"/>
          <w:color w:val="0C0C0C"/>
          <w:szCs w:val="21"/>
          <w:highlight w:val="none"/>
        </w:rPr>
        <w:t>：00至11:30，下午14：00至1</w:t>
      </w:r>
      <w:r>
        <w:rPr>
          <w:rFonts w:hint="eastAsia" w:ascii="宋体" w:hAnsi="宋体" w:cs="宋体"/>
          <w:color w:val="0C0C0C"/>
          <w:szCs w:val="21"/>
          <w:highlight w:val="none"/>
          <w:lang w:val="en-US" w:eastAsia="zh-CN"/>
        </w:rPr>
        <w:t>7</w:t>
      </w:r>
      <w:r>
        <w:rPr>
          <w:rFonts w:hint="eastAsia" w:ascii="宋体" w:hAnsi="宋体" w:cs="宋体"/>
          <w:color w:val="0C0C0C"/>
          <w:szCs w:val="21"/>
          <w:highlight w:val="none"/>
        </w:rPr>
        <w:t>：30（北京时间，法定节假日除外）</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地点：昀锦工程咨询有限公司，湖北省武汉市武昌区汉街总部国际A座1001室。</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方式：现场购买。符合资格的供应商应当在获取时间内，领取竞争性磋商文件。</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售价：竞争性磋商文件每包售价300元，售后不退。</w:t>
      </w:r>
    </w:p>
    <w:p>
      <w:pPr>
        <w:adjustRightInd w:val="0"/>
        <w:snapToGrid w:val="0"/>
        <w:spacing w:line="360" w:lineRule="auto"/>
        <w:ind w:firstLine="420" w:firstLineChars="200"/>
        <w:jc w:val="left"/>
        <w:rPr>
          <w:rFonts w:ascii="宋体" w:hAnsi="宋体" w:cs="宋体"/>
          <w:szCs w:val="21"/>
        </w:rPr>
      </w:pPr>
      <w:bookmarkStart w:id="27" w:name="_Toc31860"/>
      <w:bookmarkStart w:id="28" w:name="_Toc7365"/>
      <w:bookmarkStart w:id="29" w:name="_Toc32389"/>
      <w:bookmarkStart w:id="30" w:name="_Toc9762"/>
      <w:bookmarkStart w:id="31" w:name="_Toc24183"/>
      <w:bookmarkStart w:id="32" w:name="_Toc7791"/>
      <w:bookmarkStart w:id="33" w:name="_Toc14233"/>
      <w:r>
        <w:rPr>
          <w:rFonts w:hint="eastAsia" w:ascii="宋体" w:hAnsi="宋体" w:cs="宋体"/>
          <w:szCs w:val="21"/>
        </w:rPr>
        <w:t>四、响应文件提交</w:t>
      </w:r>
      <w:bookmarkEnd w:id="27"/>
      <w:bookmarkEnd w:id="28"/>
      <w:bookmarkEnd w:id="29"/>
      <w:bookmarkEnd w:id="30"/>
      <w:bookmarkEnd w:id="31"/>
      <w:bookmarkEnd w:id="32"/>
      <w:bookmarkEnd w:id="33"/>
    </w:p>
    <w:p>
      <w:pPr>
        <w:adjustRightInd w:val="0"/>
        <w:snapToGrid w:val="0"/>
        <w:spacing w:line="360" w:lineRule="auto"/>
        <w:ind w:firstLine="420" w:firstLineChars="200"/>
        <w:jc w:val="left"/>
        <w:rPr>
          <w:rFonts w:ascii="宋体" w:hAnsi="宋体" w:cs="宋体"/>
          <w:color w:val="0C0C0C"/>
          <w:szCs w:val="21"/>
          <w:highlight w:val="none"/>
        </w:rPr>
      </w:pPr>
      <w:r>
        <w:rPr>
          <w:rFonts w:hint="eastAsia" w:ascii="宋体" w:hAnsi="宋体" w:cs="宋体"/>
          <w:color w:val="0C0C0C"/>
          <w:szCs w:val="21"/>
        </w:rPr>
        <w:t>截止时间：</w:t>
      </w:r>
      <w:r>
        <w:rPr>
          <w:rFonts w:hint="eastAsia" w:ascii="宋体" w:hAnsi="宋体" w:cs="宋体"/>
          <w:color w:val="0C0C0C"/>
          <w:szCs w:val="21"/>
          <w:highlight w:val="none"/>
          <w:u w:val="single"/>
        </w:rPr>
        <w:t>2021年</w:t>
      </w:r>
      <w:r>
        <w:rPr>
          <w:rFonts w:hint="eastAsia" w:ascii="宋体" w:hAnsi="宋体" w:cs="宋体"/>
          <w:color w:val="0C0C0C"/>
          <w:szCs w:val="21"/>
          <w:highlight w:val="none"/>
          <w:u w:val="single"/>
          <w:lang w:val="en-US" w:eastAsia="zh-CN"/>
        </w:rPr>
        <w:t>05</w:t>
      </w:r>
      <w:r>
        <w:rPr>
          <w:rFonts w:hint="eastAsia" w:ascii="宋体" w:hAnsi="宋体" w:cs="宋体"/>
          <w:color w:val="0C0C0C"/>
          <w:szCs w:val="21"/>
          <w:highlight w:val="none"/>
          <w:u w:val="single"/>
        </w:rPr>
        <w:t>月</w:t>
      </w:r>
      <w:r>
        <w:rPr>
          <w:rFonts w:hint="eastAsia" w:ascii="宋体" w:hAnsi="宋体" w:cs="宋体"/>
          <w:color w:val="0C0C0C"/>
          <w:szCs w:val="21"/>
          <w:highlight w:val="none"/>
          <w:u w:val="single"/>
          <w:lang w:val="en-US" w:eastAsia="zh-CN"/>
        </w:rPr>
        <w:t>08</w:t>
      </w:r>
      <w:r>
        <w:rPr>
          <w:rFonts w:hint="eastAsia" w:ascii="宋体" w:hAnsi="宋体" w:cs="宋体"/>
          <w:color w:val="0C0C0C"/>
          <w:szCs w:val="21"/>
          <w:highlight w:val="none"/>
          <w:u w:val="single"/>
        </w:rPr>
        <w:t>日</w:t>
      </w:r>
      <w:r>
        <w:rPr>
          <w:rFonts w:hint="eastAsia" w:ascii="宋体" w:hAnsi="宋体" w:cs="宋体"/>
          <w:color w:val="0C0C0C"/>
          <w:szCs w:val="21"/>
          <w:highlight w:val="none"/>
          <w:u w:val="single"/>
          <w:lang w:val="en-US" w:eastAsia="zh-CN"/>
        </w:rPr>
        <w:t>15</w:t>
      </w:r>
      <w:r>
        <w:rPr>
          <w:rFonts w:hint="eastAsia" w:ascii="宋体" w:hAnsi="宋体" w:cs="宋体"/>
          <w:color w:val="0C0C0C"/>
          <w:szCs w:val="21"/>
          <w:highlight w:val="none"/>
          <w:u w:val="single"/>
        </w:rPr>
        <w:t>点</w:t>
      </w:r>
      <w:r>
        <w:rPr>
          <w:rFonts w:hint="eastAsia" w:ascii="宋体" w:hAnsi="宋体" w:cs="宋体"/>
          <w:color w:val="0C0C0C"/>
          <w:szCs w:val="21"/>
          <w:highlight w:val="none"/>
          <w:u w:val="single"/>
          <w:lang w:val="en-US" w:eastAsia="zh-CN"/>
        </w:rPr>
        <w:t>00</w:t>
      </w:r>
      <w:r>
        <w:rPr>
          <w:rFonts w:hint="eastAsia" w:ascii="宋体" w:hAnsi="宋体" w:cs="宋体"/>
          <w:color w:val="0C0C0C"/>
          <w:szCs w:val="21"/>
          <w:highlight w:val="none"/>
          <w:u w:val="single"/>
        </w:rPr>
        <w:t>分</w:t>
      </w:r>
      <w:r>
        <w:rPr>
          <w:rFonts w:hint="eastAsia" w:ascii="宋体" w:hAnsi="宋体" w:cs="宋体"/>
          <w:color w:val="0C0C0C"/>
          <w:szCs w:val="21"/>
          <w:highlight w:val="none"/>
        </w:rPr>
        <w:t>（北京时间）</w:t>
      </w:r>
    </w:p>
    <w:p>
      <w:pPr>
        <w:adjustRightInd w:val="0"/>
        <w:snapToGrid w:val="0"/>
        <w:spacing w:line="360" w:lineRule="auto"/>
        <w:ind w:firstLine="420" w:firstLineChars="200"/>
        <w:jc w:val="left"/>
        <w:rPr>
          <w:rFonts w:ascii="宋体" w:hAnsi="宋体" w:cs="宋体"/>
          <w:color w:val="0C0C0C"/>
          <w:szCs w:val="21"/>
          <w:highlight w:val="none"/>
        </w:rPr>
      </w:pPr>
      <w:r>
        <w:rPr>
          <w:rFonts w:hint="eastAsia" w:ascii="宋体" w:hAnsi="宋体" w:cs="宋体"/>
          <w:color w:val="0C0C0C"/>
          <w:szCs w:val="21"/>
          <w:highlight w:val="none"/>
        </w:rPr>
        <w:t>地点：阳新县公共资源交易中心2楼开标厅</w:t>
      </w:r>
    </w:p>
    <w:p>
      <w:pPr>
        <w:adjustRightInd w:val="0"/>
        <w:snapToGrid w:val="0"/>
        <w:spacing w:line="360" w:lineRule="auto"/>
        <w:ind w:firstLine="420" w:firstLineChars="200"/>
        <w:jc w:val="left"/>
        <w:rPr>
          <w:rFonts w:ascii="宋体" w:hAnsi="宋体" w:cs="宋体"/>
          <w:szCs w:val="21"/>
          <w:highlight w:val="none"/>
        </w:rPr>
      </w:pPr>
      <w:bookmarkStart w:id="34" w:name="_Toc29616"/>
      <w:bookmarkStart w:id="35" w:name="_Toc31686"/>
      <w:bookmarkStart w:id="36" w:name="_Toc20749"/>
      <w:bookmarkStart w:id="37" w:name="_Toc10265"/>
      <w:bookmarkStart w:id="38" w:name="_Toc7337"/>
      <w:bookmarkStart w:id="39" w:name="_Toc12129"/>
      <w:bookmarkStart w:id="40" w:name="_Toc25919"/>
      <w:r>
        <w:rPr>
          <w:rFonts w:hint="eastAsia" w:ascii="宋体" w:hAnsi="宋体" w:cs="宋体"/>
          <w:szCs w:val="21"/>
          <w:highlight w:val="none"/>
        </w:rPr>
        <w:t>五、开启</w:t>
      </w:r>
      <w:bookmarkEnd w:id="34"/>
      <w:bookmarkEnd w:id="35"/>
      <w:bookmarkEnd w:id="36"/>
      <w:bookmarkEnd w:id="37"/>
      <w:bookmarkEnd w:id="38"/>
      <w:bookmarkEnd w:id="39"/>
      <w:bookmarkEnd w:id="40"/>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highlight w:val="none"/>
        </w:rPr>
        <w:t>时间：</w:t>
      </w:r>
      <w:r>
        <w:rPr>
          <w:rFonts w:hint="eastAsia" w:ascii="宋体" w:hAnsi="宋体" w:cs="宋体"/>
          <w:color w:val="0C0C0C"/>
          <w:szCs w:val="21"/>
          <w:highlight w:val="none"/>
          <w:u w:val="single"/>
        </w:rPr>
        <w:t>2021年</w:t>
      </w:r>
      <w:r>
        <w:rPr>
          <w:rFonts w:hint="eastAsia" w:ascii="宋体" w:hAnsi="宋体" w:cs="宋体"/>
          <w:color w:val="0C0C0C"/>
          <w:szCs w:val="21"/>
          <w:highlight w:val="none"/>
          <w:u w:val="single"/>
          <w:lang w:val="en-US" w:eastAsia="zh-CN"/>
        </w:rPr>
        <w:t>05</w:t>
      </w:r>
      <w:r>
        <w:rPr>
          <w:rFonts w:hint="eastAsia" w:ascii="宋体" w:hAnsi="宋体" w:cs="宋体"/>
          <w:color w:val="0C0C0C"/>
          <w:szCs w:val="21"/>
          <w:highlight w:val="none"/>
          <w:u w:val="single"/>
        </w:rPr>
        <w:t>月</w:t>
      </w:r>
      <w:r>
        <w:rPr>
          <w:rFonts w:hint="eastAsia" w:ascii="宋体" w:hAnsi="宋体" w:cs="宋体"/>
          <w:color w:val="0C0C0C"/>
          <w:szCs w:val="21"/>
          <w:highlight w:val="none"/>
          <w:u w:val="single"/>
          <w:lang w:val="en-US" w:eastAsia="zh-CN"/>
        </w:rPr>
        <w:t>08</w:t>
      </w:r>
      <w:r>
        <w:rPr>
          <w:rFonts w:hint="eastAsia" w:ascii="宋体" w:hAnsi="宋体" w:cs="宋体"/>
          <w:color w:val="0C0C0C"/>
          <w:szCs w:val="21"/>
          <w:highlight w:val="none"/>
          <w:u w:val="single"/>
        </w:rPr>
        <w:t>日</w:t>
      </w:r>
      <w:r>
        <w:rPr>
          <w:rFonts w:hint="eastAsia" w:ascii="宋体" w:hAnsi="宋体" w:cs="宋体"/>
          <w:color w:val="0C0C0C"/>
          <w:szCs w:val="21"/>
          <w:highlight w:val="none"/>
          <w:u w:val="single"/>
          <w:lang w:val="en-US" w:eastAsia="zh-CN"/>
        </w:rPr>
        <w:t>15</w:t>
      </w:r>
      <w:r>
        <w:rPr>
          <w:rFonts w:hint="eastAsia" w:ascii="宋体" w:hAnsi="宋体" w:cs="宋体"/>
          <w:color w:val="0C0C0C"/>
          <w:szCs w:val="21"/>
          <w:highlight w:val="none"/>
          <w:u w:val="single"/>
        </w:rPr>
        <w:t>点</w:t>
      </w:r>
      <w:r>
        <w:rPr>
          <w:rFonts w:hint="eastAsia" w:ascii="宋体" w:hAnsi="宋体" w:cs="宋体"/>
          <w:color w:val="0C0C0C"/>
          <w:szCs w:val="21"/>
          <w:highlight w:val="none"/>
          <w:u w:val="single"/>
          <w:lang w:val="en-US" w:eastAsia="zh-CN"/>
        </w:rPr>
        <w:t>00</w:t>
      </w:r>
      <w:r>
        <w:rPr>
          <w:rFonts w:hint="eastAsia" w:ascii="宋体" w:hAnsi="宋体" w:cs="宋体"/>
          <w:color w:val="0C0C0C"/>
          <w:szCs w:val="21"/>
          <w:highlight w:val="none"/>
          <w:u w:val="single"/>
        </w:rPr>
        <w:t>分</w:t>
      </w:r>
      <w:r>
        <w:rPr>
          <w:rFonts w:hint="eastAsia" w:ascii="宋体" w:hAnsi="宋体" w:cs="宋体"/>
          <w:color w:val="0C0C0C"/>
          <w:szCs w:val="21"/>
        </w:rPr>
        <w:t>（北京时间）</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地点：阳新县公共资源交易中心2楼开标厅</w:t>
      </w:r>
    </w:p>
    <w:p>
      <w:pPr>
        <w:adjustRightInd w:val="0"/>
        <w:snapToGrid w:val="0"/>
        <w:spacing w:line="360" w:lineRule="auto"/>
        <w:ind w:firstLine="420" w:firstLineChars="200"/>
        <w:jc w:val="left"/>
        <w:rPr>
          <w:rFonts w:ascii="宋体" w:hAnsi="宋体" w:cs="宋体"/>
          <w:szCs w:val="21"/>
        </w:rPr>
      </w:pPr>
      <w:bookmarkStart w:id="41" w:name="_Toc11718"/>
      <w:bookmarkStart w:id="42" w:name="_Toc2201"/>
      <w:bookmarkStart w:id="43" w:name="_Toc21922"/>
      <w:bookmarkStart w:id="44" w:name="_Toc8727"/>
      <w:bookmarkStart w:id="45" w:name="_Toc5010"/>
      <w:bookmarkStart w:id="46" w:name="_Toc3411"/>
      <w:r>
        <w:rPr>
          <w:rFonts w:hint="eastAsia" w:ascii="宋体" w:hAnsi="宋体" w:cs="宋体"/>
          <w:szCs w:val="21"/>
        </w:rPr>
        <w:t>六、公告期限</w:t>
      </w:r>
      <w:bookmarkEnd w:id="41"/>
      <w:bookmarkEnd w:id="42"/>
      <w:bookmarkEnd w:id="43"/>
      <w:bookmarkEnd w:id="44"/>
      <w:bookmarkEnd w:id="45"/>
      <w:bookmarkEnd w:id="46"/>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自本公告发布之日起</w:t>
      </w:r>
      <w:r>
        <w:rPr>
          <w:rFonts w:hint="eastAsia" w:ascii="宋体" w:hAnsi="宋体" w:cs="宋体"/>
          <w:color w:val="0C0C0C"/>
          <w:szCs w:val="21"/>
          <w:lang w:val="en-US" w:eastAsia="zh-CN"/>
        </w:rPr>
        <w:t>5</w:t>
      </w:r>
      <w:r>
        <w:rPr>
          <w:rFonts w:hint="eastAsia" w:ascii="宋体" w:hAnsi="宋体" w:cs="宋体"/>
          <w:color w:val="0C0C0C"/>
          <w:szCs w:val="21"/>
        </w:rPr>
        <w:t>个工作日。</w:t>
      </w:r>
    </w:p>
    <w:p>
      <w:pPr>
        <w:adjustRightInd w:val="0"/>
        <w:snapToGrid w:val="0"/>
        <w:spacing w:line="360" w:lineRule="auto"/>
        <w:ind w:firstLine="420" w:firstLineChars="200"/>
        <w:jc w:val="left"/>
        <w:rPr>
          <w:rFonts w:ascii="宋体" w:hAnsi="宋体" w:cs="宋体"/>
          <w:szCs w:val="21"/>
        </w:rPr>
      </w:pPr>
      <w:bookmarkStart w:id="47" w:name="_Toc32051"/>
      <w:bookmarkStart w:id="48" w:name="_Toc18151"/>
      <w:bookmarkStart w:id="49" w:name="_Toc1468"/>
      <w:bookmarkStart w:id="50" w:name="_Toc18498"/>
      <w:bookmarkStart w:id="51" w:name="_Toc18731"/>
      <w:bookmarkStart w:id="52" w:name="_Toc21847"/>
      <w:bookmarkStart w:id="53" w:name="_Toc16326"/>
      <w:r>
        <w:rPr>
          <w:rFonts w:hint="eastAsia" w:ascii="宋体" w:hAnsi="宋体" w:cs="宋体"/>
          <w:szCs w:val="21"/>
        </w:rPr>
        <w:t>七、其他补充事宜</w:t>
      </w:r>
      <w:bookmarkEnd w:id="47"/>
      <w:bookmarkEnd w:id="48"/>
      <w:bookmarkEnd w:id="49"/>
      <w:bookmarkEnd w:id="50"/>
      <w:bookmarkEnd w:id="51"/>
      <w:bookmarkEnd w:id="52"/>
      <w:bookmarkEnd w:id="53"/>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1、资金来源：</w:t>
      </w:r>
      <w:r>
        <w:rPr>
          <w:rFonts w:hint="eastAsia" w:ascii="宋体" w:hAnsi="宋体" w:cs="宋体"/>
          <w:color w:val="0C0C0C"/>
          <w:szCs w:val="21"/>
          <w:lang w:val="en-US" w:eastAsia="zh-CN"/>
        </w:rPr>
        <w:t>财政资金</w:t>
      </w:r>
      <w:r>
        <w:rPr>
          <w:rFonts w:hint="eastAsia" w:ascii="宋体" w:hAnsi="宋体" w:cs="宋体"/>
          <w:color w:val="0C0C0C"/>
          <w:szCs w:val="21"/>
        </w:rPr>
        <w:t>，已落实</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2、本项目需落实的节能环保、中小微型企业扶持等相关政府采购政策详见竞争性磋商文件。</w:t>
      </w:r>
    </w:p>
    <w:p>
      <w:pPr>
        <w:adjustRightInd w:val="0"/>
        <w:snapToGrid w:val="0"/>
        <w:spacing w:line="360" w:lineRule="auto"/>
        <w:ind w:firstLine="420" w:firstLineChars="200"/>
        <w:jc w:val="left"/>
        <w:rPr>
          <w:rFonts w:ascii="宋体" w:hAnsi="宋体" w:cs="宋体"/>
          <w:color w:val="0C0C0C"/>
          <w:szCs w:val="21"/>
          <w:highlight w:val="none"/>
        </w:rPr>
      </w:pPr>
      <w:r>
        <w:rPr>
          <w:rFonts w:hint="eastAsia" w:ascii="宋体" w:hAnsi="宋体" w:cs="宋体"/>
          <w:color w:val="0C0C0C"/>
          <w:szCs w:val="21"/>
          <w:highlight w:val="none"/>
        </w:rPr>
        <w:t>3、本公告发布的信息媒体“湖北省政府采购网”、“黄石公共资源交易信息网”及“阳新县人民政府网”。</w:t>
      </w:r>
    </w:p>
    <w:p>
      <w:pPr>
        <w:adjustRightInd w:val="0"/>
        <w:snapToGrid w:val="0"/>
        <w:spacing w:line="360" w:lineRule="auto"/>
        <w:ind w:firstLine="420" w:firstLineChars="200"/>
        <w:jc w:val="left"/>
        <w:rPr>
          <w:rFonts w:ascii="宋体" w:hAnsi="宋体" w:cs="宋体"/>
          <w:color w:val="0C0C0C"/>
          <w:szCs w:val="21"/>
        </w:rPr>
      </w:pPr>
      <w:bookmarkStart w:id="54" w:name="_Toc26838"/>
      <w:bookmarkStart w:id="55" w:name="_Toc17246"/>
      <w:bookmarkStart w:id="56" w:name="_Toc4887"/>
      <w:bookmarkStart w:id="57" w:name="_Toc23835"/>
      <w:bookmarkStart w:id="58" w:name="_Toc27218"/>
      <w:bookmarkStart w:id="59" w:name="_Toc25804"/>
      <w:bookmarkStart w:id="60" w:name="_Toc16451"/>
      <w:r>
        <w:rPr>
          <w:rFonts w:hint="eastAsia" w:ascii="宋体" w:hAnsi="宋体" w:cs="宋体"/>
          <w:color w:val="0C0C0C"/>
          <w:szCs w:val="21"/>
        </w:rPr>
        <w:t>八、凡对本次采购提出询问，请按以下方式联系。</w:t>
      </w:r>
      <w:bookmarkEnd w:id="54"/>
      <w:bookmarkEnd w:id="55"/>
      <w:bookmarkEnd w:id="56"/>
      <w:bookmarkEnd w:id="57"/>
      <w:bookmarkEnd w:id="58"/>
      <w:bookmarkEnd w:id="59"/>
      <w:bookmarkEnd w:id="60"/>
    </w:p>
    <w:p>
      <w:pPr>
        <w:adjustRightInd w:val="0"/>
        <w:snapToGrid w:val="0"/>
        <w:spacing w:line="360" w:lineRule="auto"/>
        <w:ind w:firstLine="420" w:firstLineChars="200"/>
        <w:jc w:val="left"/>
        <w:rPr>
          <w:rFonts w:ascii="宋体" w:hAnsi="宋体" w:cs="宋体"/>
          <w:color w:val="0C0C0C"/>
          <w:szCs w:val="21"/>
        </w:rPr>
      </w:pPr>
      <w:bookmarkStart w:id="61" w:name="_Toc54982324"/>
      <w:r>
        <w:rPr>
          <w:rFonts w:hint="eastAsia" w:ascii="宋体" w:hAnsi="宋体" w:cs="宋体"/>
          <w:color w:val="0C0C0C"/>
          <w:szCs w:val="21"/>
        </w:rPr>
        <w:t>1.采购人信息</w:t>
      </w:r>
      <w:bookmarkEnd w:id="61"/>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名称：阳新县自然资源和规划局</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地址：阳新县城东新区钟家湾路37号</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项目联系人：</w:t>
      </w:r>
      <w:r>
        <w:rPr>
          <w:rFonts w:hint="eastAsia" w:ascii="宋体" w:hAnsi="宋体" w:cs="宋体"/>
          <w:color w:val="0C0C0C"/>
          <w:szCs w:val="21"/>
          <w:lang w:val="en-US" w:eastAsia="zh-CN"/>
        </w:rPr>
        <w:t>俞先生</w:t>
      </w:r>
      <w:r>
        <w:rPr>
          <w:rFonts w:hint="eastAsia" w:ascii="宋体" w:hAnsi="宋体" w:cs="宋体"/>
          <w:color w:val="0C0C0C"/>
          <w:szCs w:val="21"/>
        </w:rPr>
        <w:t> </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联系方式：13597657533</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2.采购代理机构信息</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名称：昀锦工程咨询有限公司</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地址：湖北省武汉市武昌区汉街总部国际A座1001室</w:t>
      </w:r>
    </w:p>
    <w:p>
      <w:pPr>
        <w:adjustRightInd w:val="0"/>
        <w:snapToGrid w:val="0"/>
        <w:spacing w:line="360" w:lineRule="auto"/>
        <w:ind w:firstLine="420" w:firstLineChars="200"/>
        <w:jc w:val="left"/>
        <w:rPr>
          <w:rFonts w:hint="eastAsia" w:ascii="宋体" w:hAnsi="宋体" w:eastAsia="宋体" w:cs="宋体"/>
          <w:color w:val="0C0C0C"/>
          <w:szCs w:val="21"/>
          <w:lang w:val="en-US" w:eastAsia="zh-CN"/>
        </w:rPr>
      </w:pPr>
      <w:r>
        <w:rPr>
          <w:rFonts w:hint="eastAsia" w:ascii="宋体" w:hAnsi="宋体" w:cs="宋体"/>
          <w:color w:val="0C0C0C"/>
          <w:szCs w:val="21"/>
        </w:rPr>
        <w:t>联系人：周</w:t>
      </w:r>
      <w:r>
        <w:rPr>
          <w:rFonts w:hint="eastAsia" w:ascii="宋体" w:hAnsi="宋体" w:cs="宋体"/>
          <w:color w:val="0C0C0C"/>
          <w:szCs w:val="21"/>
          <w:lang w:val="en-US" w:eastAsia="zh-CN"/>
        </w:rPr>
        <w:t>工</w:t>
      </w:r>
    </w:p>
    <w:p>
      <w:pPr>
        <w:adjustRightInd w:val="0"/>
        <w:snapToGrid w:val="0"/>
        <w:spacing w:line="360" w:lineRule="auto"/>
        <w:ind w:firstLine="420" w:firstLineChars="200"/>
        <w:jc w:val="left"/>
        <w:rPr>
          <w:rFonts w:ascii="宋体" w:hAnsi="宋体" w:cs="宋体"/>
          <w:color w:val="0C0C0C"/>
          <w:szCs w:val="21"/>
        </w:rPr>
      </w:pPr>
      <w:r>
        <w:rPr>
          <w:rFonts w:hint="eastAsia" w:ascii="宋体" w:hAnsi="宋体" w:cs="宋体"/>
          <w:color w:val="0C0C0C"/>
          <w:szCs w:val="21"/>
        </w:rPr>
        <w:t>联系方式：18811128992 </w:t>
      </w:r>
    </w:p>
    <w:p>
      <w:pPr>
        <w:pStyle w:val="3"/>
        <w:jc w:val="center"/>
        <w:rPr>
          <w:rFonts w:ascii="黑体" w:hAnsi="黑体" w:eastAsia="黑体"/>
          <w:bCs w:val="0"/>
          <w:sz w:val="32"/>
        </w:rPr>
      </w:pPr>
      <w:r>
        <w:rPr>
          <w:rFonts w:hint="eastAsia"/>
        </w:rPr>
        <w:br w:type="page"/>
      </w:r>
      <w:bookmarkStart w:id="62" w:name="_Toc14885"/>
      <w:bookmarkStart w:id="63" w:name="_Toc10243"/>
      <w:bookmarkStart w:id="64" w:name="_Toc22215410"/>
      <w:bookmarkStart w:id="65" w:name="_Toc25816"/>
      <w:bookmarkStart w:id="66" w:name="_Toc10103"/>
      <w:r>
        <w:rPr>
          <w:rFonts w:hint="eastAsia" w:ascii="黑体" w:hAnsi="黑体" w:eastAsia="黑体"/>
          <w:bCs w:val="0"/>
          <w:sz w:val="32"/>
        </w:rPr>
        <w:t>第二章供应商须知</w:t>
      </w:r>
      <w:bookmarkEnd w:id="2"/>
      <w:bookmarkEnd w:id="3"/>
      <w:bookmarkEnd w:id="62"/>
      <w:bookmarkEnd w:id="63"/>
      <w:bookmarkEnd w:id="64"/>
      <w:bookmarkEnd w:id="65"/>
      <w:bookmarkEnd w:id="66"/>
    </w:p>
    <w:p>
      <w:pPr>
        <w:pStyle w:val="4"/>
        <w:spacing w:before="120" w:after="120" w:line="415" w:lineRule="auto"/>
        <w:jc w:val="center"/>
        <w:rPr>
          <w:rFonts w:ascii="黑体"/>
          <w:b w:val="0"/>
          <w:bCs w:val="0"/>
          <w:spacing w:val="12"/>
          <w:sz w:val="24"/>
        </w:rPr>
      </w:pPr>
      <w:bookmarkStart w:id="67" w:name="_Toc152042304"/>
      <w:bookmarkStart w:id="68" w:name="_Toc144974496"/>
      <w:bookmarkStart w:id="69" w:name="_Toc450217463"/>
      <w:bookmarkStart w:id="70" w:name="_Toc1601"/>
      <w:bookmarkStart w:id="71" w:name="_Toc22215411"/>
      <w:bookmarkStart w:id="72" w:name="_Toc17891"/>
      <w:bookmarkStart w:id="73" w:name="_Toc31467"/>
      <w:bookmarkStart w:id="74" w:name="_Toc387647209"/>
      <w:bookmarkStart w:id="75" w:name="_Toc179632545"/>
      <w:bookmarkStart w:id="76" w:name="_Toc152045528"/>
      <w:bookmarkStart w:id="77" w:name="_Toc11465"/>
      <w:r>
        <w:rPr>
          <w:rFonts w:hint="eastAsia" w:ascii="黑体" w:hAnsi="黑体"/>
          <w:b w:val="0"/>
          <w:bCs w:val="0"/>
          <w:spacing w:val="12"/>
          <w:sz w:val="24"/>
        </w:rPr>
        <w:t>供应商须知前附表</w:t>
      </w:r>
      <w:bookmarkEnd w:id="67"/>
      <w:bookmarkEnd w:id="68"/>
      <w:bookmarkEnd w:id="69"/>
      <w:bookmarkEnd w:id="70"/>
      <w:bookmarkEnd w:id="71"/>
      <w:bookmarkEnd w:id="72"/>
      <w:bookmarkEnd w:id="73"/>
      <w:bookmarkEnd w:id="74"/>
      <w:bookmarkEnd w:id="75"/>
      <w:bookmarkEnd w:id="76"/>
      <w:bookmarkEnd w:id="77"/>
    </w:p>
    <w:tbl>
      <w:tblPr>
        <w:tblStyle w:val="21"/>
        <w:tblW w:w="9457" w:type="dxa"/>
        <w:jc w:val="center"/>
        <w:tblLayout w:type="fixed"/>
        <w:tblCellMar>
          <w:top w:w="0" w:type="dxa"/>
          <w:left w:w="108" w:type="dxa"/>
          <w:bottom w:w="0" w:type="dxa"/>
          <w:right w:w="108" w:type="dxa"/>
        </w:tblCellMar>
      </w:tblPr>
      <w:tblGrid>
        <w:gridCol w:w="1118"/>
        <w:gridCol w:w="2413"/>
        <w:gridCol w:w="5926"/>
      </w:tblGrid>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条款号</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条款名称</w:t>
            </w:r>
          </w:p>
        </w:tc>
        <w:tc>
          <w:tcPr>
            <w:tcW w:w="5926"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编列内容</w:t>
            </w:r>
          </w:p>
        </w:tc>
      </w:tr>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1.1.2</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采购人</w:t>
            </w:r>
          </w:p>
        </w:tc>
        <w:tc>
          <w:tcPr>
            <w:tcW w:w="59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采购人：阳新县自然资源和规划局</w:t>
            </w:r>
          </w:p>
          <w:p>
            <w:pPr>
              <w:rPr>
                <w:color w:val="000000" w:themeColor="text1"/>
              </w:rPr>
            </w:pPr>
            <w:r>
              <w:rPr>
                <w:rFonts w:hint="eastAsia"/>
                <w:color w:val="000000" w:themeColor="text1"/>
              </w:rPr>
              <w:t>地址：</w:t>
            </w:r>
            <w:r>
              <w:rPr>
                <w:rFonts w:hint="eastAsia"/>
              </w:rPr>
              <w:t>阳新县城东新区钟家湾路37号</w:t>
            </w:r>
          </w:p>
          <w:p>
            <w:pPr>
              <w:rPr>
                <w:rFonts w:hint="default" w:eastAsia="宋体"/>
                <w:color w:val="000000" w:themeColor="text1"/>
                <w:lang w:val="en-US" w:eastAsia="zh-CN"/>
              </w:rPr>
            </w:pPr>
            <w:r>
              <w:rPr>
                <w:rFonts w:hint="eastAsia"/>
                <w:color w:val="000000" w:themeColor="text1"/>
              </w:rPr>
              <w:t>联系人：</w:t>
            </w:r>
            <w:r>
              <w:rPr>
                <w:rFonts w:hint="eastAsia"/>
                <w:color w:val="000000" w:themeColor="text1"/>
                <w:lang w:val="en-US" w:eastAsia="zh-CN"/>
              </w:rPr>
              <w:t>俞先生      联系电话：13597657533</w:t>
            </w:r>
          </w:p>
        </w:tc>
      </w:tr>
      <w:tr>
        <w:tblPrEx>
          <w:tblCellMar>
            <w:top w:w="0" w:type="dxa"/>
            <w:left w:w="108" w:type="dxa"/>
            <w:bottom w:w="0" w:type="dxa"/>
            <w:right w:w="108" w:type="dxa"/>
          </w:tblCellMar>
        </w:tblPrEx>
        <w:trPr>
          <w:trHeight w:val="1742" w:hRule="atLeast"/>
          <w:jc w:val="center"/>
        </w:trPr>
        <w:tc>
          <w:tcPr>
            <w:tcW w:w="1118" w:type="dxa"/>
            <w:tcBorders>
              <w:top w:val="single" w:color="auto" w:sz="4" w:space="0"/>
              <w:left w:val="single" w:color="auto" w:sz="4" w:space="0"/>
              <w:right w:val="single" w:color="auto" w:sz="4" w:space="0"/>
            </w:tcBorders>
            <w:vAlign w:val="center"/>
          </w:tcPr>
          <w:p>
            <w:pPr>
              <w:jc w:val="center"/>
            </w:pPr>
            <w:r>
              <w:t>1.1.3</w:t>
            </w:r>
          </w:p>
        </w:tc>
        <w:tc>
          <w:tcPr>
            <w:tcW w:w="2413"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采购代理机构</w:t>
            </w:r>
          </w:p>
        </w:tc>
        <w:tc>
          <w:tcPr>
            <w:tcW w:w="5926" w:type="dxa"/>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代理机构：昀锦工程咨询有限公司</w:t>
            </w:r>
          </w:p>
          <w:p>
            <w:pPr>
              <w:rPr>
                <w:rFonts w:ascii="宋体" w:hAnsi="宋体"/>
              </w:rPr>
            </w:pPr>
            <w:r>
              <w:rPr>
                <w:rFonts w:hint="eastAsia" w:ascii="宋体" w:hAnsi="宋体"/>
              </w:rPr>
              <w:t>地址：</w:t>
            </w:r>
            <w:r>
              <w:rPr>
                <w:rFonts w:hint="eastAsia"/>
              </w:rPr>
              <w:t>湖北省武汉市武昌区汉街总部国际A座1001室</w:t>
            </w:r>
          </w:p>
          <w:p>
            <w:pPr>
              <w:rPr>
                <w:rFonts w:hint="eastAsia" w:ascii="宋体" w:hAnsi="宋体" w:eastAsia="宋体"/>
                <w:lang w:eastAsia="zh-CN"/>
              </w:rPr>
            </w:pPr>
            <w:r>
              <w:rPr>
                <w:rFonts w:hint="eastAsia" w:ascii="宋体" w:hAnsi="宋体"/>
              </w:rPr>
              <w:t>联系人：</w:t>
            </w:r>
            <w:r>
              <w:rPr>
                <w:rFonts w:hint="eastAsia"/>
              </w:rPr>
              <w:t>周</w:t>
            </w:r>
            <w:r>
              <w:rPr>
                <w:rFonts w:hint="eastAsia"/>
                <w:lang w:val="en-US" w:eastAsia="zh-CN"/>
              </w:rPr>
              <w:t>工</w:t>
            </w:r>
          </w:p>
          <w:p>
            <w:pPr>
              <w:rPr>
                <w:rFonts w:ascii="宋体"/>
              </w:rPr>
            </w:pPr>
            <w:r>
              <w:rPr>
                <w:rFonts w:hint="eastAsia" w:ascii="宋体" w:hAnsi="宋体"/>
              </w:rPr>
              <w:t>电话：</w:t>
            </w:r>
            <w:r>
              <w:rPr>
                <w:rFonts w:hint="eastAsia"/>
              </w:rPr>
              <w:t>18811128992</w:t>
            </w:r>
            <w:r>
              <w:rPr>
                <w:rFonts w:hint="eastAsia" w:ascii="宋体" w:hAnsi="宋体"/>
              </w:rPr>
              <w:t> </w:t>
            </w:r>
          </w:p>
        </w:tc>
      </w:tr>
      <w:tr>
        <w:tblPrEx>
          <w:tblCellMar>
            <w:top w:w="0" w:type="dxa"/>
            <w:left w:w="108" w:type="dxa"/>
            <w:bottom w:w="0" w:type="dxa"/>
            <w:right w:w="108" w:type="dxa"/>
          </w:tblCellMar>
        </w:tblPrEx>
        <w:trPr>
          <w:trHeight w:val="623"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1.2.1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资金来源</w:t>
            </w:r>
          </w:p>
        </w:tc>
        <w:tc>
          <w:tcPr>
            <w:tcW w:w="5926" w:type="dxa"/>
            <w:tcBorders>
              <w:top w:val="single" w:color="auto" w:sz="4" w:space="0"/>
              <w:left w:val="single" w:color="auto" w:sz="4" w:space="0"/>
              <w:bottom w:val="single" w:color="auto" w:sz="4" w:space="0"/>
              <w:right w:val="single" w:color="auto" w:sz="4" w:space="0"/>
            </w:tcBorders>
            <w:vAlign w:val="center"/>
          </w:tcPr>
          <w:p>
            <w:pPr>
              <w:rPr>
                <w:rFonts w:hint="default" w:eastAsia="宋体"/>
                <w:szCs w:val="21"/>
                <w:lang w:val="en-US" w:eastAsia="zh-CN"/>
              </w:rPr>
            </w:pPr>
            <w:r>
              <w:rPr>
                <w:rFonts w:hint="eastAsia"/>
                <w:szCs w:val="21"/>
                <w:lang w:val="en-US" w:eastAsia="zh-CN"/>
              </w:rPr>
              <w:t>财政资金</w:t>
            </w:r>
          </w:p>
        </w:tc>
      </w:tr>
      <w:tr>
        <w:tblPrEx>
          <w:tblCellMar>
            <w:top w:w="0" w:type="dxa"/>
            <w:left w:w="108" w:type="dxa"/>
            <w:bottom w:w="0" w:type="dxa"/>
            <w:right w:w="108" w:type="dxa"/>
          </w:tblCellMar>
        </w:tblPrEx>
        <w:trPr>
          <w:trHeight w:val="617"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1.2.2</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资金落实情况</w:t>
            </w:r>
          </w:p>
        </w:tc>
        <w:tc>
          <w:tcPr>
            <w:tcW w:w="5926"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已落实</w:t>
            </w:r>
          </w:p>
        </w:tc>
      </w:tr>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1.4.1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供应商资格条件</w:t>
            </w:r>
          </w:p>
        </w:tc>
        <w:tc>
          <w:tcPr>
            <w:tcW w:w="5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pPr>
            <w:bookmarkStart w:id="78" w:name="_Toc455399824"/>
            <w:bookmarkStart w:id="79" w:name="_Toc450217464"/>
            <w:r>
              <w:rPr>
                <w:rFonts w:hint="eastAsia"/>
                <w:szCs w:val="21"/>
              </w:rPr>
              <w:t>详见第一章磋商公告</w:t>
            </w:r>
            <w:bookmarkEnd w:id="78"/>
            <w:bookmarkEnd w:id="79"/>
          </w:p>
        </w:tc>
      </w:tr>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1.4.2</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是否接受联合体磋商</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ascii="MS Mincho" w:hAnsi="MS Mincho" w:cs="MS Mincho"/>
                <w:szCs w:val="21"/>
              </w:rPr>
              <w:sym w:font="Wingdings 2" w:char="0052"/>
            </w:r>
            <w:r>
              <w:rPr>
                <w:rFonts w:hint="eastAsia"/>
              </w:rPr>
              <w:t>不接受</w:t>
            </w:r>
          </w:p>
          <w:p>
            <w:r>
              <w:rPr>
                <w:rFonts w:hint="eastAsia" w:ascii="宋体" w:hAnsi="宋体" w:cs="宋体"/>
              </w:rPr>
              <w:t>□</w:t>
            </w:r>
            <w:r>
              <w:rPr>
                <w:rFonts w:hint="eastAsia"/>
              </w:rPr>
              <w:t>接受，应满足下列要求：</w:t>
            </w:r>
          </w:p>
          <w:p>
            <w:pPr>
              <w:rPr>
                <w:szCs w:val="21"/>
              </w:rPr>
            </w:pPr>
            <w:r>
              <w:rPr>
                <w:rFonts w:hint="eastAsia"/>
              </w:rPr>
              <w:t>联合体资质按照联合体协议约定的分工认定。</w:t>
            </w:r>
          </w:p>
        </w:tc>
      </w:tr>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1.9.1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踏勘现场</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lang w:val="zh-CN"/>
              </w:rPr>
              <w:t>各供应商自行踏勘现场</w:t>
            </w:r>
          </w:p>
        </w:tc>
      </w:tr>
      <w:tr>
        <w:tblPrEx>
          <w:tblCellMar>
            <w:top w:w="0" w:type="dxa"/>
            <w:left w:w="108" w:type="dxa"/>
            <w:bottom w:w="0" w:type="dxa"/>
            <w:right w:w="108" w:type="dxa"/>
          </w:tblCellMar>
        </w:tblPrEx>
        <w:trPr>
          <w:trHeight w:val="634"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2.1</w:t>
            </w:r>
            <w:r>
              <w:rPr>
                <w:rFonts w:hint="eastAsia"/>
              </w:rPr>
              <w:t>（</w:t>
            </w:r>
            <w:r>
              <w:t>7</w:t>
            </w:r>
            <w:r>
              <w:rPr>
                <w:rFonts w:hint="eastAsia"/>
              </w:rPr>
              <w:t>）</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构成磋商文件的其他材料</w:t>
            </w:r>
          </w:p>
        </w:tc>
        <w:tc>
          <w:tcPr>
            <w:tcW w:w="5926"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无</w:t>
            </w:r>
          </w:p>
        </w:tc>
      </w:tr>
      <w:tr>
        <w:tblPrEx>
          <w:tblCellMar>
            <w:top w:w="0" w:type="dxa"/>
            <w:left w:w="108" w:type="dxa"/>
            <w:bottom w:w="0" w:type="dxa"/>
            <w:right w:w="108" w:type="dxa"/>
          </w:tblCellMar>
        </w:tblPrEx>
        <w:trPr>
          <w:trHeight w:val="575"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3.2.</w:t>
            </w:r>
            <w:r>
              <w:rPr>
                <w:rFonts w:hint="eastAsia"/>
              </w:rPr>
              <w:t>2</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最高磋商限价</w:t>
            </w:r>
          </w:p>
        </w:tc>
        <w:tc>
          <w:tcPr>
            <w:tcW w:w="5926"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ascii="宋体" w:hAnsi="宋体" w:cs="宋体"/>
                <w:color w:val="0C0C0C"/>
                <w:szCs w:val="21"/>
              </w:rPr>
              <w:t>阳新县白沙镇四屋组采石厂矿山生态修复治理工程，采购计划备案号阳财采计备[2021]B35号，预算金额238</w:t>
            </w:r>
            <w:r>
              <w:rPr>
                <w:rFonts w:hint="eastAsia" w:ascii="宋体" w:hAnsi="宋体" w:cs="宋体"/>
                <w:color w:val="0C0C0C"/>
                <w:szCs w:val="21"/>
                <w:lang w:val="en-US" w:eastAsia="zh-CN"/>
              </w:rPr>
              <w:t>.</w:t>
            </w:r>
            <w:r>
              <w:rPr>
                <w:rFonts w:hint="eastAsia" w:ascii="宋体" w:hAnsi="宋体" w:cs="宋体"/>
                <w:color w:val="0C0C0C"/>
                <w:szCs w:val="21"/>
              </w:rPr>
              <w:t>43</w:t>
            </w:r>
            <w:r>
              <w:rPr>
                <w:rFonts w:hint="eastAsia" w:ascii="宋体" w:hAnsi="宋体" w:cs="宋体"/>
                <w:color w:val="0C0C0C"/>
                <w:szCs w:val="21"/>
                <w:lang w:val="en-US" w:eastAsia="zh-CN"/>
              </w:rPr>
              <w:t>万</w:t>
            </w:r>
            <w:r>
              <w:rPr>
                <w:rFonts w:hint="eastAsia" w:ascii="宋体" w:hAnsi="宋体" w:cs="宋体"/>
                <w:color w:val="0C0C0C"/>
                <w:szCs w:val="21"/>
              </w:rPr>
              <w:t>元；</w:t>
            </w:r>
          </w:p>
        </w:tc>
      </w:tr>
      <w:tr>
        <w:tblPrEx>
          <w:tblCellMar>
            <w:top w:w="0" w:type="dxa"/>
            <w:left w:w="108" w:type="dxa"/>
            <w:bottom w:w="0" w:type="dxa"/>
            <w:right w:w="108" w:type="dxa"/>
          </w:tblCellMar>
        </w:tblPrEx>
        <w:trPr>
          <w:trHeight w:val="575"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3.2.</w:t>
            </w:r>
            <w:r>
              <w:rPr>
                <w:rFonts w:hint="eastAsia"/>
              </w:rPr>
              <w:t>3</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是否允许调整</w:t>
            </w:r>
            <w:r>
              <w:rPr>
                <w:rFonts w:hint="eastAsia" w:ascii="宋体" w:hAnsi="宋体"/>
                <w:szCs w:val="21"/>
              </w:rPr>
              <w:t>合同价格</w:t>
            </w:r>
          </w:p>
        </w:tc>
        <w:tc>
          <w:tcPr>
            <w:tcW w:w="5926" w:type="dxa"/>
            <w:tcBorders>
              <w:top w:val="single" w:color="auto" w:sz="4" w:space="0"/>
              <w:left w:val="single" w:color="auto" w:sz="4" w:space="0"/>
              <w:bottom w:val="single" w:color="auto" w:sz="4" w:space="0"/>
              <w:right w:val="single" w:color="auto" w:sz="4" w:space="0"/>
            </w:tcBorders>
            <w:vAlign w:val="center"/>
          </w:tcPr>
          <w:p>
            <w:pPr>
              <w:pStyle w:val="9"/>
              <w:topLinePunct/>
              <w:spacing w:after="0"/>
              <w:rPr>
                <w:sz w:val="21"/>
                <w:szCs w:val="21"/>
              </w:rPr>
            </w:pPr>
            <w:r>
              <w:rPr>
                <w:rFonts w:hint="eastAsia" w:ascii="MS Mincho" w:hAnsi="MS Mincho" w:cs="MS Mincho"/>
                <w:szCs w:val="21"/>
              </w:rPr>
              <w:sym w:font="Wingdings 2" w:char="0052"/>
            </w:r>
            <w:r>
              <w:rPr>
                <w:rFonts w:hint="eastAsia"/>
                <w:sz w:val="21"/>
                <w:szCs w:val="21"/>
              </w:rPr>
              <w:t>不允许</w:t>
            </w:r>
          </w:p>
          <w:p>
            <w:pPr>
              <w:rPr>
                <w:szCs w:val="21"/>
              </w:rPr>
            </w:pPr>
            <w:r>
              <w:rPr>
                <w:rFonts w:hint="eastAsia"/>
              </w:rPr>
              <w:t>□</w:t>
            </w:r>
            <w:r>
              <w:rPr>
                <w:rFonts w:hint="eastAsia"/>
                <w:szCs w:val="21"/>
              </w:rPr>
              <w:t>允许，供</w:t>
            </w:r>
            <w:r>
              <w:rPr>
                <w:rFonts w:hint="eastAsia"/>
              </w:rPr>
              <w:t>货期较长的项目因国家法律、法规和政策发生变化或市场物价波动影响合同价格的，可调整合同价格，具体办法在“合同条款”中约定。</w:t>
            </w:r>
          </w:p>
        </w:tc>
      </w:tr>
      <w:tr>
        <w:tblPrEx>
          <w:tblCellMar>
            <w:top w:w="0" w:type="dxa"/>
            <w:left w:w="108" w:type="dxa"/>
            <w:bottom w:w="0" w:type="dxa"/>
            <w:right w:w="108" w:type="dxa"/>
          </w:tblCellMar>
        </w:tblPrEx>
        <w:trPr>
          <w:trHeight w:val="58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3.3.1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磋商有效期</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u w:val="single"/>
              </w:rPr>
              <w:t>60</w:t>
            </w:r>
            <w:r>
              <w:rPr>
                <w:rFonts w:hint="eastAsia"/>
              </w:rPr>
              <w:t>天</w:t>
            </w:r>
          </w:p>
        </w:tc>
      </w:tr>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3.4.1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磋商保证金</w:t>
            </w:r>
          </w:p>
        </w:tc>
        <w:tc>
          <w:tcPr>
            <w:tcW w:w="59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MS Mincho" w:hAnsi="MS Mincho" w:cs="MS Mincho"/>
                <w:szCs w:val="21"/>
              </w:rPr>
              <w:sym w:font="Wingdings 2" w:char="0052"/>
            </w:r>
            <w:r>
              <w:rPr>
                <w:rFonts w:hint="eastAsia" w:ascii="宋体" w:hAnsi="宋体" w:cs="宋体"/>
                <w:szCs w:val="21"/>
              </w:rPr>
              <w:t>不提交</w:t>
            </w:r>
          </w:p>
          <w:p>
            <w:pPr>
              <w:adjustRightInd w:val="0"/>
              <w:snapToGrid w:val="0"/>
              <w:jc w:val="left"/>
              <w:rPr>
                <w:u w:val="single"/>
              </w:rPr>
            </w:pPr>
            <w:r>
              <w:rPr>
                <w:rFonts w:hint="eastAsia"/>
              </w:rPr>
              <w:t>□</w:t>
            </w:r>
            <w:r>
              <w:rPr>
                <w:rFonts w:hint="eastAsia" w:ascii="宋体" w:hAnsi="宋体" w:cs="宋体"/>
                <w:szCs w:val="21"/>
              </w:rPr>
              <w:t>提交</w:t>
            </w:r>
          </w:p>
        </w:tc>
      </w:tr>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right w:val="single" w:color="auto" w:sz="4" w:space="0"/>
            </w:tcBorders>
            <w:vAlign w:val="center"/>
          </w:tcPr>
          <w:p>
            <w:pPr>
              <w:jc w:val="center"/>
              <w:rPr>
                <w:szCs w:val="21"/>
              </w:rPr>
            </w:pPr>
            <w:r>
              <w:rPr>
                <w:szCs w:val="21"/>
              </w:rPr>
              <w:t>3.5</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供应商</w:t>
            </w:r>
            <w:r>
              <w:rPr>
                <w:rFonts w:hint="eastAsia" w:ascii="黑体" w:hAnsi="黑体"/>
                <w:szCs w:val="24"/>
              </w:rPr>
              <w:t>资格审查资料</w:t>
            </w:r>
          </w:p>
        </w:tc>
        <w:tc>
          <w:tcPr>
            <w:tcW w:w="5926" w:type="dxa"/>
            <w:tcBorders>
              <w:top w:val="single" w:color="auto" w:sz="4" w:space="0"/>
              <w:left w:val="single" w:color="auto" w:sz="4" w:space="0"/>
              <w:bottom w:val="single" w:color="auto" w:sz="4" w:space="0"/>
              <w:right w:val="single" w:color="auto" w:sz="4" w:space="0"/>
            </w:tcBorders>
            <w:vAlign w:val="center"/>
          </w:tcPr>
          <w:p>
            <w:pPr>
              <w:tabs>
                <w:tab w:val="left" w:pos="420"/>
              </w:tabs>
              <w:rPr>
                <w:szCs w:val="21"/>
                <w:u w:val="single"/>
              </w:rPr>
            </w:pPr>
            <w:r>
              <w:rPr>
                <w:rFonts w:hint="eastAsia" w:ascii="Times New Roman" w:hAnsi="Times New Roman"/>
                <w:szCs w:val="21"/>
              </w:rPr>
              <w:t>详见第三章评审办法“资格性审查表”</w:t>
            </w:r>
          </w:p>
        </w:tc>
      </w:tr>
      <w:tr>
        <w:tblPrEx>
          <w:tblCellMar>
            <w:top w:w="0" w:type="dxa"/>
            <w:left w:w="108" w:type="dxa"/>
            <w:bottom w:w="0" w:type="dxa"/>
            <w:right w:w="108" w:type="dxa"/>
          </w:tblCellMar>
        </w:tblPrEx>
        <w:trPr>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3.7.</w:t>
            </w:r>
            <w:r>
              <w:rPr>
                <w:rFonts w:hint="eastAsia"/>
                <w:szCs w:val="21"/>
              </w:rPr>
              <w:t>4</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szCs w:val="21"/>
              </w:rPr>
              <w:t>偏离</w:t>
            </w:r>
          </w:p>
        </w:tc>
        <w:tc>
          <w:tcPr>
            <w:tcW w:w="592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sz w:val="21"/>
                <w:szCs w:val="21"/>
              </w:rPr>
            </w:pPr>
            <w:r>
              <w:rPr>
                <w:rFonts w:hint="eastAsia"/>
                <w:szCs w:val="21"/>
              </w:rPr>
              <w:sym w:font="Wingdings 2" w:char="0052"/>
            </w:r>
            <w:r>
              <w:rPr>
                <w:rFonts w:hint="eastAsia" w:ascii="Times New Roman"/>
                <w:sz w:val="21"/>
                <w:szCs w:val="21"/>
              </w:rPr>
              <w:t>不允许，“★”号条款（参数）</w:t>
            </w:r>
          </w:p>
          <w:p>
            <w:pPr>
              <w:pStyle w:val="9"/>
              <w:topLinePunct/>
              <w:spacing w:line="400" w:lineRule="exact"/>
              <w:rPr>
                <w:rFonts w:ascii="宋体"/>
                <w:szCs w:val="21"/>
              </w:rPr>
            </w:pPr>
            <w:r>
              <w:rPr>
                <w:rFonts w:ascii="Times New Roman"/>
                <w:sz w:val="32"/>
                <w:szCs w:val="32"/>
              </w:rPr>
              <w:t>□</w:t>
            </w:r>
            <w:r>
              <w:rPr>
                <w:rFonts w:hint="eastAsia"/>
                <w:sz w:val="21"/>
                <w:szCs w:val="21"/>
              </w:rPr>
              <w:t>允许</w:t>
            </w:r>
          </w:p>
        </w:tc>
      </w:tr>
      <w:tr>
        <w:tblPrEx>
          <w:tblCellMar>
            <w:top w:w="0" w:type="dxa"/>
            <w:left w:w="108" w:type="dxa"/>
            <w:bottom w:w="0" w:type="dxa"/>
            <w:right w:w="108" w:type="dxa"/>
          </w:tblCellMar>
        </w:tblPrEx>
        <w:trPr>
          <w:trHeight w:val="56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3.7.</w:t>
            </w:r>
            <w:r>
              <w:rPr>
                <w:rFonts w:hint="eastAsia"/>
                <w:szCs w:val="21"/>
              </w:rPr>
              <w:t>6</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签字和（或）盖单位章要求</w:t>
            </w:r>
          </w:p>
        </w:tc>
        <w:tc>
          <w:tcPr>
            <w:tcW w:w="5926"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“盖单位章”是指：盖供应商法定名称的公章，不得用如“磋商专用章”、“业务专用章”、“合同专用章”、“财务专用章”代替。</w:t>
            </w:r>
          </w:p>
          <w:p>
            <w:pPr>
              <w:rPr>
                <w:szCs w:val="21"/>
              </w:rPr>
            </w:pPr>
            <w:r>
              <w:rPr>
                <w:rFonts w:hint="eastAsia"/>
                <w:szCs w:val="21"/>
              </w:rPr>
              <w:t>“签字”是指：</w:t>
            </w:r>
          </w:p>
          <w:p>
            <w:pPr>
              <w:rPr>
                <w:szCs w:val="21"/>
              </w:rPr>
            </w:pPr>
            <w:r>
              <w:rPr>
                <w:rFonts w:hint="eastAsia" w:ascii="MS Mincho" w:hAnsi="MS Mincho" w:cs="MS Mincho"/>
                <w:szCs w:val="21"/>
              </w:rPr>
              <w:sym w:font="Wingdings 2" w:char="00A3"/>
            </w:r>
            <w:r>
              <w:rPr>
                <w:rFonts w:hint="eastAsia"/>
                <w:szCs w:val="21"/>
              </w:rPr>
              <w:t>手写签字，也可使用个人印章、签名章或其他电子制版签名代替。</w:t>
            </w:r>
          </w:p>
          <w:p>
            <w:pPr>
              <w:rPr>
                <w:szCs w:val="21"/>
              </w:rPr>
            </w:pPr>
            <w:r>
              <w:rPr>
                <w:rFonts w:hint="eastAsia"/>
                <w:szCs w:val="21"/>
              </w:rPr>
              <w:sym w:font="Wingdings 2" w:char="0052"/>
            </w:r>
            <w:r>
              <w:rPr>
                <w:rFonts w:hint="eastAsia"/>
                <w:szCs w:val="21"/>
              </w:rPr>
              <w:t>手写签字，不得使用个人印章、签名章或其他电子制版签名代替。</w:t>
            </w:r>
          </w:p>
        </w:tc>
      </w:tr>
      <w:tr>
        <w:tblPrEx>
          <w:tblCellMar>
            <w:top w:w="0" w:type="dxa"/>
            <w:left w:w="108" w:type="dxa"/>
            <w:bottom w:w="0" w:type="dxa"/>
            <w:right w:w="108" w:type="dxa"/>
          </w:tblCellMar>
        </w:tblPrEx>
        <w:trPr>
          <w:trHeight w:val="61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3.7.</w:t>
            </w:r>
            <w:r>
              <w:rPr>
                <w:rFonts w:hint="eastAsia"/>
                <w:szCs w:val="21"/>
              </w:rPr>
              <w:t>7</w:t>
            </w:r>
          </w:p>
        </w:tc>
        <w:tc>
          <w:tcPr>
            <w:tcW w:w="241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lang w:val="zh-CN"/>
              </w:rPr>
              <w:t>竞争性磋商响应文件正、副本数量</w:t>
            </w:r>
          </w:p>
        </w:tc>
        <w:tc>
          <w:tcPr>
            <w:tcW w:w="5926"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本次采购项目</w:t>
            </w:r>
            <w:r>
              <w:rPr>
                <w:rFonts w:hint="eastAsia"/>
                <w:szCs w:val="21"/>
                <w:lang w:val="zh-CN"/>
              </w:rPr>
              <w:t>响应文件正本一份，副本二份。电子版磋商文件壹份，</w:t>
            </w:r>
            <w:r>
              <w:rPr>
                <w:rFonts w:hint="eastAsia"/>
                <w:szCs w:val="21"/>
              </w:rPr>
              <w:t>用U盘装入单独密封包装的“磋商一览表（报价表）”中</w:t>
            </w:r>
            <w:r>
              <w:rPr>
                <w:rFonts w:hint="eastAsia"/>
                <w:szCs w:val="21"/>
                <w:lang w:val="zh-CN"/>
              </w:rPr>
              <w:t>。所有响应文件概不退还。</w:t>
            </w:r>
          </w:p>
        </w:tc>
      </w:tr>
      <w:tr>
        <w:tblPrEx>
          <w:tblCellMar>
            <w:top w:w="0" w:type="dxa"/>
            <w:left w:w="108" w:type="dxa"/>
            <w:bottom w:w="0" w:type="dxa"/>
            <w:right w:w="108" w:type="dxa"/>
          </w:tblCellMar>
        </w:tblPrEx>
        <w:trPr>
          <w:trHeight w:val="617"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4.2.1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递交竞争性磋商响应文件截止时间</w:t>
            </w:r>
            <w:r>
              <w:rPr>
                <w:rFonts w:hint="eastAsia" w:ascii="Times New Roman" w:hAnsi="Times New Roman"/>
                <w:szCs w:val="21"/>
              </w:rPr>
              <w:t>（磋商截止时间）</w:t>
            </w:r>
          </w:p>
        </w:tc>
        <w:tc>
          <w:tcPr>
            <w:tcW w:w="5926"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highlight w:val="none"/>
              </w:rPr>
              <w:t>2021年</w:t>
            </w:r>
            <w:r>
              <w:rPr>
                <w:rFonts w:hint="eastAsia"/>
                <w:szCs w:val="21"/>
                <w:highlight w:val="none"/>
                <w:lang w:val="en-US" w:eastAsia="zh-CN"/>
              </w:rPr>
              <w:t>05</w:t>
            </w:r>
            <w:r>
              <w:rPr>
                <w:rFonts w:hint="eastAsia"/>
                <w:szCs w:val="21"/>
                <w:highlight w:val="none"/>
              </w:rPr>
              <w:t>月</w:t>
            </w:r>
            <w:r>
              <w:rPr>
                <w:rFonts w:hint="eastAsia"/>
                <w:szCs w:val="21"/>
                <w:highlight w:val="none"/>
                <w:lang w:val="en-US" w:eastAsia="zh-CN"/>
              </w:rPr>
              <w:t>08</w:t>
            </w:r>
            <w:r>
              <w:rPr>
                <w:rFonts w:hint="eastAsia"/>
                <w:szCs w:val="21"/>
                <w:highlight w:val="none"/>
              </w:rPr>
              <w:t>日</w:t>
            </w:r>
            <w:r>
              <w:rPr>
                <w:rFonts w:hint="eastAsia"/>
                <w:szCs w:val="21"/>
                <w:highlight w:val="none"/>
                <w:lang w:val="en-US" w:eastAsia="zh-CN"/>
              </w:rPr>
              <w:t>15</w:t>
            </w:r>
            <w:r>
              <w:rPr>
                <w:rFonts w:hint="eastAsia"/>
                <w:szCs w:val="21"/>
                <w:highlight w:val="none"/>
              </w:rPr>
              <w:t>时</w:t>
            </w:r>
            <w:r>
              <w:rPr>
                <w:rFonts w:hint="eastAsia"/>
                <w:szCs w:val="21"/>
                <w:highlight w:val="none"/>
                <w:lang w:val="en-US" w:eastAsia="zh-CN"/>
              </w:rPr>
              <w:t>00</w:t>
            </w:r>
            <w:r>
              <w:rPr>
                <w:rFonts w:hint="eastAsia"/>
                <w:szCs w:val="21"/>
                <w:highlight w:val="none"/>
              </w:rPr>
              <w:t>分（北京时间）</w:t>
            </w:r>
          </w:p>
        </w:tc>
      </w:tr>
      <w:tr>
        <w:tblPrEx>
          <w:tblCellMar>
            <w:top w:w="0" w:type="dxa"/>
            <w:left w:w="108" w:type="dxa"/>
            <w:bottom w:w="0" w:type="dxa"/>
            <w:right w:w="108" w:type="dxa"/>
          </w:tblCellMar>
        </w:tblPrEx>
        <w:trPr>
          <w:trHeight w:val="68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4.2.2</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递交磋商响应文件地点</w:t>
            </w:r>
          </w:p>
        </w:tc>
        <w:tc>
          <w:tcPr>
            <w:tcW w:w="5926"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阳新县公共资源交易中心2楼开标厅</w:t>
            </w:r>
          </w:p>
        </w:tc>
      </w:tr>
      <w:tr>
        <w:tblPrEx>
          <w:tblCellMar>
            <w:top w:w="0" w:type="dxa"/>
            <w:left w:w="108" w:type="dxa"/>
            <w:bottom w:w="0" w:type="dxa"/>
            <w:right w:w="108" w:type="dxa"/>
          </w:tblCellMar>
        </w:tblPrEx>
        <w:trPr>
          <w:trHeight w:val="88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开标时间和地点</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rPr>
              <w:t>开标时间：同磋商截止时间</w:t>
            </w:r>
          </w:p>
          <w:p>
            <w:r>
              <w:rPr>
                <w:rFonts w:hint="eastAsia"/>
              </w:rPr>
              <w:t>开标地点：</w:t>
            </w:r>
            <w:r>
              <w:rPr>
                <w:rFonts w:hint="eastAsia"/>
                <w:szCs w:val="21"/>
              </w:rPr>
              <w:t>同响应文件递交地点</w:t>
            </w:r>
          </w:p>
        </w:tc>
      </w:tr>
      <w:tr>
        <w:tblPrEx>
          <w:tblCellMar>
            <w:top w:w="0" w:type="dxa"/>
            <w:left w:w="108" w:type="dxa"/>
            <w:bottom w:w="0" w:type="dxa"/>
            <w:right w:w="108" w:type="dxa"/>
          </w:tblCellMar>
        </w:tblPrEx>
        <w:trPr>
          <w:trHeight w:val="38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5.2</w:t>
            </w:r>
            <w:r>
              <w:rPr>
                <w:rFonts w:hint="eastAsia"/>
                <w:szCs w:val="21"/>
              </w:rPr>
              <w:t>（</w:t>
            </w:r>
            <w:r>
              <w:rPr>
                <w:szCs w:val="21"/>
              </w:rPr>
              <w:t>4</w:t>
            </w:r>
            <w:r>
              <w:rPr>
                <w:rFonts w:hint="eastAsia"/>
                <w:szCs w:val="21"/>
              </w:rPr>
              <w:t>）</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密封情况检查</w:t>
            </w:r>
          </w:p>
        </w:tc>
        <w:tc>
          <w:tcPr>
            <w:tcW w:w="5926" w:type="dxa"/>
            <w:tcBorders>
              <w:top w:val="single" w:color="auto" w:sz="4" w:space="0"/>
              <w:left w:val="single" w:color="auto" w:sz="4" w:space="0"/>
              <w:bottom w:val="single" w:color="auto" w:sz="4" w:space="0"/>
              <w:right w:val="single" w:color="auto" w:sz="4" w:space="0"/>
            </w:tcBorders>
            <w:vAlign w:val="center"/>
          </w:tcPr>
          <w:p>
            <w:pPr>
              <w:pStyle w:val="9"/>
              <w:topLinePunct/>
              <w:rPr>
                <w:sz w:val="21"/>
                <w:szCs w:val="21"/>
              </w:rPr>
            </w:pPr>
            <w:r>
              <w:rPr>
                <w:rFonts w:hint="eastAsia" w:ascii="MS Mincho" w:hAnsi="MS Mincho" w:cs="MS Mincho"/>
                <w:szCs w:val="21"/>
              </w:rPr>
              <w:sym w:font="Wingdings 2" w:char="0052"/>
            </w:r>
            <w:r>
              <w:rPr>
                <w:rFonts w:hint="eastAsia"/>
                <w:sz w:val="21"/>
                <w:szCs w:val="21"/>
              </w:rPr>
              <w:t>供应商或供应商代表检查</w:t>
            </w:r>
          </w:p>
          <w:p>
            <w:pPr>
              <w:rPr>
                <w:szCs w:val="21"/>
              </w:rPr>
            </w:pPr>
            <w:r>
              <w:rPr>
                <w:rFonts w:hint="eastAsia"/>
              </w:rPr>
              <w:t>□</w:t>
            </w:r>
            <w:r>
              <w:rPr>
                <w:rFonts w:hint="eastAsia"/>
                <w:szCs w:val="21"/>
              </w:rPr>
              <w:t>采购人委托的公证机构检查</w:t>
            </w:r>
          </w:p>
        </w:tc>
      </w:tr>
      <w:tr>
        <w:tblPrEx>
          <w:tblCellMar>
            <w:top w:w="0" w:type="dxa"/>
            <w:left w:w="108" w:type="dxa"/>
            <w:bottom w:w="0" w:type="dxa"/>
            <w:right w:w="108" w:type="dxa"/>
          </w:tblCellMar>
        </w:tblPrEx>
        <w:trPr>
          <w:trHeight w:val="1467"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6.1.1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磋商小组的组建</w:t>
            </w:r>
          </w:p>
        </w:tc>
        <w:tc>
          <w:tcPr>
            <w:tcW w:w="592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CIDFont+F1" w:hAnsi="CIDFont+F1" w:eastAsia="CIDFont+F1"/>
              </w:rPr>
            </w:pPr>
            <w:r>
              <w:rPr>
                <w:rFonts w:hint="eastAsia" w:ascii="CIDFont+F1" w:hAnsi="CIDFont+F1" w:eastAsia="CIDFont+F1"/>
              </w:rPr>
              <w:t>依据《中华人民共和国政府采购法》和《政府采购竞争性磋商采购方式管理暂行办法》的规定，依法组建磋商小组。磋商小组由湖北省政府采购专家库系统随机抽取经济、技术类共3人以上单数组成。</w:t>
            </w:r>
          </w:p>
        </w:tc>
      </w:tr>
      <w:tr>
        <w:tblPrEx>
          <w:tblCellMar>
            <w:top w:w="0" w:type="dxa"/>
            <w:left w:w="108" w:type="dxa"/>
            <w:bottom w:w="0" w:type="dxa"/>
            <w:right w:w="108" w:type="dxa"/>
          </w:tblCellMar>
        </w:tblPrEx>
        <w:trPr>
          <w:trHeight w:val="84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推荐成交候选人</w:t>
            </w:r>
          </w:p>
        </w:tc>
        <w:tc>
          <w:tcPr>
            <w:tcW w:w="592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CIDFont+F1" w:hAnsi="CIDFont+F1" w:eastAsia="CIDFont+F1"/>
              </w:rPr>
            </w:pPr>
            <w:r>
              <w:rPr>
                <w:rFonts w:hint="eastAsia" w:ascii="CIDFont+F1" w:hAnsi="CIDFont+F1" w:eastAsia="CIDFont+F1"/>
              </w:rPr>
              <w:t>成交候选人数量3家</w:t>
            </w:r>
          </w:p>
        </w:tc>
      </w:tr>
      <w:tr>
        <w:tblPrEx>
          <w:tblCellMar>
            <w:top w:w="0" w:type="dxa"/>
            <w:left w:w="108" w:type="dxa"/>
            <w:bottom w:w="0" w:type="dxa"/>
            <w:right w:w="108" w:type="dxa"/>
          </w:tblCellMar>
        </w:tblPrEx>
        <w:trPr>
          <w:trHeight w:val="841"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7.2</w:t>
            </w:r>
          </w:p>
        </w:tc>
        <w:tc>
          <w:tcPr>
            <w:tcW w:w="24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CIDFont+F1" w:hAnsi="CIDFont+F1" w:eastAsia="CIDFont+F1"/>
              </w:rPr>
              <w:t>成交结果公告</w:t>
            </w:r>
          </w:p>
        </w:tc>
        <w:tc>
          <w:tcPr>
            <w:tcW w:w="592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highlight w:val="none"/>
              </w:rPr>
            </w:pPr>
            <w:r>
              <w:rPr>
                <w:rFonts w:hint="eastAsia" w:ascii="宋体" w:hAnsi="宋体"/>
                <w:highlight w:val="none"/>
              </w:rPr>
              <w:t>湖北省政府采购网、“黄石公共资源交易信息网”及“阳新县人民政府网”。</w:t>
            </w:r>
          </w:p>
          <w:p>
            <w:pPr>
              <w:spacing w:line="300" w:lineRule="exact"/>
              <w:rPr>
                <w:rFonts w:ascii="宋体" w:hAnsi="宋体" w:eastAsia="CIDFont+F1"/>
              </w:rPr>
            </w:pPr>
            <w:r>
              <w:rPr>
                <w:rFonts w:hint="eastAsia" w:ascii="CIDFont+F1" w:hAnsi="CIDFont+F1" w:eastAsia="CIDFont+F1"/>
              </w:rPr>
              <w:t>公告期限： 1 个工作日</w:t>
            </w:r>
          </w:p>
        </w:tc>
      </w:tr>
      <w:tr>
        <w:tblPrEx>
          <w:tblCellMar>
            <w:top w:w="0" w:type="dxa"/>
            <w:left w:w="108" w:type="dxa"/>
            <w:bottom w:w="0" w:type="dxa"/>
            <w:right w:w="108" w:type="dxa"/>
          </w:tblCellMar>
        </w:tblPrEx>
        <w:trPr>
          <w:trHeight w:val="549"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10.1</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黑体" w:hAnsi="黑体"/>
                <w:szCs w:val="24"/>
              </w:rPr>
              <w:t>多项目包磋商</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rPr>
              <w:t>无</w:t>
            </w:r>
          </w:p>
        </w:tc>
      </w:tr>
      <w:tr>
        <w:tblPrEx>
          <w:tblCellMar>
            <w:top w:w="0" w:type="dxa"/>
            <w:left w:w="108" w:type="dxa"/>
            <w:bottom w:w="0" w:type="dxa"/>
            <w:right w:w="108" w:type="dxa"/>
          </w:tblCellMar>
        </w:tblPrEx>
        <w:trPr>
          <w:trHeight w:val="549"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10.2</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知识产权</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rPr>
              <w:t>构成本磋商文件各个组成部分的文件，未经采购人书面同意，供应商不得擅自复印和用于非本磋商项目所需的其他目的。采购人全部或者部分使用未成交供应商响应文件中的技术成果或技术方案时，需征得其书面同意，并不得擅自复印或提供给第三人。</w:t>
            </w:r>
          </w:p>
        </w:tc>
      </w:tr>
      <w:tr>
        <w:tblPrEx>
          <w:tblCellMar>
            <w:top w:w="0" w:type="dxa"/>
            <w:left w:w="108" w:type="dxa"/>
            <w:bottom w:w="0" w:type="dxa"/>
            <w:right w:w="108" w:type="dxa"/>
          </w:tblCellMar>
        </w:tblPrEx>
        <w:trPr>
          <w:trHeight w:val="549"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10.3</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同义词语</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rPr>
              <w:t>构成磋商文件组成部分的“通用合同条款”、“专用合同条款”、“采购需求”等章节中出现的措辞“发包人”和“承包人”、“采购人”和“供应商”，在磋商阶段应当分别按“采购人”和“供应商”进行理解。</w:t>
            </w:r>
          </w:p>
        </w:tc>
      </w:tr>
      <w:tr>
        <w:tblPrEx>
          <w:tblCellMar>
            <w:top w:w="0" w:type="dxa"/>
            <w:left w:w="108" w:type="dxa"/>
            <w:bottom w:w="0" w:type="dxa"/>
            <w:right w:w="108" w:type="dxa"/>
          </w:tblCellMar>
        </w:tblPrEx>
        <w:trPr>
          <w:trHeight w:val="549"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t>10.4</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解释权</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磋商阶段的规定，按磋商公告（磋商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或代理机构负责解释。</w:t>
            </w:r>
          </w:p>
        </w:tc>
      </w:tr>
      <w:tr>
        <w:tblPrEx>
          <w:tblCellMar>
            <w:top w:w="0" w:type="dxa"/>
            <w:left w:w="108" w:type="dxa"/>
            <w:bottom w:w="0" w:type="dxa"/>
            <w:right w:w="108" w:type="dxa"/>
          </w:tblCellMar>
        </w:tblPrEx>
        <w:trPr>
          <w:trHeight w:val="549"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rPr>
                <w:rFonts w:ascii="黑体" w:hAnsi="黑体"/>
                <w:szCs w:val="24"/>
              </w:rPr>
              <w:t>10.5</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黑体" w:hAnsi="黑体"/>
                <w:szCs w:val="24"/>
              </w:rPr>
              <w:t>采购人补充的其他内容</w:t>
            </w:r>
          </w:p>
        </w:tc>
        <w:tc>
          <w:tcPr>
            <w:tcW w:w="5926" w:type="dxa"/>
            <w:tcBorders>
              <w:top w:val="single" w:color="auto" w:sz="4" w:space="0"/>
              <w:left w:val="single" w:color="auto" w:sz="4" w:space="0"/>
              <w:bottom w:val="single" w:color="auto" w:sz="4" w:space="0"/>
              <w:right w:val="single" w:color="auto" w:sz="4" w:space="0"/>
            </w:tcBorders>
            <w:vAlign w:val="center"/>
          </w:tcPr>
          <w:p>
            <w:r>
              <w:rPr>
                <w:rFonts w:hint="eastAsia"/>
              </w:rPr>
              <w:t>无</w:t>
            </w:r>
          </w:p>
        </w:tc>
      </w:tr>
      <w:tr>
        <w:tblPrEx>
          <w:tblCellMar>
            <w:top w:w="0" w:type="dxa"/>
            <w:left w:w="108" w:type="dxa"/>
            <w:bottom w:w="0" w:type="dxa"/>
            <w:right w:w="108" w:type="dxa"/>
          </w:tblCellMar>
        </w:tblPrEx>
        <w:trPr>
          <w:trHeight w:val="549" w:hRule="atLeast"/>
          <w:jc w:val="center"/>
        </w:trPr>
        <w:tc>
          <w:tcPr>
            <w:tcW w:w="3531"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ascii="CIDFont+F1" w:hAnsi="CIDFont+F1" w:eastAsia="CIDFont+F1"/>
                <w:bCs/>
              </w:rPr>
              <w:t>采购代理服务费收取方式和标准</w:t>
            </w:r>
          </w:p>
        </w:tc>
        <w:tc>
          <w:tcPr>
            <w:tcW w:w="5926" w:type="dxa"/>
            <w:tcBorders>
              <w:top w:val="single" w:color="auto" w:sz="4" w:space="0"/>
              <w:left w:val="single" w:color="auto" w:sz="4" w:space="0"/>
              <w:bottom w:val="single" w:color="auto" w:sz="4" w:space="0"/>
              <w:right w:val="single" w:color="auto" w:sz="4" w:space="0"/>
            </w:tcBorders>
            <w:vAlign w:val="center"/>
          </w:tcPr>
          <w:p>
            <w:pPr>
              <w:rPr>
                <w:rFonts w:ascii="宋体" w:hAnsi="宋体" w:cs="MingLiU"/>
                <w:bCs/>
                <w:spacing w:val="1"/>
                <w:kern w:val="0"/>
                <w:szCs w:val="21"/>
                <w:lang w:val="zh-CN"/>
              </w:rPr>
            </w:pPr>
            <w:r>
              <w:rPr>
                <w:rFonts w:hint="eastAsia" w:ascii="宋体" w:hAnsi="宋体" w:cs="MingLiU"/>
                <w:bCs/>
                <w:spacing w:val="1"/>
                <w:kern w:val="0"/>
                <w:szCs w:val="21"/>
                <w:lang w:val="zh-CN"/>
              </w:rPr>
              <w:t>根据采购人和采购代理机构签署的委托代理协议书约定：</w:t>
            </w:r>
          </w:p>
          <w:p>
            <w:pPr>
              <w:rPr>
                <w:rFonts w:ascii="宋体" w:hAnsi="宋体" w:cs="MingLiU"/>
                <w:bCs/>
                <w:spacing w:val="1"/>
                <w:kern w:val="0"/>
                <w:szCs w:val="21"/>
                <w:lang w:val="zh-CN"/>
              </w:rPr>
            </w:pPr>
            <w:r>
              <w:rPr>
                <w:rFonts w:hint="eastAsia" w:ascii="宋体" w:hAnsi="宋体" w:cs="MingLiU"/>
                <w:bCs/>
                <w:spacing w:val="1"/>
                <w:kern w:val="0"/>
                <w:szCs w:val="21"/>
                <w:lang w:val="zh-CN"/>
              </w:rPr>
              <w:t>1、采购代理服务费：</w:t>
            </w:r>
            <w:r>
              <w:rPr>
                <w:rFonts w:hint="eastAsia" w:ascii="宋体" w:hAnsi="宋体" w:cs="MingLiU"/>
                <w:bCs/>
                <w:spacing w:val="1"/>
                <w:kern w:val="0"/>
                <w:szCs w:val="21"/>
              </w:rPr>
              <w:t>本项目成交供应商在领取成交通知书的同时，由成交供应商参照国家计委计价格[2002]1980号和发改办价格[2003]857号文件的规定标准支付</w:t>
            </w:r>
            <w:r>
              <w:rPr>
                <w:rFonts w:hint="eastAsia" w:ascii="宋体" w:hAnsi="宋体" w:cs="MingLiU"/>
                <w:bCs/>
                <w:spacing w:val="1"/>
                <w:kern w:val="0"/>
                <w:szCs w:val="21"/>
                <w:lang w:val="zh-CN"/>
              </w:rPr>
              <w:t>。</w:t>
            </w:r>
          </w:p>
          <w:p>
            <w:pPr>
              <w:rPr>
                <w:rFonts w:ascii="宋体" w:hAnsi="宋体" w:cs="MingLiU"/>
                <w:bCs/>
                <w:spacing w:val="1"/>
                <w:kern w:val="0"/>
                <w:szCs w:val="21"/>
                <w:lang w:val="zh-CN"/>
              </w:rPr>
            </w:pPr>
            <w:r>
              <w:rPr>
                <w:rFonts w:hint="eastAsia" w:ascii="宋体" w:hAnsi="宋体" w:cs="MingLiU"/>
                <w:bCs/>
                <w:spacing w:val="1"/>
                <w:kern w:val="0"/>
                <w:szCs w:val="21"/>
              </w:rPr>
              <w:t>2</w:t>
            </w:r>
            <w:r>
              <w:rPr>
                <w:rFonts w:hint="eastAsia" w:ascii="宋体" w:hAnsi="宋体" w:cs="MingLiU"/>
                <w:bCs/>
                <w:spacing w:val="1"/>
                <w:kern w:val="0"/>
                <w:szCs w:val="21"/>
                <w:lang w:val="zh-CN"/>
              </w:rPr>
              <w:t>、支付时间：采购代理服务费由成交供应商在领取成交通知书的同时，向代理机构支付。</w:t>
            </w:r>
          </w:p>
          <w:p>
            <w:pPr>
              <w:rPr>
                <w:bCs/>
              </w:rPr>
            </w:pPr>
            <w:r>
              <w:rPr>
                <w:rFonts w:hint="eastAsia" w:ascii="宋体" w:hAnsi="宋体" w:cs="MingLiU"/>
                <w:bCs/>
                <w:spacing w:val="1"/>
                <w:kern w:val="0"/>
                <w:szCs w:val="21"/>
              </w:rPr>
              <w:t>3</w:t>
            </w:r>
            <w:r>
              <w:rPr>
                <w:rFonts w:hint="eastAsia" w:ascii="宋体" w:hAnsi="宋体" w:cs="MingLiU"/>
                <w:bCs/>
                <w:spacing w:val="1"/>
                <w:kern w:val="0"/>
                <w:szCs w:val="21"/>
                <w:lang w:val="zh-CN"/>
              </w:rPr>
              <w:t>、其他事项：成交供应商交纳采购代理服务费时需携带以下开票资料：1）开票单位名称、2）纳税人识别号（或统一社会信用代码）、3）营业执照或税务登记证地址、4）单位联系电话及联系人、5）开户行及账号</w:t>
            </w:r>
            <w:r>
              <w:rPr>
                <w:rFonts w:hint="eastAsia" w:ascii="宋体" w:hAnsi="宋体" w:cs="MingLiU"/>
                <w:bCs/>
                <w:spacing w:val="1"/>
                <w:kern w:val="0"/>
                <w:szCs w:val="21"/>
              </w:rPr>
              <w:t>。</w:t>
            </w:r>
          </w:p>
        </w:tc>
      </w:tr>
    </w:tbl>
    <w:p>
      <w:bookmarkStart w:id="80" w:name="_Toc450217465"/>
      <w:r>
        <w:rPr>
          <w:rFonts w:hint="eastAsia"/>
        </w:rPr>
        <w:br w:type="page"/>
      </w:r>
      <w:bookmarkStart w:id="81" w:name="_Toc25803"/>
      <w:r>
        <w:rPr>
          <w:rFonts w:hint="eastAsia"/>
        </w:rPr>
        <w:t>供应商须知正文部分</w:t>
      </w:r>
      <w:bookmarkEnd w:id="80"/>
      <w:bookmarkEnd w:id="81"/>
    </w:p>
    <w:p>
      <w:pPr>
        <w:pStyle w:val="46"/>
        <w:spacing w:beforeLines="50" w:afterLines="50"/>
        <w:jc w:val="center"/>
        <w:rPr>
          <w:rFonts w:ascii="黑体" w:hAnsi="黑体"/>
          <w:b/>
          <w:szCs w:val="28"/>
        </w:rPr>
      </w:pPr>
      <w:bookmarkStart w:id="82" w:name="_Toc450217466"/>
      <w:bookmarkStart w:id="83" w:name="_Toc7225"/>
      <w:bookmarkStart w:id="84" w:name="_Toc22215412"/>
      <w:bookmarkStart w:id="85" w:name="_Toc9570"/>
      <w:bookmarkStart w:id="86" w:name="_Toc15061"/>
      <w:bookmarkStart w:id="87" w:name="_Toc4843"/>
      <w:bookmarkStart w:id="88" w:name="_Toc16786"/>
      <w:r>
        <w:rPr>
          <w:rFonts w:ascii="黑体" w:hAnsi="黑体"/>
          <w:b/>
          <w:szCs w:val="28"/>
        </w:rPr>
        <w:t xml:space="preserve">1. </w:t>
      </w:r>
      <w:r>
        <w:rPr>
          <w:rFonts w:hint="eastAsia" w:ascii="黑体" w:hAnsi="黑体"/>
          <w:b/>
          <w:szCs w:val="28"/>
        </w:rPr>
        <w:t>总则</w:t>
      </w:r>
      <w:bookmarkEnd w:id="82"/>
      <w:bookmarkEnd w:id="83"/>
      <w:bookmarkEnd w:id="84"/>
      <w:bookmarkEnd w:id="85"/>
      <w:bookmarkEnd w:id="86"/>
      <w:bookmarkEnd w:id="87"/>
      <w:bookmarkEnd w:id="88"/>
    </w:p>
    <w:p>
      <w:pPr>
        <w:pStyle w:val="49"/>
        <w:outlineLvl w:val="9"/>
        <w:rPr>
          <w:rFonts w:ascii="黑体" w:hAnsi="黑体"/>
          <w:b/>
          <w:szCs w:val="24"/>
        </w:rPr>
      </w:pPr>
      <w:bookmarkStart w:id="89" w:name="_Toc179632547"/>
      <w:bookmarkStart w:id="90" w:name="_Toc18215"/>
      <w:bookmarkStart w:id="91" w:name="_Toc152045530"/>
      <w:bookmarkStart w:id="92" w:name="_Toc24455"/>
      <w:bookmarkStart w:id="93" w:name="_Toc3156"/>
      <w:bookmarkStart w:id="94" w:name="_Toc152042306"/>
      <w:bookmarkStart w:id="95" w:name="_Toc16374"/>
      <w:bookmarkStart w:id="96" w:name="_Toc22215413"/>
      <w:bookmarkStart w:id="97" w:name="_Toc450217467"/>
      <w:bookmarkStart w:id="98" w:name="_Toc144974498"/>
      <w:r>
        <w:rPr>
          <w:rFonts w:ascii="黑体" w:hAnsi="黑体"/>
          <w:b/>
          <w:szCs w:val="24"/>
        </w:rPr>
        <w:t xml:space="preserve">1.1 </w:t>
      </w:r>
      <w:r>
        <w:rPr>
          <w:rFonts w:hint="eastAsia" w:ascii="黑体" w:hAnsi="黑体"/>
          <w:b/>
          <w:szCs w:val="24"/>
        </w:rPr>
        <w:t>项目概况</w:t>
      </w:r>
      <w:bookmarkEnd w:id="89"/>
      <w:bookmarkEnd w:id="90"/>
      <w:bookmarkEnd w:id="91"/>
      <w:bookmarkEnd w:id="92"/>
      <w:bookmarkEnd w:id="93"/>
      <w:bookmarkEnd w:id="94"/>
      <w:bookmarkEnd w:id="95"/>
      <w:bookmarkEnd w:id="96"/>
      <w:bookmarkEnd w:id="97"/>
      <w:bookmarkEnd w:id="98"/>
    </w:p>
    <w:p>
      <w:pPr>
        <w:spacing w:line="400" w:lineRule="exact"/>
        <w:ind w:firstLine="420" w:firstLineChars="200"/>
        <w:rPr>
          <w:rFonts w:ascii="宋体" w:cs="宋体"/>
          <w:szCs w:val="21"/>
        </w:rPr>
      </w:pPr>
      <w:r>
        <w:rPr>
          <w:rFonts w:ascii="Times New Roman" w:hAnsi="Times New Roman"/>
          <w:szCs w:val="21"/>
        </w:rPr>
        <w:t>1.1.1</w:t>
      </w:r>
      <w:r>
        <w:rPr>
          <w:rFonts w:hint="eastAsia" w:ascii="宋体" w:hAnsi="宋体" w:cs="宋体"/>
          <w:szCs w:val="21"/>
        </w:rPr>
        <w:t>根据</w:t>
      </w:r>
      <w:r>
        <w:rPr>
          <w:rFonts w:hint="eastAsia" w:ascii="宋体" w:hAnsi="宋体" w:cs="Arial"/>
          <w:color w:val="000000"/>
          <w:szCs w:val="21"/>
        </w:rPr>
        <w:t>《中华人民共和国政府采购法》、</w:t>
      </w:r>
      <w:r>
        <w:rPr>
          <w:rFonts w:hint="eastAsia" w:ascii="宋体" w:hAnsi="宋体" w:cs="Arial"/>
          <w:szCs w:val="21"/>
        </w:rPr>
        <w:t>《中华人民共和国政府采购法实施条例》、</w:t>
      </w:r>
      <w:r>
        <w:rPr>
          <w:rFonts w:hint="eastAsia" w:ascii="宋体" w:hAnsi="宋体" w:cs="宋体"/>
          <w:color w:val="000000"/>
          <w:szCs w:val="21"/>
        </w:rPr>
        <w:t>《</w:t>
      </w:r>
      <w:r>
        <w:rPr>
          <w:rFonts w:hint="eastAsia" w:ascii="宋体" w:hAnsi="宋体" w:cs="宋体"/>
          <w:snapToGrid w:val="0"/>
          <w:kern w:val="0"/>
          <w:szCs w:val="21"/>
        </w:rPr>
        <w:t>政府采购竞争性磋商采购方式管理暂行办法</w:t>
      </w:r>
      <w:r>
        <w:rPr>
          <w:rFonts w:hint="eastAsia" w:ascii="宋体" w:hAnsi="宋体" w:cs="宋体"/>
          <w:color w:val="000000"/>
          <w:szCs w:val="21"/>
        </w:rPr>
        <w:t>》、</w:t>
      </w:r>
      <w:r>
        <w:rPr>
          <w:rFonts w:ascii="宋体" w:hAnsi="宋体"/>
          <w:color w:val="333333"/>
          <w:szCs w:val="21"/>
          <w:shd w:val="clear" w:color="auto" w:fill="FFFFFF"/>
        </w:rPr>
        <w:t>《政府采购非招标采购方式管理办法》</w:t>
      </w:r>
      <w:r>
        <w:rPr>
          <w:rFonts w:hint="eastAsia" w:ascii="宋体" w:hAnsi="宋体" w:cs="宋体"/>
          <w:szCs w:val="21"/>
        </w:rPr>
        <w:t>等有关法律、法规和规章的规定，本项目已具备磋商采购条件。</w:t>
      </w:r>
    </w:p>
    <w:p>
      <w:pPr>
        <w:spacing w:line="400" w:lineRule="exact"/>
        <w:ind w:firstLine="420" w:firstLineChars="200"/>
        <w:rPr>
          <w:rFonts w:ascii="Times New Roman" w:hAnsi="Times New Roman"/>
          <w:szCs w:val="21"/>
        </w:rPr>
      </w:pPr>
      <w:r>
        <w:rPr>
          <w:rFonts w:ascii="Times New Roman" w:hAnsi="Times New Roman"/>
          <w:szCs w:val="21"/>
        </w:rPr>
        <w:t xml:space="preserve">1.1.2 </w:t>
      </w:r>
      <w:r>
        <w:rPr>
          <w:rFonts w:hint="eastAsia" w:ascii="Times New Roman" w:hAnsi="Times New Roman"/>
          <w:szCs w:val="21"/>
        </w:rPr>
        <w:t>采购人：见供应商须知前附表。</w:t>
      </w:r>
    </w:p>
    <w:p>
      <w:pPr>
        <w:spacing w:line="400" w:lineRule="exact"/>
        <w:ind w:firstLine="420" w:firstLineChars="200"/>
        <w:rPr>
          <w:rFonts w:ascii="Times New Roman" w:hAnsi="Times New Roman"/>
          <w:szCs w:val="21"/>
        </w:rPr>
      </w:pPr>
      <w:r>
        <w:rPr>
          <w:rFonts w:ascii="Times New Roman" w:hAnsi="Times New Roman"/>
          <w:szCs w:val="21"/>
        </w:rPr>
        <w:t xml:space="preserve">1.1.3 </w:t>
      </w:r>
      <w:r>
        <w:rPr>
          <w:rFonts w:hint="eastAsia" w:ascii="Times New Roman" w:hAnsi="Times New Roman"/>
          <w:szCs w:val="21"/>
        </w:rPr>
        <w:t>采购代理机构：见供应商须知前附表。</w:t>
      </w:r>
    </w:p>
    <w:p>
      <w:pPr>
        <w:pStyle w:val="49"/>
        <w:outlineLvl w:val="9"/>
        <w:rPr>
          <w:rFonts w:ascii="黑体" w:hAnsi="黑体"/>
          <w:b/>
          <w:szCs w:val="24"/>
        </w:rPr>
      </w:pPr>
      <w:bookmarkStart w:id="99" w:name="_Toc144974499"/>
      <w:bookmarkStart w:id="100" w:name="_Toc6867"/>
      <w:bookmarkStart w:id="101" w:name="_Toc152042307"/>
      <w:bookmarkStart w:id="102" w:name="_Toc17160"/>
      <w:bookmarkStart w:id="103" w:name="_Toc25606"/>
      <w:bookmarkStart w:id="104" w:name="_Toc179632548"/>
      <w:bookmarkStart w:id="105" w:name="_Toc22215414"/>
      <w:bookmarkStart w:id="106" w:name="_Toc24318"/>
      <w:bookmarkStart w:id="107" w:name="_Toc450217468"/>
      <w:bookmarkStart w:id="108" w:name="_Toc152045531"/>
      <w:r>
        <w:rPr>
          <w:rFonts w:ascii="黑体" w:hAnsi="黑体"/>
          <w:b/>
          <w:szCs w:val="24"/>
        </w:rPr>
        <w:t xml:space="preserve">1.2 </w:t>
      </w:r>
      <w:r>
        <w:rPr>
          <w:rFonts w:hint="eastAsia" w:ascii="黑体" w:hAnsi="黑体"/>
          <w:b/>
          <w:szCs w:val="24"/>
        </w:rPr>
        <w:t>资金来源和落实情况</w:t>
      </w:r>
      <w:bookmarkEnd w:id="99"/>
      <w:bookmarkEnd w:id="100"/>
      <w:bookmarkEnd w:id="101"/>
      <w:bookmarkEnd w:id="102"/>
      <w:bookmarkEnd w:id="103"/>
      <w:bookmarkEnd w:id="104"/>
      <w:bookmarkEnd w:id="105"/>
      <w:bookmarkEnd w:id="106"/>
      <w:bookmarkEnd w:id="107"/>
      <w:bookmarkEnd w:id="108"/>
    </w:p>
    <w:p>
      <w:pPr>
        <w:spacing w:line="400" w:lineRule="exact"/>
        <w:ind w:firstLine="420" w:firstLineChars="200"/>
        <w:rPr>
          <w:rFonts w:ascii="Times New Roman" w:hAnsi="Times New Roman"/>
          <w:szCs w:val="21"/>
        </w:rPr>
      </w:pPr>
      <w:bookmarkStart w:id="109" w:name="_Toc152045532"/>
      <w:bookmarkStart w:id="110" w:name="_Toc450217469"/>
      <w:bookmarkStart w:id="111" w:name="_Toc152042308"/>
      <w:bookmarkStart w:id="112" w:name="_Toc144974500"/>
      <w:bookmarkStart w:id="113" w:name="_Toc179632549"/>
      <w:r>
        <w:rPr>
          <w:rFonts w:hint="eastAsia" w:ascii="Times New Roman" w:hAnsi="Times New Roman"/>
          <w:szCs w:val="21"/>
        </w:rPr>
        <w:t>1.2.1 本磋商项目的资金来源：见第一章磋商公告。</w:t>
      </w:r>
    </w:p>
    <w:p>
      <w:pPr>
        <w:spacing w:line="400" w:lineRule="exact"/>
        <w:ind w:firstLine="420" w:firstLineChars="200"/>
        <w:rPr>
          <w:rFonts w:ascii="Times New Roman" w:hAnsi="Times New Roman"/>
          <w:szCs w:val="21"/>
        </w:rPr>
      </w:pPr>
      <w:r>
        <w:rPr>
          <w:rFonts w:hint="eastAsia" w:ascii="Times New Roman" w:hAnsi="Times New Roman"/>
          <w:szCs w:val="21"/>
        </w:rPr>
        <w:t>1.2.2 本磋商项目的落实情况：见第一章磋商公告。</w:t>
      </w:r>
    </w:p>
    <w:p>
      <w:pPr>
        <w:pStyle w:val="49"/>
        <w:outlineLvl w:val="9"/>
        <w:rPr>
          <w:rFonts w:ascii="黑体" w:hAnsi="黑体"/>
          <w:b/>
          <w:szCs w:val="24"/>
        </w:rPr>
      </w:pPr>
      <w:bookmarkStart w:id="114" w:name="_Toc20438"/>
      <w:bookmarkStart w:id="115" w:name="_Toc8402"/>
      <w:bookmarkStart w:id="116" w:name="_Toc22215415"/>
      <w:bookmarkStart w:id="117" w:name="_Toc2958"/>
      <w:bookmarkStart w:id="118" w:name="_Toc32103"/>
      <w:r>
        <w:rPr>
          <w:rFonts w:ascii="黑体" w:hAnsi="黑体"/>
          <w:b/>
          <w:szCs w:val="24"/>
        </w:rPr>
        <w:t xml:space="preserve">1.3 </w:t>
      </w:r>
      <w:r>
        <w:rPr>
          <w:rFonts w:hint="eastAsia" w:ascii="黑体" w:hAnsi="黑体"/>
          <w:b/>
          <w:szCs w:val="24"/>
        </w:rPr>
        <w:t>磋商内容、工期、质量要求</w:t>
      </w:r>
      <w:bookmarkEnd w:id="109"/>
      <w:bookmarkEnd w:id="110"/>
      <w:bookmarkEnd w:id="111"/>
      <w:bookmarkEnd w:id="112"/>
      <w:bookmarkEnd w:id="113"/>
      <w:bookmarkEnd w:id="114"/>
      <w:bookmarkEnd w:id="115"/>
      <w:bookmarkEnd w:id="116"/>
      <w:bookmarkEnd w:id="117"/>
      <w:bookmarkEnd w:id="118"/>
    </w:p>
    <w:p>
      <w:pPr>
        <w:spacing w:line="400" w:lineRule="exact"/>
        <w:ind w:firstLine="420" w:firstLineChars="200"/>
        <w:rPr>
          <w:rFonts w:ascii="Times New Roman" w:hAnsi="Times New Roman"/>
          <w:szCs w:val="21"/>
        </w:rPr>
      </w:pPr>
      <w:r>
        <w:rPr>
          <w:rFonts w:ascii="Times New Roman" w:hAnsi="Times New Roman"/>
          <w:szCs w:val="21"/>
        </w:rPr>
        <w:t xml:space="preserve">1.3.1 </w:t>
      </w:r>
      <w:r>
        <w:rPr>
          <w:rFonts w:hint="eastAsia" w:ascii="Times New Roman" w:hAnsi="Times New Roman"/>
          <w:szCs w:val="21"/>
        </w:rPr>
        <w:t>磋商内容：见磋商文件第五章采购需求。</w:t>
      </w:r>
    </w:p>
    <w:p>
      <w:pPr>
        <w:spacing w:line="400" w:lineRule="exact"/>
        <w:ind w:firstLine="420" w:firstLineChars="200"/>
        <w:rPr>
          <w:rFonts w:ascii="Times New Roman" w:hAnsi="Times New Roman"/>
          <w:szCs w:val="21"/>
        </w:rPr>
      </w:pPr>
      <w:r>
        <w:rPr>
          <w:rFonts w:ascii="Times New Roman" w:hAnsi="Times New Roman"/>
          <w:szCs w:val="21"/>
        </w:rPr>
        <w:t xml:space="preserve">1.3.2 </w:t>
      </w:r>
      <w:r>
        <w:rPr>
          <w:rFonts w:hint="eastAsia" w:ascii="Times New Roman" w:hAnsi="Times New Roman"/>
          <w:szCs w:val="21"/>
        </w:rPr>
        <w:t>工期：具体起止日期在合同签订时约定。</w:t>
      </w:r>
    </w:p>
    <w:p>
      <w:pPr>
        <w:spacing w:line="400" w:lineRule="exact"/>
        <w:ind w:firstLine="420" w:firstLineChars="200"/>
        <w:rPr>
          <w:rFonts w:ascii="Times New Roman" w:hAnsi="Times New Roman"/>
          <w:szCs w:val="21"/>
        </w:rPr>
      </w:pPr>
      <w:r>
        <w:rPr>
          <w:rFonts w:ascii="Times New Roman" w:hAnsi="Times New Roman"/>
          <w:szCs w:val="21"/>
        </w:rPr>
        <w:t xml:space="preserve">1.3.3 </w:t>
      </w:r>
      <w:r>
        <w:rPr>
          <w:rFonts w:hint="eastAsia" w:ascii="Times New Roman" w:hAnsi="Times New Roman"/>
          <w:szCs w:val="21"/>
        </w:rPr>
        <w:t>质量要求：见磋商文件第五章采购需求。</w:t>
      </w:r>
    </w:p>
    <w:p>
      <w:pPr>
        <w:pStyle w:val="49"/>
        <w:outlineLvl w:val="9"/>
        <w:rPr>
          <w:rFonts w:ascii="黑体" w:hAnsi="黑体"/>
          <w:b/>
          <w:szCs w:val="24"/>
        </w:rPr>
      </w:pPr>
      <w:bookmarkStart w:id="119" w:name="_Toc25975"/>
      <w:bookmarkStart w:id="120" w:name="_Toc450217470"/>
      <w:bookmarkStart w:id="121" w:name="_Toc27416"/>
      <w:bookmarkStart w:id="122" w:name="_Toc152045534"/>
      <w:bookmarkStart w:id="123" w:name="_Toc152042310"/>
      <w:bookmarkStart w:id="124" w:name="_Toc22215416"/>
      <w:bookmarkStart w:id="125" w:name="_Toc9651"/>
      <w:bookmarkStart w:id="126" w:name="_Toc179632551"/>
      <w:bookmarkStart w:id="127" w:name="_Toc1231"/>
      <w:bookmarkStart w:id="128" w:name="_Toc144974502"/>
      <w:r>
        <w:rPr>
          <w:rFonts w:ascii="黑体" w:hAnsi="黑体"/>
          <w:b/>
          <w:szCs w:val="24"/>
        </w:rPr>
        <w:t xml:space="preserve">1.4 </w:t>
      </w:r>
      <w:r>
        <w:rPr>
          <w:rFonts w:hint="eastAsia" w:ascii="黑体" w:hAnsi="黑体"/>
          <w:b/>
          <w:szCs w:val="24"/>
        </w:rPr>
        <w:t>供应商资格要求</w:t>
      </w:r>
      <w:bookmarkEnd w:id="119"/>
      <w:bookmarkEnd w:id="120"/>
      <w:bookmarkEnd w:id="121"/>
      <w:bookmarkEnd w:id="122"/>
      <w:bookmarkEnd w:id="123"/>
      <w:bookmarkEnd w:id="124"/>
      <w:bookmarkEnd w:id="125"/>
      <w:bookmarkEnd w:id="126"/>
      <w:bookmarkEnd w:id="127"/>
      <w:bookmarkEnd w:id="128"/>
    </w:p>
    <w:p>
      <w:pPr>
        <w:spacing w:line="400" w:lineRule="exact"/>
        <w:ind w:firstLine="420" w:firstLineChars="200"/>
        <w:rPr>
          <w:rFonts w:ascii="Times New Roman" w:hAnsi="Times New Roman"/>
          <w:szCs w:val="21"/>
        </w:rPr>
      </w:pPr>
      <w:r>
        <w:rPr>
          <w:rFonts w:ascii="Times New Roman" w:hAnsi="Times New Roman"/>
          <w:szCs w:val="21"/>
        </w:rPr>
        <w:t>1.4.1</w:t>
      </w:r>
      <w:r>
        <w:rPr>
          <w:rFonts w:hint="eastAsia" w:ascii="Times New Roman" w:hAnsi="Times New Roman"/>
          <w:szCs w:val="21"/>
        </w:rPr>
        <w:t>供应商应具备承担本次磋商工程施工的能力，并满足以下资格条件：详见第一章磋商公告。</w:t>
      </w:r>
    </w:p>
    <w:p>
      <w:pPr>
        <w:spacing w:line="400" w:lineRule="exact"/>
        <w:ind w:firstLine="420" w:firstLineChars="200"/>
        <w:rPr>
          <w:rFonts w:ascii="Times New Roman" w:hAnsi="Times New Roman"/>
          <w:szCs w:val="21"/>
        </w:rPr>
      </w:pPr>
      <w:r>
        <w:rPr>
          <w:rFonts w:ascii="Times New Roman" w:hAnsi="Times New Roman"/>
          <w:szCs w:val="21"/>
        </w:rPr>
        <w:t xml:space="preserve">1.4.2 </w:t>
      </w:r>
      <w:r>
        <w:rPr>
          <w:rFonts w:hint="eastAsia" w:ascii="Times New Roman" w:hAnsi="Times New Roman"/>
          <w:szCs w:val="21"/>
        </w:rPr>
        <w:t>供应商须知前附表规定接受联合体磋商的，除应符合本章第</w:t>
      </w:r>
      <w:r>
        <w:rPr>
          <w:rFonts w:ascii="Times New Roman" w:hAnsi="Times New Roman"/>
          <w:szCs w:val="21"/>
        </w:rPr>
        <w:t>1.4.1</w:t>
      </w:r>
      <w:r>
        <w:rPr>
          <w:rFonts w:hint="eastAsia" w:ascii="Times New Roman" w:hAnsi="Times New Roman"/>
          <w:szCs w:val="21"/>
        </w:rPr>
        <w:t>项和供应商须知前附表的要求外，还应遵守以下规定：</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）联合体各方应按磋商文件提供的格式签订联合体协议书，明确联合体牵头人和各方权利义务；</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）联合体中有同类资质的供应商按照联合体分工承担相同工作的，应当按照资质等级较低的供应商确定资质等级。</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）联合体各方不得再以自己名义单独或加入其他联合体在同一项目包中磋商。</w:t>
      </w:r>
    </w:p>
    <w:p>
      <w:pPr>
        <w:spacing w:line="400" w:lineRule="exact"/>
        <w:ind w:firstLine="420" w:firstLineChars="200"/>
        <w:rPr>
          <w:rFonts w:ascii="Times New Roman" w:hAnsi="Times New Roman"/>
          <w:szCs w:val="21"/>
        </w:rPr>
      </w:pPr>
      <w:r>
        <w:rPr>
          <w:rFonts w:ascii="Times New Roman" w:hAnsi="Times New Roman"/>
          <w:szCs w:val="21"/>
        </w:rPr>
        <w:t xml:space="preserve">1.4.3 </w:t>
      </w:r>
      <w:r>
        <w:rPr>
          <w:rFonts w:hint="eastAsia" w:ascii="Times New Roman" w:hAnsi="Times New Roman"/>
          <w:szCs w:val="21"/>
        </w:rPr>
        <w:t>供应商不得存在下列情形之一：</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）不具有独立法人资格的附属机构（单位）；</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）被责令停业的；</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）被暂扣或吊销许可证的；</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）被暂停或取消磋商资格的；</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）财产被接管或冻结的；</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）存在财政部门认定的其他重大违法记录。（系指供应商在中国政府采购网“政府</w:t>
      </w:r>
    </w:p>
    <w:p>
      <w:pPr>
        <w:spacing w:line="400" w:lineRule="exact"/>
        <w:ind w:firstLine="420" w:firstLineChars="200"/>
        <w:rPr>
          <w:rFonts w:ascii="Times New Roman" w:hAnsi="Times New Roman"/>
          <w:szCs w:val="21"/>
        </w:rPr>
      </w:pPr>
      <w:r>
        <w:rPr>
          <w:rFonts w:hint="eastAsia" w:ascii="Times New Roman" w:hAnsi="Times New Roman"/>
          <w:szCs w:val="21"/>
        </w:rPr>
        <w:t xml:space="preserve">     采购严重违法失信行为信息记录”系统中存在“禁止参加政府采购活动”记录的）</w:t>
      </w:r>
    </w:p>
    <w:p>
      <w:pPr>
        <w:spacing w:line="400" w:lineRule="exact"/>
        <w:ind w:firstLine="420" w:firstLineChars="200"/>
        <w:rPr>
          <w:rFonts w:ascii="Times New Roman" w:hAnsi="Times New Roman"/>
          <w:szCs w:val="21"/>
        </w:rPr>
      </w:pPr>
      <w:r>
        <w:rPr>
          <w:rFonts w:ascii="Times New Roman" w:hAnsi="Times New Roman"/>
          <w:szCs w:val="21"/>
        </w:rPr>
        <w:t xml:space="preserve">1.4.4 </w:t>
      </w:r>
      <w:r>
        <w:rPr>
          <w:rFonts w:hint="eastAsia" w:ascii="Times New Roman" w:hAnsi="Times New Roman"/>
          <w:szCs w:val="21"/>
        </w:rPr>
        <w:t>供应商存在下列情形之一的，相关磋商均无效：</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）与采购人存在利害关系影响磋商公正性的；</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）单位负责人为同一人或者存在控股、管理关系的不同单位，参加同一项目包磋商的，共同组成联合体磋商的除外。</w:t>
      </w:r>
    </w:p>
    <w:p>
      <w:pPr>
        <w:pStyle w:val="49"/>
        <w:outlineLvl w:val="9"/>
        <w:rPr>
          <w:rFonts w:ascii="黑体" w:hAnsi="黑体"/>
          <w:b/>
          <w:szCs w:val="24"/>
        </w:rPr>
      </w:pPr>
      <w:bookmarkStart w:id="129" w:name="_Toc22215417"/>
      <w:bookmarkStart w:id="130" w:name="_Toc21609"/>
      <w:bookmarkStart w:id="131" w:name="_Toc144974503"/>
      <w:bookmarkStart w:id="132" w:name="_Toc4697"/>
      <w:bookmarkStart w:id="133" w:name="_Toc179632552"/>
      <w:bookmarkStart w:id="134" w:name="_Toc152045535"/>
      <w:bookmarkStart w:id="135" w:name="_Toc152042311"/>
      <w:bookmarkStart w:id="136" w:name="_Toc22072"/>
      <w:bookmarkStart w:id="137" w:name="_Toc32174"/>
      <w:bookmarkStart w:id="138" w:name="_Toc450217471"/>
      <w:r>
        <w:rPr>
          <w:rFonts w:ascii="黑体" w:hAnsi="黑体"/>
          <w:b/>
          <w:szCs w:val="24"/>
        </w:rPr>
        <w:t xml:space="preserve">1.5 </w:t>
      </w:r>
      <w:r>
        <w:rPr>
          <w:rFonts w:hint="eastAsia" w:ascii="黑体" w:hAnsi="黑体"/>
          <w:b/>
          <w:szCs w:val="24"/>
        </w:rPr>
        <w:t>费用承担</w:t>
      </w:r>
      <w:bookmarkEnd w:id="129"/>
      <w:bookmarkEnd w:id="130"/>
      <w:bookmarkEnd w:id="131"/>
      <w:bookmarkEnd w:id="132"/>
      <w:bookmarkEnd w:id="133"/>
      <w:bookmarkEnd w:id="134"/>
      <w:bookmarkEnd w:id="135"/>
      <w:bookmarkEnd w:id="136"/>
      <w:bookmarkEnd w:id="137"/>
      <w:bookmarkEnd w:id="138"/>
    </w:p>
    <w:p>
      <w:pPr>
        <w:spacing w:line="400" w:lineRule="exact"/>
        <w:ind w:firstLine="420" w:firstLineChars="200"/>
        <w:rPr>
          <w:rFonts w:ascii="宋体" w:cs="宋体"/>
          <w:szCs w:val="21"/>
        </w:rPr>
      </w:pPr>
      <w:r>
        <w:rPr>
          <w:rFonts w:hint="eastAsia" w:ascii="宋体" w:hAnsi="宋体" w:cs="宋体"/>
          <w:szCs w:val="21"/>
        </w:rPr>
        <w:t>供应商准备和参加磋商期间活动发生的费用自理。</w:t>
      </w:r>
    </w:p>
    <w:p>
      <w:pPr>
        <w:pStyle w:val="49"/>
        <w:outlineLvl w:val="9"/>
        <w:rPr>
          <w:rFonts w:ascii="黑体" w:hAnsi="黑体"/>
          <w:b/>
          <w:szCs w:val="24"/>
        </w:rPr>
      </w:pPr>
      <w:bookmarkStart w:id="139" w:name="_Toc450217472"/>
      <w:bookmarkStart w:id="140" w:name="_Toc152045536"/>
      <w:bookmarkStart w:id="141" w:name="_Toc152042312"/>
      <w:bookmarkStart w:id="142" w:name="_Toc3550"/>
      <w:bookmarkStart w:id="143" w:name="_Toc23244"/>
      <w:bookmarkStart w:id="144" w:name="_Toc31461"/>
      <w:bookmarkStart w:id="145" w:name="_Toc22215418"/>
      <w:bookmarkStart w:id="146" w:name="_Toc144974504"/>
      <w:bookmarkStart w:id="147" w:name="_Toc5999"/>
      <w:bookmarkStart w:id="148" w:name="_Toc179632553"/>
      <w:r>
        <w:rPr>
          <w:rFonts w:ascii="黑体" w:hAnsi="黑体"/>
          <w:b/>
          <w:szCs w:val="24"/>
        </w:rPr>
        <w:t xml:space="preserve">1.6 </w:t>
      </w:r>
      <w:r>
        <w:rPr>
          <w:rFonts w:hint="eastAsia" w:ascii="黑体" w:hAnsi="黑体"/>
          <w:b/>
          <w:szCs w:val="24"/>
        </w:rPr>
        <w:t>保密</w:t>
      </w:r>
      <w:bookmarkEnd w:id="139"/>
      <w:bookmarkEnd w:id="140"/>
      <w:bookmarkEnd w:id="141"/>
      <w:bookmarkEnd w:id="142"/>
      <w:bookmarkEnd w:id="143"/>
      <w:bookmarkEnd w:id="144"/>
      <w:bookmarkEnd w:id="145"/>
      <w:bookmarkEnd w:id="146"/>
      <w:bookmarkEnd w:id="147"/>
      <w:bookmarkEnd w:id="148"/>
    </w:p>
    <w:p>
      <w:pPr>
        <w:spacing w:line="400" w:lineRule="exact"/>
        <w:ind w:firstLine="420" w:firstLineChars="200"/>
        <w:rPr>
          <w:rFonts w:ascii="宋体" w:cs="宋体"/>
          <w:szCs w:val="21"/>
        </w:rPr>
      </w:pPr>
      <w:r>
        <w:rPr>
          <w:rFonts w:hint="eastAsia" w:ascii="宋体" w:hAnsi="宋体" w:cs="宋体"/>
          <w:szCs w:val="21"/>
        </w:rPr>
        <w:t>参与磋商活动的各方应对磋商文件和响应文件中的商业和技术等秘密保密，违者应对由此造成的后果承担法律责任。</w:t>
      </w:r>
    </w:p>
    <w:p>
      <w:pPr>
        <w:pStyle w:val="49"/>
        <w:outlineLvl w:val="9"/>
        <w:rPr>
          <w:rFonts w:ascii="黑体" w:hAnsi="黑体"/>
          <w:b/>
          <w:szCs w:val="24"/>
        </w:rPr>
      </w:pPr>
      <w:bookmarkStart w:id="149" w:name="_Toc144974505"/>
      <w:bookmarkStart w:id="150" w:name="_Toc22215419"/>
      <w:bookmarkStart w:id="151" w:name="_Toc26191"/>
      <w:bookmarkStart w:id="152" w:name="_Toc179632554"/>
      <w:bookmarkStart w:id="153" w:name="_Toc12394"/>
      <w:bookmarkStart w:id="154" w:name="_Toc4520"/>
      <w:bookmarkStart w:id="155" w:name="_Toc152042313"/>
      <w:bookmarkStart w:id="156" w:name="_Toc13130"/>
      <w:bookmarkStart w:id="157" w:name="_Toc450217473"/>
      <w:bookmarkStart w:id="158" w:name="_Toc152045537"/>
      <w:r>
        <w:rPr>
          <w:rFonts w:ascii="黑体" w:hAnsi="黑体"/>
          <w:b/>
          <w:szCs w:val="24"/>
        </w:rPr>
        <w:t xml:space="preserve">1.7 </w:t>
      </w:r>
      <w:r>
        <w:rPr>
          <w:rFonts w:hint="eastAsia" w:ascii="黑体" w:hAnsi="黑体"/>
          <w:b/>
          <w:szCs w:val="24"/>
        </w:rPr>
        <w:t>语言</w:t>
      </w:r>
      <w:bookmarkEnd w:id="149"/>
      <w:r>
        <w:rPr>
          <w:rFonts w:hint="eastAsia" w:ascii="黑体" w:hAnsi="黑体"/>
          <w:b/>
          <w:szCs w:val="24"/>
        </w:rPr>
        <w:t>文字</w:t>
      </w:r>
      <w:bookmarkEnd w:id="150"/>
      <w:bookmarkEnd w:id="151"/>
      <w:bookmarkEnd w:id="152"/>
      <w:bookmarkEnd w:id="153"/>
      <w:bookmarkEnd w:id="154"/>
      <w:bookmarkEnd w:id="155"/>
      <w:bookmarkEnd w:id="156"/>
      <w:bookmarkEnd w:id="157"/>
      <w:bookmarkEnd w:id="158"/>
    </w:p>
    <w:p>
      <w:pPr>
        <w:spacing w:line="400" w:lineRule="exact"/>
        <w:ind w:firstLine="420" w:firstLineChars="200"/>
        <w:rPr>
          <w:rFonts w:ascii="宋体" w:cs="宋体"/>
          <w:szCs w:val="21"/>
        </w:rPr>
      </w:pPr>
      <w:r>
        <w:rPr>
          <w:rFonts w:hint="eastAsia" w:ascii="宋体" w:hAnsi="宋体" w:cs="宋体"/>
          <w:szCs w:val="21"/>
        </w:rPr>
        <w:t>除专用术语外，与本次磋商有关的语言均使用中文。必要时专用术语应附有中文注释。</w:t>
      </w:r>
    </w:p>
    <w:p>
      <w:pPr>
        <w:pStyle w:val="49"/>
        <w:outlineLvl w:val="9"/>
        <w:rPr>
          <w:rFonts w:ascii="黑体" w:hAnsi="黑体"/>
          <w:b/>
          <w:szCs w:val="24"/>
        </w:rPr>
      </w:pPr>
      <w:bookmarkStart w:id="159" w:name="_Toc179632555"/>
      <w:bookmarkStart w:id="160" w:name="_Toc7164"/>
      <w:bookmarkStart w:id="161" w:name="_Toc22215420"/>
      <w:bookmarkStart w:id="162" w:name="_Toc152045538"/>
      <w:bookmarkStart w:id="163" w:name="_Toc31617"/>
      <w:bookmarkStart w:id="164" w:name="_Toc5545"/>
      <w:bookmarkStart w:id="165" w:name="_Toc144974506"/>
      <w:bookmarkStart w:id="166" w:name="_Toc152042314"/>
      <w:bookmarkStart w:id="167" w:name="_Toc450217474"/>
      <w:bookmarkStart w:id="168" w:name="_Toc19062"/>
      <w:r>
        <w:rPr>
          <w:rFonts w:ascii="黑体" w:hAnsi="黑体"/>
          <w:b/>
          <w:szCs w:val="24"/>
        </w:rPr>
        <w:t xml:space="preserve">1.8 </w:t>
      </w:r>
      <w:r>
        <w:rPr>
          <w:rFonts w:hint="eastAsia" w:ascii="黑体" w:hAnsi="黑体"/>
          <w:b/>
          <w:szCs w:val="24"/>
        </w:rPr>
        <w:t>计量单位</w:t>
      </w:r>
      <w:bookmarkEnd w:id="159"/>
      <w:bookmarkEnd w:id="160"/>
      <w:bookmarkEnd w:id="161"/>
      <w:bookmarkEnd w:id="162"/>
      <w:bookmarkEnd w:id="163"/>
      <w:bookmarkEnd w:id="164"/>
      <w:bookmarkEnd w:id="165"/>
      <w:bookmarkEnd w:id="166"/>
      <w:bookmarkEnd w:id="167"/>
      <w:bookmarkEnd w:id="168"/>
    </w:p>
    <w:p>
      <w:pPr>
        <w:spacing w:line="400" w:lineRule="exact"/>
        <w:ind w:firstLine="420" w:firstLineChars="200"/>
        <w:rPr>
          <w:rFonts w:ascii="宋体" w:cs="宋体"/>
          <w:szCs w:val="21"/>
        </w:rPr>
      </w:pPr>
      <w:r>
        <w:rPr>
          <w:rFonts w:hint="eastAsia" w:ascii="宋体" w:hAnsi="宋体" w:cs="宋体"/>
          <w:szCs w:val="21"/>
        </w:rPr>
        <w:t>所有计量均采用中华人民共和国法定计量单位。</w:t>
      </w:r>
    </w:p>
    <w:p>
      <w:pPr>
        <w:pStyle w:val="49"/>
        <w:outlineLvl w:val="9"/>
        <w:rPr>
          <w:rFonts w:ascii="黑体" w:hAnsi="黑体"/>
          <w:b/>
          <w:szCs w:val="24"/>
        </w:rPr>
      </w:pPr>
      <w:bookmarkStart w:id="169" w:name="_Toc29769"/>
      <w:bookmarkStart w:id="170" w:name="_Toc152042315"/>
      <w:bookmarkStart w:id="171" w:name="_Toc22215421"/>
      <w:bookmarkStart w:id="172" w:name="_Toc8838"/>
      <w:bookmarkStart w:id="173" w:name="_Toc179632556"/>
      <w:bookmarkStart w:id="174" w:name="_Toc12248"/>
      <w:bookmarkStart w:id="175" w:name="_Toc144974507"/>
      <w:bookmarkStart w:id="176" w:name="_Toc152045539"/>
      <w:bookmarkStart w:id="177" w:name="_Toc14901"/>
      <w:bookmarkStart w:id="178" w:name="_Toc450217475"/>
      <w:r>
        <w:rPr>
          <w:rFonts w:ascii="黑体" w:hAnsi="黑体"/>
          <w:b/>
          <w:szCs w:val="24"/>
        </w:rPr>
        <w:t xml:space="preserve">1.9 </w:t>
      </w:r>
      <w:r>
        <w:rPr>
          <w:rFonts w:hint="eastAsia" w:ascii="黑体" w:hAnsi="黑体"/>
          <w:b/>
          <w:szCs w:val="24"/>
        </w:rPr>
        <w:t>踏勘现场</w:t>
      </w:r>
      <w:bookmarkEnd w:id="169"/>
      <w:bookmarkEnd w:id="170"/>
      <w:bookmarkEnd w:id="171"/>
      <w:bookmarkEnd w:id="172"/>
      <w:bookmarkEnd w:id="173"/>
      <w:bookmarkEnd w:id="174"/>
      <w:bookmarkEnd w:id="175"/>
      <w:bookmarkEnd w:id="176"/>
      <w:bookmarkEnd w:id="177"/>
      <w:bookmarkEnd w:id="178"/>
    </w:p>
    <w:p>
      <w:pPr>
        <w:spacing w:line="400" w:lineRule="exact"/>
        <w:ind w:firstLine="420" w:firstLineChars="200"/>
        <w:rPr>
          <w:rFonts w:ascii="Times New Roman" w:hAnsi="Times New Roman"/>
          <w:szCs w:val="21"/>
        </w:rPr>
      </w:pPr>
      <w:r>
        <w:rPr>
          <w:rFonts w:ascii="Times New Roman" w:hAnsi="Times New Roman"/>
          <w:szCs w:val="21"/>
        </w:rPr>
        <w:t xml:space="preserve">1.9.1 </w:t>
      </w:r>
      <w:r>
        <w:rPr>
          <w:rFonts w:hint="eastAsia" w:ascii="Times New Roman" w:hAnsi="Times New Roman"/>
          <w:szCs w:val="21"/>
        </w:rPr>
        <w:t>供应商须知前附表规定组织踏勘现场的，采购人按供应商须知前附表规定的时间、地点组织供应商踏勘项目现场。</w:t>
      </w:r>
    </w:p>
    <w:p>
      <w:pPr>
        <w:spacing w:line="400" w:lineRule="exact"/>
        <w:ind w:firstLine="420" w:firstLineChars="200"/>
        <w:rPr>
          <w:rFonts w:ascii="Times New Roman" w:hAnsi="Times New Roman"/>
          <w:szCs w:val="21"/>
        </w:rPr>
      </w:pPr>
      <w:r>
        <w:rPr>
          <w:rFonts w:ascii="Times New Roman" w:hAnsi="Times New Roman"/>
          <w:szCs w:val="21"/>
        </w:rPr>
        <w:t xml:space="preserve">1.9.2 </w:t>
      </w:r>
      <w:r>
        <w:rPr>
          <w:rFonts w:hint="eastAsia" w:ascii="Times New Roman" w:hAnsi="Times New Roman"/>
          <w:szCs w:val="21"/>
        </w:rPr>
        <w:t>供应商踏勘现场发生的费用自理。</w:t>
      </w:r>
    </w:p>
    <w:p>
      <w:pPr>
        <w:spacing w:line="400" w:lineRule="exact"/>
        <w:ind w:firstLine="420" w:firstLineChars="200"/>
        <w:rPr>
          <w:rFonts w:ascii="Times New Roman" w:hAnsi="Times New Roman"/>
          <w:szCs w:val="21"/>
        </w:rPr>
      </w:pPr>
      <w:r>
        <w:rPr>
          <w:rFonts w:ascii="Times New Roman" w:hAnsi="Times New Roman"/>
          <w:szCs w:val="21"/>
        </w:rPr>
        <w:t xml:space="preserve">1.9.3 </w:t>
      </w:r>
      <w:r>
        <w:rPr>
          <w:rFonts w:hint="eastAsia" w:ascii="Times New Roman" w:hAnsi="Times New Roman"/>
          <w:szCs w:val="21"/>
        </w:rPr>
        <w:t>除采购人的原因外，供应商自行负责在踏勘现场中所发生的人员伤亡和财产损失。</w:t>
      </w:r>
    </w:p>
    <w:p>
      <w:pPr>
        <w:spacing w:line="400" w:lineRule="exact"/>
        <w:ind w:firstLine="420" w:firstLineChars="200"/>
        <w:rPr>
          <w:rFonts w:ascii="Times New Roman" w:hAnsi="Times New Roman"/>
          <w:szCs w:val="21"/>
        </w:rPr>
      </w:pPr>
      <w:r>
        <w:rPr>
          <w:rFonts w:ascii="Times New Roman" w:hAnsi="Times New Roman"/>
          <w:szCs w:val="21"/>
        </w:rPr>
        <w:t xml:space="preserve">1.9.4 </w:t>
      </w:r>
      <w:r>
        <w:rPr>
          <w:rFonts w:hint="eastAsia" w:ascii="Times New Roman" w:hAnsi="Times New Roman"/>
          <w:szCs w:val="21"/>
        </w:rPr>
        <w:t>采购人在踏勘现场中介绍的工程场地和相关的周边环境情况，供应商在编制响应文件时参考，采购人不对供应商据此作出的判断和决策负责。</w:t>
      </w:r>
    </w:p>
    <w:p>
      <w:pPr>
        <w:pStyle w:val="46"/>
        <w:spacing w:beforeLines="50" w:afterLines="50"/>
        <w:jc w:val="center"/>
        <w:rPr>
          <w:rFonts w:ascii="黑体" w:hAnsi="黑体"/>
          <w:b/>
          <w:szCs w:val="28"/>
        </w:rPr>
      </w:pPr>
      <w:bookmarkStart w:id="179" w:name="_Toc179632560"/>
      <w:bookmarkStart w:id="180" w:name="_Toc152045542"/>
      <w:bookmarkStart w:id="181" w:name="_Toc387647211"/>
      <w:bookmarkStart w:id="182" w:name="_Toc152042318"/>
      <w:bookmarkStart w:id="183" w:name="_Toc450217478"/>
      <w:bookmarkStart w:id="184" w:name="_Toc144974510"/>
      <w:bookmarkStart w:id="185" w:name="_Toc26557"/>
      <w:bookmarkStart w:id="186" w:name="_Toc15032"/>
      <w:bookmarkStart w:id="187" w:name="_Toc2593"/>
      <w:bookmarkStart w:id="188" w:name="_Toc23061"/>
      <w:bookmarkStart w:id="189" w:name="_Toc7263"/>
      <w:bookmarkStart w:id="190" w:name="_Toc22215422"/>
      <w:r>
        <w:rPr>
          <w:rFonts w:ascii="黑体" w:hAnsi="黑体"/>
          <w:b/>
          <w:szCs w:val="28"/>
        </w:rPr>
        <w:t xml:space="preserve">2. </w:t>
      </w:r>
      <w:bookmarkEnd w:id="179"/>
      <w:bookmarkEnd w:id="180"/>
      <w:bookmarkEnd w:id="181"/>
      <w:bookmarkEnd w:id="182"/>
      <w:bookmarkEnd w:id="183"/>
      <w:bookmarkEnd w:id="184"/>
      <w:bookmarkEnd w:id="185"/>
      <w:r>
        <w:rPr>
          <w:rFonts w:hint="eastAsia" w:ascii="黑体" w:hAnsi="黑体"/>
          <w:b/>
          <w:szCs w:val="28"/>
        </w:rPr>
        <w:t>磋商文件</w:t>
      </w:r>
      <w:bookmarkEnd w:id="186"/>
      <w:bookmarkEnd w:id="187"/>
      <w:bookmarkEnd w:id="188"/>
      <w:bookmarkEnd w:id="189"/>
      <w:bookmarkEnd w:id="190"/>
    </w:p>
    <w:p>
      <w:pPr>
        <w:pStyle w:val="49"/>
        <w:outlineLvl w:val="9"/>
        <w:rPr>
          <w:rFonts w:ascii="黑体" w:hAnsi="黑体"/>
          <w:b/>
          <w:szCs w:val="24"/>
        </w:rPr>
      </w:pPr>
      <w:bookmarkStart w:id="191" w:name="_Toc26794"/>
      <w:bookmarkStart w:id="192" w:name="_Toc152042319"/>
      <w:bookmarkStart w:id="193" w:name="_Toc22215423"/>
      <w:bookmarkStart w:id="194" w:name="_Toc23891"/>
      <w:bookmarkStart w:id="195" w:name="_Toc179632561"/>
      <w:bookmarkStart w:id="196" w:name="_Toc13318"/>
      <w:bookmarkStart w:id="197" w:name="_Toc152045543"/>
      <w:bookmarkStart w:id="198" w:name="_Toc450217479"/>
      <w:bookmarkStart w:id="199" w:name="_Toc14836"/>
      <w:bookmarkStart w:id="200" w:name="_Toc144974511"/>
      <w:r>
        <w:rPr>
          <w:rFonts w:ascii="黑体" w:hAnsi="黑体"/>
          <w:b/>
          <w:szCs w:val="24"/>
        </w:rPr>
        <w:t xml:space="preserve">2.1 </w:t>
      </w:r>
      <w:r>
        <w:rPr>
          <w:rFonts w:hint="eastAsia" w:ascii="黑体" w:hAnsi="黑体"/>
          <w:b/>
          <w:szCs w:val="24"/>
        </w:rPr>
        <w:t>磋商文件的组成</w:t>
      </w:r>
      <w:bookmarkEnd w:id="191"/>
      <w:bookmarkEnd w:id="192"/>
      <w:bookmarkEnd w:id="193"/>
      <w:bookmarkEnd w:id="194"/>
      <w:bookmarkEnd w:id="195"/>
      <w:bookmarkEnd w:id="196"/>
      <w:bookmarkEnd w:id="197"/>
      <w:bookmarkEnd w:id="198"/>
      <w:bookmarkEnd w:id="199"/>
      <w:bookmarkEnd w:id="200"/>
    </w:p>
    <w:p>
      <w:pPr>
        <w:spacing w:line="400" w:lineRule="exact"/>
        <w:ind w:firstLine="420" w:firstLineChars="200"/>
        <w:rPr>
          <w:rFonts w:ascii="Times New Roman" w:hAnsi="Times New Roman"/>
          <w:szCs w:val="21"/>
        </w:rPr>
      </w:pPr>
      <w:r>
        <w:rPr>
          <w:rFonts w:hint="eastAsia" w:ascii="Times New Roman" w:hAnsi="Times New Roman"/>
          <w:szCs w:val="21"/>
        </w:rPr>
        <w:t xml:space="preserve"> 本磋商文件包括：</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）磋商公告；</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）供应商须知；</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）评审办法；</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）合同草案条款；</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）采购需求；</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）响应文件格式；</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）构成磋商文件的其他材料（详见供应商须知前附表的规定）</w:t>
      </w:r>
    </w:p>
    <w:p>
      <w:pPr>
        <w:spacing w:line="400" w:lineRule="exact"/>
        <w:ind w:firstLine="420" w:firstLineChars="200"/>
        <w:rPr>
          <w:rFonts w:ascii="Times New Roman" w:hAnsi="Times New Roman"/>
          <w:szCs w:val="21"/>
        </w:rPr>
      </w:pPr>
      <w:r>
        <w:rPr>
          <w:rFonts w:hint="eastAsia" w:ascii="Times New Roman" w:hAnsi="Times New Roman"/>
          <w:szCs w:val="21"/>
        </w:rPr>
        <w:t>根据本章第</w:t>
      </w:r>
      <w:r>
        <w:rPr>
          <w:rFonts w:ascii="Times New Roman" w:hAnsi="Times New Roman"/>
          <w:szCs w:val="21"/>
        </w:rPr>
        <w:t>2.2</w:t>
      </w:r>
      <w:r>
        <w:rPr>
          <w:rFonts w:hint="eastAsia" w:ascii="Times New Roman" w:hAnsi="Times New Roman"/>
          <w:szCs w:val="21"/>
        </w:rPr>
        <w:t>款和第</w:t>
      </w:r>
      <w:r>
        <w:rPr>
          <w:rFonts w:ascii="Times New Roman" w:hAnsi="Times New Roman"/>
          <w:szCs w:val="21"/>
        </w:rPr>
        <w:t>2.3</w:t>
      </w:r>
      <w:r>
        <w:rPr>
          <w:rFonts w:hint="eastAsia" w:ascii="Times New Roman" w:hAnsi="Times New Roman"/>
          <w:szCs w:val="21"/>
        </w:rPr>
        <w:t>款对磋商文件所作的澄清、修改，构成磋商文件的组成部分。</w:t>
      </w:r>
    </w:p>
    <w:p>
      <w:pPr>
        <w:pStyle w:val="49"/>
        <w:outlineLvl w:val="9"/>
        <w:rPr>
          <w:rFonts w:ascii="黑体" w:hAnsi="黑体"/>
          <w:b/>
          <w:szCs w:val="24"/>
        </w:rPr>
      </w:pPr>
      <w:bookmarkStart w:id="201" w:name="_Toc3976"/>
      <w:bookmarkStart w:id="202" w:name="_Toc179632562"/>
      <w:bookmarkStart w:id="203" w:name="_Toc450217480"/>
      <w:bookmarkStart w:id="204" w:name="_Toc23820"/>
      <w:bookmarkStart w:id="205" w:name="_Toc23142"/>
      <w:bookmarkStart w:id="206" w:name="_Toc14983"/>
      <w:bookmarkStart w:id="207" w:name="_Toc22215424"/>
      <w:bookmarkStart w:id="208" w:name="_Toc152042320"/>
      <w:bookmarkStart w:id="209" w:name="_Toc152045544"/>
      <w:bookmarkStart w:id="210" w:name="_Toc144974512"/>
      <w:r>
        <w:rPr>
          <w:rFonts w:ascii="黑体" w:hAnsi="黑体"/>
          <w:b/>
          <w:szCs w:val="24"/>
        </w:rPr>
        <w:t xml:space="preserve">2.2 </w:t>
      </w:r>
      <w:r>
        <w:rPr>
          <w:rFonts w:hint="eastAsia" w:ascii="黑体" w:hAnsi="黑体"/>
          <w:b/>
          <w:szCs w:val="24"/>
        </w:rPr>
        <w:t>磋商文件的澄清</w:t>
      </w:r>
      <w:bookmarkEnd w:id="201"/>
      <w:bookmarkEnd w:id="202"/>
      <w:bookmarkEnd w:id="203"/>
      <w:bookmarkEnd w:id="204"/>
      <w:bookmarkEnd w:id="205"/>
      <w:bookmarkEnd w:id="206"/>
      <w:bookmarkEnd w:id="207"/>
      <w:bookmarkEnd w:id="208"/>
      <w:bookmarkEnd w:id="209"/>
      <w:bookmarkEnd w:id="210"/>
    </w:p>
    <w:p>
      <w:pPr>
        <w:spacing w:line="400" w:lineRule="exact"/>
        <w:ind w:firstLine="420" w:firstLineChars="200"/>
        <w:rPr>
          <w:rFonts w:ascii="Times New Roman" w:hAnsi="Times New Roman"/>
          <w:szCs w:val="21"/>
        </w:rPr>
      </w:pPr>
      <w:bookmarkStart w:id="211" w:name="_Toc179632563"/>
      <w:bookmarkStart w:id="212" w:name="_Toc152042321"/>
      <w:bookmarkStart w:id="213" w:name="_Toc144974513"/>
      <w:bookmarkStart w:id="214" w:name="_Toc152045545"/>
      <w:r>
        <w:rPr>
          <w:rFonts w:ascii="Times New Roman" w:hAnsi="Times New Roman"/>
          <w:szCs w:val="21"/>
        </w:rPr>
        <w:t xml:space="preserve">2.2.1 </w:t>
      </w:r>
      <w:r>
        <w:rPr>
          <w:rFonts w:hint="eastAsia" w:ascii="Times New Roman" w:hAnsi="Times New Roman"/>
          <w:szCs w:val="21"/>
        </w:rPr>
        <w:t>供应商应仔细阅读和检查磋商文件的全部内容。如发现缺页或附件不全，应及时向采购人或采购代理机构提出，以便补齐。如有疑问，应以到场书面形式，要求采购人或采购代理机构对磋商文件予以澄清。</w:t>
      </w:r>
    </w:p>
    <w:p>
      <w:pPr>
        <w:spacing w:line="400" w:lineRule="exact"/>
        <w:ind w:firstLine="420" w:firstLineChars="200"/>
        <w:rPr>
          <w:rFonts w:ascii="Times New Roman" w:hAnsi="Times New Roman"/>
          <w:szCs w:val="21"/>
        </w:rPr>
      </w:pPr>
      <w:r>
        <w:rPr>
          <w:rFonts w:ascii="Times New Roman" w:hAnsi="Times New Roman"/>
          <w:szCs w:val="21"/>
        </w:rPr>
        <w:t xml:space="preserve">2.2.2 </w:t>
      </w:r>
      <w:r>
        <w:rPr>
          <w:rFonts w:hint="eastAsia" w:ascii="Times New Roman" w:hAnsi="Times New Roman"/>
          <w:szCs w:val="21"/>
        </w:rPr>
        <w:t>磋商文件的澄清将以邮件发扫描件的形式发给所有购买磋商文件的供应商，但不指明澄清问题的来源。如果澄清发出的时间距供应商须知前附表规定的磋商截止时间不足</w:t>
      </w:r>
      <w:r>
        <w:rPr>
          <w:rFonts w:ascii="Times New Roman" w:hAnsi="Times New Roman"/>
          <w:szCs w:val="21"/>
        </w:rPr>
        <w:t>5</w:t>
      </w:r>
      <w:r>
        <w:rPr>
          <w:rFonts w:hint="eastAsia" w:ascii="Times New Roman" w:hAnsi="Times New Roman"/>
          <w:szCs w:val="21"/>
        </w:rPr>
        <w:t>天，并且澄清内容影响响应文件编制的，将相应延长磋商截止时间。</w:t>
      </w:r>
    </w:p>
    <w:p>
      <w:pPr>
        <w:spacing w:line="400" w:lineRule="exact"/>
        <w:ind w:firstLine="420" w:firstLineChars="200"/>
        <w:rPr>
          <w:rFonts w:ascii="Times New Roman" w:hAnsi="Times New Roman"/>
          <w:szCs w:val="21"/>
        </w:rPr>
      </w:pPr>
      <w:r>
        <w:rPr>
          <w:rFonts w:ascii="Times New Roman" w:hAnsi="Times New Roman"/>
          <w:szCs w:val="21"/>
        </w:rPr>
        <w:t xml:space="preserve">2.2.3 </w:t>
      </w:r>
      <w:r>
        <w:rPr>
          <w:rFonts w:hint="eastAsia" w:ascii="Times New Roman" w:hAnsi="Times New Roman"/>
          <w:szCs w:val="21"/>
        </w:rPr>
        <w:t>供应商在收到澄清后，应以邮件发扫描件的形式通知采购人，确认已收到该澄清。</w:t>
      </w:r>
    </w:p>
    <w:p>
      <w:pPr>
        <w:pStyle w:val="49"/>
        <w:outlineLvl w:val="9"/>
        <w:rPr>
          <w:rFonts w:ascii="黑体" w:hAnsi="黑体"/>
          <w:b/>
          <w:szCs w:val="24"/>
        </w:rPr>
      </w:pPr>
      <w:bookmarkStart w:id="215" w:name="_Toc450217481"/>
      <w:bookmarkStart w:id="216" w:name="_Toc31940"/>
      <w:bookmarkStart w:id="217" w:name="_Toc8377"/>
      <w:bookmarkStart w:id="218" w:name="_Toc22215425"/>
      <w:bookmarkStart w:id="219" w:name="_Toc24496"/>
      <w:bookmarkStart w:id="220" w:name="_Toc21196"/>
      <w:r>
        <w:rPr>
          <w:rFonts w:ascii="黑体" w:hAnsi="黑体"/>
          <w:b/>
          <w:szCs w:val="24"/>
        </w:rPr>
        <w:t xml:space="preserve">2.3 </w:t>
      </w:r>
      <w:r>
        <w:rPr>
          <w:rFonts w:hint="eastAsia" w:ascii="黑体" w:hAnsi="黑体"/>
          <w:b/>
          <w:szCs w:val="24"/>
        </w:rPr>
        <w:t>磋商文件的修改</w:t>
      </w:r>
      <w:bookmarkEnd w:id="211"/>
      <w:bookmarkEnd w:id="212"/>
      <w:bookmarkEnd w:id="213"/>
      <w:bookmarkEnd w:id="214"/>
      <w:bookmarkEnd w:id="215"/>
      <w:bookmarkEnd w:id="216"/>
      <w:bookmarkEnd w:id="217"/>
      <w:bookmarkEnd w:id="218"/>
      <w:bookmarkEnd w:id="219"/>
      <w:bookmarkEnd w:id="220"/>
    </w:p>
    <w:p>
      <w:pPr>
        <w:spacing w:line="400" w:lineRule="exact"/>
        <w:ind w:firstLine="420" w:firstLineChars="200"/>
        <w:rPr>
          <w:rFonts w:ascii="Times New Roman" w:hAnsi="Times New Roman"/>
          <w:szCs w:val="21"/>
        </w:rPr>
      </w:pPr>
      <w:r>
        <w:rPr>
          <w:rFonts w:ascii="Times New Roman" w:hAnsi="Times New Roman"/>
          <w:szCs w:val="21"/>
        </w:rPr>
        <w:t>2.3.1</w:t>
      </w:r>
      <w:r>
        <w:rPr>
          <w:rFonts w:hint="eastAsia" w:ascii="Times New Roman" w:hAnsi="Times New Roman"/>
          <w:szCs w:val="21"/>
        </w:rPr>
        <w:t>采购人或采购代理机构可以修改磋商文件，并通知所有已购买磋商文件的供应商。但如果修改磋商文件的时间距磋商截止时间不足</w:t>
      </w:r>
      <w:r>
        <w:rPr>
          <w:rFonts w:ascii="Times New Roman" w:hAnsi="Times New Roman"/>
          <w:szCs w:val="21"/>
        </w:rPr>
        <w:t>5</w:t>
      </w:r>
      <w:r>
        <w:rPr>
          <w:rFonts w:hint="eastAsia" w:ascii="Times New Roman" w:hAnsi="Times New Roman"/>
          <w:szCs w:val="21"/>
        </w:rPr>
        <w:t>天，并且修改内容影响响应文件编制的，将相应延长磋商截止时间。</w:t>
      </w:r>
    </w:p>
    <w:p>
      <w:pPr>
        <w:spacing w:line="400" w:lineRule="exact"/>
        <w:ind w:firstLine="420" w:firstLineChars="200"/>
        <w:rPr>
          <w:rFonts w:ascii="Times New Roman" w:hAnsi="Times New Roman"/>
          <w:szCs w:val="21"/>
        </w:rPr>
      </w:pPr>
      <w:r>
        <w:rPr>
          <w:rFonts w:ascii="Times New Roman" w:hAnsi="Times New Roman"/>
          <w:szCs w:val="21"/>
        </w:rPr>
        <w:t xml:space="preserve">2.3.2 </w:t>
      </w:r>
      <w:r>
        <w:rPr>
          <w:rFonts w:hint="eastAsia" w:ascii="Times New Roman" w:hAnsi="Times New Roman"/>
          <w:szCs w:val="21"/>
        </w:rPr>
        <w:t>供应商收到修改内容后，应以邮件发扫描件的形式通知采购人，确认已收到该修改。</w:t>
      </w:r>
    </w:p>
    <w:p>
      <w:pPr>
        <w:pStyle w:val="49"/>
        <w:outlineLvl w:val="9"/>
        <w:rPr>
          <w:rFonts w:ascii="黑体" w:hAnsi="黑体"/>
          <w:b/>
          <w:szCs w:val="24"/>
        </w:rPr>
      </w:pPr>
      <w:bookmarkStart w:id="221" w:name="_Toc450217482"/>
      <w:bookmarkStart w:id="222" w:name="_Toc14938"/>
      <w:bookmarkStart w:id="223" w:name="_Toc22215426"/>
      <w:bookmarkStart w:id="224" w:name="_Toc24395"/>
      <w:bookmarkStart w:id="225" w:name="_Toc12356"/>
      <w:bookmarkStart w:id="226" w:name="_Toc7137"/>
      <w:r>
        <w:rPr>
          <w:rFonts w:ascii="黑体" w:hAnsi="黑体"/>
          <w:b/>
          <w:szCs w:val="24"/>
        </w:rPr>
        <w:t xml:space="preserve">2.4 </w:t>
      </w:r>
      <w:r>
        <w:rPr>
          <w:rFonts w:hint="eastAsia" w:ascii="黑体" w:hAnsi="黑体"/>
          <w:b/>
          <w:szCs w:val="24"/>
        </w:rPr>
        <w:t>磋商文件的询问与质疑</w:t>
      </w:r>
      <w:bookmarkEnd w:id="221"/>
      <w:bookmarkEnd w:id="222"/>
      <w:bookmarkEnd w:id="223"/>
      <w:bookmarkEnd w:id="224"/>
      <w:bookmarkEnd w:id="225"/>
      <w:bookmarkEnd w:id="226"/>
    </w:p>
    <w:p>
      <w:pPr>
        <w:spacing w:line="400" w:lineRule="exact"/>
        <w:ind w:firstLine="420" w:firstLineChars="200"/>
        <w:rPr>
          <w:rFonts w:ascii="Times New Roman" w:hAnsi="Times New Roman"/>
          <w:szCs w:val="21"/>
        </w:rPr>
      </w:pPr>
      <w:r>
        <w:rPr>
          <w:rFonts w:ascii="Times New Roman" w:hAnsi="Times New Roman"/>
          <w:szCs w:val="21"/>
        </w:rPr>
        <w:t>2.4.1</w:t>
      </w:r>
      <w:r>
        <w:rPr>
          <w:rFonts w:hint="eastAsia" w:ascii="Times New Roman" w:hAnsi="Times New Roman"/>
          <w:szCs w:val="21"/>
        </w:rPr>
        <w:t>供应商对政府采购活动事项有疑问的，可以向采购人或采购代理机构提出询问，采购人或者采购代理机构应当在</w:t>
      </w:r>
      <w:r>
        <w:rPr>
          <w:rFonts w:ascii="Times New Roman" w:hAnsi="Times New Roman"/>
          <w:szCs w:val="21"/>
        </w:rPr>
        <w:t>3</w:t>
      </w:r>
      <w:r>
        <w:rPr>
          <w:rFonts w:hint="eastAsia" w:ascii="Times New Roman" w:hAnsi="Times New Roman"/>
          <w:szCs w:val="21"/>
        </w:rPr>
        <w:t>个工作日内对供应商依法提出的询问作出答复。</w:t>
      </w:r>
    </w:p>
    <w:p>
      <w:pPr>
        <w:spacing w:line="400" w:lineRule="exact"/>
        <w:ind w:firstLine="420" w:firstLineChars="200"/>
        <w:rPr>
          <w:rFonts w:ascii="Times New Roman" w:hAnsi="Times New Roman"/>
          <w:szCs w:val="21"/>
        </w:rPr>
      </w:pPr>
      <w:r>
        <w:rPr>
          <w:rFonts w:ascii="Times New Roman" w:hAnsi="Times New Roman"/>
          <w:szCs w:val="21"/>
        </w:rPr>
        <w:t>2.4.2  </w:t>
      </w:r>
      <w:r>
        <w:rPr>
          <w:rFonts w:hint="eastAsia" w:ascii="Times New Roman" w:hAnsi="Times New Roman"/>
          <w:szCs w:val="21"/>
        </w:rPr>
        <w:t>供应商认为采购文件、采购过程和成交结果使自己的权益受到损害的，可以在知道或者应知其权益受到损害之日起七个工作日内，以到场书面形式向采购人或采购代理机构提出质疑。但供应商的质疑应当有明确的请求和必要的证明材料。否则采购人或采购代理机构将不予受理。</w:t>
      </w:r>
    </w:p>
    <w:p>
      <w:pPr>
        <w:spacing w:line="400" w:lineRule="exact"/>
        <w:ind w:firstLine="420" w:firstLineChars="200"/>
        <w:rPr>
          <w:rFonts w:ascii="Times New Roman" w:hAnsi="Times New Roman"/>
          <w:szCs w:val="21"/>
        </w:rPr>
      </w:pPr>
      <w:r>
        <w:rPr>
          <w:rFonts w:ascii="Times New Roman" w:hAnsi="Times New Roman"/>
          <w:szCs w:val="21"/>
        </w:rPr>
        <w:t xml:space="preserve">2.4.3 </w:t>
      </w:r>
      <w:r>
        <w:rPr>
          <w:rFonts w:hint="eastAsia" w:ascii="Times New Roman" w:hAnsi="Times New Roman"/>
          <w:szCs w:val="21"/>
        </w:rPr>
        <w:t>供应商应知其权益受到损害之日，是指：</w:t>
      </w:r>
    </w:p>
    <w:p>
      <w:pPr>
        <w:numPr>
          <w:ilvl w:val="0"/>
          <w:numId w:val="1"/>
        </w:numPr>
        <w:spacing w:line="400" w:lineRule="exact"/>
        <w:rPr>
          <w:rFonts w:ascii="Times New Roman" w:hAnsi="Times New Roman"/>
          <w:szCs w:val="21"/>
        </w:rPr>
      </w:pPr>
      <w:r>
        <w:rPr>
          <w:rFonts w:hint="eastAsia" w:ascii="Times New Roman" w:hAnsi="Times New Roman"/>
          <w:szCs w:val="21"/>
        </w:rPr>
        <w:t>对可以质疑的采购文件提出质疑的，为收到磋商文件之日或者磋商公告期限届满之日；</w:t>
      </w:r>
    </w:p>
    <w:p>
      <w:pPr>
        <w:numPr>
          <w:ilvl w:val="0"/>
          <w:numId w:val="1"/>
        </w:numPr>
        <w:spacing w:line="400" w:lineRule="exact"/>
        <w:rPr>
          <w:rFonts w:ascii="Times New Roman" w:hAnsi="Times New Roman"/>
          <w:szCs w:val="21"/>
        </w:rPr>
      </w:pPr>
      <w:r>
        <w:rPr>
          <w:rFonts w:hint="eastAsia" w:ascii="Times New Roman" w:hAnsi="Times New Roman"/>
          <w:szCs w:val="21"/>
        </w:rPr>
        <w:t>对采购过程提出质疑的，为各采购程序环节结束之日；</w:t>
      </w:r>
    </w:p>
    <w:p>
      <w:pPr>
        <w:numPr>
          <w:ilvl w:val="0"/>
          <w:numId w:val="1"/>
        </w:numPr>
        <w:spacing w:line="400" w:lineRule="exact"/>
        <w:rPr>
          <w:rFonts w:ascii="Times New Roman" w:hAnsi="Times New Roman"/>
          <w:szCs w:val="21"/>
        </w:rPr>
      </w:pPr>
      <w:r>
        <w:rPr>
          <w:rFonts w:hint="eastAsia" w:ascii="Times New Roman" w:hAnsi="Times New Roman"/>
          <w:szCs w:val="21"/>
        </w:rPr>
        <w:t>对成交结果提出质疑的，为成交结果公告期限届满之日。</w:t>
      </w:r>
    </w:p>
    <w:p>
      <w:pPr>
        <w:spacing w:line="400" w:lineRule="exact"/>
        <w:ind w:firstLine="420" w:firstLineChars="200"/>
        <w:rPr>
          <w:rFonts w:ascii="Times New Roman" w:hAnsi="Times New Roman"/>
          <w:szCs w:val="21"/>
        </w:rPr>
      </w:pPr>
      <w:r>
        <w:rPr>
          <w:rFonts w:ascii="Times New Roman" w:hAnsi="Times New Roman"/>
          <w:szCs w:val="21"/>
        </w:rPr>
        <w:t xml:space="preserve">2.4.4 </w:t>
      </w:r>
      <w:r>
        <w:rPr>
          <w:rFonts w:hint="eastAsia" w:ascii="Times New Roman" w:hAnsi="Times New Roman"/>
          <w:szCs w:val="21"/>
        </w:rPr>
        <w:t>采购人对质疑的答复构成对磋商文件澄清或者修改的，采购人将按照本章第</w:t>
      </w:r>
      <w:r>
        <w:rPr>
          <w:rFonts w:ascii="Times New Roman" w:hAnsi="Times New Roman"/>
          <w:szCs w:val="21"/>
        </w:rPr>
        <w:t>2.2</w:t>
      </w:r>
      <w:r>
        <w:rPr>
          <w:rFonts w:hint="eastAsia" w:ascii="Times New Roman" w:hAnsi="Times New Roman"/>
          <w:szCs w:val="21"/>
        </w:rPr>
        <w:t>款、第</w:t>
      </w:r>
      <w:r>
        <w:rPr>
          <w:rFonts w:ascii="Times New Roman" w:hAnsi="Times New Roman"/>
          <w:szCs w:val="21"/>
        </w:rPr>
        <w:t>2.3</w:t>
      </w:r>
      <w:r>
        <w:rPr>
          <w:rFonts w:hint="eastAsia" w:ascii="Times New Roman" w:hAnsi="Times New Roman"/>
          <w:szCs w:val="21"/>
        </w:rPr>
        <w:t>款规定办理。</w:t>
      </w:r>
    </w:p>
    <w:p>
      <w:pPr>
        <w:pStyle w:val="46"/>
        <w:spacing w:beforeLines="50" w:afterLines="50"/>
        <w:jc w:val="center"/>
        <w:rPr>
          <w:rFonts w:ascii="黑体" w:hAnsi="黑体"/>
          <w:b/>
          <w:szCs w:val="28"/>
        </w:rPr>
      </w:pPr>
      <w:bookmarkStart w:id="227" w:name="_Toc450217483"/>
      <w:bookmarkStart w:id="228" w:name="_Toc12415"/>
      <w:bookmarkStart w:id="229" w:name="_Toc152045546"/>
      <w:bookmarkStart w:id="230" w:name="_Toc152042322"/>
      <w:bookmarkStart w:id="231" w:name="_Toc387647212"/>
      <w:bookmarkStart w:id="232" w:name="_Toc144974514"/>
      <w:bookmarkStart w:id="233" w:name="_Toc179632564"/>
      <w:bookmarkStart w:id="234" w:name="_Toc20582"/>
      <w:bookmarkStart w:id="235" w:name="_Toc22215427"/>
      <w:bookmarkStart w:id="236" w:name="_Toc17441"/>
      <w:bookmarkStart w:id="237" w:name="_Toc26660"/>
      <w:bookmarkStart w:id="238" w:name="_Toc27454"/>
      <w:r>
        <w:rPr>
          <w:rFonts w:ascii="黑体" w:hAnsi="黑体"/>
          <w:b/>
          <w:szCs w:val="28"/>
        </w:rPr>
        <w:t xml:space="preserve">3. </w:t>
      </w:r>
      <w:bookmarkEnd w:id="227"/>
      <w:bookmarkEnd w:id="228"/>
      <w:bookmarkEnd w:id="229"/>
      <w:bookmarkEnd w:id="230"/>
      <w:bookmarkEnd w:id="231"/>
      <w:bookmarkEnd w:id="232"/>
      <w:bookmarkEnd w:id="233"/>
      <w:r>
        <w:rPr>
          <w:rFonts w:hint="eastAsia" w:ascii="黑体" w:hAnsi="黑体"/>
          <w:b/>
          <w:szCs w:val="28"/>
        </w:rPr>
        <w:t>响应文件</w:t>
      </w:r>
      <w:bookmarkEnd w:id="234"/>
      <w:bookmarkEnd w:id="235"/>
      <w:bookmarkEnd w:id="236"/>
      <w:bookmarkEnd w:id="237"/>
      <w:bookmarkEnd w:id="238"/>
    </w:p>
    <w:p>
      <w:pPr>
        <w:pStyle w:val="49"/>
        <w:outlineLvl w:val="9"/>
        <w:rPr>
          <w:rFonts w:ascii="黑体" w:hAnsi="黑体"/>
          <w:szCs w:val="24"/>
        </w:rPr>
      </w:pPr>
      <w:bookmarkStart w:id="239" w:name="_Toc22215428"/>
      <w:bookmarkStart w:id="240" w:name="_Toc27009"/>
      <w:bookmarkStart w:id="241" w:name="_Toc27231"/>
      <w:bookmarkStart w:id="242" w:name="_Toc4685"/>
      <w:bookmarkStart w:id="243" w:name="_Toc450217484"/>
      <w:bookmarkStart w:id="244" w:name="_Toc12514"/>
      <w:r>
        <w:rPr>
          <w:rFonts w:ascii="黑体" w:hAnsi="黑体"/>
          <w:szCs w:val="24"/>
        </w:rPr>
        <w:t>3.1</w:t>
      </w:r>
      <w:bookmarkStart w:id="245" w:name="_Toc179632565"/>
      <w:bookmarkStart w:id="246" w:name="_Toc152045547"/>
      <w:bookmarkStart w:id="247" w:name="_Toc144974515"/>
      <w:bookmarkStart w:id="248" w:name="_Toc152042323"/>
      <w:r>
        <w:rPr>
          <w:rFonts w:hint="eastAsia" w:ascii="黑体" w:hAnsi="黑体"/>
          <w:szCs w:val="24"/>
        </w:rPr>
        <w:t>响应文件的组成</w:t>
      </w:r>
      <w:bookmarkEnd w:id="239"/>
      <w:bookmarkEnd w:id="240"/>
      <w:bookmarkEnd w:id="241"/>
      <w:bookmarkEnd w:id="242"/>
      <w:bookmarkEnd w:id="243"/>
      <w:bookmarkEnd w:id="244"/>
      <w:bookmarkEnd w:id="245"/>
      <w:bookmarkEnd w:id="246"/>
      <w:bookmarkEnd w:id="247"/>
      <w:bookmarkEnd w:id="248"/>
    </w:p>
    <w:p>
      <w:pPr>
        <w:spacing w:line="400" w:lineRule="exact"/>
        <w:ind w:firstLine="420" w:firstLineChars="200"/>
        <w:rPr>
          <w:rFonts w:ascii="Times New Roman" w:hAnsi="Times New Roman"/>
          <w:szCs w:val="21"/>
        </w:rPr>
      </w:pPr>
      <w:r>
        <w:rPr>
          <w:rFonts w:ascii="Times New Roman" w:hAnsi="Times New Roman"/>
          <w:szCs w:val="21"/>
        </w:rPr>
        <w:t>3.1.1</w:t>
      </w:r>
      <w:r>
        <w:rPr>
          <w:rFonts w:hint="eastAsia" w:ascii="Times New Roman" w:hAnsi="Times New Roman"/>
          <w:szCs w:val="21"/>
        </w:rPr>
        <w:t>响应文件应包括下列内容：</w:t>
      </w:r>
    </w:p>
    <w:p>
      <w:pPr>
        <w:spacing w:line="400" w:lineRule="exact"/>
        <w:ind w:firstLine="420" w:firstLineChars="200"/>
        <w:rPr>
          <w:rFonts w:ascii="Times New Roman" w:hAnsi="Times New Roman"/>
          <w:szCs w:val="21"/>
        </w:rPr>
      </w:pPr>
      <w:r>
        <w:rPr>
          <w:rFonts w:hint="eastAsia" w:ascii="Times New Roman" w:hAnsi="Times New Roman"/>
          <w:szCs w:val="21"/>
        </w:rPr>
        <w:t>一、磋商函</w:t>
      </w:r>
    </w:p>
    <w:p>
      <w:pPr>
        <w:spacing w:line="400" w:lineRule="exact"/>
        <w:ind w:firstLine="420" w:firstLineChars="200"/>
        <w:rPr>
          <w:rFonts w:ascii="Times New Roman" w:hAnsi="Times New Roman"/>
          <w:szCs w:val="21"/>
        </w:rPr>
      </w:pPr>
      <w:r>
        <w:rPr>
          <w:rFonts w:hint="eastAsia" w:ascii="Times New Roman" w:hAnsi="Times New Roman"/>
          <w:szCs w:val="21"/>
        </w:rPr>
        <w:t>二、磋商一览表（报价表）</w:t>
      </w:r>
    </w:p>
    <w:p>
      <w:pPr>
        <w:spacing w:line="400" w:lineRule="exact"/>
        <w:ind w:firstLine="420" w:firstLineChars="200"/>
        <w:rPr>
          <w:rFonts w:ascii="Times New Roman" w:hAnsi="Times New Roman"/>
          <w:szCs w:val="21"/>
        </w:rPr>
      </w:pPr>
      <w:r>
        <w:rPr>
          <w:rFonts w:hint="eastAsia" w:ascii="Times New Roman" w:hAnsi="Times New Roman"/>
          <w:szCs w:val="21"/>
        </w:rPr>
        <w:t>三、法定代表人身份证明</w:t>
      </w:r>
    </w:p>
    <w:p>
      <w:pPr>
        <w:spacing w:line="400" w:lineRule="exact"/>
        <w:ind w:firstLine="420" w:firstLineChars="200"/>
        <w:rPr>
          <w:rFonts w:ascii="Times New Roman" w:hAnsi="Times New Roman"/>
          <w:szCs w:val="21"/>
        </w:rPr>
      </w:pPr>
      <w:r>
        <w:rPr>
          <w:rFonts w:hint="eastAsia" w:ascii="Times New Roman" w:hAnsi="Times New Roman"/>
          <w:szCs w:val="21"/>
        </w:rPr>
        <w:t>四、法定代表人授权委托书</w:t>
      </w:r>
    </w:p>
    <w:p>
      <w:pPr>
        <w:spacing w:line="400" w:lineRule="exact"/>
        <w:ind w:firstLine="420" w:firstLineChars="200"/>
        <w:rPr>
          <w:rFonts w:ascii="Times New Roman" w:hAnsi="Times New Roman"/>
          <w:szCs w:val="21"/>
        </w:rPr>
      </w:pPr>
      <w:r>
        <w:rPr>
          <w:rFonts w:hint="eastAsia" w:ascii="Times New Roman" w:hAnsi="Times New Roman"/>
          <w:szCs w:val="21"/>
        </w:rPr>
        <w:t>五、资格审查资料</w:t>
      </w:r>
    </w:p>
    <w:p>
      <w:pPr>
        <w:spacing w:line="400" w:lineRule="exact"/>
        <w:ind w:firstLine="420" w:firstLineChars="200"/>
        <w:rPr>
          <w:rFonts w:ascii="Times New Roman" w:hAnsi="Times New Roman"/>
          <w:szCs w:val="21"/>
        </w:rPr>
      </w:pPr>
      <w:r>
        <w:rPr>
          <w:rFonts w:hint="eastAsia" w:ascii="Times New Roman" w:hAnsi="Times New Roman"/>
          <w:szCs w:val="21"/>
        </w:rPr>
        <w:t>六、磋商文件中要求提供的其他资料</w:t>
      </w:r>
    </w:p>
    <w:p>
      <w:pPr>
        <w:spacing w:line="400" w:lineRule="exact"/>
        <w:ind w:firstLine="420" w:firstLineChars="200"/>
        <w:rPr>
          <w:rFonts w:ascii="Times New Roman" w:hAnsi="Times New Roman"/>
          <w:szCs w:val="21"/>
        </w:rPr>
      </w:pPr>
      <w:r>
        <w:rPr>
          <w:rFonts w:hint="eastAsia" w:ascii="Times New Roman" w:hAnsi="Times New Roman"/>
          <w:szCs w:val="21"/>
        </w:rPr>
        <w:t>七、技术方案</w:t>
      </w:r>
    </w:p>
    <w:p>
      <w:pPr>
        <w:spacing w:line="400" w:lineRule="exact"/>
        <w:ind w:firstLine="420" w:firstLineChars="200"/>
        <w:rPr>
          <w:rFonts w:ascii="Times New Roman" w:hAnsi="Times New Roman"/>
          <w:szCs w:val="21"/>
        </w:rPr>
      </w:pPr>
      <w:r>
        <w:rPr>
          <w:rFonts w:hint="eastAsia" w:ascii="Times New Roman" w:hAnsi="Times New Roman"/>
          <w:szCs w:val="21"/>
        </w:rPr>
        <w:t>八、报价工程量清单</w:t>
      </w:r>
    </w:p>
    <w:p>
      <w:pPr>
        <w:spacing w:line="400" w:lineRule="exact"/>
        <w:ind w:firstLine="420" w:firstLineChars="200"/>
        <w:rPr>
          <w:rFonts w:ascii="Times New Roman" w:hAnsi="Times New Roman"/>
          <w:szCs w:val="21"/>
        </w:rPr>
      </w:pPr>
      <w:r>
        <w:rPr>
          <w:rFonts w:hint="eastAsia" w:ascii="Times New Roman" w:hAnsi="Times New Roman"/>
          <w:szCs w:val="21"/>
        </w:rPr>
        <w:t xml:space="preserve">九、其他必要的补充或声明 </w:t>
      </w:r>
    </w:p>
    <w:p>
      <w:pPr>
        <w:spacing w:line="400" w:lineRule="exact"/>
        <w:ind w:firstLine="420" w:firstLineChars="200"/>
        <w:rPr>
          <w:rFonts w:ascii="Times New Roman" w:hAnsi="Times New Roman"/>
          <w:szCs w:val="21"/>
        </w:rPr>
      </w:pPr>
      <w:r>
        <w:rPr>
          <w:rFonts w:ascii="Times New Roman" w:hAnsi="Times New Roman"/>
          <w:szCs w:val="21"/>
        </w:rPr>
        <w:t xml:space="preserve">3.1.2 </w:t>
      </w:r>
      <w:r>
        <w:rPr>
          <w:rFonts w:hint="eastAsia" w:ascii="Times New Roman" w:hAnsi="Times New Roman"/>
          <w:szCs w:val="21"/>
        </w:rPr>
        <w:t>供应商须知前附表规定不接受联合体磋商的，或供应商没有组成联合体的，响应文件不包括联合体协议书。</w:t>
      </w:r>
    </w:p>
    <w:p>
      <w:pPr>
        <w:pStyle w:val="49"/>
        <w:outlineLvl w:val="9"/>
        <w:rPr>
          <w:rFonts w:ascii="黑体" w:hAnsi="黑体"/>
          <w:szCs w:val="24"/>
        </w:rPr>
      </w:pPr>
      <w:bookmarkStart w:id="249" w:name="_Toc31205"/>
      <w:bookmarkStart w:id="250" w:name="_Toc152042324"/>
      <w:bookmarkStart w:id="251" w:name="_Toc152045548"/>
      <w:bookmarkStart w:id="252" w:name="_Toc22027"/>
      <w:bookmarkStart w:id="253" w:name="_Toc450217485"/>
      <w:bookmarkStart w:id="254" w:name="_Toc22215429"/>
      <w:bookmarkStart w:id="255" w:name="_Toc8858"/>
      <w:bookmarkStart w:id="256" w:name="_Toc5967"/>
      <w:bookmarkStart w:id="257" w:name="_Toc144974516"/>
      <w:bookmarkStart w:id="258" w:name="_Toc179632566"/>
      <w:r>
        <w:rPr>
          <w:rFonts w:ascii="黑体" w:hAnsi="黑体"/>
          <w:szCs w:val="24"/>
        </w:rPr>
        <w:t xml:space="preserve">3.2 </w:t>
      </w:r>
      <w:r>
        <w:rPr>
          <w:rFonts w:hint="eastAsia" w:ascii="黑体" w:hAnsi="黑体"/>
          <w:szCs w:val="24"/>
        </w:rPr>
        <w:t>磋商报价</w:t>
      </w:r>
      <w:bookmarkEnd w:id="249"/>
      <w:bookmarkEnd w:id="250"/>
      <w:bookmarkEnd w:id="251"/>
      <w:bookmarkEnd w:id="252"/>
      <w:bookmarkEnd w:id="253"/>
      <w:bookmarkEnd w:id="254"/>
      <w:bookmarkEnd w:id="255"/>
      <w:bookmarkEnd w:id="256"/>
      <w:bookmarkEnd w:id="257"/>
      <w:bookmarkEnd w:id="258"/>
    </w:p>
    <w:p>
      <w:pPr>
        <w:spacing w:line="400" w:lineRule="exact"/>
        <w:ind w:firstLine="420" w:firstLineChars="200"/>
        <w:rPr>
          <w:rFonts w:ascii="Times New Roman" w:hAnsi="Times New Roman"/>
          <w:szCs w:val="21"/>
        </w:rPr>
      </w:pPr>
      <w:r>
        <w:rPr>
          <w:rFonts w:ascii="Times New Roman" w:hAnsi="Times New Roman"/>
          <w:szCs w:val="21"/>
        </w:rPr>
        <w:t>3.2.1</w:t>
      </w:r>
      <w:r>
        <w:rPr>
          <w:rFonts w:hint="eastAsia" w:ascii="Times New Roman" w:hAnsi="Times New Roman"/>
          <w:szCs w:val="21"/>
        </w:rPr>
        <w:t>供应商应按照磋商文件第六章“响应文件格式”完整地填写磋商函、报价表以及磋商文件中规定的其他内容。</w:t>
      </w:r>
    </w:p>
    <w:p>
      <w:pPr>
        <w:spacing w:line="400" w:lineRule="exact"/>
        <w:ind w:firstLine="420" w:firstLineChars="200"/>
        <w:rPr>
          <w:rFonts w:ascii="Times New Roman" w:hAnsi="Times New Roman"/>
          <w:szCs w:val="21"/>
        </w:rPr>
      </w:pPr>
      <w:r>
        <w:rPr>
          <w:rFonts w:ascii="Times New Roman" w:hAnsi="Times New Roman"/>
          <w:szCs w:val="21"/>
        </w:rPr>
        <w:t xml:space="preserve">3.2.2 </w:t>
      </w:r>
      <w:r>
        <w:rPr>
          <w:rFonts w:hint="eastAsia" w:ascii="Times New Roman" w:hAnsi="Times New Roman"/>
          <w:szCs w:val="21"/>
        </w:rPr>
        <w:t>供应商应在“磋商一览表</w:t>
      </w:r>
      <w:r>
        <w:rPr>
          <w:rFonts w:ascii="Times New Roman" w:hAnsi="Times New Roman"/>
          <w:szCs w:val="21"/>
        </w:rPr>
        <w:t>(</w:t>
      </w:r>
      <w:r>
        <w:rPr>
          <w:rFonts w:hint="eastAsia" w:ascii="Times New Roman" w:hAnsi="Times New Roman"/>
          <w:szCs w:val="21"/>
        </w:rPr>
        <w:t>报价表</w:t>
      </w:r>
      <w:r>
        <w:rPr>
          <w:rFonts w:ascii="Times New Roman" w:hAnsi="Times New Roman"/>
          <w:szCs w:val="21"/>
        </w:rPr>
        <w:t>)</w:t>
      </w:r>
      <w:r>
        <w:rPr>
          <w:rFonts w:hint="eastAsia" w:ascii="Times New Roman" w:hAnsi="Times New Roman"/>
          <w:szCs w:val="21"/>
        </w:rPr>
        <w:t>”上标明本项目的磋商报价。</w:t>
      </w:r>
    </w:p>
    <w:p>
      <w:pPr>
        <w:pStyle w:val="49"/>
        <w:outlineLvl w:val="9"/>
        <w:rPr>
          <w:rFonts w:ascii="黑体" w:hAnsi="黑体"/>
          <w:szCs w:val="24"/>
        </w:rPr>
      </w:pPr>
      <w:bookmarkStart w:id="259" w:name="_Toc152045549"/>
      <w:bookmarkStart w:id="260" w:name="_Toc12510"/>
      <w:bookmarkStart w:id="261" w:name="_Toc179632567"/>
      <w:bookmarkStart w:id="262" w:name="_Toc22215430"/>
      <w:bookmarkStart w:id="263" w:name="_Toc15662"/>
      <w:bookmarkStart w:id="264" w:name="_Toc152042325"/>
      <w:bookmarkStart w:id="265" w:name="_Toc13416"/>
      <w:bookmarkStart w:id="266" w:name="_Toc11293"/>
      <w:bookmarkStart w:id="267" w:name="_Toc450217486"/>
      <w:bookmarkStart w:id="268" w:name="_Toc144974517"/>
      <w:r>
        <w:rPr>
          <w:rFonts w:ascii="黑体" w:hAnsi="黑体"/>
          <w:szCs w:val="24"/>
        </w:rPr>
        <w:t xml:space="preserve">3.3 </w:t>
      </w:r>
      <w:r>
        <w:rPr>
          <w:rFonts w:hint="eastAsia" w:ascii="黑体" w:hAnsi="黑体"/>
          <w:szCs w:val="24"/>
        </w:rPr>
        <w:t>磋商有效期</w:t>
      </w:r>
      <w:bookmarkEnd w:id="259"/>
      <w:bookmarkEnd w:id="260"/>
      <w:bookmarkEnd w:id="261"/>
      <w:bookmarkEnd w:id="262"/>
      <w:bookmarkEnd w:id="263"/>
      <w:bookmarkEnd w:id="264"/>
      <w:bookmarkEnd w:id="265"/>
      <w:bookmarkEnd w:id="266"/>
      <w:bookmarkEnd w:id="267"/>
      <w:bookmarkEnd w:id="268"/>
    </w:p>
    <w:p>
      <w:pPr>
        <w:spacing w:line="400" w:lineRule="exact"/>
        <w:ind w:firstLine="420" w:firstLineChars="200"/>
        <w:rPr>
          <w:rFonts w:ascii="Times New Roman" w:hAnsi="Times New Roman"/>
          <w:szCs w:val="21"/>
        </w:rPr>
      </w:pPr>
      <w:r>
        <w:rPr>
          <w:rFonts w:ascii="Times New Roman" w:hAnsi="Times New Roman"/>
          <w:szCs w:val="21"/>
        </w:rPr>
        <w:t xml:space="preserve">3.3.1 </w:t>
      </w:r>
      <w:r>
        <w:rPr>
          <w:rFonts w:hint="eastAsia" w:ascii="Times New Roman" w:hAnsi="Times New Roman"/>
          <w:szCs w:val="21"/>
        </w:rPr>
        <w:t>在供应商须知前附表规定的磋商有效期内，供应商不得要求撤销或修改其响应文件。</w:t>
      </w:r>
    </w:p>
    <w:p>
      <w:pPr>
        <w:pStyle w:val="49"/>
        <w:outlineLvl w:val="9"/>
        <w:rPr>
          <w:rFonts w:ascii="黑体" w:hAnsi="黑体"/>
          <w:szCs w:val="24"/>
        </w:rPr>
      </w:pPr>
      <w:bookmarkStart w:id="269" w:name="_Toc450217487"/>
      <w:bookmarkStart w:id="270" w:name="_Toc19991"/>
      <w:bookmarkStart w:id="271" w:name="_Toc179632568"/>
      <w:bookmarkStart w:id="272" w:name="_Toc152042326"/>
      <w:bookmarkStart w:id="273" w:name="_Toc152045550"/>
      <w:bookmarkStart w:id="274" w:name="_Toc26520"/>
      <w:bookmarkStart w:id="275" w:name="_Toc144974518"/>
      <w:bookmarkStart w:id="276" w:name="_Toc25231"/>
      <w:bookmarkStart w:id="277" w:name="_Toc1391"/>
      <w:bookmarkStart w:id="278" w:name="_Toc22215431"/>
      <w:r>
        <w:rPr>
          <w:rFonts w:ascii="黑体" w:hAnsi="黑体"/>
          <w:szCs w:val="24"/>
        </w:rPr>
        <w:t xml:space="preserve">3.4 </w:t>
      </w:r>
      <w:r>
        <w:rPr>
          <w:rFonts w:hint="eastAsia" w:ascii="黑体" w:hAnsi="黑体"/>
          <w:szCs w:val="24"/>
        </w:rPr>
        <w:t>磋商保证金</w:t>
      </w:r>
      <w:bookmarkEnd w:id="269"/>
      <w:bookmarkEnd w:id="270"/>
      <w:bookmarkEnd w:id="271"/>
      <w:bookmarkEnd w:id="272"/>
      <w:bookmarkEnd w:id="273"/>
      <w:bookmarkEnd w:id="274"/>
      <w:bookmarkEnd w:id="275"/>
      <w:r>
        <w:rPr>
          <w:rFonts w:hint="eastAsia" w:ascii="黑体" w:hAnsi="黑体"/>
          <w:szCs w:val="24"/>
        </w:rPr>
        <w:t>：无</w:t>
      </w:r>
      <w:bookmarkEnd w:id="276"/>
      <w:bookmarkEnd w:id="277"/>
      <w:bookmarkEnd w:id="278"/>
    </w:p>
    <w:p>
      <w:pPr>
        <w:pStyle w:val="49"/>
        <w:outlineLvl w:val="9"/>
        <w:rPr>
          <w:rFonts w:ascii="黑体" w:hAnsi="黑体"/>
          <w:szCs w:val="24"/>
        </w:rPr>
      </w:pPr>
      <w:bookmarkStart w:id="279" w:name="_Toc21334"/>
      <w:bookmarkStart w:id="280" w:name="_Toc27974"/>
      <w:bookmarkStart w:id="281" w:name="_Toc1567"/>
      <w:bookmarkStart w:id="282" w:name="_Toc152045552"/>
      <w:bookmarkStart w:id="283" w:name="_Toc450217488"/>
      <w:bookmarkStart w:id="284" w:name="_Toc31577"/>
      <w:bookmarkStart w:id="285" w:name="_Toc144974520"/>
      <w:bookmarkStart w:id="286" w:name="_Toc22215432"/>
      <w:bookmarkStart w:id="287" w:name="_Toc179632570"/>
      <w:bookmarkStart w:id="288" w:name="_Toc152042328"/>
      <w:r>
        <w:rPr>
          <w:rFonts w:ascii="黑体" w:hAnsi="黑体"/>
          <w:szCs w:val="24"/>
        </w:rPr>
        <w:t xml:space="preserve">3.5 </w:t>
      </w:r>
      <w:r>
        <w:rPr>
          <w:rFonts w:hint="eastAsia" w:ascii="黑体" w:hAnsi="黑体"/>
          <w:szCs w:val="24"/>
        </w:rPr>
        <w:t>资格审查资料</w:t>
      </w:r>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Times New Roman" w:hAnsi="Times New Roman"/>
          <w:szCs w:val="21"/>
        </w:rPr>
      </w:pPr>
      <w:r>
        <w:rPr>
          <w:rFonts w:ascii="Times New Roman" w:hAnsi="Times New Roman"/>
          <w:szCs w:val="21"/>
        </w:rPr>
        <w:t xml:space="preserve">3.5.1 </w:t>
      </w:r>
      <w:r>
        <w:rPr>
          <w:rFonts w:hint="eastAsia" w:ascii="Times New Roman" w:hAnsi="Times New Roman"/>
          <w:szCs w:val="21"/>
        </w:rPr>
        <w:t>详见第三章评审办法“资格性审查表”。</w:t>
      </w:r>
    </w:p>
    <w:p>
      <w:pPr>
        <w:pStyle w:val="49"/>
        <w:outlineLvl w:val="9"/>
        <w:rPr>
          <w:rFonts w:ascii="黑体" w:hAnsi="黑体"/>
          <w:szCs w:val="24"/>
        </w:rPr>
      </w:pPr>
      <w:bookmarkStart w:id="289" w:name="_Toc24508"/>
      <w:bookmarkStart w:id="290" w:name="_Toc152042329"/>
      <w:bookmarkStart w:id="291" w:name="_Toc152045553"/>
      <w:bookmarkStart w:id="292" w:name="_Toc144974521"/>
      <w:bookmarkStart w:id="293" w:name="_Toc5697"/>
      <w:bookmarkStart w:id="294" w:name="_Toc179632571"/>
      <w:bookmarkStart w:id="295" w:name="_Toc7833"/>
      <w:bookmarkStart w:id="296" w:name="_Toc22215433"/>
      <w:bookmarkStart w:id="297" w:name="_Toc27471"/>
      <w:bookmarkStart w:id="298" w:name="_Toc450217489"/>
      <w:r>
        <w:rPr>
          <w:rFonts w:ascii="黑体" w:hAnsi="黑体"/>
          <w:szCs w:val="24"/>
        </w:rPr>
        <w:t xml:space="preserve">3.6 </w:t>
      </w:r>
      <w:r>
        <w:rPr>
          <w:rFonts w:hint="eastAsia" w:ascii="黑体" w:hAnsi="黑体"/>
          <w:szCs w:val="24"/>
        </w:rPr>
        <w:t>备选磋商方案</w:t>
      </w:r>
      <w:bookmarkEnd w:id="289"/>
      <w:bookmarkEnd w:id="290"/>
      <w:bookmarkEnd w:id="291"/>
      <w:bookmarkEnd w:id="292"/>
      <w:bookmarkEnd w:id="293"/>
      <w:bookmarkEnd w:id="294"/>
      <w:bookmarkEnd w:id="295"/>
      <w:bookmarkEnd w:id="296"/>
      <w:bookmarkEnd w:id="297"/>
      <w:bookmarkEnd w:id="298"/>
    </w:p>
    <w:p>
      <w:pPr>
        <w:spacing w:line="400" w:lineRule="exact"/>
        <w:ind w:firstLine="420" w:firstLineChars="200"/>
        <w:rPr>
          <w:rFonts w:ascii="宋体" w:cs="宋体"/>
          <w:szCs w:val="21"/>
        </w:rPr>
      </w:pPr>
      <w:r>
        <w:rPr>
          <w:rFonts w:hint="eastAsia" w:ascii="宋体" w:hAnsi="宋体" w:cs="宋体"/>
          <w:szCs w:val="21"/>
        </w:rPr>
        <w:t>除供应商须知前附表另有规定外，供应商不得递交备选磋商方案。允许供应商递交备选磋商方案的，只有成交供应商所递交的备选磋商方案方可予以考虑。磋商小组认为成交候选人的备选磋商方案优于其按照磋商文件要求编制的磋商方案的，该成交候选人被确定成交供应商后，采购人可以接受该备选磋商方案。</w:t>
      </w:r>
    </w:p>
    <w:p>
      <w:pPr>
        <w:pStyle w:val="49"/>
        <w:outlineLvl w:val="9"/>
        <w:rPr>
          <w:rFonts w:ascii="黑体" w:hAnsi="黑体"/>
          <w:szCs w:val="24"/>
        </w:rPr>
      </w:pPr>
      <w:bookmarkStart w:id="299" w:name="_Toc179632572"/>
      <w:bookmarkStart w:id="300" w:name="_Toc30233"/>
      <w:bookmarkStart w:id="301" w:name="_Toc23970"/>
      <w:bookmarkStart w:id="302" w:name="_Toc450217490"/>
      <w:bookmarkStart w:id="303" w:name="_Toc144974522"/>
      <w:bookmarkStart w:id="304" w:name="_Toc5015"/>
      <w:bookmarkStart w:id="305" w:name="_Toc152042330"/>
      <w:bookmarkStart w:id="306" w:name="_Toc152045554"/>
      <w:bookmarkStart w:id="307" w:name="_Toc749"/>
      <w:bookmarkStart w:id="308" w:name="_Toc22215434"/>
      <w:r>
        <w:rPr>
          <w:rFonts w:ascii="黑体" w:hAnsi="黑体"/>
          <w:szCs w:val="24"/>
        </w:rPr>
        <w:t xml:space="preserve">3.7 </w:t>
      </w:r>
      <w:r>
        <w:rPr>
          <w:rFonts w:hint="eastAsia" w:ascii="黑体" w:hAnsi="黑体"/>
          <w:szCs w:val="24"/>
        </w:rPr>
        <w:t>响应文件的编制</w:t>
      </w:r>
      <w:bookmarkEnd w:id="299"/>
      <w:bookmarkEnd w:id="300"/>
      <w:bookmarkEnd w:id="301"/>
      <w:bookmarkEnd w:id="302"/>
      <w:bookmarkEnd w:id="303"/>
      <w:bookmarkEnd w:id="304"/>
      <w:bookmarkEnd w:id="305"/>
      <w:bookmarkEnd w:id="306"/>
      <w:bookmarkEnd w:id="307"/>
      <w:bookmarkEnd w:id="308"/>
    </w:p>
    <w:p>
      <w:pPr>
        <w:spacing w:line="400" w:lineRule="exact"/>
        <w:ind w:firstLine="420" w:firstLineChars="200"/>
        <w:rPr>
          <w:rFonts w:ascii="Times New Roman" w:hAnsi="Times New Roman"/>
          <w:szCs w:val="21"/>
        </w:rPr>
      </w:pPr>
      <w:r>
        <w:rPr>
          <w:rFonts w:ascii="Times New Roman" w:hAnsi="Times New Roman"/>
          <w:szCs w:val="21"/>
        </w:rPr>
        <w:t>3.7.1</w:t>
      </w:r>
      <w:r>
        <w:rPr>
          <w:rFonts w:hint="eastAsia" w:ascii="Times New Roman" w:hAnsi="Times New Roman"/>
          <w:szCs w:val="21"/>
        </w:rPr>
        <w:t>响应文件应按第六章“响应文件格式”进行编写，如有必要，可以增加附页，作为响应文件的组成部分。</w:t>
      </w:r>
    </w:p>
    <w:p>
      <w:pPr>
        <w:spacing w:line="400" w:lineRule="exact"/>
        <w:ind w:firstLine="420" w:firstLineChars="200"/>
        <w:rPr>
          <w:rFonts w:ascii="Times New Roman" w:hAnsi="Times New Roman"/>
          <w:szCs w:val="21"/>
        </w:rPr>
      </w:pPr>
      <w:r>
        <w:rPr>
          <w:rFonts w:ascii="Times New Roman" w:hAnsi="Times New Roman"/>
          <w:szCs w:val="21"/>
        </w:rPr>
        <w:t xml:space="preserve">3.7.2 </w:t>
      </w:r>
      <w:r>
        <w:rPr>
          <w:rFonts w:hint="eastAsia" w:ascii="Times New Roman" w:hAnsi="Times New Roman"/>
          <w:szCs w:val="21"/>
        </w:rPr>
        <w:t>响应文件应当对磋商文件有关采购需求、工期、磋商报价要求、磋商有效期、合同条款等实质性内容作出响应。</w:t>
      </w:r>
    </w:p>
    <w:p>
      <w:pPr>
        <w:tabs>
          <w:tab w:val="left" w:pos="709"/>
        </w:tabs>
        <w:spacing w:line="400" w:lineRule="exact"/>
        <w:ind w:firstLine="420" w:firstLineChars="200"/>
        <w:rPr>
          <w:rFonts w:ascii="Times New Roman" w:hAnsi="Times New Roman"/>
          <w:szCs w:val="21"/>
        </w:rPr>
      </w:pPr>
      <w:r>
        <w:rPr>
          <w:rFonts w:ascii="Times New Roman" w:hAnsi="Times New Roman"/>
          <w:szCs w:val="21"/>
        </w:rPr>
        <w:t>3.7.</w:t>
      </w:r>
      <w:r>
        <w:rPr>
          <w:rFonts w:hint="eastAsia" w:ascii="Times New Roman" w:hAnsi="Times New Roman"/>
          <w:szCs w:val="21"/>
        </w:rPr>
        <w:t>3供应商应提交符合磋商文件规定的证明文件，并作为响应文件的组成部分。</w:t>
      </w:r>
    </w:p>
    <w:p>
      <w:pPr>
        <w:spacing w:line="400" w:lineRule="exact"/>
        <w:ind w:firstLine="420" w:firstLineChars="200"/>
        <w:rPr>
          <w:rFonts w:ascii="Times New Roman" w:hAnsi="Times New Roman"/>
          <w:szCs w:val="21"/>
        </w:rPr>
      </w:pPr>
      <w:r>
        <w:rPr>
          <w:rFonts w:ascii="Times New Roman" w:hAnsi="Times New Roman"/>
          <w:szCs w:val="21"/>
        </w:rPr>
        <w:t>3.7.</w:t>
      </w:r>
      <w:r>
        <w:rPr>
          <w:rFonts w:hint="eastAsia" w:ascii="Times New Roman" w:hAnsi="Times New Roman"/>
          <w:szCs w:val="21"/>
        </w:rPr>
        <w:t>4如果磋商文件中设立了“★”号条款（参数），“★”号条款（参数）定义及偏离处置方法见供应商须知前附表规定。</w:t>
      </w:r>
    </w:p>
    <w:p>
      <w:pPr>
        <w:spacing w:line="400" w:lineRule="exact"/>
        <w:ind w:firstLine="420" w:firstLineChars="200"/>
        <w:rPr>
          <w:rFonts w:ascii="Times New Roman" w:hAnsi="Times New Roman"/>
          <w:szCs w:val="21"/>
        </w:rPr>
      </w:pPr>
      <w:r>
        <w:rPr>
          <w:rFonts w:ascii="Times New Roman" w:hAnsi="Times New Roman"/>
          <w:szCs w:val="21"/>
        </w:rPr>
        <w:t>3.7.</w:t>
      </w:r>
      <w:r>
        <w:rPr>
          <w:rFonts w:hint="eastAsia" w:ascii="Times New Roman" w:hAnsi="Times New Roman"/>
          <w:szCs w:val="21"/>
        </w:rPr>
        <w:t>5供应商在阐述本章第</w:t>
      </w:r>
      <w:r>
        <w:rPr>
          <w:rFonts w:ascii="Times New Roman" w:hAnsi="Times New Roman"/>
          <w:szCs w:val="21"/>
        </w:rPr>
        <w:t>3.7.4</w:t>
      </w:r>
      <w:r>
        <w:rPr>
          <w:rFonts w:hint="eastAsia" w:ascii="Times New Roman" w:hAnsi="Times New Roman"/>
          <w:szCs w:val="21"/>
        </w:rPr>
        <w:t>项时，应注意采购人在“采购需求”中指出的采购标的物的标准为最低技术需求，供应商在磋商中可以选用替代标准，但这些替代应实质上满足或超过磋商文件的要求。</w:t>
      </w:r>
    </w:p>
    <w:p>
      <w:pPr>
        <w:spacing w:line="400" w:lineRule="exact"/>
        <w:ind w:firstLine="420" w:firstLineChars="200"/>
        <w:rPr>
          <w:rFonts w:ascii="Times New Roman" w:hAnsi="Times New Roman"/>
          <w:szCs w:val="21"/>
        </w:rPr>
      </w:pPr>
      <w:r>
        <w:rPr>
          <w:rFonts w:ascii="Times New Roman" w:hAnsi="Times New Roman"/>
          <w:szCs w:val="21"/>
        </w:rPr>
        <w:t>3.7.</w:t>
      </w:r>
      <w:r>
        <w:rPr>
          <w:rFonts w:hint="eastAsia" w:ascii="Times New Roman" w:hAnsi="Times New Roman"/>
          <w:szCs w:val="21"/>
        </w:rPr>
        <w:t>6 响应文件应用不褪色的材料书写或打印，并由供应商的法定代表人或其委托代理人签字和（或）盖单位章。委托代理人签字的，响应文件应附法定代表人签署的授权委托书。响应文件应尽量避免涂改、行间插字或删除。如果出现上述情况，改动之处应加盖单位章或由供应商的法定代表人或其授权的代理人签字确认。第六章“响应文件格式”要求供应商签字和（或）盖单位章的地方，供应商应当签字和（或）盖单位章。签字和（或）盖单位章的具体要求见供应商须知前附表。</w:t>
      </w:r>
    </w:p>
    <w:p>
      <w:pPr>
        <w:spacing w:line="400" w:lineRule="exact"/>
        <w:ind w:firstLine="420" w:firstLineChars="200"/>
        <w:rPr>
          <w:rFonts w:ascii="Times New Roman" w:hAnsi="Times New Roman"/>
          <w:b/>
          <w:bCs/>
          <w:szCs w:val="21"/>
        </w:rPr>
      </w:pPr>
      <w:r>
        <w:rPr>
          <w:rFonts w:ascii="Times New Roman" w:hAnsi="Times New Roman"/>
          <w:szCs w:val="21"/>
        </w:rPr>
        <w:t>3.7.</w:t>
      </w:r>
      <w:r>
        <w:rPr>
          <w:rFonts w:hint="eastAsia" w:ascii="Times New Roman" w:hAnsi="Times New Roman"/>
          <w:szCs w:val="21"/>
        </w:rPr>
        <w:t>7 响应文件正本一份</w:t>
      </w:r>
      <w:r>
        <w:rPr>
          <w:rFonts w:ascii="Times New Roman" w:hAnsi="Times New Roman"/>
          <w:szCs w:val="21"/>
        </w:rPr>
        <w:t xml:space="preserve">, </w:t>
      </w:r>
      <w:r>
        <w:rPr>
          <w:rFonts w:hint="eastAsia" w:ascii="Times New Roman" w:hAnsi="Times New Roman"/>
          <w:szCs w:val="21"/>
        </w:rPr>
        <w:t>副本份数见供应商须知前附表。正本和副本的封面上应清楚地标记“正本”或“副本”的字样。</w:t>
      </w:r>
      <w:r>
        <w:rPr>
          <w:rFonts w:hint="eastAsia" w:ascii="Times New Roman" w:hAnsi="Times New Roman"/>
          <w:b/>
          <w:bCs/>
          <w:szCs w:val="21"/>
          <w:em w:val="dot"/>
        </w:rPr>
        <w:t>当副本和正本不一致时，以正本为准。单独密封的磋商一览表如与响应文件正本不一致，以响应文件正本中磋商一览表为准。</w:t>
      </w:r>
    </w:p>
    <w:p>
      <w:pPr>
        <w:spacing w:line="400" w:lineRule="exact"/>
        <w:ind w:firstLine="420" w:firstLineChars="200"/>
        <w:rPr>
          <w:rFonts w:ascii="Times New Roman" w:hAnsi="Times New Roman"/>
          <w:szCs w:val="21"/>
        </w:rPr>
      </w:pPr>
      <w:r>
        <w:rPr>
          <w:rFonts w:ascii="Times New Roman" w:hAnsi="Times New Roman"/>
          <w:szCs w:val="21"/>
        </w:rPr>
        <w:t>3.7.</w:t>
      </w:r>
      <w:r>
        <w:rPr>
          <w:rFonts w:hint="eastAsia" w:ascii="Times New Roman" w:hAnsi="Times New Roman"/>
          <w:szCs w:val="21"/>
        </w:rPr>
        <w:t>8响应文件的正本与副本应采用不可拆卸形式分别装订成册，并编制目录。</w:t>
      </w:r>
    </w:p>
    <w:p>
      <w:pPr>
        <w:spacing w:line="400" w:lineRule="exact"/>
        <w:ind w:firstLine="420" w:firstLineChars="200"/>
        <w:rPr>
          <w:rFonts w:ascii="Times New Roman" w:hAnsi="Times New Roman"/>
          <w:szCs w:val="21"/>
        </w:rPr>
      </w:pPr>
    </w:p>
    <w:p>
      <w:pPr>
        <w:pStyle w:val="46"/>
        <w:spacing w:beforeLines="50" w:afterLines="50"/>
        <w:jc w:val="center"/>
        <w:rPr>
          <w:rFonts w:ascii="黑体" w:hAnsi="黑体"/>
          <w:b/>
          <w:szCs w:val="28"/>
        </w:rPr>
      </w:pPr>
      <w:bookmarkStart w:id="309" w:name="_Toc387647213"/>
      <w:bookmarkStart w:id="310" w:name="_Toc450217491"/>
      <w:bookmarkStart w:id="311" w:name="_Toc179632573"/>
      <w:bookmarkStart w:id="312" w:name="_Toc152042331"/>
      <w:bookmarkStart w:id="313" w:name="_Toc144974523"/>
      <w:bookmarkStart w:id="314" w:name="_Toc28867"/>
      <w:bookmarkStart w:id="315" w:name="_Toc152045555"/>
      <w:bookmarkStart w:id="316" w:name="_Toc22215435"/>
      <w:bookmarkStart w:id="317" w:name="_Toc30677"/>
      <w:bookmarkStart w:id="318" w:name="_Toc31537"/>
      <w:bookmarkStart w:id="319" w:name="_Toc32326"/>
      <w:bookmarkStart w:id="320" w:name="_Toc977"/>
      <w:r>
        <w:rPr>
          <w:rFonts w:ascii="黑体" w:hAnsi="黑体"/>
          <w:b/>
          <w:szCs w:val="28"/>
        </w:rPr>
        <w:t xml:space="preserve">4. </w:t>
      </w:r>
      <w:bookmarkEnd w:id="309"/>
      <w:bookmarkEnd w:id="310"/>
      <w:bookmarkEnd w:id="311"/>
      <w:bookmarkEnd w:id="312"/>
      <w:bookmarkEnd w:id="313"/>
      <w:bookmarkEnd w:id="314"/>
      <w:bookmarkEnd w:id="315"/>
      <w:r>
        <w:rPr>
          <w:rFonts w:hint="eastAsia" w:ascii="黑体" w:hAnsi="黑体"/>
          <w:b/>
          <w:szCs w:val="28"/>
        </w:rPr>
        <w:t>磋商</w:t>
      </w:r>
      <w:bookmarkEnd w:id="316"/>
      <w:bookmarkEnd w:id="317"/>
      <w:bookmarkEnd w:id="318"/>
      <w:bookmarkEnd w:id="319"/>
      <w:bookmarkEnd w:id="320"/>
    </w:p>
    <w:p>
      <w:pPr>
        <w:pStyle w:val="49"/>
        <w:outlineLvl w:val="9"/>
        <w:rPr>
          <w:rFonts w:ascii="黑体" w:hAnsi="黑体"/>
          <w:szCs w:val="24"/>
        </w:rPr>
      </w:pPr>
      <w:bookmarkStart w:id="321" w:name="_Toc152045556"/>
      <w:bookmarkStart w:id="322" w:name="_Toc144974524"/>
      <w:bookmarkStart w:id="323" w:name="_Toc179632574"/>
      <w:bookmarkStart w:id="324" w:name="_Toc152042332"/>
      <w:bookmarkStart w:id="325" w:name="_Toc25290"/>
      <w:bookmarkStart w:id="326" w:name="_Toc4736"/>
      <w:bookmarkStart w:id="327" w:name="_Toc22215436"/>
      <w:bookmarkStart w:id="328" w:name="_Toc450217492"/>
      <w:bookmarkStart w:id="329" w:name="_Toc17929"/>
      <w:bookmarkStart w:id="330" w:name="_Toc1970"/>
      <w:r>
        <w:rPr>
          <w:rFonts w:ascii="黑体" w:hAnsi="黑体"/>
          <w:szCs w:val="24"/>
        </w:rPr>
        <w:t xml:space="preserve">4.1 </w:t>
      </w:r>
      <w:r>
        <w:rPr>
          <w:rFonts w:hint="eastAsia" w:ascii="黑体" w:hAnsi="黑体"/>
          <w:szCs w:val="24"/>
        </w:rPr>
        <w:t>响应文件的密封和标</w:t>
      </w:r>
      <w:bookmarkEnd w:id="321"/>
      <w:bookmarkEnd w:id="322"/>
      <w:bookmarkEnd w:id="323"/>
      <w:bookmarkEnd w:id="324"/>
      <w:r>
        <w:rPr>
          <w:rFonts w:hint="eastAsia" w:ascii="黑体" w:hAnsi="黑体"/>
          <w:szCs w:val="24"/>
        </w:rPr>
        <w:t>识</w:t>
      </w:r>
      <w:bookmarkEnd w:id="325"/>
      <w:bookmarkEnd w:id="326"/>
      <w:bookmarkEnd w:id="327"/>
      <w:bookmarkEnd w:id="328"/>
      <w:bookmarkEnd w:id="329"/>
      <w:bookmarkEnd w:id="330"/>
    </w:p>
    <w:p>
      <w:pPr>
        <w:spacing w:line="400" w:lineRule="exact"/>
        <w:ind w:firstLine="420" w:firstLineChars="200"/>
        <w:rPr>
          <w:rFonts w:ascii="Times New Roman" w:hAnsi="Times New Roman"/>
          <w:szCs w:val="21"/>
          <w:em w:val="dot"/>
        </w:rPr>
      </w:pPr>
      <w:bookmarkStart w:id="331" w:name="_Toc152045557"/>
      <w:bookmarkStart w:id="332" w:name="_Toc152042333"/>
      <w:bookmarkStart w:id="333" w:name="_Toc179632575"/>
      <w:bookmarkStart w:id="334" w:name="_Toc450217493"/>
      <w:bookmarkStart w:id="335" w:name="_Toc144974525"/>
      <w:r>
        <w:rPr>
          <w:rFonts w:hint="eastAsia" w:ascii="Times New Roman" w:hAnsi="Times New Roman"/>
          <w:szCs w:val="21"/>
        </w:rPr>
        <w:t>4.1.1</w:t>
      </w:r>
      <w:r>
        <w:rPr>
          <w:rFonts w:hint="eastAsia" w:ascii="Times New Roman" w:hAnsi="Times New Roman"/>
          <w:b/>
          <w:bCs/>
          <w:szCs w:val="21"/>
          <w:em w:val="dot"/>
        </w:rPr>
        <w:t>响应文件应进行密封包装提交。为方便开标唱标，供应商须单独密封包装提交“磋商一览表（报价表）”一份，其封面上写明项目编号、项目名称及供应商全称，并注明“磋商一览表”字样。未按要求密封及标识的，采购人或代理机构应予拒收</w:t>
      </w:r>
      <w:r>
        <w:rPr>
          <w:rFonts w:hint="eastAsia" w:ascii="Times New Roman" w:hAnsi="Times New Roman"/>
          <w:szCs w:val="21"/>
          <w:em w:val="dot"/>
        </w:rPr>
        <w:t xml:space="preserve">。 </w:t>
      </w:r>
    </w:p>
    <w:p>
      <w:pPr>
        <w:pStyle w:val="49"/>
        <w:outlineLvl w:val="9"/>
        <w:rPr>
          <w:rFonts w:ascii="黑体" w:hAnsi="黑体"/>
          <w:szCs w:val="24"/>
        </w:rPr>
      </w:pPr>
      <w:bookmarkStart w:id="336" w:name="_Toc14509"/>
      <w:bookmarkStart w:id="337" w:name="_Toc14929"/>
      <w:bookmarkStart w:id="338" w:name="_Toc6265"/>
      <w:bookmarkStart w:id="339" w:name="_Toc22215437"/>
      <w:bookmarkStart w:id="340" w:name="_Toc31632"/>
      <w:r>
        <w:rPr>
          <w:rFonts w:ascii="黑体" w:hAnsi="黑体"/>
          <w:szCs w:val="24"/>
        </w:rPr>
        <w:t xml:space="preserve">4.2 </w:t>
      </w:r>
      <w:r>
        <w:rPr>
          <w:rFonts w:hint="eastAsia" w:ascii="黑体" w:hAnsi="黑体"/>
          <w:szCs w:val="24"/>
        </w:rPr>
        <w:t>响应文件的递交</w:t>
      </w:r>
      <w:bookmarkEnd w:id="331"/>
      <w:bookmarkEnd w:id="332"/>
      <w:bookmarkEnd w:id="333"/>
      <w:bookmarkEnd w:id="334"/>
      <w:bookmarkEnd w:id="335"/>
      <w:bookmarkEnd w:id="336"/>
      <w:bookmarkEnd w:id="337"/>
      <w:bookmarkEnd w:id="338"/>
      <w:bookmarkEnd w:id="339"/>
      <w:bookmarkEnd w:id="340"/>
    </w:p>
    <w:p>
      <w:pPr>
        <w:spacing w:line="400" w:lineRule="exact"/>
        <w:ind w:firstLine="420" w:firstLineChars="200"/>
        <w:rPr>
          <w:rFonts w:ascii="Times New Roman" w:hAnsi="Times New Roman"/>
          <w:szCs w:val="21"/>
        </w:rPr>
      </w:pPr>
      <w:bookmarkStart w:id="341" w:name="_Toc179632576"/>
      <w:bookmarkStart w:id="342" w:name="_Toc152042334"/>
      <w:bookmarkStart w:id="343" w:name="_Toc450217494"/>
      <w:bookmarkStart w:id="344" w:name="_Toc144974526"/>
      <w:bookmarkStart w:id="345" w:name="_Toc152045558"/>
      <w:r>
        <w:rPr>
          <w:rFonts w:hint="eastAsia" w:ascii="Times New Roman" w:hAnsi="Times New Roman"/>
          <w:szCs w:val="21"/>
        </w:rPr>
        <w:t>4.2.1 供应商递交响应文件的截止时间（磋商截止时间）：见供应商须知前附表。</w:t>
      </w:r>
    </w:p>
    <w:p>
      <w:pPr>
        <w:spacing w:line="400" w:lineRule="exact"/>
        <w:ind w:firstLine="420" w:firstLineChars="200"/>
        <w:rPr>
          <w:rFonts w:ascii="Times New Roman" w:hAnsi="Times New Roman"/>
          <w:szCs w:val="21"/>
        </w:rPr>
      </w:pPr>
      <w:r>
        <w:rPr>
          <w:rFonts w:hint="eastAsia" w:ascii="Times New Roman" w:hAnsi="Times New Roman"/>
          <w:szCs w:val="21"/>
        </w:rPr>
        <w:t>4.2.2 供应商递交响应文件的地点：见供应商须知前附表。</w:t>
      </w:r>
    </w:p>
    <w:p>
      <w:pPr>
        <w:spacing w:line="400" w:lineRule="exact"/>
        <w:ind w:firstLine="420" w:firstLineChars="200"/>
        <w:rPr>
          <w:rFonts w:ascii="Times New Roman" w:hAnsi="Times New Roman"/>
          <w:szCs w:val="21"/>
        </w:rPr>
      </w:pPr>
      <w:r>
        <w:rPr>
          <w:rFonts w:hint="eastAsia" w:ascii="Times New Roman" w:hAnsi="Times New Roman"/>
          <w:szCs w:val="21"/>
        </w:rPr>
        <w:t>4.2.3除供应商须知前附表另有约定外，供应商所递交的响应文件不予退还。</w:t>
      </w:r>
    </w:p>
    <w:p>
      <w:pPr>
        <w:spacing w:line="400" w:lineRule="exact"/>
        <w:ind w:firstLine="420" w:firstLineChars="200"/>
        <w:rPr>
          <w:rFonts w:ascii="Times New Roman" w:hAnsi="Times New Roman"/>
          <w:szCs w:val="21"/>
        </w:rPr>
      </w:pPr>
      <w:r>
        <w:rPr>
          <w:rFonts w:hint="eastAsia" w:ascii="Times New Roman" w:hAnsi="Times New Roman"/>
          <w:szCs w:val="21"/>
        </w:rPr>
        <w:t>4.2.4逾期送达或者未送达指定地点的响应文件，采购人将拒收。</w:t>
      </w:r>
    </w:p>
    <w:p>
      <w:pPr>
        <w:pStyle w:val="49"/>
        <w:outlineLvl w:val="9"/>
        <w:rPr>
          <w:rFonts w:ascii="黑体" w:hAnsi="黑体"/>
          <w:szCs w:val="24"/>
        </w:rPr>
      </w:pPr>
      <w:bookmarkStart w:id="346" w:name="_Toc3496"/>
      <w:bookmarkStart w:id="347" w:name="_Toc22215438"/>
      <w:bookmarkStart w:id="348" w:name="_Toc1991"/>
      <w:bookmarkStart w:id="349" w:name="_Toc28668"/>
      <w:bookmarkStart w:id="350" w:name="_Toc11728"/>
      <w:r>
        <w:rPr>
          <w:rFonts w:ascii="黑体" w:hAnsi="黑体"/>
          <w:szCs w:val="24"/>
        </w:rPr>
        <w:t xml:space="preserve">4.3 </w:t>
      </w:r>
      <w:r>
        <w:rPr>
          <w:rFonts w:hint="eastAsia" w:ascii="黑体" w:hAnsi="黑体"/>
          <w:szCs w:val="24"/>
        </w:rPr>
        <w:t>响应文件的修改与撤回</w:t>
      </w:r>
      <w:bookmarkEnd w:id="341"/>
      <w:bookmarkEnd w:id="342"/>
      <w:bookmarkEnd w:id="343"/>
      <w:bookmarkEnd w:id="344"/>
      <w:bookmarkEnd w:id="345"/>
      <w:bookmarkEnd w:id="346"/>
      <w:bookmarkEnd w:id="347"/>
      <w:bookmarkEnd w:id="348"/>
      <w:bookmarkEnd w:id="349"/>
      <w:bookmarkEnd w:id="350"/>
    </w:p>
    <w:p>
      <w:pPr>
        <w:spacing w:line="400" w:lineRule="exact"/>
        <w:ind w:firstLine="420" w:firstLineChars="200"/>
        <w:rPr>
          <w:rFonts w:ascii="Times New Roman" w:hAnsi="Times New Roman"/>
          <w:szCs w:val="21"/>
        </w:rPr>
      </w:pPr>
      <w:r>
        <w:rPr>
          <w:rFonts w:ascii="Times New Roman" w:hAnsi="Times New Roman"/>
          <w:szCs w:val="21"/>
        </w:rPr>
        <w:t xml:space="preserve">4.3.1 </w:t>
      </w:r>
      <w:r>
        <w:rPr>
          <w:rFonts w:hint="eastAsia" w:ascii="Times New Roman" w:hAnsi="Times New Roman"/>
          <w:szCs w:val="21"/>
        </w:rPr>
        <w:t>在本章第</w:t>
      </w:r>
      <w:r>
        <w:rPr>
          <w:rFonts w:ascii="Times New Roman" w:hAnsi="Times New Roman"/>
          <w:szCs w:val="21"/>
        </w:rPr>
        <w:t>4.2.1</w:t>
      </w:r>
      <w:r>
        <w:rPr>
          <w:rFonts w:hint="eastAsia" w:ascii="Times New Roman" w:hAnsi="Times New Roman"/>
          <w:szCs w:val="21"/>
        </w:rPr>
        <w:t>项规定的磋商截止时间前，供应商可以修改或撤回已递交的响应文件，但应以书面形式通知采购人。</w:t>
      </w:r>
    </w:p>
    <w:p>
      <w:pPr>
        <w:spacing w:line="400" w:lineRule="exact"/>
        <w:ind w:firstLine="420" w:firstLineChars="200"/>
        <w:rPr>
          <w:rFonts w:ascii="Times New Roman" w:hAnsi="Times New Roman"/>
          <w:szCs w:val="21"/>
        </w:rPr>
      </w:pPr>
      <w:r>
        <w:rPr>
          <w:rFonts w:ascii="Times New Roman" w:hAnsi="Times New Roman"/>
          <w:szCs w:val="21"/>
        </w:rPr>
        <w:t xml:space="preserve">4.3.2 </w:t>
      </w:r>
      <w:r>
        <w:rPr>
          <w:rFonts w:hint="eastAsia" w:ascii="Times New Roman" w:hAnsi="Times New Roman"/>
          <w:szCs w:val="21"/>
        </w:rPr>
        <w:t>供应商修改或撤回已递交响应文件的书面通知应按照本章第</w:t>
      </w:r>
      <w:r>
        <w:rPr>
          <w:rFonts w:ascii="Times New Roman" w:hAnsi="Times New Roman"/>
          <w:szCs w:val="21"/>
        </w:rPr>
        <w:t>3.7.</w:t>
      </w:r>
      <w:r>
        <w:rPr>
          <w:rFonts w:hint="eastAsia" w:ascii="Times New Roman" w:hAnsi="Times New Roman"/>
          <w:szCs w:val="21"/>
        </w:rPr>
        <w:t>6项的要求签字或盖单位章。</w:t>
      </w:r>
    </w:p>
    <w:p>
      <w:pPr>
        <w:spacing w:line="400" w:lineRule="exact"/>
        <w:ind w:firstLine="420" w:firstLineChars="200"/>
        <w:rPr>
          <w:rFonts w:ascii="Times New Roman" w:hAnsi="Times New Roman"/>
          <w:szCs w:val="21"/>
        </w:rPr>
      </w:pPr>
      <w:r>
        <w:rPr>
          <w:rFonts w:ascii="Times New Roman" w:hAnsi="Times New Roman"/>
          <w:szCs w:val="21"/>
        </w:rPr>
        <w:t xml:space="preserve">4.3.3 </w:t>
      </w:r>
      <w:r>
        <w:rPr>
          <w:rFonts w:hint="eastAsia" w:ascii="Times New Roman" w:hAnsi="Times New Roman"/>
          <w:szCs w:val="21"/>
        </w:rPr>
        <w:t>修改的内容为响应文件的组成部分。修改的响应文件应按照本章第</w:t>
      </w:r>
      <w:r>
        <w:rPr>
          <w:rFonts w:ascii="Times New Roman" w:hAnsi="Times New Roman"/>
          <w:szCs w:val="21"/>
        </w:rPr>
        <w:t>3</w:t>
      </w:r>
      <w:r>
        <w:rPr>
          <w:rFonts w:hint="eastAsia" w:ascii="Times New Roman" w:hAnsi="Times New Roman"/>
          <w:szCs w:val="21"/>
        </w:rPr>
        <w:t>条、第</w:t>
      </w:r>
      <w:r>
        <w:rPr>
          <w:rFonts w:ascii="Times New Roman" w:hAnsi="Times New Roman"/>
          <w:szCs w:val="21"/>
        </w:rPr>
        <w:t>4</w:t>
      </w:r>
      <w:r>
        <w:rPr>
          <w:rFonts w:hint="eastAsia" w:ascii="Times New Roman" w:hAnsi="Times New Roman"/>
          <w:szCs w:val="21"/>
        </w:rPr>
        <w:t>条规定进行编制、密封、标记和递交，并标明“修改”字样。</w:t>
      </w:r>
    </w:p>
    <w:p>
      <w:pPr>
        <w:pStyle w:val="46"/>
        <w:spacing w:beforeLines="50" w:afterLines="50"/>
        <w:jc w:val="center"/>
        <w:rPr>
          <w:rFonts w:ascii="黑体" w:hAnsi="黑体"/>
          <w:b/>
          <w:szCs w:val="28"/>
        </w:rPr>
      </w:pPr>
      <w:bookmarkStart w:id="351" w:name="_Toc26800"/>
      <w:bookmarkStart w:id="352" w:name="_Toc29999"/>
      <w:bookmarkStart w:id="353" w:name="_Toc13525"/>
      <w:bookmarkStart w:id="354" w:name="_Toc387647214"/>
      <w:bookmarkStart w:id="355" w:name="_Toc450217495"/>
      <w:bookmarkStart w:id="356" w:name="_Toc152042335"/>
      <w:bookmarkStart w:id="357" w:name="_Toc144974527"/>
      <w:bookmarkStart w:id="358" w:name="_Toc9387"/>
      <w:bookmarkStart w:id="359" w:name="_Toc15777"/>
      <w:bookmarkStart w:id="360" w:name="_Toc179632577"/>
      <w:bookmarkStart w:id="361" w:name="_Toc22215439"/>
      <w:bookmarkStart w:id="362" w:name="_Toc152045559"/>
      <w:r>
        <w:rPr>
          <w:rFonts w:ascii="黑体" w:hAnsi="黑体"/>
          <w:b/>
          <w:szCs w:val="28"/>
        </w:rPr>
        <w:t xml:space="preserve">5. </w:t>
      </w:r>
      <w:r>
        <w:rPr>
          <w:rFonts w:hint="eastAsia" w:ascii="黑体" w:hAnsi="黑体"/>
          <w:b/>
          <w:szCs w:val="28"/>
        </w:rPr>
        <w:t>开标</w:t>
      </w:r>
      <w:bookmarkEnd w:id="351"/>
      <w:bookmarkEnd w:id="352"/>
      <w:bookmarkEnd w:id="353"/>
      <w:bookmarkEnd w:id="354"/>
      <w:bookmarkEnd w:id="355"/>
      <w:bookmarkEnd w:id="356"/>
      <w:bookmarkEnd w:id="357"/>
      <w:bookmarkEnd w:id="358"/>
      <w:bookmarkEnd w:id="359"/>
      <w:bookmarkEnd w:id="360"/>
      <w:bookmarkEnd w:id="361"/>
      <w:bookmarkEnd w:id="362"/>
    </w:p>
    <w:p>
      <w:pPr>
        <w:pStyle w:val="49"/>
        <w:outlineLvl w:val="9"/>
        <w:rPr>
          <w:rFonts w:ascii="宋体" w:hAnsi="宋体" w:eastAsia="宋体"/>
          <w:sz w:val="21"/>
          <w:szCs w:val="21"/>
        </w:rPr>
      </w:pPr>
      <w:bookmarkStart w:id="363" w:name="_Toc22215440"/>
      <w:bookmarkStart w:id="364" w:name="_Toc152045560"/>
      <w:bookmarkStart w:id="365" w:name="_Toc9787"/>
      <w:bookmarkStart w:id="366" w:name="_Toc179632578"/>
      <w:bookmarkStart w:id="367" w:name="_Toc144974528"/>
      <w:bookmarkStart w:id="368" w:name="_Toc450217496"/>
      <w:bookmarkStart w:id="369" w:name="_Toc20653"/>
      <w:bookmarkStart w:id="370" w:name="_Toc152042336"/>
      <w:bookmarkStart w:id="371" w:name="_Toc28030"/>
      <w:bookmarkStart w:id="372" w:name="_Toc3666"/>
      <w:r>
        <w:rPr>
          <w:rFonts w:ascii="黑体" w:hAnsi="黑体"/>
          <w:szCs w:val="24"/>
        </w:rPr>
        <w:t xml:space="preserve">5.1 </w:t>
      </w:r>
      <w:r>
        <w:rPr>
          <w:rFonts w:hint="eastAsia" w:ascii="黑体" w:hAnsi="黑体"/>
          <w:szCs w:val="24"/>
        </w:rPr>
        <w:t>开标时间和地点</w:t>
      </w:r>
      <w:bookmarkEnd w:id="363"/>
      <w:bookmarkEnd w:id="364"/>
      <w:bookmarkEnd w:id="365"/>
      <w:bookmarkEnd w:id="366"/>
      <w:bookmarkEnd w:id="367"/>
      <w:bookmarkEnd w:id="368"/>
      <w:bookmarkEnd w:id="369"/>
      <w:bookmarkEnd w:id="370"/>
      <w:bookmarkEnd w:id="371"/>
      <w:bookmarkEnd w:id="372"/>
    </w:p>
    <w:p>
      <w:pPr>
        <w:spacing w:line="400" w:lineRule="exact"/>
        <w:ind w:firstLine="420" w:firstLineChars="200"/>
        <w:rPr>
          <w:rFonts w:ascii="Times New Roman" w:hAnsi="Times New Roman"/>
          <w:szCs w:val="21"/>
        </w:rPr>
      </w:pPr>
      <w:bookmarkStart w:id="373" w:name="_Toc152042337"/>
      <w:bookmarkStart w:id="374" w:name="_Toc450217497"/>
      <w:bookmarkStart w:id="375" w:name="_Toc144974529"/>
      <w:bookmarkStart w:id="376" w:name="_Toc179632579"/>
      <w:bookmarkStart w:id="377" w:name="_Toc152045561"/>
      <w:r>
        <w:rPr>
          <w:rFonts w:hint="eastAsia" w:ascii="Times New Roman" w:hAnsi="Times New Roman"/>
          <w:szCs w:val="21"/>
        </w:rPr>
        <w:t>5.1.1 采购人在本须知前附表第4.2.1项规定的</w:t>
      </w:r>
      <w:r>
        <w:rPr>
          <w:rFonts w:hint="eastAsia"/>
        </w:rPr>
        <w:t>递交竞争性磋商响应文件截止时间</w:t>
      </w:r>
      <w:r>
        <w:rPr>
          <w:rFonts w:hint="eastAsia" w:ascii="Times New Roman" w:hAnsi="Times New Roman"/>
          <w:szCs w:val="21"/>
        </w:rPr>
        <w:t>（开标时间）和供应商须知前附表规定的地点公开开标，并邀请所有供应商代表准时参加。</w:t>
      </w:r>
    </w:p>
    <w:p>
      <w:pPr>
        <w:spacing w:line="400" w:lineRule="exact"/>
        <w:ind w:firstLine="422" w:firstLineChars="200"/>
        <w:rPr>
          <w:rFonts w:ascii="Times New Roman" w:hAnsi="Times New Roman"/>
          <w:b/>
          <w:bCs/>
          <w:szCs w:val="21"/>
          <w:em w:val="dot"/>
        </w:rPr>
      </w:pPr>
      <w:r>
        <w:rPr>
          <w:rFonts w:hint="eastAsia" w:ascii="Times New Roman" w:hAnsi="Times New Roman"/>
          <w:b/>
          <w:bCs/>
          <w:szCs w:val="21"/>
          <w:em w:val="dot"/>
        </w:rPr>
        <w:t>供应商代表应单独手持一份授权委托书及其二代身份证原件参加开标会，接受核验，以证明其出席。供应商代表未参加开标会的，或参加开标会的供应商代表身份证明文件与授权委托文件不一致的，其磋商</w:t>
      </w:r>
      <w:r>
        <w:rPr>
          <w:rFonts w:ascii="Times New Roman" w:hAnsi="Times New Roman"/>
          <w:b/>
          <w:bCs/>
          <w:szCs w:val="21"/>
          <w:em w:val="dot"/>
        </w:rPr>
        <w:t>将被</w:t>
      </w:r>
      <w:r>
        <w:rPr>
          <w:rFonts w:hint="eastAsia" w:ascii="Times New Roman" w:hAnsi="Times New Roman"/>
          <w:b/>
          <w:bCs/>
          <w:szCs w:val="21"/>
          <w:em w:val="dot"/>
        </w:rPr>
        <w:t>否决</w:t>
      </w:r>
      <w:r>
        <w:rPr>
          <w:rFonts w:ascii="Times New Roman" w:hAnsi="Times New Roman"/>
          <w:b/>
          <w:bCs/>
          <w:szCs w:val="21"/>
          <w:em w:val="dot"/>
        </w:rPr>
        <w:t>。</w:t>
      </w:r>
    </w:p>
    <w:p>
      <w:pPr>
        <w:pStyle w:val="49"/>
        <w:outlineLvl w:val="9"/>
        <w:rPr>
          <w:rFonts w:ascii="黑体" w:hAnsi="黑体"/>
          <w:szCs w:val="24"/>
        </w:rPr>
      </w:pPr>
      <w:bookmarkStart w:id="378" w:name="_Toc1497"/>
      <w:bookmarkStart w:id="379" w:name="_Toc8351"/>
      <w:bookmarkStart w:id="380" w:name="_Toc24465"/>
      <w:bookmarkStart w:id="381" w:name="_Toc7917"/>
      <w:bookmarkStart w:id="382" w:name="_Toc22215441"/>
      <w:r>
        <w:rPr>
          <w:rFonts w:ascii="黑体" w:hAnsi="黑体"/>
          <w:szCs w:val="24"/>
        </w:rPr>
        <w:t xml:space="preserve">5.2 </w:t>
      </w:r>
      <w:r>
        <w:rPr>
          <w:rFonts w:hint="eastAsia" w:ascii="黑体" w:hAnsi="黑体"/>
          <w:szCs w:val="24"/>
        </w:rPr>
        <w:t>开标程序</w:t>
      </w:r>
      <w:bookmarkEnd w:id="373"/>
      <w:bookmarkEnd w:id="374"/>
      <w:bookmarkEnd w:id="375"/>
      <w:bookmarkEnd w:id="376"/>
      <w:bookmarkEnd w:id="377"/>
      <w:bookmarkEnd w:id="378"/>
      <w:bookmarkEnd w:id="379"/>
      <w:bookmarkEnd w:id="380"/>
      <w:bookmarkEnd w:id="381"/>
      <w:bookmarkEnd w:id="382"/>
    </w:p>
    <w:p>
      <w:pPr>
        <w:spacing w:line="400" w:lineRule="exact"/>
        <w:ind w:firstLine="420" w:firstLineChars="200"/>
        <w:rPr>
          <w:rFonts w:ascii="宋体" w:cs="宋体"/>
          <w:szCs w:val="21"/>
        </w:rPr>
      </w:pPr>
      <w:r>
        <w:rPr>
          <w:rFonts w:hint="eastAsia" w:ascii="宋体" w:hAnsi="宋体" w:cs="宋体"/>
          <w:szCs w:val="21"/>
        </w:rPr>
        <w:t>主持人按下列程序进行开标：</w:t>
      </w:r>
    </w:p>
    <w:p>
      <w:pPr>
        <w:spacing w:line="400" w:lineRule="exact"/>
        <w:ind w:firstLine="359" w:firstLineChars="171"/>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）宣布开标纪律；</w:t>
      </w:r>
    </w:p>
    <w:p>
      <w:pPr>
        <w:spacing w:line="400" w:lineRule="exact"/>
        <w:ind w:firstLine="359" w:firstLineChars="171"/>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）公布在磋商截止时间前递交响应文件的供应商名称，并点名确认供应商是否派代表到场，核验授权委托书与身份证一致性；</w:t>
      </w:r>
    </w:p>
    <w:p>
      <w:pPr>
        <w:spacing w:line="400" w:lineRule="exact"/>
        <w:ind w:firstLine="359" w:firstLineChars="171"/>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）宣布开标人、记录人、监督人员；</w:t>
      </w:r>
    </w:p>
    <w:p>
      <w:pPr>
        <w:spacing w:line="400" w:lineRule="exact"/>
        <w:ind w:firstLine="359" w:firstLineChars="171"/>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）按照供应商须知前附表规定检查响应文件的密封情况；</w:t>
      </w:r>
    </w:p>
    <w:p>
      <w:pPr>
        <w:spacing w:line="400" w:lineRule="exact"/>
        <w:ind w:firstLine="359" w:firstLineChars="171"/>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）确定并宣布供应商磋商顺序；</w:t>
      </w:r>
    </w:p>
    <w:p>
      <w:pPr>
        <w:spacing w:line="400" w:lineRule="exact"/>
        <w:ind w:firstLine="359" w:firstLineChars="171"/>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w:t>
      </w:r>
      <w:r>
        <w:rPr>
          <w:rFonts w:hint="eastAsia" w:ascii="Times New Roman" w:hAnsi="Times New Roman"/>
          <w:b/>
          <w:bCs/>
          <w:szCs w:val="21"/>
          <w:em w:val="dot"/>
        </w:rPr>
        <w:t>书面报价开标现场不公布；</w:t>
      </w:r>
    </w:p>
    <w:p>
      <w:pPr>
        <w:spacing w:line="400" w:lineRule="exact"/>
        <w:ind w:firstLine="359" w:firstLineChars="171"/>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）开标结束。</w:t>
      </w:r>
    </w:p>
    <w:p>
      <w:pPr>
        <w:pStyle w:val="49"/>
        <w:outlineLvl w:val="9"/>
        <w:rPr>
          <w:rFonts w:ascii="黑体" w:hAnsi="黑体"/>
          <w:szCs w:val="24"/>
        </w:rPr>
      </w:pPr>
      <w:bookmarkStart w:id="383" w:name="_Toc450217498"/>
      <w:bookmarkStart w:id="384" w:name="_Toc300834983"/>
      <w:bookmarkStart w:id="385" w:name="_Toc2040"/>
      <w:bookmarkStart w:id="386" w:name="_Toc25711"/>
      <w:bookmarkStart w:id="387" w:name="_Toc23146"/>
      <w:bookmarkStart w:id="388" w:name="_Toc26553"/>
      <w:bookmarkStart w:id="389" w:name="_Toc22215442"/>
      <w:r>
        <w:rPr>
          <w:rFonts w:ascii="黑体" w:hAnsi="黑体"/>
          <w:szCs w:val="24"/>
        </w:rPr>
        <w:t xml:space="preserve">5.3 </w:t>
      </w:r>
      <w:r>
        <w:rPr>
          <w:rFonts w:hint="eastAsia" w:ascii="黑体" w:hAnsi="黑体"/>
          <w:szCs w:val="24"/>
        </w:rPr>
        <w:t>开标</w:t>
      </w:r>
      <w:bookmarkEnd w:id="383"/>
      <w:bookmarkEnd w:id="384"/>
      <w:r>
        <w:rPr>
          <w:rFonts w:hint="eastAsia" w:ascii="黑体" w:hAnsi="黑体"/>
          <w:szCs w:val="24"/>
        </w:rPr>
        <w:t>质疑</w:t>
      </w:r>
      <w:bookmarkEnd w:id="385"/>
      <w:bookmarkEnd w:id="386"/>
      <w:bookmarkEnd w:id="387"/>
      <w:bookmarkEnd w:id="388"/>
      <w:bookmarkEnd w:id="389"/>
    </w:p>
    <w:p>
      <w:pPr>
        <w:spacing w:line="400" w:lineRule="exact"/>
        <w:ind w:firstLine="420" w:firstLineChars="200"/>
        <w:rPr>
          <w:rFonts w:ascii="Times New Roman" w:hAnsi="Times New Roman"/>
          <w:szCs w:val="21"/>
        </w:rPr>
      </w:pPr>
      <w:r>
        <w:rPr>
          <w:rFonts w:ascii="Times New Roman" w:hAnsi="Times New Roman"/>
          <w:szCs w:val="21"/>
        </w:rPr>
        <w:t>5.3.1</w:t>
      </w:r>
      <w:r>
        <w:rPr>
          <w:rFonts w:hint="eastAsia" w:ascii="Times New Roman" w:hAnsi="Times New Roman"/>
          <w:szCs w:val="21"/>
        </w:rPr>
        <w:t>供应商对开标有质疑的，应当在开标现场当场提出；采购人或代理机构当场对质疑作出答复，并制作记录。</w:t>
      </w:r>
    </w:p>
    <w:p>
      <w:pPr>
        <w:spacing w:line="400" w:lineRule="exact"/>
        <w:ind w:firstLine="420" w:firstLineChars="200"/>
        <w:rPr>
          <w:rFonts w:ascii="Times New Roman" w:hAnsi="Times New Roman"/>
          <w:szCs w:val="21"/>
        </w:rPr>
      </w:pPr>
      <w:r>
        <w:rPr>
          <w:rFonts w:hint="eastAsia" w:ascii="Times New Roman" w:hAnsi="Times New Roman"/>
          <w:szCs w:val="21"/>
        </w:rPr>
        <w:t>本处所称质疑是指供应商在开标现场对响应文件提交、磋商截止时间、开标程序、响应文件密封、磋商次序以及供应商和采购人或者供应商相互之间存在利益冲突的情形等提出的质疑。</w:t>
      </w:r>
    </w:p>
    <w:p>
      <w:pPr>
        <w:spacing w:line="400" w:lineRule="exact"/>
        <w:ind w:firstLine="420" w:firstLineChars="200"/>
        <w:rPr>
          <w:rFonts w:ascii="Times New Roman" w:hAnsi="Times New Roman"/>
          <w:szCs w:val="21"/>
        </w:rPr>
      </w:pPr>
      <w:r>
        <w:rPr>
          <w:rFonts w:ascii="Times New Roman" w:hAnsi="Times New Roman"/>
          <w:szCs w:val="21"/>
        </w:rPr>
        <w:t>5.3.2</w:t>
      </w:r>
      <w:r>
        <w:rPr>
          <w:rFonts w:hint="eastAsia" w:ascii="Times New Roman" w:hAnsi="Times New Roman"/>
          <w:szCs w:val="21"/>
        </w:rPr>
        <w:t>供应商质疑成立的，采购人及代理机构将及时采取纠正措施，或者提交磋商小组评审确认；供应商质疑不成立的，采购人及代理机构将当场给予解释说明。磋商工作人员包括监督人员不应在磋商现场对相关磋商作出有效或者无效的判断。</w:t>
      </w:r>
    </w:p>
    <w:p>
      <w:pPr>
        <w:pStyle w:val="46"/>
        <w:spacing w:beforeLines="50" w:afterLines="50"/>
        <w:jc w:val="center"/>
        <w:rPr>
          <w:rFonts w:ascii="黑体" w:hAnsi="黑体"/>
          <w:b/>
          <w:szCs w:val="28"/>
        </w:rPr>
      </w:pPr>
      <w:bookmarkStart w:id="390" w:name="_Toc15841"/>
      <w:bookmarkStart w:id="391" w:name="_Toc152045562"/>
      <w:bookmarkStart w:id="392" w:name="_Toc179632580"/>
      <w:bookmarkStart w:id="393" w:name="_Toc22215443"/>
      <w:bookmarkStart w:id="394" w:name="_Toc152042338"/>
      <w:bookmarkStart w:id="395" w:name="_Toc18425"/>
      <w:bookmarkStart w:id="396" w:name="_Toc387647215"/>
      <w:bookmarkStart w:id="397" w:name="_Toc144974530"/>
      <w:bookmarkStart w:id="398" w:name="_Toc450217499"/>
      <w:bookmarkStart w:id="399" w:name="_Toc12669"/>
      <w:bookmarkStart w:id="400" w:name="_Toc32666"/>
      <w:bookmarkStart w:id="401" w:name="_Toc27108"/>
      <w:r>
        <w:rPr>
          <w:rFonts w:ascii="黑体" w:hAnsi="黑体"/>
          <w:b/>
          <w:szCs w:val="28"/>
        </w:rPr>
        <w:t xml:space="preserve">6. </w:t>
      </w:r>
      <w:bookmarkEnd w:id="390"/>
      <w:bookmarkEnd w:id="391"/>
      <w:bookmarkEnd w:id="392"/>
      <w:bookmarkEnd w:id="393"/>
      <w:bookmarkEnd w:id="394"/>
      <w:bookmarkEnd w:id="395"/>
      <w:bookmarkEnd w:id="396"/>
      <w:bookmarkEnd w:id="397"/>
      <w:bookmarkEnd w:id="398"/>
      <w:r>
        <w:rPr>
          <w:rFonts w:hint="eastAsia" w:ascii="黑体" w:hAnsi="黑体"/>
          <w:b/>
          <w:szCs w:val="28"/>
        </w:rPr>
        <w:t>评审</w:t>
      </w:r>
      <w:bookmarkEnd w:id="399"/>
      <w:bookmarkEnd w:id="400"/>
      <w:bookmarkEnd w:id="401"/>
    </w:p>
    <w:p>
      <w:pPr>
        <w:pStyle w:val="49"/>
        <w:outlineLvl w:val="9"/>
        <w:rPr>
          <w:rFonts w:ascii="黑体" w:hAnsi="黑体"/>
          <w:szCs w:val="24"/>
        </w:rPr>
      </w:pPr>
      <w:bookmarkStart w:id="402" w:name="_Toc179632581"/>
      <w:bookmarkStart w:id="403" w:name="_Toc152045563"/>
      <w:bookmarkStart w:id="404" w:name="_Toc152042339"/>
      <w:bookmarkStart w:id="405" w:name="_Toc17375"/>
      <w:bookmarkStart w:id="406" w:name="_Toc29445"/>
      <w:bookmarkStart w:id="407" w:name="_Toc22215444"/>
      <w:bookmarkStart w:id="408" w:name="_Toc450217500"/>
      <w:bookmarkStart w:id="409" w:name="_Toc144974531"/>
      <w:bookmarkStart w:id="410" w:name="_Toc28675"/>
      <w:bookmarkStart w:id="411" w:name="_Toc30056"/>
      <w:r>
        <w:rPr>
          <w:rFonts w:ascii="黑体" w:hAnsi="黑体"/>
          <w:szCs w:val="24"/>
        </w:rPr>
        <w:t xml:space="preserve">6.1 </w:t>
      </w:r>
      <w:bookmarkEnd w:id="402"/>
      <w:bookmarkEnd w:id="403"/>
      <w:bookmarkEnd w:id="404"/>
      <w:bookmarkEnd w:id="405"/>
      <w:bookmarkEnd w:id="406"/>
      <w:bookmarkEnd w:id="407"/>
      <w:bookmarkEnd w:id="408"/>
      <w:bookmarkEnd w:id="409"/>
      <w:r>
        <w:rPr>
          <w:rFonts w:hint="eastAsia" w:ascii="黑体" w:hAnsi="黑体"/>
          <w:szCs w:val="24"/>
        </w:rPr>
        <w:t>磋商小组</w:t>
      </w:r>
      <w:bookmarkEnd w:id="410"/>
      <w:bookmarkEnd w:id="411"/>
    </w:p>
    <w:p>
      <w:pPr>
        <w:spacing w:line="400" w:lineRule="exact"/>
        <w:ind w:firstLine="420" w:firstLineChars="200"/>
        <w:rPr>
          <w:rFonts w:ascii="Times New Roman" w:hAnsi="Times New Roman"/>
          <w:szCs w:val="21"/>
        </w:rPr>
      </w:pPr>
      <w:r>
        <w:rPr>
          <w:rFonts w:ascii="Times New Roman" w:hAnsi="Times New Roman"/>
          <w:szCs w:val="21"/>
        </w:rPr>
        <w:t xml:space="preserve">6.1.1 </w:t>
      </w:r>
      <w:r>
        <w:rPr>
          <w:rFonts w:hint="eastAsia" w:ascii="Times New Roman" w:hAnsi="Times New Roman"/>
          <w:szCs w:val="21"/>
        </w:rPr>
        <w:t>评审由采购人依法组建的磋商小组负责。磋商小组由采购人正式授权的熟悉相关业务的代表，以及有关技术、经济等方面的专家组成。磋商小组成员人数以及技术、经济等方面专家的确定方式见供应商须知前附表。</w:t>
      </w:r>
    </w:p>
    <w:p>
      <w:pPr>
        <w:spacing w:line="400" w:lineRule="exact"/>
        <w:ind w:firstLine="420" w:firstLineChars="200"/>
        <w:rPr>
          <w:rFonts w:ascii="Times New Roman" w:hAnsi="Times New Roman"/>
          <w:szCs w:val="21"/>
        </w:rPr>
      </w:pPr>
      <w:r>
        <w:rPr>
          <w:rFonts w:ascii="Times New Roman" w:hAnsi="Times New Roman"/>
          <w:szCs w:val="21"/>
        </w:rPr>
        <w:t xml:space="preserve">6.1.2 </w:t>
      </w:r>
      <w:r>
        <w:rPr>
          <w:rFonts w:hint="eastAsia" w:ascii="Times New Roman" w:hAnsi="Times New Roman"/>
          <w:szCs w:val="21"/>
        </w:rPr>
        <w:t>磋商小组成员有下列情形之一的，应当回避：</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）供应商或供应商主要负责人的近亲属；</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）项目主管部门或者行政监督部门的人员；</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）与供应商有经济利益关系；</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）曾因在评审以及其他与政府采购有关活动中从事违法行为而受过行政处罚或刑事处罚的；</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）与供应商有其他利害关系。</w:t>
      </w:r>
    </w:p>
    <w:p>
      <w:pPr>
        <w:pStyle w:val="49"/>
        <w:outlineLvl w:val="9"/>
        <w:rPr>
          <w:rFonts w:ascii="黑体" w:hAnsi="黑体"/>
          <w:szCs w:val="24"/>
        </w:rPr>
      </w:pPr>
      <w:bookmarkStart w:id="412" w:name="_Toc179632582"/>
      <w:bookmarkStart w:id="413" w:name="_Toc11429"/>
      <w:bookmarkStart w:id="414" w:name="_Toc14285"/>
      <w:bookmarkStart w:id="415" w:name="_Toc152045564"/>
      <w:bookmarkStart w:id="416" w:name="_Toc22215445"/>
      <w:bookmarkStart w:id="417" w:name="_Toc144974532"/>
      <w:bookmarkStart w:id="418" w:name="_Toc23788"/>
      <w:bookmarkStart w:id="419" w:name="_Toc450217501"/>
      <w:bookmarkStart w:id="420" w:name="_Toc25877"/>
      <w:bookmarkStart w:id="421" w:name="_Toc152042340"/>
      <w:r>
        <w:rPr>
          <w:rFonts w:ascii="黑体" w:hAnsi="黑体"/>
          <w:szCs w:val="24"/>
        </w:rPr>
        <w:t xml:space="preserve">6.2 </w:t>
      </w:r>
      <w:r>
        <w:rPr>
          <w:rFonts w:hint="eastAsia" w:ascii="黑体" w:hAnsi="黑体"/>
          <w:szCs w:val="24"/>
        </w:rPr>
        <w:t>评审原则</w:t>
      </w:r>
      <w:bookmarkEnd w:id="412"/>
      <w:bookmarkEnd w:id="413"/>
      <w:bookmarkEnd w:id="414"/>
      <w:bookmarkEnd w:id="415"/>
      <w:bookmarkEnd w:id="416"/>
      <w:bookmarkEnd w:id="417"/>
      <w:bookmarkEnd w:id="418"/>
      <w:bookmarkEnd w:id="419"/>
      <w:bookmarkEnd w:id="420"/>
      <w:bookmarkEnd w:id="421"/>
      <w:r>
        <w:rPr>
          <w:rFonts w:ascii="黑体" w:hAnsi="黑体"/>
          <w:szCs w:val="24"/>
        </w:rPr>
        <w:tab/>
      </w:r>
    </w:p>
    <w:p>
      <w:pPr>
        <w:spacing w:line="400" w:lineRule="exact"/>
        <w:ind w:firstLine="420" w:firstLineChars="200"/>
        <w:rPr>
          <w:rFonts w:ascii="宋体" w:cs="宋体"/>
          <w:szCs w:val="21"/>
        </w:rPr>
      </w:pPr>
      <w:r>
        <w:rPr>
          <w:rFonts w:hint="eastAsia" w:ascii="宋体" w:hAnsi="宋体" w:cs="宋体"/>
          <w:szCs w:val="21"/>
        </w:rPr>
        <w:t>评审活动遵循客观、公正、审慎的原则。</w:t>
      </w:r>
    </w:p>
    <w:p>
      <w:pPr>
        <w:pStyle w:val="49"/>
        <w:outlineLvl w:val="9"/>
        <w:rPr>
          <w:rFonts w:ascii="黑体" w:hAnsi="黑体"/>
          <w:szCs w:val="24"/>
        </w:rPr>
      </w:pPr>
      <w:bookmarkStart w:id="422" w:name="_Toc450217502"/>
      <w:bookmarkStart w:id="423" w:name="_Toc7078"/>
      <w:bookmarkStart w:id="424" w:name="_Toc26958"/>
      <w:bookmarkStart w:id="425" w:name="_Toc152045565"/>
      <w:bookmarkStart w:id="426" w:name="_Toc144974533"/>
      <w:bookmarkStart w:id="427" w:name="_Toc152042341"/>
      <w:bookmarkStart w:id="428" w:name="_Toc22215446"/>
      <w:bookmarkStart w:id="429" w:name="_Toc179632583"/>
      <w:bookmarkStart w:id="430" w:name="_Toc1986"/>
      <w:bookmarkStart w:id="431" w:name="_Toc10900"/>
      <w:r>
        <w:rPr>
          <w:rFonts w:ascii="黑体" w:hAnsi="黑体"/>
          <w:szCs w:val="24"/>
        </w:rPr>
        <w:t xml:space="preserve">6.3 </w:t>
      </w:r>
      <w:bookmarkEnd w:id="422"/>
      <w:bookmarkEnd w:id="423"/>
      <w:bookmarkEnd w:id="424"/>
      <w:bookmarkEnd w:id="425"/>
      <w:bookmarkEnd w:id="426"/>
      <w:bookmarkEnd w:id="427"/>
      <w:bookmarkEnd w:id="428"/>
      <w:bookmarkEnd w:id="429"/>
      <w:r>
        <w:rPr>
          <w:rFonts w:hint="eastAsia" w:ascii="黑体" w:hAnsi="黑体"/>
          <w:szCs w:val="24"/>
        </w:rPr>
        <w:t>评审</w:t>
      </w:r>
      <w:bookmarkEnd w:id="430"/>
      <w:bookmarkEnd w:id="431"/>
    </w:p>
    <w:p>
      <w:pPr>
        <w:spacing w:line="400" w:lineRule="exact"/>
        <w:ind w:firstLine="420" w:firstLineChars="200"/>
        <w:rPr>
          <w:rFonts w:ascii="宋体" w:cs="宋体"/>
          <w:szCs w:val="21"/>
        </w:rPr>
      </w:pPr>
      <w:r>
        <w:rPr>
          <w:rFonts w:hint="eastAsia" w:ascii="宋体" w:hAnsi="宋体" w:cs="宋体"/>
          <w:szCs w:val="21"/>
        </w:rPr>
        <w:t>磋商小组按照第三章“评审办法”规定的方法、评审因素、标准和程序对响应文件进行系统地评审和比较。第三章“评审办法”中没有规定的方法、评审因素和标准，不作为评审依据。</w:t>
      </w:r>
    </w:p>
    <w:p>
      <w:pPr>
        <w:pStyle w:val="46"/>
        <w:spacing w:beforeLines="50" w:afterLines="50"/>
        <w:jc w:val="center"/>
        <w:rPr>
          <w:rFonts w:ascii="黑体" w:hAnsi="黑体"/>
          <w:b/>
          <w:szCs w:val="28"/>
        </w:rPr>
      </w:pPr>
      <w:bookmarkStart w:id="432" w:name="_Toc450217503"/>
      <w:bookmarkStart w:id="433" w:name="_Toc24770"/>
      <w:bookmarkStart w:id="434" w:name="_Toc2416"/>
      <w:bookmarkStart w:id="435" w:name="_Toc179632584"/>
      <w:bookmarkStart w:id="436" w:name="_Toc12687"/>
      <w:bookmarkStart w:id="437" w:name="_Toc22215447"/>
      <w:bookmarkStart w:id="438" w:name="_Toc152045566"/>
      <w:bookmarkStart w:id="439" w:name="_Toc29759"/>
      <w:bookmarkStart w:id="440" w:name="_Toc152042342"/>
      <w:bookmarkStart w:id="441" w:name="_Toc144974534"/>
      <w:bookmarkStart w:id="442" w:name="_Toc22132"/>
      <w:bookmarkStart w:id="443" w:name="_Toc387647216"/>
      <w:r>
        <w:rPr>
          <w:rFonts w:ascii="黑体" w:hAnsi="黑体"/>
          <w:b/>
          <w:szCs w:val="28"/>
        </w:rPr>
        <w:t xml:space="preserve">7. </w:t>
      </w:r>
      <w:r>
        <w:rPr>
          <w:rFonts w:hint="eastAsia" w:ascii="黑体" w:hAnsi="黑体"/>
          <w:b/>
          <w:szCs w:val="28"/>
        </w:rPr>
        <w:t>合同授予</w:t>
      </w:r>
      <w:bookmarkEnd w:id="432"/>
      <w:bookmarkEnd w:id="433"/>
      <w:bookmarkEnd w:id="434"/>
      <w:bookmarkEnd w:id="435"/>
      <w:bookmarkEnd w:id="436"/>
      <w:bookmarkEnd w:id="437"/>
      <w:bookmarkEnd w:id="438"/>
      <w:bookmarkEnd w:id="439"/>
      <w:bookmarkEnd w:id="440"/>
      <w:bookmarkEnd w:id="441"/>
      <w:bookmarkEnd w:id="442"/>
      <w:bookmarkEnd w:id="443"/>
    </w:p>
    <w:p>
      <w:pPr>
        <w:pStyle w:val="49"/>
        <w:outlineLvl w:val="9"/>
        <w:rPr>
          <w:rFonts w:ascii="黑体" w:hAnsi="黑体"/>
          <w:szCs w:val="24"/>
        </w:rPr>
      </w:pPr>
      <w:bookmarkStart w:id="444" w:name="_Toc28653"/>
      <w:bookmarkStart w:id="445" w:name="_Toc15434"/>
      <w:bookmarkStart w:id="446" w:name="_Toc31485"/>
      <w:bookmarkStart w:id="447" w:name="_Toc152042343"/>
      <w:bookmarkStart w:id="448" w:name="_Toc16742"/>
      <w:bookmarkStart w:id="449" w:name="_Toc179632585"/>
      <w:bookmarkStart w:id="450" w:name="_Toc450217504"/>
      <w:bookmarkStart w:id="451" w:name="_Toc152045567"/>
      <w:bookmarkStart w:id="452" w:name="_Toc144974535"/>
      <w:bookmarkStart w:id="453" w:name="_Toc22215448"/>
      <w:r>
        <w:rPr>
          <w:rFonts w:ascii="黑体" w:hAnsi="黑体"/>
          <w:szCs w:val="24"/>
        </w:rPr>
        <w:t xml:space="preserve">7.1 </w:t>
      </w:r>
      <w:r>
        <w:rPr>
          <w:rFonts w:hint="eastAsia" w:ascii="黑体" w:hAnsi="黑体"/>
          <w:szCs w:val="24"/>
        </w:rPr>
        <w:t>定标方式</w:t>
      </w:r>
      <w:bookmarkEnd w:id="444"/>
      <w:bookmarkEnd w:id="445"/>
      <w:bookmarkEnd w:id="446"/>
      <w:bookmarkEnd w:id="447"/>
      <w:bookmarkEnd w:id="448"/>
      <w:bookmarkEnd w:id="449"/>
      <w:bookmarkEnd w:id="450"/>
      <w:bookmarkEnd w:id="451"/>
      <w:bookmarkEnd w:id="452"/>
      <w:bookmarkEnd w:id="453"/>
    </w:p>
    <w:p>
      <w:pPr>
        <w:spacing w:line="400" w:lineRule="exact"/>
        <w:ind w:firstLine="420" w:firstLineChars="200"/>
        <w:rPr>
          <w:rFonts w:ascii="宋体" w:cs="宋体"/>
          <w:szCs w:val="21"/>
        </w:rPr>
      </w:pPr>
      <w:r>
        <w:rPr>
          <w:rFonts w:hint="eastAsia" w:ascii="宋体" w:hAnsi="宋体" w:cs="宋体"/>
          <w:szCs w:val="21"/>
        </w:rPr>
        <w:t>除供应商须知前附表规定磋商小组直接确定成交供应商外，采购人依据磋商小组推荐的成交候选人确定成交供应商。磋商小组推荐成交候选人的人数见供应商须知前附表。</w:t>
      </w:r>
    </w:p>
    <w:p>
      <w:pPr>
        <w:pStyle w:val="49"/>
        <w:outlineLvl w:val="9"/>
        <w:rPr>
          <w:rFonts w:ascii="黑体" w:hAnsi="黑体"/>
          <w:szCs w:val="24"/>
        </w:rPr>
      </w:pPr>
      <w:bookmarkStart w:id="454" w:name="_Toc300834990"/>
      <w:bookmarkStart w:id="455" w:name="_Toc17342"/>
      <w:bookmarkStart w:id="456" w:name="_Toc32501"/>
      <w:bookmarkStart w:id="457" w:name="_Toc21353"/>
      <w:bookmarkStart w:id="458" w:name="_Toc450217505"/>
      <w:bookmarkStart w:id="459" w:name="_Toc22215449"/>
      <w:bookmarkStart w:id="460" w:name="_Toc30403"/>
      <w:r>
        <w:rPr>
          <w:rFonts w:ascii="黑体" w:hAnsi="黑体"/>
          <w:szCs w:val="24"/>
        </w:rPr>
        <w:t xml:space="preserve">7.2 </w:t>
      </w:r>
      <w:r>
        <w:rPr>
          <w:rFonts w:hint="eastAsia" w:ascii="黑体" w:hAnsi="黑体"/>
          <w:szCs w:val="24"/>
        </w:rPr>
        <w:t>成交结果公</w:t>
      </w:r>
      <w:bookmarkEnd w:id="454"/>
      <w:r>
        <w:rPr>
          <w:rFonts w:hint="eastAsia" w:ascii="黑体" w:hAnsi="黑体"/>
          <w:szCs w:val="24"/>
        </w:rPr>
        <w:t>告</w:t>
      </w:r>
      <w:bookmarkEnd w:id="455"/>
      <w:bookmarkEnd w:id="456"/>
      <w:bookmarkEnd w:id="457"/>
      <w:bookmarkEnd w:id="458"/>
      <w:bookmarkEnd w:id="459"/>
      <w:bookmarkEnd w:id="460"/>
    </w:p>
    <w:p>
      <w:pPr>
        <w:spacing w:line="400" w:lineRule="exact"/>
        <w:ind w:firstLine="420" w:firstLineChars="200"/>
        <w:rPr>
          <w:rFonts w:ascii="宋体" w:cs="宋体"/>
          <w:szCs w:val="21"/>
        </w:rPr>
      </w:pPr>
      <w:r>
        <w:rPr>
          <w:rFonts w:hint="eastAsia" w:ascii="宋体" w:hAnsi="宋体" w:cs="宋体"/>
          <w:szCs w:val="21"/>
        </w:rPr>
        <w:t>采购代理机构自评审结束之日起</w:t>
      </w:r>
      <w:r>
        <w:rPr>
          <w:rFonts w:ascii="宋体" w:hAnsi="宋体" w:cs="宋体"/>
          <w:szCs w:val="21"/>
        </w:rPr>
        <w:t>2</w:t>
      </w:r>
      <w:r>
        <w:rPr>
          <w:rFonts w:hint="eastAsia" w:ascii="宋体" w:hAnsi="宋体" w:cs="宋体"/>
          <w:szCs w:val="21"/>
        </w:rPr>
        <w:t>个工作日内将评审报告送交采购人。采购人应当自收到评审报告之日起</w:t>
      </w:r>
      <w:r>
        <w:rPr>
          <w:rFonts w:ascii="宋体" w:hAnsi="宋体" w:cs="宋体"/>
          <w:szCs w:val="21"/>
        </w:rPr>
        <w:t>5</w:t>
      </w:r>
      <w:r>
        <w:rPr>
          <w:rFonts w:hint="eastAsia" w:ascii="宋体" w:hAnsi="宋体" w:cs="宋体"/>
          <w:szCs w:val="21"/>
        </w:rPr>
        <w:t>个工作日内在评审报告推荐的成交候选人中按顺序确定成交供应商。</w:t>
      </w:r>
    </w:p>
    <w:p>
      <w:pPr>
        <w:spacing w:line="400" w:lineRule="exact"/>
        <w:ind w:firstLine="420" w:firstLineChars="200"/>
        <w:rPr>
          <w:rFonts w:ascii="宋体" w:cs="宋体"/>
          <w:szCs w:val="21"/>
        </w:rPr>
      </w:pPr>
      <w:r>
        <w:rPr>
          <w:rFonts w:hint="eastAsia" w:ascii="宋体" w:hAnsi="宋体" w:cs="宋体"/>
          <w:szCs w:val="21"/>
        </w:rPr>
        <w:t>采购人或代理机构应当自成交供应商确定之日起</w:t>
      </w:r>
      <w:r>
        <w:rPr>
          <w:rFonts w:ascii="宋体" w:hAnsi="宋体" w:cs="宋体"/>
          <w:szCs w:val="21"/>
        </w:rPr>
        <w:t>2</w:t>
      </w:r>
      <w:r>
        <w:rPr>
          <w:rFonts w:hint="eastAsia" w:ascii="宋体" w:hAnsi="宋体" w:cs="宋体"/>
          <w:szCs w:val="21"/>
        </w:rPr>
        <w:t>个工作日内，在省级以上人民政府财政部门指定的媒体上公告成交结果，磋商文件随成交结果同时公告。</w:t>
      </w:r>
    </w:p>
    <w:p>
      <w:pPr>
        <w:spacing w:line="400" w:lineRule="exact"/>
        <w:ind w:firstLine="420" w:firstLineChars="200"/>
        <w:rPr>
          <w:rFonts w:ascii="宋体" w:cs="宋体"/>
          <w:szCs w:val="21"/>
        </w:rPr>
      </w:pPr>
      <w:r>
        <w:rPr>
          <w:rFonts w:hint="eastAsia" w:ascii="宋体" w:hAnsi="宋体" w:cs="宋体"/>
          <w:szCs w:val="21"/>
        </w:rPr>
        <w:t>供应商对成交结果提出质疑的，可以向采购人或代理机构提出询问，采购人或者磋商代理机构应当在</w:t>
      </w:r>
      <w:r>
        <w:rPr>
          <w:rFonts w:ascii="宋体" w:hAnsi="宋体" w:cs="宋体"/>
          <w:szCs w:val="21"/>
        </w:rPr>
        <w:t>3</w:t>
      </w:r>
      <w:r>
        <w:rPr>
          <w:rFonts w:hint="eastAsia" w:ascii="宋体" w:hAnsi="宋体" w:cs="宋体"/>
          <w:szCs w:val="21"/>
        </w:rPr>
        <w:t>个工作日内对供应商依法提出的询问作出答复。供应商认为成交结果使自己的权益受到损害的，可以在成交结果公告期限届满之日起七个工作日内，以到场书面形式向采购人或采购代理机构提出质疑。</w:t>
      </w:r>
    </w:p>
    <w:p>
      <w:pPr>
        <w:pStyle w:val="49"/>
        <w:outlineLvl w:val="9"/>
        <w:rPr>
          <w:rFonts w:ascii="黑体" w:hAnsi="黑体"/>
          <w:szCs w:val="24"/>
        </w:rPr>
      </w:pPr>
      <w:bookmarkStart w:id="461" w:name="_Toc179632586"/>
      <w:bookmarkStart w:id="462" w:name="_Toc152042344"/>
      <w:bookmarkStart w:id="463" w:name="_Toc29815"/>
      <w:bookmarkStart w:id="464" w:name="_Toc22215450"/>
      <w:bookmarkStart w:id="465" w:name="_Toc144974536"/>
      <w:bookmarkStart w:id="466" w:name="_Toc152045568"/>
      <w:bookmarkStart w:id="467" w:name="_Toc30110"/>
      <w:bookmarkStart w:id="468" w:name="_Toc17823"/>
      <w:bookmarkStart w:id="469" w:name="_Toc450217507"/>
      <w:bookmarkStart w:id="470" w:name="_Toc10449"/>
      <w:r>
        <w:rPr>
          <w:rFonts w:ascii="黑体" w:hAnsi="黑体"/>
          <w:szCs w:val="24"/>
        </w:rPr>
        <w:t>7.</w:t>
      </w:r>
      <w:r>
        <w:rPr>
          <w:rFonts w:hint="eastAsia" w:ascii="黑体" w:hAnsi="黑体"/>
          <w:szCs w:val="24"/>
        </w:rPr>
        <w:t>3成交通知</w:t>
      </w:r>
      <w:bookmarkEnd w:id="461"/>
      <w:bookmarkEnd w:id="462"/>
      <w:bookmarkEnd w:id="463"/>
      <w:bookmarkEnd w:id="464"/>
      <w:bookmarkEnd w:id="465"/>
      <w:bookmarkEnd w:id="466"/>
      <w:bookmarkEnd w:id="467"/>
      <w:bookmarkEnd w:id="468"/>
      <w:bookmarkEnd w:id="469"/>
      <w:bookmarkEnd w:id="470"/>
    </w:p>
    <w:p>
      <w:pPr>
        <w:spacing w:line="400" w:lineRule="exact"/>
        <w:ind w:firstLine="420" w:firstLineChars="200"/>
        <w:rPr>
          <w:rFonts w:ascii="宋体" w:cs="宋体"/>
          <w:szCs w:val="21"/>
        </w:rPr>
      </w:pPr>
      <w:r>
        <w:rPr>
          <w:rFonts w:hint="eastAsia" w:ascii="宋体" w:hAnsi="宋体" w:cs="宋体"/>
          <w:szCs w:val="21"/>
        </w:rPr>
        <w:t>评审结果公告后，采购人或采购代理机构以书面形式向成交供应商发出成交通知书，同时将成交结果通知未成交的供应商。</w:t>
      </w:r>
    </w:p>
    <w:p>
      <w:pPr>
        <w:pStyle w:val="49"/>
        <w:outlineLvl w:val="9"/>
        <w:rPr>
          <w:rFonts w:ascii="黑体" w:hAnsi="黑体"/>
          <w:szCs w:val="24"/>
        </w:rPr>
      </w:pPr>
      <w:bookmarkStart w:id="471" w:name="_Toc25186"/>
      <w:bookmarkStart w:id="472" w:name="_Toc22215451"/>
      <w:bookmarkStart w:id="473" w:name="_Toc17431"/>
      <w:bookmarkStart w:id="474" w:name="_Toc16878"/>
      <w:bookmarkStart w:id="475" w:name="_Toc179632588"/>
      <w:bookmarkStart w:id="476" w:name="_Toc144974538"/>
      <w:bookmarkStart w:id="477" w:name="_Toc152042346"/>
      <w:bookmarkStart w:id="478" w:name="_Toc20537"/>
      <w:bookmarkStart w:id="479" w:name="_Toc152045570"/>
      <w:bookmarkStart w:id="480" w:name="_Toc450217509"/>
      <w:r>
        <w:rPr>
          <w:rFonts w:ascii="黑体" w:hAnsi="黑体"/>
          <w:szCs w:val="24"/>
        </w:rPr>
        <w:t>7.</w:t>
      </w:r>
      <w:r>
        <w:rPr>
          <w:rFonts w:hint="eastAsia" w:ascii="黑体" w:hAnsi="黑体"/>
          <w:szCs w:val="24"/>
        </w:rPr>
        <w:t>4签订合同</w:t>
      </w:r>
      <w:bookmarkEnd w:id="471"/>
      <w:bookmarkEnd w:id="472"/>
      <w:bookmarkEnd w:id="473"/>
      <w:bookmarkEnd w:id="474"/>
      <w:bookmarkEnd w:id="475"/>
      <w:bookmarkEnd w:id="476"/>
      <w:bookmarkEnd w:id="477"/>
      <w:bookmarkEnd w:id="478"/>
      <w:bookmarkEnd w:id="479"/>
      <w:bookmarkEnd w:id="480"/>
    </w:p>
    <w:p>
      <w:pPr>
        <w:spacing w:line="400" w:lineRule="exact"/>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szCs w:val="21"/>
        </w:rPr>
        <w:t>4</w:t>
      </w:r>
      <w:r>
        <w:rPr>
          <w:rFonts w:ascii="Times New Roman" w:hAnsi="Times New Roman"/>
          <w:szCs w:val="21"/>
        </w:rPr>
        <w:t>.1</w:t>
      </w:r>
      <w:r>
        <w:rPr>
          <w:rFonts w:hint="eastAsia" w:ascii="Times New Roman" w:hAnsi="Times New Roman"/>
          <w:szCs w:val="21"/>
        </w:rPr>
        <w:t>采购人和成交供应商应当在磋商有效期内并在自成交通知书发出之日起</w:t>
      </w:r>
      <w:r>
        <w:rPr>
          <w:rFonts w:ascii="Times New Roman" w:hAnsi="Times New Roman"/>
          <w:szCs w:val="21"/>
        </w:rPr>
        <w:t>30</w:t>
      </w:r>
      <w:r>
        <w:rPr>
          <w:rFonts w:hint="eastAsia" w:ascii="Times New Roman" w:hAnsi="Times New Roman"/>
          <w:szCs w:val="21"/>
        </w:rPr>
        <w:t>日内，根据磋商文件和成交供应商的响应文件订立书面合同。成交供应商无正当理由拒签合同的、在签订合同时向采购人提出附加条件的，采购人取消其成交资格，成交供应商还应当对采购人的损失予以赔偿。</w:t>
      </w:r>
    </w:p>
    <w:p>
      <w:pPr>
        <w:pStyle w:val="46"/>
        <w:spacing w:beforeLines="50" w:afterLines="50"/>
        <w:jc w:val="center"/>
        <w:rPr>
          <w:rFonts w:ascii="黑体" w:hAnsi="黑体"/>
          <w:b/>
          <w:szCs w:val="28"/>
        </w:rPr>
      </w:pPr>
      <w:bookmarkStart w:id="481" w:name="_Toc144974539"/>
      <w:bookmarkStart w:id="482" w:name="_Toc152042347"/>
      <w:bookmarkStart w:id="483" w:name="_Toc152045571"/>
      <w:bookmarkStart w:id="484" w:name="_Toc179632589"/>
      <w:bookmarkStart w:id="485" w:name="_Toc6362"/>
      <w:bookmarkStart w:id="486" w:name="_Toc387647217"/>
      <w:bookmarkStart w:id="487" w:name="_Toc450217510"/>
      <w:bookmarkStart w:id="488" w:name="_Toc22215452"/>
      <w:bookmarkStart w:id="489" w:name="_Toc21460"/>
      <w:bookmarkStart w:id="490" w:name="_Toc7217"/>
      <w:bookmarkStart w:id="491" w:name="_Toc12572"/>
      <w:bookmarkStart w:id="492" w:name="_Toc13819"/>
      <w:r>
        <w:rPr>
          <w:rFonts w:ascii="黑体" w:hAnsi="黑体"/>
          <w:b/>
          <w:szCs w:val="28"/>
        </w:rPr>
        <w:t xml:space="preserve">8. </w:t>
      </w:r>
      <w:r>
        <w:rPr>
          <w:rFonts w:hint="eastAsia" w:ascii="黑体" w:hAnsi="黑体"/>
          <w:b/>
          <w:szCs w:val="28"/>
        </w:rPr>
        <w:t>重新磋商、不再磋商和</w:t>
      </w:r>
      <w:bookmarkEnd w:id="481"/>
      <w:bookmarkEnd w:id="482"/>
      <w:bookmarkEnd w:id="483"/>
      <w:bookmarkEnd w:id="484"/>
      <w:r>
        <w:rPr>
          <w:rFonts w:hint="eastAsia" w:ascii="黑体" w:hAnsi="黑体"/>
          <w:b/>
          <w:szCs w:val="28"/>
        </w:rPr>
        <w:t>终止</w:t>
      </w:r>
      <w:bookmarkEnd w:id="485"/>
      <w:bookmarkEnd w:id="486"/>
      <w:bookmarkEnd w:id="487"/>
      <w:r>
        <w:rPr>
          <w:rFonts w:hint="eastAsia" w:ascii="黑体" w:hAnsi="黑体"/>
          <w:b/>
          <w:szCs w:val="28"/>
        </w:rPr>
        <w:t>磋商</w:t>
      </w:r>
      <w:bookmarkEnd w:id="488"/>
      <w:bookmarkEnd w:id="489"/>
      <w:bookmarkEnd w:id="490"/>
      <w:bookmarkEnd w:id="491"/>
      <w:bookmarkEnd w:id="492"/>
    </w:p>
    <w:p>
      <w:pPr>
        <w:pStyle w:val="49"/>
        <w:outlineLvl w:val="9"/>
        <w:rPr>
          <w:rFonts w:ascii="黑体" w:hAnsi="黑体"/>
          <w:szCs w:val="24"/>
        </w:rPr>
      </w:pPr>
      <w:bookmarkStart w:id="493" w:name="_Toc179632590"/>
      <w:bookmarkStart w:id="494" w:name="_Toc7615"/>
      <w:bookmarkStart w:id="495" w:name="_Toc152045572"/>
      <w:bookmarkStart w:id="496" w:name="_Toc450217511"/>
      <w:bookmarkStart w:id="497" w:name="_Toc152042348"/>
      <w:bookmarkStart w:id="498" w:name="_Toc144974540"/>
      <w:bookmarkStart w:id="499" w:name="_Toc10832"/>
      <w:bookmarkStart w:id="500" w:name="_Toc24696"/>
      <w:bookmarkStart w:id="501" w:name="_Toc31276"/>
      <w:bookmarkStart w:id="502" w:name="_Toc22215453"/>
      <w:r>
        <w:rPr>
          <w:rFonts w:ascii="黑体" w:hAnsi="黑体"/>
          <w:szCs w:val="24"/>
        </w:rPr>
        <w:t xml:space="preserve">8.1 </w:t>
      </w:r>
      <w:r>
        <w:rPr>
          <w:rFonts w:hint="eastAsia" w:ascii="黑体" w:hAnsi="黑体"/>
          <w:szCs w:val="24"/>
        </w:rPr>
        <w:t>重新</w:t>
      </w:r>
      <w:bookmarkEnd w:id="493"/>
      <w:bookmarkEnd w:id="494"/>
      <w:bookmarkEnd w:id="495"/>
      <w:bookmarkEnd w:id="496"/>
      <w:bookmarkEnd w:id="497"/>
      <w:bookmarkEnd w:id="498"/>
      <w:r>
        <w:rPr>
          <w:rFonts w:hint="eastAsia" w:ascii="黑体" w:hAnsi="黑体"/>
          <w:szCs w:val="24"/>
        </w:rPr>
        <w:t>磋商</w:t>
      </w:r>
      <w:bookmarkEnd w:id="499"/>
      <w:bookmarkEnd w:id="500"/>
      <w:bookmarkEnd w:id="501"/>
      <w:bookmarkEnd w:id="502"/>
    </w:p>
    <w:p>
      <w:pPr>
        <w:spacing w:line="400" w:lineRule="exact"/>
        <w:ind w:firstLine="420" w:firstLineChars="200"/>
        <w:rPr>
          <w:rFonts w:ascii="宋体" w:cs="宋体"/>
          <w:szCs w:val="21"/>
        </w:rPr>
      </w:pPr>
      <w:r>
        <w:rPr>
          <w:rFonts w:hint="eastAsia" w:ascii="宋体" w:hAnsi="宋体" w:cs="宋体"/>
          <w:szCs w:val="21"/>
        </w:rPr>
        <w:t>有下列情形之一的，采购人将重新磋商：</w:t>
      </w:r>
    </w:p>
    <w:p>
      <w:pPr>
        <w:spacing w:line="400" w:lineRule="exact"/>
        <w:ind w:firstLine="420" w:firstLineChars="200"/>
        <w:rPr>
          <w:rFonts w:ascii="宋体" w:cs="宋体"/>
          <w:szCs w:val="21"/>
        </w:rPr>
      </w:pPr>
      <w:bookmarkStart w:id="503" w:name="_Toc152042349"/>
      <w:bookmarkStart w:id="504" w:name="_Toc144974541"/>
      <w:bookmarkStart w:id="505" w:name="_Toc179632591"/>
      <w:bookmarkStart w:id="506" w:name="_Toc152045573"/>
      <w:r>
        <w:rPr>
          <w:rFonts w:hint="eastAsia" w:ascii="宋体" w:hAnsi="宋体" w:cs="宋体"/>
          <w:szCs w:val="21"/>
        </w:rPr>
        <w:t>（</w:t>
      </w:r>
      <w:r>
        <w:rPr>
          <w:rFonts w:ascii="宋体" w:hAnsi="宋体" w:cs="宋体"/>
          <w:szCs w:val="21"/>
        </w:rPr>
        <w:t>1</w:t>
      </w:r>
      <w:r>
        <w:rPr>
          <w:rFonts w:hint="eastAsia" w:ascii="宋体" w:hAnsi="宋体" w:cs="宋体"/>
          <w:szCs w:val="21"/>
        </w:rPr>
        <w:t>）磋商截止时间止，供应商少于</w:t>
      </w:r>
      <w:r>
        <w:rPr>
          <w:rFonts w:ascii="宋体" w:hAnsi="宋体" w:cs="宋体"/>
          <w:szCs w:val="21"/>
        </w:rPr>
        <w:t>3</w:t>
      </w:r>
      <w:r>
        <w:rPr>
          <w:rFonts w:hint="eastAsia" w:ascii="宋体" w:hAnsi="宋体" w:cs="宋体"/>
          <w:szCs w:val="21"/>
        </w:rPr>
        <w:t>个的；</w:t>
      </w:r>
    </w:p>
    <w:p>
      <w:pPr>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）符合专业条件的供应商或者对磋商文件作实质响应的供应商不足三家的；</w:t>
      </w:r>
    </w:p>
    <w:p>
      <w:pPr>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）除非已经产生成交候选人，在磋商有效期内同意延长磋商有效期的供应商少于三个的；</w:t>
      </w:r>
    </w:p>
    <w:p>
      <w:pPr>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）第一成交候选人或所有成交候选人均未与采购人签订合同的；</w:t>
      </w:r>
    </w:p>
    <w:p>
      <w:pPr>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）出现影响采购公正的违法、违规行为的；</w:t>
      </w:r>
    </w:p>
    <w:p>
      <w:pPr>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）供应商的报价均超过了采购预算，采购人不能支付的；</w:t>
      </w:r>
    </w:p>
    <w:p>
      <w:pPr>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）法律、法规规定的其他情形。</w:t>
      </w:r>
    </w:p>
    <w:p>
      <w:pPr>
        <w:pStyle w:val="49"/>
        <w:outlineLvl w:val="9"/>
        <w:rPr>
          <w:rFonts w:ascii="黑体" w:hAnsi="黑体"/>
          <w:szCs w:val="24"/>
        </w:rPr>
      </w:pPr>
      <w:bookmarkStart w:id="507" w:name="_Toc1446"/>
      <w:bookmarkStart w:id="508" w:name="_Toc450217512"/>
      <w:bookmarkStart w:id="509" w:name="_Toc2432"/>
      <w:bookmarkStart w:id="510" w:name="_Toc16694"/>
      <w:bookmarkStart w:id="511" w:name="_Toc22215454"/>
      <w:bookmarkStart w:id="512" w:name="_Toc8223"/>
      <w:r>
        <w:rPr>
          <w:rFonts w:ascii="黑体" w:hAnsi="黑体"/>
          <w:szCs w:val="24"/>
        </w:rPr>
        <w:t xml:space="preserve">8.2 </w:t>
      </w:r>
      <w:r>
        <w:rPr>
          <w:rFonts w:hint="eastAsia" w:ascii="黑体" w:hAnsi="黑体"/>
          <w:szCs w:val="24"/>
        </w:rPr>
        <w:t>不再</w:t>
      </w:r>
      <w:bookmarkEnd w:id="503"/>
      <w:bookmarkEnd w:id="504"/>
      <w:bookmarkEnd w:id="505"/>
      <w:bookmarkEnd w:id="506"/>
      <w:bookmarkEnd w:id="507"/>
      <w:bookmarkEnd w:id="508"/>
      <w:r>
        <w:rPr>
          <w:rFonts w:hint="eastAsia" w:ascii="黑体" w:hAnsi="黑体"/>
          <w:szCs w:val="24"/>
        </w:rPr>
        <w:t>磋商</w:t>
      </w:r>
      <w:bookmarkEnd w:id="509"/>
      <w:bookmarkEnd w:id="510"/>
      <w:bookmarkEnd w:id="511"/>
      <w:bookmarkEnd w:id="512"/>
    </w:p>
    <w:p>
      <w:pPr>
        <w:spacing w:line="400" w:lineRule="exact"/>
        <w:ind w:firstLine="420" w:firstLineChars="200"/>
        <w:rPr>
          <w:rFonts w:ascii="宋体" w:cs="宋体"/>
          <w:szCs w:val="21"/>
        </w:rPr>
      </w:pPr>
      <w:r>
        <w:rPr>
          <w:rFonts w:hint="eastAsia" w:ascii="宋体" w:hAnsi="宋体" w:cs="宋体"/>
          <w:szCs w:val="21"/>
        </w:rPr>
        <w:t>经获得设区的市、自治州以上人民政府采购监督管理部门或者政府有关部门批准，采用其他非磋商方式的。</w:t>
      </w:r>
    </w:p>
    <w:p>
      <w:pPr>
        <w:pStyle w:val="49"/>
        <w:outlineLvl w:val="9"/>
        <w:rPr>
          <w:rFonts w:ascii="黑体" w:hAnsi="黑体"/>
          <w:szCs w:val="24"/>
        </w:rPr>
      </w:pPr>
      <w:bookmarkStart w:id="513" w:name="_Toc450217513"/>
      <w:bookmarkStart w:id="514" w:name="_Toc29018"/>
      <w:bookmarkStart w:id="515" w:name="_Toc27299"/>
      <w:bookmarkStart w:id="516" w:name="_Toc22215455"/>
      <w:bookmarkStart w:id="517" w:name="_Toc32663"/>
      <w:bookmarkStart w:id="518" w:name="_Toc10456"/>
      <w:r>
        <w:rPr>
          <w:rFonts w:ascii="黑体" w:hAnsi="黑体"/>
          <w:szCs w:val="24"/>
        </w:rPr>
        <w:t xml:space="preserve">8.3 </w:t>
      </w:r>
      <w:r>
        <w:rPr>
          <w:rFonts w:hint="eastAsia" w:ascii="黑体" w:hAnsi="黑体"/>
          <w:szCs w:val="24"/>
        </w:rPr>
        <w:t>终止</w:t>
      </w:r>
      <w:bookmarkEnd w:id="513"/>
      <w:bookmarkEnd w:id="514"/>
      <w:r>
        <w:rPr>
          <w:rFonts w:hint="eastAsia" w:ascii="黑体" w:hAnsi="黑体"/>
          <w:szCs w:val="24"/>
        </w:rPr>
        <w:t>磋商</w:t>
      </w:r>
      <w:bookmarkEnd w:id="515"/>
      <w:bookmarkEnd w:id="516"/>
      <w:bookmarkEnd w:id="517"/>
      <w:bookmarkEnd w:id="518"/>
    </w:p>
    <w:p>
      <w:pPr>
        <w:spacing w:line="400" w:lineRule="exact"/>
        <w:ind w:firstLine="420" w:firstLineChars="200"/>
        <w:rPr>
          <w:rFonts w:ascii="宋体" w:cs="宋体"/>
          <w:szCs w:val="21"/>
        </w:rPr>
      </w:pPr>
      <w:bookmarkStart w:id="519" w:name="_Toc152042350"/>
      <w:bookmarkStart w:id="520" w:name="_Toc144974542"/>
      <w:bookmarkStart w:id="521" w:name="_Toc179632592"/>
      <w:bookmarkStart w:id="522" w:name="_Toc152045574"/>
      <w:bookmarkStart w:id="523" w:name="_Toc387647218"/>
      <w:r>
        <w:rPr>
          <w:rFonts w:hint="eastAsia" w:ascii="宋体" w:hAnsi="宋体" w:cs="宋体"/>
          <w:szCs w:val="21"/>
        </w:rPr>
        <w:t>因不可抗力等原因，采购人终止磋商的，将及时发布公告，或者以书面形式通知被邀请的或者已经获取磋商文件的潜在供应商。</w:t>
      </w:r>
    </w:p>
    <w:p>
      <w:pPr>
        <w:pStyle w:val="46"/>
        <w:spacing w:beforeLines="50" w:afterLines="50"/>
        <w:jc w:val="center"/>
        <w:rPr>
          <w:rFonts w:ascii="黑体" w:hAnsi="黑体"/>
          <w:b/>
          <w:szCs w:val="28"/>
        </w:rPr>
      </w:pPr>
      <w:bookmarkStart w:id="524" w:name="_Toc22215456"/>
      <w:bookmarkStart w:id="525" w:name="_Toc2557"/>
      <w:bookmarkStart w:id="526" w:name="_Toc32715"/>
      <w:bookmarkStart w:id="527" w:name="_Toc9894"/>
      <w:bookmarkStart w:id="528" w:name="_Toc450217514"/>
      <w:bookmarkStart w:id="529" w:name="_Toc28278"/>
      <w:bookmarkStart w:id="530" w:name="_Toc22172"/>
      <w:r>
        <w:rPr>
          <w:rFonts w:ascii="黑体" w:hAnsi="黑体"/>
          <w:b/>
          <w:szCs w:val="28"/>
        </w:rPr>
        <w:t xml:space="preserve">9. </w:t>
      </w:r>
      <w:r>
        <w:rPr>
          <w:rFonts w:hint="eastAsia" w:ascii="黑体" w:hAnsi="黑体"/>
          <w:b/>
          <w:szCs w:val="28"/>
        </w:rPr>
        <w:t>纪律和监督</w:t>
      </w:r>
      <w:bookmarkEnd w:id="519"/>
      <w:bookmarkEnd w:id="520"/>
      <w:bookmarkEnd w:id="521"/>
      <w:bookmarkEnd w:id="522"/>
      <w:bookmarkEnd w:id="523"/>
      <w:bookmarkEnd w:id="524"/>
      <w:bookmarkEnd w:id="525"/>
      <w:bookmarkEnd w:id="526"/>
      <w:bookmarkEnd w:id="527"/>
      <w:bookmarkEnd w:id="528"/>
      <w:bookmarkEnd w:id="529"/>
      <w:bookmarkEnd w:id="530"/>
    </w:p>
    <w:p>
      <w:pPr>
        <w:pStyle w:val="49"/>
        <w:outlineLvl w:val="9"/>
        <w:rPr>
          <w:rFonts w:ascii="黑体" w:hAnsi="黑体"/>
          <w:szCs w:val="24"/>
        </w:rPr>
      </w:pPr>
      <w:bookmarkStart w:id="531" w:name="_Toc29909"/>
      <w:bookmarkStart w:id="532" w:name="_Toc152045575"/>
      <w:bookmarkStart w:id="533" w:name="_Toc22769"/>
      <w:bookmarkStart w:id="534" w:name="_Toc14419"/>
      <w:bookmarkStart w:id="535" w:name="_Toc152042351"/>
      <w:bookmarkStart w:id="536" w:name="_Toc30504"/>
      <w:bookmarkStart w:id="537" w:name="_Toc22215457"/>
      <w:bookmarkStart w:id="538" w:name="_Toc450217515"/>
      <w:bookmarkStart w:id="539" w:name="_Toc179632593"/>
      <w:bookmarkStart w:id="540" w:name="_Toc144974543"/>
      <w:r>
        <w:rPr>
          <w:rFonts w:ascii="黑体" w:hAnsi="黑体"/>
          <w:szCs w:val="24"/>
        </w:rPr>
        <w:t xml:space="preserve">9.1 </w:t>
      </w:r>
      <w:r>
        <w:rPr>
          <w:rFonts w:hint="eastAsia" w:ascii="黑体" w:hAnsi="黑体"/>
          <w:szCs w:val="24"/>
        </w:rPr>
        <w:t>对采购人的纪律要求</w:t>
      </w:r>
      <w:bookmarkEnd w:id="531"/>
      <w:bookmarkEnd w:id="532"/>
      <w:bookmarkEnd w:id="533"/>
      <w:bookmarkEnd w:id="534"/>
      <w:bookmarkEnd w:id="535"/>
      <w:bookmarkEnd w:id="536"/>
      <w:bookmarkEnd w:id="537"/>
      <w:bookmarkEnd w:id="538"/>
      <w:bookmarkEnd w:id="539"/>
      <w:bookmarkEnd w:id="540"/>
    </w:p>
    <w:p>
      <w:pPr>
        <w:spacing w:line="400" w:lineRule="exact"/>
        <w:ind w:firstLine="420" w:firstLineChars="200"/>
        <w:rPr>
          <w:rFonts w:ascii="宋体" w:cs="宋体"/>
          <w:szCs w:val="21"/>
        </w:rPr>
      </w:pPr>
      <w:r>
        <w:rPr>
          <w:rFonts w:hint="eastAsia" w:ascii="宋体" w:hAnsi="宋体" w:cs="宋体"/>
          <w:szCs w:val="21"/>
        </w:rPr>
        <w:t>采购人不得泄漏磋商活动中应当保密的情况和资料，不得与供应商串通损害国家利益、社会公共利益或者他人合法权益。</w:t>
      </w:r>
    </w:p>
    <w:p>
      <w:pPr>
        <w:pStyle w:val="49"/>
        <w:outlineLvl w:val="9"/>
        <w:rPr>
          <w:rFonts w:ascii="黑体" w:hAnsi="黑体"/>
          <w:szCs w:val="24"/>
        </w:rPr>
      </w:pPr>
      <w:bookmarkStart w:id="541" w:name="_Toc31918"/>
      <w:bookmarkStart w:id="542" w:name="_Toc152045576"/>
      <w:bookmarkStart w:id="543" w:name="_Toc179632594"/>
      <w:bookmarkStart w:id="544" w:name="_Toc18870"/>
      <w:bookmarkStart w:id="545" w:name="_Toc22215458"/>
      <w:bookmarkStart w:id="546" w:name="_Toc144974544"/>
      <w:bookmarkStart w:id="547" w:name="_Toc450217516"/>
      <w:bookmarkStart w:id="548" w:name="_Toc152042352"/>
      <w:bookmarkStart w:id="549" w:name="_Toc17000"/>
      <w:bookmarkStart w:id="550" w:name="_Toc23280"/>
      <w:r>
        <w:rPr>
          <w:rFonts w:ascii="黑体" w:hAnsi="黑体"/>
          <w:szCs w:val="24"/>
        </w:rPr>
        <w:t xml:space="preserve">9.2 </w:t>
      </w:r>
      <w:r>
        <w:rPr>
          <w:rFonts w:hint="eastAsia" w:ascii="黑体" w:hAnsi="黑体"/>
          <w:szCs w:val="24"/>
        </w:rPr>
        <w:t>对供应商的纪律要求</w:t>
      </w:r>
      <w:bookmarkEnd w:id="541"/>
      <w:bookmarkEnd w:id="542"/>
      <w:bookmarkEnd w:id="543"/>
      <w:bookmarkEnd w:id="544"/>
      <w:bookmarkEnd w:id="545"/>
      <w:bookmarkEnd w:id="546"/>
      <w:bookmarkEnd w:id="547"/>
      <w:bookmarkEnd w:id="548"/>
      <w:bookmarkEnd w:id="549"/>
      <w:bookmarkEnd w:id="550"/>
    </w:p>
    <w:p>
      <w:pPr>
        <w:spacing w:line="400" w:lineRule="exact"/>
        <w:ind w:firstLine="420" w:firstLineChars="200"/>
        <w:rPr>
          <w:rFonts w:ascii="宋体" w:cs="宋体"/>
          <w:szCs w:val="21"/>
        </w:rPr>
      </w:pPr>
      <w:r>
        <w:rPr>
          <w:rFonts w:hint="eastAsia" w:ascii="宋体" w:hAnsi="宋体" w:cs="宋体"/>
          <w:szCs w:val="21"/>
        </w:rPr>
        <w:t>供应商不得相互串通磋商或者与采购人串通磋商，不得向采购人或者磋商小组成员行贿谋取成交，不得以他人名义磋商或者以其他方式弄虚作假骗取成交；供应商不得以任何方式干扰、影响评审工作。</w:t>
      </w:r>
    </w:p>
    <w:p>
      <w:pPr>
        <w:pStyle w:val="49"/>
        <w:outlineLvl w:val="9"/>
        <w:rPr>
          <w:rFonts w:ascii="黑体" w:hAnsi="黑体"/>
          <w:szCs w:val="24"/>
        </w:rPr>
      </w:pPr>
      <w:bookmarkStart w:id="551" w:name="_Toc22215459"/>
      <w:bookmarkStart w:id="552" w:name="_Toc152045577"/>
      <w:bookmarkStart w:id="553" w:name="_Toc15274"/>
      <w:bookmarkStart w:id="554" w:name="_Toc450217517"/>
      <w:bookmarkStart w:id="555" w:name="_Toc179632595"/>
      <w:bookmarkStart w:id="556" w:name="_Toc31797"/>
      <w:bookmarkStart w:id="557" w:name="_Toc144974545"/>
      <w:bookmarkStart w:id="558" w:name="_Toc27328"/>
      <w:bookmarkStart w:id="559" w:name="_Toc26716"/>
      <w:bookmarkStart w:id="560" w:name="_Toc152042353"/>
      <w:r>
        <w:rPr>
          <w:rFonts w:ascii="黑体" w:hAnsi="黑体"/>
          <w:szCs w:val="24"/>
        </w:rPr>
        <w:t xml:space="preserve">9.3 </w:t>
      </w:r>
      <w:r>
        <w:rPr>
          <w:rFonts w:hint="eastAsia" w:ascii="黑体" w:hAnsi="黑体"/>
          <w:szCs w:val="24"/>
        </w:rPr>
        <w:t>对磋商小组成员的纪律要求</w:t>
      </w:r>
      <w:bookmarkEnd w:id="551"/>
      <w:bookmarkEnd w:id="552"/>
      <w:bookmarkEnd w:id="553"/>
      <w:bookmarkEnd w:id="554"/>
      <w:bookmarkEnd w:id="555"/>
      <w:bookmarkEnd w:id="556"/>
      <w:bookmarkEnd w:id="557"/>
      <w:bookmarkEnd w:id="558"/>
      <w:bookmarkEnd w:id="559"/>
      <w:bookmarkEnd w:id="560"/>
    </w:p>
    <w:p>
      <w:pPr>
        <w:spacing w:line="400" w:lineRule="exact"/>
        <w:ind w:firstLine="420" w:firstLineChars="200"/>
        <w:rPr>
          <w:rFonts w:ascii="宋体" w:cs="宋体"/>
          <w:szCs w:val="21"/>
        </w:rPr>
      </w:pPr>
      <w:r>
        <w:rPr>
          <w:rFonts w:hint="eastAsia" w:ascii="宋体" w:hAnsi="宋体" w:cs="宋体"/>
          <w:szCs w:val="21"/>
        </w:rPr>
        <w:t>评审委员会成员和评审工作有关人员不得干预或者影响正常评审工作，不得与任何供应商或者与磋商结果有利害关系的人进行私下接触，不得收受供应商、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对依法应当否决的磋商不提出否决意见，不得暗示或者诱导供应商作出澄清、说明或者接受供应商主动提出的澄清，不得记录、复制或带走任何评审资料。</w:t>
      </w:r>
    </w:p>
    <w:p>
      <w:pPr>
        <w:spacing w:line="400" w:lineRule="exact"/>
        <w:ind w:firstLine="420" w:firstLineChars="200"/>
        <w:rPr>
          <w:rFonts w:ascii="宋体" w:cs="宋体"/>
          <w:szCs w:val="21"/>
        </w:rPr>
      </w:pPr>
      <w:r>
        <w:rPr>
          <w:rFonts w:hint="eastAsia" w:ascii="宋体" w:hAnsi="宋体" w:cs="宋体"/>
          <w:szCs w:val="21"/>
        </w:rPr>
        <w:t>说明；不得使用第三章“评审办法”没有规定的评审因素和标准进行评审。</w:t>
      </w:r>
    </w:p>
    <w:p>
      <w:pPr>
        <w:pStyle w:val="49"/>
        <w:outlineLvl w:val="9"/>
        <w:rPr>
          <w:rFonts w:ascii="黑体" w:hAnsi="黑体"/>
          <w:szCs w:val="24"/>
        </w:rPr>
      </w:pPr>
      <w:bookmarkStart w:id="561" w:name="_Toc21043"/>
      <w:bookmarkStart w:id="562" w:name="_Toc179632596"/>
      <w:bookmarkStart w:id="563" w:name="_Toc8192"/>
      <w:bookmarkStart w:id="564" w:name="_Toc152042354"/>
      <w:bookmarkStart w:id="565" w:name="_Toc22121"/>
      <w:bookmarkStart w:id="566" w:name="_Toc450217518"/>
      <w:bookmarkStart w:id="567" w:name="_Toc22215460"/>
      <w:bookmarkStart w:id="568" w:name="_Toc152045578"/>
      <w:bookmarkStart w:id="569" w:name="_Toc13138"/>
      <w:bookmarkStart w:id="570" w:name="_Toc144974546"/>
      <w:r>
        <w:rPr>
          <w:rFonts w:ascii="黑体" w:hAnsi="黑体"/>
          <w:szCs w:val="24"/>
        </w:rPr>
        <w:t xml:space="preserve">9.4 </w:t>
      </w:r>
      <w:r>
        <w:rPr>
          <w:rFonts w:hint="eastAsia" w:ascii="黑体" w:hAnsi="黑体"/>
          <w:szCs w:val="24"/>
        </w:rPr>
        <w:t>对与评审活动有关的工作人员的纪律要求</w:t>
      </w:r>
      <w:bookmarkEnd w:id="561"/>
      <w:bookmarkEnd w:id="562"/>
      <w:bookmarkEnd w:id="563"/>
      <w:bookmarkEnd w:id="564"/>
      <w:bookmarkEnd w:id="565"/>
      <w:bookmarkEnd w:id="566"/>
      <w:bookmarkEnd w:id="567"/>
      <w:bookmarkEnd w:id="568"/>
      <w:bookmarkEnd w:id="569"/>
    </w:p>
    <w:p>
      <w:pPr>
        <w:spacing w:line="400" w:lineRule="exact"/>
        <w:ind w:firstLine="420" w:firstLineChars="200"/>
        <w:rPr>
          <w:rFonts w:ascii="宋体" w:cs="宋体"/>
          <w:szCs w:val="21"/>
        </w:rPr>
      </w:pPr>
      <w:bookmarkStart w:id="571" w:name="_Toc152042355"/>
      <w:r>
        <w:rPr>
          <w:rFonts w:hint="eastAsia" w:ascii="宋体" w:hAnsi="宋体" w:cs="宋体"/>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571"/>
    </w:p>
    <w:p>
      <w:pPr>
        <w:pStyle w:val="49"/>
        <w:outlineLvl w:val="9"/>
        <w:rPr>
          <w:rFonts w:ascii="黑体" w:hAnsi="黑体"/>
          <w:szCs w:val="24"/>
        </w:rPr>
      </w:pPr>
      <w:bookmarkStart w:id="572" w:name="_Toc152042356"/>
      <w:bookmarkStart w:id="573" w:name="_Toc152045579"/>
      <w:bookmarkStart w:id="574" w:name="_Toc19337"/>
      <w:bookmarkStart w:id="575" w:name="_Toc450217519"/>
      <w:bookmarkStart w:id="576" w:name="_Toc32597"/>
      <w:bookmarkStart w:id="577" w:name="_Toc179632597"/>
      <w:bookmarkStart w:id="578" w:name="_Toc22215461"/>
      <w:bookmarkStart w:id="579" w:name="_Toc12383"/>
      <w:bookmarkStart w:id="580" w:name="_Toc5503"/>
      <w:r>
        <w:rPr>
          <w:rFonts w:ascii="黑体" w:hAnsi="黑体"/>
          <w:szCs w:val="24"/>
        </w:rPr>
        <w:t xml:space="preserve">9.5 </w:t>
      </w:r>
      <w:r>
        <w:rPr>
          <w:rFonts w:hint="eastAsia" w:ascii="黑体" w:hAnsi="黑体"/>
          <w:szCs w:val="24"/>
        </w:rPr>
        <w:t>投诉</w:t>
      </w:r>
      <w:bookmarkEnd w:id="570"/>
      <w:bookmarkEnd w:id="572"/>
      <w:bookmarkEnd w:id="573"/>
      <w:bookmarkEnd w:id="574"/>
      <w:bookmarkEnd w:id="575"/>
      <w:bookmarkEnd w:id="576"/>
      <w:bookmarkEnd w:id="577"/>
      <w:bookmarkEnd w:id="578"/>
      <w:bookmarkEnd w:id="579"/>
      <w:bookmarkEnd w:id="580"/>
    </w:p>
    <w:p>
      <w:pPr>
        <w:spacing w:line="400" w:lineRule="exact"/>
        <w:ind w:firstLine="420" w:firstLineChars="200"/>
        <w:rPr>
          <w:rFonts w:ascii="宋体" w:cs="宋体"/>
          <w:szCs w:val="21"/>
        </w:rPr>
      </w:pPr>
      <w:bookmarkStart w:id="581" w:name="_Toc152045580"/>
      <w:bookmarkStart w:id="582" w:name="_Toc387647219"/>
      <w:bookmarkStart w:id="583" w:name="_Toc144974547"/>
      <w:bookmarkStart w:id="584" w:name="_Toc179632598"/>
      <w:bookmarkStart w:id="585" w:name="_Toc152042357"/>
      <w:r>
        <w:rPr>
          <w:rFonts w:hint="eastAsia" w:ascii="宋体" w:hAnsi="宋体" w:cs="宋体"/>
          <w:szCs w:val="21"/>
        </w:rPr>
        <w:t>本次磋商磋商活动及其相关当事人应当接受有关行政监督部门依法实施的监督。</w:t>
      </w:r>
    </w:p>
    <w:p>
      <w:pPr>
        <w:spacing w:line="400" w:lineRule="exact"/>
        <w:ind w:firstLine="420" w:firstLineChars="200"/>
        <w:rPr>
          <w:rFonts w:ascii="宋体" w:cs="宋体"/>
          <w:szCs w:val="21"/>
        </w:rPr>
      </w:pPr>
      <w:r>
        <w:rPr>
          <w:rFonts w:hint="eastAsia" w:ascii="宋体" w:hAnsi="宋体" w:cs="宋体"/>
          <w:szCs w:val="21"/>
        </w:rPr>
        <w:t>已提出质疑的供应商对采购人、采购代理机构的答复不满意或者采购人、采购代理机构未在规定的时间内作出答复的，可以在答复期满后十五个工作日内向同级政府采购监督管理部门投诉。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420" w:firstLineChars="200"/>
        <w:rPr>
          <w:rFonts w:ascii="宋体" w:cs="宋体"/>
          <w:szCs w:val="21"/>
        </w:rPr>
      </w:pPr>
      <w:r>
        <w:rPr>
          <w:rFonts w:hint="eastAsia" w:ascii="宋体" w:hAnsi="宋体" w:cs="宋体"/>
          <w:szCs w:val="21"/>
        </w:rPr>
        <w:t>供应商和其他利害关系人的投诉应按照《政府采购供应商投诉处理办法》规定进行。</w:t>
      </w:r>
    </w:p>
    <w:p>
      <w:pPr>
        <w:pStyle w:val="46"/>
        <w:spacing w:beforeLines="50" w:afterLines="50"/>
        <w:jc w:val="center"/>
        <w:rPr>
          <w:rFonts w:ascii="黑体" w:hAnsi="黑体"/>
          <w:b/>
          <w:szCs w:val="28"/>
        </w:rPr>
      </w:pPr>
      <w:bookmarkStart w:id="586" w:name="_Toc32430"/>
      <w:bookmarkStart w:id="587" w:name="_Toc27469"/>
      <w:bookmarkStart w:id="588" w:name="_Toc18339"/>
      <w:bookmarkStart w:id="589" w:name="_Toc22215462"/>
      <w:bookmarkStart w:id="590" w:name="_Toc450217520"/>
      <w:bookmarkStart w:id="591" w:name="_Toc13878"/>
      <w:bookmarkStart w:id="592" w:name="_Toc5765"/>
      <w:r>
        <w:rPr>
          <w:rFonts w:ascii="黑体" w:hAnsi="黑体"/>
          <w:b/>
          <w:szCs w:val="28"/>
        </w:rPr>
        <w:t xml:space="preserve">10. </w:t>
      </w:r>
      <w:r>
        <w:rPr>
          <w:rFonts w:hint="eastAsia" w:ascii="黑体" w:hAnsi="黑体"/>
          <w:b/>
          <w:szCs w:val="28"/>
        </w:rPr>
        <w:t>需要补充的其他内容</w:t>
      </w:r>
      <w:bookmarkEnd w:id="581"/>
      <w:bookmarkEnd w:id="582"/>
      <w:bookmarkEnd w:id="583"/>
      <w:bookmarkEnd w:id="584"/>
      <w:bookmarkEnd w:id="585"/>
      <w:bookmarkEnd w:id="586"/>
      <w:bookmarkEnd w:id="587"/>
      <w:bookmarkEnd w:id="588"/>
      <w:bookmarkEnd w:id="589"/>
      <w:bookmarkEnd w:id="590"/>
      <w:bookmarkEnd w:id="591"/>
      <w:bookmarkEnd w:id="592"/>
    </w:p>
    <w:p>
      <w:pPr>
        <w:pStyle w:val="49"/>
        <w:outlineLvl w:val="9"/>
        <w:rPr>
          <w:rFonts w:ascii="黑体" w:hAnsi="黑体"/>
          <w:szCs w:val="24"/>
        </w:rPr>
      </w:pPr>
      <w:bookmarkStart w:id="593" w:name="_Toc450217521"/>
      <w:bookmarkStart w:id="594" w:name="_Toc31792"/>
      <w:bookmarkStart w:id="595" w:name="_Toc26206"/>
      <w:bookmarkStart w:id="596" w:name="_Toc1836"/>
      <w:bookmarkStart w:id="597" w:name="_Toc22215463"/>
      <w:bookmarkStart w:id="598" w:name="_Toc7685"/>
      <w:bookmarkStart w:id="599" w:name="_Toc6355"/>
      <w:r>
        <w:rPr>
          <w:rFonts w:ascii="黑体" w:hAnsi="黑体"/>
          <w:szCs w:val="24"/>
        </w:rPr>
        <w:t xml:space="preserve">10.1 </w:t>
      </w:r>
      <w:r>
        <w:rPr>
          <w:rFonts w:hint="eastAsia" w:ascii="黑体" w:hAnsi="黑体"/>
          <w:szCs w:val="24"/>
        </w:rPr>
        <w:t>多项目包</w:t>
      </w:r>
      <w:bookmarkEnd w:id="593"/>
      <w:bookmarkEnd w:id="594"/>
      <w:bookmarkEnd w:id="595"/>
      <w:r>
        <w:rPr>
          <w:rFonts w:hint="eastAsia" w:ascii="黑体" w:hAnsi="黑体"/>
          <w:szCs w:val="24"/>
        </w:rPr>
        <w:t>磋商</w:t>
      </w:r>
      <w:bookmarkEnd w:id="596"/>
      <w:bookmarkEnd w:id="597"/>
      <w:bookmarkEnd w:id="598"/>
      <w:bookmarkEnd w:id="599"/>
    </w:p>
    <w:p>
      <w:pPr>
        <w:spacing w:line="400" w:lineRule="exact"/>
        <w:ind w:firstLine="420" w:firstLineChars="200"/>
        <w:rPr>
          <w:rFonts w:ascii="宋体" w:cs="宋体"/>
          <w:szCs w:val="21"/>
        </w:rPr>
      </w:pPr>
      <w:r>
        <w:rPr>
          <w:rFonts w:hint="eastAsia" w:ascii="宋体" w:hAnsi="宋体" w:cs="宋体"/>
          <w:szCs w:val="21"/>
        </w:rPr>
        <w:t>多项目包磋商规定：见供应商须知前附表。</w:t>
      </w:r>
    </w:p>
    <w:p>
      <w:pPr>
        <w:pStyle w:val="49"/>
        <w:outlineLvl w:val="9"/>
        <w:rPr>
          <w:rFonts w:ascii="黑体" w:hAnsi="黑体"/>
          <w:szCs w:val="24"/>
        </w:rPr>
      </w:pPr>
      <w:bookmarkStart w:id="600" w:name="_Toc12289"/>
      <w:bookmarkStart w:id="601" w:name="_Toc450217522"/>
      <w:bookmarkStart w:id="602" w:name="_Toc22215464"/>
      <w:bookmarkStart w:id="603" w:name="_Toc3670"/>
      <w:bookmarkStart w:id="604" w:name="_Toc15494"/>
      <w:bookmarkStart w:id="605" w:name="_Toc31649"/>
      <w:bookmarkStart w:id="606" w:name="_Toc13071"/>
      <w:r>
        <w:rPr>
          <w:rFonts w:ascii="黑体" w:hAnsi="黑体"/>
          <w:szCs w:val="24"/>
        </w:rPr>
        <w:t xml:space="preserve">10.2 </w:t>
      </w:r>
      <w:r>
        <w:rPr>
          <w:rFonts w:hint="eastAsia" w:ascii="黑体" w:hAnsi="黑体"/>
          <w:szCs w:val="24"/>
        </w:rPr>
        <w:t>知识产权</w:t>
      </w:r>
      <w:bookmarkEnd w:id="600"/>
      <w:bookmarkEnd w:id="601"/>
      <w:bookmarkEnd w:id="602"/>
      <w:bookmarkEnd w:id="603"/>
      <w:bookmarkEnd w:id="604"/>
      <w:bookmarkEnd w:id="605"/>
      <w:bookmarkEnd w:id="606"/>
    </w:p>
    <w:p>
      <w:pPr>
        <w:spacing w:line="400" w:lineRule="exact"/>
        <w:ind w:firstLine="420" w:firstLineChars="200"/>
        <w:rPr>
          <w:rFonts w:ascii="宋体" w:cs="宋体"/>
          <w:szCs w:val="21"/>
        </w:rPr>
      </w:pPr>
      <w:r>
        <w:rPr>
          <w:rFonts w:hint="eastAsia" w:ascii="宋体" w:hAnsi="宋体" w:cs="宋体"/>
          <w:szCs w:val="21"/>
        </w:rPr>
        <w:t>有关知识产权的规定：见供应商须知前附表。</w:t>
      </w:r>
    </w:p>
    <w:p>
      <w:pPr>
        <w:pStyle w:val="49"/>
        <w:outlineLvl w:val="9"/>
        <w:rPr>
          <w:rFonts w:ascii="黑体" w:hAnsi="黑体"/>
          <w:szCs w:val="24"/>
        </w:rPr>
      </w:pPr>
      <w:bookmarkStart w:id="607" w:name="_Toc15761"/>
      <w:bookmarkStart w:id="608" w:name="_Toc22215465"/>
      <w:bookmarkStart w:id="609" w:name="_Toc2803"/>
      <w:bookmarkStart w:id="610" w:name="_Toc17321"/>
      <w:bookmarkStart w:id="611" w:name="_Toc12427"/>
      <w:bookmarkStart w:id="612" w:name="_Toc450217523"/>
      <w:bookmarkStart w:id="613" w:name="_Toc20689"/>
      <w:r>
        <w:rPr>
          <w:rFonts w:ascii="黑体" w:hAnsi="黑体"/>
          <w:szCs w:val="24"/>
        </w:rPr>
        <w:t xml:space="preserve">10.3 </w:t>
      </w:r>
      <w:r>
        <w:rPr>
          <w:rFonts w:hint="eastAsia" w:ascii="黑体" w:hAnsi="黑体"/>
          <w:szCs w:val="24"/>
        </w:rPr>
        <w:t>同义词语</w:t>
      </w:r>
      <w:bookmarkEnd w:id="607"/>
      <w:bookmarkEnd w:id="608"/>
      <w:bookmarkEnd w:id="609"/>
      <w:bookmarkEnd w:id="610"/>
      <w:bookmarkEnd w:id="611"/>
      <w:bookmarkEnd w:id="612"/>
      <w:bookmarkEnd w:id="613"/>
    </w:p>
    <w:p>
      <w:pPr>
        <w:spacing w:line="400" w:lineRule="exact"/>
        <w:ind w:firstLine="420" w:firstLineChars="200"/>
        <w:rPr>
          <w:rFonts w:ascii="宋体" w:cs="宋体"/>
          <w:szCs w:val="21"/>
        </w:rPr>
      </w:pPr>
      <w:r>
        <w:rPr>
          <w:rFonts w:hint="eastAsia" w:ascii="宋体" w:hAnsi="宋体" w:cs="宋体"/>
          <w:szCs w:val="21"/>
        </w:rPr>
        <w:t>本磋商文件的同义词语：见供应商须知前附表。</w:t>
      </w:r>
    </w:p>
    <w:p>
      <w:pPr>
        <w:pStyle w:val="49"/>
        <w:outlineLvl w:val="9"/>
        <w:rPr>
          <w:rFonts w:ascii="黑体" w:hAnsi="黑体"/>
          <w:szCs w:val="24"/>
        </w:rPr>
      </w:pPr>
      <w:bookmarkStart w:id="614" w:name="_Toc390"/>
      <w:bookmarkStart w:id="615" w:name="_Toc842"/>
      <w:bookmarkStart w:id="616" w:name="_Toc22215466"/>
      <w:bookmarkStart w:id="617" w:name="_Toc30143"/>
      <w:bookmarkStart w:id="618" w:name="_Toc174"/>
      <w:bookmarkStart w:id="619" w:name="_Toc14595"/>
      <w:bookmarkStart w:id="620" w:name="_Toc450217524"/>
      <w:r>
        <w:rPr>
          <w:rFonts w:ascii="黑体" w:hAnsi="黑体"/>
          <w:szCs w:val="24"/>
        </w:rPr>
        <w:t xml:space="preserve">10.4 </w:t>
      </w:r>
      <w:r>
        <w:rPr>
          <w:rFonts w:hint="eastAsia" w:ascii="黑体" w:hAnsi="黑体"/>
          <w:szCs w:val="24"/>
        </w:rPr>
        <w:t>解释权</w:t>
      </w:r>
      <w:bookmarkEnd w:id="614"/>
      <w:bookmarkEnd w:id="615"/>
      <w:bookmarkEnd w:id="616"/>
      <w:bookmarkEnd w:id="617"/>
      <w:bookmarkEnd w:id="618"/>
      <w:bookmarkEnd w:id="619"/>
      <w:bookmarkEnd w:id="620"/>
    </w:p>
    <w:p>
      <w:pPr>
        <w:spacing w:line="400" w:lineRule="exact"/>
        <w:ind w:firstLine="420" w:firstLineChars="200"/>
        <w:rPr>
          <w:rFonts w:ascii="宋体" w:cs="宋体"/>
          <w:szCs w:val="21"/>
        </w:rPr>
      </w:pPr>
      <w:r>
        <w:rPr>
          <w:rFonts w:hint="eastAsia" w:ascii="宋体" w:hAnsi="宋体" w:cs="宋体"/>
          <w:szCs w:val="21"/>
        </w:rPr>
        <w:t>有关磋商文件的解释权：见供应商须知前附表。</w:t>
      </w:r>
    </w:p>
    <w:p>
      <w:pPr>
        <w:pStyle w:val="49"/>
        <w:outlineLvl w:val="9"/>
        <w:rPr>
          <w:rFonts w:ascii="黑体" w:hAnsi="黑体"/>
          <w:szCs w:val="24"/>
        </w:rPr>
      </w:pPr>
      <w:bookmarkStart w:id="621" w:name="_Toc2604"/>
      <w:bookmarkStart w:id="622" w:name="_Toc32478"/>
      <w:bookmarkStart w:id="623" w:name="_Toc450217525"/>
      <w:bookmarkStart w:id="624" w:name="_Toc16733"/>
      <w:bookmarkStart w:id="625" w:name="_Toc22215467"/>
      <w:bookmarkStart w:id="626" w:name="_Toc14932"/>
      <w:bookmarkStart w:id="627" w:name="_Toc5399"/>
      <w:r>
        <w:rPr>
          <w:rFonts w:ascii="黑体" w:hAnsi="黑体"/>
          <w:szCs w:val="24"/>
        </w:rPr>
        <w:t xml:space="preserve">10.5 </w:t>
      </w:r>
      <w:r>
        <w:rPr>
          <w:rFonts w:hint="eastAsia" w:ascii="黑体" w:hAnsi="黑体"/>
          <w:szCs w:val="24"/>
        </w:rPr>
        <w:t>采购人补充的其他内容</w:t>
      </w:r>
      <w:bookmarkEnd w:id="621"/>
      <w:bookmarkEnd w:id="622"/>
      <w:bookmarkEnd w:id="623"/>
      <w:bookmarkEnd w:id="624"/>
      <w:bookmarkEnd w:id="625"/>
      <w:bookmarkEnd w:id="626"/>
      <w:bookmarkEnd w:id="627"/>
    </w:p>
    <w:p>
      <w:pPr>
        <w:spacing w:line="400" w:lineRule="exact"/>
        <w:ind w:firstLine="420" w:firstLineChars="200"/>
        <w:rPr>
          <w:rFonts w:ascii="宋体" w:cs="宋体"/>
          <w:szCs w:val="21"/>
        </w:rPr>
      </w:pPr>
      <w:r>
        <w:rPr>
          <w:rFonts w:hint="eastAsia" w:ascii="宋体" w:hAnsi="宋体" w:cs="宋体"/>
          <w:szCs w:val="21"/>
        </w:rPr>
        <w:t>采购人补充的其他内容：见供应商须知前附表。</w:t>
      </w:r>
    </w:p>
    <w:p>
      <w:pPr>
        <w:spacing w:line="360" w:lineRule="auto"/>
        <w:ind w:firstLine="420" w:firstLineChars="200"/>
        <w:rPr>
          <w:rFonts w:ascii="宋体" w:cs="宋体"/>
          <w:szCs w:val="21"/>
        </w:rPr>
      </w:pPr>
    </w:p>
    <w:p>
      <w:pPr>
        <w:pStyle w:val="3"/>
        <w:jc w:val="center"/>
        <w:rPr>
          <w:rFonts w:ascii="黑体" w:hAnsi="仿宋_GB2312" w:eastAsia="黑体"/>
          <w:sz w:val="32"/>
          <w:szCs w:val="32"/>
        </w:rPr>
      </w:pPr>
      <w:bookmarkStart w:id="628" w:name="_Toc25815"/>
      <w:bookmarkStart w:id="629" w:name="_Toc183492175"/>
      <w:bookmarkStart w:id="630" w:name="_Toc387647243"/>
      <w:bookmarkStart w:id="631" w:name="_Toc450217526"/>
      <w:bookmarkStart w:id="632" w:name="_Toc5439"/>
      <w:r>
        <w:rPr>
          <w:rFonts w:hint="eastAsia" w:ascii="黑体" w:hAnsi="仿宋_GB2312" w:eastAsia="黑体"/>
          <w:b w:val="0"/>
          <w:sz w:val="32"/>
          <w:szCs w:val="32"/>
        </w:rPr>
        <w:br w:type="page"/>
      </w:r>
      <w:bookmarkStart w:id="633" w:name="_Toc25435"/>
      <w:bookmarkStart w:id="634" w:name="_Toc28681"/>
      <w:bookmarkStart w:id="635" w:name="_Toc25651"/>
      <w:bookmarkStart w:id="636" w:name="_Toc22215468"/>
      <w:bookmarkStart w:id="637" w:name="_Toc22880"/>
      <w:r>
        <w:rPr>
          <w:rFonts w:hint="eastAsia" w:ascii="黑体" w:hAnsi="仿宋_GB2312" w:eastAsia="黑体"/>
          <w:sz w:val="32"/>
          <w:szCs w:val="32"/>
        </w:rPr>
        <w:t>第三章评审办法（综合评分法）</w:t>
      </w:r>
      <w:bookmarkEnd w:id="628"/>
      <w:bookmarkEnd w:id="629"/>
      <w:bookmarkEnd w:id="630"/>
      <w:bookmarkEnd w:id="631"/>
      <w:bookmarkEnd w:id="632"/>
      <w:bookmarkEnd w:id="633"/>
      <w:bookmarkEnd w:id="634"/>
      <w:bookmarkEnd w:id="635"/>
      <w:bookmarkEnd w:id="636"/>
      <w:bookmarkEnd w:id="637"/>
    </w:p>
    <w:p>
      <w:pPr>
        <w:autoSpaceDE w:val="0"/>
        <w:autoSpaceDN w:val="0"/>
        <w:adjustRightInd w:val="0"/>
        <w:spacing w:line="400" w:lineRule="exact"/>
        <w:ind w:right="-10" w:rightChars="-5" w:firstLine="420" w:firstLineChars="200"/>
        <w:jc w:val="left"/>
        <w:rPr>
          <w:rFonts w:ascii="宋体" w:hAnsi="宋体" w:cs="宋体"/>
          <w:bCs/>
          <w:kern w:val="0"/>
          <w:szCs w:val="21"/>
        </w:rPr>
      </w:pPr>
      <w:r>
        <w:rPr>
          <w:rFonts w:hint="eastAsia" w:ascii="宋体" w:hAnsi="宋体" w:cs="宋体"/>
          <w:bCs/>
          <w:kern w:val="0"/>
          <w:szCs w:val="21"/>
        </w:rPr>
        <w:t>根据《政府采购法》、《政府采购法实施条例》、《政府采购竞争性磋商采购方式管理暂行办法》等相关规定确定以下评审办法、步骤及标准。</w:t>
      </w:r>
    </w:p>
    <w:p>
      <w:pPr>
        <w:spacing w:line="400" w:lineRule="exact"/>
        <w:rPr>
          <w:rFonts w:ascii="宋体" w:hAnsi="宋体" w:cs="宋体"/>
          <w:szCs w:val="21"/>
        </w:rPr>
      </w:pPr>
      <w:bookmarkStart w:id="638" w:name="_Toc278891605"/>
      <w:bookmarkStart w:id="639" w:name="_Toc272247708"/>
      <w:bookmarkStart w:id="640" w:name="_Toc14162933"/>
      <w:bookmarkStart w:id="641" w:name="_Toc362363471"/>
      <w:bookmarkStart w:id="642" w:name="_Toc17722428"/>
      <w:bookmarkStart w:id="643" w:name="_Toc17722822"/>
      <w:bookmarkStart w:id="644" w:name="_Toc421111740"/>
      <w:bookmarkStart w:id="645" w:name="_Toc10071"/>
      <w:bookmarkStart w:id="646" w:name="_Toc31684"/>
      <w:r>
        <w:rPr>
          <w:rFonts w:hint="eastAsia" w:ascii="宋体" w:hAnsi="宋体" w:cs="宋体"/>
          <w:szCs w:val="21"/>
        </w:rPr>
        <w:t>一、评</w:t>
      </w:r>
      <w:bookmarkEnd w:id="638"/>
      <w:bookmarkEnd w:id="639"/>
      <w:r>
        <w:rPr>
          <w:rFonts w:hint="eastAsia" w:ascii="宋体" w:hAnsi="宋体" w:cs="宋体"/>
          <w:szCs w:val="21"/>
        </w:rPr>
        <w:t>审权重</w:t>
      </w:r>
      <w:bookmarkEnd w:id="640"/>
      <w:bookmarkEnd w:id="641"/>
      <w:bookmarkEnd w:id="642"/>
      <w:bookmarkEnd w:id="643"/>
      <w:bookmarkEnd w:id="644"/>
      <w:bookmarkEnd w:id="645"/>
      <w:bookmarkEnd w:id="646"/>
    </w:p>
    <w:p>
      <w:pPr>
        <w:spacing w:line="400" w:lineRule="exact"/>
        <w:ind w:right="-10" w:rightChars="-5" w:firstLine="411" w:firstLineChars="196"/>
        <w:rPr>
          <w:rFonts w:ascii="宋体" w:hAnsi="宋体" w:cs="宋体"/>
          <w:bCs/>
          <w:szCs w:val="21"/>
        </w:rPr>
      </w:pPr>
      <w:r>
        <w:rPr>
          <w:rFonts w:hint="eastAsia" w:ascii="宋体" w:hAnsi="宋体" w:cs="宋体"/>
          <w:bCs/>
          <w:szCs w:val="21"/>
        </w:rPr>
        <w:t>本项目采用综合评分法，其中商务权重25%、技术权重45%、价格权重30%。</w:t>
      </w:r>
    </w:p>
    <w:p>
      <w:pPr>
        <w:spacing w:line="400" w:lineRule="exact"/>
        <w:rPr>
          <w:rFonts w:ascii="宋体" w:hAnsi="宋体" w:cs="宋体"/>
          <w:szCs w:val="21"/>
        </w:rPr>
      </w:pPr>
      <w:bookmarkStart w:id="647" w:name="_Toc421111741"/>
      <w:bookmarkStart w:id="648" w:name="_Toc23050"/>
      <w:bookmarkStart w:id="649" w:name="_Toc3095"/>
      <w:bookmarkStart w:id="650" w:name="_Toc278891606"/>
      <w:bookmarkStart w:id="651" w:name="_Toc17722823"/>
      <w:bookmarkStart w:id="652" w:name="_Toc14162934"/>
      <w:bookmarkStart w:id="653" w:name="_Toc17722429"/>
      <w:bookmarkStart w:id="654" w:name="_Toc272247709"/>
      <w:bookmarkStart w:id="655" w:name="_Toc362363472"/>
      <w:r>
        <w:rPr>
          <w:rFonts w:hint="eastAsia" w:ascii="宋体" w:hAnsi="宋体" w:cs="宋体"/>
          <w:szCs w:val="21"/>
        </w:rPr>
        <w:t>二、评审步骤</w:t>
      </w:r>
      <w:bookmarkEnd w:id="647"/>
      <w:bookmarkEnd w:id="648"/>
      <w:bookmarkEnd w:id="649"/>
      <w:bookmarkEnd w:id="650"/>
      <w:bookmarkEnd w:id="651"/>
      <w:bookmarkEnd w:id="652"/>
      <w:bookmarkEnd w:id="653"/>
      <w:bookmarkEnd w:id="654"/>
      <w:bookmarkEnd w:id="655"/>
    </w:p>
    <w:p>
      <w:pPr>
        <w:autoSpaceDE w:val="0"/>
        <w:autoSpaceDN w:val="0"/>
        <w:adjustRightInd w:val="0"/>
        <w:spacing w:line="400" w:lineRule="exact"/>
        <w:ind w:right="-10" w:rightChars="-5" w:firstLine="420" w:firstLineChars="200"/>
        <w:jc w:val="left"/>
        <w:rPr>
          <w:rFonts w:ascii="宋体" w:hAnsi="宋体" w:cs="宋体"/>
          <w:bCs/>
          <w:kern w:val="0"/>
          <w:szCs w:val="21"/>
        </w:rPr>
      </w:pPr>
      <w:r>
        <w:rPr>
          <w:rFonts w:hint="eastAsia" w:ascii="宋体" w:hAnsi="宋体" w:cs="宋体"/>
          <w:bCs/>
          <w:kern w:val="0"/>
          <w:szCs w:val="21"/>
        </w:rPr>
        <w:t>磋商小组将按以下工作程序进行磋商及评审：</w:t>
      </w:r>
    </w:p>
    <w:p>
      <w:pPr>
        <w:spacing w:line="400" w:lineRule="exact"/>
        <w:rPr>
          <w:rFonts w:ascii="宋体" w:hAnsi="宋体" w:cs="宋体"/>
          <w:b/>
          <w:bCs/>
          <w:szCs w:val="21"/>
        </w:rPr>
      </w:pPr>
      <w:r>
        <w:rPr>
          <w:rFonts w:hint="eastAsia" w:ascii="宋体" w:hAnsi="宋体" w:cs="宋体"/>
          <w:b/>
          <w:bCs/>
          <w:szCs w:val="21"/>
        </w:rPr>
        <w:t>（一）响应文件初步评审。初步评审分为资格审查和符合性检查。</w:t>
      </w:r>
    </w:p>
    <w:p>
      <w:pPr>
        <w:spacing w:line="400" w:lineRule="exact"/>
        <w:rPr>
          <w:rFonts w:ascii="宋体" w:hAnsi="宋体" w:cs="宋体"/>
          <w:szCs w:val="21"/>
        </w:rPr>
      </w:pPr>
      <w:r>
        <w:rPr>
          <w:rFonts w:hint="eastAsia" w:ascii="宋体" w:hAnsi="宋体" w:cs="宋体"/>
          <w:szCs w:val="21"/>
        </w:rPr>
        <w:t>1．资格审查：</w:t>
      </w:r>
    </w:p>
    <w:p>
      <w:pPr>
        <w:autoSpaceDE w:val="0"/>
        <w:autoSpaceDN w:val="0"/>
        <w:adjustRightInd w:val="0"/>
        <w:spacing w:line="400" w:lineRule="exact"/>
        <w:ind w:right="-10" w:rightChars="-5" w:firstLine="411" w:firstLineChars="196"/>
        <w:jc w:val="left"/>
        <w:rPr>
          <w:rFonts w:ascii="宋体" w:hAnsi="宋体" w:cs="宋体"/>
          <w:bCs/>
          <w:kern w:val="0"/>
          <w:szCs w:val="21"/>
        </w:rPr>
      </w:pPr>
      <w:r>
        <w:rPr>
          <w:rFonts w:hint="eastAsia" w:ascii="宋体" w:hAnsi="宋体" w:cs="宋体"/>
          <w:bCs/>
          <w:kern w:val="0"/>
          <w:szCs w:val="21"/>
        </w:rPr>
        <w:t>本项目采用资格后审的方式即在评审环节对磋商文件中的资格证明文件进行审查以确定供应商是否具备磋商资格。</w:t>
      </w:r>
    </w:p>
    <w:p>
      <w:pPr>
        <w:widowControl/>
        <w:spacing w:line="400" w:lineRule="exact"/>
        <w:ind w:right="31" w:rightChars="15" w:firstLine="422" w:firstLineChars="200"/>
        <w:jc w:val="center"/>
        <w:rPr>
          <w:rFonts w:ascii="宋体" w:hAnsi="宋体" w:cs="宋体"/>
          <w:b/>
          <w:szCs w:val="21"/>
        </w:rPr>
      </w:pPr>
      <w:r>
        <w:rPr>
          <w:rFonts w:hint="eastAsia" w:ascii="宋体" w:hAnsi="宋体" w:cs="宋体"/>
          <w:b/>
          <w:szCs w:val="21"/>
        </w:rPr>
        <w:t>资格性审查表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753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pacing w:line="300" w:lineRule="exact"/>
              <w:jc w:val="center"/>
              <w:rPr>
                <w:rFonts w:ascii="宋体" w:hAnsi="宋体" w:cs="宋体"/>
                <w:b/>
                <w:szCs w:val="21"/>
              </w:rPr>
            </w:pPr>
            <w:r>
              <w:rPr>
                <w:rFonts w:hint="eastAsia" w:ascii="宋体" w:hAnsi="宋体" w:cs="宋体"/>
                <w:b/>
                <w:szCs w:val="21"/>
              </w:rPr>
              <w:t>审查项目</w:t>
            </w:r>
          </w:p>
        </w:tc>
        <w:tc>
          <w:tcPr>
            <w:tcW w:w="7539" w:type="dxa"/>
            <w:vAlign w:val="center"/>
          </w:tcPr>
          <w:p>
            <w:pPr>
              <w:spacing w:line="300" w:lineRule="exact"/>
              <w:jc w:val="center"/>
              <w:rPr>
                <w:rFonts w:ascii="宋体" w:hAnsi="宋体" w:cs="宋体"/>
                <w:b/>
                <w:szCs w:val="21"/>
              </w:rPr>
            </w:pPr>
            <w:r>
              <w:rPr>
                <w:rFonts w:hint="eastAsia" w:ascii="宋体" w:hAnsi="宋体" w:cs="宋体"/>
                <w:b/>
                <w:szCs w:val="21"/>
              </w:rPr>
              <w:t>审查标准</w:t>
            </w:r>
          </w:p>
        </w:tc>
        <w:tc>
          <w:tcPr>
            <w:tcW w:w="850" w:type="dxa"/>
            <w:vAlign w:val="center"/>
          </w:tcPr>
          <w:p>
            <w:pPr>
              <w:spacing w:line="300" w:lineRule="exact"/>
              <w:jc w:val="center"/>
              <w:rPr>
                <w:rFonts w:ascii="宋体" w:hAnsi="宋体" w:cs="宋体"/>
                <w:b/>
                <w:szCs w:val="21"/>
              </w:rPr>
            </w:pPr>
            <w:r>
              <w:rPr>
                <w:rFonts w:hint="eastAsia" w:ascii="宋体" w:hAnsi="宋体" w:cs="宋体"/>
                <w:b/>
                <w:szCs w:val="21"/>
              </w:rPr>
              <w:t>审查</w:t>
            </w:r>
          </w:p>
          <w:p>
            <w:pPr>
              <w:spacing w:line="300" w:lineRule="exact"/>
              <w:jc w:val="center"/>
              <w:rPr>
                <w:rFonts w:ascii="宋体" w:hAnsi="宋体" w:cs="宋体"/>
                <w:b/>
                <w:szCs w:val="21"/>
              </w:rPr>
            </w:pPr>
            <w:r>
              <w:rPr>
                <w:rFonts w:hint="eastAsia" w:ascii="宋体" w:hAnsi="宋体" w:cs="宋体"/>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3" w:type="dxa"/>
            <w:vMerge w:val="restart"/>
            <w:vAlign w:val="center"/>
          </w:tcPr>
          <w:p>
            <w:pPr>
              <w:spacing w:line="300" w:lineRule="exact"/>
              <w:jc w:val="center"/>
              <w:rPr>
                <w:rFonts w:ascii="宋体" w:hAnsi="宋体" w:cs="宋体"/>
                <w:szCs w:val="21"/>
              </w:rPr>
            </w:pPr>
            <w:r>
              <w:rPr>
                <w:rFonts w:hint="eastAsia" w:ascii="宋体" w:hAnsi="宋体" w:cs="宋体"/>
                <w:szCs w:val="21"/>
              </w:rPr>
              <w:t>资格性审查</w:t>
            </w:r>
          </w:p>
        </w:tc>
        <w:tc>
          <w:tcPr>
            <w:tcW w:w="7539" w:type="dxa"/>
            <w:vAlign w:val="center"/>
          </w:tcPr>
          <w:p>
            <w:pPr>
              <w:spacing w:line="300" w:lineRule="exact"/>
              <w:rPr>
                <w:rFonts w:ascii="宋体" w:hAnsi="宋体" w:cs="宋体"/>
                <w:szCs w:val="21"/>
              </w:rPr>
            </w:pPr>
            <w:r>
              <w:rPr>
                <w:rFonts w:hint="eastAsia" w:ascii="宋体" w:hAnsi="宋体" w:cs="宋体"/>
                <w:szCs w:val="21"/>
              </w:rPr>
              <w:t>（1）供应商须是具有独立承担民事责任的能力的法人、其他组织或者自然人（法人或者其他组织提供营业执照等证明文件，自然人提供身份证明）。</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napToGrid w:val="0"/>
              <w:spacing w:line="300" w:lineRule="exact"/>
              <w:jc w:val="left"/>
              <w:rPr>
                <w:rFonts w:ascii="宋体" w:hAnsi="宋体" w:cs="宋体"/>
                <w:szCs w:val="21"/>
              </w:rPr>
            </w:pPr>
            <w:r>
              <w:rPr>
                <w:rFonts w:hint="eastAsia" w:ascii="宋体" w:hAnsi="宋体" w:cs="宋体"/>
                <w:szCs w:val="21"/>
              </w:rPr>
              <w:t>（2）供应商须具备相关行政主管部门颁发的地质灾害防治丙级及以上资质证书。</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napToGrid w:val="0"/>
              <w:spacing w:line="300" w:lineRule="exact"/>
              <w:jc w:val="left"/>
              <w:rPr>
                <w:rFonts w:ascii="宋体" w:hAnsi="宋体" w:cs="宋体"/>
                <w:szCs w:val="21"/>
              </w:rPr>
            </w:pPr>
            <w:r>
              <w:rPr>
                <w:rFonts w:hint="eastAsia" w:ascii="宋体" w:hAnsi="宋体" w:cs="宋体"/>
                <w:szCs w:val="21"/>
              </w:rPr>
              <w:t>（3）供应商须提供在有效期内的安全生产许可证。</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napToGrid w:val="0"/>
              <w:spacing w:line="300" w:lineRule="exact"/>
              <w:jc w:val="left"/>
              <w:rPr>
                <w:rFonts w:ascii="宋体" w:hAnsi="宋体" w:cs="宋体"/>
                <w:szCs w:val="21"/>
              </w:rPr>
            </w:pPr>
            <w:r>
              <w:rPr>
                <w:rFonts w:hint="eastAsia" w:ascii="宋体" w:hAnsi="宋体" w:cs="宋体"/>
                <w:szCs w:val="21"/>
              </w:rPr>
              <w:t>（4）供应商拟派项目经理须具备注册建造师执业资格，具备有效的安全生产考核合格证书（B证），并出具项目经理无在建工程的违约经济处罚承诺书，须同时提供项目经理的身份证、学历证、注册证、安全生产考核B证、劳动合同及社保行政管理部门的社保证明材料（三个月以上）。</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napToGrid w:val="0"/>
              <w:spacing w:line="300" w:lineRule="exact"/>
              <w:jc w:val="left"/>
              <w:rPr>
                <w:rFonts w:ascii="宋体" w:hAnsi="宋体" w:cs="宋体"/>
                <w:szCs w:val="21"/>
              </w:rPr>
            </w:pPr>
            <w:r>
              <w:rPr>
                <w:rFonts w:hint="eastAsia" w:ascii="宋体" w:hAnsi="宋体" w:cs="宋体"/>
                <w:szCs w:val="21"/>
              </w:rPr>
              <w:t>（5）供应商项目管理机构还应配备具有岗位证的施工员、质量员、标准员、材料员、机械员、资料员、劳务员、安全员等相应专业管理人员，其中安全员还应具备安全生产考核合格证书（C 证），项目技术负责人必须具有相关专业中级以上工程师职称或相关工程注册建造师执业资格，以上项目管理团队人员必须是本单位的正式在册员工（须提供劳动合同及社保行政管理部门的社保证明材料,社会保险证明应至少体现以下内容：缴纳保险单位名称、人员姓名、社会保障号（或身份证号）、险种、缴费期限等）。</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napToGrid w:val="0"/>
              <w:spacing w:line="300" w:lineRule="exact"/>
              <w:jc w:val="left"/>
              <w:rPr>
                <w:rFonts w:ascii="宋体" w:hAnsi="宋体" w:cs="宋体"/>
                <w:szCs w:val="21"/>
              </w:rPr>
            </w:pPr>
            <w:r>
              <w:rPr>
                <w:rFonts w:hint="eastAsia" w:ascii="宋体" w:hAnsi="宋体" w:cs="宋体"/>
                <w:szCs w:val="21"/>
              </w:rPr>
              <w:t>（6）供应商须提供近两年（201</w:t>
            </w:r>
            <w:r>
              <w:rPr>
                <w:rFonts w:hint="eastAsia" w:ascii="宋体" w:hAnsi="宋体" w:cs="宋体"/>
                <w:szCs w:val="21"/>
                <w:lang w:val="en-US" w:eastAsia="zh-CN"/>
              </w:rPr>
              <w:t>9</w:t>
            </w:r>
            <w:r>
              <w:rPr>
                <w:rFonts w:hint="eastAsia" w:ascii="宋体" w:hAnsi="宋体" w:cs="宋体"/>
                <w:szCs w:val="21"/>
              </w:rPr>
              <w:t>年、20</w:t>
            </w:r>
            <w:r>
              <w:rPr>
                <w:rFonts w:hint="eastAsia" w:ascii="宋体" w:hAnsi="宋体" w:cs="宋体"/>
                <w:szCs w:val="21"/>
                <w:lang w:val="en-US" w:eastAsia="zh-CN"/>
              </w:rPr>
              <w:t>20</w:t>
            </w:r>
            <w:r>
              <w:rPr>
                <w:rFonts w:hint="eastAsia" w:ascii="宋体" w:hAnsi="宋体" w:cs="宋体"/>
                <w:szCs w:val="21"/>
              </w:rPr>
              <w:t>年）由会计师事务所审计的财务报告（提供财务报告情况：成立年限不足二年度的供应商，提供近一年度的财务报告；成立年限满半年度但不足一年度的供应商，提供该半年度中任一季度的季度财务报告或该半年度的半年度财务报告；成立年限不满半年的供应商须提供银行资信证明。</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napToGrid w:val="0"/>
              <w:spacing w:line="300" w:lineRule="exact"/>
              <w:jc w:val="left"/>
              <w:rPr>
                <w:rFonts w:ascii="宋体" w:hAnsi="宋体" w:cs="宋体"/>
                <w:szCs w:val="21"/>
              </w:rPr>
            </w:pPr>
            <w:r>
              <w:rPr>
                <w:rFonts w:hint="eastAsia" w:ascii="宋体" w:hAnsi="宋体" w:cs="宋体"/>
                <w:szCs w:val="21"/>
              </w:rPr>
              <w:t>（7）供应商须提供 2021年1月1日至申请截止前连续三个月的纳税证明资料（完税证明、缴款书、印花税票、银行代扣（代缴）转账凭证等均可）；如依法不纳税，则须提供相应文件证明其依法不纳税。</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pacing w:line="300" w:lineRule="exact"/>
              <w:rPr>
                <w:rFonts w:ascii="宋体" w:hAnsi="宋体" w:cs="宋体"/>
                <w:szCs w:val="21"/>
              </w:rPr>
            </w:pPr>
            <w:r>
              <w:rPr>
                <w:rFonts w:hint="eastAsia" w:ascii="宋体" w:hAnsi="宋体" w:cs="宋体"/>
                <w:szCs w:val="21"/>
              </w:rPr>
              <w:t>（8）供应商须提供2021年1月1日至申请截止前连续三个月依法缴纳社会保障资金的相关证明资料（带有政府部门印章）；如依法不需要缴纳社会保障资金，则须提供相应文件证明其依法不需要缴纳社会保障资金。</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pacing w:line="300" w:lineRule="exact"/>
            </w:pPr>
            <w:r>
              <w:rPr>
                <w:rFonts w:hint="eastAsia"/>
              </w:rPr>
              <w:t>（9）供应商须提供参加本政府采购项目活动前三年内未被列入信用中国网 (www.creditchina.gov.cn)失信被执行人、重大税收违法案件当事人名单， 中国政府采购网(www.ccgp.gov.cn)政府采购严重违法失信行为记录名单。</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pacing w:line="300" w:lineRule="exact"/>
            </w:pPr>
            <w:r>
              <w:rPr>
                <w:rFonts w:hint="eastAsia"/>
              </w:rPr>
              <w:t>（10）供应商及其法定代表人(负责人)、本项目负责人在“中国裁判文书网” 上（http://wenshu.court.gov.cn/Index）没有行贿记录。</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 w:type="dxa"/>
            <w:vMerge w:val="continue"/>
            <w:vAlign w:val="center"/>
          </w:tcPr>
          <w:p>
            <w:pPr>
              <w:spacing w:line="300" w:lineRule="exact"/>
              <w:rPr>
                <w:rFonts w:ascii="宋体" w:hAnsi="宋体" w:cs="宋体"/>
                <w:szCs w:val="21"/>
              </w:rPr>
            </w:pPr>
          </w:p>
        </w:tc>
        <w:tc>
          <w:tcPr>
            <w:tcW w:w="7539" w:type="dxa"/>
            <w:vAlign w:val="center"/>
          </w:tcPr>
          <w:p>
            <w:pPr>
              <w:spacing w:line="300" w:lineRule="exact"/>
              <w:rPr>
                <w:rFonts w:hint="eastAsia" w:eastAsia="宋体"/>
                <w:lang w:eastAsia="zh-CN"/>
              </w:rPr>
            </w:pPr>
            <w:r>
              <w:rPr>
                <w:rFonts w:hint="eastAsia"/>
              </w:rPr>
              <w:t>（11）供应商须提供参加本政府采购项目活动前三年内</w:t>
            </w:r>
            <w:r>
              <w:rPr>
                <w:rFonts w:hint="eastAsia"/>
                <w:lang w:eastAsia="zh-CN"/>
              </w:rPr>
              <w:t>，</w:t>
            </w:r>
            <w:r>
              <w:rPr>
                <w:rFonts w:hint="eastAsia"/>
              </w:rPr>
              <w:t>在经营活动中没有重大违法记录书面声明。</w:t>
            </w:r>
          </w:p>
        </w:tc>
        <w:tc>
          <w:tcPr>
            <w:tcW w:w="850"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2" w:type="dxa"/>
            <w:gridSpan w:val="2"/>
            <w:vAlign w:val="center"/>
          </w:tcPr>
          <w:p>
            <w:pPr>
              <w:autoSpaceDE w:val="0"/>
              <w:autoSpaceDN w:val="0"/>
              <w:adjustRightInd w:val="0"/>
              <w:spacing w:line="300" w:lineRule="exact"/>
              <w:ind w:right="-10" w:rightChars="-5"/>
              <w:jc w:val="left"/>
              <w:rPr>
                <w:rFonts w:ascii="宋体" w:hAnsi="宋体" w:cs="宋体"/>
                <w:szCs w:val="21"/>
              </w:rPr>
            </w:pPr>
            <w:r>
              <w:rPr>
                <w:rFonts w:hint="eastAsia" w:ascii="宋体" w:hAnsi="宋体" w:cs="宋体"/>
                <w:szCs w:val="21"/>
              </w:rPr>
              <w:t>备注：资格审查时，出现不符合上述资格审查表中任意一项要求的，将被视作无效文件</w:t>
            </w:r>
          </w:p>
        </w:tc>
        <w:tc>
          <w:tcPr>
            <w:tcW w:w="850" w:type="dxa"/>
            <w:vAlign w:val="center"/>
          </w:tcPr>
          <w:p>
            <w:pPr>
              <w:spacing w:line="300" w:lineRule="exact"/>
              <w:rPr>
                <w:rFonts w:ascii="宋体" w:hAnsi="宋体" w:cs="宋体"/>
                <w:szCs w:val="21"/>
              </w:rPr>
            </w:pPr>
          </w:p>
        </w:tc>
      </w:tr>
    </w:tbl>
    <w:p>
      <w:pPr>
        <w:autoSpaceDE w:val="0"/>
        <w:autoSpaceDN w:val="0"/>
        <w:adjustRightInd w:val="0"/>
        <w:spacing w:line="400" w:lineRule="exact"/>
        <w:ind w:right="-10" w:rightChars="-5" w:firstLine="413" w:firstLineChars="196"/>
        <w:jc w:val="left"/>
        <w:rPr>
          <w:rFonts w:ascii="宋体" w:hAnsi="宋体" w:cs="宋体"/>
          <w:b/>
          <w:bCs/>
          <w:kern w:val="0"/>
          <w:szCs w:val="21"/>
        </w:rPr>
      </w:pPr>
      <w:r>
        <w:rPr>
          <w:rFonts w:hint="eastAsia" w:ascii="宋体" w:hAnsi="宋体" w:cs="宋体"/>
          <w:b/>
          <w:bCs/>
          <w:kern w:val="0"/>
          <w:szCs w:val="21"/>
        </w:rPr>
        <w:t>上述资格证明文件及详细评审中要求提交的证明材料均以复印件加盖公章的形式在标书中提供，采购人及采购代理机构有权核实复印件的真实性，供应商提供虚假证明将被否决投标并承担经济处罚等后果。</w:t>
      </w:r>
    </w:p>
    <w:p>
      <w:pPr>
        <w:spacing w:beforeLines="50" w:afterLines="50" w:line="400" w:lineRule="exact"/>
        <w:ind w:right="-10" w:rightChars="-5" w:firstLine="420" w:firstLineChars="200"/>
        <w:rPr>
          <w:rFonts w:ascii="宋体" w:hAnsi="宋体" w:cs="宋体"/>
          <w:szCs w:val="21"/>
        </w:rPr>
      </w:pPr>
      <w:r>
        <w:rPr>
          <w:rFonts w:hint="eastAsia" w:ascii="宋体" w:hAnsi="宋体" w:cs="宋体"/>
          <w:szCs w:val="21"/>
        </w:rPr>
        <w:t xml:space="preserve"> 2．符合性检查：</w:t>
      </w:r>
    </w:p>
    <w:p>
      <w:pPr>
        <w:autoSpaceDE w:val="0"/>
        <w:autoSpaceDN w:val="0"/>
        <w:adjustRightInd w:val="0"/>
        <w:spacing w:line="400" w:lineRule="exact"/>
        <w:ind w:right="-10" w:rightChars="-5" w:firstLine="514" w:firstLineChars="245"/>
        <w:jc w:val="left"/>
        <w:rPr>
          <w:rFonts w:ascii="宋体" w:hAns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依据磋商文件的规定，从响应文件的有效性、完整性和对磋商文件的响应程度进行检查，以确定是否对磋商文件的实质性要求做出响应。符合性检查时，出现下列情形之一的情况将被视作无效响应：</w:t>
      </w:r>
    </w:p>
    <w:p>
      <w:pPr>
        <w:autoSpaceDE w:val="0"/>
        <w:autoSpaceDN w:val="0"/>
        <w:adjustRightInd w:val="0"/>
        <w:spacing w:line="400" w:lineRule="exact"/>
        <w:ind w:right="-10" w:rightChars="-5" w:firstLine="517" w:firstLineChars="245"/>
        <w:jc w:val="center"/>
        <w:rPr>
          <w:rFonts w:ascii="宋体" w:hAnsi="宋体" w:cs="宋体"/>
          <w:b/>
          <w:bCs/>
          <w:kern w:val="0"/>
          <w:szCs w:val="21"/>
        </w:rPr>
      </w:pPr>
      <w:r>
        <w:rPr>
          <w:rFonts w:hint="eastAsia" w:ascii="宋体" w:hAnsi="宋体" w:cs="宋体"/>
          <w:b/>
          <w:bCs/>
          <w:kern w:val="0"/>
          <w:szCs w:val="21"/>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73"/>
        <w:gridCol w:w="685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r>
              <w:rPr>
                <w:rFonts w:hint="eastAsia" w:ascii="宋体" w:hAnsi="宋体" w:cs="宋体"/>
                <w:szCs w:val="21"/>
              </w:rPr>
              <w:t>审查项目</w:t>
            </w:r>
          </w:p>
        </w:tc>
        <w:tc>
          <w:tcPr>
            <w:tcW w:w="9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r>
              <w:rPr>
                <w:rFonts w:hint="eastAsia" w:ascii="宋体" w:hAnsi="宋体" w:cs="宋体"/>
                <w:szCs w:val="21"/>
              </w:rPr>
              <w:t>审查因素</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审查标准</w:t>
            </w:r>
          </w:p>
        </w:tc>
        <w:tc>
          <w:tcPr>
            <w:tcW w:w="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r>
              <w:rPr>
                <w:rFonts w:hint="eastAsia" w:ascii="宋体" w:hAnsi="宋体" w:cs="宋体"/>
                <w:szCs w:val="21"/>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0" w:type="dxa"/>
            <w:vMerge w:val="restart"/>
            <w:vAlign w:val="center"/>
          </w:tcPr>
          <w:p>
            <w:pPr>
              <w:spacing w:line="300" w:lineRule="exact"/>
              <w:rPr>
                <w:rFonts w:ascii="宋体" w:hAnsi="宋体" w:cs="宋体"/>
                <w:szCs w:val="21"/>
              </w:rPr>
            </w:pPr>
            <w:r>
              <w:rPr>
                <w:rFonts w:hint="eastAsia" w:ascii="宋体" w:hAnsi="宋体" w:cs="宋体"/>
                <w:szCs w:val="21"/>
              </w:rPr>
              <w:t>符合性检查</w:t>
            </w:r>
          </w:p>
        </w:tc>
        <w:tc>
          <w:tcPr>
            <w:tcW w:w="973" w:type="dxa"/>
            <w:vMerge w:val="restart"/>
            <w:vAlign w:val="center"/>
          </w:tcPr>
          <w:p>
            <w:pPr>
              <w:spacing w:line="300" w:lineRule="exact"/>
              <w:rPr>
                <w:rFonts w:ascii="宋体" w:hAnsi="宋体" w:cs="宋体"/>
                <w:szCs w:val="21"/>
              </w:rPr>
            </w:pPr>
            <w:r>
              <w:rPr>
                <w:rFonts w:hint="eastAsia" w:ascii="宋体" w:hAnsi="宋体" w:cs="宋体"/>
                <w:szCs w:val="21"/>
              </w:rPr>
              <w:t>磋商报价</w:t>
            </w:r>
          </w:p>
        </w:tc>
        <w:tc>
          <w:tcPr>
            <w:tcW w:w="6855" w:type="dxa"/>
            <w:vAlign w:val="center"/>
          </w:tcPr>
          <w:p>
            <w:pPr>
              <w:snapToGrid w:val="0"/>
              <w:spacing w:line="300" w:lineRule="exact"/>
              <w:rPr>
                <w:rFonts w:ascii="宋体" w:hAnsi="宋体" w:cs="宋体"/>
                <w:szCs w:val="21"/>
              </w:rPr>
            </w:pPr>
            <w:r>
              <w:rPr>
                <w:rFonts w:hint="eastAsia" w:ascii="宋体" w:hAnsi="宋体" w:cs="宋体"/>
                <w:szCs w:val="21"/>
              </w:rPr>
              <w:t>初始及最终报价总金额不得超过采购预算（招标控制价）。</w:t>
            </w:r>
          </w:p>
        </w:tc>
        <w:tc>
          <w:tcPr>
            <w:tcW w:w="714"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80" w:type="dxa"/>
            <w:vMerge w:val="continue"/>
            <w:vAlign w:val="center"/>
          </w:tcPr>
          <w:p>
            <w:pPr>
              <w:spacing w:line="300" w:lineRule="exact"/>
              <w:rPr>
                <w:rFonts w:ascii="宋体" w:hAnsi="宋体" w:cs="宋体"/>
                <w:szCs w:val="21"/>
              </w:rPr>
            </w:pPr>
          </w:p>
        </w:tc>
        <w:tc>
          <w:tcPr>
            <w:tcW w:w="973" w:type="dxa"/>
            <w:vMerge w:val="continue"/>
            <w:vAlign w:val="center"/>
          </w:tcPr>
          <w:p>
            <w:pPr>
              <w:spacing w:line="300" w:lineRule="exact"/>
              <w:rPr>
                <w:rFonts w:ascii="宋体" w:hAnsi="宋体" w:cs="宋体"/>
                <w:szCs w:val="21"/>
              </w:rPr>
            </w:pPr>
          </w:p>
        </w:tc>
        <w:tc>
          <w:tcPr>
            <w:tcW w:w="6855" w:type="dxa"/>
            <w:vAlign w:val="center"/>
          </w:tcPr>
          <w:p>
            <w:pPr>
              <w:snapToGrid w:val="0"/>
              <w:spacing w:line="300" w:lineRule="exact"/>
              <w:rPr>
                <w:rFonts w:ascii="宋体" w:hAnsi="宋体" w:cs="宋体"/>
                <w:szCs w:val="21"/>
                <w:lang w:val="zh-CN"/>
              </w:rPr>
            </w:pPr>
            <w:r>
              <w:rPr>
                <w:rFonts w:hint="eastAsia" w:ascii="宋体" w:hAnsi="宋体" w:cs="宋体"/>
                <w:szCs w:val="21"/>
                <w:lang w:val="zh-CN"/>
              </w:rPr>
              <w:t>最终报价不得低于成本价格。当供应商最终报价</w:t>
            </w:r>
            <w:r>
              <w:rPr>
                <w:rFonts w:hint="eastAsia" w:ascii="宋体" w:hAnsi="宋体" w:cs="宋体"/>
                <w:szCs w:val="21"/>
              </w:rPr>
              <w:t>明显</w:t>
            </w:r>
            <w:r>
              <w:rPr>
                <w:rFonts w:hint="eastAsia" w:ascii="宋体" w:hAnsi="宋体" w:cs="宋体"/>
                <w:szCs w:val="21"/>
                <w:lang w:val="zh-CN"/>
              </w:rPr>
              <w:t>低于招标控制价</w:t>
            </w:r>
            <w:r>
              <w:rPr>
                <w:rFonts w:hint="eastAsia" w:ascii="宋体" w:hAnsi="宋体" w:cs="宋体"/>
                <w:szCs w:val="21"/>
              </w:rPr>
              <w:t>和其他供应商有效报价时</w:t>
            </w:r>
            <w:r>
              <w:rPr>
                <w:rFonts w:hint="eastAsia" w:ascii="宋体" w:hAnsi="宋体" w:cs="宋体"/>
                <w:szCs w:val="21"/>
                <w:lang w:val="zh-CN"/>
              </w:rPr>
              <w:t>，</w:t>
            </w:r>
            <w:r>
              <w:rPr>
                <w:rFonts w:hint="eastAsia" w:ascii="宋体" w:hAnsi="宋体" w:cs="宋体"/>
                <w:szCs w:val="21"/>
              </w:rPr>
              <w:t>将</w:t>
            </w:r>
            <w:r>
              <w:rPr>
                <w:rFonts w:hint="eastAsia" w:ascii="宋体" w:hAnsi="宋体" w:cs="宋体"/>
                <w:szCs w:val="21"/>
                <w:lang w:val="zh-CN"/>
              </w:rPr>
              <w:t>会被认为低于成本价格。供应商应当向磋商小组予以说明，并出示相关证明材料，磋商小组将对其进行成本分析。磋商小组</w:t>
            </w:r>
            <w:r>
              <w:rPr>
                <w:rFonts w:hint="eastAsia" w:ascii="宋体" w:hAnsi="宋体" w:cs="宋体"/>
                <w:szCs w:val="21"/>
              </w:rPr>
              <w:t>依据证明材料</w:t>
            </w:r>
            <w:r>
              <w:rPr>
                <w:rFonts w:hint="eastAsia" w:ascii="宋体" w:hAnsi="宋体" w:cs="宋体"/>
                <w:szCs w:val="21"/>
                <w:lang w:val="en-US" w:eastAsia="zh-CN"/>
              </w:rPr>
              <w:t>和成本分析结果</w:t>
            </w:r>
            <w:r>
              <w:rPr>
                <w:rFonts w:hint="eastAsia" w:ascii="宋体" w:hAnsi="宋体" w:cs="宋体"/>
                <w:szCs w:val="21"/>
              </w:rPr>
              <w:t>进行协商，</w:t>
            </w:r>
            <w:r>
              <w:rPr>
                <w:rFonts w:hint="eastAsia" w:ascii="宋体" w:hAnsi="宋体" w:cs="宋体"/>
                <w:szCs w:val="21"/>
                <w:lang w:val="zh-CN"/>
              </w:rPr>
              <w:t>决定是否定性为低于成本价格。</w:t>
            </w:r>
          </w:p>
        </w:tc>
        <w:tc>
          <w:tcPr>
            <w:tcW w:w="714"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80" w:type="dxa"/>
            <w:vMerge w:val="continue"/>
            <w:vAlign w:val="center"/>
          </w:tcPr>
          <w:p>
            <w:pPr>
              <w:spacing w:line="300" w:lineRule="exact"/>
              <w:rPr>
                <w:rFonts w:ascii="宋体" w:hAnsi="宋体" w:cs="宋体"/>
                <w:szCs w:val="21"/>
              </w:rPr>
            </w:pPr>
          </w:p>
        </w:tc>
        <w:tc>
          <w:tcPr>
            <w:tcW w:w="973" w:type="dxa"/>
            <w:vMerge w:val="continue"/>
            <w:vAlign w:val="center"/>
          </w:tcPr>
          <w:p>
            <w:pPr>
              <w:spacing w:line="300" w:lineRule="exact"/>
              <w:rPr>
                <w:rFonts w:ascii="宋体" w:hAnsi="宋体" w:cs="宋体"/>
                <w:szCs w:val="21"/>
              </w:rPr>
            </w:pPr>
          </w:p>
        </w:tc>
        <w:tc>
          <w:tcPr>
            <w:tcW w:w="6855" w:type="dxa"/>
            <w:vAlign w:val="center"/>
          </w:tcPr>
          <w:p>
            <w:pPr>
              <w:snapToGrid w:val="0"/>
              <w:spacing w:line="300" w:lineRule="exact"/>
              <w:rPr>
                <w:rFonts w:ascii="宋体" w:hAnsi="宋体" w:cs="宋体"/>
                <w:szCs w:val="21"/>
                <w:lang w:val="zh-CN"/>
              </w:rPr>
            </w:pPr>
            <w:r>
              <w:rPr>
                <w:rFonts w:hint="eastAsia" w:ascii="宋体" w:hAnsi="宋体" w:cs="宋体"/>
                <w:szCs w:val="21"/>
                <w:lang w:val="zh-CN"/>
              </w:rPr>
              <w:t xml:space="preserve">按磋商文件要求进行报价 </w:t>
            </w:r>
          </w:p>
          <w:p>
            <w:pPr>
              <w:snapToGrid w:val="0"/>
              <w:spacing w:line="300" w:lineRule="exact"/>
              <w:rPr>
                <w:rFonts w:ascii="宋体" w:hAnsi="宋体" w:cs="宋体"/>
                <w:szCs w:val="21"/>
                <w:lang w:val="zh-CN"/>
              </w:rPr>
            </w:pPr>
            <w:r>
              <w:rPr>
                <w:rFonts w:hint="eastAsia" w:ascii="宋体" w:hAnsi="宋体" w:cs="宋体"/>
                <w:szCs w:val="21"/>
                <w:lang w:val="zh-CN"/>
              </w:rPr>
              <w:t xml:space="preserve">1)已标价工程量清单项目编码顺序与“工程量清单”给出的项目编码顺序一致； </w:t>
            </w:r>
          </w:p>
          <w:p>
            <w:pPr>
              <w:snapToGrid w:val="0"/>
              <w:spacing w:line="300" w:lineRule="exact"/>
              <w:rPr>
                <w:rFonts w:ascii="宋体" w:hAnsi="宋体" w:cs="宋体"/>
                <w:szCs w:val="21"/>
              </w:rPr>
            </w:pPr>
            <w:r>
              <w:rPr>
                <w:rFonts w:hint="eastAsia" w:ascii="宋体" w:hAnsi="宋体" w:cs="宋体"/>
                <w:szCs w:val="21"/>
                <w:lang w:val="zh-CN"/>
              </w:rPr>
              <w:t xml:space="preserve">2）已标价工程量清单符合“工程量清单”给出的项目编码、项目名称、项目特征描述、计量单位和工程量； </w:t>
            </w:r>
          </w:p>
        </w:tc>
        <w:tc>
          <w:tcPr>
            <w:tcW w:w="714"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80" w:type="dxa"/>
            <w:vMerge w:val="continue"/>
            <w:vAlign w:val="center"/>
          </w:tcPr>
          <w:p>
            <w:pPr>
              <w:spacing w:line="300" w:lineRule="exact"/>
              <w:rPr>
                <w:rFonts w:ascii="宋体" w:hAnsi="宋体" w:cs="宋体"/>
                <w:szCs w:val="21"/>
              </w:rPr>
            </w:pPr>
          </w:p>
        </w:tc>
        <w:tc>
          <w:tcPr>
            <w:tcW w:w="973" w:type="dxa"/>
            <w:vAlign w:val="center"/>
          </w:tcPr>
          <w:p>
            <w:pPr>
              <w:spacing w:line="300" w:lineRule="exact"/>
              <w:rPr>
                <w:rFonts w:ascii="宋体" w:hAnsi="宋体" w:cs="宋体"/>
                <w:szCs w:val="21"/>
              </w:rPr>
            </w:pPr>
            <w:r>
              <w:rPr>
                <w:rFonts w:hint="eastAsia" w:ascii="宋体" w:hAnsi="宋体" w:cs="宋体"/>
                <w:szCs w:val="21"/>
              </w:rPr>
              <w:t>磋商有效期</w:t>
            </w:r>
          </w:p>
        </w:tc>
        <w:tc>
          <w:tcPr>
            <w:tcW w:w="6855" w:type="dxa"/>
            <w:vAlign w:val="center"/>
          </w:tcPr>
          <w:p>
            <w:pPr>
              <w:spacing w:line="300" w:lineRule="exact"/>
              <w:rPr>
                <w:rFonts w:ascii="宋体" w:hAnsi="宋体" w:cs="宋体"/>
                <w:szCs w:val="21"/>
              </w:rPr>
            </w:pPr>
            <w:r>
              <w:rPr>
                <w:rFonts w:hint="eastAsia" w:ascii="宋体" w:hAnsi="宋体" w:cs="宋体"/>
                <w:szCs w:val="21"/>
              </w:rPr>
              <w:t>磋商有效期是否满足竞争性磋商采购文件要求</w:t>
            </w:r>
          </w:p>
        </w:tc>
        <w:tc>
          <w:tcPr>
            <w:tcW w:w="714"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80" w:type="dxa"/>
            <w:vMerge w:val="continue"/>
            <w:vAlign w:val="center"/>
          </w:tcPr>
          <w:p>
            <w:pPr>
              <w:spacing w:line="300" w:lineRule="exact"/>
              <w:rPr>
                <w:rFonts w:ascii="宋体" w:hAnsi="宋体" w:cs="宋体"/>
                <w:szCs w:val="21"/>
              </w:rPr>
            </w:pPr>
          </w:p>
        </w:tc>
        <w:tc>
          <w:tcPr>
            <w:tcW w:w="973" w:type="dxa"/>
            <w:vAlign w:val="center"/>
          </w:tcPr>
          <w:p>
            <w:pPr>
              <w:spacing w:line="300" w:lineRule="exact"/>
              <w:rPr>
                <w:rFonts w:hint="eastAsia" w:ascii="宋体" w:hAnsi="宋体" w:cs="宋体"/>
                <w:szCs w:val="21"/>
              </w:rPr>
            </w:pPr>
            <w:r>
              <w:rPr>
                <w:rFonts w:hint="eastAsia" w:ascii="宋体" w:hAnsi="宋体" w:cs="宋体"/>
                <w:szCs w:val="21"/>
              </w:rPr>
              <w:t>签署、</w:t>
            </w:r>
          </w:p>
          <w:p>
            <w:pPr>
              <w:spacing w:line="300" w:lineRule="exact"/>
              <w:rPr>
                <w:rFonts w:ascii="宋体" w:hAnsi="宋体" w:cs="宋体"/>
                <w:szCs w:val="21"/>
              </w:rPr>
            </w:pPr>
            <w:r>
              <w:rPr>
                <w:rFonts w:hint="eastAsia" w:ascii="宋体" w:hAnsi="宋体" w:cs="宋体"/>
                <w:szCs w:val="21"/>
              </w:rPr>
              <w:t>盖章</w:t>
            </w:r>
          </w:p>
        </w:tc>
        <w:tc>
          <w:tcPr>
            <w:tcW w:w="6855" w:type="dxa"/>
            <w:vAlign w:val="center"/>
          </w:tcPr>
          <w:p>
            <w:pPr>
              <w:snapToGrid w:val="0"/>
              <w:spacing w:line="300" w:lineRule="exact"/>
              <w:rPr>
                <w:rFonts w:ascii="宋体" w:hAnsi="宋体" w:cs="宋体"/>
                <w:szCs w:val="21"/>
              </w:rPr>
            </w:pPr>
            <w:r>
              <w:rPr>
                <w:rFonts w:hint="eastAsia" w:ascii="宋体" w:hAnsi="宋体" w:cs="宋体"/>
                <w:szCs w:val="21"/>
              </w:rPr>
              <w:t>响应文件需具备法定代表人或授权委托人签字或盖章。</w:t>
            </w:r>
          </w:p>
        </w:tc>
        <w:tc>
          <w:tcPr>
            <w:tcW w:w="714" w:type="dxa"/>
            <w:vAlign w:val="center"/>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0" w:type="dxa"/>
            <w:vMerge w:val="continue"/>
            <w:vAlign w:val="center"/>
          </w:tcPr>
          <w:p>
            <w:pPr>
              <w:spacing w:line="300" w:lineRule="exact"/>
              <w:rPr>
                <w:rFonts w:ascii="宋体" w:hAnsi="宋体" w:cs="宋体"/>
                <w:szCs w:val="21"/>
              </w:rPr>
            </w:pPr>
          </w:p>
        </w:tc>
        <w:tc>
          <w:tcPr>
            <w:tcW w:w="973" w:type="dxa"/>
            <w:vAlign w:val="center"/>
          </w:tcPr>
          <w:p>
            <w:pPr>
              <w:spacing w:line="300" w:lineRule="exact"/>
              <w:rPr>
                <w:rFonts w:ascii="宋体" w:hAnsi="宋体" w:cs="宋体"/>
                <w:szCs w:val="21"/>
              </w:rPr>
            </w:pPr>
            <w:r>
              <w:rPr>
                <w:rFonts w:hint="eastAsia" w:ascii="宋体" w:hAnsi="宋体" w:cs="宋体"/>
                <w:szCs w:val="21"/>
              </w:rPr>
              <w:t>其他</w:t>
            </w:r>
          </w:p>
        </w:tc>
        <w:tc>
          <w:tcPr>
            <w:tcW w:w="6855" w:type="dxa"/>
            <w:vAlign w:val="center"/>
          </w:tcPr>
          <w:p>
            <w:pPr>
              <w:spacing w:line="300" w:lineRule="exact"/>
              <w:rPr>
                <w:rFonts w:ascii="宋体" w:hAnsi="宋体" w:cs="宋体"/>
                <w:szCs w:val="21"/>
              </w:rPr>
            </w:pPr>
            <w:r>
              <w:rPr>
                <w:rFonts w:hint="eastAsia" w:ascii="宋体" w:hAnsi="宋体" w:cs="宋体"/>
                <w:szCs w:val="21"/>
              </w:rPr>
              <w:t>不得附有采购人不能接受的条件或不符合相关法律、法规要求的</w:t>
            </w:r>
          </w:p>
        </w:tc>
        <w:tc>
          <w:tcPr>
            <w:tcW w:w="714" w:type="dxa"/>
            <w:vAlign w:val="center"/>
          </w:tcPr>
          <w:p>
            <w:pPr>
              <w:spacing w:line="300" w:lineRule="exact"/>
              <w:rPr>
                <w:rFonts w:ascii="宋体" w:hAnsi="宋体" w:cs="宋体"/>
                <w:szCs w:val="21"/>
              </w:rPr>
            </w:pPr>
          </w:p>
        </w:tc>
      </w:tr>
    </w:tbl>
    <w:p>
      <w:pPr>
        <w:autoSpaceDE w:val="0"/>
        <w:autoSpaceDN w:val="0"/>
        <w:adjustRightInd w:val="0"/>
        <w:spacing w:line="400" w:lineRule="exact"/>
        <w:ind w:firstLine="413" w:firstLineChars="196"/>
        <w:jc w:val="left"/>
        <w:rPr>
          <w:rFonts w:ascii="宋体" w:hAnsi="宋体" w:cs="宋体"/>
          <w:b/>
          <w:bCs/>
          <w:kern w:val="0"/>
          <w:szCs w:val="21"/>
        </w:rPr>
      </w:pPr>
      <w:r>
        <w:rPr>
          <w:rFonts w:hint="eastAsia" w:ascii="宋体" w:hAnsi="宋体" w:cs="宋体"/>
          <w:b/>
          <w:bCs/>
          <w:kern w:val="0"/>
          <w:szCs w:val="21"/>
        </w:rPr>
        <w:t>（二）磋商</w:t>
      </w:r>
    </w:p>
    <w:p>
      <w:pPr>
        <w:snapToGrid w:val="0"/>
        <w:spacing w:line="400" w:lineRule="exact"/>
        <w:ind w:firstLine="420" w:firstLineChars="200"/>
        <w:rPr>
          <w:rFonts w:ascii="宋体" w:hAnsi="宋体" w:cs="宋体"/>
          <w:szCs w:val="21"/>
        </w:rPr>
      </w:pPr>
      <w:r>
        <w:rPr>
          <w:rFonts w:hint="eastAsia" w:ascii="宋体" w:hAnsi="宋体" w:cs="宋体"/>
          <w:szCs w:val="21"/>
        </w:rPr>
        <w:t>磋商中，磋商的任何一方不得透露与磋商有关的其他供应商的技术资料、价格和其它信息。磋商小组对磋商过程和重要磋商内容进行记录，磋商双方在记录上签字确认。</w:t>
      </w:r>
    </w:p>
    <w:p>
      <w:pPr>
        <w:autoSpaceDE w:val="0"/>
        <w:autoSpaceDN w:val="0"/>
        <w:adjustRightInd w:val="0"/>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1.第一轮磋商</w:t>
      </w:r>
    </w:p>
    <w:p>
      <w:pPr>
        <w:snapToGrid w:val="0"/>
        <w:spacing w:line="400" w:lineRule="exact"/>
        <w:ind w:firstLine="315" w:firstLineChars="150"/>
        <w:rPr>
          <w:rFonts w:ascii="宋体" w:hAnsi="宋体" w:cs="宋体"/>
          <w:szCs w:val="21"/>
        </w:rPr>
      </w:pPr>
      <w:r>
        <w:rPr>
          <w:rFonts w:hint="eastAsia" w:ascii="宋体" w:hAnsi="宋体" w:cs="宋体"/>
          <w:szCs w:val="21"/>
        </w:rPr>
        <w:t>（1）磋商小组与通过资格审查的单一供应商分别就采购需求、质量和服务等进行磋商，并按是否响应磋商文件的实质性要求确定有效的供应商。</w:t>
      </w:r>
    </w:p>
    <w:p>
      <w:pPr>
        <w:snapToGrid w:val="0"/>
        <w:spacing w:line="400" w:lineRule="exact"/>
        <w:ind w:firstLine="420" w:firstLineChars="200"/>
        <w:rPr>
          <w:rFonts w:ascii="宋体" w:hAnsi="宋体" w:cs="宋体"/>
          <w:szCs w:val="21"/>
        </w:rPr>
      </w:pPr>
      <w:r>
        <w:rPr>
          <w:rFonts w:hint="eastAsia" w:ascii="宋体" w:hAnsi="宋体" w:cs="宋体"/>
          <w:szCs w:val="21"/>
        </w:rPr>
        <w:t>（2）第一轮磋商小组未能确定最终需求方案或有效供应商的，对磋商文件修正、补充后进行第二轮磋商。</w:t>
      </w:r>
    </w:p>
    <w:p>
      <w:pPr>
        <w:autoSpaceDE w:val="0"/>
        <w:autoSpaceDN w:val="0"/>
        <w:adjustRightInd w:val="0"/>
        <w:snapToGrid w:val="0"/>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2.第二轮磋商</w:t>
      </w:r>
    </w:p>
    <w:p>
      <w:pPr>
        <w:adjustRightInd w:val="0"/>
        <w:snapToGrid w:val="0"/>
        <w:spacing w:line="400" w:lineRule="exact"/>
        <w:ind w:firstLine="315" w:firstLineChars="150"/>
        <w:rPr>
          <w:rFonts w:ascii="宋体" w:hAnsi="宋体" w:cs="宋体"/>
          <w:szCs w:val="21"/>
        </w:rPr>
      </w:pPr>
      <w:r>
        <w:rPr>
          <w:rFonts w:hint="eastAsia" w:ascii="宋体" w:hAnsi="宋体" w:cs="宋体"/>
          <w:szCs w:val="21"/>
        </w:rPr>
        <w:t>（1）第一轮磋商结束后，磋商小组根据第一轮磋商的情况，可以对磋商文件进行修改，确定采购内容的详细要求，优化采购方案并以书面形式将修改后的磋商文件发给参与磋商的供应商。</w:t>
      </w:r>
    </w:p>
    <w:p>
      <w:pPr>
        <w:adjustRightInd w:val="0"/>
        <w:snapToGrid w:val="0"/>
        <w:spacing w:line="400" w:lineRule="exact"/>
        <w:ind w:firstLine="315" w:firstLineChars="150"/>
        <w:rPr>
          <w:rFonts w:ascii="宋体" w:hAnsi="宋体" w:cs="宋体"/>
          <w:szCs w:val="21"/>
        </w:rPr>
      </w:pPr>
      <w:r>
        <w:rPr>
          <w:rFonts w:hint="eastAsia" w:ascii="宋体" w:hAnsi="宋体" w:cs="宋体"/>
          <w:szCs w:val="21"/>
        </w:rPr>
        <w:t>（2）供应商应在规定的时间内对修改后的磋商文件进行书面响应，否则视为放弃磋商。</w:t>
      </w:r>
    </w:p>
    <w:p>
      <w:pPr>
        <w:adjustRightInd w:val="0"/>
        <w:snapToGrid w:val="0"/>
        <w:spacing w:line="400" w:lineRule="exact"/>
        <w:ind w:firstLine="315" w:firstLineChars="150"/>
        <w:rPr>
          <w:rFonts w:ascii="宋体" w:hAnsi="宋体" w:cs="宋体"/>
          <w:szCs w:val="21"/>
        </w:rPr>
      </w:pPr>
      <w:r>
        <w:rPr>
          <w:rFonts w:hint="eastAsia" w:ascii="宋体" w:hAnsi="宋体" w:cs="宋体"/>
          <w:szCs w:val="21"/>
        </w:rPr>
        <w:t>（3）磋商小组就修正、补充后的响应文件与通过资格审查的供应商分别进行磋商。磋商小组按磋商文件设定的方法和标准确定响应供应商。</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第二轮磋商小组未能确定最后需求方案的，对磋商文件修正、补充后进行第三轮磋商，以此类推。最终采购需求方案确定后，供应商在规定时间内提交最终报价。</w:t>
      </w:r>
    </w:p>
    <w:p>
      <w:pPr>
        <w:numPr>
          <w:ilvl w:val="0"/>
          <w:numId w:val="2"/>
        </w:numPr>
        <w:autoSpaceDE w:val="0"/>
        <w:autoSpaceDN w:val="0"/>
        <w:adjustRightInd w:val="0"/>
        <w:spacing w:line="400" w:lineRule="exact"/>
        <w:ind w:firstLine="413" w:firstLineChars="196"/>
        <w:jc w:val="left"/>
        <w:rPr>
          <w:rFonts w:ascii="宋体" w:hAnsi="宋体" w:cs="宋体"/>
          <w:b/>
          <w:bCs/>
          <w:kern w:val="0"/>
          <w:szCs w:val="21"/>
        </w:rPr>
      </w:pPr>
      <w:r>
        <w:rPr>
          <w:rFonts w:hint="eastAsia" w:ascii="宋体" w:hAnsi="宋体" w:cs="宋体"/>
          <w:b/>
          <w:bCs/>
          <w:kern w:val="0"/>
          <w:szCs w:val="21"/>
        </w:rPr>
        <w:t>详细评审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详细评审是对磋商文件进行比较与评价，即对技术、商务和价格方面的评分，评分标准详见下表：</w:t>
      </w:r>
    </w:p>
    <w:tbl>
      <w:tblPr>
        <w:tblStyle w:val="21"/>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154"/>
        <w:gridCol w:w="6456"/>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10" w:type="dxa"/>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评审项目</w:t>
            </w:r>
          </w:p>
        </w:tc>
        <w:tc>
          <w:tcPr>
            <w:tcW w:w="1154" w:type="dxa"/>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评审分项</w:t>
            </w:r>
          </w:p>
        </w:tc>
        <w:tc>
          <w:tcPr>
            <w:tcW w:w="6456" w:type="dxa"/>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评审分项及分值</w:t>
            </w:r>
          </w:p>
        </w:tc>
        <w:tc>
          <w:tcPr>
            <w:tcW w:w="749" w:type="dxa"/>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10" w:type="dxa"/>
            <w:vMerge w:val="restart"/>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商务部分（25分）</w:t>
            </w:r>
          </w:p>
        </w:tc>
        <w:tc>
          <w:tcPr>
            <w:tcW w:w="1154" w:type="dxa"/>
            <w:noWrap/>
            <w:vAlign w:val="center"/>
          </w:tcPr>
          <w:p>
            <w:pPr>
              <w:widowControl/>
              <w:adjustRightInd w:val="0"/>
              <w:snapToGrid w:val="0"/>
              <w:spacing w:line="300" w:lineRule="exact"/>
              <w:jc w:val="center"/>
              <w:rPr>
                <w:rFonts w:hint="eastAsia" w:ascii="宋体" w:hAnsi="宋体" w:eastAsia="宋体" w:cs="宋体"/>
                <w:kern w:val="0"/>
                <w:szCs w:val="21"/>
                <w:lang w:val="en-US" w:eastAsia="zh-CN"/>
              </w:rPr>
            </w:pPr>
            <w:r>
              <w:rPr>
                <w:rFonts w:hint="eastAsia" w:ascii="宋体" w:hAnsi="宋体" w:cs="宋体"/>
                <w:kern w:val="0"/>
                <w:szCs w:val="21"/>
              </w:rPr>
              <w:t>类似业绩</w:t>
            </w:r>
            <w:r>
              <w:rPr>
                <w:rFonts w:hint="eastAsia" w:ascii="宋体" w:hAnsi="宋体" w:cs="宋体"/>
                <w:kern w:val="0"/>
                <w:szCs w:val="21"/>
                <w:lang w:val="en-US" w:eastAsia="zh-CN"/>
              </w:rPr>
              <w:t>9分</w:t>
            </w:r>
          </w:p>
        </w:tc>
        <w:tc>
          <w:tcPr>
            <w:tcW w:w="6456" w:type="dxa"/>
            <w:vAlign w:val="center"/>
          </w:tcPr>
          <w:p>
            <w:pPr>
              <w:adjustRightInd w:val="0"/>
              <w:snapToGrid w:val="0"/>
              <w:spacing w:line="300" w:lineRule="exact"/>
              <w:rPr>
                <w:rFonts w:hint="eastAsia" w:ascii="宋体" w:hAnsi="宋体" w:cs="宋体"/>
                <w:szCs w:val="21"/>
              </w:rPr>
            </w:pPr>
            <w:r>
              <w:rPr>
                <w:rFonts w:hint="eastAsia" w:ascii="宋体" w:hAnsi="宋体" w:cs="宋体"/>
                <w:szCs w:val="21"/>
              </w:rPr>
              <w:t>投标企业近三年（投标截止时间往前推36个月）有承揽类似项目业绩的，每提供1个类似业绩得3分，最高</w:t>
            </w:r>
            <w:r>
              <w:rPr>
                <w:rFonts w:hint="eastAsia" w:ascii="宋体" w:hAnsi="宋体" w:cs="宋体"/>
                <w:szCs w:val="21"/>
                <w:lang w:val="en-US" w:eastAsia="zh-CN"/>
              </w:rPr>
              <w:t>9</w:t>
            </w:r>
            <w:r>
              <w:rPr>
                <w:rFonts w:hint="eastAsia" w:ascii="宋体" w:hAnsi="宋体" w:cs="宋体"/>
                <w:szCs w:val="21"/>
              </w:rPr>
              <w:t>分。</w:t>
            </w:r>
          </w:p>
          <w:p>
            <w:pPr>
              <w:adjustRightInd w:val="0"/>
              <w:snapToGrid w:val="0"/>
              <w:spacing w:line="300" w:lineRule="exact"/>
              <w:rPr>
                <w:rFonts w:ascii="宋体" w:hAnsi="宋体" w:cs="宋体"/>
                <w:szCs w:val="21"/>
              </w:rPr>
            </w:pPr>
            <w:r>
              <w:rPr>
                <w:rFonts w:hint="eastAsia" w:ascii="宋体" w:hAnsi="宋体" w:cs="宋体"/>
                <w:szCs w:val="21"/>
              </w:rPr>
              <w:t>（提供合同复印件关键页，至少包括首页、合同金额和签字盖章页，应提供业绩所涉及的合同主体单位联系人及电话，合同以签订日期为准。）</w:t>
            </w:r>
          </w:p>
        </w:tc>
        <w:tc>
          <w:tcPr>
            <w:tcW w:w="749" w:type="dxa"/>
            <w:noWrap/>
            <w:vAlign w:val="center"/>
          </w:tcPr>
          <w:p>
            <w:pPr>
              <w:widowControl/>
              <w:adjustRightInd w:val="0"/>
              <w:snapToGrid w:val="0"/>
              <w:spacing w:line="3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0" w:type="dxa"/>
            <w:vMerge w:val="continue"/>
            <w:noWrap/>
            <w:vAlign w:val="center"/>
          </w:tcPr>
          <w:p>
            <w:pPr>
              <w:widowControl/>
              <w:adjustRightInd w:val="0"/>
              <w:snapToGrid w:val="0"/>
              <w:spacing w:line="300" w:lineRule="exact"/>
              <w:jc w:val="center"/>
              <w:rPr>
                <w:rFonts w:ascii="宋体" w:hAnsi="宋体" w:cs="宋体"/>
                <w:kern w:val="0"/>
                <w:szCs w:val="21"/>
              </w:rPr>
            </w:pPr>
          </w:p>
        </w:tc>
        <w:tc>
          <w:tcPr>
            <w:tcW w:w="1154" w:type="dxa"/>
            <w:noWrap/>
            <w:vAlign w:val="center"/>
          </w:tcPr>
          <w:p>
            <w:pPr>
              <w:adjustRightInd w:val="0"/>
              <w:snapToGrid w:val="0"/>
              <w:spacing w:line="300" w:lineRule="exact"/>
              <w:jc w:val="center"/>
              <w:rPr>
                <w:rFonts w:hint="eastAsia" w:ascii="宋体" w:hAnsi="宋体" w:eastAsia="宋体" w:cs="宋体"/>
                <w:kern w:val="0"/>
                <w:szCs w:val="21"/>
                <w:lang w:val="en-US" w:eastAsia="zh-CN"/>
              </w:rPr>
            </w:pPr>
            <w:r>
              <w:rPr>
                <w:rFonts w:hint="eastAsia" w:ascii="宋体" w:hAnsi="宋体" w:cs="宋体"/>
                <w:kern w:val="0"/>
                <w:szCs w:val="21"/>
              </w:rPr>
              <w:t>项目团队人员</w:t>
            </w:r>
            <w:r>
              <w:rPr>
                <w:rFonts w:hint="eastAsia" w:ascii="宋体" w:hAnsi="宋体" w:cs="宋体"/>
                <w:kern w:val="0"/>
                <w:szCs w:val="21"/>
                <w:lang w:val="en-US" w:eastAsia="zh-CN"/>
              </w:rPr>
              <w:t>4分</w:t>
            </w:r>
          </w:p>
        </w:tc>
        <w:tc>
          <w:tcPr>
            <w:tcW w:w="6456" w:type="dxa"/>
            <w:vAlign w:val="center"/>
          </w:tcPr>
          <w:p>
            <w:pPr>
              <w:adjustRightInd w:val="0"/>
              <w:snapToGrid w:val="0"/>
              <w:spacing w:line="300" w:lineRule="exact"/>
              <w:rPr>
                <w:rFonts w:ascii="宋体" w:hAnsi="宋体" w:cs="宋体"/>
                <w:szCs w:val="21"/>
              </w:rPr>
            </w:pPr>
            <w:r>
              <w:rPr>
                <w:rFonts w:hint="eastAsia" w:ascii="宋体" w:hAnsi="宋体" w:cs="宋体"/>
                <w:szCs w:val="21"/>
              </w:rPr>
              <w:t>施工管理团队人员（不包含项目经理）具有中、高级职称或二级</w:t>
            </w:r>
            <w:r>
              <w:rPr>
                <w:rFonts w:hint="eastAsia" w:ascii="宋体" w:hAnsi="宋体" w:cs="宋体"/>
                <w:szCs w:val="21"/>
                <w:lang w:val="en-US" w:eastAsia="zh-CN"/>
              </w:rPr>
              <w:t>及</w:t>
            </w:r>
            <w:r>
              <w:rPr>
                <w:rFonts w:hint="eastAsia" w:ascii="宋体" w:hAnsi="宋体" w:cs="宋体"/>
                <w:szCs w:val="21"/>
              </w:rPr>
              <w:t>以上建造师的有4人以上（含）得4分；有2人得2分；否则得0分。</w:t>
            </w:r>
          </w:p>
        </w:tc>
        <w:tc>
          <w:tcPr>
            <w:tcW w:w="749" w:type="dxa"/>
            <w:noWrap/>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10" w:type="dxa"/>
            <w:vMerge w:val="continue"/>
            <w:noWrap/>
            <w:vAlign w:val="center"/>
          </w:tcPr>
          <w:p>
            <w:pPr>
              <w:widowControl/>
              <w:adjustRightInd w:val="0"/>
              <w:snapToGrid w:val="0"/>
              <w:spacing w:line="300" w:lineRule="exact"/>
              <w:jc w:val="center"/>
              <w:rPr>
                <w:rFonts w:ascii="宋体" w:hAnsi="宋体" w:cs="宋体"/>
                <w:kern w:val="0"/>
                <w:szCs w:val="21"/>
              </w:rPr>
            </w:pPr>
          </w:p>
        </w:tc>
        <w:tc>
          <w:tcPr>
            <w:tcW w:w="1154" w:type="dxa"/>
            <w:noWrap/>
            <w:vAlign w:val="center"/>
          </w:tcPr>
          <w:p>
            <w:pPr>
              <w:adjustRightInd w:val="0"/>
              <w:snapToGrid w:val="0"/>
              <w:spacing w:line="300" w:lineRule="exact"/>
              <w:jc w:val="center"/>
              <w:rPr>
                <w:rFonts w:hint="eastAsia" w:ascii="宋体" w:hAnsi="宋体" w:eastAsia="宋体" w:cs="宋体"/>
                <w:kern w:val="0"/>
                <w:szCs w:val="21"/>
                <w:lang w:val="en-US" w:eastAsia="zh-CN"/>
              </w:rPr>
            </w:pPr>
            <w:r>
              <w:rPr>
                <w:rFonts w:hint="eastAsia" w:ascii="宋体" w:hAnsi="宋体" w:cs="宋体"/>
                <w:kern w:val="0"/>
                <w:szCs w:val="21"/>
              </w:rPr>
              <w:t>企业证书</w:t>
            </w:r>
            <w:r>
              <w:rPr>
                <w:rFonts w:hint="eastAsia" w:ascii="宋体" w:hAnsi="宋体" w:cs="宋体"/>
                <w:kern w:val="0"/>
                <w:szCs w:val="21"/>
                <w:lang w:val="en-US" w:eastAsia="zh-CN"/>
              </w:rPr>
              <w:t>3分</w:t>
            </w:r>
          </w:p>
        </w:tc>
        <w:tc>
          <w:tcPr>
            <w:tcW w:w="6456" w:type="dxa"/>
            <w:vAlign w:val="center"/>
          </w:tcPr>
          <w:p>
            <w:pPr>
              <w:adjustRightInd w:val="0"/>
              <w:snapToGrid w:val="0"/>
              <w:spacing w:line="300" w:lineRule="exact"/>
              <w:rPr>
                <w:rFonts w:ascii="宋体" w:hAnsi="宋体" w:cs="宋体"/>
                <w:szCs w:val="21"/>
              </w:rPr>
            </w:pPr>
            <w:r>
              <w:rPr>
                <w:rFonts w:hint="eastAsia" w:ascii="宋体" w:hAnsi="宋体" w:cs="宋体"/>
                <w:szCs w:val="21"/>
              </w:rPr>
              <w:t>供应商企业证书：质量管理体系认证、环境管理体系认证、</w:t>
            </w:r>
            <w:r>
              <w:fldChar w:fldCharType="begin"/>
            </w:r>
            <w:r>
              <w:instrText xml:space="preserve">HYPERLINK"https://baike.baidu.com/item/%E8%81%8C%E4%B8%9A%E5%81%A5%E5%BA%B7%E4%B8%8E%E5%AE%89%E5%85%A8%E7%AE%A1%E7%90%86%E4%BD%93%E7%B3%BB"\t"https://baike.baidu.com/item/%E4%B8%89%E4%BD%93%E7%B3%BB%E8%AE%A4%E8%AF%81/_blank"</w:instrText>
            </w:r>
            <w:r>
              <w:fldChar w:fldCharType="separate"/>
            </w:r>
            <w:r>
              <w:rPr>
                <w:rFonts w:hint="eastAsia" w:ascii="宋体" w:hAnsi="宋体" w:cs="宋体"/>
                <w:szCs w:val="21"/>
              </w:rPr>
              <w:t>职业健康与安全管理体系</w:t>
            </w:r>
            <w:r>
              <w:rPr>
                <w:rFonts w:hint="eastAsia" w:ascii="宋体" w:hAnsi="宋体" w:cs="宋体"/>
                <w:szCs w:val="21"/>
              </w:rPr>
              <w:fldChar w:fldCharType="end"/>
            </w:r>
            <w:r>
              <w:rPr>
                <w:rFonts w:hint="eastAsia" w:ascii="宋体" w:hAnsi="宋体" w:cs="宋体"/>
                <w:szCs w:val="21"/>
              </w:rPr>
              <w:t>认证等，每项可得1分，最高得3分。</w:t>
            </w:r>
          </w:p>
        </w:tc>
        <w:tc>
          <w:tcPr>
            <w:tcW w:w="749" w:type="dxa"/>
            <w:noWrap/>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110" w:type="dxa"/>
            <w:vMerge w:val="continue"/>
            <w:noWrap/>
            <w:vAlign w:val="center"/>
          </w:tcPr>
          <w:p>
            <w:pPr>
              <w:widowControl/>
              <w:adjustRightInd w:val="0"/>
              <w:snapToGrid w:val="0"/>
              <w:spacing w:line="300" w:lineRule="exact"/>
              <w:jc w:val="center"/>
              <w:rPr>
                <w:rFonts w:ascii="宋体" w:hAnsi="宋体" w:cs="宋体"/>
                <w:kern w:val="0"/>
                <w:szCs w:val="21"/>
              </w:rPr>
            </w:pPr>
          </w:p>
        </w:tc>
        <w:tc>
          <w:tcPr>
            <w:tcW w:w="1154" w:type="dxa"/>
            <w:noWrap/>
            <w:vAlign w:val="center"/>
          </w:tcPr>
          <w:p>
            <w:pPr>
              <w:adjustRightInd w:val="0"/>
              <w:snapToGrid w:val="0"/>
              <w:spacing w:line="300" w:lineRule="exact"/>
              <w:jc w:val="center"/>
              <w:rPr>
                <w:rFonts w:hint="default" w:ascii="宋体" w:hAnsi="宋体" w:eastAsia="宋体" w:cs="宋体"/>
                <w:kern w:val="0"/>
                <w:szCs w:val="21"/>
                <w:lang w:val="en-US" w:eastAsia="zh-CN"/>
              </w:rPr>
            </w:pPr>
            <w:r>
              <w:rPr>
                <w:rFonts w:hint="eastAsia" w:ascii="宋体" w:hAnsi="宋体" w:cs="宋体"/>
                <w:kern w:val="0"/>
                <w:szCs w:val="21"/>
                <w:lang w:eastAsia="zh-CN"/>
              </w:rPr>
              <w:t>企业荣誉</w:t>
            </w:r>
            <w:r>
              <w:rPr>
                <w:rFonts w:hint="eastAsia" w:ascii="宋体" w:hAnsi="宋体" w:cs="宋体"/>
                <w:kern w:val="0"/>
                <w:szCs w:val="21"/>
                <w:lang w:val="en-US" w:eastAsia="zh-CN"/>
              </w:rPr>
              <w:t>9分</w:t>
            </w:r>
          </w:p>
        </w:tc>
        <w:tc>
          <w:tcPr>
            <w:tcW w:w="6456" w:type="dxa"/>
            <w:vAlign w:val="center"/>
          </w:tcPr>
          <w:p>
            <w:pPr>
              <w:adjustRightInd w:val="0"/>
              <w:snapToGrid w:val="0"/>
              <w:spacing w:line="300" w:lineRule="exact"/>
              <w:rPr>
                <w:rFonts w:hint="eastAsia" w:ascii="宋体" w:hAnsi="宋体" w:eastAsia="宋体" w:cs="宋体"/>
                <w:szCs w:val="21"/>
                <w:lang w:eastAsia="zh-CN"/>
              </w:rPr>
            </w:pPr>
            <w:r>
              <w:rPr>
                <w:rFonts w:hint="eastAsia" w:ascii="宋体" w:hAnsi="宋体" w:cs="宋体"/>
                <w:szCs w:val="21"/>
              </w:rPr>
              <w:t>供应商近3年获得获得“鲁班奖”每项得</w:t>
            </w:r>
            <w:r>
              <w:rPr>
                <w:rFonts w:hint="eastAsia" w:ascii="宋体" w:hAnsi="宋体" w:cs="宋体"/>
                <w:szCs w:val="21"/>
                <w:lang w:val="en-US" w:eastAsia="zh-CN"/>
              </w:rPr>
              <w:t>3</w:t>
            </w:r>
            <w:r>
              <w:rPr>
                <w:rFonts w:hint="eastAsia" w:ascii="宋体" w:hAnsi="宋体" w:cs="宋体"/>
                <w:szCs w:val="21"/>
              </w:rPr>
              <w:t>分、“国家优质工程奖”每项得</w:t>
            </w:r>
            <w:r>
              <w:rPr>
                <w:rFonts w:hint="eastAsia" w:ascii="宋体" w:hAnsi="宋体" w:cs="宋体"/>
                <w:szCs w:val="21"/>
                <w:lang w:val="en-US" w:eastAsia="zh-CN"/>
              </w:rPr>
              <w:t>3</w:t>
            </w:r>
            <w:r>
              <w:rPr>
                <w:rFonts w:hint="eastAsia" w:ascii="宋体" w:hAnsi="宋体" w:cs="宋体"/>
                <w:szCs w:val="21"/>
              </w:rPr>
              <w:t>分、“省级优质工程奖”每项得</w:t>
            </w:r>
            <w:r>
              <w:rPr>
                <w:rFonts w:hint="eastAsia" w:ascii="宋体" w:hAnsi="宋体" w:cs="宋体"/>
                <w:szCs w:val="21"/>
                <w:lang w:val="en-US" w:eastAsia="zh-CN"/>
              </w:rPr>
              <w:t>2</w:t>
            </w:r>
            <w:r>
              <w:rPr>
                <w:rFonts w:hint="eastAsia" w:ascii="宋体" w:hAnsi="宋体" w:cs="宋体"/>
                <w:szCs w:val="21"/>
              </w:rPr>
              <w:t>分、“安全文明工地”每项</w:t>
            </w:r>
            <w:r>
              <w:rPr>
                <w:rFonts w:hint="eastAsia" w:ascii="宋体" w:hAnsi="宋体" w:cs="宋体"/>
                <w:szCs w:val="21"/>
                <w:lang w:val="en-US" w:eastAsia="zh-CN"/>
              </w:rPr>
              <w:t>2</w:t>
            </w:r>
            <w:r>
              <w:rPr>
                <w:rFonts w:hint="eastAsia" w:ascii="宋体" w:hAnsi="宋体" w:cs="宋体"/>
                <w:szCs w:val="21"/>
              </w:rPr>
              <w:t>分。此项最高得</w:t>
            </w:r>
            <w:r>
              <w:rPr>
                <w:rFonts w:hint="eastAsia" w:ascii="宋体" w:hAnsi="宋体" w:cs="宋体"/>
                <w:szCs w:val="21"/>
                <w:lang w:val="en-US" w:eastAsia="zh-CN"/>
              </w:rPr>
              <w:t>9</w:t>
            </w:r>
            <w:r>
              <w:rPr>
                <w:rFonts w:hint="eastAsia" w:ascii="宋体" w:hAnsi="宋体" w:cs="宋体"/>
                <w:szCs w:val="21"/>
              </w:rPr>
              <w:t>分</w:t>
            </w:r>
            <w:r>
              <w:rPr>
                <w:rFonts w:hint="eastAsia" w:ascii="宋体" w:hAnsi="宋体" w:cs="宋体"/>
                <w:szCs w:val="21"/>
                <w:lang w:eastAsia="zh-CN"/>
              </w:rPr>
              <w:t>。</w:t>
            </w:r>
          </w:p>
        </w:tc>
        <w:tc>
          <w:tcPr>
            <w:tcW w:w="749" w:type="dxa"/>
            <w:noWrap/>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10" w:type="dxa"/>
            <w:vMerge w:val="restart"/>
            <w:noWrap/>
            <w:vAlign w:val="center"/>
          </w:tcPr>
          <w:p>
            <w:pPr>
              <w:adjustRightInd w:val="0"/>
              <w:snapToGrid w:val="0"/>
              <w:spacing w:line="300" w:lineRule="exact"/>
              <w:rPr>
                <w:rFonts w:hint="eastAsia" w:ascii="宋体" w:hAnsi="宋体" w:cs="宋体"/>
                <w:szCs w:val="21"/>
              </w:rPr>
            </w:pPr>
            <w:r>
              <w:rPr>
                <w:rFonts w:hint="eastAsia" w:ascii="宋体" w:hAnsi="宋体" w:cs="宋体"/>
                <w:szCs w:val="21"/>
              </w:rPr>
              <w:t>技术部分（45分）</w:t>
            </w:r>
          </w:p>
        </w:tc>
        <w:tc>
          <w:tcPr>
            <w:tcW w:w="1154" w:type="dxa"/>
            <w:noWrap/>
            <w:vAlign w:val="center"/>
          </w:tcPr>
          <w:p>
            <w:pPr>
              <w:adjustRightInd w:val="0"/>
              <w:snapToGrid w:val="0"/>
              <w:spacing w:line="300" w:lineRule="exact"/>
              <w:rPr>
                <w:rFonts w:hint="eastAsia" w:ascii="宋体" w:hAnsi="宋体" w:cs="宋体"/>
                <w:szCs w:val="21"/>
              </w:rPr>
            </w:pPr>
            <w:r>
              <w:rPr>
                <w:rFonts w:hint="eastAsia" w:ascii="宋体" w:hAnsi="宋体" w:cs="宋体"/>
                <w:szCs w:val="21"/>
              </w:rPr>
              <w:t>施工方案与技术措施</w:t>
            </w:r>
          </w:p>
        </w:tc>
        <w:tc>
          <w:tcPr>
            <w:tcW w:w="6456" w:type="dxa"/>
            <w:noWrap/>
            <w:vAlign w:val="center"/>
          </w:tcPr>
          <w:p>
            <w:pPr>
              <w:adjustRightInd w:val="0"/>
              <w:snapToGrid w:val="0"/>
              <w:spacing w:line="300" w:lineRule="exact"/>
              <w:rPr>
                <w:rFonts w:hint="eastAsia" w:ascii="宋体" w:hAnsi="宋体" w:cs="宋体"/>
                <w:szCs w:val="21"/>
              </w:rPr>
            </w:pPr>
            <w:r>
              <w:rPr>
                <w:rFonts w:hint="eastAsia" w:ascii="宋体" w:hAnsi="宋体" w:cs="宋体"/>
                <w:szCs w:val="21"/>
              </w:rPr>
              <w:t>科学、合理、针对性强</w:t>
            </w:r>
            <w:r>
              <w:rPr>
                <w:rFonts w:hint="eastAsia" w:ascii="宋体" w:hAnsi="宋体" w:cs="宋体"/>
                <w:szCs w:val="21"/>
                <w:lang w:val="en-US" w:eastAsia="zh-CN"/>
              </w:rPr>
              <w:t>12</w:t>
            </w:r>
            <w:r>
              <w:rPr>
                <w:rFonts w:hint="eastAsia" w:ascii="宋体" w:hAnsi="宋体" w:cs="宋体"/>
                <w:szCs w:val="21"/>
              </w:rPr>
              <w:t>分；</w:t>
            </w:r>
          </w:p>
          <w:p>
            <w:pPr>
              <w:adjustRightInd w:val="0"/>
              <w:snapToGrid w:val="0"/>
              <w:spacing w:line="300" w:lineRule="exact"/>
              <w:rPr>
                <w:rFonts w:hint="eastAsia" w:ascii="宋体" w:hAnsi="宋体" w:cs="宋体"/>
                <w:szCs w:val="21"/>
              </w:rPr>
            </w:pPr>
            <w:r>
              <w:rPr>
                <w:rFonts w:hint="eastAsia" w:ascii="宋体" w:hAnsi="宋体" w:cs="宋体"/>
                <w:szCs w:val="21"/>
              </w:rPr>
              <w:t>合理、可行</w:t>
            </w:r>
            <w:r>
              <w:rPr>
                <w:rFonts w:hint="eastAsia" w:ascii="宋体" w:hAnsi="宋体" w:cs="宋体"/>
                <w:szCs w:val="21"/>
                <w:lang w:val="en-US" w:eastAsia="zh-CN"/>
              </w:rPr>
              <w:t>8</w:t>
            </w:r>
            <w:r>
              <w:rPr>
                <w:rFonts w:hint="eastAsia" w:ascii="宋体" w:hAnsi="宋体" w:cs="宋体"/>
                <w:szCs w:val="21"/>
              </w:rPr>
              <w:t>分；</w:t>
            </w:r>
          </w:p>
          <w:p>
            <w:pPr>
              <w:adjustRightInd w:val="0"/>
              <w:snapToGrid w:val="0"/>
              <w:spacing w:line="300" w:lineRule="exact"/>
              <w:rPr>
                <w:rFonts w:hint="eastAsia" w:ascii="宋体" w:hAnsi="宋体" w:cs="宋体"/>
                <w:szCs w:val="21"/>
              </w:rPr>
            </w:pPr>
            <w:r>
              <w:rPr>
                <w:rFonts w:hint="eastAsia" w:ascii="宋体" w:hAnsi="宋体" w:cs="宋体"/>
                <w:szCs w:val="21"/>
              </w:rPr>
              <w:t>欠合理，基本可行</w:t>
            </w:r>
            <w:r>
              <w:rPr>
                <w:rFonts w:hint="eastAsia" w:ascii="宋体" w:hAnsi="宋体" w:cs="宋体"/>
                <w:szCs w:val="21"/>
                <w:lang w:val="en-US" w:eastAsia="zh-CN"/>
              </w:rPr>
              <w:t>4</w:t>
            </w:r>
            <w:r>
              <w:rPr>
                <w:rFonts w:hint="eastAsia" w:ascii="宋体" w:hAnsi="宋体" w:cs="宋体"/>
                <w:szCs w:val="21"/>
              </w:rPr>
              <w:t>分；</w:t>
            </w:r>
            <w:bookmarkStart w:id="892" w:name="_GoBack"/>
            <w:bookmarkEnd w:id="892"/>
          </w:p>
          <w:p>
            <w:pPr>
              <w:adjustRightInd w:val="0"/>
              <w:snapToGrid w:val="0"/>
              <w:spacing w:line="300" w:lineRule="exact"/>
              <w:rPr>
                <w:rFonts w:hint="eastAsia" w:ascii="宋体" w:hAnsi="宋体" w:cs="宋体"/>
                <w:szCs w:val="21"/>
              </w:rPr>
            </w:pPr>
            <w:r>
              <w:rPr>
                <w:rFonts w:hint="eastAsia" w:ascii="宋体" w:hAnsi="宋体" w:cs="宋体"/>
                <w:szCs w:val="21"/>
              </w:rPr>
              <w:t>不可行，不能满足工程需要0分；</w:t>
            </w:r>
          </w:p>
        </w:tc>
        <w:tc>
          <w:tcPr>
            <w:tcW w:w="749" w:type="dxa"/>
            <w:noWrap/>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vMerge w:val="continue"/>
            <w:noWrap/>
            <w:vAlign w:val="center"/>
          </w:tcPr>
          <w:p>
            <w:pPr>
              <w:widowControl/>
              <w:adjustRightInd w:val="0"/>
              <w:snapToGrid w:val="0"/>
              <w:spacing w:line="300" w:lineRule="exact"/>
              <w:jc w:val="center"/>
              <w:rPr>
                <w:rFonts w:ascii="宋体" w:hAnsi="宋体" w:cs="宋体"/>
                <w:kern w:val="0"/>
                <w:szCs w:val="21"/>
              </w:rPr>
            </w:pPr>
          </w:p>
        </w:tc>
        <w:tc>
          <w:tcPr>
            <w:tcW w:w="1154" w:type="dxa"/>
            <w:noWrap/>
            <w:vAlign w:val="center"/>
          </w:tcPr>
          <w:p>
            <w:pPr>
              <w:adjustRightInd w:val="0"/>
              <w:snapToGrid w:val="0"/>
              <w:spacing w:line="300" w:lineRule="exact"/>
              <w:jc w:val="center"/>
              <w:rPr>
                <w:rFonts w:hAnsi="宋体"/>
              </w:rPr>
            </w:pPr>
            <w:r>
              <w:rPr>
                <w:rFonts w:hint="eastAsia" w:ascii="宋体" w:hAnsi="宋体"/>
                <w:color w:val="000000"/>
                <w:szCs w:val="21"/>
              </w:rPr>
              <w:t>主要施工设备及施工安全防护措施</w:t>
            </w:r>
          </w:p>
        </w:tc>
        <w:tc>
          <w:tcPr>
            <w:tcW w:w="6456" w:type="dxa"/>
            <w:noWrap/>
            <w:vAlign w:val="center"/>
          </w:tcPr>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施工设备及施工安全防护措施齐全、合理，完全能满足实际的工程规模和进度要求。</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内容完备，合理、针对性强得6-8分；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内容完备，可行得3－5分；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内容欠完备，基本可行1-2 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不可行 0 分。</w:t>
            </w:r>
          </w:p>
        </w:tc>
        <w:tc>
          <w:tcPr>
            <w:tcW w:w="749" w:type="dxa"/>
            <w:noWrap/>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vMerge w:val="continue"/>
            <w:noWrap/>
            <w:vAlign w:val="center"/>
          </w:tcPr>
          <w:p>
            <w:pPr>
              <w:widowControl/>
              <w:adjustRightInd w:val="0"/>
              <w:snapToGrid w:val="0"/>
              <w:spacing w:line="300" w:lineRule="exact"/>
              <w:jc w:val="center"/>
              <w:rPr>
                <w:rFonts w:ascii="宋体" w:hAnsi="宋体" w:cs="宋体"/>
                <w:kern w:val="0"/>
                <w:szCs w:val="21"/>
              </w:rPr>
            </w:pPr>
          </w:p>
        </w:tc>
        <w:tc>
          <w:tcPr>
            <w:tcW w:w="1154" w:type="dxa"/>
            <w:noWrap/>
            <w:vAlign w:val="center"/>
          </w:tcPr>
          <w:p>
            <w:pPr>
              <w:adjustRightInd w:val="0"/>
              <w:snapToGrid w:val="0"/>
              <w:spacing w:line="300" w:lineRule="exact"/>
              <w:jc w:val="center"/>
              <w:rPr>
                <w:rFonts w:ascii="宋体" w:hAnsi="宋体" w:cs="宋体"/>
                <w:kern w:val="0"/>
                <w:szCs w:val="21"/>
              </w:rPr>
            </w:pPr>
            <w:r>
              <w:rPr>
                <w:rFonts w:hint="eastAsia" w:ascii="宋体" w:hAnsi="宋体"/>
                <w:color w:val="000000"/>
                <w:szCs w:val="21"/>
              </w:rPr>
              <w:t>技术难点分析</w:t>
            </w:r>
          </w:p>
        </w:tc>
        <w:tc>
          <w:tcPr>
            <w:tcW w:w="6456" w:type="dxa"/>
            <w:noWrap/>
            <w:vAlign w:val="center"/>
          </w:tcPr>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施工组织方案的严谨、合理、科学与实用性，对工程施工管理、文件管理的完整性、确保工程进度的措施、对本项目的施工难点的预见及处理办法等方面进行综合评价。</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内容完备，合理、针对性强得6-8分；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内容完备，可行得3－5分；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内容欠完备，基本可行1-2 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不可行 0 分。</w:t>
            </w:r>
          </w:p>
        </w:tc>
        <w:tc>
          <w:tcPr>
            <w:tcW w:w="749" w:type="dxa"/>
            <w:noWrap/>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vMerge w:val="continue"/>
            <w:noWrap/>
            <w:vAlign w:val="center"/>
          </w:tcPr>
          <w:p>
            <w:pPr>
              <w:widowControl/>
              <w:adjustRightInd w:val="0"/>
              <w:snapToGrid w:val="0"/>
              <w:spacing w:line="300" w:lineRule="exact"/>
              <w:jc w:val="center"/>
              <w:rPr>
                <w:rFonts w:ascii="宋体" w:hAnsi="宋体" w:cs="宋体"/>
                <w:kern w:val="0"/>
                <w:szCs w:val="21"/>
              </w:rPr>
            </w:pPr>
          </w:p>
        </w:tc>
        <w:tc>
          <w:tcPr>
            <w:tcW w:w="1154" w:type="dxa"/>
            <w:noWrap/>
            <w:vAlign w:val="center"/>
          </w:tcPr>
          <w:p>
            <w:pPr>
              <w:adjustRightInd w:val="0"/>
              <w:snapToGrid w:val="0"/>
              <w:spacing w:line="300" w:lineRule="exact"/>
              <w:jc w:val="center"/>
              <w:rPr>
                <w:rFonts w:ascii="宋体" w:hAnsi="宋体" w:cs="宋体"/>
                <w:color w:val="000000"/>
                <w:szCs w:val="21"/>
              </w:rPr>
            </w:pPr>
            <w:r>
              <w:rPr>
                <w:rFonts w:hint="eastAsia" w:ascii="宋体" w:hAnsi="宋体"/>
                <w:szCs w:val="21"/>
              </w:rPr>
              <w:t>应急预防措施及施工进度计划</w:t>
            </w:r>
          </w:p>
        </w:tc>
        <w:tc>
          <w:tcPr>
            <w:tcW w:w="6456" w:type="dxa"/>
            <w:noWrap/>
            <w:vAlign w:val="center"/>
          </w:tcPr>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根据供应商对本项目的应急预防措施及施工进度计划进行评比。</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理解全面、施工进度计划安排合理、人员匹配充足、实施性高、应急预防措施合理得5-7分；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理解有限、施工进度计划不合理、针对性有限、实施性有限得3-4分；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针对性弱、实施性差得1-2分；</w:t>
            </w:r>
          </w:p>
          <w:p>
            <w:pPr>
              <w:widowControl/>
              <w:adjustRightInd w:val="0"/>
              <w:snapToGrid w:val="0"/>
              <w:spacing w:line="300" w:lineRule="exact"/>
              <w:jc w:val="left"/>
              <w:rPr>
                <w:rFonts w:hint="eastAsia" w:ascii="宋体" w:hAnsi="宋体"/>
                <w:color w:val="000000"/>
                <w:szCs w:val="21"/>
              </w:rPr>
            </w:pPr>
            <w:r>
              <w:rPr>
                <w:rFonts w:hint="eastAsia" w:ascii="宋体" w:hAnsi="宋体"/>
                <w:color w:val="000000"/>
                <w:szCs w:val="21"/>
              </w:rPr>
              <w:t>未提供0分。</w:t>
            </w:r>
          </w:p>
        </w:tc>
        <w:tc>
          <w:tcPr>
            <w:tcW w:w="749" w:type="dxa"/>
            <w:noWrap/>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vMerge w:val="continue"/>
            <w:noWrap/>
            <w:vAlign w:val="center"/>
          </w:tcPr>
          <w:p>
            <w:pPr>
              <w:widowControl/>
              <w:adjustRightInd w:val="0"/>
              <w:snapToGrid w:val="0"/>
              <w:spacing w:line="300" w:lineRule="exact"/>
              <w:jc w:val="center"/>
              <w:rPr>
                <w:rFonts w:ascii="宋体" w:hAnsi="宋体" w:cs="宋体"/>
                <w:kern w:val="0"/>
                <w:szCs w:val="21"/>
              </w:rPr>
            </w:pPr>
          </w:p>
        </w:tc>
        <w:tc>
          <w:tcPr>
            <w:tcW w:w="1154" w:type="dxa"/>
            <w:noWrap/>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施工质量保证体系和措施</w:t>
            </w:r>
          </w:p>
        </w:tc>
        <w:tc>
          <w:tcPr>
            <w:tcW w:w="6456" w:type="dxa"/>
            <w:noWrap/>
            <w:vAlign w:val="center"/>
          </w:tcPr>
          <w:p>
            <w:pPr>
              <w:autoSpaceDE w:val="0"/>
              <w:autoSpaceDN w:val="0"/>
              <w:adjustRightInd w:val="0"/>
              <w:snapToGrid w:val="0"/>
              <w:spacing w:line="300" w:lineRule="exact"/>
              <w:jc w:val="left"/>
              <w:rPr>
                <w:rFonts w:ascii="宋体" w:hAnsi="Times New Roman" w:cs="宋体"/>
                <w:kern w:val="0"/>
                <w:szCs w:val="21"/>
              </w:rPr>
            </w:pPr>
            <w:r>
              <w:rPr>
                <w:rFonts w:hint="eastAsia" w:ascii="宋体" w:hAnsi="Times New Roman" w:cs="宋体"/>
                <w:kern w:val="0"/>
                <w:szCs w:val="21"/>
              </w:rPr>
              <w:t>施工质量保证体系健全，符合国家、行业、地方强制性标准规范要求，并有施工质量保证体系和防止质量通病的措施，具备施工质量检测设备。必须包含施工质量违约经济处罚措施。</w:t>
            </w:r>
          </w:p>
          <w:p>
            <w:pPr>
              <w:autoSpaceDE w:val="0"/>
              <w:autoSpaceDN w:val="0"/>
              <w:adjustRightInd w:val="0"/>
              <w:snapToGrid w:val="0"/>
              <w:spacing w:line="300" w:lineRule="exact"/>
              <w:jc w:val="left"/>
              <w:rPr>
                <w:rFonts w:ascii="宋体" w:hAnsi="Times New Roman" w:cs="宋体"/>
                <w:kern w:val="0"/>
                <w:szCs w:val="21"/>
              </w:rPr>
            </w:pPr>
            <w:r>
              <w:rPr>
                <w:rFonts w:hint="eastAsia" w:ascii="宋体" w:hAnsi="Times New Roman" w:cs="宋体"/>
                <w:kern w:val="0"/>
                <w:szCs w:val="21"/>
              </w:rPr>
              <w:t>内容完备，完善、可行、合理、针对性强得7-10分；</w:t>
            </w:r>
          </w:p>
          <w:p>
            <w:pPr>
              <w:autoSpaceDE w:val="0"/>
              <w:autoSpaceDN w:val="0"/>
              <w:adjustRightInd w:val="0"/>
              <w:snapToGrid w:val="0"/>
              <w:spacing w:line="300" w:lineRule="exact"/>
              <w:jc w:val="left"/>
              <w:rPr>
                <w:rFonts w:ascii="宋体" w:hAnsi="Times New Roman" w:cs="宋体"/>
                <w:kern w:val="0"/>
                <w:szCs w:val="21"/>
              </w:rPr>
            </w:pPr>
            <w:r>
              <w:rPr>
                <w:rFonts w:hint="eastAsia" w:ascii="宋体" w:hAnsi="Times New Roman" w:cs="宋体"/>
                <w:kern w:val="0"/>
                <w:szCs w:val="21"/>
              </w:rPr>
              <w:t>内容完备，可行得4－6分；</w:t>
            </w:r>
          </w:p>
          <w:p>
            <w:pPr>
              <w:autoSpaceDE w:val="0"/>
              <w:autoSpaceDN w:val="0"/>
              <w:adjustRightInd w:val="0"/>
              <w:snapToGrid w:val="0"/>
              <w:spacing w:line="300" w:lineRule="exact"/>
              <w:jc w:val="left"/>
              <w:rPr>
                <w:rFonts w:ascii="宋体" w:hAnsi="Times New Roman" w:cs="宋体"/>
                <w:kern w:val="0"/>
                <w:szCs w:val="21"/>
              </w:rPr>
            </w:pPr>
            <w:r>
              <w:rPr>
                <w:rFonts w:hint="eastAsia" w:ascii="宋体" w:hAnsi="Times New Roman" w:cs="宋体"/>
                <w:kern w:val="0"/>
                <w:szCs w:val="21"/>
              </w:rPr>
              <w:t>内容欠完备，基本可行1-3 分；</w:t>
            </w:r>
          </w:p>
          <w:p>
            <w:pPr>
              <w:autoSpaceDE w:val="0"/>
              <w:autoSpaceDN w:val="0"/>
              <w:adjustRightInd w:val="0"/>
              <w:snapToGrid w:val="0"/>
              <w:spacing w:line="300" w:lineRule="exact"/>
              <w:jc w:val="left"/>
              <w:rPr>
                <w:rFonts w:ascii="宋体" w:hAnsi="宋体" w:cs="宋体"/>
                <w:kern w:val="0"/>
                <w:szCs w:val="21"/>
              </w:rPr>
            </w:pPr>
            <w:r>
              <w:rPr>
                <w:rFonts w:hint="eastAsia" w:ascii="宋体" w:hAnsi="Times New Roman" w:cs="宋体"/>
                <w:kern w:val="0"/>
                <w:szCs w:val="21"/>
              </w:rPr>
              <w:t>不可行 0 分。</w:t>
            </w:r>
          </w:p>
        </w:tc>
        <w:tc>
          <w:tcPr>
            <w:tcW w:w="749" w:type="dxa"/>
            <w:noWrap/>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110" w:type="dxa"/>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价格部分（30分）</w:t>
            </w:r>
          </w:p>
        </w:tc>
        <w:tc>
          <w:tcPr>
            <w:tcW w:w="7610" w:type="dxa"/>
            <w:gridSpan w:val="2"/>
            <w:noWrap/>
            <w:vAlign w:val="center"/>
          </w:tcPr>
          <w:p>
            <w:pPr>
              <w:widowControl/>
              <w:adjustRightInd w:val="0"/>
              <w:snapToGrid w:val="0"/>
              <w:spacing w:line="300" w:lineRule="exact"/>
              <w:rPr>
                <w:rFonts w:ascii="宋体" w:hAnsi="宋体" w:cs="宋体"/>
                <w:kern w:val="0"/>
                <w:szCs w:val="21"/>
              </w:rPr>
            </w:pPr>
            <w:r>
              <w:rPr>
                <w:rFonts w:hint="eastAsia" w:ascii="宋体" w:hAnsi="宋体" w:cs="宋体"/>
                <w:kern w:val="0"/>
                <w:szCs w:val="21"/>
              </w:rPr>
              <w:t>价格部分：价格评分的计算方法如下：</w:t>
            </w:r>
          </w:p>
          <w:p>
            <w:pPr>
              <w:adjustRightInd w:val="0"/>
              <w:snapToGrid w:val="0"/>
              <w:spacing w:line="300" w:lineRule="exact"/>
              <w:rPr>
                <w:rFonts w:hint="eastAsia" w:ascii="宋体" w:hAnsi="宋体" w:cs="宋体"/>
                <w:b/>
                <w:kern w:val="0"/>
                <w:szCs w:val="21"/>
              </w:rPr>
            </w:pPr>
            <w:r>
              <w:rPr>
                <w:rFonts w:hint="eastAsia" w:ascii="宋体" w:hAnsi="宋体" w:cs="宋体"/>
                <w:b/>
                <w:kern w:val="0"/>
                <w:szCs w:val="21"/>
              </w:rPr>
              <w:t>价格分统一采用低价优先法计算，即不被判定低于成本价格且最后报价最低的供应商的价格为磋商基准价，其价格分为满分。其他供应商的价格分统一按照下列公式计算：磋商报价得分=(磋商基准价／最后磋商报价)×30%×100分。</w:t>
            </w:r>
          </w:p>
          <w:p>
            <w:pPr>
              <w:adjustRightInd w:val="0"/>
              <w:snapToGrid w:val="0"/>
              <w:spacing w:line="300" w:lineRule="exact"/>
              <w:rPr>
                <w:rFonts w:hint="eastAsia" w:ascii="宋体" w:hAnsi="宋体" w:cs="宋体"/>
                <w:b/>
                <w:kern w:val="0"/>
                <w:szCs w:val="21"/>
              </w:rPr>
            </w:pPr>
            <w:r>
              <w:rPr>
                <w:rFonts w:hint="eastAsia" w:ascii="宋体" w:hAnsi="宋体" w:cs="宋体"/>
                <w:b/>
                <w:kern w:val="0"/>
                <w:szCs w:val="21"/>
              </w:rPr>
              <w:t>当供应商最终报价明显低于招标控制价和其他供应商有效报价时，将会被认为低于成本价格。供应商应当向磋商小组予以说明，并出示相关证明材料，磋商小组将对其进行成本分析。磋商小组依据证明材料和成本分析结果进行协商，决定是否定性为低于成本价格。　</w:t>
            </w:r>
          </w:p>
          <w:p>
            <w:pPr>
              <w:adjustRightInd w:val="0"/>
              <w:snapToGrid w:val="0"/>
              <w:spacing w:line="300" w:lineRule="exact"/>
              <w:rPr>
                <w:rFonts w:ascii="宋体" w:hAnsi="宋体" w:cs="宋体"/>
                <w:kern w:val="0"/>
                <w:szCs w:val="21"/>
              </w:rPr>
            </w:pPr>
            <w:r>
              <w:rPr>
                <w:rFonts w:hint="eastAsia" w:ascii="宋体" w:hAnsi="宋体" w:cs="宋体"/>
                <w:b/>
                <w:kern w:val="0"/>
                <w:szCs w:val="21"/>
              </w:rPr>
              <w:t>政府采购政策执行情况详见磋商文件第二章“供应商须知”</w:t>
            </w:r>
          </w:p>
        </w:tc>
        <w:tc>
          <w:tcPr>
            <w:tcW w:w="749" w:type="dxa"/>
            <w:noWrap/>
            <w:vAlign w:val="center"/>
          </w:tcPr>
          <w:p>
            <w:pPr>
              <w:widowControl/>
              <w:adjustRightInd w:val="0"/>
              <w:snapToGrid w:val="0"/>
              <w:spacing w:line="30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20" w:type="dxa"/>
            <w:gridSpan w:val="3"/>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总    分</w:t>
            </w:r>
          </w:p>
        </w:tc>
        <w:tc>
          <w:tcPr>
            <w:tcW w:w="749" w:type="dxa"/>
            <w:noWrap/>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100</w:t>
            </w:r>
          </w:p>
        </w:tc>
      </w:tr>
    </w:tbl>
    <w:p>
      <w:pPr>
        <w:spacing w:line="400" w:lineRule="exact"/>
        <w:ind w:firstLine="420" w:firstLineChars="200"/>
        <w:rPr>
          <w:rFonts w:ascii="宋体" w:hAnsi="宋体" w:cs="宋体"/>
          <w:szCs w:val="21"/>
        </w:rPr>
      </w:pPr>
      <w:r>
        <w:rPr>
          <w:rFonts w:hint="eastAsia" w:ascii="宋体" w:hAnsi="宋体" w:cs="宋体"/>
          <w:szCs w:val="21"/>
        </w:rPr>
        <w:t>供应商提交最终报价后由磋商小组对参与最后报价的供应商的响应文件内容和已响应的修正、补充内容进行综合评分。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注：1、中小企业评审优惠</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如符合工信部联企业〔2011〕300号文中对中小企业划分标准的，需提供本单位的《中小企业声明函》。经磋商小组审核，将根据财库〔2011〕181号文的相关规定在评审时对小型和微型企业提供的工程给予6%的价格扣除，用扣除后的价格参与评审。</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当供应商为大中型企业的且本项目支持联合体投标响应的，大中型企业可以和其他小型、微型企业组成联合体共同参加本次政府采购项目。联合协议中约定，小型、微型企业的协议合同金额占到联合体协议合同总金额30%以上的，可给予联合体2%的价格扣除。</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2、节能环保评审优惠</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按照财政部、国家发展改革委关于印发《节能产品政府采购实施意见》的通知（财库【2004】185号）、《关于环境标志产品政府采购实施的意见》（财库【2006】）90号）文件执行。如供应商响应产品符合以上文件的政策支持，须提供产品认证证书（合格有效时间内的）、清单公告媒体的网页打印件并作出明显标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经磋商小组审核确认供应商响应产品在清单内，符合政策支持要求的，将给予1%的价格扣除，用扣除后的价格参与评审。</w:t>
      </w:r>
    </w:p>
    <w:p>
      <w:pPr>
        <w:pStyle w:val="15"/>
        <w:rPr>
          <w:rFonts w:hAnsi="宋体"/>
          <w:sz w:val="24"/>
          <w:szCs w:val="24"/>
        </w:rPr>
      </w:pPr>
    </w:p>
    <w:p>
      <w:pPr>
        <w:rPr>
          <w:b/>
          <w:sz w:val="24"/>
          <w:szCs w:val="24"/>
        </w:rPr>
      </w:pPr>
      <w:bookmarkStart w:id="656" w:name="_Toc22645"/>
      <w:bookmarkStart w:id="657" w:name="_Toc11337"/>
      <w:bookmarkStart w:id="658" w:name="_Toc17501"/>
      <w:bookmarkStart w:id="659" w:name="_Toc16898"/>
      <w:bookmarkStart w:id="660" w:name="_Toc450217563"/>
      <w:bookmarkStart w:id="661" w:name="_Toc7496"/>
      <w:r>
        <w:rPr>
          <w:rFonts w:hint="eastAsia"/>
          <w:b/>
          <w:sz w:val="24"/>
          <w:szCs w:val="24"/>
        </w:rPr>
        <w:br w:type="page"/>
      </w:r>
    </w:p>
    <w:p>
      <w:pPr>
        <w:rPr>
          <w:b/>
          <w:sz w:val="24"/>
          <w:szCs w:val="24"/>
        </w:rPr>
      </w:pPr>
      <w:r>
        <w:rPr>
          <w:rFonts w:hint="eastAsia"/>
          <w:b/>
          <w:sz w:val="24"/>
          <w:szCs w:val="24"/>
        </w:rPr>
        <w:t>评审标准附件</w:t>
      </w:r>
      <w:r>
        <w:rPr>
          <w:b/>
          <w:sz w:val="24"/>
          <w:szCs w:val="24"/>
        </w:rPr>
        <w:t>A</w:t>
      </w:r>
      <w:r>
        <w:rPr>
          <w:rFonts w:hint="eastAsia"/>
          <w:b/>
          <w:sz w:val="24"/>
          <w:szCs w:val="24"/>
        </w:rPr>
        <w:t>：</w:t>
      </w:r>
      <w:bookmarkEnd w:id="656"/>
      <w:bookmarkEnd w:id="657"/>
      <w:r>
        <w:rPr>
          <w:rFonts w:hint="eastAsia"/>
          <w:b/>
          <w:sz w:val="24"/>
          <w:szCs w:val="24"/>
        </w:rPr>
        <w:t>磋商无效的情况</w:t>
      </w:r>
      <w:bookmarkEnd w:id="658"/>
      <w:bookmarkEnd w:id="659"/>
      <w:bookmarkEnd w:id="660"/>
      <w:bookmarkEnd w:id="661"/>
    </w:p>
    <w:p>
      <w:pPr>
        <w:pStyle w:val="49"/>
        <w:spacing w:line="360" w:lineRule="auto"/>
        <w:jc w:val="center"/>
        <w:outlineLvl w:val="9"/>
        <w:rPr>
          <w:b/>
          <w:szCs w:val="24"/>
        </w:rPr>
      </w:pPr>
      <w:bookmarkStart w:id="662" w:name="_Toc22215469"/>
      <w:bookmarkStart w:id="663" w:name="_Toc450217564"/>
      <w:bookmarkStart w:id="664" w:name="_Toc24833"/>
      <w:bookmarkStart w:id="665" w:name="_Toc26539"/>
      <w:bookmarkStart w:id="666" w:name="_Toc21010"/>
      <w:bookmarkStart w:id="667" w:name="_Toc32155"/>
      <w:bookmarkStart w:id="668" w:name="_Toc24185"/>
      <w:bookmarkStart w:id="669" w:name="_Toc19797"/>
      <w:bookmarkStart w:id="670" w:name="_Toc5388"/>
      <w:r>
        <w:rPr>
          <w:rFonts w:hint="eastAsia"/>
          <w:b/>
          <w:szCs w:val="24"/>
        </w:rPr>
        <w:t>磋商无效的情况</w:t>
      </w:r>
      <w:bookmarkEnd w:id="662"/>
      <w:bookmarkEnd w:id="663"/>
      <w:bookmarkEnd w:id="664"/>
      <w:bookmarkEnd w:id="665"/>
      <w:bookmarkEnd w:id="666"/>
      <w:bookmarkEnd w:id="667"/>
    </w:p>
    <w:p>
      <w:pPr>
        <w:pStyle w:val="49"/>
        <w:outlineLvl w:val="9"/>
        <w:rPr>
          <w:rFonts w:ascii="黑体" w:cs="黑体"/>
          <w:b/>
          <w:bCs/>
        </w:rPr>
      </w:pPr>
      <w:bookmarkStart w:id="671" w:name="_Toc1182"/>
      <w:bookmarkStart w:id="672" w:name="_Toc32204"/>
      <w:bookmarkStart w:id="673" w:name="_Toc11796"/>
      <w:bookmarkStart w:id="674" w:name="_Toc450217565"/>
      <w:bookmarkStart w:id="675" w:name="_Toc13041"/>
      <w:bookmarkStart w:id="676" w:name="_Toc22215470"/>
      <w:r>
        <w:rPr>
          <w:rFonts w:ascii="黑体" w:hAnsi="黑体" w:cs="黑体"/>
          <w:b/>
          <w:bCs/>
        </w:rPr>
        <w:t>A0.</w:t>
      </w:r>
      <w:r>
        <w:rPr>
          <w:rFonts w:hint="eastAsia" w:ascii="黑体" w:hAnsi="黑体" w:cs="黑体"/>
          <w:b/>
          <w:bCs/>
        </w:rPr>
        <w:t>总则</w:t>
      </w:r>
      <w:bookmarkEnd w:id="668"/>
      <w:bookmarkEnd w:id="669"/>
      <w:bookmarkEnd w:id="670"/>
      <w:bookmarkEnd w:id="671"/>
      <w:bookmarkEnd w:id="672"/>
      <w:bookmarkEnd w:id="673"/>
      <w:bookmarkEnd w:id="674"/>
      <w:bookmarkEnd w:id="675"/>
      <w:bookmarkEnd w:id="676"/>
    </w:p>
    <w:p>
      <w:pPr>
        <w:spacing w:line="400" w:lineRule="exact"/>
        <w:ind w:firstLine="420" w:firstLineChars="200"/>
        <w:rPr>
          <w:rFonts w:ascii="宋体"/>
        </w:rPr>
      </w:pPr>
      <w:r>
        <w:rPr>
          <w:rFonts w:hint="eastAsia" w:ascii="宋体" w:hAnsi="宋体"/>
        </w:rPr>
        <w:t>本附件所集中列示的否决磋商的条件，是本章“评审办法”的组成部分，是对第二章“供应商须知”和本章正文部分所规定的否决磋商的条件的总结和补充，如果出现不一致的情况，</w:t>
      </w:r>
      <w:r>
        <w:rPr>
          <w:rFonts w:hint="eastAsia"/>
        </w:rPr>
        <w:t>以第二章“供应商须知”和本章前附表和正文部分的规定为准。</w:t>
      </w:r>
    </w:p>
    <w:p>
      <w:pPr>
        <w:pStyle w:val="49"/>
        <w:outlineLvl w:val="9"/>
        <w:rPr>
          <w:rFonts w:ascii="黑体" w:cs="黑体"/>
          <w:b/>
          <w:bCs/>
          <w:sz w:val="21"/>
          <w:szCs w:val="21"/>
        </w:rPr>
      </w:pPr>
      <w:bookmarkStart w:id="677" w:name="_Toc26592"/>
      <w:bookmarkStart w:id="678" w:name="_Toc2025"/>
      <w:bookmarkStart w:id="679" w:name="_Toc18744"/>
      <w:bookmarkStart w:id="680" w:name="_Toc952"/>
      <w:bookmarkStart w:id="681" w:name="_Toc2330"/>
      <w:bookmarkStart w:id="682" w:name="_Toc450217566"/>
      <w:bookmarkStart w:id="683" w:name="_Toc5995"/>
      <w:bookmarkStart w:id="684" w:name="_Toc703"/>
      <w:bookmarkStart w:id="685" w:name="_Toc22215471"/>
      <w:r>
        <w:rPr>
          <w:rFonts w:ascii="黑体" w:hAnsi="黑体" w:cs="黑体"/>
          <w:b/>
          <w:bCs/>
          <w:sz w:val="21"/>
          <w:szCs w:val="21"/>
        </w:rPr>
        <w:t xml:space="preserve">A1. </w:t>
      </w:r>
      <w:r>
        <w:rPr>
          <w:rFonts w:hint="eastAsia" w:ascii="黑体" w:hAnsi="黑体" w:cs="黑体"/>
          <w:b/>
          <w:bCs/>
          <w:sz w:val="21"/>
          <w:szCs w:val="21"/>
        </w:rPr>
        <w:t>否决磋商的条件</w:t>
      </w:r>
      <w:bookmarkEnd w:id="677"/>
      <w:bookmarkEnd w:id="678"/>
      <w:bookmarkEnd w:id="679"/>
      <w:bookmarkEnd w:id="680"/>
      <w:bookmarkEnd w:id="681"/>
      <w:bookmarkEnd w:id="682"/>
      <w:bookmarkEnd w:id="683"/>
      <w:bookmarkEnd w:id="684"/>
      <w:bookmarkEnd w:id="685"/>
    </w:p>
    <w:p>
      <w:pPr>
        <w:spacing w:line="400" w:lineRule="exact"/>
        <w:ind w:firstLine="420" w:firstLineChars="200"/>
        <w:rPr>
          <w:rFonts w:ascii="宋体"/>
        </w:rPr>
      </w:pPr>
      <w:r>
        <w:rPr>
          <w:rFonts w:hint="eastAsia" w:ascii="宋体" w:hAnsi="宋体"/>
        </w:rPr>
        <w:t>供应商或其响应文件有下列情形之一的，</w:t>
      </w:r>
      <w:r>
        <w:rPr>
          <w:rFonts w:hint="eastAsia"/>
        </w:rPr>
        <w:t>磋商小组应当否决其磋商</w:t>
      </w:r>
      <w:r>
        <w:rPr>
          <w:rFonts w:hint="eastAsia" w:ascii="宋体" w:hAnsi="宋体"/>
        </w:rPr>
        <w:t>：</w:t>
      </w:r>
    </w:p>
    <w:p>
      <w:pPr>
        <w:spacing w:line="400" w:lineRule="exact"/>
        <w:ind w:firstLine="420" w:firstLineChars="200"/>
        <w:rPr>
          <w:rFonts w:ascii="宋体"/>
        </w:rPr>
      </w:pPr>
      <w:r>
        <w:rPr>
          <w:rFonts w:ascii="宋体" w:hAnsi="宋体"/>
        </w:rPr>
        <w:t xml:space="preserve">A1.1  </w:t>
      </w:r>
      <w:r>
        <w:rPr>
          <w:rFonts w:hint="eastAsia" w:ascii="宋体" w:hAnsi="宋体"/>
        </w:rPr>
        <w:t>有第二章“供应商须知”第</w:t>
      </w:r>
      <w:r>
        <w:rPr>
          <w:rFonts w:ascii="宋体" w:hAnsi="宋体"/>
        </w:rPr>
        <w:t>1.4.3</w:t>
      </w:r>
      <w:r>
        <w:rPr>
          <w:rFonts w:hint="eastAsia" w:ascii="宋体" w:hAnsi="宋体"/>
        </w:rPr>
        <w:t>项规定的任何一种情形的。</w:t>
      </w:r>
    </w:p>
    <w:p>
      <w:pPr>
        <w:spacing w:line="400" w:lineRule="exact"/>
        <w:ind w:firstLine="420" w:firstLineChars="200"/>
        <w:rPr>
          <w:rFonts w:ascii="宋体"/>
        </w:rPr>
      </w:pPr>
      <w:r>
        <w:rPr>
          <w:rFonts w:ascii="宋体" w:hAnsi="宋体"/>
        </w:rPr>
        <w:t xml:space="preserve">A1.2  </w:t>
      </w:r>
      <w:r>
        <w:rPr>
          <w:rFonts w:hint="eastAsia" w:ascii="宋体" w:hAnsi="宋体"/>
        </w:rPr>
        <w:t>有第二章“供应商须知”第</w:t>
      </w:r>
      <w:r>
        <w:rPr>
          <w:rFonts w:ascii="宋体" w:hAnsi="宋体"/>
        </w:rPr>
        <w:t>1.4.4</w:t>
      </w:r>
      <w:r>
        <w:rPr>
          <w:rFonts w:hint="eastAsia" w:ascii="宋体" w:hAnsi="宋体"/>
        </w:rPr>
        <w:t>项规定的任何一种情形的。</w:t>
      </w:r>
    </w:p>
    <w:p>
      <w:pPr>
        <w:spacing w:line="400" w:lineRule="exact"/>
        <w:ind w:firstLine="420" w:firstLineChars="200"/>
        <w:rPr>
          <w:rFonts w:ascii="宋体"/>
        </w:rPr>
      </w:pPr>
      <w:r>
        <w:rPr>
          <w:rFonts w:ascii="宋体" w:hAnsi="宋体"/>
        </w:rPr>
        <w:t xml:space="preserve">A1.3  </w:t>
      </w:r>
      <w:r>
        <w:rPr>
          <w:rFonts w:hint="eastAsia" w:ascii="宋体" w:hAnsi="宋体"/>
        </w:rPr>
        <w:t>有串通磋商或弄虚作假或有其他违法行为的。</w:t>
      </w:r>
    </w:p>
    <w:p>
      <w:pPr>
        <w:spacing w:line="400" w:lineRule="exact"/>
        <w:ind w:firstLine="420" w:firstLineChars="200"/>
        <w:rPr>
          <w:rFonts w:ascii="宋体"/>
        </w:rPr>
      </w:pPr>
      <w:r>
        <w:rPr>
          <w:rFonts w:ascii="宋体" w:hAnsi="宋体"/>
        </w:rPr>
        <w:t xml:space="preserve">A1.4  </w:t>
      </w:r>
      <w:r>
        <w:rPr>
          <w:rFonts w:hint="eastAsia" w:ascii="宋体" w:hAnsi="宋体"/>
        </w:rPr>
        <w:t>不按磋商小组要求澄清、说明或补正的。</w:t>
      </w:r>
    </w:p>
    <w:p>
      <w:pPr>
        <w:spacing w:line="400" w:lineRule="exact"/>
        <w:ind w:firstLine="420" w:firstLineChars="200"/>
        <w:rPr>
          <w:rFonts w:ascii="宋体"/>
        </w:rPr>
      </w:pPr>
      <w:r>
        <w:rPr>
          <w:rFonts w:ascii="宋体" w:hAnsi="宋体"/>
        </w:rPr>
        <w:t xml:space="preserve">A1.5  </w:t>
      </w:r>
      <w:r>
        <w:rPr>
          <w:rFonts w:hint="eastAsia" w:ascii="宋体" w:hAnsi="宋体"/>
        </w:rPr>
        <w:t>在资格评审、符合性评审中，磋商小组认定供应商的响应文件不符合评审办法前附表中规定的任何一项评审标准的。</w:t>
      </w:r>
    </w:p>
    <w:p>
      <w:pPr>
        <w:adjustRightInd w:val="0"/>
        <w:snapToGrid w:val="0"/>
        <w:spacing w:line="400" w:lineRule="exact"/>
        <w:ind w:firstLine="420" w:firstLineChars="200"/>
        <w:rPr>
          <w:rFonts w:ascii="宋体"/>
          <w:szCs w:val="21"/>
        </w:rPr>
      </w:pPr>
      <w:r>
        <w:rPr>
          <w:rFonts w:ascii="宋体" w:hAnsi="宋体"/>
          <w:szCs w:val="21"/>
        </w:rPr>
        <w:t xml:space="preserve">A1.6  </w:t>
      </w:r>
      <w:r>
        <w:rPr>
          <w:rFonts w:hint="eastAsia" w:ascii="宋体" w:hAnsi="宋体"/>
          <w:szCs w:val="21"/>
        </w:rPr>
        <w:t>当供应商资格预审申请文件的内容发生重大变化时，其在响应文件中更新的资料，未能通过资格评审的</w:t>
      </w:r>
      <w:r>
        <w:rPr>
          <w:rFonts w:ascii="宋体" w:hAnsi="宋体"/>
          <w:szCs w:val="21"/>
        </w:rPr>
        <w:t>(</w:t>
      </w:r>
      <w:r>
        <w:rPr>
          <w:rFonts w:hint="eastAsia" w:ascii="宋体" w:hAnsi="宋体"/>
          <w:szCs w:val="21"/>
        </w:rPr>
        <w:t>适用于已进行资格预审的</w:t>
      </w:r>
      <w:r>
        <w:rPr>
          <w:rFonts w:ascii="宋体" w:hAnsi="宋体"/>
          <w:szCs w:val="21"/>
        </w:rPr>
        <w:t>)</w:t>
      </w:r>
      <w:r>
        <w:rPr>
          <w:rFonts w:hint="eastAsia" w:ascii="宋体" w:hAnsi="宋体"/>
          <w:szCs w:val="21"/>
        </w:rPr>
        <w:t>。</w:t>
      </w:r>
    </w:p>
    <w:p>
      <w:pPr>
        <w:spacing w:line="400" w:lineRule="exact"/>
        <w:ind w:firstLine="420" w:firstLineChars="200"/>
        <w:rPr>
          <w:rFonts w:ascii="宋体"/>
        </w:rPr>
      </w:pPr>
      <w:r>
        <w:rPr>
          <w:rFonts w:ascii="宋体" w:hAnsi="宋体"/>
        </w:rPr>
        <w:t xml:space="preserve">A1.7  </w:t>
      </w:r>
      <w:r>
        <w:rPr>
          <w:rFonts w:hint="eastAsia" w:ascii="宋体" w:hAnsi="宋体"/>
        </w:rPr>
        <w:t>磋商小组认定供应商以低于成本报价竞标的。</w:t>
      </w:r>
    </w:p>
    <w:p>
      <w:pPr>
        <w:spacing w:line="400" w:lineRule="exact"/>
        <w:ind w:firstLine="420" w:firstLineChars="200"/>
        <w:rPr>
          <w:rFonts w:ascii="宋体"/>
        </w:rPr>
      </w:pPr>
      <w:r>
        <w:rPr>
          <w:rFonts w:ascii="宋体" w:hAnsi="宋体"/>
        </w:rPr>
        <w:t xml:space="preserve">A1.8  </w:t>
      </w:r>
      <w:r>
        <w:rPr>
          <w:rFonts w:hint="eastAsia" w:ascii="宋体" w:hAnsi="宋体"/>
        </w:rPr>
        <w:t>供应商未按第二章“供应商须知”第</w:t>
      </w:r>
      <w:r>
        <w:rPr>
          <w:rFonts w:ascii="宋体" w:hAnsi="宋体"/>
        </w:rPr>
        <w:t>5.1</w:t>
      </w:r>
      <w:r>
        <w:rPr>
          <w:rFonts w:hint="eastAsia" w:ascii="宋体" w:hAnsi="宋体"/>
        </w:rPr>
        <w:t>款规定出席开标会的。</w:t>
      </w:r>
    </w:p>
    <w:p>
      <w:pPr>
        <w:spacing w:line="400" w:lineRule="exact"/>
        <w:ind w:firstLine="420" w:firstLineChars="200"/>
      </w:pPr>
      <w:r>
        <w:rPr>
          <w:rFonts w:ascii="宋体" w:hAnsi="宋体"/>
        </w:rPr>
        <w:t xml:space="preserve">A1.9  </w:t>
      </w:r>
      <w:r>
        <w:rPr>
          <w:rFonts w:hint="eastAsia" w:ascii="宋体" w:hAnsi="宋体"/>
        </w:rPr>
        <w:t>有磋商文件规定的其他应判定为无效标情形的。</w:t>
      </w:r>
    </w:p>
    <w:p>
      <w:pPr>
        <w:pStyle w:val="3"/>
        <w:jc w:val="center"/>
        <w:rPr>
          <w:rFonts w:ascii="黑体" w:hAnsi="仿宋_GB2312" w:eastAsia="黑体"/>
          <w:sz w:val="32"/>
          <w:szCs w:val="32"/>
        </w:rPr>
      </w:pPr>
      <w:bookmarkStart w:id="686" w:name="_Toc387647254"/>
      <w:bookmarkStart w:id="687" w:name="_Toc179632627"/>
      <w:bookmarkStart w:id="688" w:name="_Toc238552260"/>
      <w:bookmarkStart w:id="689" w:name="_Toc238797615"/>
      <w:bookmarkStart w:id="690" w:name="_Toc11437"/>
      <w:bookmarkStart w:id="691" w:name="_Toc4726"/>
      <w:bookmarkStart w:id="692" w:name="_Toc243475830"/>
      <w:bookmarkStart w:id="693" w:name="_Toc450217572"/>
      <w:bookmarkStart w:id="694" w:name="_Toc387647284"/>
      <w:bookmarkStart w:id="695" w:name="_Toc179632785"/>
      <w:bookmarkStart w:id="696" w:name="_Toc26744"/>
      <w:bookmarkStart w:id="697" w:name="_Toc243475866"/>
      <w:bookmarkStart w:id="698" w:name="_Toc32738"/>
      <w:bookmarkStart w:id="699" w:name="_Toc238552289"/>
      <w:bookmarkStart w:id="700" w:name="_Toc238797650"/>
      <w:r>
        <w:rPr>
          <w:rFonts w:hint="eastAsia" w:ascii="黑体" w:hAnsi="仿宋_GB2312" w:eastAsia="黑体"/>
          <w:b w:val="0"/>
          <w:sz w:val="32"/>
          <w:szCs w:val="32"/>
        </w:rPr>
        <w:br w:type="page"/>
      </w:r>
      <w:bookmarkStart w:id="701" w:name="_Toc22215472"/>
      <w:bookmarkStart w:id="702" w:name="_Toc20569"/>
      <w:bookmarkStart w:id="703" w:name="_Toc31895"/>
      <w:bookmarkStart w:id="704" w:name="_Toc21432"/>
      <w:bookmarkStart w:id="705" w:name="_Toc10180"/>
      <w:r>
        <w:rPr>
          <w:rFonts w:hint="eastAsia" w:ascii="黑体" w:hAnsi="仿宋_GB2312" w:eastAsia="黑体"/>
          <w:sz w:val="32"/>
          <w:szCs w:val="32"/>
        </w:rPr>
        <w:t>第四章合同</w:t>
      </w:r>
      <w:bookmarkEnd w:id="686"/>
      <w:bookmarkEnd w:id="687"/>
      <w:bookmarkEnd w:id="688"/>
      <w:bookmarkEnd w:id="689"/>
      <w:bookmarkEnd w:id="690"/>
      <w:bookmarkEnd w:id="691"/>
      <w:bookmarkEnd w:id="692"/>
      <w:r>
        <w:rPr>
          <w:rFonts w:hint="eastAsia" w:ascii="黑体" w:hAnsi="仿宋_GB2312" w:eastAsia="黑体"/>
          <w:sz w:val="32"/>
          <w:szCs w:val="32"/>
        </w:rPr>
        <w:t>草案条款</w:t>
      </w:r>
      <w:bookmarkEnd w:id="693"/>
      <w:bookmarkEnd w:id="701"/>
      <w:bookmarkEnd w:id="702"/>
      <w:bookmarkEnd w:id="703"/>
      <w:bookmarkEnd w:id="704"/>
      <w:bookmarkEnd w:id="705"/>
    </w:p>
    <w:bookmarkEnd w:id="694"/>
    <w:bookmarkEnd w:id="695"/>
    <w:bookmarkEnd w:id="696"/>
    <w:bookmarkEnd w:id="697"/>
    <w:bookmarkEnd w:id="698"/>
    <w:bookmarkEnd w:id="699"/>
    <w:bookmarkEnd w:id="700"/>
    <w:p>
      <w:pPr>
        <w:jc w:val="center"/>
        <w:rPr>
          <w:b/>
          <w:bCs/>
        </w:rPr>
      </w:pPr>
      <w:bookmarkStart w:id="706" w:name="_Toc457510753"/>
      <w:bookmarkStart w:id="707" w:name="_Toc450217573"/>
      <w:r>
        <w:rPr>
          <w:rFonts w:hint="eastAsia"/>
          <w:b/>
          <w:bCs/>
        </w:rPr>
        <w:t>(仅供参考)</w:t>
      </w:r>
      <w:bookmarkEnd w:id="706"/>
    </w:p>
    <w:p>
      <w:pPr>
        <w:pStyle w:val="3"/>
        <w:jc w:val="center"/>
        <w:rPr>
          <w:b w:val="0"/>
        </w:rPr>
        <w:sectPr>
          <w:footerReference r:id="rId4" w:type="default"/>
          <w:pgSz w:w="11849" w:h="16781"/>
          <w:pgMar w:top="1440" w:right="1416" w:bottom="1440" w:left="1800" w:header="850" w:footer="992" w:gutter="0"/>
          <w:pgNumType w:fmt="decimal" w:start="1"/>
          <w:cols w:space="720" w:num="1"/>
          <w:docGrid w:type="lines" w:linePitch="407" w:charSpace="0"/>
        </w:sectPr>
      </w:pPr>
    </w:p>
    <w:p>
      <w:pPr>
        <w:keepNext/>
        <w:keepLines/>
        <w:spacing w:line="413" w:lineRule="auto"/>
        <w:jc w:val="center"/>
        <w:outlineLvl w:val="2"/>
        <w:rPr>
          <w:rFonts w:ascii="Times New Roman" w:hAnsi="Times New Roman" w:eastAsia="华文中宋"/>
          <w:bCs/>
          <w:color w:val="000000"/>
          <w:sz w:val="44"/>
          <w:szCs w:val="44"/>
        </w:rPr>
      </w:pPr>
      <w:r>
        <w:rPr>
          <w:rFonts w:ascii="华文中宋" w:hAnsi="华文中宋" w:eastAsia="华文中宋"/>
          <w:b/>
          <w:bCs/>
          <w:sz w:val="44"/>
          <w:szCs w:val="44"/>
        </w:rPr>
        <w:t>合同协议书</w:t>
      </w:r>
    </w:p>
    <w:p>
      <w:pPr>
        <w:adjustRightInd w:val="0"/>
        <w:snapToGrid w:val="0"/>
        <w:spacing w:line="360" w:lineRule="auto"/>
        <w:rPr>
          <w:rFonts w:asciiTheme="minorEastAsia" w:hAnsiTheme="minorEastAsia" w:eastAsiaTheme="minorEastAsia" w:cstheme="minorEastAsia"/>
          <w:b/>
          <w:color w:val="000000"/>
          <w:szCs w:val="21"/>
          <w:u w:val="single"/>
        </w:rPr>
      </w:pPr>
      <w:r>
        <w:rPr>
          <w:rFonts w:hint="eastAsia" w:asciiTheme="minorEastAsia" w:hAnsiTheme="minorEastAsia" w:eastAsiaTheme="minorEastAsia" w:cstheme="minorEastAsia"/>
          <w:b/>
          <w:color w:val="000000"/>
          <w:szCs w:val="21"/>
        </w:rPr>
        <w:t>发包人（全称）：</w:t>
      </w:r>
      <w:r>
        <w:rPr>
          <w:rFonts w:hint="eastAsia" w:asciiTheme="minorEastAsia" w:hAnsiTheme="minorEastAsia" w:eastAsiaTheme="minorEastAsia" w:cstheme="minorEastAsia"/>
          <w:b/>
          <w:color w:val="000000"/>
          <w:szCs w:val="21"/>
          <w:u w:val="single"/>
        </w:rPr>
        <w:t>                       </w:t>
      </w:r>
    </w:p>
    <w:p>
      <w:pPr>
        <w:adjustRightInd w:val="0"/>
        <w:snapToGrid w:val="0"/>
        <w:spacing w:line="360" w:lineRule="auto"/>
        <w:rPr>
          <w:rFonts w:asciiTheme="minorEastAsia" w:hAnsiTheme="minorEastAsia" w:eastAsiaTheme="minorEastAsia" w:cstheme="minorEastAsia"/>
          <w:b/>
          <w:color w:val="000000"/>
          <w:szCs w:val="21"/>
          <w:u w:val="single"/>
        </w:rPr>
      </w:pPr>
      <w:r>
        <w:rPr>
          <w:rFonts w:hint="eastAsia" w:asciiTheme="minorEastAsia" w:hAnsiTheme="minorEastAsia" w:eastAsiaTheme="minorEastAsia" w:cstheme="minorEastAsia"/>
          <w:b/>
          <w:color w:val="000000"/>
          <w:szCs w:val="21"/>
        </w:rPr>
        <w:t>承包人（全称）：</w:t>
      </w:r>
      <w:r>
        <w:rPr>
          <w:rFonts w:hint="eastAsia" w:asciiTheme="minorEastAsia" w:hAnsiTheme="minorEastAsia" w:eastAsiaTheme="minorEastAsia" w:cstheme="minorEastAsia"/>
          <w:b/>
          <w:color w:val="000000"/>
          <w:szCs w:val="21"/>
          <w:u w:val="single"/>
        </w:rPr>
        <w:t>                      </w:t>
      </w:r>
    </w:p>
    <w:p>
      <w:pPr>
        <w:adjustRightInd w:val="0"/>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根据《中华人民共和国合同法》、《中华人民共和国建筑法》及有关法律规定，遵循平等、自愿、公平和诚实信用的原则，双方就工程施工及有关事项协商一致，共同达成如下协议：</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08" w:name="_Toc351203481"/>
      <w:r>
        <w:rPr>
          <w:rFonts w:hint="eastAsia" w:asciiTheme="minorEastAsia" w:hAnsiTheme="minorEastAsia" w:eastAsiaTheme="minorEastAsia" w:cstheme="minorEastAsia"/>
          <w:b w:val="0"/>
          <w:color w:val="000000"/>
          <w:sz w:val="21"/>
          <w:szCs w:val="21"/>
        </w:rPr>
        <w:t>一、工程概况</w:t>
      </w:r>
      <w:bookmarkEnd w:id="708"/>
    </w:p>
    <w:p>
      <w:pPr>
        <w:adjustRightInd w:val="0"/>
        <w:snapToGrid w:val="0"/>
        <w:spacing w:line="360" w:lineRule="auto"/>
        <w:ind w:firstLine="411" w:firstLineChars="196"/>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bCs/>
          <w:color w:val="000000"/>
          <w:szCs w:val="21"/>
        </w:rPr>
        <w:t>1.工程名称</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w:t>
      </w:r>
    </w:p>
    <w:p>
      <w:pPr>
        <w:adjustRightInd w:val="0"/>
        <w:snapToGrid w:val="0"/>
        <w:spacing w:line="360" w:lineRule="auto"/>
        <w:ind w:firstLine="411" w:firstLineChars="196"/>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2.工程地点：</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w:t>
      </w:r>
    </w:p>
    <w:p>
      <w:pPr>
        <w:adjustRightInd w:val="0"/>
        <w:snapToGrid w:val="0"/>
        <w:spacing w:line="360" w:lineRule="auto"/>
        <w:ind w:firstLine="411" w:firstLineChars="196"/>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3.工程立项批准文号：</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bCs/>
          <w:color w:val="000000"/>
          <w:szCs w:val="21"/>
        </w:rPr>
        <w:t>。</w:t>
      </w:r>
    </w:p>
    <w:p>
      <w:pPr>
        <w:adjustRightInd w:val="0"/>
        <w:snapToGrid w:val="0"/>
        <w:spacing w:line="360" w:lineRule="auto"/>
        <w:ind w:firstLine="411" w:firstLineChars="196"/>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4.资金来源：</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bCs/>
          <w:color w:val="000000"/>
          <w:szCs w:val="21"/>
        </w:rPr>
        <w:t>。</w:t>
      </w:r>
    </w:p>
    <w:p>
      <w:pPr>
        <w:adjustRightInd w:val="0"/>
        <w:snapToGrid w:val="0"/>
        <w:spacing w:line="360" w:lineRule="auto"/>
        <w:ind w:firstLine="411" w:firstLineChars="196"/>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5.工程内容：</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bCs/>
          <w:color w:val="000000"/>
          <w:szCs w:val="21"/>
        </w:rPr>
        <w:t>。</w:t>
      </w:r>
    </w:p>
    <w:p>
      <w:pPr>
        <w:adjustRightInd w:val="0"/>
        <w:snapToGrid w:val="0"/>
        <w:spacing w:line="360" w:lineRule="auto"/>
        <w:ind w:firstLine="411" w:firstLineChars="196"/>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6.工程承包范围：</w:t>
      </w:r>
    </w:p>
    <w:p>
      <w:pPr>
        <w:adjustRightInd w:val="0"/>
        <w:snapToGrid w:val="0"/>
        <w:spacing w:line="360" w:lineRule="auto"/>
        <w:ind w:firstLine="405" w:firstLineChars="193"/>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   </w:t>
      </w:r>
    </w:p>
    <w:p>
      <w:pPr>
        <w:adjustRightInd w:val="0"/>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6"/>
        <w:adjustRightInd w:val="0"/>
        <w:snapToGrid w:val="0"/>
        <w:spacing w:before="120" w:after="120" w:line="360" w:lineRule="auto"/>
        <w:rPr>
          <w:rFonts w:asciiTheme="minorEastAsia" w:hAnsiTheme="minorEastAsia" w:eastAsiaTheme="minorEastAsia" w:cstheme="minorEastAsia"/>
          <w:b w:val="0"/>
          <w:color w:val="000000"/>
          <w:sz w:val="21"/>
          <w:szCs w:val="21"/>
        </w:rPr>
      </w:pPr>
      <w:bookmarkStart w:id="709" w:name="_Toc351203482"/>
      <w:r>
        <w:rPr>
          <w:rFonts w:hint="eastAsia" w:asciiTheme="minorEastAsia" w:hAnsiTheme="minorEastAsia" w:eastAsiaTheme="minorEastAsia" w:cstheme="minorEastAsia"/>
          <w:b w:val="0"/>
          <w:color w:val="000000"/>
          <w:sz w:val="21"/>
          <w:szCs w:val="21"/>
        </w:rPr>
        <w:t>二、合同工期</w:t>
      </w:r>
      <w:bookmarkEnd w:id="709"/>
    </w:p>
    <w:p>
      <w:pPr>
        <w:adjustRightInd w:val="0"/>
        <w:snapToGrid w:val="0"/>
        <w:spacing w:line="360" w:lineRule="auto"/>
        <w:ind w:firstLine="45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计划开工日期：</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日。</w:t>
      </w:r>
    </w:p>
    <w:p>
      <w:pPr>
        <w:adjustRightInd w:val="0"/>
        <w:snapToGrid w:val="0"/>
        <w:spacing w:line="360" w:lineRule="auto"/>
        <w:ind w:firstLine="45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计划竣工日期：</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日。</w:t>
      </w:r>
    </w:p>
    <w:p>
      <w:pPr>
        <w:adjustRightInd w:val="0"/>
        <w:snapToGrid w:val="0"/>
        <w:spacing w:line="360" w:lineRule="auto"/>
        <w:ind w:firstLine="45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工期总日历天数：</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天。工期总日历天数与根据前述计划开竣工日期计算的工期天数不一致的，以工期总日历天数为准。</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10" w:name="_Toc351203483"/>
      <w:r>
        <w:rPr>
          <w:rFonts w:hint="eastAsia" w:asciiTheme="minorEastAsia" w:hAnsiTheme="minorEastAsia" w:eastAsiaTheme="minorEastAsia" w:cstheme="minorEastAsia"/>
          <w:b w:val="0"/>
          <w:color w:val="000000"/>
          <w:sz w:val="21"/>
          <w:szCs w:val="21"/>
        </w:rPr>
        <w:t>三、质量标准</w:t>
      </w:r>
      <w:bookmarkEnd w:id="710"/>
    </w:p>
    <w:p>
      <w:pPr>
        <w:adjustRightInd w:val="0"/>
        <w:snapToGrid w:val="0"/>
        <w:spacing w:line="360" w:lineRule="auto"/>
        <w:ind w:firstLine="45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工程质量符合</w:t>
      </w:r>
      <w:r>
        <w:rPr>
          <w:rFonts w:hint="eastAsia" w:asciiTheme="minorEastAsia" w:hAnsiTheme="minorEastAsia" w:eastAsiaTheme="minorEastAsia" w:cstheme="minorEastAsia"/>
          <w:color w:val="000000"/>
          <w:szCs w:val="21"/>
          <w:u w:val="single"/>
        </w:rPr>
        <w:t></w:t>
      </w:r>
      <w:r>
        <w:rPr>
          <w:rFonts w:hint="eastAsia" w:asciiTheme="minorEastAsia" w:hAnsiTheme="minorEastAsia" w:eastAsiaTheme="minorEastAsia" w:cstheme="minorEastAsia"/>
          <w:color w:val="000000"/>
          <w:szCs w:val="21"/>
        </w:rPr>
        <w:t>标准。</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11" w:name="_Toc351203484"/>
      <w:r>
        <w:rPr>
          <w:rFonts w:hint="eastAsia" w:asciiTheme="minorEastAsia" w:hAnsiTheme="minorEastAsia" w:eastAsiaTheme="minorEastAsia" w:cstheme="minorEastAsia"/>
          <w:b w:val="0"/>
          <w:color w:val="000000"/>
          <w:sz w:val="21"/>
          <w:szCs w:val="21"/>
        </w:rPr>
        <w:t>四、签约合同价与合同价格形式</w:t>
      </w:r>
      <w:bookmarkEnd w:id="711"/>
      <w:r>
        <w:rPr>
          <w:rFonts w:hint="eastAsia" w:asciiTheme="minorEastAsia" w:hAnsiTheme="minorEastAsia" w:eastAsiaTheme="minorEastAsia" w:cstheme="minorEastAsia"/>
          <w:b w:val="0"/>
          <w:color w:val="000000"/>
          <w:sz w:val="21"/>
          <w:szCs w:val="21"/>
        </w:rPr>
        <w:tab/>
      </w:r>
    </w:p>
    <w:p>
      <w:pPr>
        <w:adjustRightInd w:val="0"/>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1.签约合同价为：</w:t>
      </w:r>
    </w:p>
    <w:p>
      <w:pPr>
        <w:adjustRightInd w:val="0"/>
        <w:snapToGrid w:val="0"/>
        <w:spacing w:line="360" w:lineRule="auto"/>
        <w:ind w:firstLine="525" w:firstLineChars="2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人民币（大写）(¥元)；</w:t>
      </w:r>
    </w:p>
    <w:p>
      <w:pPr>
        <w:adjustRightInd w:val="0"/>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2.合同价格形式：</w:t>
      </w:r>
      <w:r>
        <w:rPr>
          <w:rFonts w:hint="eastAsia" w:asciiTheme="minorEastAsia" w:hAnsiTheme="minorEastAsia" w:eastAsiaTheme="minorEastAsia" w:cstheme="minorEastAsia"/>
          <w:color w:val="000000"/>
          <w:szCs w:val="21"/>
          <w:u w:val="single"/>
        </w:rPr>
        <w:t>                      </w:t>
      </w:r>
      <w:r>
        <w:rPr>
          <w:rFonts w:hint="eastAsia" w:asciiTheme="minorEastAsia" w:hAnsiTheme="minorEastAsia" w:eastAsiaTheme="minorEastAsia" w:cstheme="minorEastAsia"/>
          <w:color w:val="000000"/>
          <w:szCs w:val="21"/>
        </w:rPr>
        <w:t>。</w:t>
      </w:r>
    </w:p>
    <w:p>
      <w:pPr>
        <w:pStyle w:val="6"/>
        <w:adjustRightInd w:val="0"/>
        <w:snapToGrid w:val="0"/>
        <w:spacing w:before="120" w:after="120" w:line="360" w:lineRule="auto"/>
        <w:rPr>
          <w:rFonts w:asciiTheme="minorEastAsia" w:hAnsiTheme="minorEastAsia" w:eastAsiaTheme="minorEastAsia" w:cstheme="minorEastAsia"/>
          <w:b w:val="0"/>
          <w:color w:val="000000"/>
          <w:sz w:val="21"/>
          <w:szCs w:val="21"/>
        </w:rPr>
      </w:pPr>
      <w:bookmarkStart w:id="712" w:name="_Toc351203485"/>
      <w:r>
        <w:rPr>
          <w:rFonts w:hint="eastAsia" w:asciiTheme="minorEastAsia" w:hAnsiTheme="minorEastAsia" w:eastAsiaTheme="minorEastAsia" w:cstheme="minorEastAsia"/>
          <w:b w:val="0"/>
          <w:color w:val="000000"/>
          <w:sz w:val="21"/>
          <w:szCs w:val="21"/>
        </w:rPr>
        <w:t>五、</w:t>
      </w:r>
      <w:bookmarkEnd w:id="712"/>
      <w:r>
        <w:rPr>
          <w:rFonts w:hint="eastAsia" w:asciiTheme="minorEastAsia" w:hAnsiTheme="minorEastAsia" w:eastAsiaTheme="minorEastAsia" w:cstheme="minorEastAsia"/>
          <w:b w:val="0"/>
          <w:color w:val="000000"/>
          <w:sz w:val="21"/>
          <w:szCs w:val="21"/>
        </w:rPr>
        <w:t>项目经理</w:t>
      </w:r>
    </w:p>
    <w:p>
      <w:pPr>
        <w:adjustRightInd w:val="0"/>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承包人项目经理：</w:t>
      </w:r>
      <w:r>
        <w:rPr>
          <w:rFonts w:hint="eastAsia" w:asciiTheme="minorEastAsia" w:hAnsiTheme="minorEastAsia" w:eastAsiaTheme="minorEastAsia" w:cstheme="minorEastAsia"/>
          <w:color w:val="000000"/>
          <w:szCs w:val="21"/>
          <w:u w:val="single"/>
        </w:rPr>
        <w:t>                     </w:t>
      </w:r>
      <w:r>
        <w:rPr>
          <w:rFonts w:hint="eastAsia" w:asciiTheme="minorEastAsia" w:hAnsiTheme="minorEastAsia" w:eastAsiaTheme="minorEastAsia" w:cstheme="minorEastAsia"/>
          <w:color w:val="000000"/>
          <w:szCs w:val="21"/>
        </w:rPr>
        <w:t>。</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13" w:name="_Toc351203486"/>
      <w:r>
        <w:rPr>
          <w:rFonts w:hint="eastAsia" w:asciiTheme="minorEastAsia" w:hAnsiTheme="minorEastAsia" w:eastAsiaTheme="minorEastAsia" w:cstheme="minorEastAsia"/>
          <w:b w:val="0"/>
          <w:color w:val="000000"/>
          <w:sz w:val="21"/>
          <w:szCs w:val="21"/>
        </w:rPr>
        <w:t>六、合同文件构成</w:t>
      </w:r>
      <w:bookmarkEnd w:id="713"/>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本协议书与下列文件一起构成合同文件：</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（1）成交通知书（如果有）；</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（2）磋商函及其附录（如果有）； </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（3）专用合同条款及其附件；</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（4）通用合同条款；</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（5）技术标准和要求；</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（6）图纸；</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（7）已标价工程量清单或预算书；</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（8）其他合同文件。</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在合同订立及履行过程中形成的与合同有关的文件均构成合同文件组成部分。</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6"/>
        <w:adjustRightInd w:val="0"/>
        <w:snapToGrid w:val="0"/>
        <w:spacing w:before="120" w:after="120" w:line="360" w:lineRule="auto"/>
        <w:rPr>
          <w:rFonts w:asciiTheme="minorEastAsia" w:hAnsiTheme="minorEastAsia" w:eastAsiaTheme="minorEastAsia" w:cstheme="minorEastAsia"/>
          <w:b w:val="0"/>
          <w:bCs w:val="0"/>
          <w:color w:val="000000"/>
          <w:sz w:val="21"/>
          <w:szCs w:val="21"/>
        </w:rPr>
      </w:pPr>
      <w:bookmarkStart w:id="714" w:name="_Toc351203487"/>
      <w:r>
        <w:rPr>
          <w:rFonts w:hint="eastAsia" w:asciiTheme="minorEastAsia" w:hAnsiTheme="minorEastAsia" w:eastAsiaTheme="minorEastAsia" w:cstheme="minorEastAsia"/>
          <w:b w:val="0"/>
          <w:color w:val="000000"/>
          <w:sz w:val="21"/>
          <w:szCs w:val="21"/>
        </w:rPr>
        <w:t>七、承诺</w:t>
      </w:r>
      <w:bookmarkEnd w:id="714"/>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1.发包人承诺按照法律规定履行项目审批手续、筹集工程建设资金并按照合同约定的期限和方式支付合同价款。</w:t>
      </w:r>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3.发包人和承包人通过招投标形式签订合同的，双方理解并承诺不再就同一工程另行签订与合同实质性内容相背离的协议。</w:t>
      </w:r>
    </w:p>
    <w:p>
      <w:pPr>
        <w:pStyle w:val="6"/>
        <w:adjustRightInd w:val="0"/>
        <w:snapToGrid w:val="0"/>
        <w:spacing w:before="120" w:after="120" w:line="360" w:lineRule="auto"/>
        <w:rPr>
          <w:rFonts w:asciiTheme="minorEastAsia" w:hAnsiTheme="minorEastAsia" w:eastAsiaTheme="minorEastAsia" w:cstheme="minorEastAsia"/>
          <w:b w:val="0"/>
          <w:bCs w:val="0"/>
          <w:color w:val="000000"/>
          <w:sz w:val="21"/>
          <w:szCs w:val="21"/>
        </w:rPr>
      </w:pPr>
      <w:bookmarkStart w:id="715" w:name="_Toc351203489"/>
      <w:r>
        <w:rPr>
          <w:rFonts w:hint="eastAsia" w:asciiTheme="minorEastAsia" w:hAnsiTheme="minorEastAsia" w:eastAsiaTheme="minorEastAsia" w:cstheme="minorEastAsia"/>
          <w:b w:val="0"/>
          <w:bCs w:val="0"/>
          <w:color w:val="000000"/>
          <w:sz w:val="21"/>
          <w:szCs w:val="21"/>
        </w:rPr>
        <w:t>八、签订时间</w:t>
      </w:r>
      <w:bookmarkEnd w:id="715"/>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本合同于年月日签订。</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16" w:name="_Toc351203490"/>
      <w:r>
        <w:rPr>
          <w:rFonts w:hint="eastAsia" w:asciiTheme="minorEastAsia" w:hAnsiTheme="minorEastAsia" w:eastAsiaTheme="minorEastAsia" w:cstheme="minorEastAsia"/>
          <w:b w:val="0"/>
          <w:bCs w:val="0"/>
          <w:color w:val="000000"/>
          <w:sz w:val="21"/>
          <w:szCs w:val="21"/>
        </w:rPr>
        <w:t>九、</w:t>
      </w:r>
      <w:r>
        <w:rPr>
          <w:rFonts w:hint="eastAsia" w:asciiTheme="minorEastAsia" w:hAnsiTheme="minorEastAsia" w:eastAsiaTheme="minorEastAsia" w:cstheme="minorEastAsia"/>
          <w:b w:val="0"/>
          <w:color w:val="000000"/>
          <w:sz w:val="21"/>
          <w:szCs w:val="21"/>
        </w:rPr>
        <w:t>签订地点</w:t>
      </w:r>
      <w:bookmarkEnd w:id="716"/>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本合同在签订。</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17" w:name="_Toc351203491"/>
      <w:r>
        <w:rPr>
          <w:rFonts w:hint="eastAsia" w:asciiTheme="minorEastAsia" w:hAnsiTheme="minorEastAsia" w:eastAsiaTheme="minorEastAsia" w:cstheme="minorEastAsia"/>
          <w:b w:val="0"/>
          <w:color w:val="000000"/>
          <w:sz w:val="21"/>
          <w:szCs w:val="21"/>
        </w:rPr>
        <w:t>十、补充协议</w:t>
      </w:r>
      <w:bookmarkEnd w:id="717"/>
    </w:p>
    <w:p>
      <w:pPr>
        <w:adjustRightInd w:val="0"/>
        <w:snapToGrid w:val="0"/>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Cs/>
          <w:color w:val="000000"/>
          <w:szCs w:val="21"/>
        </w:rPr>
        <w:t>合同未尽事宜，合同当事人另行签订补充协议，补充协议是合同的组成部分。</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18" w:name="_Toc351203492"/>
      <w:r>
        <w:rPr>
          <w:rFonts w:hint="eastAsia" w:asciiTheme="minorEastAsia" w:hAnsiTheme="minorEastAsia" w:eastAsiaTheme="minorEastAsia" w:cstheme="minorEastAsia"/>
          <w:b w:val="0"/>
          <w:color w:val="000000"/>
          <w:sz w:val="21"/>
          <w:szCs w:val="21"/>
        </w:rPr>
        <w:t>十一、合同生效</w:t>
      </w:r>
      <w:bookmarkEnd w:id="718"/>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本合同自生效。</w:t>
      </w:r>
    </w:p>
    <w:p>
      <w:pPr>
        <w:pStyle w:val="6"/>
        <w:adjustRightInd w:val="0"/>
        <w:snapToGrid w:val="0"/>
        <w:spacing w:before="120" w:after="120" w:line="360" w:lineRule="auto"/>
        <w:rPr>
          <w:rFonts w:asciiTheme="minorEastAsia" w:hAnsiTheme="minorEastAsia" w:eastAsiaTheme="minorEastAsia" w:cstheme="minorEastAsia"/>
          <w:bCs w:val="0"/>
          <w:color w:val="000000"/>
          <w:sz w:val="21"/>
          <w:szCs w:val="21"/>
        </w:rPr>
      </w:pPr>
      <w:bookmarkStart w:id="719" w:name="_Toc351203493"/>
      <w:r>
        <w:rPr>
          <w:rFonts w:hint="eastAsia" w:asciiTheme="minorEastAsia" w:hAnsiTheme="minorEastAsia" w:eastAsiaTheme="minorEastAsia" w:cstheme="minorEastAsia"/>
          <w:b w:val="0"/>
          <w:color w:val="000000"/>
          <w:sz w:val="21"/>
          <w:szCs w:val="21"/>
        </w:rPr>
        <w:t>十二、合同份数</w:t>
      </w:r>
      <w:bookmarkEnd w:id="719"/>
    </w:p>
    <w:p>
      <w:pPr>
        <w:adjustRightInd w:val="0"/>
        <w:snapToGrid w:val="0"/>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本合同一式份，均具有同等法律效力，发包人执份，承包人执份。</w:t>
      </w:r>
    </w:p>
    <w:p>
      <w:pPr>
        <w:adjustRightInd w:val="0"/>
        <w:snapToGrid w:val="0"/>
        <w:spacing w:line="360" w:lineRule="auto"/>
        <w:rPr>
          <w:rFonts w:asciiTheme="minorEastAsia" w:hAnsiTheme="minorEastAsia" w:eastAsiaTheme="minorEastAsia" w:cstheme="minorEastAsia"/>
          <w:bCs/>
          <w:color w:val="000000"/>
          <w:szCs w:val="21"/>
        </w:rPr>
      </w:pPr>
    </w:p>
    <w:p>
      <w:pPr>
        <w:adjustRightInd w:val="0"/>
        <w:snapToGrid w:val="0"/>
        <w:spacing w:line="360" w:lineRule="auto"/>
        <w:rPr>
          <w:rFonts w:asciiTheme="minorEastAsia" w:hAnsiTheme="minorEastAsia" w:eastAsiaTheme="minorEastAsia" w:cstheme="minorEastAsia"/>
          <w:bCs/>
          <w:color w:val="000000"/>
          <w:szCs w:val="21"/>
        </w:rPr>
      </w:pPr>
    </w:p>
    <w:p>
      <w:pPr>
        <w:adjustRightInd w:val="0"/>
        <w:snapToGrid w:val="0"/>
        <w:spacing w:line="360" w:lineRule="auto"/>
        <w:rPr>
          <w:rFonts w:asciiTheme="minorEastAsia" w:hAnsiTheme="minorEastAsia" w:eastAsiaTheme="minorEastAsia" w:cstheme="minorEastAsia"/>
          <w:bCs/>
          <w:color w:val="000000"/>
          <w:szCs w:val="21"/>
        </w:rPr>
      </w:pPr>
    </w:p>
    <w:p>
      <w:pPr>
        <w:adjustRightInd w:val="0"/>
        <w:snapToGrid w:val="0"/>
        <w:spacing w:line="360" w:lineRule="auto"/>
        <w:rPr>
          <w:rFonts w:asciiTheme="minorEastAsia" w:hAnsiTheme="minorEastAsia" w:eastAsiaTheme="minorEastAsia" w:cstheme="minorEastAsia"/>
          <w:color w:val="000000"/>
          <w:szCs w:val="21"/>
        </w:rPr>
      </w:pP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  (公章)             承包人：  (公章)</w:t>
      </w:r>
    </w:p>
    <w:p>
      <w:pPr>
        <w:spacing w:line="360" w:lineRule="auto"/>
        <w:ind w:left="1260" w:leftChars="300" w:hanging="630" w:hangingChars="300"/>
        <w:jc w:val="left"/>
        <w:rPr>
          <w:rFonts w:asciiTheme="minorEastAsia" w:hAnsiTheme="minorEastAsia" w:eastAsiaTheme="minorEastAsia" w:cstheme="minorEastAsia"/>
          <w:color w:val="000000"/>
          <w:szCs w:val="21"/>
          <w:u w:val="single"/>
        </w:rPr>
      </w:pP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法定代表人或其委托代理人：  法定代表人或其委托代理人：</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（签字）                    （签字）</w:t>
      </w:r>
    </w:p>
    <w:p>
      <w:pPr>
        <w:spacing w:line="360" w:lineRule="auto"/>
        <w:ind w:left="1260" w:leftChars="300" w:hanging="630" w:hangingChars="300"/>
        <w:jc w:val="left"/>
        <w:rPr>
          <w:rFonts w:asciiTheme="minorEastAsia" w:hAnsiTheme="minorEastAsia" w:eastAsiaTheme="minorEastAsia" w:cstheme="minorEastAsia"/>
          <w:color w:val="000000"/>
          <w:szCs w:val="21"/>
          <w:u w:val="single"/>
        </w:rPr>
      </w:pPr>
    </w:p>
    <w:p>
      <w:pPr>
        <w:tabs>
          <w:tab w:val="left" w:pos="4410"/>
        </w:tabs>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组织机构代码：</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组织机构代码：</w:t>
      </w:r>
      <w:r>
        <w:rPr>
          <w:rFonts w:hint="eastAsia" w:asciiTheme="minorEastAsia" w:hAnsiTheme="minorEastAsia" w:eastAsiaTheme="minorEastAsia" w:cstheme="minorEastAsia"/>
          <w:color w:val="000000"/>
          <w:szCs w:val="21"/>
          <w:u w:val="single"/>
        </w:rPr>
        <w:t>  </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地  址：</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地  址：</w:t>
      </w:r>
      <w:r>
        <w:rPr>
          <w:rFonts w:hint="eastAsia" w:asciiTheme="minorEastAsia" w:hAnsiTheme="minorEastAsia" w:eastAsiaTheme="minorEastAsia" w:cstheme="minorEastAsia"/>
          <w:color w:val="000000"/>
          <w:szCs w:val="21"/>
          <w:u w:val="single"/>
        </w:rPr>
        <w:t>  </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邮政编码：</w:t>
      </w:r>
      <w:r>
        <w:rPr>
          <w:rFonts w:hint="eastAsia" w:asciiTheme="minorEastAsia" w:hAnsiTheme="minorEastAsia" w:eastAsiaTheme="minorEastAsia" w:cstheme="minorEastAsia"/>
          <w:color w:val="000000"/>
          <w:szCs w:val="21"/>
          <w:u w:val="single"/>
        </w:rPr>
        <w:t xml:space="preserve">      </w:t>
      </w:r>
      <w:r>
        <w:rPr>
          <w:rFonts w:hint="eastAsia" w:asciiTheme="minorEastAsia" w:hAnsiTheme="minorEastAsia" w:eastAsiaTheme="minorEastAsia" w:cstheme="minorEastAsia"/>
          <w:color w:val="000000"/>
          <w:szCs w:val="21"/>
        </w:rPr>
        <w:t>邮政编码：</w:t>
      </w:r>
      <w:r>
        <w:rPr>
          <w:rFonts w:hint="eastAsia" w:asciiTheme="minorEastAsia" w:hAnsiTheme="minorEastAsia" w:eastAsiaTheme="minorEastAsia" w:cstheme="minorEastAsia"/>
          <w:color w:val="000000"/>
          <w:szCs w:val="21"/>
          <w:u w:val="single"/>
        </w:rPr>
        <w:t></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法定代表人：</w:t>
      </w:r>
      <w:r>
        <w:rPr>
          <w:rFonts w:hint="eastAsia" w:asciiTheme="minorEastAsia" w:hAnsiTheme="minorEastAsia" w:eastAsiaTheme="minorEastAsia" w:cstheme="minorEastAsia"/>
          <w:color w:val="000000"/>
          <w:szCs w:val="21"/>
          <w:u w:val="single"/>
        </w:rPr>
        <w:t>      </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委托代理人：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委托代理人：</w:t>
      </w:r>
      <w:r>
        <w:rPr>
          <w:rFonts w:hint="eastAsia" w:asciiTheme="minorEastAsia" w:hAnsiTheme="minorEastAsia" w:eastAsiaTheme="minorEastAsia" w:cstheme="minorEastAsia"/>
          <w:color w:val="000000"/>
          <w:szCs w:val="21"/>
          <w:u w:val="single"/>
        </w:rPr>
        <w:t></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  话：</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电  话：</w:t>
      </w:r>
      <w:r>
        <w:rPr>
          <w:rFonts w:hint="eastAsia" w:asciiTheme="minorEastAsia" w:hAnsiTheme="minorEastAsia" w:eastAsiaTheme="minorEastAsia" w:cstheme="minorEastAsia"/>
          <w:color w:val="000000"/>
          <w:szCs w:val="21"/>
          <w:u w:val="single"/>
        </w:rPr>
        <w:t></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传  真：</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传  真：</w:t>
      </w:r>
      <w:r>
        <w:rPr>
          <w:rFonts w:hint="eastAsia" w:asciiTheme="minorEastAsia" w:hAnsiTheme="minorEastAsia" w:eastAsiaTheme="minorEastAsia" w:cstheme="minorEastAsia"/>
          <w:color w:val="000000"/>
          <w:szCs w:val="21"/>
          <w:u w:val="single"/>
        </w:rPr>
        <w:t>  </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电子信箱：电子信箱：</w:t>
      </w:r>
      <w:r>
        <w:rPr>
          <w:rFonts w:hint="eastAsia" w:asciiTheme="minorEastAsia" w:hAnsiTheme="minorEastAsia" w:eastAsiaTheme="minorEastAsia" w:cstheme="minorEastAsia"/>
          <w:color w:val="000000"/>
          <w:szCs w:val="21"/>
          <w:u w:val="single"/>
        </w:rPr>
        <w:t></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开户银行：</w:t>
      </w:r>
      <w:r>
        <w:rPr>
          <w:rFonts w:hint="eastAsia" w:asciiTheme="minorEastAsia" w:hAnsiTheme="minorEastAsia" w:eastAsiaTheme="minorEastAsia" w:cstheme="minorEastAsia"/>
          <w:color w:val="000000"/>
          <w:szCs w:val="21"/>
          <w:u w:val="single"/>
        </w:rPr>
        <w:t></w:t>
      </w:r>
    </w:p>
    <w:p>
      <w:pPr>
        <w:spacing w:line="360" w:lineRule="auto"/>
        <w:ind w:left="1260" w:leftChars="300" w:hanging="630" w:hangingChars="3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  号：</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账  号：</w:t>
      </w:r>
      <w:r>
        <w:rPr>
          <w:rFonts w:hint="eastAsia" w:asciiTheme="minorEastAsia" w:hAnsiTheme="minorEastAsia" w:eastAsiaTheme="minorEastAsia" w:cstheme="minorEastAsia"/>
          <w:color w:val="000000"/>
          <w:szCs w:val="21"/>
          <w:u w:val="single"/>
        </w:rPr>
        <w:t></w:t>
      </w:r>
    </w:p>
    <w:p>
      <w:pPr>
        <w:sectPr>
          <w:pgSz w:w="11849" w:h="16781"/>
          <w:pgMar w:top="1440" w:right="1416" w:bottom="1440" w:left="1800" w:header="850" w:footer="992" w:gutter="0"/>
          <w:pgNumType w:fmt="decimal"/>
          <w:cols w:space="720" w:num="1"/>
          <w:docGrid w:type="lines" w:linePitch="407" w:charSpace="0"/>
        </w:sectPr>
      </w:pPr>
    </w:p>
    <w:p>
      <w:pPr>
        <w:pStyle w:val="3"/>
        <w:jc w:val="center"/>
        <w:rPr>
          <w:rFonts w:ascii="宋体" w:hAnsi="宋体"/>
          <w:szCs w:val="21"/>
        </w:rPr>
      </w:pPr>
      <w:bookmarkStart w:id="720" w:name="_Toc8254"/>
      <w:bookmarkStart w:id="721" w:name="_Toc14173"/>
      <w:bookmarkStart w:id="722" w:name="_Toc22215473"/>
      <w:bookmarkStart w:id="723" w:name="_Toc19309"/>
      <w:bookmarkStart w:id="724" w:name="_Toc16731"/>
      <w:r>
        <w:rPr>
          <w:rFonts w:hint="eastAsia" w:ascii="黑体" w:hAnsi="仿宋_GB2312" w:eastAsia="黑体"/>
          <w:bCs w:val="0"/>
          <w:sz w:val="32"/>
          <w:szCs w:val="32"/>
        </w:rPr>
        <w:t>第五章采购需求</w:t>
      </w:r>
      <w:bookmarkEnd w:id="707"/>
      <w:bookmarkEnd w:id="720"/>
      <w:bookmarkEnd w:id="721"/>
      <w:bookmarkEnd w:id="722"/>
      <w:bookmarkEnd w:id="723"/>
      <w:bookmarkEnd w:id="724"/>
      <w:bookmarkStart w:id="725" w:name="_Toc318814683"/>
      <w:bookmarkStart w:id="726" w:name="_Toc455399834"/>
    </w:p>
    <w:bookmarkEnd w:id="725"/>
    <w:bookmarkEnd w:id="726"/>
    <w:p>
      <w:pPr>
        <w:tabs>
          <w:tab w:val="left" w:pos="1155"/>
        </w:tabs>
        <w:spacing w:line="400" w:lineRule="exact"/>
        <w:ind w:firstLine="420" w:firstLineChars="200"/>
        <w:rPr>
          <w:rFonts w:asciiTheme="minorEastAsia" w:hAnsiTheme="minorEastAsia" w:eastAsiaTheme="minorEastAsia" w:cstheme="minorEastAsia"/>
          <w:szCs w:val="21"/>
        </w:rPr>
      </w:pPr>
      <w:bookmarkStart w:id="727" w:name="_Toc318814684"/>
      <w:bookmarkStart w:id="728" w:name="_Toc309306888"/>
      <w:r>
        <w:rPr>
          <w:rFonts w:hint="eastAsia" w:asciiTheme="minorEastAsia" w:hAnsiTheme="minorEastAsia" w:eastAsiaTheme="minorEastAsia" w:cstheme="minorEastAsia"/>
          <w:szCs w:val="21"/>
        </w:rPr>
        <w:t>一、工程概况</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2）项目编号： </w:t>
      </w:r>
      <w:r>
        <w:rPr>
          <w:rFonts w:hint="eastAsia" w:asciiTheme="minorEastAsia" w:hAnsiTheme="minorEastAsia" w:eastAsiaTheme="minorEastAsia" w:cstheme="minorEastAsia"/>
          <w:szCs w:val="21"/>
          <w:lang w:eastAsia="zh-CN"/>
        </w:rPr>
        <w:t>131-2021CG-067</w:t>
      </w:r>
      <w:r>
        <w:rPr>
          <w:rFonts w:hint="eastAsia" w:asciiTheme="minorEastAsia" w:hAnsiTheme="minorEastAsia" w:eastAsiaTheme="minorEastAsia" w:cstheme="minorEastAsia"/>
          <w:szCs w:val="21"/>
        </w:rPr>
        <w:t>；</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3）项目名称：阳新县白沙镇四屋组采石厂矿山生态修复治理工程；</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4）采购方式：竞争性磋商；</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5）预算金额：</w:t>
      </w:r>
    </w:p>
    <w:p>
      <w:pPr>
        <w:tabs>
          <w:tab w:val="left" w:pos="1155"/>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阳新县白沙镇四屋组采石厂矿山生态修复治理工程，采购计划备案号阳财采计备[2021]B35号，预算金额238</w:t>
      </w:r>
      <w:r>
        <w:rPr>
          <w:rFonts w:hint="eastAsia" w:asciiTheme="minorEastAsia" w:hAnsiTheme="minorEastAsia" w:eastAsiaTheme="minorEastAsia" w:cstheme="minorEastAsia"/>
          <w:szCs w:val="21"/>
          <w:lang w:val="en-US" w:eastAsia="zh-CN"/>
        </w:rPr>
        <w:t>.43万</w:t>
      </w:r>
      <w:r>
        <w:rPr>
          <w:rFonts w:hint="eastAsia" w:asciiTheme="minorEastAsia" w:hAnsiTheme="minorEastAsia" w:eastAsiaTheme="minorEastAsia" w:cstheme="minorEastAsia"/>
          <w:szCs w:val="21"/>
        </w:rPr>
        <w:t>元；</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6）采购需求：阳新县白沙镇四屋组采石厂矿山生态修复治理工程，具体施工内容详见图纸及工程量清单；</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7）合同履行期限（工期）：三个月；</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8）质保期：按照国家相关标准执行；</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9）本项目不接受联合体。</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二、工程量清单编制依据</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1、采购人提供的工程技术经济类文件和资料，主要包括：相关文字资料和施工图纸等；</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2、适用于本项目的工程造价计价规范、标准及文件等，主要包括：</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（1）GB50501-2007《水利工程工程量清单计价规范》；</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（2）水利部水总[2002]116号《水利建筑工程预算定额》；</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（3《湖北省园林绿化工程消耗量定额及统一基价表》鄂建文〔2009〕248号；</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施工技术、材料具体要求详见工程量清单和施工规范，其他未尽事宜按现行国家规范、规程实行。</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三、报价要求</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1、供应商报价应根据下列依据编制：</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⑴GB50501-2007《水利工程工程量清单计价规范》；</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⑵ 国家或省级、行业建设主管部门颁发的计价办法；</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⑶ 企业定额，国家或省级、行业建设主管部门颁发的计价定额；</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⑷ 竞争性磋商文件、工程量清单及其补充通知、答疑纪要；</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⑸ 建设工程设计文件及相关资料；</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⑹ 施工现场情况、工程特点及拟定的磋商施工组织设计或施工方案； </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⑺ 与建设项目相关的标准、规范等技术资料；</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⑻ 市场价格信息或工程造价管理机构发布的工程造价信息；</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⑼ 其它的相关资料。</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的报价应为完成项目需求的全部内容的价格，施工、验收、环境检测、办理手续、安全文明施工措施费、建筑材料及建筑垃圾清运出现场，以及施工用电、用水、现场施工管理等各项费用也应综合考虑在磋商报价中。</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四、质量标准</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工程质量等级目标：合格；安全生产管理目标：合格；文明施工管理目标：合格。</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五、工程保修</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1、工程保修期按文件规定，自工程通过竣工验收并交付采购人使用之日起；</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2、保修期内供应商负责工程维修、养护并承担其费用；</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保修期内如成交供应商未能及时实施维修或维修效果未达到设计要求，采购人有权另行聘请第三方进行维修，发生的费用从质保金中扣除，成交供应商无条件同意并认可采购人扣除的费用数额；如质保金不足以支付维修费用或已经退还的，成交供应商对此仍应承担相应责任。</w:t>
      </w:r>
    </w:p>
    <w:p>
      <w:pPr>
        <w:tabs>
          <w:tab w:val="left" w:pos="1155"/>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六、附件（工程量清单及图纸另附）。 </w:t>
      </w:r>
    </w:p>
    <w:p>
      <w:pPr>
        <w:rPr>
          <w:rFonts w:ascii="宋体" w:hAnsi="宋体" w:cs="宋体"/>
          <w:b/>
          <w:szCs w:val="21"/>
        </w:rPr>
      </w:pPr>
    </w:p>
    <w:bookmarkEnd w:id="727"/>
    <w:bookmarkEnd w:id="728"/>
    <w:p>
      <w:pPr>
        <w:jc w:val="center"/>
        <w:outlineLvl w:val="0"/>
      </w:pPr>
      <w:bookmarkStart w:id="729" w:name="_Toc11648"/>
      <w:bookmarkStart w:id="730" w:name="_Toc450217574"/>
      <w:bookmarkStart w:id="731" w:name="_Toc13710"/>
      <w:r>
        <w:rPr>
          <w:rFonts w:hint="eastAsia"/>
        </w:rPr>
        <w:br w:type="page"/>
      </w:r>
      <w:bookmarkStart w:id="732" w:name="_Toc22215474"/>
      <w:bookmarkStart w:id="733" w:name="_Toc13074"/>
      <w:bookmarkStart w:id="734" w:name="_Toc27399"/>
      <w:bookmarkStart w:id="735" w:name="_Toc5512"/>
      <w:bookmarkStart w:id="736" w:name="_Toc31697"/>
      <w:r>
        <w:rPr>
          <w:rStyle w:val="34"/>
          <w:rFonts w:hint="eastAsia"/>
        </w:rPr>
        <w:t>第六章响应文件格式</w:t>
      </w:r>
      <w:bookmarkEnd w:id="729"/>
      <w:bookmarkEnd w:id="730"/>
      <w:bookmarkEnd w:id="731"/>
      <w:bookmarkEnd w:id="732"/>
      <w:bookmarkEnd w:id="733"/>
      <w:bookmarkEnd w:id="734"/>
      <w:bookmarkEnd w:id="735"/>
      <w:bookmarkEnd w:id="736"/>
    </w:p>
    <w:p>
      <w:pPr>
        <w:jc w:val="right"/>
        <w:rPr>
          <w:rFonts w:asciiTheme="minorEastAsia" w:hAnsiTheme="minorEastAsia" w:eastAsiaTheme="minorEastAsia" w:cstheme="minorEastAsia"/>
          <w:b/>
          <w:bCs/>
          <w:sz w:val="32"/>
          <w:szCs w:val="32"/>
        </w:rPr>
      </w:pPr>
      <w:bookmarkStart w:id="737" w:name="_Toc17692"/>
      <w:bookmarkStart w:id="738" w:name="_Toc15970"/>
      <w:r>
        <w:rPr>
          <w:rFonts w:hint="eastAsia" w:asciiTheme="minorEastAsia" w:hAnsiTheme="minorEastAsia" w:eastAsiaTheme="minorEastAsia" w:cstheme="minorEastAsia"/>
          <w:b/>
          <w:bCs/>
          <w:sz w:val="32"/>
          <w:szCs w:val="32"/>
        </w:rPr>
        <w:t>正/副本</w:t>
      </w:r>
      <w:bookmarkEnd w:id="737"/>
      <w:bookmarkEnd w:id="738"/>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bookmarkStart w:id="739" w:name="_Toc2556"/>
      <w:bookmarkStart w:id="740" w:name="_Toc31490"/>
      <w:r>
        <w:rPr>
          <w:rFonts w:hint="eastAsia" w:asciiTheme="minorEastAsia" w:hAnsiTheme="minorEastAsia" w:eastAsiaTheme="minorEastAsia" w:cstheme="minorEastAsia"/>
          <w:b/>
          <w:bCs/>
          <w:sz w:val="32"/>
          <w:szCs w:val="32"/>
        </w:rPr>
        <w:t>（项目名称）</w:t>
      </w:r>
      <w:bookmarkEnd w:id="739"/>
      <w:bookmarkEnd w:id="740"/>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bookmarkStart w:id="741" w:name="_Toc30897"/>
      <w:bookmarkStart w:id="742" w:name="_Toc31114"/>
      <w:r>
        <w:rPr>
          <w:rFonts w:hint="eastAsia" w:asciiTheme="minorEastAsia" w:hAnsiTheme="minorEastAsia" w:eastAsiaTheme="minorEastAsia" w:cstheme="minorEastAsia"/>
          <w:b/>
          <w:bCs/>
          <w:sz w:val="32"/>
          <w:szCs w:val="32"/>
        </w:rPr>
        <w:t>竞争性磋商响应文件</w:t>
      </w:r>
      <w:bookmarkEnd w:id="741"/>
      <w:bookmarkEnd w:id="742"/>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bookmarkStart w:id="743" w:name="_Toc4844"/>
      <w:bookmarkStart w:id="744" w:name="_Toc4224"/>
      <w:r>
        <w:rPr>
          <w:rFonts w:hint="eastAsia" w:asciiTheme="minorEastAsia" w:hAnsiTheme="minorEastAsia" w:eastAsiaTheme="minorEastAsia" w:cstheme="minorEastAsia"/>
          <w:b/>
          <w:bCs/>
          <w:sz w:val="32"/>
          <w:szCs w:val="32"/>
        </w:rPr>
        <w:t>供应商：                    （盖单位章）</w:t>
      </w:r>
      <w:bookmarkEnd w:id="743"/>
      <w:bookmarkEnd w:id="744"/>
    </w:p>
    <w:p>
      <w:pPr>
        <w:jc w:val="center"/>
        <w:rPr>
          <w:rFonts w:asciiTheme="minorEastAsia" w:hAnsiTheme="minorEastAsia" w:eastAsiaTheme="minorEastAsia" w:cstheme="minorEastAsia"/>
          <w:b/>
          <w:bCs/>
          <w:sz w:val="32"/>
          <w:szCs w:val="32"/>
        </w:rPr>
      </w:pPr>
      <w:bookmarkStart w:id="745" w:name="_Toc12611"/>
      <w:bookmarkStart w:id="746" w:name="_Toc2426"/>
      <w:r>
        <w:rPr>
          <w:rFonts w:hint="eastAsia" w:asciiTheme="minorEastAsia" w:hAnsiTheme="minorEastAsia" w:eastAsiaTheme="minorEastAsia" w:cstheme="minorEastAsia"/>
          <w:b/>
          <w:bCs/>
          <w:sz w:val="32"/>
          <w:szCs w:val="32"/>
        </w:rPr>
        <w:t>年     月     日</w:t>
      </w:r>
      <w:bookmarkEnd w:id="745"/>
      <w:bookmarkEnd w:id="746"/>
    </w:p>
    <w:p>
      <w:pPr>
        <w:rPr>
          <w:sz w:val="36"/>
          <w:szCs w:val="36"/>
        </w:rPr>
      </w:pPr>
    </w:p>
    <w:p>
      <w:pPr>
        <w:jc w:val="center"/>
      </w:pPr>
      <w:bookmarkStart w:id="747" w:name="_Toc450217575"/>
      <w:bookmarkStart w:id="748" w:name="_Toc152042576"/>
      <w:bookmarkStart w:id="749" w:name="_Toc10728"/>
      <w:bookmarkStart w:id="750" w:name="_Toc144974856"/>
      <w:bookmarkStart w:id="751" w:name="_Toc179632807"/>
      <w:bookmarkStart w:id="752" w:name="_Toc387647293"/>
      <w:bookmarkStart w:id="753" w:name="_Toc152045787"/>
      <w:r>
        <w:rPr>
          <w:rFonts w:hint="eastAsia"/>
        </w:rPr>
        <w:br w:type="page"/>
      </w:r>
      <w:bookmarkStart w:id="754" w:name="_Toc22215475"/>
      <w:bookmarkStart w:id="755" w:name="_Toc12044"/>
    </w:p>
    <w:p>
      <w:pPr>
        <w:jc w:val="center"/>
      </w:pPr>
    </w:p>
    <w:p>
      <w:pPr>
        <w:jc w:val="center"/>
      </w:pPr>
    </w:p>
    <w:p>
      <w:pPr>
        <w:jc w:val="center"/>
      </w:pPr>
    </w:p>
    <w:p>
      <w:pPr>
        <w:jc w:val="center"/>
        <w:rPr>
          <w:sz w:val="24"/>
          <w:szCs w:val="24"/>
        </w:rPr>
      </w:pPr>
      <w:r>
        <w:rPr>
          <w:rFonts w:hint="eastAsia"/>
          <w:sz w:val="24"/>
          <w:szCs w:val="24"/>
        </w:rPr>
        <w:t>目录</w:t>
      </w:r>
      <w:bookmarkEnd w:id="747"/>
      <w:bookmarkEnd w:id="748"/>
      <w:bookmarkEnd w:id="749"/>
      <w:bookmarkEnd w:id="750"/>
      <w:bookmarkEnd w:id="751"/>
      <w:bookmarkEnd w:id="752"/>
      <w:bookmarkEnd w:id="753"/>
      <w:bookmarkEnd w:id="754"/>
      <w:bookmarkEnd w:id="755"/>
    </w:p>
    <w:p>
      <w:pPr>
        <w:rPr>
          <w:sz w:val="24"/>
          <w:szCs w:val="24"/>
        </w:rPr>
      </w:pPr>
    </w:p>
    <w:p>
      <w:pPr>
        <w:spacing w:line="480" w:lineRule="auto"/>
        <w:ind w:left="2100" w:leftChars="1000"/>
        <w:jc w:val="left"/>
        <w:rPr>
          <w:sz w:val="24"/>
          <w:szCs w:val="24"/>
        </w:rPr>
      </w:pPr>
      <w:bookmarkStart w:id="756" w:name="_Toc22724"/>
      <w:bookmarkStart w:id="757" w:name="_Toc23160"/>
      <w:r>
        <w:rPr>
          <w:rFonts w:hint="eastAsia"/>
          <w:sz w:val="24"/>
          <w:szCs w:val="24"/>
        </w:rPr>
        <w:t>一、磋商函</w:t>
      </w:r>
      <w:bookmarkEnd w:id="756"/>
      <w:bookmarkEnd w:id="757"/>
    </w:p>
    <w:p>
      <w:pPr>
        <w:spacing w:line="480" w:lineRule="auto"/>
        <w:ind w:left="2100" w:leftChars="1000"/>
        <w:jc w:val="left"/>
        <w:rPr>
          <w:sz w:val="24"/>
          <w:szCs w:val="24"/>
        </w:rPr>
      </w:pPr>
      <w:bookmarkStart w:id="758" w:name="_Toc2544"/>
      <w:bookmarkStart w:id="759" w:name="_Toc18206"/>
      <w:r>
        <w:rPr>
          <w:rFonts w:hint="eastAsia"/>
          <w:sz w:val="24"/>
          <w:szCs w:val="24"/>
        </w:rPr>
        <w:t>二、磋商一览表（报价表）</w:t>
      </w:r>
      <w:bookmarkEnd w:id="758"/>
      <w:bookmarkEnd w:id="759"/>
    </w:p>
    <w:p>
      <w:pPr>
        <w:spacing w:line="480" w:lineRule="auto"/>
        <w:ind w:left="2100" w:leftChars="1000"/>
        <w:jc w:val="left"/>
        <w:rPr>
          <w:sz w:val="24"/>
          <w:szCs w:val="24"/>
        </w:rPr>
      </w:pPr>
      <w:bookmarkStart w:id="760" w:name="_Toc28738"/>
      <w:bookmarkStart w:id="761" w:name="_Toc10632"/>
      <w:r>
        <w:rPr>
          <w:rFonts w:hint="eastAsia"/>
          <w:sz w:val="24"/>
          <w:szCs w:val="24"/>
        </w:rPr>
        <w:t>三、法定代表人身份证明</w:t>
      </w:r>
      <w:bookmarkEnd w:id="760"/>
      <w:bookmarkEnd w:id="761"/>
    </w:p>
    <w:p>
      <w:pPr>
        <w:spacing w:line="480" w:lineRule="auto"/>
        <w:ind w:left="2100" w:leftChars="1000"/>
        <w:jc w:val="left"/>
        <w:rPr>
          <w:sz w:val="24"/>
          <w:szCs w:val="24"/>
        </w:rPr>
      </w:pPr>
      <w:bookmarkStart w:id="762" w:name="_Toc2811"/>
      <w:bookmarkStart w:id="763" w:name="_Toc9639"/>
      <w:r>
        <w:rPr>
          <w:rFonts w:hint="eastAsia"/>
          <w:sz w:val="24"/>
          <w:szCs w:val="24"/>
        </w:rPr>
        <w:t>四、法定代表人授权委托书</w:t>
      </w:r>
      <w:bookmarkEnd w:id="762"/>
      <w:bookmarkEnd w:id="763"/>
    </w:p>
    <w:p>
      <w:pPr>
        <w:spacing w:line="480" w:lineRule="auto"/>
        <w:ind w:left="2100" w:leftChars="1000"/>
        <w:jc w:val="left"/>
        <w:rPr>
          <w:sz w:val="24"/>
          <w:szCs w:val="24"/>
        </w:rPr>
      </w:pPr>
      <w:bookmarkStart w:id="764" w:name="_Toc12777"/>
      <w:bookmarkStart w:id="765" w:name="_Toc24622"/>
      <w:r>
        <w:rPr>
          <w:rFonts w:hint="eastAsia"/>
          <w:sz w:val="24"/>
          <w:szCs w:val="24"/>
        </w:rPr>
        <w:t>五、资格审查资料</w:t>
      </w:r>
      <w:bookmarkEnd w:id="764"/>
      <w:bookmarkEnd w:id="765"/>
      <w:bookmarkStart w:id="766" w:name="_Toc2867"/>
      <w:bookmarkStart w:id="767" w:name="_Toc1326"/>
    </w:p>
    <w:p>
      <w:pPr>
        <w:spacing w:line="480" w:lineRule="auto"/>
        <w:ind w:left="2100" w:leftChars="1000"/>
        <w:jc w:val="left"/>
        <w:rPr>
          <w:sz w:val="24"/>
          <w:szCs w:val="24"/>
        </w:rPr>
      </w:pPr>
      <w:r>
        <w:rPr>
          <w:rFonts w:hint="eastAsia"/>
          <w:sz w:val="24"/>
          <w:szCs w:val="24"/>
        </w:rPr>
        <w:t>六、</w:t>
      </w:r>
      <w:bookmarkEnd w:id="766"/>
      <w:bookmarkEnd w:id="767"/>
      <w:r>
        <w:rPr>
          <w:rFonts w:hint="eastAsia"/>
          <w:sz w:val="24"/>
          <w:szCs w:val="24"/>
        </w:rPr>
        <w:t>磋商文件中要求提供的其他资料</w:t>
      </w:r>
    </w:p>
    <w:p>
      <w:pPr>
        <w:spacing w:line="480" w:lineRule="auto"/>
        <w:ind w:left="2100" w:leftChars="1000"/>
        <w:jc w:val="left"/>
        <w:rPr>
          <w:sz w:val="24"/>
          <w:szCs w:val="24"/>
        </w:rPr>
      </w:pPr>
      <w:bookmarkStart w:id="768" w:name="_Toc17743"/>
      <w:bookmarkStart w:id="769" w:name="_Toc10838"/>
      <w:r>
        <w:rPr>
          <w:rFonts w:hint="eastAsia"/>
          <w:sz w:val="24"/>
          <w:szCs w:val="24"/>
        </w:rPr>
        <w:t>七、</w:t>
      </w:r>
      <w:bookmarkEnd w:id="768"/>
      <w:bookmarkEnd w:id="769"/>
      <w:r>
        <w:rPr>
          <w:rFonts w:hint="eastAsia"/>
          <w:sz w:val="24"/>
          <w:szCs w:val="24"/>
        </w:rPr>
        <w:t>技术方案</w:t>
      </w:r>
    </w:p>
    <w:p>
      <w:pPr>
        <w:spacing w:line="480" w:lineRule="auto"/>
        <w:ind w:left="2100" w:leftChars="1000"/>
        <w:jc w:val="left"/>
        <w:rPr>
          <w:sz w:val="24"/>
          <w:szCs w:val="24"/>
        </w:rPr>
      </w:pPr>
      <w:r>
        <w:rPr>
          <w:rFonts w:hint="eastAsia"/>
          <w:sz w:val="24"/>
          <w:szCs w:val="24"/>
        </w:rPr>
        <w:t>八、报价工程量清单</w:t>
      </w:r>
    </w:p>
    <w:p>
      <w:pPr>
        <w:spacing w:line="480" w:lineRule="auto"/>
        <w:ind w:left="2100" w:leftChars="1000"/>
        <w:jc w:val="left"/>
        <w:rPr>
          <w:sz w:val="24"/>
          <w:szCs w:val="24"/>
        </w:rPr>
      </w:pPr>
      <w:r>
        <w:rPr>
          <w:rFonts w:hint="eastAsia"/>
          <w:sz w:val="24"/>
          <w:szCs w:val="24"/>
        </w:rPr>
        <w:t>九、其他必要的补充或声明</w:t>
      </w:r>
    </w:p>
    <w:p>
      <w:pPr>
        <w:pStyle w:val="2"/>
      </w:pPr>
    </w:p>
    <w:p/>
    <w:p>
      <w:pPr>
        <w:spacing w:line="540" w:lineRule="exact"/>
      </w:pPr>
    </w:p>
    <w:p>
      <w:pPr>
        <w:spacing w:line="540" w:lineRule="exact"/>
      </w:pPr>
    </w:p>
    <w:p>
      <w:bookmarkStart w:id="770" w:name="_Toc107822558"/>
      <w:bookmarkStart w:id="771" w:name="_Toc488655907"/>
      <w:bookmarkStart w:id="772" w:name="_Toc226969360"/>
    </w:p>
    <w:p/>
    <w:p/>
    <w:p/>
    <w:p/>
    <w:p/>
    <w:p>
      <w:pPr>
        <w:pStyle w:val="4"/>
      </w:pPr>
      <w:bookmarkStart w:id="773" w:name="_Toc450217576"/>
      <w:bookmarkStart w:id="774" w:name="_Toc387647294"/>
      <w:bookmarkStart w:id="775" w:name="_Toc992"/>
      <w:bookmarkStart w:id="776" w:name="_Toc11400"/>
      <w:bookmarkStart w:id="777" w:name="_Toc22215476"/>
      <w:bookmarkStart w:id="778" w:name="_Toc20529"/>
      <w:bookmarkStart w:id="779" w:name="_Toc17535"/>
      <w:bookmarkStart w:id="780" w:name="_Toc14485"/>
      <w:r>
        <w:rPr>
          <w:rFonts w:hint="eastAsia" w:ascii="黑体" w:hAnsi="黑体"/>
          <w:bCs w:val="0"/>
          <w:spacing w:val="12"/>
          <w:sz w:val="24"/>
        </w:rPr>
        <w:t>一、</w:t>
      </w:r>
      <w:bookmarkEnd w:id="770"/>
      <w:r>
        <w:rPr>
          <w:rFonts w:hint="eastAsia" w:ascii="黑体" w:hAnsi="黑体"/>
          <w:bCs w:val="0"/>
          <w:spacing w:val="12"/>
          <w:sz w:val="24"/>
        </w:rPr>
        <w:t>磋商函</w:t>
      </w:r>
      <w:bookmarkEnd w:id="771"/>
      <w:bookmarkEnd w:id="772"/>
      <w:bookmarkEnd w:id="773"/>
      <w:bookmarkEnd w:id="774"/>
      <w:bookmarkEnd w:id="775"/>
      <w:bookmarkEnd w:id="776"/>
      <w:bookmarkEnd w:id="777"/>
      <w:bookmarkEnd w:id="778"/>
      <w:bookmarkEnd w:id="779"/>
      <w:bookmarkEnd w:id="780"/>
    </w:p>
    <w:p>
      <w:pPr>
        <w:jc w:val="center"/>
      </w:pPr>
      <w:bookmarkStart w:id="781" w:name="_Toc18"/>
      <w:bookmarkStart w:id="782" w:name="_Toc9766"/>
      <w:r>
        <w:rPr>
          <w:rFonts w:hint="eastAsia" w:ascii="黑体" w:hAnsi="黑体" w:eastAsia="黑体"/>
          <w:bCs/>
          <w:spacing w:val="12"/>
          <w:sz w:val="28"/>
          <w:szCs w:val="28"/>
        </w:rPr>
        <w:t>磋 商</w:t>
      </w:r>
      <w:r>
        <w:rPr>
          <w:rFonts w:hint="eastAsia" w:ascii="黑体" w:hAnsi="黑体" w:eastAsia="黑体"/>
          <w:bCs/>
          <w:spacing w:val="12"/>
          <w:sz w:val="28"/>
          <w:szCs w:val="28"/>
          <w:lang w:val="en-US" w:eastAsia="zh-CN"/>
        </w:rPr>
        <w:t xml:space="preserve"> </w:t>
      </w:r>
      <w:r>
        <w:rPr>
          <w:rFonts w:hint="eastAsia" w:ascii="黑体" w:hAnsi="黑体" w:eastAsia="黑体"/>
          <w:bCs/>
          <w:spacing w:val="12"/>
          <w:sz w:val="28"/>
          <w:szCs w:val="28"/>
        </w:rPr>
        <w:t>函</w:t>
      </w:r>
      <w:bookmarkEnd w:id="781"/>
      <w:bookmarkEnd w:id="782"/>
    </w:p>
    <w:p>
      <w:pPr>
        <w:spacing w:line="440" w:lineRule="exact"/>
        <w:ind w:firstLine="420" w:firstLineChars="200"/>
        <w:rPr>
          <w:szCs w:val="21"/>
        </w:rPr>
      </w:pPr>
      <w:r>
        <w:rPr>
          <w:rFonts w:hint="eastAsia"/>
          <w:szCs w:val="21"/>
        </w:rPr>
        <w:t>致：（采购人名称）：</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根据贵方项目编号</w:t>
      </w:r>
      <w:r>
        <w:rPr>
          <w:rFonts w:hint="eastAsia" w:ascii="宋体" w:hAnsi="宋体"/>
          <w:color w:val="000000"/>
          <w:kern w:val="2"/>
          <w:sz w:val="21"/>
          <w:szCs w:val="21"/>
          <w:u w:val="single"/>
          <w:lang w:eastAsia="zh-CN"/>
        </w:rPr>
        <w:t>131-2021CG-067</w:t>
      </w:r>
      <w:r>
        <w:rPr>
          <w:rFonts w:hint="eastAsia" w:ascii="宋体" w:hAnsi="宋体"/>
          <w:color w:val="000000"/>
          <w:kern w:val="2"/>
          <w:sz w:val="21"/>
          <w:szCs w:val="21"/>
        </w:rPr>
        <w:t>的磋商文件，正式授权____________(姓名和职务)代表我方______________（供应商的名称），全权处理本次项目磋商的有关事宜。据此函，兹宣布同意如下：</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（1）我们已详细审核全部磋商文件及其有效补充文件，我们知道必须放弃提出含糊不清或误解的问题的权利，并保证所提供的响应文件及相关资料均真实有效；</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（2）同意制定的磋商程序、办法，并认同据此产生的评审结果；</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（3）我们同意从规定的开标日期起遵循本磋商文件，并在规定的磋商有效期（60天）期满之前均具有约束力。</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（4）同意向贵方提供贵方可能另外要求的与磋商有关的任何证据或资料。</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（5）一旦我方成交,我们将根据磋商文件的规定，完全响应磋商文件中制定的合同格式以及合同条款，严格履行合同的责任和义务,严格按照不高于响应文件中承诺的收费标准执行。</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（6）如我方成交，将严格执行国家相关法律、法规。</w:t>
      </w:r>
    </w:p>
    <w:p>
      <w:pPr>
        <w:pStyle w:val="55"/>
        <w:spacing w:line="420" w:lineRule="exact"/>
        <w:ind w:left="425"/>
        <w:rPr>
          <w:rFonts w:ascii="宋体" w:hAnsi="宋体"/>
          <w:color w:val="000000"/>
          <w:kern w:val="2"/>
          <w:sz w:val="21"/>
          <w:szCs w:val="21"/>
        </w:rPr>
      </w:pPr>
      <w:r>
        <w:rPr>
          <w:rFonts w:hint="eastAsia" w:ascii="宋体" w:hAnsi="宋体"/>
          <w:color w:val="000000"/>
          <w:kern w:val="2"/>
          <w:sz w:val="21"/>
          <w:szCs w:val="21"/>
        </w:rPr>
        <w:t>（7）一旦我方成交,我方同意采购方关于违约责任的认定方式和对相关违约责任的处罚；在承接业务的过程中，如我方违约，我方甘愿接受违约处罚。</w:t>
      </w:r>
    </w:p>
    <w:p>
      <w:pPr>
        <w:spacing w:after="120"/>
        <w:ind w:firstLine="3780" w:firstLineChars="1800"/>
        <w:rPr>
          <w:rFonts w:ascii="宋体"/>
          <w:szCs w:val="21"/>
        </w:rPr>
      </w:pPr>
      <w:r>
        <w:rPr>
          <w:rFonts w:hint="eastAsia" w:ascii="宋体" w:hAnsi="宋体"/>
          <w:szCs w:val="21"/>
        </w:rPr>
        <w:t>供 应 商：</w:t>
      </w:r>
      <w:r>
        <w:rPr>
          <w:rFonts w:hint="eastAsia" w:ascii="宋体" w:hAnsi="宋体"/>
          <w:szCs w:val="21"/>
          <w:lang w:val="en-US" w:eastAsia="zh-CN"/>
        </w:rPr>
        <w:t xml:space="preserve">                   </w:t>
      </w:r>
      <w:r>
        <w:rPr>
          <w:rFonts w:hint="eastAsia" w:ascii="宋体" w:hAnsi="宋体"/>
          <w:szCs w:val="21"/>
        </w:rPr>
        <w:t>（盖单位章）</w:t>
      </w:r>
    </w:p>
    <w:p>
      <w:pPr>
        <w:spacing w:after="120"/>
        <w:ind w:firstLine="3780" w:firstLineChars="1800"/>
        <w:rPr>
          <w:rFonts w:ascii="宋体"/>
          <w:szCs w:val="21"/>
        </w:rPr>
      </w:pPr>
      <w:r>
        <w:rPr>
          <w:rFonts w:hint="eastAsia" w:ascii="宋体" w:hAnsi="宋体"/>
          <w:szCs w:val="21"/>
        </w:rPr>
        <w:t>法定代表人或其委托代理人：</w:t>
      </w:r>
      <w:r>
        <w:rPr>
          <w:rFonts w:hint="eastAsia" w:ascii="宋体" w:hAnsi="宋体"/>
          <w:szCs w:val="21"/>
          <w:lang w:val="en-US" w:eastAsia="zh-CN"/>
        </w:rPr>
        <w:t xml:space="preserve">             </w:t>
      </w:r>
      <w:r>
        <w:rPr>
          <w:rFonts w:hint="eastAsia" w:ascii="宋体" w:hAnsi="宋体"/>
          <w:szCs w:val="21"/>
        </w:rPr>
        <w:t>（签字）</w:t>
      </w:r>
    </w:p>
    <w:p>
      <w:pPr>
        <w:spacing w:after="120"/>
        <w:ind w:firstLine="3780" w:firstLineChars="1800"/>
        <w:rPr>
          <w:szCs w:val="21"/>
          <w:u w:val="single"/>
        </w:rPr>
      </w:pPr>
    </w:p>
    <w:p>
      <w:pPr>
        <w:spacing w:after="120"/>
        <w:jc w:val="right"/>
        <w:rPr>
          <w:rFonts w:asci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after="120"/>
        <w:rPr>
          <w:rFonts w:ascii="宋体"/>
          <w:szCs w:val="21"/>
        </w:rPr>
        <w:sectPr>
          <w:pgSz w:w="11849" w:h="16781"/>
          <w:pgMar w:top="1440" w:right="1416" w:bottom="1440" w:left="1800" w:header="850" w:footer="992" w:gutter="0"/>
          <w:pgNumType w:fmt="decimal"/>
          <w:cols w:space="720" w:num="1"/>
          <w:docGrid w:type="lines" w:linePitch="407" w:charSpace="0"/>
        </w:sectPr>
      </w:pPr>
    </w:p>
    <w:p>
      <w:pPr>
        <w:pStyle w:val="4"/>
        <w:rPr>
          <w:rFonts w:ascii="黑体"/>
          <w:bCs w:val="0"/>
          <w:spacing w:val="12"/>
          <w:sz w:val="24"/>
        </w:rPr>
      </w:pPr>
      <w:bookmarkStart w:id="783" w:name="_Toc226969361"/>
      <w:bookmarkStart w:id="784" w:name="_Toc450217577"/>
      <w:bookmarkStart w:id="785" w:name="_Toc107822559"/>
      <w:bookmarkStart w:id="786" w:name="_Toc12819"/>
      <w:bookmarkStart w:id="787" w:name="_Toc387647295"/>
      <w:bookmarkStart w:id="788" w:name="_Toc19249"/>
      <w:bookmarkStart w:id="789" w:name="_Toc22215477"/>
      <w:bookmarkStart w:id="790" w:name="_Toc8247"/>
      <w:bookmarkStart w:id="791" w:name="_Toc7394"/>
      <w:bookmarkStart w:id="792" w:name="_Toc20540"/>
      <w:bookmarkStart w:id="793" w:name="_Toc488655908"/>
      <w:r>
        <w:rPr>
          <w:rFonts w:hint="eastAsia" w:ascii="黑体" w:hAnsi="黑体"/>
          <w:bCs w:val="0"/>
          <w:spacing w:val="12"/>
          <w:sz w:val="24"/>
        </w:rPr>
        <w:t>二、</w:t>
      </w:r>
      <w:bookmarkEnd w:id="783"/>
      <w:bookmarkEnd w:id="784"/>
      <w:bookmarkEnd w:id="785"/>
      <w:bookmarkEnd w:id="786"/>
      <w:bookmarkEnd w:id="787"/>
      <w:r>
        <w:rPr>
          <w:rFonts w:hint="eastAsia" w:ascii="黑体" w:hAnsi="黑体"/>
          <w:bCs w:val="0"/>
          <w:spacing w:val="12"/>
          <w:sz w:val="24"/>
        </w:rPr>
        <w:t>磋商一览表（报价表）</w:t>
      </w:r>
      <w:bookmarkEnd w:id="788"/>
      <w:bookmarkEnd w:id="789"/>
      <w:bookmarkEnd w:id="790"/>
      <w:bookmarkEnd w:id="791"/>
      <w:bookmarkEnd w:id="792"/>
    </w:p>
    <w:bookmarkEnd w:id="793"/>
    <w:p>
      <w:pPr>
        <w:jc w:val="center"/>
        <w:rPr>
          <w:rFonts w:ascii="黑体" w:eastAsia="黑体"/>
          <w:sz w:val="28"/>
          <w:szCs w:val="28"/>
        </w:rPr>
      </w:pPr>
      <w:r>
        <w:rPr>
          <w:rFonts w:hint="eastAsia" w:ascii="黑体" w:eastAsia="黑体"/>
          <w:sz w:val="28"/>
          <w:szCs w:val="28"/>
        </w:rPr>
        <w:t>磋商一览表</w:t>
      </w:r>
    </w:p>
    <w:p>
      <w:pPr>
        <w:jc w:val="right"/>
        <w:rPr>
          <w:rFonts w:ascii="宋体" w:hAnsi="宋体"/>
          <w:szCs w:val="21"/>
          <w:highlight w:val="yellow"/>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2363"/>
        <w:gridCol w:w="2384"/>
        <w:gridCol w:w="4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98" w:hRule="atLeast"/>
          <w:jc w:val="center"/>
        </w:trPr>
        <w:tc>
          <w:tcPr>
            <w:tcW w:w="2363" w:type="dxa"/>
            <w:vAlign w:val="center"/>
          </w:tcPr>
          <w:p>
            <w:pPr>
              <w:jc w:val="center"/>
              <w:rPr>
                <w:rFonts w:ascii="宋体" w:hAnsi="宋体"/>
                <w:color w:val="000000"/>
                <w:szCs w:val="21"/>
              </w:rPr>
            </w:pPr>
            <w:r>
              <w:rPr>
                <w:rFonts w:hint="eastAsia" w:ascii="宋体" w:hAnsi="宋体"/>
                <w:color w:val="000000"/>
                <w:szCs w:val="21"/>
              </w:rPr>
              <w:t>供应商名称</w:t>
            </w:r>
          </w:p>
        </w:tc>
        <w:tc>
          <w:tcPr>
            <w:tcW w:w="6921" w:type="dxa"/>
            <w:gridSpan w:val="2"/>
            <w:vAlign w:val="center"/>
          </w:tcPr>
          <w:p>
            <w:pPr>
              <w:jc w:val="center"/>
              <w:rPr>
                <w:rFonts w:ascii="宋体" w:hAnsi="宋体"/>
                <w:color w:val="000000"/>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jc w:val="center"/>
        </w:trPr>
        <w:tc>
          <w:tcPr>
            <w:tcW w:w="2363" w:type="dxa"/>
            <w:vAlign w:val="center"/>
          </w:tcPr>
          <w:p>
            <w:pPr>
              <w:jc w:val="center"/>
              <w:rPr>
                <w:rFonts w:ascii="宋体" w:hAnsi="宋体"/>
                <w:color w:val="000000"/>
                <w:szCs w:val="21"/>
              </w:rPr>
            </w:pPr>
            <w:r>
              <w:rPr>
                <w:rFonts w:hint="eastAsia" w:ascii="宋体" w:hAnsi="宋体"/>
                <w:color w:val="000000"/>
                <w:szCs w:val="21"/>
              </w:rPr>
              <w:t>磋商项目名称</w:t>
            </w:r>
          </w:p>
        </w:tc>
        <w:tc>
          <w:tcPr>
            <w:tcW w:w="6921" w:type="dxa"/>
            <w:gridSpan w:val="2"/>
            <w:vAlign w:val="center"/>
          </w:tcPr>
          <w:p>
            <w:pPr>
              <w:jc w:val="center"/>
              <w:rPr>
                <w:rFonts w:ascii="宋体" w:hAnsi="宋体"/>
                <w:color w:val="000000"/>
                <w:szCs w:val="21"/>
              </w:rPr>
            </w:pPr>
            <w:r>
              <w:rPr>
                <w:rFonts w:hint="eastAsia" w:ascii="宋体" w:hAnsi="宋体"/>
                <w:color w:val="000000"/>
                <w:szCs w:val="21"/>
                <w:lang w:val="hr-HR"/>
              </w:rPr>
              <w:t>阳新县白沙镇四屋组采石厂矿山生态修复治理工程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jc w:val="center"/>
        </w:trPr>
        <w:tc>
          <w:tcPr>
            <w:tcW w:w="2363" w:type="dxa"/>
            <w:vAlign w:val="center"/>
          </w:tcPr>
          <w:p>
            <w:pPr>
              <w:jc w:val="center"/>
              <w:rPr>
                <w:rFonts w:ascii="宋体" w:hAnsi="宋体"/>
                <w:color w:val="000000"/>
                <w:szCs w:val="21"/>
              </w:rPr>
            </w:pPr>
            <w:r>
              <w:rPr>
                <w:rFonts w:hint="eastAsia" w:ascii="宋体" w:hAnsi="宋体"/>
                <w:color w:val="000000"/>
                <w:szCs w:val="21"/>
              </w:rPr>
              <w:t>磋商项目编号</w:t>
            </w:r>
          </w:p>
        </w:tc>
        <w:tc>
          <w:tcPr>
            <w:tcW w:w="6921" w:type="dxa"/>
            <w:gridSpan w:val="2"/>
            <w:vAlign w:val="center"/>
          </w:tcPr>
          <w:p>
            <w:pPr>
              <w:jc w:val="center"/>
              <w:rPr>
                <w:rFonts w:hint="eastAsia" w:ascii="宋体" w:hAnsi="宋体" w:eastAsia="宋体"/>
                <w:color w:val="000000"/>
                <w:szCs w:val="21"/>
                <w:lang w:val="hr-HR" w:eastAsia="zh-CN"/>
              </w:rPr>
            </w:pPr>
            <w:r>
              <w:rPr>
                <w:rFonts w:hint="eastAsia" w:ascii="宋体" w:hAnsi="宋体"/>
                <w:color w:val="000000"/>
                <w:szCs w:val="21"/>
                <w:lang w:val="hr-HR" w:eastAsia="zh-CN"/>
              </w:rPr>
              <w:t>131-2021CG-067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26" w:hRule="atLeast"/>
          <w:jc w:val="center"/>
        </w:trPr>
        <w:tc>
          <w:tcPr>
            <w:tcW w:w="2363" w:type="dxa"/>
            <w:vAlign w:val="center"/>
          </w:tcPr>
          <w:p>
            <w:pPr>
              <w:jc w:val="center"/>
              <w:rPr>
                <w:rFonts w:ascii="宋体" w:hAnsi="宋体"/>
                <w:color w:val="000000"/>
                <w:szCs w:val="21"/>
              </w:rPr>
            </w:pPr>
            <w:r>
              <w:rPr>
                <w:rFonts w:hint="eastAsia" w:ascii="宋体" w:hAnsi="宋体"/>
                <w:color w:val="000000"/>
                <w:szCs w:val="21"/>
              </w:rPr>
              <w:t>磋商报价</w:t>
            </w:r>
          </w:p>
        </w:tc>
        <w:tc>
          <w:tcPr>
            <w:tcW w:w="2384" w:type="dxa"/>
            <w:vAlign w:val="center"/>
          </w:tcPr>
          <w:p>
            <w:pPr>
              <w:jc w:val="center"/>
              <w:rPr>
                <w:rFonts w:ascii="宋体" w:hAnsi="宋体"/>
                <w:color w:val="000000"/>
                <w:szCs w:val="21"/>
              </w:rPr>
            </w:pPr>
            <w:r>
              <w:rPr>
                <w:rFonts w:hint="eastAsia" w:ascii="宋体" w:hAnsi="宋体"/>
                <w:color w:val="000000"/>
                <w:szCs w:val="21"/>
              </w:rPr>
              <w:t>总价：    万元。</w:t>
            </w:r>
          </w:p>
        </w:tc>
        <w:tc>
          <w:tcPr>
            <w:tcW w:w="4537" w:type="dxa"/>
            <w:vAlign w:val="center"/>
          </w:tcPr>
          <w:p>
            <w:pPr>
              <w:jc w:val="left"/>
              <w:rPr>
                <w:rFonts w:ascii="宋体" w:hAnsi="宋体"/>
                <w:color w:val="000000"/>
                <w:szCs w:val="21"/>
              </w:rPr>
            </w:pPr>
            <w:r>
              <w:rPr>
                <w:rFonts w:hint="eastAsia" w:ascii="宋体" w:hAnsi="宋体"/>
                <w:szCs w:val="21"/>
              </w:rPr>
              <w:t>采购预算金额：</w:t>
            </w:r>
            <w:r>
              <w:rPr>
                <w:rFonts w:hint="eastAsia" w:ascii="宋体" w:hAnsi="宋体"/>
                <w:szCs w:val="21"/>
                <w:highlight w:val="none"/>
                <w:lang w:val="en-US" w:eastAsia="zh-CN"/>
              </w:rPr>
              <w:t>238.43</w:t>
            </w:r>
            <w:r>
              <w:rPr>
                <w:rFonts w:hint="eastAsia" w:ascii="宋体" w:hAnsi="宋体"/>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jc w:val="center"/>
        </w:trPr>
        <w:tc>
          <w:tcPr>
            <w:tcW w:w="2363" w:type="dxa"/>
            <w:vAlign w:val="center"/>
          </w:tcPr>
          <w:p>
            <w:pPr>
              <w:jc w:val="center"/>
              <w:rPr>
                <w:rFonts w:ascii="宋体" w:hAnsi="宋体"/>
                <w:color w:val="000000"/>
                <w:szCs w:val="21"/>
              </w:rPr>
            </w:pPr>
            <w:r>
              <w:rPr>
                <w:rFonts w:hint="eastAsia" w:ascii="宋体" w:hAnsi="宋体"/>
                <w:color w:val="000000"/>
                <w:szCs w:val="21"/>
              </w:rPr>
              <w:t>服务质量</w:t>
            </w:r>
          </w:p>
        </w:tc>
        <w:tc>
          <w:tcPr>
            <w:tcW w:w="6921" w:type="dxa"/>
            <w:gridSpan w:val="2"/>
            <w:vAlign w:val="center"/>
          </w:tcPr>
          <w:p>
            <w:pPr>
              <w:jc w:val="center"/>
              <w:rPr>
                <w:rFonts w:ascii="宋体" w:hAnsi="宋体"/>
                <w:color w:val="000000"/>
                <w:szCs w:val="21"/>
              </w:rPr>
            </w:pPr>
            <w:r>
              <w:rPr>
                <w:rFonts w:hint="eastAsia" w:ascii="宋体" w:hAnsi="宋体"/>
                <w:color w:val="000000"/>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8" w:hRule="atLeast"/>
          <w:jc w:val="center"/>
        </w:trPr>
        <w:tc>
          <w:tcPr>
            <w:tcW w:w="2363" w:type="dxa"/>
            <w:vAlign w:val="center"/>
          </w:tcPr>
          <w:p>
            <w:pPr>
              <w:jc w:val="center"/>
              <w:rPr>
                <w:rFonts w:ascii="宋体" w:hAnsi="宋体"/>
                <w:color w:val="000000"/>
                <w:szCs w:val="21"/>
              </w:rPr>
            </w:pPr>
            <w:r>
              <w:rPr>
                <w:rFonts w:hint="eastAsia" w:ascii="宋体" w:hAnsi="宋体"/>
                <w:color w:val="000000"/>
                <w:szCs w:val="21"/>
              </w:rPr>
              <w:t>工期</w:t>
            </w:r>
          </w:p>
        </w:tc>
        <w:tc>
          <w:tcPr>
            <w:tcW w:w="6921" w:type="dxa"/>
            <w:gridSpan w:val="2"/>
            <w:vAlign w:val="center"/>
          </w:tcPr>
          <w:p>
            <w:pPr>
              <w:jc w:val="center"/>
              <w:rPr>
                <w:rFonts w:ascii="宋体" w:hAnsi="宋体"/>
                <w:color w:val="000000"/>
                <w:szCs w:val="21"/>
              </w:rPr>
            </w:pPr>
            <w:r>
              <w:rPr>
                <w:rFonts w:hint="eastAsia" w:ascii="宋体" w:hAnsi="宋体"/>
                <w:color w:val="000000"/>
                <w:szCs w:val="21"/>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8" w:hRule="atLeast"/>
          <w:jc w:val="center"/>
        </w:trPr>
        <w:tc>
          <w:tcPr>
            <w:tcW w:w="2363" w:type="dxa"/>
            <w:vAlign w:val="center"/>
          </w:tcPr>
          <w:p>
            <w:pPr>
              <w:jc w:val="center"/>
              <w:rPr>
                <w:rFonts w:ascii="宋体" w:hAnsi="宋体"/>
                <w:color w:val="000000"/>
                <w:szCs w:val="21"/>
              </w:rPr>
            </w:pPr>
            <w:r>
              <w:rPr>
                <w:rFonts w:hint="eastAsia" w:ascii="宋体" w:hAnsi="宋体"/>
                <w:color w:val="000000"/>
                <w:szCs w:val="21"/>
              </w:rPr>
              <w:t>备注</w:t>
            </w:r>
          </w:p>
        </w:tc>
        <w:tc>
          <w:tcPr>
            <w:tcW w:w="6921" w:type="dxa"/>
            <w:gridSpan w:val="2"/>
            <w:vAlign w:val="center"/>
          </w:tcPr>
          <w:p>
            <w:pPr>
              <w:jc w:val="left"/>
              <w:rPr>
                <w:rFonts w:ascii="宋体" w:hAnsi="宋体"/>
                <w:color w:val="000000"/>
                <w:szCs w:val="21"/>
                <w:highlight w:val="yellow"/>
              </w:rPr>
            </w:pPr>
          </w:p>
        </w:tc>
      </w:tr>
    </w:tbl>
    <w:p>
      <w:pPr>
        <w:jc w:val="right"/>
        <w:rPr>
          <w:rFonts w:ascii="宋体" w:hAnsi="宋体"/>
          <w:szCs w:val="21"/>
        </w:rPr>
      </w:pPr>
    </w:p>
    <w:p>
      <w:pPr>
        <w:jc w:val="left"/>
        <w:rPr>
          <w:rFonts w:ascii="宋体" w:hAnsi="宋体"/>
          <w:szCs w:val="21"/>
        </w:rPr>
      </w:pPr>
      <w:r>
        <w:rPr>
          <w:rFonts w:hint="eastAsia" w:ascii="宋体" w:hAnsi="宋体"/>
          <w:szCs w:val="21"/>
        </w:rPr>
        <w:t>注：供应商磋商报价不得超过本项目采购预算金额，否则作废标处理。</w:t>
      </w:r>
    </w:p>
    <w:p>
      <w:pPr>
        <w:jc w:val="right"/>
        <w:rPr>
          <w:rFonts w:ascii="宋体" w:hAnsi="宋体"/>
          <w:szCs w:val="21"/>
        </w:rPr>
      </w:pPr>
    </w:p>
    <w:p>
      <w:pPr>
        <w:spacing w:line="400" w:lineRule="exact"/>
        <w:jc w:val="right"/>
        <w:rPr>
          <w:rFonts w:ascii="宋体"/>
          <w:szCs w:val="21"/>
        </w:rPr>
      </w:pPr>
      <w:r>
        <w:rPr>
          <w:rFonts w:hint="eastAsia" w:ascii="宋体" w:hAnsi="宋体"/>
          <w:szCs w:val="21"/>
        </w:rPr>
        <w:t>供 应 商：</w:t>
      </w:r>
      <w:r>
        <w:rPr>
          <w:rFonts w:hint="eastAsia" w:ascii="宋体" w:hAnsi="宋体"/>
          <w:szCs w:val="21"/>
          <w:lang w:val="en-US" w:eastAsia="zh-CN"/>
        </w:rPr>
        <w:t xml:space="preserve">                        </w:t>
      </w:r>
      <w:r>
        <w:rPr>
          <w:rFonts w:hint="eastAsia" w:ascii="宋体" w:hAnsi="宋体"/>
          <w:szCs w:val="21"/>
        </w:rPr>
        <w:t>（盖单位章）</w:t>
      </w:r>
    </w:p>
    <w:p>
      <w:pPr>
        <w:spacing w:line="400" w:lineRule="exact"/>
        <w:jc w:val="right"/>
        <w:rPr>
          <w:rFonts w:ascii="宋体"/>
          <w:szCs w:val="21"/>
        </w:rPr>
      </w:pPr>
      <w:r>
        <w:rPr>
          <w:rFonts w:hint="eastAsia" w:ascii="宋体" w:hAnsi="宋体"/>
          <w:szCs w:val="21"/>
        </w:rPr>
        <w:t>法定代表人或其委托代理人：</w:t>
      </w:r>
      <w:r>
        <w:rPr>
          <w:rFonts w:hint="eastAsia" w:ascii="宋体" w:hAnsi="宋体"/>
          <w:szCs w:val="21"/>
          <w:lang w:val="en-US" w:eastAsia="zh-CN"/>
        </w:rPr>
        <w:t xml:space="preserve">            </w:t>
      </w:r>
      <w:r>
        <w:rPr>
          <w:rFonts w:hint="eastAsia" w:ascii="宋体" w:hAnsi="宋体"/>
          <w:szCs w:val="21"/>
        </w:rPr>
        <w:t>（签字）</w:t>
      </w:r>
    </w:p>
    <w:p>
      <w:pPr>
        <w:widowControl/>
        <w:spacing w:line="400" w:lineRule="exact"/>
        <w:jc w:val="right"/>
        <w:rPr>
          <w:rFonts w:asci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widowControl/>
        <w:jc w:val="right"/>
        <w:rPr>
          <w:rFonts w:ascii="宋体"/>
          <w:szCs w:val="21"/>
        </w:rPr>
      </w:pPr>
    </w:p>
    <w:p>
      <w:pPr>
        <w:widowControl/>
        <w:rPr>
          <w:rFonts w:ascii="宋体"/>
          <w:szCs w:val="21"/>
        </w:rPr>
      </w:pPr>
    </w:p>
    <w:p>
      <w:pPr>
        <w:widowControl/>
        <w:rPr>
          <w:rFonts w:ascii="宋体"/>
          <w:szCs w:val="21"/>
        </w:rPr>
      </w:pPr>
    </w:p>
    <w:p>
      <w:pPr>
        <w:spacing w:line="400" w:lineRule="exact"/>
        <w:rPr>
          <w:rFonts w:ascii="宋体" w:hAnsi="宋体" w:cs="宋体"/>
          <w:b/>
          <w:bCs/>
          <w:szCs w:val="21"/>
          <w:em w:val="dot"/>
        </w:rPr>
      </w:pPr>
      <w:r>
        <w:rPr>
          <w:rFonts w:hint="eastAsia" w:ascii="Times New Roman" w:hAnsi="Times New Roman"/>
          <w:b/>
          <w:bCs/>
          <w:szCs w:val="21"/>
          <w:em w:val="dot"/>
        </w:rPr>
        <w:t>为方便开标唱标，供应商须再单独密封包装提交一份“磋商一览表（报价表）”，</w:t>
      </w:r>
      <w:r>
        <w:rPr>
          <w:rFonts w:hint="eastAsia" w:ascii="宋体" w:hAnsi="宋体" w:cs="宋体"/>
          <w:b/>
          <w:bCs/>
          <w:szCs w:val="21"/>
          <w:em w:val="dot"/>
        </w:rPr>
        <w:t>密封标识要求按供应商须知4.1款要求执行。</w:t>
      </w:r>
    </w:p>
    <w:p>
      <w:pPr>
        <w:widowControl/>
        <w:rPr>
          <w:rFonts w:ascii="宋体"/>
          <w:szCs w:val="21"/>
        </w:rPr>
      </w:pPr>
    </w:p>
    <w:p>
      <w:pPr>
        <w:pStyle w:val="15"/>
      </w:pPr>
    </w:p>
    <w:p>
      <w:pPr>
        <w:pStyle w:val="15"/>
      </w:pPr>
    </w:p>
    <w:p>
      <w:pPr>
        <w:pStyle w:val="15"/>
      </w:pPr>
    </w:p>
    <w:p>
      <w:pPr>
        <w:rPr>
          <w:rFonts w:ascii="黑体" w:hAnsi="黑体"/>
          <w:spacing w:val="12"/>
          <w:sz w:val="24"/>
        </w:rPr>
      </w:pPr>
      <w:bookmarkStart w:id="794" w:name="_Toc450217579"/>
      <w:bookmarkStart w:id="795" w:name="_Toc387647297"/>
      <w:bookmarkStart w:id="796" w:name="_Toc11154"/>
      <w:bookmarkStart w:id="797" w:name="_Toc10610"/>
      <w:bookmarkStart w:id="798" w:name="_Toc22215478"/>
      <w:bookmarkStart w:id="799" w:name="_Toc183492371"/>
      <w:r>
        <w:rPr>
          <w:rFonts w:hint="eastAsia" w:ascii="黑体" w:hAnsi="黑体"/>
          <w:spacing w:val="12"/>
          <w:sz w:val="24"/>
        </w:rPr>
        <w:br w:type="page"/>
      </w:r>
    </w:p>
    <w:p>
      <w:pPr>
        <w:pStyle w:val="4"/>
        <w:rPr>
          <w:rFonts w:ascii="黑体"/>
          <w:bCs w:val="0"/>
          <w:spacing w:val="12"/>
          <w:sz w:val="24"/>
        </w:rPr>
      </w:pPr>
      <w:bookmarkStart w:id="800" w:name="_Toc10631"/>
      <w:bookmarkStart w:id="801" w:name="_Toc16003"/>
      <w:bookmarkStart w:id="802" w:name="_Toc14680"/>
      <w:r>
        <w:rPr>
          <w:rFonts w:hint="eastAsia" w:ascii="黑体" w:hAnsi="黑体"/>
          <w:bCs w:val="0"/>
          <w:spacing w:val="12"/>
          <w:sz w:val="24"/>
        </w:rPr>
        <w:t>三、法定代表人身份证明</w:t>
      </w:r>
      <w:bookmarkEnd w:id="794"/>
      <w:bookmarkEnd w:id="795"/>
      <w:bookmarkEnd w:id="796"/>
      <w:bookmarkEnd w:id="797"/>
      <w:bookmarkEnd w:id="798"/>
      <w:bookmarkEnd w:id="799"/>
      <w:bookmarkEnd w:id="800"/>
      <w:bookmarkEnd w:id="801"/>
      <w:bookmarkEnd w:id="802"/>
    </w:p>
    <w:p/>
    <w:p>
      <w:pPr>
        <w:spacing w:line="400" w:lineRule="exact"/>
        <w:jc w:val="center"/>
        <w:rPr>
          <w:rFonts w:ascii="黑体" w:eastAsia="黑体"/>
          <w:sz w:val="28"/>
          <w:szCs w:val="28"/>
        </w:rPr>
      </w:pPr>
      <w:bookmarkStart w:id="803" w:name="_Toc14558"/>
      <w:bookmarkStart w:id="804" w:name="_Toc22988"/>
      <w:r>
        <w:rPr>
          <w:rFonts w:hint="eastAsia" w:ascii="黑体" w:eastAsia="黑体"/>
          <w:sz w:val="28"/>
          <w:szCs w:val="28"/>
        </w:rPr>
        <w:t>法定代表人身份证明</w:t>
      </w:r>
      <w:bookmarkEnd w:id="803"/>
      <w:bookmarkEnd w:id="804"/>
    </w:p>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单位性质：</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成立时间：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经营期限：</w:t>
      </w:r>
    </w:p>
    <w:p>
      <w:pPr>
        <w:spacing w:line="500" w:lineRule="exact"/>
        <w:ind w:firstLine="435"/>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姓名：性别：年龄：职务：</w:t>
      </w:r>
    </w:p>
    <w:p>
      <w:pPr>
        <w:spacing w:line="500" w:lineRule="exact"/>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系（供应商名称）的法定代表人。</w:t>
      </w:r>
    </w:p>
    <w:p>
      <w:pPr>
        <w:spacing w:line="500" w:lineRule="exact"/>
        <w:ind w:firstLine="854" w:firstLineChars="40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特此证明。</w:t>
      </w:r>
    </w:p>
    <w:p>
      <w:pPr>
        <w:spacing w:line="50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供应商：____________（盖单位章）</w:t>
      </w:r>
    </w:p>
    <w:p>
      <w:pPr>
        <w:spacing w:line="500" w:lineRule="exact"/>
        <w:ind w:firstLine="435"/>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______年______月______日</w:t>
      </w:r>
    </w:p>
    <w:p>
      <w:pPr>
        <w:rPr>
          <w:rFonts w:asciiTheme="minorEastAsia" w:hAnsiTheme="minorEastAsia" w:eastAsiaTheme="minorEastAsia" w:cstheme="minorEastAsia"/>
          <w:szCs w:val="21"/>
        </w:rPr>
      </w:pPr>
    </w:p>
    <w:p>
      <w:pPr>
        <w:ind w:firstLine="435"/>
        <w:rPr>
          <w:rFonts w:ascii="宋体"/>
          <w:bCs/>
          <w:szCs w:val="21"/>
        </w:rPr>
      </w:pPr>
    </w:p>
    <w:p>
      <w:pPr>
        <w:ind w:firstLine="435"/>
        <w:rPr>
          <w:rFonts w:ascii="宋体"/>
          <w:bCs/>
          <w:szCs w:val="21"/>
        </w:rPr>
      </w:pPr>
    </w:p>
    <w:p>
      <w:pPr>
        <w:ind w:firstLine="435"/>
        <w:rPr>
          <w:rFonts w:ascii="宋体"/>
          <w:bCs/>
          <w:szCs w:val="21"/>
        </w:rPr>
      </w:pPr>
    </w:p>
    <w:p>
      <w:pPr>
        <w:ind w:firstLine="435"/>
        <w:rPr>
          <w:rFonts w:ascii="宋体"/>
          <w:bCs/>
          <w:szCs w:val="21"/>
        </w:rPr>
      </w:pPr>
    </w:p>
    <w:p>
      <w:pPr>
        <w:ind w:firstLine="435"/>
        <w:rPr>
          <w:rFonts w:ascii="宋体"/>
          <w:bCs/>
          <w:szCs w:val="21"/>
        </w:rPr>
      </w:pPr>
      <w:r>
        <w:rPr>
          <w:rFonts w:hint="eastAsia" w:ascii="宋体"/>
          <w:bCs/>
          <w:szCs w:val="21"/>
        </w:rPr>
        <w:t>注:附法定代表人身份证复印件</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ind w:firstLine="435"/>
      </w:pPr>
    </w:p>
    <w:p>
      <w:pPr>
        <w:rPr>
          <w:rFonts w:ascii="黑体" w:hAnsi="黑体"/>
          <w:spacing w:val="12"/>
          <w:sz w:val="24"/>
        </w:rPr>
      </w:pPr>
      <w:bookmarkStart w:id="805" w:name="_Toc183492372"/>
      <w:bookmarkStart w:id="806" w:name="_Toc17577"/>
      <w:bookmarkStart w:id="807" w:name="_Toc387647298"/>
      <w:bookmarkStart w:id="808" w:name="_Toc13674"/>
      <w:bookmarkStart w:id="809" w:name="_Toc22215479"/>
      <w:bookmarkStart w:id="810" w:name="_Toc450217580"/>
      <w:r>
        <w:rPr>
          <w:rFonts w:hint="eastAsia" w:ascii="黑体" w:hAnsi="黑体"/>
          <w:spacing w:val="12"/>
          <w:sz w:val="24"/>
        </w:rPr>
        <w:br w:type="page"/>
      </w:r>
    </w:p>
    <w:p>
      <w:pPr>
        <w:pStyle w:val="4"/>
        <w:spacing w:line="360" w:lineRule="auto"/>
        <w:rPr>
          <w:sz w:val="24"/>
          <w:szCs w:val="24"/>
        </w:rPr>
      </w:pPr>
      <w:bookmarkStart w:id="811" w:name="_Toc31931"/>
      <w:bookmarkStart w:id="812" w:name="_Toc3386"/>
      <w:bookmarkStart w:id="813" w:name="_Toc29242"/>
      <w:r>
        <w:rPr>
          <w:rFonts w:hint="eastAsia" w:ascii="黑体" w:hAnsi="黑体"/>
          <w:bCs w:val="0"/>
          <w:spacing w:val="12"/>
          <w:sz w:val="24"/>
        </w:rPr>
        <w:t>四、法定代表人授权委托书</w:t>
      </w:r>
      <w:bookmarkEnd w:id="805"/>
      <w:bookmarkEnd w:id="806"/>
      <w:bookmarkEnd w:id="807"/>
      <w:bookmarkEnd w:id="808"/>
      <w:bookmarkEnd w:id="809"/>
      <w:bookmarkEnd w:id="810"/>
      <w:bookmarkEnd w:id="811"/>
      <w:bookmarkEnd w:id="812"/>
      <w:bookmarkEnd w:id="813"/>
    </w:p>
    <w:p>
      <w:pPr>
        <w:jc w:val="center"/>
        <w:rPr>
          <w:rFonts w:ascii="黑体" w:eastAsia="黑体"/>
          <w:sz w:val="28"/>
          <w:szCs w:val="28"/>
        </w:rPr>
      </w:pPr>
      <w:bookmarkStart w:id="814" w:name="_Toc30728"/>
      <w:bookmarkStart w:id="815" w:name="_Toc4613"/>
      <w:r>
        <w:rPr>
          <w:rFonts w:hint="eastAsia" w:ascii="黑体" w:eastAsia="黑体"/>
          <w:sz w:val="28"/>
          <w:szCs w:val="28"/>
        </w:rPr>
        <w:t>法定代表人授权委托书</w:t>
      </w:r>
      <w:bookmarkEnd w:id="814"/>
      <w:bookmarkEnd w:id="815"/>
    </w:p>
    <w:p>
      <w:pPr>
        <w:pStyle w:val="10"/>
      </w:pP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本人（姓名）系（供应商名称）的法定代表人，现委托______（姓名）为我方代理人。代理人根据授权，以我方名义签署、澄清、说明、补正、递交、撤回、修改</w:t>
      </w:r>
      <w:r>
        <w:rPr>
          <w:rFonts w:hint="eastAsia" w:asciiTheme="minorEastAsia" w:hAnsiTheme="minorEastAsia" w:eastAsiaTheme="minorEastAsia" w:cstheme="minorEastAsia"/>
          <w:szCs w:val="21"/>
          <w:u w:val="single"/>
        </w:rPr>
        <w:t xml:space="preserve">  （项目名称） </w:t>
      </w:r>
      <w:r>
        <w:rPr>
          <w:rFonts w:hint="eastAsia" w:asciiTheme="minorEastAsia" w:hAnsiTheme="minorEastAsia" w:eastAsiaTheme="minorEastAsia" w:cstheme="minorEastAsia"/>
          <w:szCs w:val="21"/>
        </w:rPr>
        <w:t>响应文件、签订合同和处理有关事宜，其法律后果由我方承担。</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委托期限：____________。</w:t>
      </w:r>
    </w:p>
    <w:p>
      <w:pPr>
        <w:spacing w:line="500" w:lineRule="exact"/>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w:t>
      </w:r>
    </w:p>
    <w:p>
      <w:pPr>
        <w:spacing w:line="500" w:lineRule="exact"/>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附：法定代表人身份证明</w:t>
      </w:r>
    </w:p>
    <w:p>
      <w:pPr>
        <w:spacing w:line="50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供应商：___________________（盖单位章）</w:t>
      </w:r>
    </w:p>
    <w:p>
      <w:pPr>
        <w:spacing w:line="50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法定代表人：___________________（签字）</w:t>
      </w:r>
    </w:p>
    <w:p>
      <w:pPr>
        <w:spacing w:line="50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身份证号码：___________________________</w:t>
      </w:r>
    </w:p>
    <w:p>
      <w:pPr>
        <w:spacing w:line="50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委托代理人：_________________  （签字）</w:t>
      </w:r>
    </w:p>
    <w:p>
      <w:pPr>
        <w:spacing w:line="50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身份证号码：___________________________</w:t>
      </w:r>
    </w:p>
    <w:p>
      <w:pPr>
        <w:spacing w:line="500" w:lineRule="exact"/>
        <w:ind w:firstLine="435"/>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_______年_______月______日</w:t>
      </w:r>
    </w:p>
    <w:p>
      <w:pPr>
        <w:spacing w:line="500" w:lineRule="exact"/>
        <w:ind w:firstLine="43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注:附委托代理人身份证复印件</w:t>
      </w:r>
    </w:p>
    <w:p>
      <w:pPr>
        <w:spacing w:line="500" w:lineRule="exact"/>
        <w:ind w:firstLine="435"/>
        <w:rPr>
          <w:rFonts w:ascii="宋体"/>
          <w:bCs/>
          <w:sz w:val="24"/>
          <w:szCs w:val="21"/>
        </w:rPr>
      </w:pPr>
    </w:p>
    <w:p>
      <w:pPr>
        <w:spacing w:line="500" w:lineRule="exact"/>
        <w:ind w:firstLine="435"/>
        <w:rPr>
          <w:rFonts w:ascii="宋体"/>
          <w:bCs/>
          <w:sz w:val="24"/>
          <w:szCs w:val="21"/>
        </w:rPr>
      </w:pPr>
    </w:p>
    <w:p>
      <w:pPr>
        <w:spacing w:line="500" w:lineRule="exact"/>
        <w:ind w:firstLine="435"/>
        <w:rPr>
          <w:rFonts w:ascii="宋体"/>
          <w:bCs/>
          <w:sz w:val="24"/>
          <w:szCs w:val="21"/>
        </w:rPr>
      </w:pPr>
    </w:p>
    <w:p>
      <w:pPr>
        <w:spacing w:line="500" w:lineRule="exact"/>
        <w:rPr>
          <w:rFonts w:ascii="宋体" w:hAnsi="宋体" w:cs="宋体"/>
          <w:szCs w:val="21"/>
          <w:u w:val="wave"/>
          <w:em w:val="dot"/>
        </w:rPr>
      </w:pPr>
      <w:r>
        <w:rPr>
          <w:rFonts w:hint="eastAsia" w:ascii="宋体" w:hAnsi="宋体" w:cs="宋体"/>
          <w:szCs w:val="21"/>
          <w:u w:val="wave"/>
          <w:em w:val="dot"/>
        </w:rPr>
        <w:t>授权委托书（法定代表人出席的提供法定代表人身份证明书）应单独手持一份盖章原件出席开标会并接受核验</w:t>
      </w:r>
    </w:p>
    <w:p>
      <w:pPr>
        <w:ind w:firstLine="435"/>
        <w:rPr>
          <w:rFonts w:ascii="宋体"/>
          <w:bCs/>
          <w:szCs w:val="21"/>
        </w:rPr>
      </w:pPr>
    </w:p>
    <w:p>
      <w:pPr>
        <w:ind w:firstLine="435"/>
        <w:rPr>
          <w:rFonts w:ascii="宋体"/>
          <w:bCs/>
          <w:szCs w:val="21"/>
        </w:rPr>
      </w:pPr>
    </w:p>
    <w:p>
      <w:pPr>
        <w:spacing w:line="400" w:lineRule="exact"/>
        <w:rPr>
          <w:szCs w:val="21"/>
        </w:rPr>
      </w:pPr>
      <w:bookmarkStart w:id="816" w:name="_Toc226969364"/>
      <w:bookmarkStart w:id="817" w:name="_Toc488655912"/>
    </w:p>
    <w:p>
      <w:pPr>
        <w:spacing w:line="400" w:lineRule="exact"/>
        <w:rPr>
          <w:szCs w:val="21"/>
        </w:rPr>
      </w:pPr>
    </w:p>
    <w:p>
      <w:pPr>
        <w:spacing w:line="400" w:lineRule="exact"/>
        <w:rPr>
          <w:rFonts w:ascii="宋体"/>
          <w:b/>
          <w:bCs/>
          <w:szCs w:val="21"/>
        </w:rPr>
      </w:pPr>
    </w:p>
    <w:p>
      <w:pPr>
        <w:spacing w:line="400" w:lineRule="exact"/>
        <w:rPr>
          <w:rFonts w:ascii="仿宋_GB2312" w:hAnsi="Arial" w:eastAsia="仿宋_GB2312"/>
          <w:b/>
          <w:bCs/>
          <w:sz w:val="32"/>
          <w:szCs w:val="32"/>
        </w:rPr>
      </w:pPr>
    </w:p>
    <w:p>
      <w:pPr>
        <w:pStyle w:val="15"/>
      </w:pPr>
    </w:p>
    <w:p>
      <w:pPr>
        <w:pStyle w:val="15"/>
      </w:pPr>
    </w:p>
    <w:p>
      <w:pPr>
        <w:pStyle w:val="15"/>
      </w:pPr>
    </w:p>
    <w:bookmarkEnd w:id="816"/>
    <w:bookmarkEnd w:id="817"/>
    <w:p>
      <w:pPr>
        <w:rPr>
          <w:rFonts w:ascii="宋体"/>
          <w:szCs w:val="21"/>
        </w:rPr>
      </w:pPr>
      <w:bookmarkStart w:id="818" w:name="_Toc488655913"/>
    </w:p>
    <w:p>
      <w:pPr>
        <w:pStyle w:val="15"/>
      </w:pPr>
    </w:p>
    <w:p>
      <w:pPr>
        <w:pStyle w:val="15"/>
      </w:pPr>
    </w:p>
    <w:p>
      <w:pPr>
        <w:pStyle w:val="15"/>
      </w:pPr>
    </w:p>
    <w:p>
      <w:pPr>
        <w:pStyle w:val="15"/>
      </w:pPr>
    </w:p>
    <w:p>
      <w:pPr>
        <w:pStyle w:val="4"/>
        <w:spacing w:before="0" w:after="0" w:line="240" w:lineRule="auto"/>
        <w:rPr>
          <w:rFonts w:ascii="黑体"/>
          <w:bCs w:val="0"/>
          <w:spacing w:val="12"/>
          <w:sz w:val="24"/>
        </w:rPr>
      </w:pPr>
      <w:bookmarkStart w:id="819" w:name="_Toc22215481"/>
      <w:bookmarkStart w:id="820" w:name="_Toc387647305"/>
      <w:bookmarkStart w:id="821" w:name="_Toc31621"/>
      <w:bookmarkStart w:id="822" w:name="_Toc24560"/>
      <w:bookmarkStart w:id="823" w:name="_Toc2223"/>
      <w:bookmarkStart w:id="824" w:name="_Toc450217586"/>
      <w:bookmarkStart w:id="825" w:name="_Toc6104"/>
      <w:bookmarkStart w:id="826" w:name="_Toc30583"/>
      <w:r>
        <w:rPr>
          <w:rFonts w:hint="eastAsia" w:ascii="黑体" w:hAnsi="黑体"/>
          <w:bCs w:val="0"/>
          <w:spacing w:val="12"/>
          <w:sz w:val="24"/>
        </w:rPr>
        <w:t>五、资格审查资料</w:t>
      </w:r>
      <w:bookmarkEnd w:id="819"/>
      <w:bookmarkEnd w:id="820"/>
      <w:bookmarkEnd w:id="821"/>
      <w:bookmarkEnd w:id="822"/>
      <w:bookmarkEnd w:id="823"/>
      <w:bookmarkEnd w:id="824"/>
      <w:bookmarkEnd w:id="825"/>
      <w:bookmarkEnd w:id="826"/>
    </w:p>
    <w:p>
      <w:pPr>
        <w:rPr>
          <w:b/>
          <w:bCs/>
          <w:spacing w:val="12"/>
          <w:sz w:val="24"/>
          <w:szCs w:val="24"/>
        </w:rPr>
      </w:pPr>
      <w:bookmarkStart w:id="827" w:name="_Toc28374"/>
      <w:bookmarkStart w:id="828" w:name="_Toc22215482"/>
      <w:bookmarkStart w:id="829" w:name="_Toc387647306"/>
      <w:bookmarkStart w:id="830" w:name="_Toc450217587"/>
      <w:bookmarkStart w:id="831" w:name="_Toc183492388"/>
      <w:bookmarkStart w:id="832" w:name="_Toc455399852"/>
      <w:bookmarkStart w:id="833" w:name="_Toc6081"/>
      <w:bookmarkStart w:id="834" w:name="_Toc11624"/>
      <w:r>
        <w:rPr>
          <w:rFonts w:hint="eastAsia"/>
          <w:b/>
          <w:sz w:val="24"/>
          <w:szCs w:val="24"/>
        </w:rPr>
        <w:t>（一）供应商基本情况表</w:t>
      </w:r>
      <w:bookmarkEnd w:id="827"/>
      <w:bookmarkEnd w:id="828"/>
      <w:bookmarkEnd w:id="829"/>
      <w:bookmarkEnd w:id="830"/>
      <w:bookmarkEnd w:id="831"/>
      <w:bookmarkEnd w:id="832"/>
      <w:bookmarkEnd w:id="833"/>
      <w:bookmarkEnd w:id="834"/>
    </w:p>
    <w:tbl>
      <w:tblPr>
        <w:tblStyle w:val="21"/>
        <w:tblW w:w="8400" w:type="dxa"/>
        <w:tblInd w:w="0" w:type="dxa"/>
        <w:tblLayout w:type="fixed"/>
        <w:tblCellMar>
          <w:top w:w="15" w:type="dxa"/>
          <w:left w:w="15" w:type="dxa"/>
          <w:bottom w:w="15" w:type="dxa"/>
          <w:right w:w="15" w:type="dxa"/>
        </w:tblCellMar>
      </w:tblPr>
      <w:tblGrid>
        <w:gridCol w:w="2829"/>
        <w:gridCol w:w="2012"/>
        <w:gridCol w:w="983"/>
        <w:gridCol w:w="2576"/>
      </w:tblGrid>
      <w:tr>
        <w:tblPrEx>
          <w:tblCellMar>
            <w:top w:w="15" w:type="dxa"/>
            <w:left w:w="15" w:type="dxa"/>
            <w:bottom w:w="15" w:type="dxa"/>
            <w:right w:w="15" w:type="dxa"/>
          </w:tblCellMar>
        </w:tblPrEx>
        <w:trPr>
          <w:trHeight w:val="90" w:hRule="atLeast"/>
        </w:trPr>
        <w:tc>
          <w:tcPr>
            <w:tcW w:w="8400" w:type="dxa"/>
            <w:gridSpan w:val="4"/>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供应商信息表</w:t>
            </w: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机构名称</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103"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所在地（总部及分支机构）</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注册资本</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法定代表人</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联系人</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联系电话</w:t>
            </w:r>
          </w:p>
        </w:tc>
        <w:tc>
          <w:tcPr>
            <w:tcW w:w="2012" w:type="dxa"/>
            <w:tcBorders>
              <w:top w:val="single" w:color="000000" w:sz="4" w:space="0"/>
              <w:left w:val="single" w:color="000000" w:sz="4" w:space="0"/>
              <w:bottom w:val="single" w:color="000000" w:sz="4" w:space="0"/>
            </w:tcBorders>
            <w:vAlign w:val="center"/>
          </w:tcPr>
          <w:p>
            <w:pPr>
              <w:widowControl/>
              <w:spacing w:line="400" w:lineRule="exact"/>
              <w:jc w:val="center"/>
              <w:rPr>
                <w:rFonts w:ascii="宋体" w:hAnsi="宋体" w:cs="宋体"/>
                <w:color w:val="000000"/>
                <w:szCs w:val="21"/>
              </w:rPr>
            </w:pPr>
          </w:p>
        </w:tc>
        <w:tc>
          <w:tcPr>
            <w:tcW w:w="983" w:type="dxa"/>
            <w:tcBorders>
              <w:top w:val="single" w:color="000000" w:sz="4" w:space="0"/>
              <w:bottom w:val="single" w:color="000000" w:sz="4" w:space="0"/>
            </w:tcBorders>
            <w:vAlign w:val="center"/>
          </w:tcPr>
          <w:p>
            <w:pPr>
              <w:widowControl/>
              <w:spacing w:line="400" w:lineRule="exact"/>
              <w:jc w:val="center"/>
              <w:rPr>
                <w:rFonts w:ascii="宋体" w:hAnsi="宋体" w:cs="宋体"/>
                <w:color w:val="000000"/>
                <w:szCs w:val="21"/>
              </w:rPr>
            </w:pPr>
          </w:p>
        </w:tc>
        <w:tc>
          <w:tcPr>
            <w:tcW w:w="2576" w:type="dxa"/>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传真</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通讯地址</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邮政编码</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机构网站</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电子邮箱</w:t>
            </w:r>
          </w:p>
        </w:tc>
        <w:tc>
          <w:tcPr>
            <w:tcW w:w="55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2829" w:type="dxa"/>
            <w:tcBorders>
              <w:top w:val="single" w:color="000000" w:sz="4" w:space="0"/>
              <w:left w:val="single" w:color="000000" w:sz="4" w:space="0"/>
              <w:right w:val="single" w:color="000000" w:sz="4" w:space="0"/>
            </w:tcBorders>
            <w:vAlign w:val="center"/>
          </w:tcPr>
          <w:p>
            <w:pPr>
              <w:widowControl/>
              <w:spacing w:line="40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经营范围</w:t>
            </w:r>
          </w:p>
        </w:tc>
        <w:tc>
          <w:tcPr>
            <w:tcW w:w="5571" w:type="dxa"/>
            <w:gridSpan w:val="3"/>
            <w:tcBorders>
              <w:top w:val="single" w:color="000000" w:sz="4" w:space="0"/>
              <w:left w:val="single" w:color="000000" w:sz="4" w:space="0"/>
              <w:right w:val="single" w:color="000000" w:sz="4" w:space="0"/>
            </w:tcBorders>
            <w:vAlign w:val="center"/>
          </w:tcPr>
          <w:p>
            <w:pPr>
              <w:widowControl/>
              <w:spacing w:line="400" w:lineRule="exact"/>
              <w:jc w:val="left"/>
              <w:rPr>
                <w:rFonts w:ascii="宋体" w:hAnsi="宋体" w:cs="宋体"/>
                <w:color w:val="000000"/>
                <w:szCs w:val="21"/>
              </w:rPr>
            </w:pPr>
          </w:p>
        </w:tc>
      </w:tr>
      <w:tr>
        <w:tblPrEx>
          <w:tblCellMar>
            <w:top w:w="15" w:type="dxa"/>
            <w:left w:w="15" w:type="dxa"/>
            <w:bottom w:w="15" w:type="dxa"/>
            <w:right w:w="15" w:type="dxa"/>
          </w:tblCellMar>
        </w:tblPrEx>
        <w:trPr>
          <w:trHeight w:val="251" w:hRule="atLeast"/>
        </w:trPr>
        <w:tc>
          <w:tcPr>
            <w:tcW w:w="8400"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top"/>
              <w:rPr>
                <w:rFonts w:ascii="宋体" w:hAnsi="宋体" w:cs="宋体"/>
                <w:color w:val="000000"/>
                <w:kern w:val="0"/>
                <w:szCs w:val="21"/>
              </w:rPr>
            </w:pPr>
            <w:r>
              <w:rPr>
                <w:rFonts w:hint="eastAsia" w:ascii="宋体" w:hAnsi="宋体" w:cs="宋体"/>
                <w:color w:val="000000"/>
                <w:kern w:val="0"/>
                <w:szCs w:val="21"/>
              </w:rPr>
              <w:t>机构简介（300-500字）</w:t>
            </w:r>
          </w:p>
          <w:p>
            <w:pPr>
              <w:widowControl/>
              <w:spacing w:line="400" w:lineRule="exact"/>
              <w:jc w:val="center"/>
              <w:textAlignment w:val="top"/>
              <w:rPr>
                <w:rFonts w:ascii="宋体" w:hAnsi="宋体" w:cs="宋体"/>
                <w:color w:val="000000"/>
                <w:kern w:val="0"/>
                <w:szCs w:val="21"/>
              </w:rPr>
            </w:pPr>
          </w:p>
          <w:p>
            <w:pPr>
              <w:widowControl/>
              <w:spacing w:line="400" w:lineRule="exact"/>
              <w:jc w:val="center"/>
              <w:textAlignment w:val="top"/>
              <w:rPr>
                <w:rFonts w:ascii="宋体" w:hAnsi="宋体" w:cs="宋体"/>
                <w:color w:val="000000"/>
                <w:kern w:val="0"/>
                <w:szCs w:val="21"/>
              </w:rPr>
            </w:pPr>
          </w:p>
          <w:p>
            <w:pPr>
              <w:widowControl/>
              <w:spacing w:line="400" w:lineRule="exact"/>
              <w:jc w:val="center"/>
              <w:textAlignment w:val="top"/>
              <w:rPr>
                <w:rFonts w:ascii="宋体" w:hAnsi="宋体" w:cs="宋体"/>
                <w:color w:val="000000"/>
                <w:kern w:val="0"/>
                <w:szCs w:val="21"/>
              </w:rPr>
            </w:pPr>
          </w:p>
        </w:tc>
      </w:tr>
    </w:tbl>
    <w:p>
      <w:pPr>
        <w:jc w:val="left"/>
        <w:rPr>
          <w:rFonts w:ascii="宋体"/>
          <w:szCs w:val="21"/>
        </w:rPr>
      </w:pPr>
      <w:r>
        <w:rPr>
          <w:rFonts w:hint="eastAsia"/>
          <w:szCs w:val="21"/>
        </w:rPr>
        <w:t>注</w:t>
      </w:r>
      <w:r>
        <w:rPr>
          <w:szCs w:val="21"/>
        </w:rPr>
        <w:t>:</w:t>
      </w:r>
      <w:r>
        <w:rPr>
          <w:rFonts w:hint="eastAsia"/>
          <w:szCs w:val="21"/>
        </w:rPr>
        <w:t>在本表后</w:t>
      </w:r>
      <w:r>
        <w:rPr>
          <w:rFonts w:hint="eastAsia" w:ascii="宋体" w:hAnsi="宋体"/>
          <w:szCs w:val="21"/>
        </w:rPr>
        <w:t>应附供应商营业执照等有关证明材料的复印件，并加盖公章。</w:t>
      </w:r>
    </w:p>
    <w:bookmarkEnd w:id="818"/>
    <w:p>
      <w:pPr>
        <w:jc w:val="center"/>
        <w:rPr>
          <w:rFonts w:ascii="黑体" w:hAnsi="黑体"/>
          <w:b/>
          <w:bCs/>
          <w:spacing w:val="12"/>
          <w:sz w:val="24"/>
        </w:rPr>
      </w:pPr>
      <w:bookmarkStart w:id="835" w:name="_Toc226969367"/>
      <w:bookmarkStart w:id="836" w:name="_Toc387647307"/>
      <w:bookmarkStart w:id="837" w:name="_Toc488655915"/>
      <w:bookmarkStart w:id="838" w:name="_Toc107822566"/>
      <w:bookmarkStart w:id="839" w:name="_Toc450217588"/>
      <w:bookmarkStart w:id="840" w:name="_Toc13194"/>
      <w:bookmarkStart w:id="841" w:name="_Toc455399853"/>
    </w:p>
    <w:p>
      <w:pPr>
        <w:rPr>
          <w:rFonts w:hAnsi="黑体"/>
          <w:b/>
          <w:bCs/>
          <w:spacing w:val="12"/>
          <w:sz w:val="24"/>
        </w:rPr>
      </w:pPr>
      <w:r>
        <w:rPr>
          <w:rFonts w:hint="eastAsia" w:hAnsi="黑体"/>
          <w:b/>
          <w:bCs/>
          <w:spacing w:val="12"/>
          <w:sz w:val="24"/>
        </w:rPr>
        <w:br w:type="page"/>
      </w:r>
    </w:p>
    <w:p>
      <w:pPr>
        <w:numPr>
          <w:ilvl w:val="0"/>
          <w:numId w:val="3"/>
        </w:numPr>
        <w:spacing w:line="400" w:lineRule="exact"/>
        <w:rPr>
          <w:rFonts w:hAnsi="黑体"/>
          <w:b/>
          <w:bCs/>
          <w:spacing w:val="12"/>
          <w:sz w:val="24"/>
        </w:rPr>
      </w:pPr>
      <w:r>
        <w:rPr>
          <w:rFonts w:hint="eastAsia" w:hAnsi="黑体"/>
          <w:b/>
          <w:bCs/>
          <w:spacing w:val="12"/>
          <w:sz w:val="24"/>
        </w:rPr>
        <w:t>供应商资质</w:t>
      </w:r>
    </w:p>
    <w:p>
      <w:pPr>
        <w:spacing w:line="400" w:lineRule="exact"/>
      </w:pPr>
      <w:r>
        <w:rPr>
          <w:rFonts w:hint="eastAsia"/>
        </w:rPr>
        <w:t>1.供应商须具备相关行政主管部门颁发的地质灾害防治丙级及以上资质证书。</w:t>
      </w:r>
    </w:p>
    <w:p>
      <w:pPr>
        <w:spacing w:line="400" w:lineRule="exact"/>
        <w:rPr>
          <w:rFonts w:hAnsi="黑体"/>
          <w:b/>
          <w:bCs/>
          <w:spacing w:val="12"/>
          <w:sz w:val="24"/>
        </w:rPr>
        <w:sectPr>
          <w:footerReference r:id="rId5" w:type="default"/>
          <w:pgSz w:w="11906" w:h="16838"/>
          <w:pgMar w:top="900" w:right="1289" w:bottom="1018" w:left="1377" w:header="851" w:footer="992" w:gutter="0"/>
          <w:pgNumType w:fmt="decimal"/>
          <w:cols w:space="720" w:num="1"/>
          <w:docGrid w:linePitch="312" w:charSpace="0"/>
        </w:sectPr>
      </w:pPr>
      <w:r>
        <w:rPr>
          <w:rFonts w:hint="eastAsia" w:ascii="宋体" w:hAnsi="宋体"/>
          <w:szCs w:val="21"/>
        </w:rPr>
        <w:t>（复印件加盖公章）</w:t>
      </w:r>
    </w:p>
    <w:p>
      <w:pPr>
        <w:numPr>
          <w:ilvl w:val="0"/>
          <w:numId w:val="3"/>
        </w:numPr>
        <w:spacing w:line="400" w:lineRule="exact"/>
        <w:rPr>
          <w:rFonts w:hAnsi="黑体"/>
          <w:b/>
          <w:bCs/>
          <w:spacing w:val="12"/>
          <w:sz w:val="24"/>
        </w:rPr>
      </w:pPr>
      <w:r>
        <w:rPr>
          <w:rFonts w:hint="eastAsia" w:hAnsi="黑体"/>
          <w:b/>
          <w:bCs/>
          <w:spacing w:val="12"/>
          <w:sz w:val="24"/>
        </w:rPr>
        <w:t>安全生产许可证</w:t>
      </w:r>
    </w:p>
    <w:p>
      <w:pPr>
        <w:spacing w:line="400" w:lineRule="exact"/>
        <w:sectPr>
          <w:pgSz w:w="11906" w:h="16838"/>
          <w:pgMar w:top="900" w:right="1289" w:bottom="1018" w:left="1377" w:header="851" w:footer="992" w:gutter="0"/>
          <w:pgNumType w:fmt="decimal"/>
          <w:cols w:space="720" w:num="1"/>
          <w:docGrid w:linePitch="312" w:charSpace="0"/>
        </w:sectPr>
      </w:pPr>
      <w:r>
        <w:rPr>
          <w:rFonts w:hint="eastAsia"/>
        </w:rPr>
        <w:t>1.</w:t>
      </w:r>
      <w:r>
        <w:rPr>
          <w:rFonts w:hint="eastAsia" w:ascii="宋体" w:hAnsi="宋体" w:cs="宋体"/>
          <w:szCs w:val="21"/>
        </w:rPr>
        <w:t>供应商须提供在有效期内的安全生产许可证</w:t>
      </w:r>
      <w:r>
        <w:rPr>
          <w:rFonts w:hint="eastAsia"/>
        </w:rPr>
        <w:t>。（复印件加盖公章）</w:t>
      </w:r>
    </w:p>
    <w:p>
      <w:pPr>
        <w:numPr>
          <w:ilvl w:val="0"/>
          <w:numId w:val="3"/>
        </w:numPr>
        <w:spacing w:line="400" w:lineRule="exact"/>
        <w:rPr>
          <w:rFonts w:hAnsi="黑体"/>
          <w:b/>
          <w:bCs/>
          <w:spacing w:val="12"/>
          <w:sz w:val="24"/>
        </w:rPr>
      </w:pPr>
      <w:r>
        <w:rPr>
          <w:rFonts w:hint="eastAsia" w:hAnsi="黑体"/>
          <w:b/>
          <w:bCs/>
          <w:spacing w:val="12"/>
          <w:sz w:val="24"/>
        </w:rPr>
        <w:t>项目经理</w:t>
      </w:r>
    </w:p>
    <w:p>
      <w:pPr>
        <w:spacing w:line="400" w:lineRule="exact"/>
      </w:pPr>
      <w:r>
        <w:rPr>
          <w:rFonts w:hint="eastAsia"/>
        </w:rPr>
        <w:t>1供应商拟派项目经理须具备注册建造师执业资格，具备有效的安全生产考核合格证书（B证），并出具项目经理无在建工程的违约经济处罚承诺书，须同时提供项目经理的身份证、学历证、注册证、安全生产考核B证、劳动合同及社保行政管理部门的社保证明材料（三个月以上）。（复印件加盖公章）</w:t>
      </w:r>
    </w:p>
    <w:p>
      <w:pPr>
        <w:spacing w:line="400" w:lineRule="exact"/>
        <w:rPr>
          <w:rFonts w:hAnsi="黑体"/>
          <w:b/>
          <w:bCs/>
          <w:spacing w:val="12"/>
          <w:sz w:val="24"/>
        </w:rPr>
        <w:sectPr>
          <w:pgSz w:w="11906" w:h="16838"/>
          <w:pgMar w:top="900" w:right="1289" w:bottom="1018" w:left="1377" w:header="851" w:footer="992" w:gutter="0"/>
          <w:pgNumType w:fmt="decimal"/>
          <w:cols w:space="720" w:num="1"/>
          <w:docGrid w:linePitch="312" w:charSpace="0"/>
        </w:sectPr>
      </w:pPr>
      <w:r>
        <w:rPr>
          <w:rFonts w:hint="eastAsia" w:hAnsi="黑体"/>
          <w:b/>
          <w:bCs/>
          <w:spacing w:val="12"/>
          <w:sz w:val="24"/>
        </w:rPr>
        <w:t>（可在“六、磋商文件中要求提供的其他资料”中一并提供）</w:t>
      </w:r>
    </w:p>
    <w:p>
      <w:pPr>
        <w:numPr>
          <w:ilvl w:val="0"/>
          <w:numId w:val="3"/>
        </w:numPr>
        <w:spacing w:line="400" w:lineRule="exact"/>
        <w:rPr>
          <w:rFonts w:hAnsi="黑体"/>
          <w:b/>
          <w:bCs/>
          <w:spacing w:val="12"/>
          <w:sz w:val="24"/>
        </w:rPr>
      </w:pPr>
      <w:r>
        <w:rPr>
          <w:rFonts w:hint="eastAsia" w:hAnsi="黑体"/>
          <w:b/>
          <w:bCs/>
          <w:spacing w:val="12"/>
          <w:sz w:val="24"/>
        </w:rPr>
        <w:t>项目管理团队</w:t>
      </w:r>
    </w:p>
    <w:p>
      <w:pPr>
        <w:spacing w:line="400" w:lineRule="exact"/>
      </w:pPr>
      <w:r>
        <w:rPr>
          <w:rFonts w:hint="eastAsia"/>
        </w:rPr>
        <w:t>1.供应商项目管理机构还应配备具有岗位证的施工员、质量员、标准员、材料员、机械员、资料员、劳务员、安全员等相应专业管理人员，其中安全员还应具备安全生产考核合格证书（C 证），项目技术负责人必须具有相关专业中级以上工程师职称或相关工程注册建造师执业资格，以上项目管理团队人员必须是本单位的正式在册员工（须提供劳动合同及社保行政管理部门的社保证明材料,社会保险证明应至少体现以下内容：缴纳保险单位名称、人员姓名、社会保障号（或身份证号）、险种、缴费期限等）。（复印件加盖公章）</w:t>
      </w:r>
    </w:p>
    <w:p>
      <w:pPr>
        <w:spacing w:line="400" w:lineRule="exact"/>
        <w:rPr>
          <w:rFonts w:hAnsi="黑体"/>
          <w:b/>
          <w:bCs/>
          <w:spacing w:val="12"/>
          <w:sz w:val="24"/>
        </w:rPr>
        <w:sectPr>
          <w:pgSz w:w="11906" w:h="16838"/>
          <w:pgMar w:top="900" w:right="1289" w:bottom="1018" w:left="1377" w:header="851" w:footer="992" w:gutter="0"/>
          <w:pgNumType w:fmt="decimal"/>
          <w:cols w:space="720" w:num="1"/>
          <w:docGrid w:linePitch="312" w:charSpace="0"/>
        </w:sectPr>
      </w:pPr>
      <w:r>
        <w:rPr>
          <w:rFonts w:hint="eastAsia" w:hAnsi="黑体"/>
          <w:b/>
          <w:bCs/>
          <w:spacing w:val="12"/>
          <w:sz w:val="24"/>
        </w:rPr>
        <w:t>（可在“六、磋商文件中要求提供的其他资料”中一并提供）</w:t>
      </w:r>
    </w:p>
    <w:bookmarkEnd w:id="835"/>
    <w:bookmarkEnd w:id="836"/>
    <w:bookmarkEnd w:id="837"/>
    <w:bookmarkEnd w:id="838"/>
    <w:bookmarkEnd w:id="839"/>
    <w:bookmarkEnd w:id="840"/>
    <w:p>
      <w:pPr>
        <w:numPr>
          <w:ilvl w:val="0"/>
          <w:numId w:val="3"/>
        </w:numPr>
        <w:spacing w:line="400" w:lineRule="exact"/>
        <w:rPr>
          <w:rFonts w:hAnsi="黑体"/>
          <w:b/>
          <w:bCs/>
          <w:spacing w:val="12"/>
          <w:sz w:val="24"/>
        </w:rPr>
      </w:pPr>
      <w:bookmarkStart w:id="842" w:name="_Toc17394"/>
      <w:bookmarkStart w:id="843" w:name="_Toc450217591"/>
      <w:bookmarkStart w:id="844" w:name="_Toc183492389"/>
      <w:bookmarkStart w:id="845" w:name="_Toc527"/>
      <w:bookmarkStart w:id="846" w:name="_Toc387647310"/>
      <w:bookmarkStart w:id="847" w:name="_Toc20593"/>
      <w:bookmarkStart w:id="848" w:name="_Toc22215483"/>
      <w:r>
        <w:rPr>
          <w:rFonts w:hint="eastAsia" w:hAnsi="黑体"/>
          <w:b/>
          <w:bCs/>
          <w:spacing w:val="12"/>
          <w:sz w:val="24"/>
        </w:rPr>
        <w:t>近年财务状况</w:t>
      </w:r>
      <w:bookmarkEnd w:id="841"/>
      <w:bookmarkEnd w:id="842"/>
      <w:bookmarkEnd w:id="843"/>
      <w:bookmarkEnd w:id="844"/>
      <w:bookmarkEnd w:id="845"/>
      <w:bookmarkEnd w:id="846"/>
      <w:bookmarkEnd w:id="847"/>
      <w:bookmarkEnd w:id="848"/>
    </w:p>
    <w:p>
      <w:pPr>
        <w:pStyle w:val="49"/>
        <w:outlineLvl w:val="9"/>
        <w:rPr>
          <w:rFonts w:ascii="宋体" w:hAnsi="宋体" w:eastAsia="宋体"/>
          <w:sz w:val="21"/>
          <w:szCs w:val="21"/>
        </w:rPr>
      </w:pPr>
      <w:bookmarkStart w:id="849" w:name="_Toc387647311"/>
      <w:bookmarkStart w:id="850" w:name="_Toc450217592"/>
      <w:bookmarkStart w:id="851" w:name="_Toc1183"/>
      <w:bookmarkStart w:id="852" w:name="_Toc14544"/>
      <w:bookmarkStart w:id="853" w:name="_Toc455399854"/>
      <w:bookmarkStart w:id="854" w:name="_Toc183492390"/>
      <w:bookmarkStart w:id="855" w:name="_Toc12193"/>
      <w:bookmarkStart w:id="856" w:name="_Toc22215484"/>
      <w:r>
        <w:rPr>
          <w:rFonts w:hint="eastAsia" w:ascii="宋体" w:hAnsi="宋体" w:eastAsia="宋体"/>
          <w:sz w:val="21"/>
          <w:szCs w:val="21"/>
        </w:rPr>
        <w:t>1.供应商须提供近两年（20</w:t>
      </w:r>
      <w:r>
        <w:rPr>
          <w:rFonts w:hint="eastAsia" w:ascii="宋体" w:hAnsi="宋体" w:eastAsia="宋体"/>
          <w:sz w:val="21"/>
          <w:szCs w:val="21"/>
          <w:lang w:val="en-US" w:eastAsia="zh-CN"/>
        </w:rPr>
        <w:t>19</w:t>
      </w:r>
      <w:r>
        <w:rPr>
          <w:rFonts w:hint="eastAsia" w:ascii="宋体" w:hAnsi="宋体" w:eastAsia="宋体"/>
          <w:sz w:val="21"/>
          <w:szCs w:val="21"/>
        </w:rPr>
        <w:t>年、20</w:t>
      </w:r>
      <w:r>
        <w:rPr>
          <w:rFonts w:hint="eastAsia" w:ascii="宋体" w:hAnsi="宋体" w:eastAsia="宋体"/>
          <w:sz w:val="21"/>
          <w:szCs w:val="21"/>
          <w:lang w:val="en-US" w:eastAsia="zh-CN"/>
        </w:rPr>
        <w:t>20</w:t>
      </w:r>
      <w:r>
        <w:rPr>
          <w:rFonts w:hint="eastAsia" w:ascii="宋体" w:hAnsi="宋体" w:eastAsia="宋体"/>
          <w:sz w:val="21"/>
          <w:szCs w:val="21"/>
        </w:rPr>
        <w:t>年）由会计师事务所审计的财务报告（提供财务报告情况：成立年限不足二年度的供应商，提供近一年度的财务报告；成立年限满半年度但不足一年度的供应商，提供该半年度中任一季度的季度财务报告或该半年度的半年度财务报告；成立年限不满半年的供应商须提供银行资信证明。（复印件加盖公章）</w:t>
      </w:r>
    </w:p>
    <w:p>
      <w:pPr>
        <w:rPr>
          <w:b/>
          <w:sz w:val="24"/>
          <w:szCs w:val="24"/>
        </w:rPr>
      </w:pPr>
      <w:r>
        <w:rPr>
          <w:rFonts w:hint="eastAsia"/>
          <w:b/>
          <w:sz w:val="24"/>
          <w:szCs w:val="24"/>
        </w:rPr>
        <w:br w:type="page"/>
      </w:r>
    </w:p>
    <w:p>
      <w:pPr>
        <w:numPr>
          <w:ilvl w:val="0"/>
          <w:numId w:val="3"/>
        </w:numPr>
        <w:spacing w:line="400" w:lineRule="exact"/>
        <w:rPr>
          <w:rFonts w:hAnsi="黑体"/>
          <w:b/>
          <w:bCs/>
          <w:spacing w:val="12"/>
          <w:sz w:val="24"/>
        </w:rPr>
      </w:pPr>
      <w:r>
        <w:rPr>
          <w:rFonts w:hint="eastAsia" w:hAnsi="黑体"/>
          <w:b/>
          <w:bCs/>
          <w:spacing w:val="12"/>
          <w:sz w:val="24"/>
        </w:rPr>
        <w:t>依法缴纳税收的相关材料</w:t>
      </w:r>
    </w:p>
    <w:p>
      <w:pPr>
        <w:pStyle w:val="49"/>
        <w:outlineLvl w:val="9"/>
        <w:rPr>
          <w:rFonts w:ascii="宋体" w:hAnsi="宋体" w:eastAsia="宋体"/>
          <w:sz w:val="21"/>
          <w:szCs w:val="21"/>
        </w:rPr>
      </w:pPr>
      <w:r>
        <w:rPr>
          <w:rFonts w:hint="eastAsia" w:ascii="宋体" w:hAnsi="宋体" w:eastAsia="宋体"/>
          <w:sz w:val="21"/>
          <w:szCs w:val="21"/>
        </w:rPr>
        <w:t>1.应商须提供 2021年1月1日至申请截止前连续三个月的纳税证明资料（完税证明、缴款书、印花税票、银行代扣（代缴）转账凭证等均可）；如依法不纳税，则须提供相应文件证明其依法不纳税。（复印件加盖公章）</w:t>
      </w:r>
    </w:p>
    <w:p>
      <w:pPr>
        <w:rPr>
          <w:b/>
          <w:sz w:val="24"/>
          <w:szCs w:val="24"/>
        </w:rPr>
      </w:pPr>
      <w:r>
        <w:rPr>
          <w:rFonts w:hint="eastAsia"/>
          <w:b/>
          <w:sz w:val="24"/>
          <w:szCs w:val="24"/>
        </w:rPr>
        <w:br w:type="page"/>
      </w:r>
    </w:p>
    <w:p>
      <w:pPr>
        <w:numPr>
          <w:ilvl w:val="0"/>
          <w:numId w:val="3"/>
        </w:numPr>
        <w:spacing w:line="400" w:lineRule="exact"/>
        <w:rPr>
          <w:rFonts w:hAnsi="黑体"/>
          <w:b/>
          <w:bCs/>
          <w:spacing w:val="12"/>
          <w:sz w:val="24"/>
        </w:rPr>
      </w:pPr>
      <w:r>
        <w:rPr>
          <w:rFonts w:hint="eastAsia" w:hAnsi="黑体"/>
          <w:b/>
          <w:bCs/>
          <w:spacing w:val="12"/>
          <w:sz w:val="24"/>
        </w:rPr>
        <w:t>依法缴纳社会保障资金的相关材料</w:t>
      </w:r>
    </w:p>
    <w:p>
      <w:pPr>
        <w:pStyle w:val="49"/>
        <w:outlineLvl w:val="9"/>
        <w:rPr>
          <w:rFonts w:ascii="宋体" w:hAnsi="宋体" w:eastAsia="宋体"/>
          <w:sz w:val="21"/>
          <w:szCs w:val="21"/>
        </w:rPr>
      </w:pPr>
      <w:r>
        <w:rPr>
          <w:rFonts w:hint="eastAsia" w:ascii="宋体" w:hAnsi="宋体" w:eastAsia="宋体"/>
          <w:sz w:val="21"/>
          <w:szCs w:val="21"/>
        </w:rPr>
        <w:t>1.供应商须提供2021年1月1日至申请截止前连续三个月依法缴纳社会保障资金的相关证明资料（带有政府部门印章）；如依法不需要缴纳社会保障资金，则须提供相应文件证明其依法不需要缴纳社会保障资金。（复印件加盖公章）</w:t>
      </w:r>
    </w:p>
    <w:p>
      <w:pPr>
        <w:rPr>
          <w:b/>
          <w:sz w:val="24"/>
          <w:szCs w:val="24"/>
        </w:rPr>
      </w:pPr>
      <w:r>
        <w:rPr>
          <w:rFonts w:hint="eastAsia"/>
          <w:b/>
          <w:sz w:val="24"/>
          <w:szCs w:val="24"/>
        </w:rPr>
        <w:br w:type="page"/>
      </w:r>
    </w:p>
    <w:p>
      <w:pPr>
        <w:numPr>
          <w:ilvl w:val="0"/>
          <w:numId w:val="3"/>
        </w:numPr>
        <w:spacing w:line="400" w:lineRule="exact"/>
        <w:rPr>
          <w:rFonts w:hAnsi="黑体"/>
          <w:b/>
          <w:bCs/>
          <w:spacing w:val="12"/>
          <w:sz w:val="24"/>
        </w:rPr>
      </w:pPr>
      <w:r>
        <w:rPr>
          <w:rFonts w:hint="eastAsia" w:hAnsi="黑体"/>
          <w:b/>
          <w:bCs/>
          <w:spacing w:val="12"/>
          <w:sz w:val="24"/>
        </w:rPr>
        <w:t>企业信用</w:t>
      </w:r>
    </w:p>
    <w:p>
      <w:pPr>
        <w:pStyle w:val="49"/>
        <w:outlineLvl w:val="9"/>
        <w:rPr>
          <w:rFonts w:ascii="宋体" w:hAnsi="宋体" w:eastAsia="宋体"/>
          <w:sz w:val="21"/>
          <w:szCs w:val="21"/>
        </w:rPr>
      </w:pPr>
      <w:r>
        <w:rPr>
          <w:rFonts w:hint="eastAsia" w:ascii="宋体" w:hAnsi="宋体" w:eastAsia="宋体"/>
          <w:sz w:val="21"/>
          <w:szCs w:val="21"/>
        </w:rPr>
        <w:t>1.供应商须提供参加本政府采购项目活动前三年内未被列入信用中国网 (www.creditchina.gov.cn)失信被执行人、重大税收违法案件当事人名单，中国政府采购网(www.ccgp.gov.cn)政府采购严重违法失信行为记录名单，同时需将查询内容截图，并加盖单位公章。（截图加盖公章）</w:t>
      </w:r>
    </w:p>
    <w:p>
      <w:pPr>
        <w:pStyle w:val="49"/>
        <w:outlineLvl w:val="9"/>
        <w:rPr>
          <w:rFonts w:ascii="宋体" w:hAnsi="宋体" w:eastAsia="宋体"/>
          <w:sz w:val="21"/>
          <w:szCs w:val="21"/>
        </w:rPr>
      </w:pPr>
      <w:r>
        <w:rPr>
          <w:rFonts w:hint="eastAsia" w:ascii="宋体" w:hAnsi="宋体" w:eastAsia="宋体"/>
          <w:sz w:val="21"/>
          <w:szCs w:val="21"/>
        </w:rPr>
        <w:t>2.供应商及其法定代表人(负责人)、本项目负责人在“中国裁判文书网” 上（http://wenshu.court.gov.cn/Index）没有行贿记录。（截图加盖公章）</w:t>
      </w:r>
    </w:p>
    <w:p>
      <w:pPr>
        <w:pStyle w:val="49"/>
        <w:numPr>
          <w:ilvl w:val="0"/>
          <w:numId w:val="4"/>
        </w:numPr>
        <w:ind w:left="2514" w:hanging="2514"/>
        <w:outlineLvl w:val="9"/>
        <w:rPr>
          <w:b/>
          <w:szCs w:val="24"/>
        </w:rPr>
      </w:pPr>
      <w:r>
        <w:rPr>
          <w:rFonts w:hint="eastAsia"/>
          <w:b/>
          <w:szCs w:val="24"/>
        </w:rPr>
        <w:br w:type="page"/>
      </w:r>
      <w:bookmarkEnd w:id="849"/>
      <w:bookmarkEnd w:id="850"/>
      <w:bookmarkEnd w:id="851"/>
      <w:bookmarkEnd w:id="852"/>
      <w:bookmarkEnd w:id="853"/>
      <w:bookmarkEnd w:id="854"/>
      <w:bookmarkEnd w:id="855"/>
      <w:bookmarkEnd w:id="856"/>
      <w:bookmarkStart w:id="857" w:name="_Toc29083"/>
      <w:bookmarkStart w:id="858" w:name="_Toc450217595"/>
      <w:bookmarkStart w:id="859" w:name="_Toc12950"/>
      <w:bookmarkStart w:id="860" w:name="_Toc403382884"/>
      <w:bookmarkStart w:id="861" w:name="_Toc403382882"/>
    </w:p>
    <w:p>
      <w:pPr>
        <w:numPr>
          <w:ilvl w:val="0"/>
          <w:numId w:val="3"/>
        </w:numPr>
        <w:spacing w:line="400" w:lineRule="exact"/>
        <w:rPr>
          <w:rFonts w:hAnsi="黑体"/>
          <w:b/>
          <w:bCs/>
          <w:spacing w:val="12"/>
          <w:sz w:val="24"/>
        </w:rPr>
      </w:pPr>
      <w:bookmarkStart w:id="862" w:name="_Toc24396"/>
      <w:bookmarkStart w:id="863" w:name="_Toc17795"/>
      <w:bookmarkStart w:id="864" w:name="_Toc22215491"/>
      <w:r>
        <w:rPr>
          <w:rFonts w:hint="eastAsia" w:hAnsi="黑体"/>
          <w:b/>
          <w:bCs/>
          <w:spacing w:val="12"/>
          <w:sz w:val="24"/>
        </w:rPr>
        <w:t>参加政府采购活动前3年内在经营活动中没有重大违法记录书面声明</w:t>
      </w:r>
      <w:bookmarkEnd w:id="857"/>
      <w:bookmarkEnd w:id="858"/>
      <w:bookmarkEnd w:id="859"/>
      <w:bookmarkEnd w:id="862"/>
      <w:bookmarkEnd w:id="863"/>
      <w:bookmarkEnd w:id="864"/>
    </w:p>
    <w:p>
      <w:pPr>
        <w:jc w:val="center"/>
      </w:pPr>
    </w:p>
    <w:p>
      <w:pPr>
        <w:spacing w:line="400" w:lineRule="exact"/>
        <w:jc w:val="center"/>
        <w:rPr>
          <w:szCs w:val="21"/>
        </w:rPr>
      </w:pPr>
      <w:bookmarkStart w:id="865" w:name="_Toc10183"/>
      <w:bookmarkStart w:id="866" w:name="_Toc2776"/>
      <w:r>
        <w:rPr>
          <w:rFonts w:hint="eastAsia"/>
          <w:szCs w:val="21"/>
        </w:rPr>
        <w:t>无违法记录声明</w:t>
      </w:r>
      <w:bookmarkEnd w:id="865"/>
      <w:bookmarkEnd w:id="866"/>
    </w:p>
    <w:p>
      <w:pPr>
        <w:spacing w:line="400" w:lineRule="exact"/>
        <w:rPr>
          <w:rFonts w:ascii="宋体"/>
          <w:szCs w:val="21"/>
        </w:rPr>
      </w:pPr>
      <w:r>
        <w:rPr>
          <w:rFonts w:hint="eastAsia" w:ascii="宋体" w:hAnsi="宋体"/>
          <w:szCs w:val="21"/>
        </w:rPr>
        <w:t>采购人和采购代理机构：</w:t>
      </w:r>
    </w:p>
    <w:p>
      <w:pPr>
        <w:spacing w:line="400" w:lineRule="exact"/>
        <w:rPr>
          <w:rFonts w:ascii="宋体"/>
          <w:szCs w:val="21"/>
        </w:rPr>
      </w:pPr>
      <w:r>
        <w:rPr>
          <w:rFonts w:hint="eastAsia" w:ascii="宋体" w:hAnsi="宋体"/>
          <w:szCs w:val="21"/>
        </w:rPr>
        <w:t>我方在此声明，我方在参加本次政府采购活动前三年内，在经营活动中没有以下违法</w:t>
      </w:r>
      <w:r>
        <w:rPr>
          <w:rFonts w:hint="eastAsia" w:ascii="宋体" w:hAnsi="宋体"/>
          <w:szCs w:val="21"/>
          <w:lang w:eastAsia="zh-CN"/>
        </w:rPr>
        <w:t>违规</w:t>
      </w:r>
      <w:r>
        <w:rPr>
          <w:rFonts w:hint="eastAsia" w:ascii="宋体" w:hAnsi="宋体"/>
          <w:szCs w:val="21"/>
        </w:rPr>
        <w:t>记录：</w:t>
      </w:r>
    </w:p>
    <w:p>
      <w:pPr>
        <w:spacing w:line="400" w:lineRule="exact"/>
        <w:rPr>
          <w:rFonts w:ascii="宋体"/>
          <w:szCs w:val="21"/>
        </w:rPr>
      </w:pPr>
      <w:r>
        <w:rPr>
          <w:rFonts w:hint="eastAsia" w:ascii="宋体" w:hAnsi="宋体"/>
          <w:szCs w:val="21"/>
        </w:rPr>
        <w:t>我方因违法</w:t>
      </w:r>
      <w:r>
        <w:rPr>
          <w:rFonts w:hint="eastAsia" w:ascii="宋体" w:hAnsi="宋体"/>
          <w:szCs w:val="21"/>
          <w:lang w:eastAsia="zh-CN"/>
        </w:rPr>
        <w:t>违规</w:t>
      </w:r>
      <w:r>
        <w:rPr>
          <w:rFonts w:hint="eastAsia" w:ascii="宋体" w:hAnsi="宋体"/>
          <w:szCs w:val="21"/>
        </w:rPr>
        <w:t>经营被追究过刑事责任；</w:t>
      </w:r>
    </w:p>
    <w:p>
      <w:pPr>
        <w:spacing w:line="400" w:lineRule="exact"/>
        <w:rPr>
          <w:rFonts w:ascii="宋体"/>
          <w:szCs w:val="21"/>
        </w:rPr>
      </w:pPr>
      <w:r>
        <w:rPr>
          <w:rFonts w:hint="eastAsia" w:ascii="宋体" w:hAnsi="宋体"/>
          <w:szCs w:val="21"/>
        </w:rPr>
        <w:t>我方因违法</w:t>
      </w:r>
      <w:r>
        <w:rPr>
          <w:rFonts w:hint="eastAsia" w:ascii="宋体" w:hAnsi="宋体"/>
          <w:szCs w:val="21"/>
          <w:lang w:eastAsia="zh-CN"/>
        </w:rPr>
        <w:t>违规</w:t>
      </w:r>
      <w:r>
        <w:rPr>
          <w:rFonts w:hint="eastAsia" w:ascii="宋体" w:hAnsi="宋体"/>
          <w:szCs w:val="21"/>
        </w:rPr>
        <w:t>经营被责令停产停业、吊销许可证或者执照；</w:t>
      </w:r>
    </w:p>
    <w:p>
      <w:pPr>
        <w:spacing w:line="400" w:lineRule="exact"/>
        <w:rPr>
          <w:rFonts w:ascii="宋体"/>
          <w:szCs w:val="21"/>
        </w:rPr>
      </w:pPr>
      <w:r>
        <w:rPr>
          <w:rFonts w:hint="eastAsia" w:ascii="宋体" w:hAnsi="宋体"/>
          <w:szCs w:val="21"/>
        </w:rPr>
        <w:t>我方因违法</w:t>
      </w:r>
      <w:r>
        <w:rPr>
          <w:rFonts w:hint="eastAsia" w:ascii="宋体" w:hAnsi="宋体"/>
          <w:szCs w:val="21"/>
          <w:lang w:eastAsia="zh-CN"/>
        </w:rPr>
        <w:t>违规</w:t>
      </w:r>
      <w:r>
        <w:rPr>
          <w:rFonts w:hint="eastAsia" w:ascii="宋体" w:hAnsi="宋体"/>
          <w:szCs w:val="21"/>
        </w:rPr>
        <w:t>经营</w:t>
      </w:r>
      <w:r>
        <w:rPr>
          <w:rFonts w:hint="eastAsia" w:ascii="宋体" w:hAnsi="宋体"/>
          <w:szCs w:val="21"/>
          <w:lang w:eastAsia="zh-CN"/>
        </w:rPr>
        <w:t>及施工</w:t>
      </w:r>
      <w:r>
        <w:rPr>
          <w:rFonts w:hint="eastAsia" w:ascii="宋体" w:hAnsi="宋体"/>
          <w:szCs w:val="21"/>
        </w:rPr>
        <w:t>被处以较大数额罚款等行政处罚。</w:t>
      </w:r>
    </w:p>
    <w:p>
      <w:pPr>
        <w:spacing w:line="400" w:lineRule="exact"/>
        <w:rPr>
          <w:rFonts w:ascii="宋体"/>
          <w:szCs w:val="21"/>
        </w:rPr>
      </w:pPr>
      <w:r>
        <w:rPr>
          <w:rFonts w:hint="eastAsia" w:ascii="宋体" w:hAnsi="宋体"/>
          <w:szCs w:val="21"/>
        </w:rPr>
        <w:t>随本声明附上我方参加本次政府采购活动前</w:t>
      </w:r>
      <w:r>
        <w:rPr>
          <w:rFonts w:ascii="宋体" w:hAnsi="宋体"/>
          <w:szCs w:val="21"/>
        </w:rPr>
        <w:t>3</w:t>
      </w:r>
      <w:r>
        <w:rPr>
          <w:rFonts w:hint="eastAsia" w:ascii="宋体" w:hAnsi="宋体"/>
          <w:szCs w:val="21"/>
        </w:rPr>
        <w:t>年内发生的诉讼及仲裁情况表以及相关的法律证明文件供贵方核。我方保证上述信息的完整、客观、真实、准确，并愿意承担我方因提供虚假材料谋骗取成交、成交所引起的一切法律后果。</w:t>
      </w:r>
    </w:p>
    <w:p>
      <w:pPr>
        <w:spacing w:line="400" w:lineRule="exact"/>
        <w:ind w:firstLine="420" w:firstLineChars="200"/>
        <w:rPr>
          <w:rFonts w:ascii="宋体"/>
          <w:szCs w:val="21"/>
        </w:rPr>
      </w:pPr>
      <w:r>
        <w:rPr>
          <w:rFonts w:hint="eastAsia" w:ascii="宋体" w:hAnsi="宋体"/>
          <w:szCs w:val="21"/>
        </w:rPr>
        <w:t>特此声明！</w:t>
      </w:r>
    </w:p>
    <w:p>
      <w:pPr>
        <w:spacing w:line="400" w:lineRule="exact"/>
        <w:jc w:val="right"/>
        <w:rPr>
          <w:rFonts w:ascii="宋体"/>
          <w:szCs w:val="21"/>
        </w:rPr>
      </w:pPr>
      <w:r>
        <w:rPr>
          <w:rFonts w:hint="eastAsia" w:ascii="宋体" w:hAnsi="宋体"/>
          <w:szCs w:val="21"/>
        </w:rPr>
        <w:t>供应商：（盖单位章）</w:t>
      </w:r>
    </w:p>
    <w:p>
      <w:pPr>
        <w:spacing w:line="400" w:lineRule="exact"/>
        <w:jc w:val="right"/>
        <w:rPr>
          <w:rFonts w:ascii="宋体"/>
          <w:szCs w:val="21"/>
        </w:rPr>
      </w:pPr>
      <w:r>
        <w:rPr>
          <w:rFonts w:hint="eastAsia" w:ascii="宋体" w:hAnsi="宋体"/>
          <w:szCs w:val="21"/>
        </w:rPr>
        <w:t>法定代表人或其委托代理人：（签字）</w:t>
      </w:r>
    </w:p>
    <w:p>
      <w:pPr>
        <w:spacing w:line="400" w:lineRule="exact"/>
        <w:jc w:val="right"/>
        <w:rPr>
          <w:rFonts w:ascii="宋体"/>
          <w:szCs w:val="21"/>
        </w:rPr>
      </w:pPr>
      <w:r>
        <w:rPr>
          <w:rFonts w:hint="eastAsia" w:ascii="宋体" w:hAnsi="宋体"/>
          <w:szCs w:val="21"/>
        </w:rPr>
        <w:t>年月日</w:t>
      </w: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jc w:val="right"/>
        <w:rPr>
          <w:rFonts w:ascii="宋体"/>
          <w:szCs w:val="21"/>
        </w:rPr>
      </w:pPr>
    </w:p>
    <w:p>
      <w:pPr>
        <w:pStyle w:val="11"/>
        <w:spacing w:line="240" w:lineRule="auto"/>
        <w:jc w:val="center"/>
        <w:rPr>
          <w:rFonts w:ascii="黑体" w:hAnsi="宋体" w:eastAsia="黑体"/>
        </w:rPr>
      </w:pPr>
    </w:p>
    <w:bookmarkEnd w:id="860"/>
    <w:bookmarkEnd w:id="861"/>
    <w:p>
      <w:pPr>
        <w:rPr>
          <w:rFonts w:ascii="宋体" w:hAnsi="宋体" w:cs="宋体"/>
          <w:b/>
          <w:bCs/>
          <w:szCs w:val="28"/>
        </w:rPr>
      </w:pPr>
      <w:bookmarkStart w:id="867" w:name="_Toc22215492"/>
      <w:bookmarkStart w:id="868" w:name="_Toc7419"/>
      <w:bookmarkStart w:id="869" w:name="_Toc450217599"/>
      <w:bookmarkStart w:id="870" w:name="_Toc31491"/>
      <w:bookmarkStart w:id="871" w:name="_Toc27065"/>
      <w:bookmarkStart w:id="872" w:name="_Toc1331"/>
      <w:r>
        <w:rPr>
          <w:rFonts w:hint="eastAsia" w:ascii="宋体" w:hAnsi="宋体" w:cs="宋体"/>
          <w:b/>
          <w:bCs/>
          <w:szCs w:val="28"/>
        </w:rPr>
        <w:br w:type="page"/>
      </w:r>
    </w:p>
    <w:p>
      <w:pPr>
        <w:numPr>
          <w:ilvl w:val="0"/>
          <w:numId w:val="3"/>
        </w:numPr>
        <w:spacing w:line="400" w:lineRule="exact"/>
        <w:rPr>
          <w:rFonts w:hAnsi="黑体"/>
          <w:b/>
          <w:bCs/>
          <w:spacing w:val="12"/>
          <w:sz w:val="24"/>
        </w:rPr>
      </w:pPr>
      <w:bookmarkStart w:id="873" w:name="_Toc9618"/>
      <w:bookmarkStart w:id="874" w:name="_Toc14957"/>
      <w:r>
        <w:rPr>
          <w:rFonts w:hint="eastAsia" w:hAnsi="黑体"/>
          <w:b/>
          <w:bCs/>
          <w:spacing w:val="12"/>
          <w:sz w:val="24"/>
        </w:rPr>
        <w:t>中小企业声明函</w:t>
      </w:r>
      <w:bookmarkEnd w:id="867"/>
      <w:bookmarkEnd w:id="873"/>
      <w:bookmarkEnd w:id="874"/>
      <w:r>
        <w:rPr>
          <w:rFonts w:hint="eastAsia" w:hAnsi="黑体"/>
          <w:b/>
          <w:bCs/>
          <w:spacing w:val="12"/>
          <w:sz w:val="24"/>
        </w:rPr>
        <w:t>（若有）</w:t>
      </w:r>
    </w:p>
    <w:p>
      <w:pPr>
        <w:rPr>
          <w:rFonts w:ascii="宋体" w:hAnsi="宋体" w:cs="宋体"/>
          <w:sz w:val="24"/>
          <w:szCs w:val="24"/>
        </w:rPr>
      </w:pPr>
      <w:r>
        <w:rPr>
          <w:rFonts w:hint="eastAsia" w:ascii="宋体" w:hAnsi="宋体" w:cs="宋体"/>
          <w:sz w:val="24"/>
          <w:szCs w:val="24"/>
        </w:rPr>
        <w:t>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本公司郑重声明，根据《政府采购促进中小企业发展暂行办法》（财库〔2011〕181号）的规定，本公司为______（请填写：中型、小型、微型）企业。即，本公司同时满足以下条件：</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2. 本公司参加____单位的____项目（项目编号：）采购活动提供本企业制造的（工程，货物，服务），由本企业承担（工程，货物，服务）、提供服务，或者提供其他______（请填写：中型、小型、微型）企业制造的（工程，货物，服务）。本条所称（工程，货物，服务）不包括使用大型企业注册商标的（工程，货物，服务）。</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本公司对上述声明的真实性负责。如有虚假，将依法承担相应责任。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w:t>
      </w:r>
    </w:p>
    <w:p>
      <w:pPr>
        <w:spacing w:line="400" w:lineRule="exact"/>
        <w:rPr>
          <w:rFonts w:asciiTheme="minorEastAsia" w:hAnsiTheme="minorEastAsia" w:eastAsiaTheme="minorEastAsia" w:cstheme="minorEastAsia"/>
          <w:szCs w:val="21"/>
        </w:rPr>
      </w:pPr>
    </w:p>
    <w:p>
      <w:pPr>
        <w:spacing w:line="400" w:lineRule="exact"/>
        <w:ind w:right="420" w:firstLine="3675" w:firstLineChars="17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pPr>
        <w:spacing w:line="400" w:lineRule="exact"/>
        <w:ind w:right="420"/>
        <w:jc w:val="right"/>
        <w:rPr>
          <w:rFonts w:asciiTheme="minorEastAsia" w:hAnsiTheme="minorEastAsia" w:eastAsiaTheme="minorEastAsia" w:cstheme="minorEastAsia"/>
          <w:szCs w:val="21"/>
        </w:rPr>
      </w:pPr>
      <w:bookmarkStart w:id="875" w:name="_Toc21805"/>
      <w:bookmarkStart w:id="876" w:name="_Toc7907"/>
      <w:r>
        <w:rPr>
          <w:rFonts w:hint="eastAsia" w:asciiTheme="minorEastAsia" w:hAnsiTheme="minorEastAsia" w:eastAsiaTheme="minorEastAsia" w:cstheme="minorEastAsia"/>
          <w:szCs w:val="21"/>
        </w:rPr>
        <w:t>法定代表人或其委托代理人（签字）：</w:t>
      </w:r>
      <w:bookmarkEnd w:id="875"/>
      <w:bookmarkEnd w:id="876"/>
    </w:p>
    <w:p>
      <w:pPr>
        <w:spacing w:line="400" w:lineRule="exact"/>
        <w:jc w:val="right"/>
        <w:rPr>
          <w:rFonts w:asciiTheme="minorEastAsia" w:hAnsiTheme="minorEastAsia" w:eastAsiaTheme="minorEastAsia" w:cstheme="minorEastAsia"/>
          <w:szCs w:val="21"/>
        </w:rPr>
      </w:pPr>
    </w:p>
    <w:p>
      <w:pPr>
        <w:spacing w:line="400" w:lineRule="exact"/>
        <w:jc w:val="right"/>
        <w:rPr>
          <w:rFonts w:asciiTheme="minorEastAsia" w:hAnsiTheme="minorEastAsia" w:eastAsiaTheme="minorEastAsia" w:cstheme="minorEastAsia"/>
          <w:szCs w:val="21"/>
        </w:rPr>
        <w:sectPr>
          <w:pgSz w:w="11906" w:h="16838"/>
          <w:pgMar w:top="900" w:right="1289" w:bottom="1018" w:left="1377" w:header="851" w:footer="992" w:gutter="0"/>
          <w:pgNumType w:fmt="decimal"/>
          <w:cols w:space="720" w:num="1"/>
          <w:docGrid w:linePitch="312" w:charSpace="0"/>
        </w:sectPr>
      </w:pPr>
      <w:r>
        <w:rPr>
          <w:rFonts w:hint="eastAsia" w:asciiTheme="minorEastAsia" w:hAnsiTheme="minorEastAsia" w:eastAsiaTheme="minorEastAsia" w:cstheme="minorEastAsia"/>
          <w:szCs w:val="21"/>
        </w:rPr>
        <w:t>　　                               日期 ：   年   月   日</w:t>
      </w:r>
    </w:p>
    <w:p>
      <w:pPr>
        <w:pStyle w:val="4"/>
        <w:rPr>
          <w:rFonts w:ascii="黑体" w:hAnsi="黑体"/>
          <w:sz w:val="28"/>
        </w:rPr>
      </w:pPr>
      <w:bookmarkStart w:id="877" w:name="_Toc16528"/>
      <w:bookmarkStart w:id="878" w:name="_Toc22215485"/>
      <w:bookmarkStart w:id="879" w:name="_Toc387647304"/>
      <w:bookmarkStart w:id="880" w:name="_Toc450217585"/>
      <w:bookmarkStart w:id="881" w:name="_Toc27366"/>
      <w:bookmarkStart w:id="882" w:name="_Toc16279"/>
      <w:bookmarkStart w:id="883" w:name="_Toc16060"/>
      <w:bookmarkStart w:id="884" w:name="_Toc22215480"/>
      <w:bookmarkStart w:id="885" w:name="_Toc18142"/>
      <w:bookmarkStart w:id="886" w:name="_Toc7127"/>
      <w:bookmarkStart w:id="887" w:name="_Toc6555"/>
      <w:bookmarkStart w:id="888" w:name="_Toc22215496"/>
      <w:r>
        <w:rPr>
          <w:rFonts w:hint="eastAsia" w:ascii="黑体" w:hAnsi="黑体"/>
          <w:sz w:val="28"/>
        </w:rPr>
        <w:t>六、磋商文件中要求提供的其他资料</w:t>
      </w:r>
      <w:bookmarkEnd w:id="877"/>
    </w:p>
    <w:p>
      <w:pPr>
        <w:spacing w:line="400" w:lineRule="exact"/>
        <w:ind w:left="420"/>
        <w:rPr>
          <w:rFonts w:ascii="Times New Roman" w:hAnsi="Times New Roman"/>
          <w:szCs w:val="21"/>
        </w:rPr>
      </w:pPr>
      <w:r>
        <w:rPr>
          <w:rFonts w:hint="eastAsia" w:ascii="Times New Roman" w:hAnsi="Times New Roman"/>
          <w:szCs w:val="21"/>
        </w:rPr>
        <w:t>6.1供应商提供采石厂矿山生态修复治理施工方面的类似业绩：</w:t>
      </w:r>
    </w:p>
    <w:p>
      <w:pPr>
        <w:spacing w:line="400" w:lineRule="exact"/>
        <w:ind w:left="420"/>
        <w:rPr>
          <w:rFonts w:ascii="Times New Roman" w:hAnsi="Times New Roman"/>
          <w:szCs w:val="21"/>
        </w:rPr>
      </w:pPr>
      <w:r>
        <w:rPr>
          <w:rFonts w:hint="eastAsia" w:ascii="Times New Roman" w:hAnsi="Times New Roman"/>
          <w:szCs w:val="21"/>
        </w:rPr>
        <w:t>业绩一：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5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68" w:type="dxa"/>
            <w:vAlign w:val="center"/>
          </w:tcPr>
          <w:p>
            <w:r>
              <w:rPr>
                <w:rFonts w:hint="eastAsia"/>
              </w:rPr>
              <w:t>项目名称</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68" w:type="dxa"/>
            <w:vAlign w:val="center"/>
          </w:tcPr>
          <w:p>
            <w:r>
              <w:rPr>
                <w:rFonts w:hint="eastAsia"/>
              </w:rPr>
              <w:t>业主单位</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68" w:type="dxa"/>
            <w:vAlign w:val="center"/>
          </w:tcPr>
          <w:p>
            <w:r>
              <w:rPr>
                <w:rFonts w:hint="eastAsia"/>
              </w:rPr>
              <w:t>业主联系人及电话</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68" w:type="dxa"/>
            <w:vAlign w:val="center"/>
          </w:tcPr>
          <w:p>
            <w:r>
              <w:rPr>
                <w:rFonts w:hint="eastAsia"/>
              </w:rPr>
              <w:t>项目概况</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68" w:type="dxa"/>
            <w:vAlign w:val="center"/>
          </w:tcPr>
          <w:p>
            <w:r>
              <w:rPr>
                <w:rFonts w:hint="eastAsia"/>
              </w:rPr>
              <w:t>施工内容</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68" w:type="dxa"/>
            <w:vAlign w:val="center"/>
          </w:tcPr>
          <w:p>
            <w:r>
              <w:rPr>
                <w:rFonts w:hint="eastAsia"/>
              </w:rPr>
              <w:t>合同金额</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68" w:type="dxa"/>
            <w:vAlign w:val="center"/>
          </w:tcPr>
          <w:p>
            <w:r>
              <w:rPr>
                <w:rFonts w:hint="eastAsia"/>
              </w:rPr>
              <w:t>工期起止时间</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668" w:type="dxa"/>
            <w:vAlign w:val="center"/>
          </w:tcPr>
          <w:p>
            <w:r>
              <w:rPr>
                <w:rFonts w:hint="eastAsia"/>
              </w:rPr>
              <w:t>主要参与人员情况</w:t>
            </w:r>
          </w:p>
        </w:tc>
        <w:tc>
          <w:tcPr>
            <w:tcW w:w="5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8" w:type="dxa"/>
          </w:tcPr>
          <w:p>
            <w:r>
              <w:rPr>
                <w:rFonts w:hint="eastAsia"/>
              </w:rPr>
              <w:t>…</w:t>
            </w:r>
          </w:p>
        </w:tc>
        <w:tc>
          <w:tcPr>
            <w:tcW w:w="5311" w:type="dxa"/>
          </w:tcPr>
          <w:p/>
        </w:tc>
      </w:tr>
    </w:tbl>
    <w:p>
      <w:pPr>
        <w:spacing w:line="360" w:lineRule="auto"/>
        <w:ind w:firstLine="216" w:firstLineChars="100"/>
        <w:jc w:val="left"/>
        <w:rPr>
          <w:rFonts w:ascii="宋体" w:hAnsi="宋体" w:cs="宋体"/>
          <w:szCs w:val="21"/>
        </w:rPr>
      </w:pPr>
      <w:r>
        <w:rPr>
          <w:rFonts w:hint="eastAsia" w:ascii="宋体" w:hAnsi="宋体" w:cs="宋体"/>
          <w:szCs w:val="21"/>
        </w:rPr>
        <w:t>供应商：            （单位全称） (盖章)</w:t>
      </w:r>
    </w:p>
    <w:p>
      <w:pPr>
        <w:spacing w:line="360" w:lineRule="auto"/>
        <w:ind w:firstLine="216" w:firstLineChars="100"/>
        <w:jc w:val="left"/>
        <w:rPr>
          <w:rFonts w:ascii="宋体" w:hAnsi="宋体" w:cs="宋体"/>
          <w:szCs w:val="21"/>
        </w:rPr>
      </w:pPr>
      <w:r>
        <w:rPr>
          <w:rFonts w:hint="eastAsia" w:ascii="宋体" w:hAnsi="宋体" w:cs="宋体"/>
          <w:szCs w:val="21"/>
        </w:rPr>
        <w:t>法定代表人或授权代表：  (签字)</w:t>
      </w:r>
    </w:p>
    <w:p>
      <w:pPr>
        <w:spacing w:line="360" w:lineRule="auto"/>
        <w:ind w:firstLine="216" w:firstLineChars="100"/>
        <w:jc w:val="left"/>
        <w:rPr>
          <w:rFonts w:ascii="宋体" w:hAnsi="宋体" w:cs="宋体"/>
          <w:szCs w:val="21"/>
        </w:rPr>
      </w:pPr>
      <w:r>
        <w:rPr>
          <w:rFonts w:hint="eastAsia" w:ascii="宋体" w:hAnsi="宋体" w:cs="宋体"/>
          <w:szCs w:val="21"/>
        </w:rPr>
        <w:t>日      期：            年     月     日</w:t>
      </w:r>
    </w:p>
    <w:p>
      <w:pPr>
        <w:spacing w:line="400" w:lineRule="exact"/>
        <w:ind w:left="420"/>
        <w:rPr>
          <w:rFonts w:ascii="Times New Roman" w:hAnsi="Times New Roman"/>
          <w:szCs w:val="21"/>
        </w:rPr>
      </w:pPr>
      <w:r>
        <w:rPr>
          <w:rFonts w:hint="eastAsia" w:ascii="Times New Roman" w:hAnsi="Times New Roman"/>
          <w:szCs w:val="21"/>
        </w:rPr>
        <w:t>注：1、供应商随此表附上相关的业绩证明（须提供合同复印件关键页，至少包括首页、合同金额和签字盖章页），供应商以复印件加盖公章形式提供，并对真实性负责。</w:t>
      </w:r>
    </w:p>
    <w:p>
      <w:pPr>
        <w:spacing w:line="400" w:lineRule="exact"/>
        <w:ind w:left="420"/>
        <w:rPr>
          <w:rFonts w:ascii="Times New Roman" w:hAnsi="Times New Roman"/>
          <w:szCs w:val="21"/>
        </w:rPr>
      </w:pPr>
      <w:r>
        <w:rPr>
          <w:rFonts w:hint="eastAsia" w:ascii="Times New Roman" w:hAnsi="Times New Roman"/>
          <w:szCs w:val="21"/>
        </w:rPr>
        <w:t xml:space="preserve">   2、如有多个类似项目，可按此表格扩展，注明业绩二、三、…。</w:t>
      </w:r>
    </w:p>
    <w:p>
      <w:pPr>
        <w:rPr>
          <w:rFonts w:ascii="宋体" w:hAnsi="宋体" w:cs="宋体"/>
          <w:sz w:val="24"/>
          <w:szCs w:val="24"/>
        </w:rPr>
      </w:pPr>
      <w:r>
        <w:rPr>
          <w:rFonts w:hint="eastAsia" w:ascii="宋体" w:hAnsi="宋体" w:cs="宋体"/>
          <w:sz w:val="24"/>
          <w:szCs w:val="24"/>
        </w:rPr>
        <w:br w:type="page"/>
      </w:r>
    </w:p>
    <w:p>
      <w:pPr>
        <w:spacing w:line="400" w:lineRule="exact"/>
        <w:ind w:left="420"/>
        <w:rPr>
          <w:rFonts w:ascii="Times New Roman" w:hAnsi="Times New Roman"/>
          <w:szCs w:val="21"/>
        </w:rPr>
      </w:pPr>
      <w:r>
        <w:rPr>
          <w:rFonts w:hint="eastAsia" w:ascii="Times New Roman" w:hAnsi="Times New Roman"/>
          <w:szCs w:val="21"/>
        </w:rPr>
        <w:t>6.2拟投入本项目的项目负责人简历表</w:t>
      </w:r>
    </w:p>
    <w:p>
      <w:pPr>
        <w:spacing w:line="360" w:lineRule="auto"/>
        <w:jc w:val="center"/>
        <w:rPr>
          <w:rFonts w:ascii="宋体" w:hAnsi="宋体" w:cs="宋体"/>
          <w:szCs w:val="21"/>
        </w:rPr>
      </w:pPr>
      <w:r>
        <w:rPr>
          <w:rFonts w:hint="eastAsia" w:ascii="宋体" w:hAnsi="宋体" w:cs="宋体"/>
          <w:szCs w:val="21"/>
        </w:rPr>
        <w:t>项目负责人简历表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1067"/>
        <w:gridCol w:w="613"/>
        <w:gridCol w:w="330"/>
        <w:gridCol w:w="945"/>
        <w:gridCol w:w="930"/>
        <w:gridCol w:w="105"/>
        <w:gridCol w:w="20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adjustRightInd w:val="0"/>
              <w:snapToGrid w:val="0"/>
              <w:rPr>
                <w:rFonts w:ascii="宋体" w:hAnsi="宋体" w:cs="宋体"/>
                <w:szCs w:val="21"/>
              </w:rPr>
            </w:pPr>
            <w:r>
              <w:rPr>
                <w:rFonts w:hint="eastAsia" w:ascii="宋体" w:hAnsi="宋体" w:cs="宋体"/>
                <w:szCs w:val="21"/>
              </w:rPr>
              <w:t>姓  名</w:t>
            </w:r>
          </w:p>
        </w:tc>
        <w:tc>
          <w:tcPr>
            <w:tcW w:w="1682" w:type="dxa"/>
            <w:gridSpan w:val="2"/>
            <w:vAlign w:val="center"/>
          </w:tcPr>
          <w:p>
            <w:pPr>
              <w:adjustRightInd w:val="0"/>
              <w:snapToGrid w:val="0"/>
              <w:rPr>
                <w:rFonts w:ascii="宋体" w:hAnsi="宋体" w:cs="宋体"/>
                <w:szCs w:val="21"/>
              </w:rPr>
            </w:pPr>
          </w:p>
        </w:tc>
        <w:tc>
          <w:tcPr>
            <w:tcW w:w="943" w:type="dxa"/>
            <w:gridSpan w:val="2"/>
            <w:vAlign w:val="center"/>
          </w:tcPr>
          <w:p>
            <w:pPr>
              <w:adjustRightInd w:val="0"/>
              <w:snapToGrid w:val="0"/>
              <w:rPr>
                <w:rFonts w:ascii="宋体" w:hAnsi="宋体" w:cs="宋体"/>
                <w:szCs w:val="21"/>
              </w:rPr>
            </w:pPr>
            <w:r>
              <w:rPr>
                <w:rFonts w:hint="eastAsia" w:ascii="宋体" w:hAnsi="宋体" w:cs="宋体"/>
                <w:szCs w:val="21"/>
              </w:rPr>
              <w:t>性 别</w:t>
            </w:r>
          </w:p>
        </w:tc>
        <w:tc>
          <w:tcPr>
            <w:tcW w:w="945" w:type="dxa"/>
            <w:vAlign w:val="center"/>
          </w:tcPr>
          <w:p>
            <w:pPr>
              <w:adjustRightInd w:val="0"/>
              <w:snapToGrid w:val="0"/>
              <w:rPr>
                <w:rFonts w:ascii="宋体" w:hAnsi="宋体" w:cs="宋体"/>
                <w:szCs w:val="21"/>
              </w:rPr>
            </w:pPr>
          </w:p>
        </w:tc>
        <w:tc>
          <w:tcPr>
            <w:tcW w:w="1241" w:type="dxa"/>
            <w:gridSpan w:val="3"/>
            <w:vAlign w:val="center"/>
          </w:tcPr>
          <w:p>
            <w:pPr>
              <w:adjustRightInd w:val="0"/>
              <w:snapToGrid w:val="0"/>
              <w:rPr>
                <w:rFonts w:ascii="宋体" w:hAnsi="宋体" w:cs="宋体"/>
                <w:szCs w:val="21"/>
              </w:rPr>
            </w:pPr>
            <w:r>
              <w:rPr>
                <w:rFonts w:hint="eastAsia" w:ascii="宋体" w:hAnsi="宋体" w:cs="宋体"/>
                <w:szCs w:val="21"/>
              </w:rPr>
              <w:t>出生 日  期</w:t>
            </w:r>
          </w:p>
        </w:tc>
        <w:tc>
          <w:tcPr>
            <w:tcW w:w="2314" w:type="dxa"/>
            <w:vAlign w:val="center"/>
          </w:tcPr>
          <w:p>
            <w:pPr>
              <w:adjustRightInd w:val="0"/>
              <w:snapToGrid w:val="0"/>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80" w:type="dxa"/>
            <w:vAlign w:val="center"/>
          </w:tcPr>
          <w:p>
            <w:pPr>
              <w:adjustRightInd w:val="0"/>
              <w:snapToGrid w:val="0"/>
              <w:rPr>
                <w:rFonts w:ascii="宋体" w:hAnsi="宋体" w:cs="宋体"/>
                <w:szCs w:val="21"/>
              </w:rPr>
            </w:pPr>
            <w:r>
              <w:rPr>
                <w:rFonts w:hint="eastAsia" w:ascii="宋体" w:hAnsi="宋体" w:cs="宋体"/>
                <w:szCs w:val="21"/>
              </w:rPr>
              <w:t>毕业院校及专业</w:t>
            </w:r>
          </w:p>
        </w:tc>
        <w:tc>
          <w:tcPr>
            <w:tcW w:w="3570" w:type="dxa"/>
            <w:gridSpan w:val="5"/>
            <w:vAlign w:val="center"/>
          </w:tcPr>
          <w:p>
            <w:pPr>
              <w:adjustRightInd w:val="0"/>
              <w:snapToGrid w:val="0"/>
              <w:rPr>
                <w:rFonts w:ascii="宋体" w:hAnsi="宋体" w:cs="宋体"/>
                <w:szCs w:val="21"/>
              </w:rPr>
            </w:pPr>
          </w:p>
        </w:tc>
        <w:tc>
          <w:tcPr>
            <w:tcW w:w="1241" w:type="dxa"/>
            <w:gridSpan w:val="3"/>
            <w:vAlign w:val="center"/>
          </w:tcPr>
          <w:p>
            <w:pPr>
              <w:adjustRightInd w:val="0"/>
              <w:snapToGrid w:val="0"/>
              <w:rPr>
                <w:rFonts w:ascii="宋体" w:hAnsi="宋体" w:cs="宋体"/>
                <w:szCs w:val="21"/>
              </w:rPr>
            </w:pPr>
            <w:r>
              <w:rPr>
                <w:rFonts w:hint="eastAsia" w:ascii="宋体" w:hAnsi="宋体" w:cs="宋体"/>
                <w:szCs w:val="21"/>
              </w:rPr>
              <w:t>毕业 时  间</w:t>
            </w:r>
          </w:p>
        </w:tc>
        <w:tc>
          <w:tcPr>
            <w:tcW w:w="2314" w:type="dxa"/>
            <w:vAlign w:val="center"/>
          </w:tcPr>
          <w:p>
            <w:pPr>
              <w:adjustRightInd w:val="0"/>
              <w:snapToGrid w:val="0"/>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95" w:type="dxa"/>
            <w:gridSpan w:val="2"/>
            <w:vAlign w:val="center"/>
          </w:tcPr>
          <w:p>
            <w:pPr>
              <w:adjustRightInd w:val="0"/>
              <w:snapToGrid w:val="0"/>
              <w:rPr>
                <w:rFonts w:ascii="宋体" w:hAnsi="宋体" w:cs="宋体"/>
                <w:szCs w:val="21"/>
              </w:rPr>
            </w:pPr>
            <w:r>
              <w:rPr>
                <w:rFonts w:hint="eastAsia" w:ascii="宋体" w:hAnsi="宋体" w:cs="宋体"/>
                <w:szCs w:val="21"/>
              </w:rPr>
              <w:t>从事本专业时间</w:t>
            </w:r>
          </w:p>
        </w:tc>
        <w:tc>
          <w:tcPr>
            <w:tcW w:w="1680" w:type="dxa"/>
            <w:gridSpan w:val="2"/>
            <w:vAlign w:val="center"/>
          </w:tcPr>
          <w:p>
            <w:pPr>
              <w:adjustRightInd w:val="0"/>
              <w:snapToGrid w:val="0"/>
              <w:rPr>
                <w:rFonts w:ascii="宋体" w:hAnsi="宋体" w:cs="宋体"/>
                <w:szCs w:val="21"/>
              </w:rPr>
            </w:pPr>
          </w:p>
        </w:tc>
        <w:tc>
          <w:tcPr>
            <w:tcW w:w="2205" w:type="dxa"/>
            <w:gridSpan w:val="3"/>
            <w:vAlign w:val="center"/>
          </w:tcPr>
          <w:p>
            <w:pPr>
              <w:adjustRightInd w:val="0"/>
              <w:snapToGrid w:val="0"/>
              <w:rPr>
                <w:rFonts w:ascii="宋体" w:hAnsi="宋体" w:cs="宋体"/>
                <w:szCs w:val="21"/>
              </w:rPr>
            </w:pPr>
            <w:r>
              <w:rPr>
                <w:rFonts w:hint="eastAsia" w:ascii="宋体" w:hAnsi="宋体" w:cs="宋体"/>
                <w:szCs w:val="21"/>
              </w:rPr>
              <w:t>为供应商服务时间</w:t>
            </w:r>
          </w:p>
        </w:tc>
        <w:tc>
          <w:tcPr>
            <w:tcW w:w="2625" w:type="dxa"/>
            <w:gridSpan w:val="3"/>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95" w:type="dxa"/>
            <w:gridSpan w:val="2"/>
            <w:vAlign w:val="center"/>
          </w:tcPr>
          <w:p>
            <w:pPr>
              <w:adjustRightInd w:val="0"/>
              <w:snapToGrid w:val="0"/>
              <w:rPr>
                <w:rFonts w:ascii="宋体" w:hAnsi="宋体" w:cs="宋体"/>
                <w:szCs w:val="21"/>
              </w:rPr>
            </w:pPr>
            <w:r>
              <w:rPr>
                <w:rFonts w:hint="eastAsia" w:ascii="宋体" w:hAnsi="宋体" w:cs="宋体"/>
                <w:szCs w:val="21"/>
              </w:rPr>
              <w:t>执 业 注 册</w:t>
            </w:r>
          </w:p>
        </w:tc>
        <w:tc>
          <w:tcPr>
            <w:tcW w:w="1680" w:type="dxa"/>
            <w:gridSpan w:val="2"/>
            <w:vAlign w:val="center"/>
          </w:tcPr>
          <w:p>
            <w:pPr>
              <w:adjustRightInd w:val="0"/>
              <w:snapToGrid w:val="0"/>
              <w:rPr>
                <w:rFonts w:ascii="宋体" w:hAnsi="宋体" w:cs="宋体"/>
                <w:szCs w:val="21"/>
              </w:rPr>
            </w:pPr>
          </w:p>
        </w:tc>
        <w:tc>
          <w:tcPr>
            <w:tcW w:w="2205" w:type="dxa"/>
            <w:gridSpan w:val="3"/>
            <w:vAlign w:val="center"/>
          </w:tcPr>
          <w:p>
            <w:pPr>
              <w:adjustRightInd w:val="0"/>
              <w:snapToGrid w:val="0"/>
              <w:rPr>
                <w:rFonts w:ascii="宋体" w:hAnsi="宋体" w:cs="宋体"/>
                <w:szCs w:val="21"/>
              </w:rPr>
            </w:pPr>
            <w:r>
              <w:rPr>
                <w:rFonts w:hint="eastAsia" w:ascii="宋体" w:hAnsi="宋体" w:cs="宋体"/>
                <w:szCs w:val="21"/>
              </w:rPr>
              <w:t>职       称</w:t>
            </w:r>
          </w:p>
        </w:tc>
        <w:tc>
          <w:tcPr>
            <w:tcW w:w="2625" w:type="dxa"/>
            <w:gridSpan w:val="3"/>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5" w:type="dxa"/>
            <w:gridSpan w:val="10"/>
            <w:vAlign w:val="center"/>
          </w:tcPr>
          <w:p>
            <w:pPr>
              <w:adjustRightInd w:val="0"/>
              <w:snapToGrid w:val="0"/>
              <w:rPr>
                <w:rFonts w:ascii="宋体" w:hAnsi="宋体" w:cs="宋体"/>
                <w:szCs w:val="21"/>
              </w:rPr>
            </w:pPr>
            <w:r>
              <w:rPr>
                <w:rFonts w:hint="eastAsia" w:ascii="宋体" w:hAnsi="宋体" w:cs="宋体"/>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5" w:type="dxa"/>
            <w:gridSpan w:val="2"/>
            <w:vAlign w:val="center"/>
          </w:tcPr>
          <w:p>
            <w:pPr>
              <w:adjustRightInd w:val="0"/>
              <w:snapToGrid w:val="0"/>
              <w:rPr>
                <w:rFonts w:ascii="宋体" w:hAnsi="宋体" w:cs="宋体"/>
                <w:szCs w:val="21"/>
              </w:rPr>
            </w:pPr>
            <w:r>
              <w:rPr>
                <w:rFonts w:hint="eastAsia" w:ascii="宋体" w:hAnsi="宋体" w:cs="宋体"/>
                <w:szCs w:val="21"/>
              </w:rPr>
              <w:t>时   间</w:t>
            </w:r>
          </w:p>
        </w:tc>
        <w:tc>
          <w:tcPr>
            <w:tcW w:w="3990" w:type="dxa"/>
            <w:gridSpan w:val="6"/>
            <w:vAlign w:val="center"/>
          </w:tcPr>
          <w:p>
            <w:pPr>
              <w:adjustRightInd w:val="0"/>
              <w:snapToGrid w:val="0"/>
              <w:rPr>
                <w:rFonts w:ascii="宋体" w:hAnsi="宋体" w:cs="宋体"/>
                <w:szCs w:val="21"/>
              </w:rPr>
            </w:pPr>
            <w:r>
              <w:rPr>
                <w:rFonts w:hint="eastAsia" w:ascii="宋体" w:hAnsi="宋体" w:cs="宋体"/>
                <w:szCs w:val="21"/>
              </w:rPr>
              <w:t xml:space="preserve"> 参加过的类似项目名称及规模</w:t>
            </w:r>
          </w:p>
        </w:tc>
        <w:tc>
          <w:tcPr>
            <w:tcW w:w="2520" w:type="dxa"/>
            <w:gridSpan w:val="2"/>
            <w:vAlign w:val="center"/>
          </w:tcPr>
          <w:p>
            <w:pPr>
              <w:adjustRightInd w:val="0"/>
              <w:snapToGrid w:val="0"/>
              <w:rPr>
                <w:rFonts w:ascii="宋体" w:hAnsi="宋体" w:cs="宋体"/>
                <w:szCs w:val="21"/>
              </w:rPr>
            </w:pPr>
            <w:r>
              <w:rPr>
                <w:rFonts w:hint="eastAsia" w:ascii="宋体" w:hAnsi="宋体" w:cs="宋体"/>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1995" w:type="dxa"/>
            <w:gridSpan w:val="2"/>
          </w:tcPr>
          <w:p>
            <w:pPr>
              <w:adjustRightInd w:val="0"/>
              <w:snapToGrid w:val="0"/>
              <w:rPr>
                <w:rFonts w:ascii="宋体" w:hAnsi="宋体" w:cs="宋体"/>
                <w:szCs w:val="21"/>
              </w:rPr>
            </w:pPr>
          </w:p>
        </w:tc>
        <w:tc>
          <w:tcPr>
            <w:tcW w:w="3990" w:type="dxa"/>
            <w:gridSpan w:val="6"/>
          </w:tcPr>
          <w:p>
            <w:pPr>
              <w:adjustRightInd w:val="0"/>
              <w:snapToGrid w:val="0"/>
              <w:rPr>
                <w:rFonts w:ascii="宋体" w:hAnsi="宋体" w:cs="宋体"/>
                <w:szCs w:val="21"/>
              </w:rPr>
            </w:pPr>
          </w:p>
        </w:tc>
        <w:tc>
          <w:tcPr>
            <w:tcW w:w="2520" w:type="dxa"/>
            <w:gridSpan w:val="2"/>
          </w:tcPr>
          <w:p>
            <w:pPr>
              <w:adjustRightInd w:val="0"/>
              <w:snapToGrid w:val="0"/>
              <w:rPr>
                <w:rFonts w:ascii="宋体" w:hAnsi="宋体" w:cs="宋体"/>
                <w:szCs w:val="21"/>
              </w:rPr>
            </w:pPr>
          </w:p>
        </w:tc>
      </w:tr>
    </w:tbl>
    <w:p>
      <w:pPr>
        <w:jc w:val="left"/>
        <w:rPr>
          <w:rFonts w:ascii="宋体" w:hAnsi="宋体" w:cs="宋体"/>
          <w:szCs w:val="21"/>
        </w:rPr>
      </w:pPr>
      <w:r>
        <w:rPr>
          <w:rFonts w:hint="eastAsia" w:ascii="宋体" w:hAnsi="宋体" w:cs="宋体"/>
          <w:szCs w:val="21"/>
        </w:rPr>
        <w:t xml:space="preserve">供应商：            （单位全称） (盖章)                </w:t>
      </w:r>
    </w:p>
    <w:p>
      <w:pPr>
        <w:jc w:val="left"/>
        <w:rPr>
          <w:rFonts w:ascii="宋体" w:hAnsi="宋体" w:cs="宋体"/>
          <w:szCs w:val="21"/>
        </w:rPr>
      </w:pPr>
      <w:r>
        <w:rPr>
          <w:rFonts w:hint="eastAsia" w:ascii="宋体" w:hAnsi="宋体" w:cs="宋体"/>
          <w:szCs w:val="21"/>
        </w:rPr>
        <w:t xml:space="preserve">法定代表人或授权代表：               (签字)                   </w:t>
      </w:r>
    </w:p>
    <w:p>
      <w:pPr>
        <w:pStyle w:val="2"/>
        <w:spacing w:line="240" w:lineRule="auto"/>
        <w:ind w:firstLine="432"/>
        <w:jc w:val="left"/>
        <w:rPr>
          <w:sz w:val="21"/>
          <w:szCs w:val="21"/>
        </w:rPr>
      </w:pPr>
      <w:r>
        <w:rPr>
          <w:rFonts w:hint="eastAsia" w:ascii="宋体" w:hAnsi="宋体"/>
          <w:sz w:val="21"/>
          <w:szCs w:val="21"/>
        </w:rPr>
        <w:t>日      期：                  年          月         日</w:t>
      </w:r>
    </w:p>
    <w:bookmarkEnd w:id="878"/>
    <w:p>
      <w:pPr>
        <w:rPr>
          <w:rFonts w:ascii="宋体" w:hAnsi="宋体" w:cs="宋体"/>
          <w:szCs w:val="21"/>
        </w:rPr>
      </w:pPr>
      <w:r>
        <w:rPr>
          <w:rFonts w:hint="eastAsia" w:ascii="黑体" w:hAnsi="黑体"/>
          <w:sz w:val="28"/>
        </w:rPr>
        <w:br w:type="page"/>
      </w:r>
      <w:r>
        <w:rPr>
          <w:rFonts w:hint="eastAsia" w:asciiTheme="minorEastAsia" w:hAnsiTheme="minorEastAsia" w:eastAsiaTheme="minorEastAsia" w:cstheme="minorEastAsia"/>
          <w:szCs w:val="21"/>
        </w:rPr>
        <w:t>6.3拟投入本项目团队人员汇总表</w:t>
      </w:r>
    </w:p>
    <w:tbl>
      <w:tblPr>
        <w:tblStyle w:val="21"/>
        <w:tblpPr w:leftFromText="180" w:rightFromText="180" w:vertAnchor="text" w:horzAnchor="page" w:tblpX="1788" w:tblpY="643"/>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562"/>
        <w:gridCol w:w="780"/>
        <w:gridCol w:w="885"/>
        <w:gridCol w:w="1065"/>
        <w:gridCol w:w="885"/>
        <w:gridCol w:w="955"/>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56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780"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88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06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 历</w:t>
            </w:r>
          </w:p>
        </w:tc>
        <w:tc>
          <w:tcPr>
            <w:tcW w:w="88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95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208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74" w:type="dxa"/>
            <w:vAlign w:val="center"/>
          </w:tcPr>
          <w:p>
            <w:pPr>
              <w:adjustRightInd w:val="0"/>
              <w:snapToGrid w:val="0"/>
              <w:jc w:val="center"/>
              <w:rPr>
                <w:rFonts w:asciiTheme="minorEastAsia" w:hAnsiTheme="minorEastAsia" w:eastAsiaTheme="minorEastAsia" w:cstheme="minorEastAsia"/>
                <w:szCs w:val="21"/>
              </w:rPr>
            </w:pPr>
          </w:p>
        </w:tc>
        <w:tc>
          <w:tcPr>
            <w:tcW w:w="1562" w:type="dxa"/>
            <w:vAlign w:val="center"/>
          </w:tcPr>
          <w:p>
            <w:pPr>
              <w:adjustRightInd w:val="0"/>
              <w:snapToGrid w:val="0"/>
              <w:jc w:val="center"/>
              <w:rPr>
                <w:rFonts w:asciiTheme="minorEastAsia" w:hAnsiTheme="minorEastAsia" w:eastAsiaTheme="minorEastAsia" w:cstheme="minorEastAsia"/>
                <w:szCs w:val="21"/>
              </w:rPr>
            </w:pPr>
          </w:p>
        </w:tc>
        <w:tc>
          <w:tcPr>
            <w:tcW w:w="780"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1065" w:type="dxa"/>
            <w:vAlign w:val="center"/>
          </w:tcPr>
          <w:p>
            <w:pPr>
              <w:adjustRightInd w:val="0"/>
              <w:snapToGrid w:val="0"/>
              <w:jc w:val="center"/>
              <w:rPr>
                <w:rFonts w:asciiTheme="minorEastAsia" w:hAnsiTheme="minorEastAsia" w:eastAsiaTheme="minorEastAsia" w:cstheme="minorEastAsia"/>
                <w:szCs w:val="21"/>
              </w:rPr>
            </w:pPr>
          </w:p>
        </w:tc>
        <w:tc>
          <w:tcPr>
            <w:tcW w:w="885" w:type="dxa"/>
            <w:vAlign w:val="center"/>
          </w:tcPr>
          <w:p>
            <w:pPr>
              <w:adjustRightInd w:val="0"/>
              <w:snapToGrid w:val="0"/>
              <w:jc w:val="center"/>
              <w:rPr>
                <w:rFonts w:asciiTheme="minorEastAsia" w:hAnsiTheme="minorEastAsia" w:eastAsiaTheme="minorEastAsia" w:cstheme="minorEastAsia"/>
                <w:szCs w:val="21"/>
              </w:rPr>
            </w:pPr>
          </w:p>
        </w:tc>
        <w:tc>
          <w:tcPr>
            <w:tcW w:w="955" w:type="dxa"/>
            <w:vAlign w:val="center"/>
          </w:tcPr>
          <w:p>
            <w:pPr>
              <w:adjustRightInd w:val="0"/>
              <w:snapToGrid w:val="0"/>
              <w:jc w:val="center"/>
              <w:rPr>
                <w:rFonts w:asciiTheme="minorEastAsia" w:hAnsiTheme="minorEastAsia" w:eastAsiaTheme="minorEastAsia" w:cstheme="minorEastAsia"/>
                <w:szCs w:val="21"/>
              </w:rPr>
            </w:pPr>
          </w:p>
        </w:tc>
        <w:tc>
          <w:tcPr>
            <w:tcW w:w="2082" w:type="dxa"/>
            <w:vAlign w:val="center"/>
          </w:tcPr>
          <w:p>
            <w:pPr>
              <w:adjustRightInd w:val="0"/>
              <w:snapToGrid w:val="0"/>
              <w:jc w:val="center"/>
              <w:rPr>
                <w:rFonts w:asciiTheme="minorEastAsia" w:hAnsiTheme="minorEastAsia" w:eastAsiaTheme="minorEastAsia" w:cstheme="minorEastAsia"/>
                <w:szCs w:val="21"/>
              </w:rPr>
            </w:pPr>
          </w:p>
        </w:tc>
      </w:tr>
    </w:tbl>
    <w:p>
      <w:pPr>
        <w:rPr>
          <w:rFonts w:ascii="宋体" w:hAnsi="宋体" w:cs="宋体"/>
          <w:szCs w:val="21"/>
        </w:rPr>
      </w:pPr>
      <w:r>
        <w:rPr>
          <w:rFonts w:hint="eastAsia" w:ascii="宋体" w:hAnsi="宋体" w:cs="宋体"/>
          <w:szCs w:val="21"/>
        </w:rPr>
        <w:t xml:space="preserve"> 项目名称：</w:t>
      </w:r>
    </w:p>
    <w:p>
      <w:pPr>
        <w:spacing w:line="360" w:lineRule="auto"/>
        <w:rPr>
          <w:rFonts w:ascii="宋体" w:hAnsi="宋体" w:cs="宋体"/>
          <w:szCs w:val="21"/>
        </w:rPr>
      </w:pPr>
      <w:r>
        <w:rPr>
          <w:rFonts w:hint="eastAsia" w:ascii="宋体" w:hAnsi="宋体" w:cs="宋体"/>
          <w:szCs w:val="21"/>
        </w:rPr>
        <w:t xml:space="preserve">供应商：       （单位全称） (盖章)                      </w:t>
      </w:r>
    </w:p>
    <w:p>
      <w:pPr>
        <w:spacing w:line="360" w:lineRule="auto"/>
        <w:rPr>
          <w:rFonts w:ascii="宋体" w:hAnsi="宋体" w:cs="宋体"/>
          <w:sz w:val="24"/>
          <w:szCs w:val="24"/>
        </w:rPr>
      </w:pPr>
      <w:r>
        <w:rPr>
          <w:rFonts w:hint="eastAsia" w:ascii="宋体" w:hAnsi="宋体" w:cs="宋体"/>
          <w:szCs w:val="21"/>
        </w:rPr>
        <w:t>法定代表人或授权代表(签字)：</w:t>
      </w:r>
    </w:p>
    <w:p>
      <w:pPr>
        <w:pStyle w:val="2"/>
        <w:ind w:firstLine="492"/>
        <w:rPr>
          <w:lang w:val="en-US"/>
        </w:rPr>
      </w:pPr>
    </w:p>
    <w:p>
      <w:pPr>
        <w:rPr>
          <w:rFonts w:ascii="黑体" w:hAnsi="黑体"/>
          <w:sz w:val="28"/>
        </w:rPr>
      </w:pPr>
      <w:r>
        <w:rPr>
          <w:rFonts w:hint="eastAsia" w:ascii="黑体" w:hAnsi="黑体"/>
          <w:sz w:val="28"/>
        </w:rPr>
        <w:br w:type="page"/>
      </w:r>
    </w:p>
    <w:p>
      <w:pPr>
        <w:pStyle w:val="4"/>
        <w:rPr>
          <w:rFonts w:ascii="黑体" w:hAnsi="黑体"/>
          <w:sz w:val="28"/>
        </w:rPr>
      </w:pPr>
      <w:bookmarkStart w:id="889" w:name="_Toc24023"/>
      <w:r>
        <w:rPr>
          <w:rFonts w:hint="eastAsia" w:ascii="黑体" w:hAnsi="黑体"/>
          <w:sz w:val="28"/>
        </w:rPr>
        <w:t>七、</w:t>
      </w:r>
      <w:bookmarkEnd w:id="879"/>
      <w:bookmarkEnd w:id="880"/>
      <w:bookmarkEnd w:id="881"/>
      <w:r>
        <w:rPr>
          <w:rFonts w:hint="eastAsia" w:ascii="黑体" w:hAnsi="黑体"/>
          <w:sz w:val="28"/>
        </w:rPr>
        <w:t>技术方案</w:t>
      </w:r>
      <w:bookmarkEnd w:id="882"/>
      <w:bookmarkEnd w:id="883"/>
      <w:bookmarkEnd w:id="884"/>
      <w:bookmarkEnd w:id="885"/>
      <w:bookmarkEnd w:id="889"/>
    </w:p>
    <w:p>
      <w:pPr>
        <w:rPr>
          <w:rFonts w:ascii="黑体" w:hAnsi="黑体"/>
          <w:szCs w:val="21"/>
        </w:rPr>
      </w:pPr>
      <w:r>
        <w:rPr>
          <w:rFonts w:hint="eastAsia" w:ascii="黑体" w:hAnsi="黑体"/>
          <w:szCs w:val="21"/>
        </w:rPr>
        <w:t>（格式自拟，应满足第三章评审办法技术部分详细评审）</w:t>
      </w:r>
    </w:p>
    <w:p>
      <w:pPr>
        <w:pStyle w:val="4"/>
        <w:rPr>
          <w:rFonts w:ascii="黑体" w:hAnsi="黑体"/>
          <w:sz w:val="28"/>
        </w:rPr>
      </w:pPr>
      <w:r>
        <w:rPr>
          <w:rFonts w:hint="eastAsia" w:ascii="黑体" w:hAnsi="黑体"/>
          <w:sz w:val="28"/>
        </w:rPr>
        <w:br w:type="page"/>
      </w:r>
    </w:p>
    <w:p>
      <w:pPr>
        <w:pStyle w:val="4"/>
        <w:rPr>
          <w:rFonts w:ascii="黑体" w:hAnsi="黑体"/>
          <w:sz w:val="28"/>
        </w:rPr>
      </w:pPr>
      <w:bookmarkStart w:id="890" w:name="_Toc11330"/>
      <w:r>
        <w:rPr>
          <w:rFonts w:hint="eastAsia" w:ascii="黑体" w:hAnsi="黑体"/>
          <w:sz w:val="28"/>
        </w:rPr>
        <w:t>八、报价工程量清单</w:t>
      </w:r>
      <w:bookmarkEnd w:id="890"/>
    </w:p>
    <w:p>
      <w:pPr>
        <w:spacing w:line="400" w:lineRule="exact"/>
      </w:pPr>
      <w:r>
        <w:rPr>
          <w:rFonts w:hint="eastAsia"/>
        </w:rPr>
        <w:t xml:space="preserve">(一)报价工程量清单以采购代理机构发出的工程量清单为依据进行编制。 </w:t>
      </w:r>
    </w:p>
    <w:p>
      <w:pPr>
        <w:spacing w:line="400" w:lineRule="exact"/>
      </w:pPr>
      <w:r>
        <w:rPr>
          <w:rFonts w:hint="eastAsia"/>
        </w:rPr>
        <w:t xml:space="preserve">(二)响应文件报价说明 </w:t>
      </w:r>
    </w:p>
    <w:p>
      <w:pPr>
        <w:spacing w:line="400" w:lineRule="exact"/>
      </w:pPr>
      <w:r>
        <w:rPr>
          <w:rFonts w:hint="eastAsia"/>
        </w:rPr>
        <w:t xml:space="preserve">1、本报价依据本项目供应商须知和有关条款进行编制。 </w:t>
      </w:r>
    </w:p>
    <w:p>
      <w:pPr>
        <w:spacing w:line="400" w:lineRule="exact"/>
      </w:pPr>
      <w:r>
        <w:rPr>
          <w:rFonts w:hint="eastAsia"/>
        </w:rPr>
        <w:t>2、工程量清单报价表中所填入的综合单价和合价均包括人工费、材料费、 机械费、管理费、利润、税金以及一定程度的风险金等全部费用。</w:t>
      </w:r>
    </w:p>
    <w:p>
      <w:pPr>
        <w:spacing w:line="400" w:lineRule="exact"/>
      </w:pPr>
      <w:r>
        <w:rPr>
          <w:rFonts w:hint="eastAsia"/>
        </w:rPr>
        <w:t xml:space="preserve">3、措施项目报价表中所填入的措施项目报价，包括为完成本工程项目施工必须采取的措施所发生的费用。 </w:t>
      </w:r>
    </w:p>
    <w:p>
      <w:pPr>
        <w:spacing w:line="400" w:lineRule="exact"/>
      </w:pPr>
      <w:r>
        <w:rPr>
          <w:rFonts w:hint="eastAsia"/>
        </w:rPr>
        <w:t xml:space="preserve">4、其他项目报价表中所填入的其他项目报价，包括工程量清单报价表和措施项目报价表以外的，为完成本工程项目施工必须发生的其他费用。 </w:t>
      </w:r>
    </w:p>
    <w:p>
      <w:pPr>
        <w:spacing w:line="400" w:lineRule="exact"/>
      </w:pPr>
      <w:r>
        <w:rPr>
          <w:rFonts w:hint="eastAsia"/>
        </w:rPr>
        <w:t xml:space="preserve">5、本工程量清单报价表中均应填写单价和合价，对没有填写单价和合价的项目费用，视为已包括在工程量清单的其他单价或合价之中。 </w:t>
      </w:r>
    </w:p>
    <w:p>
      <w:pPr>
        <w:spacing w:line="400" w:lineRule="exact"/>
      </w:pPr>
      <w:r>
        <w:rPr>
          <w:rFonts w:hint="eastAsia"/>
        </w:rPr>
        <w:t xml:space="preserve">6、本报价的币种为人民币。 </w:t>
      </w:r>
    </w:p>
    <w:p>
      <w:pPr>
        <w:spacing w:line="400" w:lineRule="exact"/>
      </w:pPr>
      <w:r>
        <w:rPr>
          <w:rFonts w:hint="eastAsia"/>
        </w:rPr>
        <w:t>7、供应商应将投标报价需要说明的事项，用文字书写与投标报价表一并报送。</w:t>
      </w:r>
    </w:p>
    <w:p>
      <w:pPr>
        <w:spacing w:line="400" w:lineRule="exact"/>
      </w:pPr>
      <w:r>
        <w:rPr>
          <w:rFonts w:hint="eastAsia"/>
        </w:rPr>
        <w:t>注：说明的内容可根据需要增加。</w:t>
      </w:r>
    </w:p>
    <w:p>
      <w:pPr>
        <w:rPr>
          <w:rFonts w:ascii="黑体" w:hAnsi="黑体"/>
          <w:sz w:val="28"/>
        </w:rPr>
      </w:pPr>
      <w:r>
        <w:rPr>
          <w:rFonts w:hint="eastAsia" w:ascii="黑体" w:hAnsi="黑体"/>
          <w:sz w:val="28"/>
        </w:rPr>
        <w:br w:type="page"/>
      </w:r>
    </w:p>
    <w:p>
      <w:pPr>
        <w:pStyle w:val="4"/>
        <w:rPr>
          <w:rFonts w:ascii="黑体" w:hAnsi="黑体"/>
          <w:sz w:val="28"/>
        </w:rPr>
      </w:pPr>
      <w:bookmarkStart w:id="891" w:name="_Toc25392"/>
      <w:r>
        <w:rPr>
          <w:rFonts w:hint="eastAsia" w:ascii="黑体" w:hAnsi="黑体"/>
          <w:sz w:val="28"/>
        </w:rPr>
        <w:t>九、</w:t>
      </w:r>
      <w:bookmarkEnd w:id="868"/>
      <w:bookmarkEnd w:id="869"/>
      <w:bookmarkEnd w:id="870"/>
      <w:bookmarkEnd w:id="871"/>
      <w:bookmarkEnd w:id="872"/>
      <w:bookmarkEnd w:id="886"/>
      <w:bookmarkEnd w:id="887"/>
      <w:bookmarkEnd w:id="888"/>
      <w:r>
        <w:rPr>
          <w:rFonts w:hint="eastAsia" w:ascii="黑体" w:hAnsi="黑体"/>
          <w:sz w:val="28"/>
        </w:rPr>
        <w:t>其他必要的补充或声明</w:t>
      </w:r>
      <w:bookmarkEnd w:id="891"/>
    </w:p>
    <w:p>
      <w:pPr>
        <w:spacing w:line="400" w:lineRule="exact"/>
        <w:ind w:firstLine="624"/>
        <w:rPr>
          <w:rFonts w:ascii="宋体" w:hAnsi="宋体" w:cs="宋体"/>
          <w:spacing w:val="6"/>
          <w:szCs w:val="21"/>
        </w:rPr>
      </w:pPr>
      <w:r>
        <w:rPr>
          <w:rFonts w:hint="eastAsia" w:ascii="宋体" w:hAnsi="宋体" w:cs="宋体"/>
          <w:spacing w:val="6"/>
          <w:szCs w:val="21"/>
        </w:rPr>
        <w:t>第三章资格审查表要求提供的其余资料以及供应商认为必要的补充</w:t>
      </w:r>
    </w:p>
    <w:p>
      <w:pPr>
        <w:rPr>
          <w:rFonts w:ascii="宋体" w:cs="宋体"/>
        </w:rPr>
      </w:pPr>
    </w:p>
    <w:p>
      <w:pPr>
        <w:rPr>
          <w:rFonts w:ascii="宋体" w:cs="宋体"/>
        </w:rPr>
      </w:pPr>
    </w:p>
    <w:sectPr>
      <w:footerReference r:id="rId6" w:type="default"/>
      <w:pgSz w:w="11850" w:h="16783"/>
      <w:pgMar w:top="1440" w:right="1416" w:bottom="1440" w:left="1800" w:header="851" w:footer="1134" w:gutter="0"/>
      <w:pgNumType w:fmt="decimal" w:start="45"/>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2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CIDFont+F1">
    <w:altName w:val="宋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lang w:val="en-US" w:eastAsia="zh-CN"/>
      </w:rPr>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heme="minorEastAsia" w:hAnsiTheme="minorEastAsia" w:eastAsiaTheme="minorEastAsia" w:cstheme="minorEastAsia"/>
        <w:bCs/>
        <w:sz w:val="18"/>
        <w:szCs w:val="18"/>
        <w:u w:val="single"/>
      </w:rPr>
    </w:pPr>
    <w:r>
      <w:rPr>
        <w:rFonts w:hint="eastAsia" w:asciiTheme="minorEastAsia" w:hAnsiTheme="minorEastAsia" w:eastAsiaTheme="minorEastAsia" w:cstheme="minorEastAsia"/>
        <w:szCs w:val="48"/>
        <w:u w:val="double"/>
      </w:rPr>
      <w:t>阳新县白沙镇四屋组采石厂矿山生态修复治理工程竞争性磋商文件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FA117"/>
    <w:multiLevelType w:val="singleLevel"/>
    <w:tmpl w:val="C73FA117"/>
    <w:lvl w:ilvl="0" w:tentative="0">
      <w:start w:val="2"/>
      <w:numFmt w:val="chineseCounting"/>
      <w:suff w:val="nothing"/>
      <w:lvlText w:val="（%1）"/>
      <w:lvlJc w:val="left"/>
      <w:rPr>
        <w:rFonts w:hint="eastAsia"/>
      </w:rPr>
    </w:lvl>
  </w:abstractNum>
  <w:abstractNum w:abstractNumId="1">
    <w:nsid w:val="1374709D"/>
    <w:multiLevelType w:val="singleLevel"/>
    <w:tmpl w:val="1374709D"/>
    <w:lvl w:ilvl="0" w:tentative="0">
      <w:start w:val="3"/>
      <w:numFmt w:val="chineseCounting"/>
      <w:suff w:val="nothing"/>
      <w:lvlText w:val="（%1）"/>
      <w:lvlJc w:val="left"/>
      <w:rPr>
        <w:rFonts w:hint="eastAsia"/>
      </w:rPr>
    </w:lvl>
  </w:abstractNum>
  <w:abstractNum w:abstractNumId="2">
    <w:nsid w:val="41B15C74"/>
    <w:multiLevelType w:val="multilevel"/>
    <w:tmpl w:val="41B15C7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5934B22"/>
    <w:multiLevelType w:val="singleLevel"/>
    <w:tmpl w:val="55934B22"/>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7647CD"/>
    <w:rsid w:val="000009B5"/>
    <w:rsid w:val="000071A1"/>
    <w:rsid w:val="00007736"/>
    <w:rsid w:val="000242B6"/>
    <w:rsid w:val="000440A1"/>
    <w:rsid w:val="000738F0"/>
    <w:rsid w:val="000773C9"/>
    <w:rsid w:val="00084D19"/>
    <w:rsid w:val="000861FE"/>
    <w:rsid w:val="000A75E2"/>
    <w:rsid w:val="000B0C02"/>
    <w:rsid w:val="000E54EC"/>
    <w:rsid w:val="000E7A03"/>
    <w:rsid w:val="000F62F8"/>
    <w:rsid w:val="00110FAA"/>
    <w:rsid w:val="00116756"/>
    <w:rsid w:val="0011713B"/>
    <w:rsid w:val="0012617E"/>
    <w:rsid w:val="00130630"/>
    <w:rsid w:val="0013146E"/>
    <w:rsid w:val="00131A7E"/>
    <w:rsid w:val="00144F3C"/>
    <w:rsid w:val="00151B74"/>
    <w:rsid w:val="00155EF9"/>
    <w:rsid w:val="00157954"/>
    <w:rsid w:val="00162A3B"/>
    <w:rsid w:val="00163E53"/>
    <w:rsid w:val="00166252"/>
    <w:rsid w:val="00167EEF"/>
    <w:rsid w:val="001749DB"/>
    <w:rsid w:val="0018021E"/>
    <w:rsid w:val="00182403"/>
    <w:rsid w:val="00183835"/>
    <w:rsid w:val="00183C47"/>
    <w:rsid w:val="00184A1B"/>
    <w:rsid w:val="001A0D2D"/>
    <w:rsid w:val="001A425E"/>
    <w:rsid w:val="001B0AA3"/>
    <w:rsid w:val="001C6801"/>
    <w:rsid w:val="001D0A66"/>
    <w:rsid w:val="001D4E88"/>
    <w:rsid w:val="00206D8C"/>
    <w:rsid w:val="00215D40"/>
    <w:rsid w:val="002207CF"/>
    <w:rsid w:val="00225297"/>
    <w:rsid w:val="0022599C"/>
    <w:rsid w:val="00231CC1"/>
    <w:rsid w:val="002345AB"/>
    <w:rsid w:val="00236A7C"/>
    <w:rsid w:val="00240E80"/>
    <w:rsid w:val="00256C60"/>
    <w:rsid w:val="002728F9"/>
    <w:rsid w:val="0027434D"/>
    <w:rsid w:val="00284360"/>
    <w:rsid w:val="002B650C"/>
    <w:rsid w:val="002C497C"/>
    <w:rsid w:val="002D2A8F"/>
    <w:rsid w:val="002E38A9"/>
    <w:rsid w:val="003004CB"/>
    <w:rsid w:val="00301B67"/>
    <w:rsid w:val="00307FBF"/>
    <w:rsid w:val="00313BC4"/>
    <w:rsid w:val="0033070C"/>
    <w:rsid w:val="003309D6"/>
    <w:rsid w:val="00336179"/>
    <w:rsid w:val="00345B80"/>
    <w:rsid w:val="00362791"/>
    <w:rsid w:val="00380AF7"/>
    <w:rsid w:val="00382F06"/>
    <w:rsid w:val="003860EC"/>
    <w:rsid w:val="00395207"/>
    <w:rsid w:val="003A4A44"/>
    <w:rsid w:val="003A6265"/>
    <w:rsid w:val="0040393E"/>
    <w:rsid w:val="0041547A"/>
    <w:rsid w:val="00425C55"/>
    <w:rsid w:val="00433AA6"/>
    <w:rsid w:val="004504CF"/>
    <w:rsid w:val="00451C68"/>
    <w:rsid w:val="0046170C"/>
    <w:rsid w:val="00463F16"/>
    <w:rsid w:val="0047539C"/>
    <w:rsid w:val="004958BF"/>
    <w:rsid w:val="00495F3E"/>
    <w:rsid w:val="004A1FF9"/>
    <w:rsid w:val="004A23E6"/>
    <w:rsid w:val="004A544E"/>
    <w:rsid w:val="004B2D20"/>
    <w:rsid w:val="004B63BA"/>
    <w:rsid w:val="004B6726"/>
    <w:rsid w:val="004C418D"/>
    <w:rsid w:val="004D451C"/>
    <w:rsid w:val="004D5B81"/>
    <w:rsid w:val="004D6CB2"/>
    <w:rsid w:val="004E56DA"/>
    <w:rsid w:val="004F4DD8"/>
    <w:rsid w:val="004F5950"/>
    <w:rsid w:val="00501994"/>
    <w:rsid w:val="00530636"/>
    <w:rsid w:val="00562006"/>
    <w:rsid w:val="0058023F"/>
    <w:rsid w:val="00586B97"/>
    <w:rsid w:val="005C1AB9"/>
    <w:rsid w:val="005C5114"/>
    <w:rsid w:val="005D10B4"/>
    <w:rsid w:val="005D6197"/>
    <w:rsid w:val="005E0E33"/>
    <w:rsid w:val="005E68AD"/>
    <w:rsid w:val="005F5320"/>
    <w:rsid w:val="006153B4"/>
    <w:rsid w:val="00630514"/>
    <w:rsid w:val="00632979"/>
    <w:rsid w:val="00641151"/>
    <w:rsid w:val="00645BD1"/>
    <w:rsid w:val="00647147"/>
    <w:rsid w:val="00650DCF"/>
    <w:rsid w:val="00662C29"/>
    <w:rsid w:val="0066788A"/>
    <w:rsid w:val="00683513"/>
    <w:rsid w:val="0069222D"/>
    <w:rsid w:val="006A3B63"/>
    <w:rsid w:val="006F352E"/>
    <w:rsid w:val="00704004"/>
    <w:rsid w:val="00705C4C"/>
    <w:rsid w:val="0072385E"/>
    <w:rsid w:val="007271C1"/>
    <w:rsid w:val="00733D1F"/>
    <w:rsid w:val="00736D81"/>
    <w:rsid w:val="00756C50"/>
    <w:rsid w:val="00757DFC"/>
    <w:rsid w:val="007805D2"/>
    <w:rsid w:val="00782754"/>
    <w:rsid w:val="00783BE1"/>
    <w:rsid w:val="00783D09"/>
    <w:rsid w:val="00795241"/>
    <w:rsid w:val="007A18CD"/>
    <w:rsid w:val="007A45EB"/>
    <w:rsid w:val="007A488F"/>
    <w:rsid w:val="007B2DF0"/>
    <w:rsid w:val="007D6AB6"/>
    <w:rsid w:val="007F549F"/>
    <w:rsid w:val="007F7506"/>
    <w:rsid w:val="00804EE8"/>
    <w:rsid w:val="00814A8A"/>
    <w:rsid w:val="00817C48"/>
    <w:rsid w:val="008224D7"/>
    <w:rsid w:val="008311B6"/>
    <w:rsid w:val="00835614"/>
    <w:rsid w:val="008570C0"/>
    <w:rsid w:val="008741C8"/>
    <w:rsid w:val="0087524F"/>
    <w:rsid w:val="00880E83"/>
    <w:rsid w:val="00887A0C"/>
    <w:rsid w:val="008922BE"/>
    <w:rsid w:val="008A37ED"/>
    <w:rsid w:val="008B5DCD"/>
    <w:rsid w:val="008C3AA6"/>
    <w:rsid w:val="008E3AE5"/>
    <w:rsid w:val="008E4B00"/>
    <w:rsid w:val="00902F27"/>
    <w:rsid w:val="0091090A"/>
    <w:rsid w:val="00913E8D"/>
    <w:rsid w:val="009324FE"/>
    <w:rsid w:val="00935961"/>
    <w:rsid w:val="00941502"/>
    <w:rsid w:val="00942017"/>
    <w:rsid w:val="00954920"/>
    <w:rsid w:val="009A129C"/>
    <w:rsid w:val="009B2D4D"/>
    <w:rsid w:val="009B6A78"/>
    <w:rsid w:val="009C6B43"/>
    <w:rsid w:val="009E4FFC"/>
    <w:rsid w:val="009F27E9"/>
    <w:rsid w:val="00A16D26"/>
    <w:rsid w:val="00A21303"/>
    <w:rsid w:val="00A21741"/>
    <w:rsid w:val="00A21ABB"/>
    <w:rsid w:val="00A2272B"/>
    <w:rsid w:val="00A33D30"/>
    <w:rsid w:val="00A406C8"/>
    <w:rsid w:val="00A44BBA"/>
    <w:rsid w:val="00A51161"/>
    <w:rsid w:val="00A74E05"/>
    <w:rsid w:val="00A813CA"/>
    <w:rsid w:val="00A93FBB"/>
    <w:rsid w:val="00A963FC"/>
    <w:rsid w:val="00AA1C39"/>
    <w:rsid w:val="00AB09BA"/>
    <w:rsid w:val="00AB1863"/>
    <w:rsid w:val="00AB47C6"/>
    <w:rsid w:val="00AE09D0"/>
    <w:rsid w:val="00AE1894"/>
    <w:rsid w:val="00AF4006"/>
    <w:rsid w:val="00AF6B81"/>
    <w:rsid w:val="00B07592"/>
    <w:rsid w:val="00B159DA"/>
    <w:rsid w:val="00B24F7B"/>
    <w:rsid w:val="00B25384"/>
    <w:rsid w:val="00B26672"/>
    <w:rsid w:val="00B3448A"/>
    <w:rsid w:val="00B35481"/>
    <w:rsid w:val="00B377FD"/>
    <w:rsid w:val="00B42535"/>
    <w:rsid w:val="00B42BB3"/>
    <w:rsid w:val="00B55AD2"/>
    <w:rsid w:val="00B65280"/>
    <w:rsid w:val="00B70628"/>
    <w:rsid w:val="00B90A2A"/>
    <w:rsid w:val="00B97CDE"/>
    <w:rsid w:val="00BA4612"/>
    <w:rsid w:val="00BB1ED1"/>
    <w:rsid w:val="00BC4015"/>
    <w:rsid w:val="00BC6422"/>
    <w:rsid w:val="00BD40D0"/>
    <w:rsid w:val="00BF6F91"/>
    <w:rsid w:val="00BF74D1"/>
    <w:rsid w:val="00C0030D"/>
    <w:rsid w:val="00C026EA"/>
    <w:rsid w:val="00C03B69"/>
    <w:rsid w:val="00C067FC"/>
    <w:rsid w:val="00C12B20"/>
    <w:rsid w:val="00C12C6F"/>
    <w:rsid w:val="00C4029F"/>
    <w:rsid w:val="00C566BA"/>
    <w:rsid w:val="00C66964"/>
    <w:rsid w:val="00C84E1B"/>
    <w:rsid w:val="00C92A36"/>
    <w:rsid w:val="00CA0EC8"/>
    <w:rsid w:val="00CA4445"/>
    <w:rsid w:val="00CB69C1"/>
    <w:rsid w:val="00CD6208"/>
    <w:rsid w:val="00CE1740"/>
    <w:rsid w:val="00CE58E2"/>
    <w:rsid w:val="00CE6088"/>
    <w:rsid w:val="00CF5277"/>
    <w:rsid w:val="00D00ED5"/>
    <w:rsid w:val="00D02014"/>
    <w:rsid w:val="00D02A68"/>
    <w:rsid w:val="00D032F6"/>
    <w:rsid w:val="00D03E5C"/>
    <w:rsid w:val="00D0757C"/>
    <w:rsid w:val="00D11A61"/>
    <w:rsid w:val="00D16E7A"/>
    <w:rsid w:val="00D17CA4"/>
    <w:rsid w:val="00D31743"/>
    <w:rsid w:val="00D3195F"/>
    <w:rsid w:val="00D34716"/>
    <w:rsid w:val="00D437E6"/>
    <w:rsid w:val="00D75AEE"/>
    <w:rsid w:val="00D77B63"/>
    <w:rsid w:val="00D8738D"/>
    <w:rsid w:val="00D94163"/>
    <w:rsid w:val="00DC57C7"/>
    <w:rsid w:val="00DF5C51"/>
    <w:rsid w:val="00E16B9C"/>
    <w:rsid w:val="00E20D86"/>
    <w:rsid w:val="00E30540"/>
    <w:rsid w:val="00E318A6"/>
    <w:rsid w:val="00E50B5D"/>
    <w:rsid w:val="00E53144"/>
    <w:rsid w:val="00E579AF"/>
    <w:rsid w:val="00EA4AE8"/>
    <w:rsid w:val="00EB39EB"/>
    <w:rsid w:val="00EC341F"/>
    <w:rsid w:val="00ED4D65"/>
    <w:rsid w:val="00EE7E99"/>
    <w:rsid w:val="00EF0C93"/>
    <w:rsid w:val="00F065D5"/>
    <w:rsid w:val="00F27577"/>
    <w:rsid w:val="00F50C70"/>
    <w:rsid w:val="00F63589"/>
    <w:rsid w:val="00F65CC2"/>
    <w:rsid w:val="00F705C3"/>
    <w:rsid w:val="00F72034"/>
    <w:rsid w:val="00F91AA8"/>
    <w:rsid w:val="00F95F81"/>
    <w:rsid w:val="00FE07B7"/>
    <w:rsid w:val="01023073"/>
    <w:rsid w:val="0162355F"/>
    <w:rsid w:val="01B216A4"/>
    <w:rsid w:val="01CC4630"/>
    <w:rsid w:val="02F459F0"/>
    <w:rsid w:val="03E339E9"/>
    <w:rsid w:val="040B5540"/>
    <w:rsid w:val="04272F40"/>
    <w:rsid w:val="053A742C"/>
    <w:rsid w:val="05E30B17"/>
    <w:rsid w:val="06272839"/>
    <w:rsid w:val="06375AA5"/>
    <w:rsid w:val="0651437C"/>
    <w:rsid w:val="0655567F"/>
    <w:rsid w:val="06634246"/>
    <w:rsid w:val="068A325A"/>
    <w:rsid w:val="06AC3222"/>
    <w:rsid w:val="06B70764"/>
    <w:rsid w:val="06D138FC"/>
    <w:rsid w:val="07500F4B"/>
    <w:rsid w:val="077F3DBB"/>
    <w:rsid w:val="07AA0A7B"/>
    <w:rsid w:val="084F4B94"/>
    <w:rsid w:val="08BF31A0"/>
    <w:rsid w:val="08D07A68"/>
    <w:rsid w:val="097B7429"/>
    <w:rsid w:val="09AB0DC8"/>
    <w:rsid w:val="09D262CC"/>
    <w:rsid w:val="0A41166C"/>
    <w:rsid w:val="0B2303D7"/>
    <w:rsid w:val="0B2D30E7"/>
    <w:rsid w:val="0B547398"/>
    <w:rsid w:val="0BD4674A"/>
    <w:rsid w:val="0C226A09"/>
    <w:rsid w:val="0C451237"/>
    <w:rsid w:val="0C552B18"/>
    <w:rsid w:val="0CCC4C60"/>
    <w:rsid w:val="0D4C2E61"/>
    <w:rsid w:val="0DAA4320"/>
    <w:rsid w:val="0DB5057C"/>
    <w:rsid w:val="0E1A31E7"/>
    <w:rsid w:val="0E965468"/>
    <w:rsid w:val="0EBE294F"/>
    <w:rsid w:val="0EFC30E6"/>
    <w:rsid w:val="0F4B35A4"/>
    <w:rsid w:val="0F8419AB"/>
    <w:rsid w:val="0F8949EA"/>
    <w:rsid w:val="0F993989"/>
    <w:rsid w:val="0FB653DD"/>
    <w:rsid w:val="0FBD7C3C"/>
    <w:rsid w:val="1085498C"/>
    <w:rsid w:val="109D13D6"/>
    <w:rsid w:val="10DF68CA"/>
    <w:rsid w:val="114A2A4C"/>
    <w:rsid w:val="11A10C03"/>
    <w:rsid w:val="122A5458"/>
    <w:rsid w:val="12592E2F"/>
    <w:rsid w:val="130460E9"/>
    <w:rsid w:val="1346279D"/>
    <w:rsid w:val="134A74EB"/>
    <w:rsid w:val="13DE2FE5"/>
    <w:rsid w:val="1473490A"/>
    <w:rsid w:val="14743551"/>
    <w:rsid w:val="14A30016"/>
    <w:rsid w:val="158F616C"/>
    <w:rsid w:val="15CA044E"/>
    <w:rsid w:val="160E1A28"/>
    <w:rsid w:val="181B058F"/>
    <w:rsid w:val="19157197"/>
    <w:rsid w:val="1920530B"/>
    <w:rsid w:val="19A41871"/>
    <w:rsid w:val="1A3E291D"/>
    <w:rsid w:val="1A8B132D"/>
    <w:rsid w:val="1BAB4AC5"/>
    <w:rsid w:val="1C6B286B"/>
    <w:rsid w:val="1C91036F"/>
    <w:rsid w:val="1CC92CA3"/>
    <w:rsid w:val="1D1160AD"/>
    <w:rsid w:val="1D133349"/>
    <w:rsid w:val="1DAE6BE4"/>
    <w:rsid w:val="1E7210F0"/>
    <w:rsid w:val="1F112DC5"/>
    <w:rsid w:val="1FD616BA"/>
    <w:rsid w:val="200D3827"/>
    <w:rsid w:val="20164931"/>
    <w:rsid w:val="211849CD"/>
    <w:rsid w:val="211F1DD7"/>
    <w:rsid w:val="21974103"/>
    <w:rsid w:val="224203B6"/>
    <w:rsid w:val="22676CE6"/>
    <w:rsid w:val="227A7475"/>
    <w:rsid w:val="22DC5CB1"/>
    <w:rsid w:val="23B074BA"/>
    <w:rsid w:val="242B07C2"/>
    <w:rsid w:val="248233A5"/>
    <w:rsid w:val="248503A1"/>
    <w:rsid w:val="24AE1DA2"/>
    <w:rsid w:val="25D967B3"/>
    <w:rsid w:val="26201D94"/>
    <w:rsid w:val="26436338"/>
    <w:rsid w:val="26813B83"/>
    <w:rsid w:val="26CE0B36"/>
    <w:rsid w:val="2776300A"/>
    <w:rsid w:val="279D7F59"/>
    <w:rsid w:val="27ED5438"/>
    <w:rsid w:val="28704767"/>
    <w:rsid w:val="28894C97"/>
    <w:rsid w:val="299C690D"/>
    <w:rsid w:val="29A25BFB"/>
    <w:rsid w:val="29C926FA"/>
    <w:rsid w:val="2A074CDA"/>
    <w:rsid w:val="2A276E6B"/>
    <w:rsid w:val="2A5135CB"/>
    <w:rsid w:val="2ADF342C"/>
    <w:rsid w:val="2AE85617"/>
    <w:rsid w:val="2B62371E"/>
    <w:rsid w:val="2BC366AA"/>
    <w:rsid w:val="2BD9186C"/>
    <w:rsid w:val="2C022475"/>
    <w:rsid w:val="2C8054DD"/>
    <w:rsid w:val="2D0127F1"/>
    <w:rsid w:val="2D4E2DF9"/>
    <w:rsid w:val="2E78261D"/>
    <w:rsid w:val="2E7D57A8"/>
    <w:rsid w:val="2ED17983"/>
    <w:rsid w:val="2EF348F3"/>
    <w:rsid w:val="2F2117C1"/>
    <w:rsid w:val="2F270234"/>
    <w:rsid w:val="2FE83200"/>
    <w:rsid w:val="30AC4585"/>
    <w:rsid w:val="31243839"/>
    <w:rsid w:val="31610ED2"/>
    <w:rsid w:val="31913B65"/>
    <w:rsid w:val="31C70114"/>
    <w:rsid w:val="32400885"/>
    <w:rsid w:val="326C5F9B"/>
    <w:rsid w:val="329C750B"/>
    <w:rsid w:val="33163B69"/>
    <w:rsid w:val="332824FB"/>
    <w:rsid w:val="3390390E"/>
    <w:rsid w:val="33B261CC"/>
    <w:rsid w:val="35776987"/>
    <w:rsid w:val="357C48AE"/>
    <w:rsid w:val="35952488"/>
    <w:rsid w:val="36407E95"/>
    <w:rsid w:val="36B423E3"/>
    <w:rsid w:val="36BB6931"/>
    <w:rsid w:val="36F519C7"/>
    <w:rsid w:val="37207CAD"/>
    <w:rsid w:val="372B3352"/>
    <w:rsid w:val="37587222"/>
    <w:rsid w:val="38526AD5"/>
    <w:rsid w:val="38A4712F"/>
    <w:rsid w:val="3AED589A"/>
    <w:rsid w:val="3B1B3ED7"/>
    <w:rsid w:val="3B3D0059"/>
    <w:rsid w:val="3B437249"/>
    <w:rsid w:val="3B494B16"/>
    <w:rsid w:val="3B6A3D49"/>
    <w:rsid w:val="3BBA1F15"/>
    <w:rsid w:val="3BCD7496"/>
    <w:rsid w:val="3BFE3D1F"/>
    <w:rsid w:val="3C237F42"/>
    <w:rsid w:val="3CF30A0B"/>
    <w:rsid w:val="3D2B4D59"/>
    <w:rsid w:val="3D445D9A"/>
    <w:rsid w:val="3DE3634C"/>
    <w:rsid w:val="3E22414D"/>
    <w:rsid w:val="3E296943"/>
    <w:rsid w:val="3E4E7378"/>
    <w:rsid w:val="3E593D12"/>
    <w:rsid w:val="3EA14765"/>
    <w:rsid w:val="3F200550"/>
    <w:rsid w:val="3F271356"/>
    <w:rsid w:val="3FE21F2D"/>
    <w:rsid w:val="3FE33FD0"/>
    <w:rsid w:val="3FED16EA"/>
    <w:rsid w:val="3FFC1E31"/>
    <w:rsid w:val="402F1757"/>
    <w:rsid w:val="4049635F"/>
    <w:rsid w:val="40A16C4B"/>
    <w:rsid w:val="41644599"/>
    <w:rsid w:val="41730B7A"/>
    <w:rsid w:val="41F5386B"/>
    <w:rsid w:val="430654DF"/>
    <w:rsid w:val="434306F2"/>
    <w:rsid w:val="434C5355"/>
    <w:rsid w:val="439C5494"/>
    <w:rsid w:val="43EB600D"/>
    <w:rsid w:val="45F720DE"/>
    <w:rsid w:val="46032444"/>
    <w:rsid w:val="472104B9"/>
    <w:rsid w:val="47440396"/>
    <w:rsid w:val="475E3A2D"/>
    <w:rsid w:val="47A81FD3"/>
    <w:rsid w:val="47E214E0"/>
    <w:rsid w:val="48545D36"/>
    <w:rsid w:val="487807DB"/>
    <w:rsid w:val="48B63696"/>
    <w:rsid w:val="48C14006"/>
    <w:rsid w:val="48E32138"/>
    <w:rsid w:val="494744AC"/>
    <w:rsid w:val="494935FE"/>
    <w:rsid w:val="49575390"/>
    <w:rsid w:val="4B3B0FFC"/>
    <w:rsid w:val="4BA14EB3"/>
    <w:rsid w:val="4BD239AA"/>
    <w:rsid w:val="4BFE2EDC"/>
    <w:rsid w:val="4D5F4250"/>
    <w:rsid w:val="4D7C230F"/>
    <w:rsid w:val="4DF540F4"/>
    <w:rsid w:val="4E0A6856"/>
    <w:rsid w:val="4E165CFD"/>
    <w:rsid w:val="4E1C551C"/>
    <w:rsid w:val="4E384645"/>
    <w:rsid w:val="4FD112C6"/>
    <w:rsid w:val="502F73EC"/>
    <w:rsid w:val="506315A0"/>
    <w:rsid w:val="512A71A0"/>
    <w:rsid w:val="516D53D7"/>
    <w:rsid w:val="51716B05"/>
    <w:rsid w:val="518A177E"/>
    <w:rsid w:val="51CB6148"/>
    <w:rsid w:val="5239627F"/>
    <w:rsid w:val="53734504"/>
    <w:rsid w:val="537B33E2"/>
    <w:rsid w:val="538522E6"/>
    <w:rsid w:val="53B53CE9"/>
    <w:rsid w:val="53D73297"/>
    <w:rsid w:val="548E0DDB"/>
    <w:rsid w:val="54D93EC9"/>
    <w:rsid w:val="550C684E"/>
    <w:rsid w:val="551F2D7B"/>
    <w:rsid w:val="55361089"/>
    <w:rsid w:val="5547106D"/>
    <w:rsid w:val="55821859"/>
    <w:rsid w:val="558E5585"/>
    <w:rsid w:val="55B745A0"/>
    <w:rsid w:val="5617481E"/>
    <w:rsid w:val="562A7605"/>
    <w:rsid w:val="5690206B"/>
    <w:rsid w:val="56E90352"/>
    <w:rsid w:val="57206F04"/>
    <w:rsid w:val="572F6E3A"/>
    <w:rsid w:val="578A38D8"/>
    <w:rsid w:val="57FC3863"/>
    <w:rsid w:val="58535B06"/>
    <w:rsid w:val="587D71F0"/>
    <w:rsid w:val="58812431"/>
    <w:rsid w:val="58A56543"/>
    <w:rsid w:val="58BC2EBF"/>
    <w:rsid w:val="592957E6"/>
    <w:rsid w:val="592963DC"/>
    <w:rsid w:val="59B74168"/>
    <w:rsid w:val="59CA2266"/>
    <w:rsid w:val="5A012C51"/>
    <w:rsid w:val="5A8C4EE0"/>
    <w:rsid w:val="5AA02737"/>
    <w:rsid w:val="5AC02DD2"/>
    <w:rsid w:val="5AF71869"/>
    <w:rsid w:val="5B2E34E9"/>
    <w:rsid w:val="5B7B287C"/>
    <w:rsid w:val="5BDF38A5"/>
    <w:rsid w:val="5BFD3088"/>
    <w:rsid w:val="5C1053CA"/>
    <w:rsid w:val="5C6747A1"/>
    <w:rsid w:val="5CB27A6F"/>
    <w:rsid w:val="5CC27B0E"/>
    <w:rsid w:val="5CC61B80"/>
    <w:rsid w:val="5D2A1C67"/>
    <w:rsid w:val="5D7030C6"/>
    <w:rsid w:val="5D8F7E5F"/>
    <w:rsid w:val="5DAB076F"/>
    <w:rsid w:val="5E097F82"/>
    <w:rsid w:val="5EE46B3F"/>
    <w:rsid w:val="5F016448"/>
    <w:rsid w:val="5FFC0819"/>
    <w:rsid w:val="617C2875"/>
    <w:rsid w:val="63082D4E"/>
    <w:rsid w:val="634F2A50"/>
    <w:rsid w:val="63612B2B"/>
    <w:rsid w:val="63AA3B98"/>
    <w:rsid w:val="648A7F22"/>
    <w:rsid w:val="64A63095"/>
    <w:rsid w:val="65D62321"/>
    <w:rsid w:val="66B96BBB"/>
    <w:rsid w:val="670225B1"/>
    <w:rsid w:val="67451BCF"/>
    <w:rsid w:val="677647CD"/>
    <w:rsid w:val="677A06BA"/>
    <w:rsid w:val="67E23706"/>
    <w:rsid w:val="67F660A2"/>
    <w:rsid w:val="68650179"/>
    <w:rsid w:val="68F82407"/>
    <w:rsid w:val="692B56E0"/>
    <w:rsid w:val="694909FB"/>
    <w:rsid w:val="695A4F1F"/>
    <w:rsid w:val="6A00625E"/>
    <w:rsid w:val="6A09774C"/>
    <w:rsid w:val="6A39796D"/>
    <w:rsid w:val="6A672E80"/>
    <w:rsid w:val="6A823118"/>
    <w:rsid w:val="6AE55CF9"/>
    <w:rsid w:val="6B1235B1"/>
    <w:rsid w:val="6B524586"/>
    <w:rsid w:val="6B7309A8"/>
    <w:rsid w:val="6BD86D0E"/>
    <w:rsid w:val="6C150B08"/>
    <w:rsid w:val="6C172F29"/>
    <w:rsid w:val="6D2D17C5"/>
    <w:rsid w:val="6D774B71"/>
    <w:rsid w:val="6D907D79"/>
    <w:rsid w:val="6D9A16C2"/>
    <w:rsid w:val="6DE41CD1"/>
    <w:rsid w:val="6DFD1AF4"/>
    <w:rsid w:val="6E314BA3"/>
    <w:rsid w:val="6E53640D"/>
    <w:rsid w:val="6E5B5B8E"/>
    <w:rsid w:val="6EE82818"/>
    <w:rsid w:val="6F8C68FC"/>
    <w:rsid w:val="6FD2779E"/>
    <w:rsid w:val="6FF143F5"/>
    <w:rsid w:val="700A7AE7"/>
    <w:rsid w:val="706426E7"/>
    <w:rsid w:val="70CF10AF"/>
    <w:rsid w:val="7191564D"/>
    <w:rsid w:val="71944E26"/>
    <w:rsid w:val="719A546C"/>
    <w:rsid w:val="71A176CC"/>
    <w:rsid w:val="71AD5870"/>
    <w:rsid w:val="71B8104A"/>
    <w:rsid w:val="720B2DDC"/>
    <w:rsid w:val="7263473D"/>
    <w:rsid w:val="72B22A96"/>
    <w:rsid w:val="732115F0"/>
    <w:rsid w:val="743A4B47"/>
    <w:rsid w:val="744D4719"/>
    <w:rsid w:val="74C12A0A"/>
    <w:rsid w:val="74DA261B"/>
    <w:rsid w:val="7521271F"/>
    <w:rsid w:val="756A2089"/>
    <w:rsid w:val="75987314"/>
    <w:rsid w:val="75F4120E"/>
    <w:rsid w:val="75F63838"/>
    <w:rsid w:val="768F2CF5"/>
    <w:rsid w:val="77C6661C"/>
    <w:rsid w:val="77D902FA"/>
    <w:rsid w:val="782419BD"/>
    <w:rsid w:val="78B20444"/>
    <w:rsid w:val="78CD1B80"/>
    <w:rsid w:val="78D229C2"/>
    <w:rsid w:val="79074201"/>
    <w:rsid w:val="791D031C"/>
    <w:rsid w:val="792F4E50"/>
    <w:rsid w:val="79BF7801"/>
    <w:rsid w:val="79F16E1E"/>
    <w:rsid w:val="7A057FB8"/>
    <w:rsid w:val="7B06097E"/>
    <w:rsid w:val="7BCA4A23"/>
    <w:rsid w:val="7C2B22A4"/>
    <w:rsid w:val="7C601C8B"/>
    <w:rsid w:val="7D4D2B45"/>
    <w:rsid w:val="7D511F7C"/>
    <w:rsid w:val="7DBC5563"/>
    <w:rsid w:val="7E590610"/>
    <w:rsid w:val="7F3D2915"/>
    <w:rsid w:val="7FB505D6"/>
    <w:rsid w:val="7FF7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rPr>
  </w:style>
  <w:style w:type="paragraph" w:styleId="6">
    <w:name w:val="heading 4"/>
    <w:next w:val="1"/>
    <w:qFormat/>
    <w:locked/>
    <w:uiPriority w:val="0"/>
    <w:pPr>
      <w:keepNext/>
      <w:keepLines/>
      <w:widowControl w:val="0"/>
      <w:spacing w:line="372" w:lineRule="auto"/>
      <w:jc w:val="both"/>
      <w:outlineLvl w:val="3"/>
    </w:pPr>
    <w:rPr>
      <w:rFonts w:ascii="Cambria" w:hAnsi="Cambria" w:eastAsia="宋体" w:cs="Times New Roman"/>
      <w:b/>
      <w:bCs/>
      <w:kern w:val="2"/>
      <w:sz w:val="28"/>
      <w:szCs w:val="28"/>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首行缩进"/>
    <w:qFormat/>
    <w:uiPriority w:val="0"/>
    <w:pPr>
      <w:widowControl w:val="0"/>
      <w:spacing w:line="360" w:lineRule="auto"/>
      <w:ind w:firstLine="480" w:firstLineChars="200"/>
      <w:jc w:val="both"/>
    </w:pPr>
    <w:rPr>
      <w:rFonts w:ascii="Calibri" w:hAnsi="Calibri" w:eastAsia="宋体" w:cs="宋体"/>
      <w:kern w:val="2"/>
      <w:sz w:val="24"/>
      <w:szCs w:val="22"/>
      <w:lang w:val="zh-CN" w:eastAsia="zh-CN" w:bidi="ar-SA"/>
    </w:rPr>
  </w:style>
  <w:style w:type="paragraph" w:styleId="7">
    <w:name w:val="Normal Indent"/>
    <w:basedOn w:val="1"/>
    <w:link w:val="58"/>
    <w:qFormat/>
    <w:uiPriority w:val="0"/>
    <w:pPr>
      <w:autoSpaceDE w:val="0"/>
      <w:autoSpaceDN w:val="0"/>
      <w:adjustRightInd w:val="0"/>
      <w:spacing w:line="315" w:lineRule="atLeast"/>
      <w:ind w:firstLine="420"/>
      <w:jc w:val="left"/>
    </w:pPr>
    <w:rPr>
      <w:rFonts w:ascii="楷体_GB2312" w:eastAsia="楷体_GB2312"/>
      <w:kern w:val="0"/>
      <w:sz w:val="28"/>
    </w:rPr>
  </w:style>
  <w:style w:type="paragraph" w:styleId="8">
    <w:name w:val="annotation text"/>
    <w:basedOn w:val="1"/>
    <w:link w:val="44"/>
    <w:qFormat/>
    <w:uiPriority w:val="0"/>
    <w:pPr>
      <w:jc w:val="left"/>
    </w:pPr>
    <w:rPr>
      <w:sz w:val="22"/>
    </w:r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adjustRightInd w:val="0"/>
      <w:spacing w:line="360" w:lineRule="atLeast"/>
      <w:ind w:firstLine="480"/>
      <w:jc w:val="left"/>
      <w:textAlignment w:val="baseline"/>
    </w:pPr>
    <w:rPr>
      <w:kern w:val="0"/>
      <w:sz w:val="24"/>
    </w:rPr>
  </w:style>
  <w:style w:type="paragraph" w:styleId="12">
    <w:name w:val="toc 3"/>
    <w:basedOn w:val="1"/>
    <w:next w:val="1"/>
    <w:qFormat/>
    <w:uiPriority w:val="39"/>
    <w:pPr>
      <w:ind w:left="840" w:leftChars="400"/>
    </w:pPr>
  </w:style>
  <w:style w:type="paragraph" w:styleId="13">
    <w:name w:val="Plain Text"/>
    <w:basedOn w:val="1"/>
    <w:link w:val="57"/>
    <w:qFormat/>
    <w:uiPriority w:val="0"/>
    <w:rPr>
      <w:rFonts w:ascii="宋体" w:hAnsi="Courier New"/>
      <w:szCs w:val="21"/>
    </w:r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annotation subject"/>
    <w:basedOn w:val="8"/>
    <w:next w:val="8"/>
    <w:link w:val="37"/>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page number"/>
    <w:qFormat/>
    <w:uiPriority w:val="0"/>
    <w:rPr>
      <w:rFonts w:cs="Times New Roman"/>
    </w:rPr>
  </w:style>
  <w:style w:type="character" w:styleId="26">
    <w:name w:val="FollowedHyperlink"/>
    <w:qFormat/>
    <w:uiPriority w:val="0"/>
    <w:rPr>
      <w:color w:val="000000"/>
      <w:sz w:val="18"/>
      <w:szCs w:val="18"/>
      <w:u w:val="none"/>
    </w:rPr>
  </w:style>
  <w:style w:type="character" w:styleId="27">
    <w:name w:val="Emphasis"/>
    <w:qFormat/>
    <w:locked/>
    <w:uiPriority w:val="0"/>
  </w:style>
  <w:style w:type="character" w:styleId="28">
    <w:name w:val="HTML Definition"/>
    <w:basedOn w:val="23"/>
    <w:qFormat/>
    <w:uiPriority w:val="0"/>
    <w:rPr>
      <w:i/>
    </w:rPr>
  </w:style>
  <w:style w:type="character" w:styleId="29">
    <w:name w:val="Hyperlink"/>
    <w:qFormat/>
    <w:uiPriority w:val="0"/>
    <w:rPr>
      <w:color w:val="252525"/>
      <w:u w:val="none"/>
    </w:rPr>
  </w:style>
  <w:style w:type="character" w:styleId="30">
    <w:name w:val="HTML Code"/>
    <w:basedOn w:val="23"/>
    <w:qFormat/>
    <w:uiPriority w:val="0"/>
    <w:rPr>
      <w:rFonts w:hint="default" w:ascii="Consolas" w:hAnsi="Consolas" w:eastAsia="Consolas" w:cs="Consolas"/>
      <w:color w:val="C7254E"/>
      <w:sz w:val="21"/>
      <w:szCs w:val="21"/>
      <w:shd w:val="clear" w:color="auto" w:fill="F9F2F4"/>
    </w:rPr>
  </w:style>
  <w:style w:type="character" w:styleId="31">
    <w:name w:val="annotation reference"/>
    <w:qFormat/>
    <w:uiPriority w:val="0"/>
    <w:rPr>
      <w:sz w:val="21"/>
    </w:rPr>
  </w:style>
  <w:style w:type="character" w:styleId="32">
    <w:name w:val="HTML Keyboard"/>
    <w:basedOn w:val="23"/>
    <w:qFormat/>
    <w:uiPriority w:val="0"/>
    <w:rPr>
      <w:rFonts w:hint="default" w:ascii="Consolas" w:hAnsi="Consolas" w:eastAsia="Consolas" w:cs="Consolas"/>
      <w:color w:val="FFFFFF"/>
      <w:sz w:val="21"/>
      <w:szCs w:val="21"/>
      <w:shd w:val="clear" w:color="auto" w:fill="333333"/>
    </w:rPr>
  </w:style>
  <w:style w:type="character" w:styleId="33">
    <w:name w:val="HTML Sample"/>
    <w:basedOn w:val="23"/>
    <w:qFormat/>
    <w:uiPriority w:val="0"/>
    <w:rPr>
      <w:rFonts w:ascii="Consolas" w:hAnsi="Consolas" w:eastAsia="Consolas" w:cs="Consolas"/>
      <w:sz w:val="21"/>
      <w:szCs w:val="21"/>
    </w:rPr>
  </w:style>
  <w:style w:type="character" w:customStyle="1" w:styleId="34">
    <w:name w:val="标题 1 Char"/>
    <w:link w:val="3"/>
    <w:qFormat/>
    <w:uiPriority w:val="0"/>
    <w:rPr>
      <w:b/>
      <w:bCs/>
      <w:kern w:val="44"/>
      <w:sz w:val="44"/>
      <w:szCs w:val="44"/>
    </w:rPr>
  </w:style>
  <w:style w:type="character" w:customStyle="1" w:styleId="35">
    <w:name w:val="标题 2 Char"/>
    <w:link w:val="4"/>
    <w:qFormat/>
    <w:uiPriority w:val="0"/>
    <w:rPr>
      <w:rFonts w:ascii="Arial" w:hAnsi="Arial" w:eastAsia="黑体"/>
      <w:b/>
      <w:bCs/>
      <w:kern w:val="2"/>
      <w:sz w:val="32"/>
      <w:szCs w:val="32"/>
    </w:rPr>
  </w:style>
  <w:style w:type="character" w:customStyle="1" w:styleId="36">
    <w:name w:val="批注框文本 Char"/>
    <w:link w:val="14"/>
    <w:qFormat/>
    <w:locked/>
    <w:uiPriority w:val="0"/>
    <w:rPr>
      <w:rFonts w:ascii="Calibri" w:hAnsi="Calibri" w:eastAsia="宋体" w:cs="Times New Roman"/>
      <w:kern w:val="2"/>
      <w:sz w:val="18"/>
      <w:szCs w:val="18"/>
    </w:rPr>
  </w:style>
  <w:style w:type="character" w:customStyle="1" w:styleId="37">
    <w:name w:val="批注主题 Char"/>
    <w:link w:val="20"/>
    <w:qFormat/>
    <w:locked/>
    <w:uiPriority w:val="0"/>
    <w:rPr>
      <w:rFonts w:ascii="Calibri" w:hAnsi="Calibri" w:eastAsia="宋体" w:cs="Times New Roman"/>
      <w:b/>
      <w:bCs/>
      <w:kern w:val="2"/>
      <w:sz w:val="22"/>
      <w:szCs w:val="22"/>
    </w:rPr>
  </w:style>
  <w:style w:type="character" w:customStyle="1" w:styleId="38">
    <w:name w:val="bds_nopic2"/>
    <w:basedOn w:val="23"/>
    <w:qFormat/>
    <w:uiPriority w:val="0"/>
  </w:style>
  <w:style w:type="character" w:customStyle="1" w:styleId="39">
    <w:name w:val="bds_nopic"/>
    <w:basedOn w:val="23"/>
    <w:qFormat/>
    <w:uiPriority w:val="0"/>
  </w:style>
  <w:style w:type="character" w:customStyle="1" w:styleId="40">
    <w:name w:val="bds_more"/>
    <w:qFormat/>
    <w:uiPriority w:val="0"/>
  </w:style>
  <w:style w:type="character" w:customStyle="1" w:styleId="41">
    <w:name w:val="bds_more2"/>
    <w:qFormat/>
    <w:uiPriority w:val="0"/>
    <w:rPr>
      <w:rFonts w:hint="eastAsia" w:ascii="宋体" w:hAnsi="宋体" w:eastAsia="宋体" w:cs="宋体"/>
    </w:rPr>
  </w:style>
  <w:style w:type="character" w:customStyle="1" w:styleId="42">
    <w:name w:val="bds_nopic1"/>
    <w:basedOn w:val="23"/>
    <w:qFormat/>
    <w:uiPriority w:val="0"/>
  </w:style>
  <w:style w:type="character" w:customStyle="1" w:styleId="43">
    <w:name w:val="bds_more1"/>
    <w:qFormat/>
    <w:uiPriority w:val="0"/>
  </w:style>
  <w:style w:type="character" w:customStyle="1" w:styleId="44">
    <w:name w:val="批注文字 Char"/>
    <w:link w:val="8"/>
    <w:qFormat/>
    <w:locked/>
    <w:uiPriority w:val="0"/>
    <w:rPr>
      <w:rFonts w:ascii="Calibri" w:hAnsi="Calibri" w:eastAsia="宋体" w:cs="Times New Roman"/>
      <w:kern w:val="2"/>
      <w:sz w:val="22"/>
      <w:szCs w:val="22"/>
    </w:rPr>
  </w:style>
  <w:style w:type="paragraph" w:customStyle="1" w:styleId="45">
    <w:name w:val="列出段落1"/>
    <w:basedOn w:val="1"/>
    <w:qFormat/>
    <w:uiPriority w:val="34"/>
    <w:pPr>
      <w:ind w:firstLine="420" w:firstLineChars="200"/>
    </w:pPr>
  </w:style>
  <w:style w:type="paragraph" w:customStyle="1" w:styleId="4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7">
    <w:name w:val="列出段落11"/>
    <w:basedOn w:val="1"/>
    <w:qFormat/>
    <w:uiPriority w:val="34"/>
    <w:pPr>
      <w:ind w:firstLine="420" w:firstLineChars="200"/>
    </w:pPr>
  </w:style>
  <w:style w:type="paragraph" w:customStyle="1" w:styleId="48">
    <w:name w:val="Char Char6 Char Char"/>
    <w:basedOn w:val="1"/>
    <w:qFormat/>
    <w:uiPriority w:val="0"/>
    <w:rPr>
      <w:rFonts w:ascii="Times New Roman" w:hAnsi="Times New Roman"/>
      <w:szCs w:val="24"/>
    </w:rPr>
  </w:style>
  <w:style w:type="paragraph" w:customStyle="1" w:styleId="49">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paragraph" w:styleId="50">
    <w:name w:val="List Paragraph"/>
    <w:basedOn w:val="1"/>
    <w:qFormat/>
    <w:uiPriority w:val="34"/>
    <w:pPr>
      <w:ind w:firstLine="420" w:firstLineChars="200"/>
    </w:pPr>
  </w:style>
  <w:style w:type="paragraph" w:customStyle="1" w:styleId="51">
    <w:name w:val="p0"/>
    <w:basedOn w:val="1"/>
    <w:qFormat/>
    <w:uiPriority w:val="0"/>
    <w:pPr>
      <w:widowControl/>
    </w:pPr>
    <w:rPr>
      <w:rFonts w:cs="宋体"/>
      <w:kern w:val="0"/>
      <w:szCs w:val="21"/>
    </w:rPr>
  </w:style>
  <w:style w:type="paragraph" w:customStyle="1" w:styleId="52">
    <w:name w:val="_Style 2"/>
    <w:basedOn w:val="1"/>
    <w:qFormat/>
    <w:uiPriority w:val="34"/>
    <w:pPr>
      <w:ind w:firstLine="420" w:firstLineChars="200"/>
    </w:pPr>
  </w:style>
  <w:style w:type="paragraph" w:customStyle="1" w:styleId="53">
    <w:name w:val="Char1"/>
    <w:basedOn w:val="1"/>
    <w:qFormat/>
    <w:uiPriority w:val="0"/>
    <w:pPr>
      <w:tabs>
        <w:tab w:val="left" w:pos="840"/>
      </w:tabs>
      <w:ind w:left="840" w:hanging="420"/>
    </w:pPr>
    <w:rPr>
      <w:rFonts w:ascii="Times New Roman" w:hAnsi="Times New Roman"/>
      <w:sz w:val="28"/>
      <w:szCs w:val="24"/>
    </w:rPr>
  </w:style>
  <w:style w:type="paragraph" w:customStyle="1" w:styleId="54">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5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7">
    <w:name w:val="纯文本 Char"/>
    <w:basedOn w:val="23"/>
    <w:link w:val="13"/>
    <w:qFormat/>
    <w:uiPriority w:val="0"/>
    <w:rPr>
      <w:rFonts w:ascii="宋体" w:hAnsi="Courier New"/>
      <w:kern w:val="2"/>
      <w:sz w:val="21"/>
      <w:szCs w:val="21"/>
    </w:rPr>
  </w:style>
  <w:style w:type="character" w:customStyle="1" w:styleId="58">
    <w:name w:val="正文缩进 Char"/>
    <w:link w:val="7"/>
    <w:qFormat/>
    <w:uiPriority w:val="0"/>
    <w:rPr>
      <w:rFonts w:ascii="楷体_GB2312" w:hAnsi="Calibri" w:eastAsia="楷体_GB2312"/>
      <w:sz w:val="28"/>
      <w:szCs w:val="2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1">
    <w:name w:val="icon"/>
    <w:basedOn w:val="23"/>
    <w:qFormat/>
    <w:uiPriority w:val="0"/>
  </w:style>
  <w:style w:type="character" w:customStyle="1" w:styleId="62">
    <w:name w:val="curpage"/>
    <w:basedOn w:val="23"/>
    <w:qFormat/>
    <w:uiPriority w:val="0"/>
    <w:rPr>
      <w:b/>
    </w:rPr>
  </w:style>
  <w:style w:type="character" w:customStyle="1" w:styleId="63">
    <w:name w:val="text"/>
    <w:basedOn w:val="23"/>
    <w:qFormat/>
    <w:uiPriority w:val="0"/>
  </w:style>
  <w:style w:type="character" w:customStyle="1" w:styleId="64">
    <w:name w:val="active2"/>
    <w:basedOn w:val="23"/>
    <w:qFormat/>
    <w:uiPriority w:val="0"/>
    <w:rPr>
      <w:shd w:val="clear" w:color="auto" w:fill="FFFFFF"/>
    </w:rPr>
  </w:style>
  <w:style w:type="character" w:customStyle="1" w:styleId="65">
    <w:name w:val="active3"/>
    <w:basedOn w:val="23"/>
    <w:qFormat/>
    <w:uiPriority w:val="0"/>
    <w:rPr>
      <w:shd w:val="clear" w:color="auto" w:fill="FFFFFF"/>
    </w:rPr>
  </w:style>
  <w:style w:type="character" w:customStyle="1" w:styleId="66">
    <w:name w:val="hover16"/>
    <w:basedOn w:val="23"/>
    <w:qFormat/>
    <w:uiPriority w:val="0"/>
    <w:rPr>
      <w:bdr w:val="single" w:color="999999" w:sz="6" w:space="0"/>
    </w:rPr>
  </w:style>
  <w:style w:type="character" w:customStyle="1" w:styleId="67">
    <w:name w:val="generalinfo-address-text1"/>
    <w:basedOn w:val="23"/>
    <w:qFormat/>
    <w:uiPriority w:val="0"/>
    <w:rPr>
      <w:sz w:val="18"/>
      <w:szCs w:val="18"/>
    </w:rPr>
  </w:style>
  <w:style w:type="character" w:customStyle="1" w:styleId="68">
    <w:name w:val="time4"/>
    <w:basedOn w:val="23"/>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textRotate="1"/>
    <customShpInfo spid="_x0000_s3075" textRotate="1"/>
    <customShpInfo spid="_x0000_s307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DA0D0-38CF-476F-9CA7-A95C2F4C1A5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52</Pages>
  <Words>3816</Words>
  <Characters>21755</Characters>
  <Lines>181</Lines>
  <Paragraphs>51</Paragraphs>
  <TotalTime>19</TotalTime>
  <ScaleCrop>false</ScaleCrop>
  <LinksUpToDate>false</LinksUpToDate>
  <CharactersWithSpaces>25520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2016-07-04T03:22:00Z</dcterms:created>
  <dc:creator>Administrator</dc:creator>
  <cp:lastModifiedBy>周华富</cp:lastModifiedBy>
  <cp:lastPrinted>2020-12-01T01:47:00Z</cp:lastPrinted>
  <dcterms:modified xsi:type="dcterms:W3CDTF">2021-04-27T12:51:52Z</dcterms:modified>
  <dc:title>公 正 规 范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023C68FE83AF4AAB8F343A6FDAE129FE</vt:lpwstr>
  </property>
</Properties>
</file>