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sz w:val="52"/>
          <w:szCs w:val="52"/>
        </w:rPr>
      </w:pPr>
    </w:p>
    <w:p>
      <w:pPr>
        <w:jc w:val="center"/>
        <w:rPr>
          <w:rFonts w:hint="eastAsia" w:ascii="宋体" w:hAnsi="宋体" w:eastAsia="宋体" w:cs="宋体"/>
          <w:color w:val="auto"/>
          <w:sz w:val="52"/>
          <w:szCs w:val="52"/>
        </w:rPr>
      </w:pPr>
      <w:r>
        <w:rPr>
          <w:rFonts w:hint="eastAsia" w:ascii="宋体" w:hAnsi="宋体" w:eastAsia="宋体" w:cs="宋体"/>
          <w:color w:val="auto"/>
          <w:sz w:val="52"/>
          <w:szCs w:val="52"/>
        </w:rPr>
        <w:t>阳新县县级政府采购</w:t>
      </w:r>
    </w:p>
    <w:p>
      <w:pPr>
        <w:rPr>
          <w:rFonts w:hint="eastAsia" w:ascii="宋体" w:hAnsi="宋体" w:eastAsia="宋体" w:cs="宋体"/>
          <w:bCs/>
          <w:color w:val="auto"/>
          <w:w w:val="66"/>
          <w:sz w:val="144"/>
          <w:szCs w:val="144"/>
        </w:rPr>
      </w:pPr>
    </w:p>
    <w:p>
      <w:pPr>
        <w:jc w:val="center"/>
        <w:rPr>
          <w:rFonts w:hint="eastAsia" w:ascii="宋体" w:hAnsi="宋体" w:eastAsia="宋体" w:cs="宋体"/>
          <w:bCs/>
          <w:color w:val="auto"/>
          <w:w w:val="66"/>
          <w:sz w:val="144"/>
          <w:szCs w:val="144"/>
        </w:rPr>
      </w:pPr>
      <w:r>
        <w:rPr>
          <w:rFonts w:hint="eastAsia" w:ascii="宋体" w:hAnsi="宋体" w:eastAsia="宋体" w:cs="宋体"/>
          <w:bCs/>
          <w:color w:val="auto"/>
          <w:w w:val="66"/>
          <w:sz w:val="144"/>
          <w:szCs w:val="144"/>
        </w:rPr>
        <w:t>竞争性磋商文件</w:t>
      </w:r>
    </w:p>
    <w:p>
      <w:pPr>
        <w:jc w:val="center"/>
        <w:rPr>
          <w:rFonts w:hint="eastAsia" w:ascii="宋体" w:hAnsi="宋体" w:eastAsia="宋体" w:cs="宋体"/>
          <w:color w:val="auto"/>
          <w:sz w:val="72"/>
          <w:szCs w:val="20"/>
        </w:rPr>
      </w:pPr>
    </w:p>
    <w:p>
      <w:pPr>
        <w:jc w:val="center"/>
        <w:rPr>
          <w:rFonts w:hint="eastAsia" w:ascii="宋体" w:hAnsi="宋体" w:eastAsia="宋体" w:cs="宋体"/>
          <w:color w:val="auto"/>
          <w:sz w:val="72"/>
          <w:szCs w:val="20"/>
        </w:rPr>
      </w:pPr>
    </w:p>
    <w:p>
      <w:pPr>
        <w:rPr>
          <w:rFonts w:hint="eastAsia" w:ascii="宋体" w:hAnsi="宋体" w:eastAsia="宋体" w:cs="宋体"/>
          <w:color w:val="auto"/>
          <w:sz w:val="72"/>
          <w:szCs w:val="20"/>
        </w:rPr>
      </w:pPr>
    </w:p>
    <w:p>
      <w:pPr>
        <w:spacing w:line="480" w:lineRule="auto"/>
        <w:ind w:firstLine="640" w:firstLineChars="200"/>
        <w:rPr>
          <w:rFonts w:hint="default" w:ascii="宋体" w:hAnsi="宋体" w:eastAsia="宋体" w:cs="宋体"/>
          <w:bCs/>
          <w:color w:val="auto"/>
          <w:sz w:val="32"/>
          <w:szCs w:val="32"/>
          <w:u w:val="none"/>
          <w:lang w:val="en-US" w:eastAsia="zh-CN"/>
        </w:rPr>
      </w:pPr>
      <w:r>
        <w:rPr>
          <w:rFonts w:hint="eastAsia" w:ascii="宋体" w:hAnsi="宋体" w:eastAsia="宋体" w:cs="宋体"/>
          <w:bCs/>
          <w:color w:val="auto"/>
          <w:sz w:val="32"/>
          <w:szCs w:val="32"/>
        </w:rPr>
        <w:t>项目编号：</w:t>
      </w:r>
      <w:r>
        <w:rPr>
          <w:rFonts w:hint="eastAsia" w:ascii="宋体" w:hAnsi="宋体" w:eastAsia="宋体" w:cs="宋体"/>
          <w:bCs/>
          <w:color w:val="auto"/>
          <w:sz w:val="32"/>
          <w:szCs w:val="32"/>
          <w:u w:val="none"/>
        </w:rPr>
        <w:t>131-202</w:t>
      </w:r>
      <w:r>
        <w:rPr>
          <w:rFonts w:hint="eastAsia" w:ascii="宋体" w:hAnsi="宋体" w:eastAsia="宋体" w:cs="宋体"/>
          <w:bCs/>
          <w:color w:val="auto"/>
          <w:sz w:val="32"/>
          <w:szCs w:val="32"/>
          <w:u w:val="none"/>
          <w:lang w:val="en-US" w:eastAsia="zh-CN"/>
        </w:rPr>
        <w:t>1</w:t>
      </w:r>
      <w:r>
        <w:rPr>
          <w:rFonts w:hint="eastAsia" w:ascii="宋体" w:hAnsi="宋体" w:eastAsia="宋体" w:cs="宋体"/>
          <w:bCs/>
          <w:color w:val="auto"/>
          <w:sz w:val="32"/>
          <w:szCs w:val="32"/>
          <w:u w:val="none"/>
        </w:rPr>
        <w:t>CG-</w:t>
      </w:r>
      <w:r>
        <w:rPr>
          <w:rFonts w:hint="default" w:ascii="宋体" w:hAnsi="宋体" w:eastAsia="宋体" w:cs="宋体"/>
          <w:bCs/>
          <w:color w:val="auto"/>
          <w:sz w:val="32"/>
          <w:szCs w:val="32"/>
          <w:u w:val="none"/>
          <w:lang w:val="en-US"/>
        </w:rPr>
        <w:t>080</w:t>
      </w:r>
    </w:p>
    <w:p>
      <w:pPr>
        <w:spacing w:line="480" w:lineRule="auto"/>
        <w:ind w:firstLine="640" w:firstLineChars="200"/>
        <w:rPr>
          <w:rFonts w:hint="eastAsia" w:ascii="宋体" w:hAnsi="宋体" w:eastAsia="宋体" w:cs="宋体"/>
          <w:bCs/>
          <w:color w:val="auto"/>
          <w:sz w:val="32"/>
          <w:szCs w:val="32"/>
          <w:u w:val="none"/>
          <w:lang w:val="en-US"/>
        </w:rPr>
      </w:pPr>
      <w:r>
        <w:rPr>
          <w:rFonts w:hint="eastAsia" w:ascii="宋体" w:hAnsi="宋体" w:eastAsia="宋体" w:cs="宋体"/>
          <w:bCs/>
          <w:color w:val="auto"/>
          <w:sz w:val="32"/>
          <w:szCs w:val="32"/>
          <w:u w:val="none"/>
        </w:rPr>
        <w:t>采</w:t>
      </w:r>
      <w:r>
        <w:rPr>
          <w:rFonts w:hint="eastAsia" w:ascii="宋体" w:hAnsi="宋体" w:eastAsia="宋体" w:cs="宋体"/>
          <w:bCs/>
          <w:color w:val="auto"/>
          <w:sz w:val="32"/>
          <w:szCs w:val="32"/>
          <w:u w:val="none"/>
          <w:lang w:val="en-US" w:eastAsia="zh-CN"/>
        </w:rPr>
        <w:t xml:space="preserve"> </w:t>
      </w:r>
      <w:r>
        <w:rPr>
          <w:rFonts w:hint="eastAsia" w:ascii="宋体" w:hAnsi="宋体" w:eastAsia="宋体" w:cs="宋体"/>
          <w:bCs/>
          <w:color w:val="auto"/>
          <w:sz w:val="32"/>
          <w:szCs w:val="32"/>
          <w:u w:val="none"/>
        </w:rPr>
        <w:t>购</w:t>
      </w:r>
      <w:r>
        <w:rPr>
          <w:rFonts w:hint="eastAsia" w:ascii="宋体" w:hAnsi="宋体" w:eastAsia="宋体" w:cs="宋体"/>
          <w:bCs/>
          <w:color w:val="auto"/>
          <w:sz w:val="32"/>
          <w:szCs w:val="32"/>
          <w:u w:val="none"/>
          <w:lang w:val="en-US" w:eastAsia="zh-CN"/>
        </w:rPr>
        <w:t xml:space="preserve"> </w:t>
      </w:r>
      <w:r>
        <w:rPr>
          <w:rFonts w:hint="eastAsia" w:ascii="宋体" w:hAnsi="宋体" w:eastAsia="宋体" w:cs="宋体"/>
          <w:bCs/>
          <w:color w:val="auto"/>
          <w:sz w:val="32"/>
          <w:szCs w:val="32"/>
          <w:u w:val="none"/>
        </w:rPr>
        <w:t>人：</w:t>
      </w:r>
      <w:r>
        <w:rPr>
          <w:rFonts w:hint="eastAsia" w:ascii="宋体" w:hAnsi="宋体" w:eastAsia="宋体" w:cs="宋体"/>
          <w:bCs/>
          <w:color w:val="auto"/>
          <w:sz w:val="32"/>
          <w:szCs w:val="32"/>
          <w:u w:val="none"/>
          <w:lang w:val="en-US" w:eastAsia="zh-CN"/>
        </w:rPr>
        <w:t>阳新县森林病虫防治检疫站</w:t>
      </w:r>
    </w:p>
    <w:p>
      <w:pPr>
        <w:spacing w:line="480" w:lineRule="auto"/>
        <w:ind w:firstLine="640" w:firstLineChars="200"/>
        <w:rPr>
          <w:rFonts w:hint="eastAsia" w:ascii="宋体" w:hAnsi="宋体" w:eastAsia="宋体" w:cs="宋体"/>
          <w:bCs/>
          <w:color w:val="auto"/>
          <w:sz w:val="32"/>
          <w:szCs w:val="32"/>
          <w:u w:val="none"/>
          <w:lang w:val="en-US"/>
        </w:rPr>
      </w:pPr>
      <w:r>
        <w:rPr>
          <w:rFonts w:hint="eastAsia" w:ascii="宋体" w:hAnsi="宋体" w:eastAsia="宋体" w:cs="宋体"/>
          <w:bCs/>
          <w:color w:val="auto"/>
          <w:sz w:val="32"/>
          <w:szCs w:val="32"/>
          <w:u w:val="none"/>
        </w:rPr>
        <w:t>项目名称：</w:t>
      </w:r>
      <w:r>
        <w:rPr>
          <w:rFonts w:hint="eastAsia" w:ascii="宋体" w:hAnsi="宋体" w:eastAsia="宋体" w:cs="宋体"/>
          <w:bCs/>
          <w:color w:val="auto"/>
          <w:sz w:val="32"/>
          <w:szCs w:val="32"/>
          <w:u w:val="none"/>
          <w:lang w:val="zh-CN" w:eastAsia="zh-CN"/>
        </w:rPr>
        <w:t>阳新县2021年松墨天牛化学防治项目</w:t>
      </w:r>
    </w:p>
    <w:p>
      <w:pPr>
        <w:spacing w:line="480" w:lineRule="auto"/>
        <w:ind w:firstLine="640" w:firstLineChars="20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u w:val="none"/>
          <w:lang w:eastAsia="zh-CN"/>
        </w:rPr>
        <w:t>磋商</w:t>
      </w:r>
      <w:r>
        <w:rPr>
          <w:rFonts w:hint="eastAsia" w:ascii="宋体" w:hAnsi="宋体" w:eastAsia="宋体" w:cs="宋体"/>
          <w:bCs/>
          <w:color w:val="auto"/>
          <w:sz w:val="32"/>
          <w:szCs w:val="32"/>
          <w:u w:val="none"/>
        </w:rPr>
        <w:t>内容：</w:t>
      </w:r>
      <w:r>
        <w:rPr>
          <w:rFonts w:hint="eastAsia" w:ascii="宋体" w:hAnsi="宋体" w:eastAsia="宋体" w:cs="宋体"/>
          <w:bCs/>
          <w:color w:val="auto"/>
          <w:sz w:val="32"/>
          <w:szCs w:val="32"/>
          <w:u w:val="none"/>
          <w:lang w:eastAsia="zh-CN"/>
        </w:rPr>
        <w:t>松墨天牛化学防治</w:t>
      </w:r>
    </w:p>
    <w:p>
      <w:pPr>
        <w:adjustRightInd w:val="0"/>
        <w:snapToGrid w:val="0"/>
        <w:jc w:val="center"/>
        <w:rPr>
          <w:rFonts w:hint="eastAsia" w:ascii="宋体" w:hAnsi="宋体" w:eastAsia="宋体" w:cs="宋体"/>
          <w:b/>
          <w:bCs w:val="0"/>
          <w:snapToGrid w:val="0"/>
          <w:color w:val="auto"/>
          <w:kern w:val="0"/>
          <w:position w:val="-98"/>
          <w:sz w:val="96"/>
          <w:szCs w:val="96"/>
          <w:lang w:eastAsia="zh-CN"/>
        </w:rPr>
      </w:pPr>
      <w:r>
        <w:rPr>
          <w:rFonts w:hint="eastAsia" w:ascii="宋体" w:hAnsi="宋体" w:eastAsia="宋体" w:cs="宋体"/>
          <w:b/>
          <w:bCs w:val="0"/>
          <w:snapToGrid w:val="0"/>
          <w:color w:val="auto"/>
          <w:kern w:val="0"/>
          <w:position w:val="-98"/>
          <w:sz w:val="48"/>
          <w:szCs w:val="48"/>
          <w:lang w:eastAsia="zh-CN"/>
        </w:rPr>
        <w:t>湖北天缔工程咨询有限公司</w:t>
      </w:r>
    </w:p>
    <w:p>
      <w:pPr>
        <w:spacing w:line="520" w:lineRule="exact"/>
        <w:jc w:val="center"/>
        <w:rPr>
          <w:rFonts w:hint="eastAsia" w:ascii="宋体" w:hAnsi="宋体" w:eastAsia="宋体" w:cs="宋体"/>
          <w:b/>
          <w:color w:val="auto"/>
          <w:sz w:val="32"/>
          <w:szCs w:val="32"/>
        </w:rPr>
        <w:sectPr>
          <w:headerReference r:id="rId3" w:type="first"/>
          <w:footerReference r:id="rId4" w:type="default"/>
          <w:footerReference r:id="rId5" w:type="even"/>
          <w:pgSz w:w="11906" w:h="16838"/>
          <w:pgMar w:top="1440" w:right="1800" w:bottom="1440" w:left="1800" w:header="851" w:footer="992" w:gutter="0"/>
          <w:cols w:space="425" w:num="1"/>
          <w:titlePg/>
          <w:docGrid w:type="lines" w:linePitch="312" w:charSpace="0"/>
        </w:sect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4月</w:t>
      </w: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目  录</w:t>
      </w:r>
    </w:p>
    <w:p>
      <w:pPr>
        <w:rPr>
          <w:rFonts w:hint="eastAsia" w:ascii="宋体" w:hAnsi="宋体" w:eastAsia="宋体" w:cs="宋体"/>
          <w:color w:val="auto"/>
          <w:sz w:val="24"/>
          <w:szCs w:val="24"/>
        </w:rPr>
      </w:pPr>
      <w:bookmarkStart w:id="48" w:name="_GoBack"/>
      <w:bookmarkEnd w:id="48"/>
    </w:p>
    <w:sdt>
      <w:sdtPr>
        <w:rPr>
          <w:rFonts w:hint="eastAsia" w:ascii="宋体" w:hAnsi="宋体" w:eastAsia="宋体" w:cs="宋体"/>
          <w:color w:val="auto"/>
          <w:kern w:val="2"/>
          <w:sz w:val="21"/>
          <w:szCs w:val="22"/>
          <w:lang w:val="en-US" w:eastAsia="zh-CN" w:bidi="ar-SA"/>
        </w:rPr>
        <w:id w:val="147479515"/>
        <w15:color w:val="DBDBDB"/>
        <w:docPartObj>
          <w:docPartGallery w:val="Table of Contents"/>
          <w:docPartUnique/>
        </w:docPartObj>
      </w:sdtPr>
      <w:sdtEndPr>
        <w:rPr>
          <w:rFonts w:hint="eastAsia" w:ascii="宋体" w:hAnsi="宋体" w:eastAsia="宋体" w:cs="宋体"/>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color w:val="auto"/>
            </w:rPr>
          </w:pPr>
        </w:p>
        <w:p>
          <w:pPr>
            <w:pStyle w:val="8"/>
            <w:keepNext w:val="0"/>
            <w:keepLines w:val="0"/>
            <w:pageBreakBefore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\u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rPr>
            <w:t>第一章 邀请函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_Toc32143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 xml:space="preserve">第二章 </w:t>
          </w:r>
          <w:r>
            <w:rPr>
              <w:rFonts w:hint="eastAsia" w:ascii="宋体" w:hAnsi="宋体" w:eastAsia="宋体" w:cs="宋体"/>
              <w:bCs/>
              <w:color w:val="auto"/>
              <w:sz w:val="28"/>
              <w:szCs w:val="28"/>
            </w:rPr>
            <w:t>磋商须知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_Toc19607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第三章  采购</w:t>
          </w:r>
          <w:r>
            <w:rPr>
              <w:rFonts w:hint="eastAsia" w:ascii="宋体" w:hAnsi="宋体" w:eastAsia="宋体" w:cs="宋体"/>
              <w:color w:val="auto"/>
              <w:sz w:val="28"/>
              <w:szCs w:val="28"/>
            </w:rPr>
            <w:t>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_Toc14263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14</w:t>
          </w:r>
          <w:r>
            <w:rPr>
              <w:rFonts w:hint="eastAsia" w:ascii="宋体" w:hAnsi="宋体" w:eastAsia="宋体" w:cs="宋体"/>
              <w:color w:val="auto"/>
              <w:sz w:val="28"/>
              <w:szCs w:val="28"/>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第四章  评审办法及评分标准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_Toc7896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17</w:t>
          </w:r>
          <w:r>
            <w:rPr>
              <w:rFonts w:hint="eastAsia" w:ascii="宋体" w:hAnsi="宋体" w:eastAsia="宋体" w:cs="宋体"/>
              <w:color w:val="auto"/>
              <w:sz w:val="28"/>
              <w:szCs w:val="28"/>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第五章 合同书（参考格式）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_Toc7270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20</w:t>
          </w:r>
          <w:r>
            <w:rPr>
              <w:rFonts w:hint="eastAsia" w:ascii="宋体" w:hAnsi="宋体" w:eastAsia="宋体" w:cs="宋体"/>
              <w:color w:val="auto"/>
              <w:sz w:val="28"/>
              <w:szCs w:val="28"/>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第六章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_Toc17822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22</w:t>
          </w:r>
          <w:r>
            <w:rPr>
              <w:rFonts w:hint="eastAsia" w:ascii="宋体" w:hAnsi="宋体" w:eastAsia="宋体" w:cs="宋体"/>
              <w:color w:val="auto"/>
              <w:sz w:val="28"/>
              <w:szCs w:val="28"/>
            </w:rPr>
            <w:fldChar w:fldCharType="end"/>
          </w:r>
        </w:p>
        <w:p>
          <w:pPr>
            <w:keepNext w:val="0"/>
            <w:keepLines w:val="0"/>
            <w:pageBreakBefore w:val="0"/>
            <w:kinsoku/>
            <w:wordWrap/>
            <w:overflowPunct/>
            <w:topLinePunct w:val="0"/>
            <w:autoSpaceDE/>
            <w:autoSpaceDN/>
            <w:bidi w:val="0"/>
            <w:adjustRightInd/>
            <w:snapToGrid/>
            <w:spacing w:line="720" w:lineRule="auto"/>
            <w:textAlignment w:val="auto"/>
            <w:rPr>
              <w:rFonts w:hint="eastAsia" w:ascii="宋体" w:hAnsi="宋体" w:eastAsia="宋体" w:cs="宋体"/>
              <w:color w:val="auto"/>
              <w:sz w:val="24"/>
              <w:szCs w:val="24"/>
            </w:rPr>
          </w:pPr>
          <w:r>
            <w:rPr>
              <w:rFonts w:hint="eastAsia" w:ascii="宋体" w:hAnsi="宋体" w:eastAsia="宋体" w:cs="宋体"/>
              <w:color w:val="auto"/>
              <w:sz w:val="28"/>
              <w:szCs w:val="28"/>
            </w:rPr>
            <w:fldChar w:fldCharType="end"/>
          </w:r>
        </w:p>
      </w:sdtContent>
    </w:sdt>
    <w:p>
      <w:pPr>
        <w:widowControl/>
        <w:jc w:val="left"/>
        <w:rPr>
          <w:rFonts w:hint="eastAsia" w:ascii="宋体" w:hAnsi="宋体" w:eastAsia="宋体" w:cs="宋体"/>
          <w:color w:val="auto"/>
          <w:sz w:val="24"/>
          <w:szCs w:val="24"/>
        </w:rPr>
        <w:sectPr>
          <w:headerReference r:id="rId6"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color w:val="auto"/>
          <w:sz w:val="36"/>
          <w:szCs w:val="36"/>
        </w:rPr>
      </w:pPr>
      <w:bookmarkStart w:id="0" w:name="_Toc23991"/>
      <w:bookmarkStart w:id="1" w:name="_Toc32143"/>
      <w:r>
        <w:rPr>
          <w:rFonts w:hint="eastAsia" w:ascii="宋体" w:hAnsi="宋体" w:eastAsia="宋体" w:cs="宋体"/>
          <w:b/>
          <w:bCs/>
          <w:color w:val="auto"/>
          <w:sz w:val="36"/>
          <w:szCs w:val="36"/>
        </w:rPr>
        <w:t>第一章 邀请函</w:t>
      </w:r>
      <w:bookmarkEnd w:id="0"/>
      <w:bookmarkEnd w:id="1"/>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8"/>
          <w:szCs w:val="24"/>
          <w:u w:val="none"/>
          <w:lang w:bidi="ar-EG"/>
        </w:rPr>
      </w:pPr>
      <w:r>
        <w:rPr>
          <w:rFonts w:hint="eastAsia" w:ascii="宋体" w:hAnsi="宋体" w:eastAsia="宋体" w:cs="宋体"/>
          <w:bCs/>
          <w:color w:val="auto"/>
          <w:sz w:val="28"/>
          <w:szCs w:val="24"/>
          <w:u w:val="none"/>
          <w:lang w:bidi="ar-EG"/>
        </w:rPr>
        <w:t>（受邀请供应商名称）：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磋商小组确定你公司为（</w:t>
      </w:r>
      <w:r>
        <w:rPr>
          <w:rFonts w:hint="eastAsia" w:ascii="宋体" w:hAnsi="宋体" w:eastAsia="宋体" w:cs="宋体"/>
          <w:color w:val="auto"/>
          <w:sz w:val="28"/>
          <w:szCs w:val="28"/>
          <w:lang w:val="en-US" w:eastAsia="zh-CN"/>
        </w:rPr>
        <w:t>阳新县2021年松墨天牛化学防治项目，阳财采计备[2021] A069号</w:t>
      </w:r>
      <w:r>
        <w:rPr>
          <w:rFonts w:hint="eastAsia" w:ascii="宋体" w:hAnsi="宋体" w:eastAsia="宋体" w:cs="宋体"/>
          <w:color w:val="auto"/>
          <w:sz w:val="28"/>
          <w:szCs w:val="28"/>
        </w:rPr>
        <w:t>）磋商供应商，现邀请你公司参加竞争性磋商。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auto"/>
          <w:sz w:val="28"/>
          <w:szCs w:val="28"/>
          <w:lang w:val="en-US" w:eastAsia="zh-CN" w:bidi="ar"/>
        </w:rPr>
      </w:pPr>
      <w:r>
        <w:rPr>
          <w:rFonts w:hint="eastAsia" w:ascii="宋体" w:hAnsi="宋体" w:eastAsia="宋体" w:cs="宋体"/>
          <w:bCs/>
          <w:color w:val="auto"/>
          <w:sz w:val="28"/>
          <w:szCs w:val="28"/>
          <w:lang w:bidi="ar-EG"/>
        </w:rPr>
        <w:t>一、项目编号：</w:t>
      </w:r>
      <w:r>
        <w:rPr>
          <w:rFonts w:hint="eastAsia" w:ascii="宋体" w:hAnsi="宋体" w:eastAsia="宋体" w:cs="宋体"/>
          <w:color w:val="auto"/>
          <w:sz w:val="28"/>
          <w:szCs w:val="28"/>
          <w:lang w:val="en-US" w:eastAsia="zh-CN" w:bidi="ar"/>
        </w:rPr>
        <w:t>131-2021CG-</w:t>
      </w:r>
      <w:r>
        <w:rPr>
          <w:rFonts w:hint="default" w:ascii="宋体" w:hAnsi="宋体" w:eastAsia="宋体" w:cs="宋体"/>
          <w:color w:val="auto"/>
          <w:sz w:val="28"/>
          <w:szCs w:val="28"/>
          <w:lang w:val="en-US" w:eastAsia="zh-CN" w:bidi="ar"/>
        </w:rPr>
        <w:t>080</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color w:val="auto"/>
          <w:sz w:val="28"/>
          <w:szCs w:val="28"/>
          <w:lang w:bidi="ar-EG"/>
        </w:rPr>
      </w:pPr>
      <w:r>
        <w:rPr>
          <w:rFonts w:hint="eastAsia" w:ascii="宋体" w:hAnsi="宋体" w:eastAsia="宋体" w:cs="宋体"/>
          <w:bCs/>
          <w:color w:val="auto"/>
          <w:sz w:val="28"/>
          <w:szCs w:val="28"/>
          <w:lang w:bidi="ar-EG"/>
        </w:rPr>
        <w:t>二、项目名称：</w:t>
      </w:r>
      <w:r>
        <w:rPr>
          <w:rFonts w:hint="eastAsia" w:ascii="宋体" w:hAnsi="宋体" w:eastAsia="宋体" w:cs="宋体"/>
          <w:color w:val="auto"/>
          <w:sz w:val="28"/>
          <w:szCs w:val="28"/>
          <w:lang w:val="en-US" w:eastAsia="zh-CN" w:bidi="ar"/>
        </w:rPr>
        <w:t>阳新县2021年松墨天牛化学防治项目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color w:val="auto"/>
          <w:sz w:val="28"/>
          <w:szCs w:val="28"/>
        </w:rPr>
        <w:t>三、磋商内容：</w:t>
      </w:r>
      <w:r>
        <w:rPr>
          <w:rFonts w:hint="eastAsia" w:ascii="宋体" w:hAnsi="宋体" w:eastAsia="宋体" w:cs="宋体"/>
          <w:color w:val="auto"/>
          <w:sz w:val="28"/>
          <w:szCs w:val="28"/>
          <w:lang w:val="en-US" w:eastAsia="zh-CN" w:bidi="ar"/>
        </w:rPr>
        <w:t>松墨天牛化学防治（详见采购需求）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四、采购预算：</w:t>
      </w:r>
      <w:r>
        <w:rPr>
          <w:rFonts w:hint="eastAsia" w:ascii="宋体" w:hAnsi="宋体" w:eastAsia="宋体" w:cs="宋体"/>
          <w:color w:val="auto"/>
          <w:sz w:val="28"/>
          <w:szCs w:val="28"/>
          <w:lang w:val="en-US" w:eastAsia="zh-CN" w:bidi="ar"/>
        </w:rPr>
        <w:t>80</w:t>
      </w:r>
      <w:r>
        <w:rPr>
          <w:rFonts w:hint="eastAsia" w:ascii="宋体" w:hAnsi="宋体" w:eastAsia="宋体" w:cs="宋体"/>
          <w:bCs/>
          <w:color w:val="auto"/>
          <w:sz w:val="28"/>
          <w:szCs w:val="28"/>
        </w:rPr>
        <w:t>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五、供应商资格条件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（一）供应商应具备《政府采购法》第二十二条第一款之规定的基本条件；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4"/>
        </w:rPr>
        <w:t>参加本次政府采购活动前三年内，在经营活动中没有重大违法记录并须提交《参加政府采购活动前3年内在经营活动中没有重大违法记录的书面声明》，且必须未被列入"信用中国"网站失信被执行人、重大税收违法案件当事人、未被中国政府采购网列入严重违法失信行为记录名单（须提供</w:t>
      </w:r>
      <w:r>
        <w:rPr>
          <w:rFonts w:hint="eastAsia" w:ascii="宋体" w:hAnsi="宋体" w:eastAsia="宋体" w:cs="宋体"/>
          <w:color w:val="auto"/>
          <w:sz w:val="28"/>
          <w:szCs w:val="24"/>
          <w:lang w:eastAsia="zh-CN"/>
        </w:rPr>
        <w:t>网页</w:t>
      </w:r>
      <w:r>
        <w:rPr>
          <w:rFonts w:hint="eastAsia" w:ascii="宋体" w:hAnsi="宋体" w:eastAsia="宋体" w:cs="宋体"/>
          <w:color w:val="auto"/>
          <w:sz w:val="28"/>
          <w:szCs w:val="24"/>
        </w:rPr>
        <w:t>截图）</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lang w:val="en-US" w:eastAsia="zh-CN" w:bidi="ar"/>
        </w:rPr>
        <w:t>特定条件</w:t>
      </w:r>
      <w:r>
        <w:rPr>
          <w:rFonts w:hint="eastAsia" w:ascii="宋体" w:hAnsi="宋体" w:eastAsia="宋体" w:cs="宋体"/>
          <w:color w:val="auto"/>
          <w:sz w:val="28"/>
          <w:szCs w:val="28"/>
          <w:highlight w:val="none"/>
          <w:lang w:val="en-US" w:eastAsia="zh-CN" w:bidi="ar"/>
        </w:rPr>
        <w:t>：供应商须具备工商行政主管部门核发的有效法人营业执照，并具备相关的履约能力（如森林病虫害防治内容等）</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（四）本项目不接受联合体投标。</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outlineLvl w:val="9"/>
        <w:rPr>
          <w:rFonts w:hint="eastAsia" w:ascii="宋体" w:hAnsi="宋体" w:eastAsia="宋体" w:cs="宋体"/>
          <w:color w:val="auto"/>
          <w:sz w:val="28"/>
          <w:szCs w:val="24"/>
        </w:rPr>
      </w:pPr>
      <w:r>
        <w:rPr>
          <w:rFonts w:hint="eastAsia" w:ascii="宋体" w:hAnsi="宋体" w:eastAsia="宋体" w:cs="宋体"/>
          <w:color w:val="auto"/>
          <w:sz w:val="28"/>
          <w:szCs w:val="24"/>
        </w:rPr>
        <w:t>六、是否专门面向中小企业、监狱企业、残疾人福利性单位：否。</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outlineLvl w:val="9"/>
        <w:rPr>
          <w:rFonts w:hint="eastAsia" w:ascii="宋体" w:hAnsi="宋体" w:eastAsia="宋体" w:cs="宋体"/>
          <w:color w:val="auto"/>
          <w:sz w:val="28"/>
          <w:szCs w:val="24"/>
        </w:rPr>
      </w:pPr>
      <w:r>
        <w:rPr>
          <w:rFonts w:hint="eastAsia" w:ascii="宋体" w:hAnsi="宋体" w:eastAsia="宋体" w:cs="宋体"/>
          <w:color w:val="auto"/>
          <w:sz w:val="28"/>
          <w:szCs w:val="24"/>
        </w:rPr>
        <w:t>七、竞争性磋商文件的获得</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宋体" w:hAnsi="宋体" w:eastAsia="宋体" w:cs="宋体"/>
          <w:color w:val="auto"/>
          <w:sz w:val="28"/>
          <w:szCs w:val="24"/>
          <w:lang w:bidi="ar-EG"/>
        </w:rPr>
      </w:pPr>
      <w:r>
        <w:rPr>
          <w:rFonts w:hint="eastAsia" w:ascii="宋体" w:hAnsi="宋体" w:eastAsia="宋体" w:cs="宋体"/>
          <w:color w:val="auto"/>
          <w:sz w:val="28"/>
          <w:szCs w:val="24"/>
          <w:lang w:bidi="ar-EG"/>
        </w:rPr>
        <w:t>领取时间：20</w:t>
      </w:r>
      <w:r>
        <w:rPr>
          <w:rFonts w:hint="eastAsia" w:ascii="宋体" w:hAnsi="宋体" w:eastAsia="宋体" w:cs="宋体"/>
          <w:color w:val="auto"/>
          <w:sz w:val="28"/>
          <w:szCs w:val="24"/>
          <w:lang w:val="en-US" w:eastAsia="zh-CN" w:bidi="ar-EG"/>
        </w:rPr>
        <w:t>21</w:t>
      </w:r>
      <w:r>
        <w:rPr>
          <w:rFonts w:hint="eastAsia" w:ascii="宋体" w:hAnsi="宋体" w:eastAsia="宋体" w:cs="宋体"/>
          <w:color w:val="auto"/>
          <w:sz w:val="28"/>
          <w:szCs w:val="24"/>
          <w:lang w:bidi="ar-EG"/>
        </w:rPr>
        <w:t>年</w:t>
      </w:r>
      <w:r>
        <w:rPr>
          <w:rFonts w:hint="default" w:ascii="宋体" w:hAnsi="宋体" w:eastAsia="宋体" w:cs="宋体"/>
          <w:color w:val="auto"/>
          <w:sz w:val="28"/>
          <w:szCs w:val="24"/>
          <w:lang w:val="en-US" w:eastAsia="zh-CN" w:bidi="ar-EG"/>
        </w:rPr>
        <w:t>05</w:t>
      </w:r>
      <w:r>
        <w:rPr>
          <w:rFonts w:hint="eastAsia" w:ascii="宋体" w:hAnsi="宋体" w:eastAsia="宋体" w:cs="宋体"/>
          <w:color w:val="auto"/>
          <w:sz w:val="28"/>
          <w:szCs w:val="24"/>
          <w:lang w:bidi="ar-EG"/>
        </w:rPr>
        <w:t>月</w:t>
      </w:r>
      <w:r>
        <w:rPr>
          <w:rFonts w:hint="default" w:ascii="宋体" w:hAnsi="宋体" w:eastAsia="宋体" w:cs="宋体"/>
          <w:color w:val="auto"/>
          <w:sz w:val="28"/>
          <w:szCs w:val="24"/>
          <w:lang w:val="en-US" w:eastAsia="zh-CN" w:bidi="ar-EG"/>
        </w:rPr>
        <w:t>12</w:t>
      </w:r>
      <w:r>
        <w:rPr>
          <w:rFonts w:hint="eastAsia" w:ascii="宋体" w:hAnsi="宋体" w:eastAsia="宋体" w:cs="宋体"/>
          <w:color w:val="auto"/>
          <w:sz w:val="28"/>
          <w:szCs w:val="24"/>
          <w:lang w:bidi="ar-EG"/>
        </w:rPr>
        <w:t>日起至</w:t>
      </w:r>
      <w:r>
        <w:rPr>
          <w:rFonts w:hint="default" w:ascii="宋体" w:hAnsi="宋体" w:eastAsia="宋体" w:cs="宋体"/>
          <w:color w:val="auto"/>
          <w:sz w:val="28"/>
          <w:szCs w:val="24"/>
          <w:lang w:val="en-US" w:eastAsia="zh-CN" w:bidi="ar-EG"/>
        </w:rPr>
        <w:t>05</w:t>
      </w:r>
      <w:r>
        <w:rPr>
          <w:rFonts w:hint="eastAsia" w:ascii="宋体" w:hAnsi="宋体" w:eastAsia="宋体" w:cs="宋体"/>
          <w:color w:val="auto"/>
          <w:sz w:val="28"/>
          <w:szCs w:val="24"/>
          <w:lang w:bidi="ar-EG"/>
        </w:rPr>
        <w:t>月</w:t>
      </w:r>
      <w:r>
        <w:rPr>
          <w:rFonts w:hint="default" w:ascii="宋体" w:hAnsi="宋体" w:eastAsia="宋体" w:cs="宋体"/>
          <w:color w:val="auto"/>
          <w:sz w:val="28"/>
          <w:szCs w:val="24"/>
          <w:lang w:val="en-US" w:eastAsia="zh-CN" w:bidi="ar-EG"/>
        </w:rPr>
        <w:t>18</w:t>
      </w:r>
      <w:r>
        <w:rPr>
          <w:rFonts w:hint="eastAsia" w:ascii="宋体" w:hAnsi="宋体" w:eastAsia="宋体" w:cs="宋体"/>
          <w:color w:val="auto"/>
          <w:sz w:val="28"/>
          <w:szCs w:val="24"/>
          <w:lang w:bidi="ar-EG"/>
        </w:rPr>
        <w:t>日17时</w:t>
      </w:r>
      <w:r>
        <w:rPr>
          <w:rFonts w:hint="eastAsia" w:ascii="宋体" w:hAnsi="宋体" w:eastAsia="宋体" w:cs="宋体"/>
          <w:color w:val="auto"/>
          <w:sz w:val="28"/>
          <w:szCs w:val="24"/>
          <w:lang w:val="en-US" w:eastAsia="zh-CN" w:bidi="ar-EG"/>
        </w:rPr>
        <w:t>30分</w:t>
      </w:r>
      <w:r>
        <w:rPr>
          <w:rFonts w:hint="eastAsia" w:ascii="宋体" w:hAnsi="宋体" w:eastAsia="宋体" w:cs="宋体"/>
          <w:color w:val="auto"/>
          <w:sz w:val="28"/>
          <w:szCs w:val="24"/>
          <w:lang w:bidi="ar-EG"/>
        </w:rPr>
        <w:t>止（工作时间）。</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宋体" w:hAnsi="宋体" w:eastAsia="宋体" w:cs="宋体"/>
          <w:color w:val="auto"/>
          <w:sz w:val="28"/>
          <w:szCs w:val="24"/>
          <w:lang w:bidi="ar-EG"/>
        </w:rPr>
      </w:pPr>
      <w:r>
        <w:rPr>
          <w:rFonts w:hint="eastAsia" w:ascii="宋体" w:hAnsi="宋体" w:eastAsia="宋体" w:cs="宋体"/>
          <w:color w:val="auto"/>
          <w:sz w:val="28"/>
          <w:szCs w:val="24"/>
          <w:lang w:bidi="ar-EG"/>
        </w:rPr>
        <w:t>领取方式：</w:t>
      </w:r>
      <w:r>
        <w:rPr>
          <w:rFonts w:hint="eastAsia" w:ascii="宋体" w:hAnsi="宋体" w:eastAsia="宋体" w:cs="宋体"/>
          <w:color w:val="auto"/>
          <w:sz w:val="28"/>
          <w:szCs w:val="24"/>
          <w:lang w:val="en-US" w:eastAsia="zh-CN" w:bidi="ar-EG"/>
        </w:rPr>
        <w:t>采购代理公司按磋商小组征集并确定好的供应商发送电子邮件通知其合格，并邀请其前往采购代理公司领取纸质采购文件。本采购文件300元/套。</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8"/>
          <w:szCs w:val="24"/>
          <w:lang w:val="hr-HR" w:bidi="ar-EG"/>
        </w:rPr>
      </w:pPr>
      <w:r>
        <w:rPr>
          <w:rFonts w:hint="eastAsia" w:ascii="宋体" w:hAnsi="宋体" w:eastAsia="宋体" w:cs="宋体"/>
          <w:color w:val="auto"/>
          <w:sz w:val="28"/>
          <w:szCs w:val="24"/>
          <w:lang w:val="hr-HR" w:eastAsia="zh-CN" w:bidi="ar-EG"/>
        </w:rPr>
        <w:t>八</w:t>
      </w:r>
      <w:r>
        <w:rPr>
          <w:rFonts w:hint="eastAsia" w:ascii="宋体" w:hAnsi="宋体" w:eastAsia="宋体" w:cs="宋体"/>
          <w:color w:val="auto"/>
          <w:sz w:val="28"/>
          <w:szCs w:val="24"/>
          <w:lang w:val="hr-HR" w:bidi="ar-EG"/>
        </w:rPr>
        <w:t>、递交响应文件截止时间和磋商时间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outlineLvl w:val="9"/>
        <w:rPr>
          <w:rFonts w:hint="eastAsia" w:ascii="宋体" w:hAnsi="宋体" w:eastAsia="宋体" w:cs="宋体"/>
          <w:color w:val="auto"/>
          <w:sz w:val="28"/>
          <w:szCs w:val="28"/>
          <w:lang w:val="en-US"/>
        </w:rPr>
      </w:pPr>
      <w:r>
        <w:rPr>
          <w:rFonts w:hint="eastAsia" w:ascii="宋体" w:hAnsi="宋体" w:eastAsia="宋体" w:cs="宋体"/>
          <w:color w:val="auto"/>
          <w:sz w:val="28"/>
          <w:szCs w:val="24"/>
          <w:lang w:val="hr-HR" w:bidi="ar-EG"/>
        </w:rPr>
        <w:t>递交响应文件截止时间：20</w:t>
      </w:r>
      <w:r>
        <w:rPr>
          <w:rFonts w:hint="eastAsia" w:ascii="宋体" w:hAnsi="宋体" w:eastAsia="宋体" w:cs="宋体"/>
          <w:color w:val="auto"/>
          <w:sz w:val="28"/>
          <w:szCs w:val="24"/>
          <w:lang w:val="en-US" w:eastAsia="zh-CN" w:bidi="ar-EG"/>
        </w:rPr>
        <w:t>21</w:t>
      </w:r>
      <w:r>
        <w:rPr>
          <w:rFonts w:hint="eastAsia" w:ascii="宋体" w:hAnsi="宋体" w:eastAsia="宋体" w:cs="宋体"/>
          <w:color w:val="auto"/>
          <w:sz w:val="28"/>
          <w:szCs w:val="24"/>
          <w:lang w:val="hr-HR" w:bidi="ar-EG"/>
        </w:rPr>
        <w:t>年</w:t>
      </w:r>
      <w:r>
        <w:rPr>
          <w:rFonts w:hint="default" w:ascii="宋体" w:hAnsi="宋体" w:cs="宋体"/>
          <w:i w:val="0"/>
          <w:caps w:val="0"/>
          <w:color w:val="auto"/>
          <w:spacing w:val="0"/>
          <w:kern w:val="0"/>
          <w:sz w:val="28"/>
          <w:szCs w:val="28"/>
          <w:highlight w:val="none"/>
          <w:u w:val="none"/>
          <w:shd w:val="clear" w:color="auto" w:fill="auto"/>
          <w:lang w:val="en-US" w:eastAsia="zh-CN" w:bidi="ar"/>
        </w:rPr>
        <w:t>05</w:t>
      </w:r>
      <w:r>
        <w:rPr>
          <w:rFonts w:hint="eastAsia" w:ascii="宋体" w:hAnsi="宋体" w:eastAsia="宋体" w:cs="宋体"/>
          <w:i w:val="0"/>
          <w:caps w:val="0"/>
          <w:color w:val="auto"/>
          <w:spacing w:val="0"/>
          <w:kern w:val="0"/>
          <w:sz w:val="28"/>
          <w:szCs w:val="28"/>
          <w:highlight w:val="none"/>
          <w:u w:val="none"/>
          <w:shd w:val="clear" w:color="auto" w:fill="auto"/>
          <w:lang w:val="en-US" w:eastAsia="zh-CN" w:bidi="ar"/>
        </w:rPr>
        <w:t>月</w:t>
      </w:r>
      <w:r>
        <w:rPr>
          <w:rFonts w:hint="default" w:ascii="宋体" w:hAnsi="宋体" w:cs="宋体"/>
          <w:i w:val="0"/>
          <w:caps w:val="0"/>
          <w:color w:val="auto"/>
          <w:spacing w:val="0"/>
          <w:kern w:val="0"/>
          <w:sz w:val="28"/>
          <w:szCs w:val="28"/>
          <w:highlight w:val="none"/>
          <w:u w:val="none"/>
          <w:shd w:val="clear" w:color="auto" w:fill="auto"/>
          <w:lang w:val="en-US" w:eastAsia="zh-CN" w:bidi="ar"/>
        </w:rPr>
        <w:t>24</w:t>
      </w:r>
      <w:r>
        <w:rPr>
          <w:rFonts w:hint="eastAsia" w:ascii="宋体" w:hAnsi="宋体" w:eastAsia="宋体" w:cs="宋体"/>
          <w:i w:val="0"/>
          <w:caps w:val="0"/>
          <w:color w:val="auto"/>
          <w:spacing w:val="0"/>
          <w:kern w:val="0"/>
          <w:sz w:val="28"/>
          <w:szCs w:val="28"/>
          <w:highlight w:val="none"/>
          <w:u w:val="none"/>
          <w:shd w:val="clear" w:color="auto" w:fill="auto"/>
          <w:lang w:val="en-US" w:eastAsia="zh-CN" w:bidi="ar"/>
        </w:rPr>
        <w:t>日</w:t>
      </w:r>
      <w:r>
        <w:rPr>
          <w:rFonts w:hint="default" w:ascii="宋体" w:hAnsi="宋体" w:cs="宋体"/>
          <w:i w:val="0"/>
          <w:caps w:val="0"/>
          <w:color w:val="auto"/>
          <w:spacing w:val="0"/>
          <w:kern w:val="0"/>
          <w:sz w:val="28"/>
          <w:szCs w:val="28"/>
          <w:highlight w:val="none"/>
          <w:u w:val="none"/>
          <w:shd w:val="clear" w:color="auto" w:fill="auto"/>
          <w:lang w:val="en-US" w:eastAsia="zh-CN" w:bidi="ar"/>
        </w:rPr>
        <w:t>15</w:t>
      </w:r>
      <w:r>
        <w:rPr>
          <w:rFonts w:hint="eastAsia" w:ascii="宋体" w:hAnsi="宋体" w:eastAsia="宋体" w:cs="宋体"/>
          <w:i w:val="0"/>
          <w:caps w:val="0"/>
          <w:color w:val="auto"/>
          <w:spacing w:val="0"/>
          <w:kern w:val="0"/>
          <w:sz w:val="28"/>
          <w:szCs w:val="28"/>
          <w:highlight w:val="none"/>
          <w:u w:val="none"/>
          <w:shd w:val="clear" w:color="auto" w:fill="auto"/>
          <w:lang w:val="en-US" w:eastAsia="zh-CN" w:bidi="ar"/>
        </w:rPr>
        <w:t>点</w:t>
      </w:r>
      <w:r>
        <w:rPr>
          <w:rFonts w:hint="default" w:ascii="宋体" w:hAnsi="宋体" w:cs="宋体"/>
          <w:i w:val="0"/>
          <w:caps w:val="0"/>
          <w:color w:val="auto"/>
          <w:spacing w:val="0"/>
          <w:kern w:val="0"/>
          <w:sz w:val="28"/>
          <w:szCs w:val="28"/>
          <w:highlight w:val="none"/>
          <w:u w:val="none"/>
          <w:shd w:val="clear" w:color="auto" w:fill="auto"/>
          <w:lang w:val="en-US" w:eastAsia="zh-CN" w:bidi="ar"/>
        </w:rPr>
        <w:t>00</w:t>
      </w:r>
      <w:r>
        <w:rPr>
          <w:rFonts w:hint="eastAsia" w:ascii="宋体" w:hAnsi="宋体" w:eastAsia="宋体" w:cs="宋体"/>
          <w:color w:val="auto"/>
          <w:sz w:val="28"/>
          <w:szCs w:val="24"/>
          <w:lang w:val="en-US" w:eastAsia="zh-CN" w:bidi="ar-EG"/>
        </w:rPr>
        <w:t>分</w:t>
      </w:r>
      <w:r>
        <w:rPr>
          <w:rFonts w:hint="eastAsia" w:ascii="宋体" w:hAnsi="宋体" w:eastAsia="宋体" w:cs="宋体"/>
          <w:color w:val="auto"/>
          <w:sz w:val="28"/>
          <w:szCs w:val="24"/>
          <w:lang w:val="hr-HR" w:bidi="ar-EG"/>
        </w:rPr>
        <w:t>（</w:t>
      </w:r>
      <w:r>
        <w:rPr>
          <w:rFonts w:hint="eastAsia" w:ascii="宋体" w:hAnsi="宋体" w:eastAsia="宋体" w:cs="宋体"/>
          <w:color w:val="auto"/>
          <w:kern w:val="0"/>
          <w:sz w:val="28"/>
          <w:szCs w:val="28"/>
          <w:lang w:val="en-US" w:eastAsia="zh-CN" w:bidi="ar"/>
        </w:rPr>
        <w:t>提前半小时</w:t>
      </w:r>
      <w:r>
        <w:rPr>
          <w:rFonts w:hint="eastAsia" w:ascii="宋体" w:hAnsi="宋体" w:eastAsia="宋体" w:cs="宋体"/>
          <w:color w:val="auto"/>
          <w:kern w:val="2"/>
          <w:sz w:val="28"/>
          <w:szCs w:val="28"/>
          <w:lang w:val="en-US" w:eastAsia="zh-CN" w:bidi="ar"/>
        </w:rPr>
        <w:t>开始接受响应文件）。</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8"/>
          <w:szCs w:val="24"/>
          <w:lang w:val="hr-HR" w:bidi="ar-EG"/>
        </w:rPr>
      </w:pPr>
      <w:r>
        <w:rPr>
          <w:rFonts w:hint="eastAsia" w:ascii="宋体" w:hAnsi="宋体" w:eastAsia="宋体" w:cs="宋体"/>
          <w:color w:val="auto"/>
          <w:sz w:val="28"/>
          <w:szCs w:val="24"/>
          <w:lang w:val="hr-HR" w:bidi="ar-EG"/>
        </w:rPr>
        <w:t>递交响应文件截止时间即为磋商时间，逾期送达的响应文件概不接受。</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hr-HR" w:eastAsia="zh-CN"/>
        </w:rPr>
        <w:t>九、</w:t>
      </w:r>
      <w:r>
        <w:rPr>
          <w:rFonts w:hint="eastAsia" w:ascii="宋体" w:hAnsi="宋体" w:eastAsia="宋体" w:cs="宋体"/>
          <w:color w:val="auto"/>
          <w:sz w:val="28"/>
          <w:szCs w:val="28"/>
          <w:lang w:val="hr-HR"/>
        </w:rPr>
        <w:t>响应文件送达和磋商地点：</w:t>
      </w:r>
      <w:r>
        <w:rPr>
          <w:rFonts w:hint="eastAsia" w:ascii="宋体" w:hAnsi="宋体" w:eastAsia="宋体" w:cs="宋体"/>
          <w:color w:val="auto"/>
          <w:sz w:val="28"/>
          <w:szCs w:val="28"/>
          <w:lang w:val="en-US" w:eastAsia="zh-CN"/>
        </w:rPr>
        <w:t>阳新县公共资源交易中心一楼开标大厅（阳新大道熊家垴安置小区东侧）</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8"/>
          <w:szCs w:val="28"/>
          <w:lang w:val="hr-HR"/>
        </w:rPr>
      </w:pPr>
      <w:r>
        <w:rPr>
          <w:rFonts w:hint="eastAsia" w:ascii="宋体" w:hAnsi="宋体" w:eastAsia="宋体" w:cs="宋体"/>
          <w:color w:val="auto"/>
          <w:sz w:val="28"/>
          <w:szCs w:val="28"/>
          <w:lang w:val="en-US" w:eastAsia="zh-CN"/>
        </w:rPr>
        <w:t>届时请参加磋商的授权代表携带有效身份证、法人身份证明书或法人授权委托书出席磋商会并参加磋商，否则磋商小组将拒绝供应商参加磋商。</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w:t>
      </w:r>
      <w:r>
        <w:rPr>
          <w:rFonts w:hint="eastAsia" w:ascii="宋体" w:hAnsi="宋体" w:eastAsia="宋体" w:cs="宋体"/>
          <w:color w:val="auto"/>
          <w:sz w:val="28"/>
          <w:szCs w:val="28"/>
        </w:rPr>
        <w:t>、询问和质疑</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相关供应商对磋商文件、磋商过程和成交结果有异议的，可在知道或者应知其权益受到损害之日起7个工作日内，向</w:t>
      </w:r>
      <w:r>
        <w:rPr>
          <w:rFonts w:hint="eastAsia" w:ascii="宋体" w:hAnsi="宋体" w:eastAsia="宋体" w:cs="宋体"/>
          <w:color w:val="auto"/>
          <w:sz w:val="28"/>
          <w:szCs w:val="28"/>
          <w:lang w:eastAsia="zh-CN"/>
        </w:rPr>
        <w:t>阳新县政府采购中心</w:t>
      </w:r>
      <w:r>
        <w:rPr>
          <w:rFonts w:hint="eastAsia" w:ascii="宋体" w:hAnsi="宋体" w:eastAsia="宋体" w:cs="宋体"/>
          <w:color w:val="auto"/>
          <w:sz w:val="28"/>
          <w:szCs w:val="28"/>
        </w:rPr>
        <w:t>提出询问和质疑。质疑时请提交书面质疑函一份（法人或负责人）代表签字、加盖单位公章，并附相关证据材料。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十一、公告期限：自磋商公告发布之日起5个工作日。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十二、</w:t>
      </w:r>
      <w:r>
        <w:rPr>
          <w:rFonts w:hint="eastAsia" w:ascii="宋体" w:hAnsi="宋体" w:eastAsia="宋体" w:cs="宋体"/>
          <w:color w:val="auto"/>
          <w:sz w:val="28"/>
          <w:szCs w:val="28"/>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4"/>
          <w:lang w:val="en-US" w:eastAsia="zh-CN"/>
        </w:rPr>
      </w:pPr>
      <w:r>
        <w:rPr>
          <w:rFonts w:hint="eastAsia" w:ascii="宋体" w:hAnsi="宋体" w:eastAsia="宋体" w:cs="宋体"/>
          <w:color w:val="auto"/>
          <w:kern w:val="0"/>
          <w:sz w:val="28"/>
          <w:szCs w:val="28"/>
          <w:lang w:val="en-US" w:eastAsia="zh-CN" w:bidi="ar"/>
        </w:rPr>
        <w:t>采购人：阳新县森林病虫防治检疫站</w:t>
      </w:r>
      <w:r>
        <w:rPr>
          <w:rFonts w:hint="eastAsia" w:ascii="宋体" w:hAnsi="宋体" w:eastAsia="宋体" w:cs="宋体"/>
          <w:color w:val="auto"/>
          <w:kern w:val="0"/>
          <w:sz w:val="28"/>
          <w:szCs w:val="28"/>
          <w:lang w:val="en-US" w:eastAsia="zh-CN" w:bidi="ar"/>
        </w:rPr>
        <w:br w:type="textWrapping"/>
      </w:r>
      <w:r>
        <w:rPr>
          <w:rFonts w:hint="eastAsia" w:ascii="宋体" w:hAnsi="宋体" w:eastAsia="宋体" w:cs="宋体"/>
          <w:color w:val="auto"/>
          <w:kern w:val="0"/>
          <w:sz w:val="28"/>
          <w:szCs w:val="28"/>
          <w:lang w:val="en-US" w:eastAsia="zh-CN" w:bidi="ar"/>
        </w:rPr>
        <w:t>联系方式：汪站长  0714-7327151</w:t>
      </w:r>
      <w:r>
        <w:rPr>
          <w:rFonts w:hint="eastAsia" w:ascii="宋体" w:hAnsi="宋体" w:eastAsia="宋体" w:cs="宋体"/>
          <w:color w:val="auto"/>
          <w:kern w:val="0"/>
          <w:sz w:val="28"/>
          <w:szCs w:val="28"/>
          <w:lang w:val="en-US" w:eastAsia="zh-CN" w:bidi="ar"/>
        </w:rPr>
        <w:br w:type="textWrapping"/>
      </w:r>
      <w:r>
        <w:rPr>
          <w:rFonts w:hint="eastAsia" w:ascii="宋体" w:hAnsi="宋体" w:eastAsia="宋体" w:cs="宋体"/>
          <w:color w:val="auto"/>
          <w:kern w:val="0"/>
          <w:sz w:val="28"/>
          <w:szCs w:val="28"/>
          <w:lang w:val="en-US" w:eastAsia="zh-CN" w:bidi="ar"/>
        </w:rPr>
        <w:t>联系地址：</w:t>
      </w:r>
      <w:r>
        <w:rPr>
          <w:rFonts w:hint="eastAsia" w:ascii="宋体" w:hAnsi="宋体" w:eastAsia="宋体" w:cs="宋体"/>
          <w:color w:val="auto"/>
          <w:kern w:val="0"/>
          <w:sz w:val="28"/>
          <w:szCs w:val="28"/>
          <w:highlight w:val="none"/>
          <w:lang w:val="en-US" w:eastAsia="zh-CN" w:bidi="ar"/>
        </w:rPr>
        <w:t>阳新县兴国镇桃花泉路70号</w:t>
      </w:r>
      <w:r>
        <w:rPr>
          <w:rFonts w:hint="eastAsia" w:ascii="宋体" w:hAnsi="宋体" w:eastAsia="宋体" w:cs="宋体"/>
          <w:color w:val="auto"/>
          <w:kern w:val="0"/>
          <w:sz w:val="28"/>
          <w:szCs w:val="28"/>
          <w:lang w:val="en-US" w:eastAsia="zh-CN" w:bidi="ar"/>
        </w:rPr>
        <w:br w:type="textWrapping"/>
      </w:r>
      <w:r>
        <w:rPr>
          <w:rFonts w:hint="eastAsia" w:ascii="宋体" w:hAnsi="宋体" w:eastAsia="宋体" w:cs="宋体"/>
          <w:color w:val="auto"/>
          <w:kern w:val="0"/>
          <w:sz w:val="28"/>
          <w:szCs w:val="28"/>
          <w:lang w:val="en-US" w:eastAsia="zh-CN" w:bidi="ar"/>
        </w:rPr>
        <w:t>采购代理机构：湖北天缔工程咨询有限公司 </w:t>
      </w:r>
      <w:r>
        <w:rPr>
          <w:rFonts w:hint="eastAsia" w:ascii="宋体" w:hAnsi="宋体" w:eastAsia="宋体" w:cs="宋体"/>
          <w:color w:val="auto"/>
          <w:kern w:val="0"/>
          <w:sz w:val="28"/>
          <w:szCs w:val="28"/>
          <w:lang w:val="en-US" w:eastAsia="zh-CN" w:bidi="ar"/>
        </w:rPr>
        <w:br w:type="textWrapping"/>
      </w:r>
      <w:r>
        <w:rPr>
          <w:rFonts w:hint="eastAsia" w:ascii="宋体" w:hAnsi="宋体" w:eastAsia="宋体" w:cs="宋体"/>
          <w:color w:val="auto"/>
          <w:kern w:val="0"/>
          <w:sz w:val="28"/>
          <w:szCs w:val="28"/>
          <w:lang w:val="en-US" w:eastAsia="zh-CN" w:bidi="ar"/>
        </w:rPr>
        <w:t>联系方式：石蕾  15826966678</w:t>
      </w:r>
      <w:r>
        <w:rPr>
          <w:rFonts w:hint="eastAsia" w:ascii="宋体" w:hAnsi="宋体" w:eastAsia="宋体" w:cs="宋体"/>
          <w:color w:val="auto"/>
          <w:kern w:val="0"/>
          <w:sz w:val="28"/>
          <w:szCs w:val="28"/>
          <w:lang w:val="en-US" w:eastAsia="zh-CN" w:bidi="ar"/>
        </w:rPr>
        <w:br w:type="textWrapping"/>
      </w:r>
      <w:r>
        <w:rPr>
          <w:rFonts w:hint="eastAsia" w:ascii="宋体" w:hAnsi="宋体" w:eastAsia="宋体" w:cs="宋体"/>
          <w:color w:val="auto"/>
          <w:kern w:val="0"/>
          <w:sz w:val="28"/>
          <w:szCs w:val="28"/>
          <w:lang w:val="en-US" w:eastAsia="zh-CN" w:bidi="ar"/>
        </w:rPr>
        <w:t>电子邮箱：3079818585@qq.com</w:t>
      </w:r>
      <w:r>
        <w:rPr>
          <w:rFonts w:hint="eastAsia" w:ascii="宋体" w:hAnsi="宋体" w:eastAsia="宋体" w:cs="宋体"/>
          <w:color w:val="auto"/>
          <w:kern w:val="0"/>
          <w:sz w:val="28"/>
          <w:szCs w:val="28"/>
          <w:lang w:val="en-US" w:eastAsia="zh-CN" w:bidi="ar"/>
        </w:rPr>
        <w:br w:type="textWrapping"/>
      </w:r>
      <w:r>
        <w:rPr>
          <w:rFonts w:hint="eastAsia" w:ascii="宋体" w:hAnsi="宋体" w:eastAsia="宋体" w:cs="宋体"/>
          <w:color w:val="auto"/>
          <w:kern w:val="0"/>
          <w:sz w:val="28"/>
          <w:szCs w:val="28"/>
          <w:lang w:val="en-US" w:eastAsia="zh-CN" w:bidi="ar"/>
        </w:rPr>
        <w:t>地址：阳新县兴国</w:t>
      </w:r>
      <w:r>
        <w:rPr>
          <w:rFonts w:hint="eastAsia" w:ascii="宋体" w:hAnsi="宋体" w:eastAsia="宋体" w:cs="宋体"/>
          <w:color w:val="auto"/>
          <w:sz w:val="28"/>
          <w:szCs w:val="24"/>
          <w:lang w:val="en-US" w:eastAsia="zh-CN"/>
        </w:rPr>
        <w:t>镇</w:t>
      </w:r>
      <w:r>
        <w:rPr>
          <w:rFonts w:hint="eastAsia" w:ascii="宋体" w:hAnsi="宋体" w:eastAsia="宋体" w:cs="宋体"/>
          <w:color w:val="auto"/>
          <w:sz w:val="28"/>
          <w:szCs w:val="24"/>
          <w:lang w:eastAsia="zh-CN"/>
        </w:rPr>
        <w:t>胜利街中凯大厦后</w:t>
      </w:r>
      <w:r>
        <w:rPr>
          <w:rFonts w:hint="eastAsia" w:ascii="宋体" w:hAnsi="宋体" w:eastAsia="宋体" w:cs="宋体"/>
          <w:color w:val="auto"/>
          <w:sz w:val="28"/>
          <w:szCs w:val="24"/>
          <w:lang w:val="en-US" w:eastAsia="zh-CN"/>
        </w:rPr>
        <w:t>31号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8"/>
          <w:szCs w:val="24"/>
          <w:lang w:val="en-US" w:eastAsia="zh-CN"/>
        </w:rPr>
      </w:pPr>
      <w:r>
        <w:rPr>
          <w:rFonts w:hint="eastAsia" w:ascii="宋体" w:hAnsi="宋体" w:eastAsia="宋体" w:cs="宋体"/>
          <w:color w:val="auto"/>
          <w:sz w:val="28"/>
          <w:szCs w:val="24"/>
          <w:lang w:val="en-US" w:eastAsia="zh-CN"/>
        </w:rPr>
        <w:t>湖北天缔工程咨询有限公司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8"/>
          <w:szCs w:val="24"/>
          <w:lang w:val="en-US" w:eastAsia="zh-CN"/>
        </w:rPr>
      </w:pPr>
      <w:r>
        <w:rPr>
          <w:rFonts w:hint="eastAsia" w:ascii="宋体" w:hAnsi="宋体" w:eastAsia="宋体" w:cs="宋体"/>
          <w:color w:val="auto"/>
          <w:sz w:val="28"/>
          <w:szCs w:val="24"/>
          <w:lang w:val="en-US" w:eastAsia="zh-CN"/>
        </w:rPr>
        <w:t>2021年05月11日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color w:val="auto"/>
          <w:sz w:val="36"/>
          <w:szCs w:val="36"/>
        </w:rPr>
      </w:pPr>
      <w:r>
        <w:rPr>
          <w:rFonts w:hint="eastAsia" w:ascii="宋体" w:hAnsi="宋体" w:eastAsia="宋体" w:cs="宋体"/>
          <w:color w:val="auto"/>
          <w:sz w:val="24"/>
          <w:szCs w:val="24"/>
          <w:lang w:bidi="ar-EG"/>
        </w:rPr>
        <w:br w:type="page"/>
      </w:r>
      <w:bookmarkStart w:id="2" w:name="_Toc19607"/>
      <w:bookmarkStart w:id="3" w:name="_Toc7919"/>
      <w:r>
        <w:rPr>
          <w:rFonts w:hint="eastAsia" w:ascii="宋体" w:hAnsi="宋体" w:eastAsia="宋体" w:cs="宋体"/>
          <w:b/>
          <w:bCs/>
          <w:color w:val="auto"/>
          <w:sz w:val="36"/>
          <w:szCs w:val="36"/>
          <w:lang w:val="hr-HR"/>
        </w:rPr>
        <w:t xml:space="preserve">第二章 </w:t>
      </w:r>
      <w:r>
        <w:rPr>
          <w:rFonts w:hint="eastAsia" w:ascii="宋体" w:hAnsi="宋体" w:eastAsia="宋体" w:cs="宋体"/>
          <w:b/>
          <w:bCs/>
          <w:color w:val="auto"/>
          <w:sz w:val="36"/>
          <w:szCs w:val="36"/>
        </w:rPr>
        <w:t>磋商须知</w:t>
      </w:r>
      <w:bookmarkEnd w:id="2"/>
      <w:bookmarkEnd w:id="3"/>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磋商须知前附表</w:t>
      </w:r>
    </w:p>
    <w:tbl>
      <w:tblPr>
        <w:tblStyle w:val="10"/>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ind w:right="57"/>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5013" w:type="dxa"/>
            <w:tcBorders>
              <w:top w:val="single" w:color="auto" w:sz="4" w:space="0"/>
              <w:left w:val="single" w:color="auto" w:sz="4" w:space="0"/>
              <w:bottom w:val="single" w:color="auto" w:sz="4" w:space="0"/>
            </w:tcBorders>
            <w:vAlign w:val="center"/>
          </w:tcPr>
          <w:p>
            <w:pPr>
              <w:ind w:left="57" w:right="57" w:firstLine="482" w:firstLineChars="201"/>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5013" w:type="dxa"/>
            <w:tcBorders>
              <w:top w:val="single" w:color="auto" w:sz="4" w:space="0"/>
              <w:left w:val="single" w:color="auto" w:sz="4" w:space="0"/>
              <w:bottom w:val="single" w:color="auto" w:sz="4" w:space="0"/>
            </w:tcBorders>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阳新县2021年松墨天牛化学防治项目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5013" w:type="dxa"/>
            <w:tcBorders>
              <w:top w:val="single" w:color="auto" w:sz="4" w:space="0"/>
              <w:left w:val="single" w:color="auto" w:sz="4" w:space="0"/>
              <w:bottom w:val="single" w:color="auto" w:sz="4" w:space="0"/>
            </w:tcBorders>
            <w:vAlign w:val="center"/>
          </w:tcPr>
          <w:p>
            <w:pPr>
              <w:jc w:val="left"/>
              <w:rPr>
                <w:rFonts w:hint="default" w:ascii="宋体" w:hAnsi="宋体" w:eastAsia="宋体" w:cs="宋体"/>
                <w:color w:val="auto"/>
                <w:sz w:val="24"/>
                <w:szCs w:val="24"/>
                <w:lang w:val="en-US" w:eastAsia="zh-CN"/>
              </w:rPr>
            </w:pPr>
            <w:r>
              <w:rPr>
                <w:rFonts w:hint="eastAsia" w:ascii="宋体" w:hAnsi="宋体" w:eastAsia="宋体" w:cs="宋体"/>
                <w:bCs/>
                <w:color w:val="auto"/>
                <w:sz w:val="24"/>
                <w:szCs w:val="24"/>
                <w:lang w:bidi="ar-EG"/>
              </w:rPr>
              <w:t>131-202</w:t>
            </w:r>
            <w:r>
              <w:rPr>
                <w:rFonts w:hint="eastAsia" w:ascii="宋体" w:hAnsi="宋体" w:eastAsia="宋体" w:cs="宋体"/>
                <w:bCs/>
                <w:color w:val="auto"/>
                <w:sz w:val="24"/>
                <w:szCs w:val="24"/>
                <w:lang w:val="en-US" w:eastAsia="zh-CN" w:bidi="ar-EG"/>
              </w:rPr>
              <w:t>1</w:t>
            </w:r>
            <w:r>
              <w:rPr>
                <w:rFonts w:hint="eastAsia" w:ascii="宋体" w:hAnsi="宋体" w:eastAsia="宋体" w:cs="宋体"/>
                <w:bCs/>
                <w:color w:val="auto"/>
                <w:sz w:val="24"/>
                <w:szCs w:val="24"/>
                <w:lang w:bidi="ar-EG"/>
              </w:rPr>
              <w:t>CG</w:t>
            </w:r>
            <w:r>
              <w:rPr>
                <w:rFonts w:hint="eastAsia" w:ascii="宋体" w:hAnsi="宋体" w:eastAsia="宋体" w:cs="宋体"/>
                <w:bCs/>
                <w:color w:val="auto"/>
                <w:sz w:val="24"/>
                <w:szCs w:val="24"/>
                <w:lang w:val="en-US" w:eastAsia="zh-CN" w:bidi="ar-EG"/>
              </w:rPr>
              <w:t>-080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lang w:val="en-US" w:eastAsia="zh-CN"/>
              </w:rPr>
              <w:t>阳新县森林病虫防治检疫站</w:t>
            </w:r>
          </w:p>
          <w:p>
            <w:pPr>
              <w:ind w:right="-105" w:rightChars="-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联系方式：汪站长  0714-7327151</w:t>
            </w:r>
          </w:p>
          <w:p>
            <w:pPr>
              <w:ind w:right="-105" w:rightChars="-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联系地址：阳新县兴国镇桃花泉路70号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采购代理公司</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lang w:eastAsia="zh-CN"/>
              </w:rPr>
              <w:t>湖北天缔工程咨询有限公司</w:t>
            </w:r>
          </w:p>
          <w:p>
            <w:pPr>
              <w:ind w:right="-105" w:rightChars="-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联系方式：石蕾  15826966678</w:t>
            </w:r>
          </w:p>
          <w:p>
            <w:pPr>
              <w:ind w:right="-105" w:rightChars="-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电子邮箱：3079818585@qq.com</w:t>
            </w:r>
          </w:p>
          <w:p>
            <w:pPr>
              <w:ind w:right="-105" w:rightChars="-5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地址：阳新县兴国镇胜利街中凯大厦后31号</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&lt;MK&gt;pro.mobile&lt;/MK&gt;</w:instrText>
            </w:r>
            <w:r>
              <w:rPr>
                <w:rFonts w:hint="eastAsia" w:ascii="宋体" w:hAnsi="宋体" w:eastAsia="宋体" w:cs="宋体"/>
                <w:color w:val="auto"/>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5013" w:type="dxa"/>
            <w:tcBorders>
              <w:top w:val="single" w:color="auto" w:sz="4" w:space="0"/>
              <w:left w:val="single" w:color="auto" w:sz="4" w:space="0"/>
              <w:bottom w:val="single" w:color="auto" w:sz="4" w:space="0"/>
            </w:tcBorders>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本项目无须递交投标保证金，该招标文件涉及投标保证金的条款都将不作要求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hint="eastAsia" w:ascii="宋体" w:hAnsi="宋体" w:eastAsia="宋体" w:cs="宋体"/>
                <w:color w:val="auto"/>
                <w:sz w:val="24"/>
                <w:szCs w:val="24"/>
              </w:rPr>
            </w:pPr>
            <w:r>
              <w:rPr>
                <w:rFonts w:hint="eastAsia" w:ascii="宋体" w:hAnsi="宋体" w:eastAsia="宋体" w:cs="宋体"/>
                <w:color w:val="auto"/>
                <w:sz w:val="24"/>
                <w:szCs w:val="24"/>
              </w:rPr>
              <w:t>保证金账户</w:t>
            </w:r>
          </w:p>
        </w:tc>
        <w:tc>
          <w:tcPr>
            <w:tcW w:w="5013" w:type="dxa"/>
            <w:tcBorders>
              <w:top w:val="single" w:color="auto" w:sz="4" w:space="0"/>
              <w:left w:val="single" w:color="auto" w:sz="4" w:space="0"/>
              <w:bottom w:val="single" w:color="auto" w:sz="4" w:space="0"/>
            </w:tcBorders>
            <w:vAlign w:val="center"/>
          </w:tcPr>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文件份数</w:t>
            </w:r>
          </w:p>
        </w:tc>
        <w:tc>
          <w:tcPr>
            <w:tcW w:w="5013" w:type="dxa"/>
            <w:tcBorders>
              <w:top w:val="single" w:color="auto" w:sz="4" w:space="0"/>
              <w:left w:val="single" w:color="auto" w:sz="4" w:space="0"/>
              <w:bottom w:val="single" w:color="auto"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hint="eastAsia" w:ascii="宋体" w:hAnsi="宋体" w:eastAsia="宋体" w:cs="宋体"/>
                <w:color w:val="auto"/>
                <w:sz w:val="24"/>
                <w:szCs w:val="24"/>
              </w:rPr>
            </w:pPr>
            <w:r>
              <w:rPr>
                <w:rFonts w:hint="eastAsia" w:ascii="宋体" w:hAnsi="宋体" w:eastAsia="宋体" w:cs="宋体"/>
                <w:color w:val="auto"/>
                <w:sz w:val="24"/>
                <w:szCs w:val="24"/>
              </w:rPr>
              <w:t>是否专门面向中小企业、监狱企业、残疾人福利性单位</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rPr>
            </w:pPr>
            <w:r>
              <w:rPr>
                <w:rFonts w:hint="eastAsia" w:ascii="宋体" w:hAnsi="宋体" w:eastAsia="宋体" w:cs="宋体"/>
                <w:bCs/>
                <w:color w:val="auto"/>
                <w:sz w:val="24"/>
                <w:szCs w:val="24"/>
              </w:rPr>
              <w:t>价格扣除比例</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p>
        </w:tc>
      </w:tr>
    </w:tbl>
    <w:p>
      <w:pPr>
        <w:widowControl/>
        <w:jc w:val="left"/>
        <w:rPr>
          <w:rFonts w:hint="eastAsia" w:ascii="宋体" w:hAnsi="宋体" w:eastAsia="宋体" w:cs="宋体"/>
          <w:bCs/>
          <w:color w:val="auto"/>
          <w:sz w:val="24"/>
        </w:rPr>
      </w:pPr>
    </w:p>
    <w:p>
      <w:pPr>
        <w:widowControl/>
        <w:jc w:val="left"/>
        <w:rPr>
          <w:rFonts w:hint="eastAsia" w:ascii="宋体" w:hAnsi="宋体" w:eastAsia="宋体" w:cs="宋体"/>
          <w:bCs/>
          <w:color w:val="auto"/>
          <w:sz w:val="24"/>
          <w:szCs w:val="24"/>
        </w:rPr>
      </w:pPr>
    </w:p>
    <w:p>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br w:type="textWrapping"/>
      </w:r>
    </w:p>
    <w:p>
      <w:pPr>
        <w:widowControl/>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br w:type="page"/>
      </w:r>
    </w:p>
    <w:p>
      <w:pPr>
        <w:spacing w:line="440" w:lineRule="exact"/>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一、总　则</w:t>
      </w:r>
    </w:p>
    <w:p>
      <w:pPr>
        <w:spacing w:line="440" w:lineRule="exact"/>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 适用范围</w:t>
      </w:r>
    </w:p>
    <w:p>
      <w:pPr>
        <w:spacing w:line="440" w:lineRule="exact"/>
        <w:ind w:left="420" w:hanging="420"/>
        <w:rPr>
          <w:rFonts w:hint="eastAsia" w:ascii="宋体" w:hAnsi="宋体" w:eastAsia="宋体" w:cs="宋体"/>
          <w:bCs/>
          <w:color w:val="auto"/>
          <w:sz w:val="24"/>
          <w:szCs w:val="24"/>
        </w:rPr>
      </w:pPr>
      <w:r>
        <w:rPr>
          <w:rFonts w:hint="eastAsia" w:ascii="宋体" w:hAnsi="宋体" w:eastAsia="宋体" w:cs="宋体"/>
          <w:bCs/>
          <w:color w:val="auto"/>
          <w:sz w:val="24"/>
          <w:szCs w:val="24"/>
        </w:rPr>
        <w:t>1.1 本文件仅适用于本文件中所叙述的货物、服务类政府采购项目。</w:t>
      </w:r>
    </w:p>
    <w:p>
      <w:pPr>
        <w:spacing w:line="440" w:lineRule="exact"/>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 定义</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2.1“采购人”是指：</w:t>
      </w:r>
      <w:r>
        <w:rPr>
          <w:rFonts w:hint="eastAsia" w:ascii="宋体" w:hAnsi="宋体" w:eastAsia="宋体" w:cs="宋体"/>
          <w:bCs/>
          <w:color w:val="auto"/>
          <w:sz w:val="24"/>
        </w:rPr>
        <w:t>详见《磋商须知前附表》</w:t>
      </w:r>
      <w:r>
        <w:rPr>
          <w:rFonts w:hint="eastAsia" w:ascii="宋体" w:hAnsi="宋体" w:eastAsia="宋体" w:cs="宋体"/>
          <w:bCs/>
          <w:color w:val="auto"/>
          <w:sz w:val="24"/>
          <w:szCs w:val="24"/>
        </w:rPr>
        <w:t>。</w:t>
      </w:r>
    </w:p>
    <w:p>
      <w:pPr>
        <w:adjustRightInd w:val="0"/>
        <w:snapToGrid w:val="0"/>
        <w:spacing w:line="30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2.2“监管部门”是指：阳新县政府采购办公室、</w:t>
      </w:r>
      <w:r>
        <w:rPr>
          <w:rFonts w:hint="eastAsia" w:ascii="宋体" w:hAnsi="宋体" w:eastAsia="宋体" w:cs="宋体"/>
          <w:bCs/>
          <w:color w:val="auto"/>
          <w:sz w:val="24"/>
          <w:szCs w:val="24"/>
          <w:lang w:eastAsia="zh-CN"/>
        </w:rPr>
        <w:t>阳新县</w:t>
      </w:r>
      <w:r>
        <w:rPr>
          <w:rFonts w:hint="eastAsia" w:ascii="宋体" w:hAnsi="宋体" w:eastAsia="宋体" w:cs="宋体"/>
          <w:bCs/>
          <w:color w:val="auto"/>
          <w:sz w:val="24"/>
          <w:szCs w:val="24"/>
        </w:rPr>
        <w:t>政务服务和大数据管理局公共资源交易监督管理股。</w:t>
      </w:r>
    </w:p>
    <w:p>
      <w:pPr>
        <w:spacing w:line="440" w:lineRule="exact"/>
        <w:ind w:left="420" w:hanging="420"/>
        <w:rPr>
          <w:rFonts w:hint="eastAsia" w:ascii="宋体" w:hAnsi="宋体" w:eastAsia="宋体" w:cs="宋体"/>
          <w:bCs/>
          <w:color w:val="auto"/>
          <w:sz w:val="24"/>
          <w:szCs w:val="24"/>
        </w:rPr>
      </w:pPr>
      <w:r>
        <w:rPr>
          <w:rFonts w:hint="eastAsia" w:ascii="宋体" w:hAnsi="宋体" w:eastAsia="宋体" w:cs="宋体"/>
          <w:bCs/>
          <w:color w:val="auto"/>
          <w:sz w:val="24"/>
          <w:szCs w:val="24"/>
        </w:rPr>
        <w:t>2.3“</w:t>
      </w:r>
      <w:r>
        <w:rPr>
          <w:rFonts w:hint="eastAsia" w:ascii="宋体" w:hAnsi="宋体" w:eastAsia="宋体" w:cs="宋体"/>
          <w:bCs/>
          <w:color w:val="auto"/>
          <w:sz w:val="24"/>
          <w:szCs w:val="24"/>
          <w:lang w:eastAsia="zh-CN"/>
        </w:rPr>
        <w:t>采购代理机构</w:t>
      </w:r>
      <w:r>
        <w:rPr>
          <w:rFonts w:hint="eastAsia" w:ascii="宋体" w:hAnsi="宋体" w:eastAsia="宋体" w:cs="宋体"/>
          <w:bCs/>
          <w:color w:val="auto"/>
          <w:sz w:val="24"/>
          <w:szCs w:val="24"/>
        </w:rPr>
        <w:t>”是指：</w:t>
      </w:r>
      <w:r>
        <w:rPr>
          <w:rFonts w:hint="eastAsia" w:ascii="宋体" w:hAnsi="宋体" w:eastAsia="宋体" w:cs="宋体"/>
          <w:bCs/>
          <w:color w:val="auto"/>
          <w:sz w:val="24"/>
        </w:rPr>
        <w:t>详见《磋商须知前附表》</w:t>
      </w:r>
      <w:r>
        <w:rPr>
          <w:rFonts w:hint="eastAsia" w:ascii="宋体" w:hAnsi="宋体" w:eastAsia="宋体" w:cs="宋体"/>
          <w:bCs/>
          <w:color w:val="auto"/>
          <w:sz w:val="24"/>
          <w:szCs w:val="24"/>
        </w:rPr>
        <w:t>。</w:t>
      </w:r>
    </w:p>
    <w:p>
      <w:pPr>
        <w:spacing w:line="440" w:lineRule="exact"/>
        <w:ind w:left="420" w:hanging="420"/>
        <w:rPr>
          <w:rFonts w:hint="eastAsia" w:ascii="宋体" w:hAnsi="宋体" w:eastAsia="宋体" w:cs="宋体"/>
          <w:bCs/>
          <w:color w:val="auto"/>
          <w:sz w:val="24"/>
          <w:szCs w:val="24"/>
        </w:rPr>
      </w:pPr>
      <w:r>
        <w:rPr>
          <w:rFonts w:hint="eastAsia" w:ascii="宋体" w:hAnsi="宋体" w:eastAsia="宋体" w:cs="宋体"/>
          <w:bCs/>
          <w:color w:val="auto"/>
          <w:sz w:val="24"/>
          <w:szCs w:val="24"/>
        </w:rPr>
        <w:t>2.4“磋商文件”是指：竞争性磋商文件。</w:t>
      </w:r>
    </w:p>
    <w:p>
      <w:pPr>
        <w:spacing w:line="440" w:lineRule="exact"/>
        <w:ind w:left="240" w:hanging="240" w:hangingChars="100"/>
        <w:rPr>
          <w:rFonts w:hint="eastAsia" w:ascii="宋体" w:hAnsi="宋体" w:eastAsia="宋体" w:cs="宋体"/>
          <w:bCs/>
          <w:color w:val="auto"/>
          <w:sz w:val="24"/>
          <w:szCs w:val="24"/>
        </w:rPr>
      </w:pPr>
      <w:r>
        <w:rPr>
          <w:rFonts w:hint="eastAsia" w:ascii="宋体" w:hAnsi="宋体" w:eastAsia="宋体" w:cs="宋体"/>
          <w:bCs/>
          <w:color w:val="auto"/>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hint="eastAsia" w:ascii="宋体" w:hAnsi="宋体" w:eastAsia="宋体" w:cs="宋体"/>
          <w:bCs/>
          <w:color w:val="auto"/>
          <w:sz w:val="24"/>
          <w:szCs w:val="24"/>
        </w:rPr>
      </w:pPr>
      <w:r>
        <w:rPr>
          <w:rFonts w:hint="eastAsia" w:ascii="宋体" w:hAnsi="宋体" w:eastAsia="宋体" w:cs="宋体"/>
          <w:bCs/>
          <w:color w:val="auto"/>
          <w:sz w:val="24"/>
          <w:szCs w:val="24"/>
        </w:rPr>
        <w:t>2.7“服务”是指：成交供应商按本文件规定向采购人提供的所有服务。</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2.8“响应文件”是指：供供应商根据本文件要求编制包含价格、技术、服务和合同草案条款等所有内容的文件。</w:t>
      </w:r>
    </w:p>
    <w:p>
      <w:pPr>
        <w:spacing w:line="440" w:lineRule="exact"/>
        <w:ind w:left="360" w:hanging="360" w:hangingChars="150"/>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w:t>
      </w:r>
      <w:r>
        <w:rPr>
          <w:rFonts w:hint="eastAsia" w:ascii="宋体" w:hAnsi="宋体" w:eastAsia="宋体" w:cs="宋体"/>
          <w:bCs/>
          <w:color w:val="auto"/>
          <w:sz w:val="24"/>
          <w:szCs w:val="24"/>
          <w:lang w:eastAsia="zh-CN"/>
        </w:rPr>
        <w:t>真彩扫描件并</w:t>
      </w:r>
      <w:r>
        <w:rPr>
          <w:rFonts w:hint="eastAsia" w:ascii="宋体" w:hAnsi="宋体" w:eastAsia="宋体" w:cs="宋体"/>
          <w:bCs/>
          <w:color w:val="auto"/>
          <w:sz w:val="24"/>
          <w:szCs w:val="24"/>
        </w:rPr>
        <w:t>加盖公章。</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3.1具备《政府采购法》</w:t>
      </w:r>
      <w:r>
        <w:rPr>
          <w:rFonts w:hint="eastAsia" w:ascii="宋体" w:hAnsi="宋体" w:eastAsia="宋体" w:cs="宋体"/>
          <w:bCs/>
          <w:color w:val="auto"/>
          <w:sz w:val="24"/>
          <w:szCs w:val="24"/>
          <w:lang w:eastAsia="zh-CN"/>
        </w:rPr>
        <w:t>第二十二条第一款之规定的基本条件</w:t>
      </w:r>
      <w:r>
        <w:rPr>
          <w:rFonts w:hint="eastAsia" w:ascii="宋体" w:hAnsi="宋体" w:eastAsia="宋体" w:cs="宋体"/>
          <w:bCs/>
          <w:color w:val="auto"/>
          <w:sz w:val="24"/>
          <w:szCs w:val="24"/>
        </w:rPr>
        <w:t>，并提供以下证明材料：</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1）法人或者其他组织的营业执照等证明文件，如供应商是自然人的提供身份证明材料；</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2）财务状况报告，依法缴纳税收和社会保障资金的相关材料；</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3）具备履行合同所必需的设备和专业技术能力的证明材料；</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4）参加政府采购活动前3年内在经营活动中没有重大违法记录的书面声明；</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3.3未被列入“信用中国”网站(www.creditchina. gov.cn)失信被执行人、重大税收违法案件当事人名单、未被中国政府采购网列入严重违法失信行为记录名单</w:t>
      </w:r>
      <w:r>
        <w:rPr>
          <w:rFonts w:hint="eastAsia" w:ascii="宋体" w:hAnsi="宋体" w:eastAsia="宋体" w:cs="宋体"/>
          <w:bCs/>
          <w:color w:val="auto"/>
          <w:sz w:val="24"/>
          <w:szCs w:val="24"/>
          <w:lang w:eastAsia="zh-CN"/>
        </w:rPr>
        <w:t>（须提供网页截图）</w:t>
      </w:r>
      <w:r>
        <w:rPr>
          <w:rFonts w:hint="eastAsia" w:ascii="宋体" w:hAnsi="宋体" w:eastAsia="宋体" w:cs="宋体"/>
          <w:bCs/>
          <w:color w:val="auto"/>
          <w:sz w:val="24"/>
          <w:szCs w:val="24"/>
        </w:rPr>
        <w:t>。</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3.4本文件第一章第五条除上述以外的条款。</w:t>
      </w:r>
    </w:p>
    <w:p>
      <w:pPr>
        <w:spacing w:line="440" w:lineRule="exact"/>
        <w:ind w:left="360" w:hanging="360" w:hangingChars="150"/>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4. 费用</w:t>
      </w:r>
    </w:p>
    <w:p>
      <w:pPr>
        <w:spacing w:line="440" w:lineRule="exact"/>
        <w:ind w:left="420" w:hanging="420"/>
        <w:rPr>
          <w:rFonts w:hint="eastAsia" w:ascii="宋体" w:hAnsi="宋体" w:eastAsia="宋体" w:cs="宋体"/>
          <w:bCs/>
          <w:color w:val="auto"/>
          <w:sz w:val="24"/>
        </w:rPr>
      </w:pPr>
      <w:r>
        <w:rPr>
          <w:rFonts w:hint="eastAsia" w:ascii="宋体" w:hAnsi="宋体" w:eastAsia="宋体" w:cs="宋体"/>
          <w:bCs/>
          <w:color w:val="auto"/>
          <w:sz w:val="24"/>
        </w:rPr>
        <w:t>4.1供应商应自行承担所有与编写和提交响应文件有关的费用，不论磋商结果如何，采购人和采购代理机构在任何情况下无义务和责任承担此类费用。</w:t>
      </w:r>
    </w:p>
    <w:p>
      <w:pPr>
        <w:spacing w:line="440" w:lineRule="exact"/>
        <w:rPr>
          <w:rFonts w:hint="eastAsia" w:ascii="宋体" w:hAnsi="宋体" w:eastAsia="宋体" w:cs="宋体"/>
          <w:color w:val="auto"/>
          <w:sz w:val="24"/>
        </w:rPr>
      </w:pPr>
      <w:r>
        <w:rPr>
          <w:rFonts w:hint="eastAsia" w:ascii="宋体" w:hAnsi="宋体" w:eastAsia="宋体" w:cs="宋体"/>
          <w:bCs/>
          <w:color w:val="auto"/>
          <w:sz w:val="24"/>
        </w:rPr>
        <w:t>4.2</w:t>
      </w:r>
      <w:r>
        <w:rPr>
          <w:rFonts w:hint="eastAsia" w:ascii="宋体" w:hAnsi="宋体" w:eastAsia="宋体" w:cs="宋体"/>
          <w:color w:val="auto"/>
          <w:sz w:val="24"/>
        </w:rPr>
        <w:t>采购代理服务费</w:t>
      </w:r>
    </w:p>
    <w:p>
      <w:pPr>
        <w:pStyle w:val="15"/>
        <w:ind w:left="42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经过采购代理机构与采购人协议，规定由中标单位支付。采购代理服务费收费标准如下：</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6350</wp:posOffset>
                      </wp:positionV>
                      <wp:extent cx="1255395" cy="985520"/>
                      <wp:effectExtent l="3175" t="3810" r="17780" b="20320"/>
                      <wp:wrapNone/>
                      <wp:docPr id="3" name="Line 16"/>
                      <wp:cNvGraphicFramePr/>
                      <a:graphic xmlns:a="http://schemas.openxmlformats.org/drawingml/2006/main">
                        <a:graphicData uri="http://schemas.microsoft.com/office/word/2010/wordprocessingShape">
                          <wps:wsp>
                            <wps:cNvCnPr>
                              <a:cxnSpLocks noChangeShapeType="1"/>
                            </wps:cNvCnPr>
                            <wps:spPr bwMode="auto">
                              <a:xfrm flipH="1" flipV="1">
                                <a:off x="0" y="0"/>
                                <a:ext cx="1255395" cy="985520"/>
                              </a:xfrm>
                              <a:prstGeom prst="line">
                                <a:avLst/>
                              </a:prstGeom>
                              <a:noFill/>
                              <a:ln w="9525">
                                <a:solidFill>
                                  <a:srgbClr val="000000"/>
                                </a:solidFill>
                                <a:round/>
                              </a:ln>
                            </wps:spPr>
                            <wps:bodyPr/>
                          </wps:wsp>
                        </a:graphicData>
                      </a:graphic>
                    </wp:anchor>
                  </w:drawing>
                </mc:Choice>
                <mc:Fallback>
                  <w:pict>
                    <v:line id="Line 16" o:spid="_x0000_s1026" o:spt="20" style="position:absolute;left:0pt;flip:x y;margin-left:-4.8pt;margin-top:0.5pt;height:77.6pt;width:98.85pt;z-index:251659264;mso-width-relative:page;mso-height-relative:page;" filled="f" stroked="t" coordsize="21600,21600" o:gfxdata="UEsDBAoAAAAAAIdO4kAAAAAAAAAAAAAAAAAEAAAAZHJzL1BLAwQUAAAACACHTuJAksZug9IAAAAI&#10;AQAADwAAAGRycy9kb3ducmV2LnhtbE1Py07DMBC8I/EP1iJxa51UInVDnB4q9QNaUMXRjZc4wl6H&#10;2G3K37M9wW1nZzSPZnsLXlxxSkMkDeWyAIHURTtQr+H9bb9QIFI2ZI2PhBp+MMG2fXxoTG3jTAe8&#10;HnMv2IRSbTS4nMdaytQ5DCYt44jE3GecgskMp17aycxsHrxcFUUlgxmIE5wZceew+zpeggavCvV9&#10;2q3nj4PllP3JO1qXWj8/lcUriIy3/CeGe32uDi13OscL2SS8hsWmYiX/edGdVqoEcebjpVqBbBv5&#10;f0D7C1BLAwQUAAAACACHTuJAQdjGQdoBAAC5AwAADgAAAGRycy9lMm9Eb2MueG1srVPBbtswDL0P&#10;2D8Iui9OXLhojTg9JOh2yLYA7XZXZDkWJomCqMTO34+Ss7TrLj3MB4ESyUe+R3r5MFrDTiqgBtfw&#10;xWzOmXISWu0ODf/x/PjpjjOMwrXCgFMNPyvkD6uPH5aDr1UJPZhWBUYgDuvBN7yP0ddFgbJXVuAM&#10;vHLk7CBYEekaDkUbxEDo1hTlfH5bDBBaH0AqRHrdTE5+QQzvAYSu01JtQB6tcnFCDcqISJSw1x75&#10;KnfbdUrG712HKjLTcGIa80lFyN6ns1gtRX0IwvdaXloQ72nhDScrtKOiV6iNiIIdg/4HymoZAKGL&#10;Mwm2mIhkRYjFYv5Gm6deeJW5kNTor6Lj/4OV3067wHTb8BvOnLA08K12ii1ukzSDx5oi1m4XEjk5&#10;uie/BfkLmYN1L9xB5Rafz57yFimj+CslXdBTgf3wFVqKEccIWaexC5Z1RvsvKTFbP5OVypAqbMwj&#10;Ol9HpMbIJD0uyqq6ua84k+S7v6uqMs+wEHVCTNk+YPyswLJkNNwQm4wqTluMqcOXkBTu4FEbk9fA&#10;ODYQaFVWOQHB6DY5UxiGw35tAjuJtEj5y3TJ8zoswNG1UxHjLmokASYp99Ced+GPSjTR3M1l+9LK&#10;vL7n7Jc/b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sZug9IAAAAIAQAADwAAAAAAAAABACAA&#10;AAAiAAAAZHJzL2Rvd25yZXYueG1sUEsBAhQAFAAAAAgAh07iQEHYxkHaAQAAuQMAAA4AAAAAAAAA&#10;AQAgAAAAIQ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6985</wp:posOffset>
                      </wp:positionV>
                      <wp:extent cx="1583690" cy="451485"/>
                      <wp:effectExtent l="1270" t="4445" r="15240" b="20320"/>
                      <wp:wrapNone/>
                      <wp:docPr id="2" name="Line 17"/>
                      <wp:cNvGraphicFramePr/>
                      <a:graphic xmlns:a="http://schemas.openxmlformats.org/drawingml/2006/main">
                        <a:graphicData uri="http://schemas.microsoft.com/office/word/2010/wordprocessingShape">
                          <wps:wsp>
                            <wps:cNvCnPr>
                              <a:cxnSpLocks noChangeShapeType="1"/>
                            </wps:cNvCnPr>
                            <wps:spPr bwMode="auto">
                              <a:xfrm flipH="1" flipV="1">
                                <a:off x="0" y="0"/>
                                <a:ext cx="1583690" cy="451485"/>
                              </a:xfrm>
                              <a:prstGeom prst="line">
                                <a:avLst/>
                              </a:prstGeom>
                              <a:noFill/>
                              <a:ln w="9525">
                                <a:solidFill>
                                  <a:srgbClr val="000000"/>
                                </a:solidFill>
                                <a:round/>
                              </a:ln>
                            </wps:spPr>
                            <wps:bodyPr/>
                          </wps:wsp>
                        </a:graphicData>
                      </a:graphic>
                    </wp:anchor>
                  </w:drawing>
                </mc:Choice>
                <mc:Fallback>
                  <w:pict>
                    <v:line id="Line 17" o:spid="_x0000_s1026" o:spt="20" style="position:absolute;left:0pt;flip:x y;margin-left:-5.9pt;margin-top:0.55pt;height:35.55pt;width:124.7pt;z-index:251660288;mso-width-relative:page;mso-height-relative:page;" filled="f" stroked="t" coordsize="21600,21600" o:gfxdata="UEsDBAoAAAAAAIdO4kAAAAAAAAAAAAAAAAAEAAAAZHJzL1BLAwQUAAAACACHTuJA7UO7iNMAAAAI&#10;AQAADwAAAGRycy9kb3ducmV2LnhtbE2PQU7DMBBF90jcwRokdq3jIDVRiNNFpR6gBVUs3XgaR9jj&#10;ELtNuT3DCpaj9/X/m3Z7D17ccE5jJA1qXYBA6qMdadDw/rZf1SBSNmSNj4QavjHBtnt8aE1j40IH&#10;vB3zILiEUmM0uJynRsrUOwwmreOExOwS52Ayn/Mg7WwWLg9elkWxkcGMxAvOTLhz2H8er0GDr4v6&#10;67Srlo+D5ZX9yTuqlNbPT6p4BZHxnv/C8KvP6tCx0zleySbhNayUYvXMQIFgXr5UGxBnDVVZguxa&#10;+f+B7gdQSwMEFAAAAAgAh07iQOXV2tfaAQAAuQMAAA4AAABkcnMvZTJvRG9jLnhtbK1TwW7bMAy9&#10;D9g/CLovjrO6S404PSTodsi2AO12V2Q5FiaJgqjEyd+PUrx07S49zAeBEslHvkd6cX+yhh1VQA2u&#10;4eVkyplyElrt9g3/8fTwYc4ZRuFaYcCphp8V8vvl+3eLwddqBj2YVgVGIA7rwTe8j9HXRYGyV1bg&#10;BLxy5OwgWBHpGvZFG8RA6NYUs+n0thggtD6AVIj0ur44+YgY3gIIXaelWoM8WOXiBTUoIyJRwl57&#10;5MvcbdcpGb93HarITMOJacwnFSF7l85iuRD1Pgjfazm2IN7SwitOVmhHRa9QaxEFOwT9D5TVMgBC&#10;FycSbHEhkhUhFuX0lTaPvfAqcyGp0V9Fx/8HK78dt4HptuEzzpywNPCNdoqVn5I0g8eaIlZuGxI5&#10;eXKPfgPyFzIHq164vcotPp095ZUpo3iRki7oqcBu+AotxYhDhKzTqQuWdUb7LykxWz+TlcqQKuyU&#10;R3S+jkidIpP0WFbzj7d3ND1JvpuqvJlXuayoE2LK9gHjZwWWJaPhhthkVHHcYEwdPoekcAcP2pi8&#10;BsaxoeF31azKCQhGt8mZwjDsdysT2FGkRcrfWPdFWICDay9FjBvVSAJcpNxBe96GPyrRRHM34/al&#10;lfn7nrOf/7j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1Du4jTAAAACAEAAA8AAAAAAAAAAQAg&#10;AAAAIgAAAGRycy9kb3ducmV2LnhtbFBLAQIUABQAAAAIAIdO4kDl1drX2gEAALkDAAAOAAAAAAAA&#10;AAEAIAAAACIBAABkcnMvZTJvRG9jLnhtbFBLBQYAAAAABgAGAFkBAABuBQAAAAA=&#10;">
                      <v:fill on="f" focussize="0,0"/>
                      <v:stroke color="#000000" joinstyle="round"/>
                      <v:imagedata o:title=""/>
                      <o:lock v:ext="edit" aspectratio="f"/>
                    </v:lin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nuXECMYBAACcAwAADgAAAGRycy9lMm9Eb2MueG1srVPBbtsw&#10;DL0P2D8Iui9OUqTYjDg9JOgu2Rag3QcokmwLlURBVOLk70fJSdp1lx7mgyCK5CPfI718ODnLjjqi&#10;Ad/w2WTKmfYSlPFdw38/P375yhkm4ZWw4HXDzxr5w+rzp+UQaj2HHqzSkRGIx3oIDe9TCnVVoey1&#10;EziBoD05W4hOJDJjV6koBkJ3tppPp/fVAFGFCFIj0utmdPILYvwIILStkXoD8uC0TyNq1FYkooS9&#10;CchXpdu21TL9alvUidmGE9NUTipC930+q9VS1F0UoTfy0oL4SAvvODlhPBW9QW1EEuwQzT9QzsgI&#10;CG2aSHDVSKQoQixm03faPPUi6MKFpMZwEx3/H6z8edxFZhRtAmdeOBr41njNZosszRCwpoi138VM&#10;Tp78U9iCfEHmYd0L3+nS4vM5UN4sZ1R/pWQDAxXYDz9AUYw4JCg6ndroMiQpwE5lHOfbOPQpMUmP&#10;93cLzuT1vRL1NSlETN81OJYvDbfUcAEVxy2m3ISoryG5hodHY22ZtPVsaPi3xXxREhCsUdmZwzB2&#10;+7WN7CjyrpSvMCLP27AIB6/GItZfCGeOo1p7UOddvApBQyvdXBYsb8Vbu2S//lS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uR037VAAAACQEAAA8AAAAAAAAAAQAgAAAAIgAAAGRycy9kb3ducmV2&#10;LnhtbFBLAQIUABQAAAAIAIdO4kCe5cQIxgEAAJwDAAAOAAAAAAAAAAEAIAAAACQBAABkcnMvZTJv&#10;RG9jLnhtbFBLBQYAAAAABgAGAFkBAABcBQAAAAA=&#10;">
                      <v:fill on="f" focussize="0,0"/>
                      <v:stroke color="#000000" joinstyle="round"/>
                      <v:imagedata o:title=""/>
                      <o:lock v:ext="edit" aspectratio="f"/>
                    </v:line>
                  </w:pict>
                </mc:Fallback>
              </mc:AlternateContent>
            </w:r>
            <w:r>
              <w:rPr>
                <w:rFonts w:hint="eastAsia" w:ascii="宋体" w:hAnsi="宋体" w:eastAsia="宋体" w:cs="宋体"/>
                <w:color w:val="auto"/>
                <w:sz w:val="24"/>
              </w:rPr>
              <w:t>招标类型　　　</w:t>
            </w:r>
          </w:p>
          <w:p>
            <w:pPr>
              <w:spacing w:line="300" w:lineRule="auto"/>
              <w:ind w:left="0" w:leftChars="0" w:firstLine="840" w:firstLineChars="350"/>
              <w:rPr>
                <w:rFonts w:hint="eastAsia" w:ascii="宋体" w:hAnsi="宋体" w:eastAsia="宋体" w:cs="宋体"/>
                <w:color w:val="auto"/>
                <w:sz w:val="24"/>
              </w:rPr>
            </w:pPr>
            <w:r>
              <w:rPr>
                <w:rFonts w:hint="eastAsia" w:ascii="宋体" w:hAnsi="宋体" w:eastAsia="宋体" w:cs="宋体"/>
                <w:bCs/>
                <w:color w:val="auto"/>
                <w:sz w:val="24"/>
              </w:rPr>
              <w:t>中标</w:t>
            </w:r>
            <w:r>
              <w:rPr>
                <w:rFonts w:hint="eastAsia" w:ascii="宋体" w:hAnsi="宋体" w:eastAsia="宋体" w:cs="宋体"/>
                <w:color w:val="auto"/>
                <w:sz w:val="24"/>
              </w:rPr>
              <w:t xml:space="preserve">　　　 </w:t>
            </w:r>
          </w:p>
          <w:p>
            <w:pPr>
              <w:spacing w:line="300" w:lineRule="auto"/>
              <w:ind w:firstLine="1504" w:firstLineChars="627"/>
              <w:rPr>
                <w:rFonts w:hint="eastAsia" w:ascii="宋体" w:hAnsi="宋体" w:eastAsia="宋体" w:cs="宋体"/>
                <w:bCs/>
                <w:color w:val="auto"/>
                <w:sz w:val="24"/>
              </w:rPr>
            </w:pPr>
            <w:r>
              <w:rPr>
                <w:rFonts w:hint="eastAsia" w:ascii="宋体" w:hAnsi="宋体" w:eastAsia="宋体" w:cs="宋体"/>
                <w:bCs/>
                <w:color w:val="auto"/>
                <w:sz w:val="24"/>
              </w:rPr>
              <w:t>费率</w:t>
            </w:r>
          </w:p>
          <w:p>
            <w:pPr>
              <w:spacing w:line="300" w:lineRule="auto"/>
              <w:rPr>
                <w:rFonts w:hint="eastAsia" w:ascii="宋体" w:hAnsi="宋体" w:eastAsia="宋体" w:cs="宋体"/>
                <w:color w:val="auto"/>
                <w:sz w:val="24"/>
              </w:rPr>
            </w:pPr>
            <w:r>
              <w:rPr>
                <w:rFonts w:hint="eastAsia" w:ascii="宋体" w:hAnsi="宋体" w:eastAsia="宋体" w:cs="宋体"/>
                <w:color w:val="auto"/>
                <w:sz w:val="24"/>
              </w:rPr>
              <w:t>金额（万元）</w:t>
            </w:r>
          </w:p>
        </w:tc>
        <w:tc>
          <w:tcPr>
            <w:tcW w:w="2028" w:type="dxa"/>
            <w:vAlign w:val="center"/>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货物招标</w:t>
            </w:r>
          </w:p>
        </w:tc>
        <w:tc>
          <w:tcPr>
            <w:tcW w:w="1842" w:type="dxa"/>
            <w:vAlign w:val="center"/>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服务招标</w:t>
            </w:r>
          </w:p>
        </w:tc>
        <w:tc>
          <w:tcPr>
            <w:tcW w:w="1985" w:type="dxa"/>
            <w:vAlign w:val="center"/>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100以下</w:t>
            </w:r>
          </w:p>
        </w:tc>
        <w:tc>
          <w:tcPr>
            <w:tcW w:w="2028" w:type="dxa"/>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1.5%</w:t>
            </w:r>
          </w:p>
        </w:tc>
        <w:tc>
          <w:tcPr>
            <w:tcW w:w="1842" w:type="dxa"/>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1.5%</w:t>
            </w:r>
          </w:p>
        </w:tc>
        <w:tc>
          <w:tcPr>
            <w:tcW w:w="1985" w:type="dxa"/>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100-500</w:t>
            </w:r>
          </w:p>
        </w:tc>
        <w:tc>
          <w:tcPr>
            <w:tcW w:w="2028" w:type="dxa"/>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1842" w:type="dxa"/>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0.8%</w:t>
            </w:r>
          </w:p>
        </w:tc>
        <w:tc>
          <w:tcPr>
            <w:tcW w:w="1985" w:type="dxa"/>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500-1000</w:t>
            </w:r>
          </w:p>
        </w:tc>
        <w:tc>
          <w:tcPr>
            <w:tcW w:w="2028" w:type="dxa"/>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0.8%</w:t>
            </w:r>
          </w:p>
        </w:tc>
        <w:tc>
          <w:tcPr>
            <w:tcW w:w="1842" w:type="dxa"/>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0.45%</w:t>
            </w:r>
          </w:p>
        </w:tc>
        <w:tc>
          <w:tcPr>
            <w:tcW w:w="1985" w:type="dxa"/>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0.55％</w:t>
            </w:r>
          </w:p>
        </w:tc>
      </w:tr>
    </w:tbl>
    <w:p>
      <w:pPr>
        <w:spacing w:line="440" w:lineRule="exact"/>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二、响应文件的编制</w:t>
      </w:r>
    </w:p>
    <w:p>
      <w:pPr>
        <w:spacing w:line="440" w:lineRule="exact"/>
        <w:ind w:left="360" w:hanging="360" w:hangingChars="150"/>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5. 响应文件编制基本要求</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5.1响应文件以及与</w:t>
      </w:r>
      <w:r>
        <w:rPr>
          <w:rFonts w:hint="eastAsia" w:ascii="宋体" w:hAnsi="宋体" w:eastAsia="宋体" w:cs="宋体"/>
          <w:bCs/>
          <w:color w:val="auto"/>
          <w:sz w:val="24"/>
          <w:szCs w:val="24"/>
          <w:lang w:eastAsia="zh-CN"/>
        </w:rPr>
        <w:t>采购代理机构</w:t>
      </w:r>
      <w:r>
        <w:rPr>
          <w:rFonts w:hint="eastAsia" w:ascii="宋体" w:hAnsi="宋体" w:eastAsia="宋体" w:cs="宋体"/>
          <w:bCs/>
          <w:color w:val="auto"/>
          <w:sz w:val="24"/>
          <w:szCs w:val="24"/>
        </w:rPr>
        <w:t>和采购人就有关磋商的所有来往函电均应使用简体中文。</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5.4如因供应商只填写和提供了本文件要求的部分内容和附件，磋商小组有权拒绝其补充和磋商。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5.5响应文件的组成</w:t>
      </w:r>
    </w:p>
    <w:p>
      <w:pPr>
        <w:spacing w:line="440" w:lineRule="exact"/>
        <w:ind w:left="315" w:leftChars="150"/>
        <w:rPr>
          <w:rFonts w:hint="eastAsia" w:ascii="宋体" w:hAnsi="宋体" w:eastAsia="宋体" w:cs="宋体"/>
          <w:bCs/>
          <w:color w:val="auto"/>
          <w:sz w:val="24"/>
          <w:szCs w:val="24"/>
        </w:rPr>
      </w:pPr>
      <w:r>
        <w:rPr>
          <w:rFonts w:hint="eastAsia" w:ascii="宋体" w:hAnsi="宋体" w:eastAsia="宋体" w:cs="宋体"/>
          <w:bCs/>
          <w:color w:val="auto"/>
          <w:sz w:val="24"/>
          <w:szCs w:val="24"/>
        </w:rPr>
        <w:t>不限于以下内容,应该有的必须提供,如未提供,磋商小组有权拒绝其响应文件：</w:t>
      </w:r>
    </w:p>
    <w:p>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1）磋商书 (附件1) ；</w:t>
      </w:r>
    </w:p>
    <w:p>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2）报价组成情况表(附件2) ；</w:t>
      </w:r>
    </w:p>
    <w:p>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3）货物（服务）清单(附件3)；</w:t>
      </w:r>
    </w:p>
    <w:p>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4）资格性符合性检查对照表(附件4)；</w:t>
      </w:r>
    </w:p>
    <w:p>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5）技术响应、偏离情况说明表(附件5)；</w:t>
      </w:r>
    </w:p>
    <w:p>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6）合同草案条款响应、偏离情况说明表（附件6）；</w:t>
      </w:r>
    </w:p>
    <w:p>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7）法人（负责人）代表授权书（附件7）；</w:t>
      </w:r>
    </w:p>
    <w:p>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8）法人或者其他组织的营业执照等证明文件，自然人的身份证明(附件8)；</w:t>
      </w:r>
    </w:p>
    <w:p>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9）财务状况报告，依法缴纳税收和社会保障资金的相关材料(附件9)；</w:t>
      </w:r>
    </w:p>
    <w:p>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10）具备履行合同所必需的设备和专业技术能力的证明材料(附件10)；</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11）参加政府采购活动前3年内在经营活动中没有重大违法记录的书面声明(附件11)；</w:t>
      </w:r>
    </w:p>
    <w:p>
      <w:pPr>
        <w:spacing w:line="440" w:lineRule="exact"/>
        <w:ind w:left="362" w:leftChars="1" w:hanging="360" w:hangingChars="150"/>
        <w:rPr>
          <w:rFonts w:hint="eastAsia" w:ascii="宋体" w:hAnsi="宋体" w:eastAsia="宋体" w:cs="宋体"/>
          <w:bCs/>
          <w:color w:val="auto"/>
          <w:sz w:val="24"/>
        </w:rPr>
      </w:pPr>
      <w:r>
        <w:rPr>
          <w:rFonts w:hint="eastAsia" w:ascii="宋体" w:hAnsi="宋体" w:eastAsia="宋体" w:cs="宋体"/>
          <w:bCs/>
          <w:color w:val="auto"/>
          <w:sz w:val="24"/>
        </w:rPr>
        <w:t>12）未被列入“信用中国”网站(www.creditchina. gov.cn)失信被执行人、重大税收违法案件当事人名单、政府采购严重违法失信行为记录名单</w:t>
      </w:r>
      <w:r>
        <w:rPr>
          <w:rFonts w:hint="eastAsia" w:ascii="宋体" w:hAnsi="宋体" w:eastAsia="宋体" w:cs="宋体"/>
          <w:bCs/>
          <w:color w:val="auto"/>
          <w:sz w:val="24"/>
          <w:lang w:eastAsia="zh-CN"/>
        </w:rPr>
        <w:t>（须提供网页截图）</w:t>
      </w:r>
      <w:r>
        <w:rPr>
          <w:rFonts w:hint="eastAsia" w:ascii="宋体" w:hAnsi="宋体" w:eastAsia="宋体" w:cs="宋体"/>
          <w:bCs/>
          <w:color w:val="auto"/>
          <w:sz w:val="24"/>
        </w:rPr>
        <w:t>(附件12)。</w:t>
      </w:r>
    </w:p>
    <w:p>
      <w:pPr>
        <w:spacing w:line="440" w:lineRule="exact"/>
        <w:ind w:left="362" w:leftChars="1" w:hanging="360" w:hangingChars="150"/>
        <w:rPr>
          <w:rFonts w:hint="eastAsia" w:ascii="宋体" w:hAnsi="宋体" w:eastAsia="宋体" w:cs="宋体"/>
          <w:bCs/>
          <w:color w:val="auto"/>
          <w:sz w:val="24"/>
        </w:rPr>
      </w:pPr>
      <w:r>
        <w:rPr>
          <w:rFonts w:hint="eastAsia" w:ascii="宋体" w:hAnsi="宋体" w:eastAsia="宋体" w:cs="宋体"/>
          <w:bCs/>
          <w:color w:val="auto"/>
          <w:sz w:val="24"/>
        </w:rPr>
        <w:t>13）《中小企业声明函》、《残疾人福利性单位声明函》、属于监狱企业的证明文件等（如果有的话）（附件13）。</w:t>
      </w:r>
    </w:p>
    <w:p>
      <w:pPr>
        <w:spacing w:line="440" w:lineRule="exact"/>
        <w:ind w:left="273" w:leftChars="130"/>
        <w:rPr>
          <w:rFonts w:hint="eastAsia" w:ascii="宋体" w:hAnsi="宋体" w:eastAsia="宋体" w:cs="宋体"/>
          <w:b/>
          <w:bCs/>
          <w:color w:val="auto"/>
          <w:sz w:val="24"/>
        </w:rPr>
      </w:pPr>
      <w:r>
        <w:rPr>
          <w:rFonts w:hint="eastAsia" w:ascii="宋体" w:hAnsi="宋体" w:eastAsia="宋体" w:cs="宋体"/>
          <w:b/>
          <w:bCs/>
          <w:color w:val="auto"/>
          <w:sz w:val="24"/>
        </w:rPr>
        <w:t>本文件要求提供的其他资格证明文件及资料。</w:t>
      </w:r>
    </w:p>
    <w:p>
      <w:pPr>
        <w:spacing w:line="440" w:lineRule="exact"/>
        <w:ind w:left="360" w:hanging="360" w:hangingChars="150"/>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6. 计量单位：除技术要求中另有规定外，本文件所使用的计量单位均应采用国家法定计量单位。</w:t>
      </w:r>
    </w:p>
    <w:p>
      <w:pPr>
        <w:spacing w:line="440" w:lineRule="exact"/>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三、响应文件有效期</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7. 本项目磋商内容自磋商之日算</w:t>
      </w:r>
      <w:r>
        <w:rPr>
          <w:rFonts w:hint="eastAsia" w:ascii="宋体" w:hAnsi="宋体" w:eastAsia="宋体" w:cs="宋体"/>
          <w:bCs/>
          <w:color w:val="auto"/>
          <w:sz w:val="24"/>
        </w:rPr>
        <w:t>起（</w:t>
      </w:r>
      <w:r>
        <w:rPr>
          <w:rFonts w:hint="eastAsia" w:ascii="宋体" w:hAnsi="宋体" w:eastAsia="宋体" w:cs="宋体"/>
          <w:bCs/>
          <w:color w:val="auto"/>
          <w:sz w:val="24"/>
          <w:u w:val="single"/>
        </w:rPr>
        <w:t>90</w:t>
      </w:r>
      <w:r>
        <w:rPr>
          <w:rFonts w:hint="eastAsia" w:ascii="宋体" w:hAnsi="宋体" w:eastAsia="宋体" w:cs="宋体"/>
          <w:bCs/>
          <w:color w:val="auto"/>
          <w:sz w:val="24"/>
        </w:rPr>
        <w:t>）日历日内</w:t>
      </w:r>
      <w:r>
        <w:rPr>
          <w:rFonts w:hint="eastAsia" w:ascii="宋体" w:hAnsi="宋体" w:eastAsia="宋体" w:cs="宋体"/>
          <w:bCs/>
          <w:color w:val="auto"/>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hint="eastAsia" w:ascii="宋体" w:hAnsi="宋体" w:eastAsia="宋体" w:cs="宋体"/>
          <w:b/>
          <w:color w:val="auto"/>
          <w:sz w:val="24"/>
          <w:szCs w:val="24"/>
        </w:rPr>
      </w:pPr>
      <w:r>
        <w:rPr>
          <w:rFonts w:hint="eastAsia" w:ascii="宋体" w:hAnsi="宋体" w:eastAsia="宋体" w:cs="宋体"/>
          <w:bCs/>
          <w:color w:val="auto"/>
          <w:sz w:val="24"/>
          <w:szCs w:val="24"/>
        </w:rPr>
        <w:t>8. 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pPr>
        <w:spacing w:line="440" w:lineRule="exact"/>
        <w:outlineLvl w:val="1"/>
        <w:rPr>
          <w:rFonts w:hint="eastAsia" w:ascii="宋体" w:hAnsi="宋体" w:eastAsia="宋体" w:cs="宋体"/>
          <w:color w:val="auto"/>
          <w:sz w:val="24"/>
          <w:szCs w:val="24"/>
        </w:rPr>
      </w:pPr>
      <w:bookmarkStart w:id="4" w:name="_Toc24488"/>
      <w:r>
        <w:rPr>
          <w:rFonts w:hint="eastAsia" w:ascii="宋体" w:hAnsi="宋体" w:eastAsia="宋体" w:cs="宋体"/>
          <w:color w:val="auto"/>
          <w:sz w:val="24"/>
          <w:szCs w:val="24"/>
        </w:rPr>
        <w:t>四、报价要求</w:t>
      </w:r>
      <w:bookmarkEnd w:id="4"/>
    </w:p>
    <w:p>
      <w:pPr>
        <w:spacing w:line="440" w:lineRule="exact"/>
        <w:ind w:left="360" w:hanging="360" w:hangingChars="150"/>
        <w:rPr>
          <w:rFonts w:hint="eastAsia" w:ascii="宋体" w:hAnsi="宋体" w:eastAsia="宋体" w:cs="宋体"/>
          <w:color w:val="auto"/>
          <w:sz w:val="24"/>
          <w:szCs w:val="24"/>
        </w:rPr>
      </w:pPr>
      <w:r>
        <w:rPr>
          <w:rFonts w:hint="eastAsia" w:ascii="宋体" w:hAnsi="宋体" w:eastAsia="宋体" w:cs="宋体"/>
          <w:color w:val="auto"/>
          <w:sz w:val="24"/>
          <w:szCs w:val="24"/>
        </w:rPr>
        <w:t>9. 报价以人民币报价。</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hint="eastAsia" w:ascii="宋体" w:hAnsi="宋体" w:eastAsia="宋体" w:cs="宋体"/>
          <w:color w:val="auto"/>
          <w:sz w:val="24"/>
          <w:szCs w:val="24"/>
        </w:rPr>
      </w:pPr>
      <w:r>
        <w:rPr>
          <w:rFonts w:hint="eastAsia" w:ascii="宋体" w:hAnsi="宋体" w:eastAsia="宋体" w:cs="宋体"/>
          <w:bCs/>
          <w:color w:val="auto"/>
          <w:sz w:val="24"/>
          <w:szCs w:val="24"/>
        </w:rPr>
        <w:t>11. 成交供应商负</w:t>
      </w:r>
      <w:r>
        <w:rPr>
          <w:rFonts w:hint="eastAsia" w:ascii="宋体" w:hAnsi="宋体" w:eastAsia="宋体" w:cs="宋体"/>
          <w:color w:val="auto"/>
          <w:sz w:val="24"/>
          <w:szCs w:val="24"/>
        </w:rPr>
        <w:t>责本项目所需的售后服务等全部工作，文件另有规定的除外。</w:t>
      </w:r>
    </w:p>
    <w:p>
      <w:pPr>
        <w:spacing w:line="440" w:lineRule="exact"/>
        <w:ind w:left="420" w:hanging="420"/>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五、响应文件的份数、封装和递交</w:t>
      </w:r>
    </w:p>
    <w:p>
      <w:pPr>
        <w:spacing w:line="440" w:lineRule="exact"/>
        <w:ind w:left="420" w:hanging="420"/>
        <w:rPr>
          <w:rFonts w:hint="eastAsia" w:ascii="宋体" w:hAnsi="宋体" w:eastAsia="宋体" w:cs="宋体"/>
          <w:bCs/>
          <w:color w:val="auto"/>
          <w:sz w:val="24"/>
          <w:szCs w:val="24"/>
        </w:rPr>
      </w:pPr>
      <w:r>
        <w:rPr>
          <w:rFonts w:hint="eastAsia" w:ascii="宋体" w:hAnsi="宋体" w:eastAsia="宋体" w:cs="宋体"/>
          <w:bCs/>
          <w:color w:val="auto"/>
          <w:sz w:val="24"/>
          <w:szCs w:val="24"/>
        </w:rPr>
        <w:t>12. 响应文件的份数和封装</w:t>
      </w:r>
    </w:p>
    <w:p>
      <w:pPr>
        <w:spacing w:line="440" w:lineRule="exact"/>
        <w:ind w:left="420" w:hanging="420"/>
        <w:rPr>
          <w:rFonts w:hint="eastAsia" w:ascii="宋体" w:hAnsi="宋体" w:eastAsia="宋体" w:cs="宋体"/>
          <w:bCs/>
          <w:color w:val="auto"/>
          <w:sz w:val="24"/>
          <w:szCs w:val="24"/>
        </w:rPr>
      </w:pPr>
      <w:r>
        <w:rPr>
          <w:rFonts w:hint="eastAsia" w:ascii="宋体" w:hAnsi="宋体" w:eastAsia="宋体" w:cs="宋体"/>
          <w:bCs/>
          <w:color w:val="auto"/>
          <w:sz w:val="24"/>
          <w:szCs w:val="24"/>
        </w:rPr>
        <w:t>12.1响应文</w:t>
      </w:r>
      <w:r>
        <w:rPr>
          <w:rFonts w:hint="eastAsia" w:ascii="宋体" w:hAnsi="宋体" w:eastAsia="宋体" w:cs="宋体"/>
          <w:color w:val="auto"/>
          <w:sz w:val="24"/>
          <w:szCs w:val="24"/>
        </w:rPr>
        <w:t>件一式三份，其中正本一份，副本</w:t>
      </w:r>
      <w:r>
        <w:rPr>
          <w:rFonts w:hint="eastAsia" w:ascii="宋体" w:hAnsi="宋体" w:eastAsia="宋体" w:cs="宋体"/>
          <w:bCs/>
          <w:color w:val="auto"/>
          <w:sz w:val="24"/>
          <w:szCs w:val="24"/>
        </w:rPr>
        <w:t>二份。</w:t>
      </w:r>
      <w:r>
        <w:rPr>
          <w:rFonts w:hint="eastAsia" w:ascii="宋体" w:hAnsi="宋体" w:eastAsia="宋体" w:cs="宋体"/>
          <w:bCs/>
          <w:color w:val="auto"/>
          <w:sz w:val="24"/>
        </w:rPr>
        <w:t>正本封面应加盖供应商公章。响应文件的副本可采用正本的复印件。每套响应文件封面须清楚地标明“正本”、“副本”。若副本与正本不符，以正本为准。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12.2响应文件的正本需</w:t>
      </w:r>
      <w:r>
        <w:rPr>
          <w:rFonts w:hint="eastAsia" w:ascii="宋体" w:hAnsi="宋体" w:eastAsia="宋体" w:cs="宋体"/>
          <w:bCs/>
          <w:color w:val="auto"/>
          <w:sz w:val="24"/>
          <w:szCs w:val="24"/>
          <w:lang w:eastAsia="zh-CN"/>
        </w:rPr>
        <w:t>真彩</w:t>
      </w:r>
      <w:r>
        <w:rPr>
          <w:rFonts w:hint="eastAsia" w:ascii="宋体" w:hAnsi="宋体" w:eastAsia="宋体" w:cs="宋体"/>
          <w:bCs/>
          <w:color w:val="auto"/>
          <w:sz w:val="24"/>
          <w:szCs w:val="24"/>
        </w:rPr>
        <w:t>打印，并由法定代表人或经其正式授权的代表签字，正本的每一页须加盖磋商人公章。</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12.3 响应文件中的任何行间重要的插字、涂改和增删，必须由法定代表人或经其正式授权的代表在旁边签字并加盖磋商人公章才有效。 </w:t>
      </w:r>
    </w:p>
    <w:p>
      <w:pPr>
        <w:spacing w:line="440" w:lineRule="exact"/>
        <w:ind w:left="360" w:hanging="360" w:hangingChars="15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12.4 响应文件正本、副本应分别装订成册，编制目录和页码，采用刷胶装订</w:t>
      </w:r>
      <w:r>
        <w:rPr>
          <w:rFonts w:hint="eastAsia" w:ascii="宋体" w:hAnsi="宋体" w:eastAsia="宋体" w:cs="宋体"/>
          <w:bCs/>
          <w:color w:val="auto"/>
          <w:sz w:val="24"/>
          <w:szCs w:val="24"/>
          <w:lang w:eastAsia="zh-CN"/>
        </w:rPr>
        <w:t>。</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12.5 </w:t>
      </w:r>
      <w:r>
        <w:rPr>
          <w:rFonts w:hint="eastAsia" w:ascii="宋体" w:hAnsi="宋体" w:eastAsia="宋体" w:cs="宋体"/>
          <w:bCs/>
          <w:color w:val="auto"/>
          <w:sz w:val="24"/>
          <w:szCs w:val="24"/>
        </w:rPr>
        <w:t>响应文件的信封上应写明</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项目编号、项目名称、磋商内容、供应商名称和有“在（磋商文件中规定的开标日期和时间）之前不得启封”的字样，封口处加盖磋商人印章。</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13. 响应文件的递交</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13.1所有响应文件应于第一章“竞争性磋商邀请函”中规定的时间前递交到采购代理机构。</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14. 迟交的响应文件</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14.1采购代理机构将拒绝或原封退回在其规定的递交响应文件截止时间之后递交的任何响应文件。</w:t>
      </w:r>
    </w:p>
    <w:p>
      <w:pPr>
        <w:spacing w:line="440" w:lineRule="exact"/>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六、磋商小组的组成</w:t>
      </w:r>
    </w:p>
    <w:p>
      <w:pPr>
        <w:spacing w:line="440" w:lineRule="exact"/>
        <w:ind w:left="420" w:hanging="420"/>
        <w:rPr>
          <w:rFonts w:hint="eastAsia" w:ascii="宋体" w:hAnsi="宋体" w:eastAsia="宋体" w:cs="宋体"/>
          <w:bCs/>
          <w:color w:val="auto"/>
          <w:sz w:val="24"/>
          <w:szCs w:val="24"/>
        </w:rPr>
      </w:pPr>
      <w:r>
        <w:rPr>
          <w:rFonts w:hint="eastAsia" w:ascii="宋体" w:hAnsi="宋体" w:eastAsia="宋体" w:cs="宋体"/>
          <w:bCs/>
          <w:color w:val="auto"/>
          <w:sz w:val="24"/>
          <w:szCs w:val="24"/>
        </w:rPr>
        <w:t>15.磋商小组成员由采购人代表一名和外聘专家两名及以上（技术、经济、法律等方面）组成，外聘专家从湖北省政府采购专家库中随机抽取。</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15.1磋商小组负责制定磋商文件、确定磋商供应商名单、响应文件的评审、磋商谈判、商务服务评议并评分、根据综合评分情况编写评审报告，协助处理质疑等工作。</w:t>
      </w:r>
    </w:p>
    <w:p>
      <w:pPr>
        <w:spacing w:line="440" w:lineRule="exact"/>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七、磋商的步骤</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16. 供应商授权代表或其项目相关的商务技术人员按要求参加本项目磋商过程。</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17. 资格性审查</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17.1磋商小组验证各供应商代表或委托授权人的身份。供应商代表或委托授权人身份与响应文件不符的、响应文件未按要求加盖印章和签字的，磋商小组将拒绝该供应商参加磋商。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18. 第一轮磋商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18.1磋商小组将按照签到的顺序决定供应商的磋商顺序，并与单一供应商分别进行磋商。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18.3 响应文件的澄清和说明</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3）供应商可以对参加竞争性磋商项目的采购需求提出优化建议，并以书面提交磋商小组。</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18.4磋商小组按磋商文件设定的方法和标准确定供应商符合磋商文件要求的，该供应商即为合格的供应商。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18.6合格的供应商不足三家的，磋商小组、采购人在调整采购需求中的技术、服务要求以及合同草案条款后进行下一轮磋商。否则，本次磋商终止。</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19.磋商文件修正</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19.2磋商小组将磋商文件的修改结果以书面形式通知参加磋商的供应商。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19.4对无法详细描述需求，需要供应商提供设计或者解决方案的项目，磋商小组可以根据采购人对需求确认情况，进行多轮磋商，直至采购人代表最终确认采购需求为止。</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20. 第二轮磋商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20.1磋商小组就修正后的磋商文件与供应商分别进行磋商。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21. 最后报价</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21.3供应商的报价均超过了政府采购预算或报价未超过采购预算的供应商不足三家的，磋商活动终止。</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21.4最后报价文件应密封，并在规定的同一时间内提交。最后报价是供应商响应文件的有效组成部分。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21.5在提交最后报价之前，供应商可以根据磋商情况退出磋商。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22. 综合评议</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22.1磋商小组将按照磋商文件确定的评审办法对各供应商的响应文件进行商务服务评议和价格评议。</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22.2评审采用综合评分法，具体见“第四章评审办法及评审标准”。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23.非专门面向中小企业、监狱企业或残疾人福利性单位采购项目价格评议</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24.价格分采用低价优先法计算，即满足磋商文件要求且最后报价最低的供应商的价格为磋商基准价，其价格分为满分。其他供应商的价格分计算公式：磋商报价得分=（磋商基准价/最后磋商报价）×价格权值×100。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24.1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25.磋商小组决定响应文件的响应性只根据响应文件本身的真实无误的内容，而不依据外部的证据，但响应文件有不真实不正确的内容时除外。</w:t>
      </w:r>
    </w:p>
    <w:p>
      <w:pPr>
        <w:spacing w:line="440" w:lineRule="exact"/>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八、确定成交供应商</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26.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27.采购人从评审报告提出的成交候选供应商中，按照排序由高到低的原则确定成交供应商。</w:t>
      </w:r>
    </w:p>
    <w:p>
      <w:pPr>
        <w:spacing w:line="440" w:lineRule="exact"/>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九、成交公告和质疑</w:t>
      </w:r>
    </w:p>
    <w:p>
      <w:pPr>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28.采购代理机构在成交供应商确定后，在财政部门指定的媒体上公告成交结果，同时向成交供应商发出成交通知书。公告期为一个工作日。</w:t>
      </w:r>
    </w:p>
    <w:p>
      <w:pPr>
        <w:spacing w:line="360" w:lineRule="auto"/>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29.相关供应商对成交结果、磋商过程有询问或质疑的，可在公告期届满之日起七个工作日内，依据政府采购相关规定，向采购人或采购代理机构提出询问或质疑，采购人或采购代理机构将按政府采购询问或质疑程序处理。质疑书应当包括下列主要内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29.1质疑人的名称、地址、电话及联系人（法人或负责人授权代表）等；</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29.2质疑人法人（负责人）签章和单位公章；</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29.3具体的质疑事项及事实依据；</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29.4明确的请求和必要的证明材料；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29.5以联合体形式参与磋商的，则必须联合体各方共同签署、盖章；</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29.6提起质疑的日期。</w:t>
      </w:r>
    </w:p>
    <w:p>
      <w:pPr>
        <w:spacing w:line="440" w:lineRule="exact"/>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十、签订合同</w:t>
      </w:r>
    </w:p>
    <w:p>
      <w:pPr>
        <w:adjustRightInd w:val="0"/>
        <w:snapToGrid w:val="0"/>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30.成交供应商在收到成交通知书后，三十日内与采购人签订供货（服务）合同。</w:t>
      </w:r>
    </w:p>
    <w:p>
      <w:pPr>
        <w:spacing w:line="440" w:lineRule="exact"/>
        <w:outlineLvl w:val="1"/>
        <w:rPr>
          <w:rFonts w:hint="eastAsia" w:ascii="宋体" w:hAnsi="宋体" w:eastAsia="宋体" w:cs="宋体"/>
          <w:color w:val="auto"/>
          <w:sz w:val="24"/>
          <w:szCs w:val="24"/>
        </w:rPr>
      </w:pPr>
      <w:r>
        <w:rPr>
          <w:rFonts w:hint="eastAsia" w:ascii="宋体" w:hAnsi="宋体" w:eastAsia="宋体" w:cs="宋体"/>
          <w:color w:val="auto"/>
          <w:sz w:val="24"/>
          <w:szCs w:val="24"/>
        </w:rPr>
        <w:t>十一、付款方式</w:t>
      </w:r>
    </w:p>
    <w:p>
      <w:pPr>
        <w:adjustRightInd w:val="0"/>
        <w:snapToGrid w:val="0"/>
        <w:spacing w:line="440" w:lineRule="exact"/>
        <w:ind w:left="360" w:hanging="360" w:hangingChars="150"/>
        <w:rPr>
          <w:rFonts w:hint="eastAsia" w:ascii="宋体" w:hAnsi="宋体" w:eastAsia="宋体" w:cs="宋体"/>
          <w:bCs/>
          <w:color w:val="auto"/>
          <w:sz w:val="24"/>
          <w:szCs w:val="24"/>
        </w:rPr>
      </w:pPr>
      <w:r>
        <w:rPr>
          <w:rFonts w:hint="eastAsia" w:ascii="宋体" w:hAnsi="宋体" w:eastAsia="宋体" w:cs="宋体"/>
          <w:bCs/>
          <w:color w:val="auto"/>
          <w:sz w:val="24"/>
          <w:szCs w:val="24"/>
        </w:rPr>
        <w:t>31.货物（服务）交付验收合格后，采购人办理相应金额的支付手续。</w:t>
      </w:r>
    </w:p>
    <w:p>
      <w:pPr>
        <w:spacing w:line="440" w:lineRule="exact"/>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十二、适用法律</w:t>
      </w:r>
    </w:p>
    <w:p>
      <w:pPr>
        <w:adjustRightInd w:val="0"/>
        <w:snapToGrid w:val="0"/>
        <w:spacing w:line="440" w:lineRule="exact"/>
        <w:ind w:left="360" w:hanging="360" w:hangingChars="150"/>
        <w:rPr>
          <w:rFonts w:hint="eastAsia" w:ascii="宋体" w:hAnsi="宋体" w:eastAsia="宋体" w:cs="宋体"/>
          <w:color w:val="auto"/>
          <w:sz w:val="24"/>
          <w:szCs w:val="24"/>
        </w:rPr>
      </w:pPr>
      <w:r>
        <w:rPr>
          <w:rFonts w:hint="eastAsia" w:ascii="宋体" w:hAnsi="宋体" w:eastAsia="宋体" w:cs="宋体"/>
          <w:bCs/>
          <w:color w:val="auto"/>
          <w:sz w:val="24"/>
          <w:szCs w:val="24"/>
        </w:rPr>
        <w:t>32.采购当事人的一切活动均适用于《中华人民共和国政府采购法》、《中华人民共和国政府采购法实施条例》、《政府采购非招标采购方式管理办法》、《政府采购竞争性磋商采购方式管理暂行办法》及相关法规。</w:t>
      </w:r>
    </w:p>
    <w:p>
      <w:pPr>
        <w:spacing w:line="500" w:lineRule="exact"/>
        <w:jc w:val="center"/>
        <w:rPr>
          <w:rFonts w:hint="eastAsia" w:ascii="宋体" w:hAnsi="宋体" w:eastAsia="宋体" w:cs="宋体"/>
          <w:b/>
          <w:color w:val="auto"/>
          <w:sz w:val="24"/>
          <w:szCs w:val="24"/>
          <w:lang w:bidi="ar-EG"/>
        </w:rPr>
        <w:sectPr>
          <w:headerReference r:id="rId7" w:type="default"/>
          <w:pgSz w:w="11906" w:h="16838"/>
          <w:pgMar w:top="1440" w:right="1800" w:bottom="1440" w:left="1800" w:header="851" w:footer="992" w:gutter="0"/>
          <w:cols w:space="425" w:num="1"/>
          <w:docGrid w:type="lines" w:linePitch="312" w:charSpace="0"/>
        </w:sectPr>
      </w:pPr>
    </w:p>
    <w:p>
      <w:pPr>
        <w:spacing w:line="500" w:lineRule="exact"/>
        <w:jc w:val="center"/>
        <w:outlineLvl w:val="0"/>
        <w:rPr>
          <w:rFonts w:hint="eastAsia" w:ascii="宋体" w:hAnsi="宋体" w:eastAsia="宋体" w:cs="宋体"/>
          <w:b/>
          <w:color w:val="auto"/>
          <w:sz w:val="36"/>
          <w:szCs w:val="36"/>
          <w:lang w:val="hr-HR" w:bidi="ar-EG"/>
        </w:rPr>
      </w:pPr>
      <w:bookmarkStart w:id="5" w:name="_Toc14263"/>
      <w:bookmarkStart w:id="6" w:name="_Toc2066"/>
      <w:r>
        <w:rPr>
          <w:rFonts w:hint="eastAsia" w:ascii="宋体" w:hAnsi="宋体" w:eastAsia="宋体" w:cs="宋体"/>
          <w:b/>
          <w:color w:val="auto"/>
          <w:sz w:val="36"/>
          <w:szCs w:val="36"/>
          <w:lang w:val="hr-HR" w:bidi="ar-EG"/>
        </w:rPr>
        <w:t>第三章  采购</w:t>
      </w:r>
      <w:r>
        <w:rPr>
          <w:rFonts w:hint="eastAsia" w:ascii="宋体" w:hAnsi="宋体" w:eastAsia="宋体" w:cs="宋体"/>
          <w:b/>
          <w:color w:val="auto"/>
          <w:sz w:val="36"/>
          <w:szCs w:val="36"/>
        </w:rPr>
        <w:t>需求</w:t>
      </w:r>
      <w:bookmarkEnd w:id="5"/>
      <w:bookmarkEnd w:id="6"/>
    </w:p>
    <w:p>
      <w:pPr>
        <w:pStyle w:val="13"/>
        <w:numPr>
          <w:ilvl w:val="0"/>
          <w:numId w:val="0"/>
        </w:numPr>
        <w:ind w:leftChars="0"/>
        <w:outlineLvl w:val="1"/>
        <w:rPr>
          <w:rFonts w:hint="eastAsia" w:ascii="宋体" w:hAnsi="宋体" w:eastAsia="宋体" w:cs="宋体"/>
          <w:bCs w:val="0"/>
          <w:color w:val="auto"/>
          <w:sz w:val="30"/>
          <w:szCs w:val="30"/>
          <w:lang w:val="zh-CN"/>
        </w:rPr>
      </w:pPr>
      <w:r>
        <w:rPr>
          <w:rFonts w:hint="eastAsia" w:ascii="宋体" w:hAnsi="宋体" w:eastAsia="宋体" w:cs="宋体"/>
          <w:bCs w:val="0"/>
          <w:color w:val="auto"/>
          <w:sz w:val="30"/>
          <w:szCs w:val="30"/>
          <w:lang w:val="zh-CN"/>
        </w:rPr>
        <w:t>一、</w:t>
      </w:r>
      <w:bookmarkStart w:id="7" w:name="_Toc495861535"/>
      <w:bookmarkStart w:id="8" w:name="_Toc494561954"/>
      <w:r>
        <w:rPr>
          <w:rFonts w:hint="eastAsia" w:ascii="宋体" w:hAnsi="宋体" w:eastAsia="宋体" w:cs="宋体"/>
          <w:bCs w:val="0"/>
          <w:color w:val="auto"/>
          <w:sz w:val="30"/>
          <w:szCs w:val="30"/>
          <w:lang w:val="zh-CN"/>
        </w:rPr>
        <w:t>项目基本情况</w:t>
      </w:r>
    </w:p>
    <w:p>
      <w:pPr>
        <w:numPr>
          <w:ilvl w:val="1"/>
          <w:numId w:val="0"/>
        </w:numPr>
        <w:tabs>
          <w:tab w:val="left" w:pos="576"/>
        </w:tabs>
        <w:spacing w:before="0" w:after="0" w:line="360" w:lineRule="auto"/>
        <w:ind w:leftChars="0" w:firstLine="560" w:firstLineChars="200"/>
        <w:jc w:val="left"/>
        <w:outlineLvl w:val="9"/>
        <w:rPr>
          <w:rFonts w:hint="eastAsia" w:ascii="宋体" w:hAnsi="宋体" w:eastAsia="宋体" w:cs="宋体"/>
          <w:b w:val="0"/>
          <w:bCs/>
          <w:color w:val="auto"/>
          <w:sz w:val="28"/>
          <w:szCs w:val="28"/>
          <w:lang w:val="zh-CN" w:eastAsia="zh-CN"/>
        </w:rPr>
      </w:pP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sz w:val="28"/>
          <w:szCs w:val="28"/>
          <w:lang w:val="zh-CN" w:eastAsia="zh-CN"/>
        </w:rPr>
        <w:t>、项目名称：阳新县2021年松墨天牛化学防治项目。</w:t>
      </w:r>
    </w:p>
    <w:p>
      <w:pPr>
        <w:numPr>
          <w:ilvl w:val="1"/>
          <w:numId w:val="0"/>
        </w:numPr>
        <w:tabs>
          <w:tab w:val="left" w:pos="576"/>
        </w:tabs>
        <w:spacing w:before="0" w:after="0" w:line="360" w:lineRule="auto"/>
        <w:ind w:leftChars="0" w:firstLine="560" w:firstLineChars="200"/>
        <w:jc w:val="left"/>
        <w:outlineLvl w:val="9"/>
        <w:rPr>
          <w:rFonts w:hint="eastAsia" w:ascii="宋体" w:hAnsi="宋体" w:eastAsia="宋体" w:cs="宋体"/>
          <w:b w:val="0"/>
          <w:bCs/>
          <w:color w:val="auto"/>
          <w:sz w:val="28"/>
          <w:szCs w:val="28"/>
          <w:lang w:val="zh-CN" w:eastAsia="zh-CN"/>
        </w:rPr>
      </w:pP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lang w:val="zh-CN" w:eastAsia="zh-CN"/>
        </w:rPr>
        <w:t>、项目内容：对阳新县2021年松墨天牛虫口密度大的枫林镇、龙港镇、白沙镇、七峰山林场的2万亩松林，在松墨天牛发生高峰期进行飞机喷药防治。防治两次，两次化学防治均为同一区域。</w:t>
      </w:r>
    </w:p>
    <w:p>
      <w:pPr>
        <w:numPr>
          <w:ilvl w:val="1"/>
          <w:numId w:val="0"/>
        </w:numPr>
        <w:tabs>
          <w:tab w:val="left" w:pos="576"/>
        </w:tabs>
        <w:spacing w:before="0" w:after="0" w:line="360" w:lineRule="auto"/>
        <w:ind w:leftChars="0" w:firstLine="560" w:firstLineChars="200"/>
        <w:jc w:val="left"/>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w:t>
      </w:r>
      <w:r>
        <w:rPr>
          <w:rFonts w:hint="eastAsia" w:ascii="宋体" w:hAnsi="宋体" w:eastAsia="宋体" w:cs="宋体"/>
          <w:b w:val="0"/>
          <w:bCs/>
          <w:color w:val="auto"/>
          <w:sz w:val="28"/>
          <w:szCs w:val="28"/>
          <w:lang w:val="zh-CN" w:eastAsia="zh-CN"/>
        </w:rPr>
        <w:t>、服务期限：</w:t>
      </w:r>
      <w:r>
        <w:rPr>
          <w:rFonts w:hint="eastAsia" w:ascii="宋体" w:hAnsi="宋体" w:eastAsia="宋体" w:cs="宋体"/>
          <w:b w:val="0"/>
          <w:bCs/>
          <w:color w:val="auto"/>
          <w:sz w:val="28"/>
          <w:szCs w:val="28"/>
          <w:lang w:val="en-US" w:eastAsia="zh-CN"/>
        </w:rPr>
        <w:t>3个月</w:t>
      </w:r>
    </w:p>
    <w:p>
      <w:pPr>
        <w:numPr>
          <w:ilvl w:val="1"/>
          <w:numId w:val="0"/>
        </w:numPr>
        <w:tabs>
          <w:tab w:val="left" w:pos="576"/>
        </w:tabs>
        <w:spacing w:before="0" w:after="0" w:line="360" w:lineRule="auto"/>
        <w:ind w:leftChars="0" w:firstLine="560" w:firstLineChars="200"/>
        <w:jc w:val="left"/>
        <w:outlineLvl w:val="9"/>
        <w:rPr>
          <w:rFonts w:hint="eastAsia" w:ascii="宋体" w:hAnsi="宋体" w:eastAsia="宋体" w:cs="宋体"/>
          <w:b w:val="0"/>
          <w:bCs/>
          <w:color w:val="auto"/>
          <w:sz w:val="28"/>
          <w:szCs w:val="28"/>
          <w:lang w:val="zh-CN" w:eastAsia="zh-CN"/>
        </w:rPr>
      </w:pPr>
      <w:r>
        <w:rPr>
          <w:rFonts w:hint="eastAsia" w:ascii="宋体" w:hAnsi="宋体" w:eastAsia="宋体" w:cs="宋体"/>
          <w:b w:val="0"/>
          <w:bCs/>
          <w:color w:val="auto"/>
          <w:sz w:val="28"/>
          <w:szCs w:val="28"/>
          <w:lang w:val="en-US" w:eastAsia="zh-CN"/>
        </w:rPr>
        <w:t>4、</w:t>
      </w:r>
      <w:r>
        <w:rPr>
          <w:rFonts w:hint="eastAsia" w:ascii="宋体" w:hAnsi="宋体" w:eastAsia="宋体" w:cs="宋体"/>
          <w:b w:val="0"/>
          <w:bCs/>
          <w:color w:val="auto"/>
          <w:sz w:val="28"/>
          <w:szCs w:val="28"/>
          <w:lang w:val="zh-CN" w:eastAsia="zh-CN"/>
        </w:rPr>
        <w:t>时间要求：分两次进行</w:t>
      </w:r>
    </w:p>
    <w:p>
      <w:pPr>
        <w:numPr>
          <w:ilvl w:val="1"/>
          <w:numId w:val="0"/>
        </w:numPr>
        <w:tabs>
          <w:tab w:val="left" w:pos="576"/>
        </w:tabs>
        <w:spacing w:before="0" w:after="0" w:line="360" w:lineRule="auto"/>
        <w:ind w:leftChars="0" w:firstLine="560" w:firstLineChars="200"/>
        <w:jc w:val="left"/>
        <w:outlineLvl w:val="9"/>
        <w:rPr>
          <w:rFonts w:hint="eastAsia" w:ascii="宋体" w:hAnsi="宋体" w:eastAsia="宋体" w:cs="宋体"/>
          <w:b w:val="0"/>
          <w:bCs/>
          <w:color w:val="auto"/>
          <w:sz w:val="28"/>
          <w:szCs w:val="28"/>
          <w:lang w:val="zh-CN" w:eastAsia="zh-CN"/>
        </w:rPr>
      </w:pPr>
      <w:r>
        <w:rPr>
          <w:rFonts w:hint="eastAsia" w:ascii="宋体" w:hAnsi="宋体" w:eastAsia="宋体" w:cs="宋体"/>
          <w:b w:val="0"/>
          <w:bCs/>
          <w:color w:val="auto"/>
          <w:sz w:val="28"/>
          <w:szCs w:val="28"/>
          <w:lang w:val="zh-CN" w:eastAsia="zh-CN"/>
        </w:rPr>
        <w:t>第一次防治时间：松墨天牛羽化初期（约5月下旬）；</w:t>
      </w:r>
    </w:p>
    <w:p>
      <w:pPr>
        <w:numPr>
          <w:ilvl w:val="1"/>
          <w:numId w:val="0"/>
        </w:numPr>
        <w:tabs>
          <w:tab w:val="left" w:pos="576"/>
        </w:tabs>
        <w:spacing w:before="0" w:after="0" w:line="360" w:lineRule="auto"/>
        <w:ind w:leftChars="0" w:firstLine="560" w:firstLineChars="200"/>
        <w:jc w:val="left"/>
        <w:outlineLvl w:val="9"/>
        <w:rPr>
          <w:rFonts w:hint="eastAsia" w:ascii="宋体" w:hAnsi="宋体" w:eastAsia="宋体" w:cs="宋体"/>
          <w:b w:val="0"/>
          <w:bCs/>
          <w:color w:val="auto"/>
          <w:sz w:val="28"/>
          <w:szCs w:val="28"/>
          <w:lang w:val="zh-CN" w:eastAsia="zh-CN"/>
        </w:rPr>
      </w:pPr>
      <w:r>
        <w:rPr>
          <w:rFonts w:hint="eastAsia" w:ascii="宋体" w:hAnsi="宋体" w:eastAsia="宋体" w:cs="宋体"/>
          <w:b w:val="0"/>
          <w:bCs/>
          <w:color w:val="auto"/>
          <w:sz w:val="28"/>
          <w:szCs w:val="28"/>
          <w:lang w:val="zh-CN" w:eastAsia="zh-CN"/>
        </w:rPr>
        <w:t>第二次防治时间：松墨天牛羽化盛期（约6月下旬）。</w:t>
      </w:r>
    </w:p>
    <w:p>
      <w:pPr>
        <w:numPr>
          <w:ilvl w:val="1"/>
          <w:numId w:val="0"/>
        </w:numPr>
        <w:tabs>
          <w:tab w:val="left" w:pos="576"/>
        </w:tabs>
        <w:spacing w:before="0" w:after="0" w:line="360" w:lineRule="auto"/>
        <w:ind w:leftChars="0" w:firstLine="560" w:firstLineChars="200"/>
        <w:jc w:val="left"/>
        <w:outlineLvl w:val="9"/>
        <w:rPr>
          <w:rFonts w:hint="eastAsia" w:ascii="宋体" w:hAnsi="宋体" w:eastAsia="宋体" w:cs="宋体"/>
          <w:b w:val="0"/>
          <w:bCs/>
          <w:color w:val="auto"/>
          <w:sz w:val="28"/>
          <w:szCs w:val="28"/>
          <w:lang w:val="zh-CN" w:eastAsia="zh-CN"/>
        </w:rPr>
      </w:pPr>
      <w:r>
        <w:rPr>
          <w:rFonts w:hint="eastAsia" w:ascii="宋体" w:hAnsi="宋体" w:eastAsia="宋体" w:cs="宋体"/>
          <w:b w:val="0"/>
          <w:bCs/>
          <w:color w:val="auto"/>
          <w:sz w:val="28"/>
          <w:szCs w:val="28"/>
          <w:lang w:val="zh-CN" w:eastAsia="zh-CN"/>
        </w:rPr>
        <w:t>具体时间根据当地松墨天牛发育情况而定，具体时间按招标人要求执行，必须保证在规定的时间内完成化学防治作业。</w:t>
      </w:r>
    </w:p>
    <w:p>
      <w:pPr>
        <w:pStyle w:val="3"/>
        <w:numPr>
          <w:ilvl w:val="0"/>
          <w:numId w:val="0"/>
        </w:numPr>
        <w:spacing w:before="0" w:after="0" w:line="360" w:lineRule="auto"/>
        <w:ind w:leftChars="0"/>
        <w:jc w:val="left"/>
        <w:rPr>
          <w:rFonts w:hint="eastAsia" w:ascii="宋体" w:hAnsi="宋体" w:eastAsia="宋体" w:cs="宋体"/>
          <w:b w:val="0"/>
          <w:bCs/>
          <w:color w:val="auto"/>
          <w:sz w:val="30"/>
          <w:szCs w:val="30"/>
          <w:lang w:val="zh-CN"/>
        </w:rPr>
      </w:pPr>
      <w:r>
        <w:rPr>
          <w:rFonts w:hint="eastAsia" w:ascii="宋体" w:hAnsi="宋体" w:eastAsia="宋体" w:cs="宋体"/>
          <w:b w:val="0"/>
          <w:bCs/>
          <w:color w:val="auto"/>
          <w:sz w:val="30"/>
          <w:szCs w:val="30"/>
          <w:lang w:val="zh-CN"/>
        </w:rPr>
        <w:t>二、</w:t>
      </w:r>
      <w:bookmarkEnd w:id="7"/>
      <w:bookmarkEnd w:id="8"/>
      <w:bookmarkStart w:id="9" w:name="_Toc494561955"/>
      <w:bookmarkStart w:id="10" w:name="_Toc495861536"/>
      <w:r>
        <w:rPr>
          <w:rFonts w:hint="eastAsia" w:ascii="宋体" w:hAnsi="宋体" w:eastAsia="宋体" w:cs="宋体"/>
          <w:b w:val="0"/>
          <w:bCs/>
          <w:color w:val="auto"/>
          <w:sz w:val="30"/>
          <w:szCs w:val="30"/>
          <w:lang w:val="zh-CN"/>
        </w:rPr>
        <w:t>服务要求</w:t>
      </w:r>
      <w:bookmarkEnd w:id="9"/>
      <w:bookmarkEnd w:id="10"/>
    </w:p>
    <w:p>
      <w:pPr>
        <w:spacing w:line="500" w:lineRule="exact"/>
        <w:jc w:val="both"/>
        <w:outlineLvl w:val="9"/>
        <w:rPr>
          <w:rFonts w:hint="eastAsia" w:ascii="宋体" w:hAnsi="宋体" w:eastAsia="宋体" w:cs="宋体"/>
          <w:color w:val="auto"/>
          <w:sz w:val="28"/>
          <w:szCs w:val="24"/>
          <w:lang w:val="zh-CN"/>
        </w:rPr>
      </w:pPr>
      <w:bookmarkStart w:id="11" w:name="_Toc17346"/>
      <w:r>
        <w:rPr>
          <w:rFonts w:hint="eastAsia" w:ascii="宋体" w:hAnsi="宋体" w:eastAsia="宋体" w:cs="宋体"/>
          <w:color w:val="auto"/>
          <w:sz w:val="28"/>
          <w:szCs w:val="24"/>
          <w:lang w:val="zh-CN"/>
        </w:rPr>
        <w:t>（一）化学防治区域：枫林镇、龙港镇、白沙镇、七峰山林场</w:t>
      </w:r>
    </w:p>
    <w:p>
      <w:pPr>
        <w:spacing w:line="500" w:lineRule="exact"/>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（二）化学防治时间要求：</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分两次进行：</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第一次防治时间：松墨天牛羽化初期（约5月下旬）；</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第二次防治时间：松墨天牛羽化盛期（约6中下旬）。</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具体时间根据当地松墨天牛发育情况而定，具体时间按招标人要求执行，必须保证在规定的时间内完成化学防治作业。</w:t>
      </w:r>
    </w:p>
    <w:p>
      <w:pPr>
        <w:spacing w:line="500" w:lineRule="exact"/>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（三）施用药剂要求：</w:t>
      </w:r>
    </w:p>
    <w:p>
      <w:pPr>
        <w:spacing w:line="500" w:lineRule="exact"/>
        <w:ind w:firstLine="560" w:firstLineChars="200"/>
        <w:jc w:val="both"/>
        <w:outlineLvl w:val="9"/>
        <w:rPr>
          <w:rFonts w:hint="eastAsia" w:ascii="宋体" w:hAnsi="宋体" w:eastAsia="宋体" w:cs="宋体"/>
          <w:b w:val="0"/>
          <w:color w:val="auto"/>
          <w:kern w:val="2"/>
          <w:sz w:val="28"/>
          <w:szCs w:val="24"/>
          <w:lang w:val="zh-CN" w:eastAsia="zh-CN" w:bidi="ar-SA"/>
        </w:rPr>
      </w:pPr>
      <w:r>
        <w:rPr>
          <w:rFonts w:hint="eastAsia" w:ascii="宋体" w:hAnsi="宋体" w:eastAsia="宋体" w:cs="宋体"/>
          <w:color w:val="auto"/>
          <w:sz w:val="28"/>
          <w:szCs w:val="24"/>
          <w:lang w:val="zh-CN"/>
        </w:rPr>
        <w:t>1、施用药剂要求：遵循“安全、环保、高效”的原则，喷施农药采用8%氯氰菊酯微囊悬浮剂。飞机防治施药量为100ml/亩，稀释3-4倍采用飞机超低容量喷雾将药剂均匀喷洒在地面以上树干、大枝、树梢和其他天牛成虫喜欢出没之处。</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2、招标人有权对投标人提供药品进行抽查检验，检验费用由中标人承担。如发现不符合环保要求、国家规定或招标文件规定的药品视为违约，并有权追求相关法律责任。</w:t>
      </w:r>
    </w:p>
    <w:p>
      <w:pPr>
        <w:spacing w:line="500" w:lineRule="exact"/>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（四）化学防治覆盖密度要求：符合国家相关技术标准，能够达到化学防治效果要求。</w:t>
      </w:r>
    </w:p>
    <w:p>
      <w:pPr>
        <w:spacing w:line="500" w:lineRule="exact"/>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（五）项目实施过程中所有安全问题都由乙方负责。若发生安全事故（包括次生灾害事故），责任由中标单位全部负责并赔偿所有损失。</w:t>
      </w:r>
    </w:p>
    <w:p>
      <w:pPr>
        <w:spacing w:line="500" w:lineRule="exact"/>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（六）其他要求</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1、服务期间因出现其它变更情况而产生的费用，招标人不予支付。</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2、中标人不得提供虚假业绩、荣誉、认证、授权等资料，如出现上述情形，招标人向监督部门提出申请并经批准后，可取消其中标资格，并与其立即解除合同，由此引起的经济损失全部由中标人承担，招标人有保留追究投标人相关法律责任的权力。</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3、服务成果验收</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服务期满或完成服务成果后，招标人应对服务的成果进行详细而全面的检验。招标人有权限根据检验结果,如发现不合格要求中标人立即采取有效的弥补措施并且招标人保留提出索赔的权利和追究其法律责任的权利。检验合格后，由招标人或者委托的机构进行验收，作为付款凭据之一。</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4、质量保证期</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自验收合格之日起不低于1个月，国家主管部门或者行业标准对服务本身有更高要求的，从其规定并在合同中约定，中标人亦可提报更长的质保期。</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质量保证期内，如果证实服务成果是有缺陷的，包括潜在的缺陷或者使用不符合要求等，中标人应立即采取补救方案，保证达到合同规定的服务要求。如果中标人在收到通知后3天内未能弥补缺陷，招标人可自行采取必要的补救措施，但风险和费用由中标人承担，招标人同时保留通过法律途径进行索赔的权利。</w:t>
      </w:r>
    </w:p>
    <w:p>
      <w:pPr>
        <w:spacing w:line="500" w:lineRule="exact"/>
        <w:ind w:firstLine="560" w:firstLineChars="200"/>
        <w:jc w:val="both"/>
        <w:outlineLvl w:val="9"/>
        <w:rPr>
          <w:rFonts w:hint="eastAsia" w:ascii="宋体" w:hAnsi="宋体" w:eastAsia="宋体" w:cs="宋体"/>
          <w:color w:val="auto"/>
          <w:sz w:val="28"/>
          <w:szCs w:val="24"/>
          <w:lang w:val="zh-CN"/>
        </w:rPr>
      </w:pPr>
      <w:r>
        <w:rPr>
          <w:rFonts w:hint="eastAsia" w:ascii="宋体" w:hAnsi="宋体" w:eastAsia="宋体" w:cs="宋体"/>
          <w:color w:val="auto"/>
          <w:sz w:val="28"/>
          <w:szCs w:val="24"/>
          <w:lang w:val="zh-CN"/>
        </w:rPr>
        <w:t>5、服务保障</w:t>
      </w:r>
    </w:p>
    <w:p>
      <w:pPr>
        <w:spacing w:line="500" w:lineRule="exact"/>
        <w:ind w:firstLine="560" w:firstLineChars="200"/>
        <w:jc w:val="both"/>
        <w:outlineLvl w:val="9"/>
        <w:rPr>
          <w:rFonts w:hint="eastAsia" w:ascii="宋体" w:hAnsi="宋体" w:eastAsia="宋体" w:cs="宋体"/>
          <w:color w:val="auto"/>
          <w:sz w:val="28"/>
          <w:szCs w:val="24"/>
          <w:lang w:val="zh-CN"/>
        </w:rPr>
        <w:sectPr>
          <w:footerReference r:id="rId8" w:type="default"/>
          <w:pgSz w:w="11906" w:h="16838"/>
          <w:pgMar w:top="1440" w:right="1797" w:bottom="1440" w:left="1797" w:header="851" w:footer="992" w:gutter="0"/>
          <w:cols w:space="425" w:num="1"/>
          <w:docGrid w:linePitch="312" w:charSpace="0"/>
        </w:sectPr>
      </w:pPr>
      <w:r>
        <w:rPr>
          <w:rFonts w:hint="eastAsia" w:ascii="宋体" w:hAnsi="宋体" w:eastAsia="宋体" w:cs="宋体"/>
          <w:color w:val="auto"/>
          <w:sz w:val="28"/>
          <w:szCs w:val="24"/>
          <w:lang w:val="zh-CN"/>
        </w:rPr>
        <w:t>中标人应提供及时周到的技术服务，应保证在服务期内每月至少一次上门回访。</w:t>
      </w:r>
    </w:p>
    <w:p>
      <w:pPr>
        <w:spacing w:line="500" w:lineRule="exact"/>
        <w:jc w:val="center"/>
        <w:outlineLvl w:val="0"/>
        <w:rPr>
          <w:rFonts w:hint="eastAsia" w:ascii="宋体" w:hAnsi="宋体" w:eastAsia="宋体" w:cs="宋体"/>
          <w:b/>
          <w:color w:val="auto"/>
          <w:sz w:val="36"/>
          <w:szCs w:val="36"/>
          <w:lang w:val="hr-HR" w:bidi="ar-EG"/>
        </w:rPr>
      </w:pPr>
      <w:bookmarkStart w:id="12" w:name="_Toc7896"/>
      <w:r>
        <w:rPr>
          <w:rFonts w:hint="eastAsia" w:ascii="宋体" w:hAnsi="宋体" w:eastAsia="宋体" w:cs="宋体"/>
          <w:b/>
          <w:color w:val="auto"/>
          <w:sz w:val="36"/>
          <w:szCs w:val="36"/>
          <w:lang w:val="hr-HR" w:bidi="ar-EG"/>
        </w:rPr>
        <w:t>第四章  评审办法及评分标准</w:t>
      </w:r>
      <w:bookmarkEnd w:id="11"/>
      <w:bookmarkEnd w:id="12"/>
    </w:p>
    <w:p>
      <w:pPr>
        <w:keepNext w:val="0"/>
        <w:keepLines w:val="0"/>
        <w:widowControl w:val="0"/>
        <w:suppressLineNumbers w:val="0"/>
        <w:spacing w:before="0" w:beforeAutospacing="0" w:after="0" w:afterAutospacing="0" w:line="440" w:lineRule="exact"/>
        <w:ind w:left="0" w:right="0" w:firstLine="560" w:firstLineChars="200"/>
        <w:jc w:val="both"/>
        <w:outlineLvl w:val="1"/>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一、评审方法</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本次评审采用综合评分法。即满分100分，其中商务部分占</w:t>
      </w:r>
      <w:r>
        <w:rPr>
          <w:rFonts w:hint="eastAsia" w:ascii="宋体" w:hAnsi="宋体" w:cs="宋体"/>
          <w:color w:val="auto"/>
          <w:kern w:val="2"/>
          <w:sz w:val="28"/>
          <w:szCs w:val="22"/>
          <w:lang w:val="en-US" w:eastAsia="zh-CN" w:bidi="ar"/>
        </w:rPr>
        <w:t>20</w:t>
      </w:r>
      <w:r>
        <w:rPr>
          <w:rFonts w:hint="eastAsia" w:ascii="宋体" w:hAnsi="宋体" w:eastAsia="宋体" w:cs="宋体"/>
          <w:color w:val="auto"/>
          <w:kern w:val="2"/>
          <w:sz w:val="28"/>
          <w:szCs w:val="22"/>
          <w:lang w:val="en-US" w:eastAsia="zh-CN" w:bidi="ar"/>
        </w:rPr>
        <w:t>％，技术部分占</w:t>
      </w:r>
      <w:r>
        <w:rPr>
          <w:rFonts w:hint="eastAsia" w:ascii="宋体" w:hAnsi="宋体" w:cs="宋体"/>
          <w:color w:val="auto"/>
          <w:kern w:val="2"/>
          <w:sz w:val="28"/>
          <w:szCs w:val="22"/>
          <w:lang w:val="en-US" w:eastAsia="zh-CN" w:bidi="ar"/>
        </w:rPr>
        <w:t>50</w:t>
      </w:r>
      <w:r>
        <w:rPr>
          <w:rFonts w:hint="eastAsia" w:ascii="宋体" w:hAnsi="宋体" w:eastAsia="宋体" w:cs="宋体"/>
          <w:color w:val="auto"/>
          <w:kern w:val="2"/>
          <w:sz w:val="28"/>
          <w:szCs w:val="22"/>
          <w:lang w:val="en-US" w:eastAsia="zh-CN" w:bidi="ar"/>
        </w:rPr>
        <w:t>％，价格部分占30%。</w:t>
      </w:r>
    </w:p>
    <w:p>
      <w:pPr>
        <w:keepNext w:val="0"/>
        <w:keepLines w:val="0"/>
        <w:widowControl w:val="0"/>
        <w:suppressLineNumbers w:val="0"/>
        <w:spacing w:before="0" w:beforeAutospacing="0" w:after="0" w:afterAutospacing="0" w:line="440" w:lineRule="exact"/>
        <w:ind w:left="0" w:right="0" w:firstLine="560" w:firstLineChars="200"/>
        <w:jc w:val="both"/>
        <w:outlineLvl w:val="1"/>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二、评审步骤</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磋商小组对响应文件的评审分为资格性符合性检查、商务部分评议和价格部分评议；</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1.资格性符合性检查表</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磋商小组验证各供应商代表或委托授权人的身份。供应商代表或委托授权人身份与响应文件不符的、响应文件未按要求加盖印章和签字的，磋商小组有权拒绝该供应商参加磋商。</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2.商务部分评议（占</w:t>
      </w:r>
      <w:r>
        <w:rPr>
          <w:rFonts w:hint="eastAsia" w:ascii="宋体" w:hAnsi="宋体" w:cs="宋体"/>
          <w:color w:val="auto"/>
          <w:kern w:val="2"/>
          <w:sz w:val="28"/>
          <w:szCs w:val="22"/>
          <w:lang w:val="en-US" w:eastAsia="zh-CN" w:bidi="ar"/>
        </w:rPr>
        <w:t>20</w:t>
      </w:r>
      <w:r>
        <w:rPr>
          <w:rFonts w:hint="eastAsia" w:ascii="宋体" w:hAnsi="宋体" w:eastAsia="宋体" w:cs="宋体"/>
          <w:color w:val="auto"/>
          <w:kern w:val="2"/>
          <w:sz w:val="28"/>
          <w:szCs w:val="22"/>
          <w:lang w:val="en-US" w:eastAsia="zh-CN" w:bidi="ar"/>
        </w:rPr>
        <w:t>%）</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磋商小组依据“商务部分评分表”中的分值及标准进行评分。</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3.技术部分评议（占</w:t>
      </w:r>
      <w:r>
        <w:rPr>
          <w:rFonts w:hint="eastAsia" w:ascii="宋体" w:hAnsi="宋体" w:cs="宋体"/>
          <w:color w:val="auto"/>
          <w:kern w:val="2"/>
          <w:sz w:val="28"/>
          <w:szCs w:val="22"/>
          <w:lang w:val="en-US" w:eastAsia="zh-CN" w:bidi="ar"/>
        </w:rPr>
        <w:t>50</w:t>
      </w:r>
      <w:r>
        <w:rPr>
          <w:rFonts w:hint="eastAsia" w:ascii="宋体" w:hAnsi="宋体" w:eastAsia="宋体" w:cs="宋体"/>
          <w:color w:val="auto"/>
          <w:kern w:val="2"/>
          <w:sz w:val="28"/>
          <w:szCs w:val="22"/>
          <w:lang w:val="en-US" w:eastAsia="zh-CN" w:bidi="ar"/>
        </w:rPr>
        <w:t>%）</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磋商小组依据“技术部分评分表”中的分值及标准进行评分。</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4.价格部分评议（占30%）</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价格分采用低价优先法计算，即满足磋商文件要求且最后报价最低的供应商的价格为磋商基准价，其价格分为满分。其他供应商的价格分统一按照下列公式计算：</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磋商报价得分=（磋商基准价/最后磋商报价）×30%×100</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5.推荐成交候选供应商</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宋体" w:hAnsi="宋体" w:eastAsia="宋体" w:cs="宋体"/>
          <w:color w:val="auto"/>
          <w:sz w:val="28"/>
          <w:szCs w:val="22"/>
          <w:lang w:val="en-US"/>
        </w:rPr>
      </w:pPr>
      <w:r>
        <w:rPr>
          <w:rFonts w:hint="eastAsia" w:ascii="宋体" w:hAnsi="宋体" w:eastAsia="宋体" w:cs="宋体"/>
          <w:color w:val="auto"/>
          <w:kern w:val="2"/>
          <w:sz w:val="28"/>
          <w:szCs w:val="22"/>
          <w:lang w:val="en-US" w:eastAsia="zh-CN" w:bidi="ar"/>
        </w:rPr>
        <w:t>评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keepNext w:val="0"/>
        <w:keepLines w:val="0"/>
        <w:widowControl w:val="0"/>
        <w:suppressLineNumbers w:val="0"/>
        <w:spacing w:before="0" w:beforeAutospacing="0" w:after="0" w:afterAutospacing="0" w:line="440" w:lineRule="exact"/>
        <w:ind w:right="0" w:firstLine="560" w:firstLineChars="200"/>
        <w:jc w:val="both"/>
        <w:outlineLvl w:val="1"/>
        <w:rPr>
          <w:rFonts w:hint="eastAsia" w:ascii="宋体" w:hAnsi="宋体" w:eastAsia="宋体" w:cs="宋体"/>
          <w:color w:val="auto"/>
          <w:kern w:val="2"/>
          <w:sz w:val="28"/>
          <w:szCs w:val="22"/>
          <w:lang w:val="en-US" w:eastAsia="zh-CN" w:bidi="ar"/>
        </w:rPr>
      </w:pPr>
      <w:r>
        <w:rPr>
          <w:rFonts w:hint="eastAsia" w:ascii="宋体" w:hAnsi="宋体" w:eastAsia="宋体" w:cs="宋体"/>
          <w:color w:val="auto"/>
          <w:kern w:val="2"/>
          <w:sz w:val="28"/>
          <w:szCs w:val="22"/>
          <w:lang w:val="en-US" w:eastAsia="zh-CN" w:bidi="ar"/>
        </w:rPr>
        <w:t>三、资格性和符合性检查表及评分标准</w:t>
      </w:r>
    </w:p>
    <w:p>
      <w:pPr>
        <w:bidi w:val="0"/>
        <w:ind w:firstLine="560" w:firstLineChars="200"/>
        <w:outlineLvl w:val="2"/>
        <w:rPr>
          <w:rFonts w:hint="default" w:ascii="宋体" w:hAnsi="宋体" w:eastAsia="宋体" w:cs="宋体"/>
          <w:color w:val="auto"/>
          <w:sz w:val="28"/>
          <w:szCs w:val="32"/>
          <w:lang w:val="en-US" w:eastAsia="zh-CN"/>
        </w:rPr>
      </w:pPr>
      <w:r>
        <w:rPr>
          <w:rFonts w:hint="eastAsia" w:ascii="宋体" w:hAnsi="宋体" w:eastAsia="宋体" w:cs="宋体"/>
          <w:color w:val="auto"/>
          <w:sz w:val="28"/>
          <w:szCs w:val="32"/>
          <w:lang w:val="en-US" w:eastAsia="zh-CN"/>
        </w:rPr>
        <w:t>1.资格性和符合性检查表</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7"/>
        <w:gridCol w:w="5955"/>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序号</w:t>
            </w:r>
          </w:p>
        </w:tc>
        <w:tc>
          <w:tcPr>
            <w:tcW w:w="595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评审内容</w:t>
            </w:r>
          </w:p>
        </w:tc>
        <w:tc>
          <w:tcPr>
            <w:tcW w:w="17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35" w:leftChars="-51" w:right="0" w:hanging="142" w:hangingChars="51"/>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1</w:t>
            </w:r>
          </w:p>
        </w:tc>
        <w:tc>
          <w:tcPr>
            <w:tcW w:w="5955"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8"/>
                <w:szCs w:val="28"/>
                <w:lang w:val="en-US"/>
              </w:rPr>
            </w:pPr>
            <w:r>
              <w:rPr>
                <w:rFonts w:hint="eastAsia" w:ascii="宋体" w:hAnsi="宋体" w:eastAsia="宋体" w:cs="宋体"/>
                <w:color w:val="auto"/>
                <w:sz w:val="28"/>
                <w:szCs w:val="28"/>
              </w:rPr>
              <w:t xml:space="preserve">按照磋商文件规定要求签署、盖章； </w:t>
            </w:r>
          </w:p>
        </w:tc>
        <w:tc>
          <w:tcPr>
            <w:tcW w:w="17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2</w:t>
            </w:r>
          </w:p>
        </w:tc>
        <w:tc>
          <w:tcPr>
            <w:tcW w:w="5955"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8"/>
                <w:szCs w:val="28"/>
                <w:lang w:val="en-US"/>
              </w:rPr>
            </w:pPr>
            <w:r>
              <w:rPr>
                <w:rFonts w:hint="eastAsia" w:ascii="宋体" w:hAnsi="宋体" w:eastAsia="宋体" w:cs="宋体"/>
                <w:color w:val="auto"/>
                <w:sz w:val="28"/>
                <w:szCs w:val="28"/>
              </w:rPr>
              <w:t xml:space="preserve">按磋商文件要求进行报价； </w:t>
            </w:r>
          </w:p>
        </w:tc>
        <w:tc>
          <w:tcPr>
            <w:tcW w:w="17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3</w:t>
            </w:r>
          </w:p>
        </w:tc>
        <w:tc>
          <w:tcPr>
            <w:tcW w:w="5955"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8"/>
                <w:szCs w:val="28"/>
                <w:lang w:val="en-US"/>
              </w:rPr>
            </w:pPr>
            <w:r>
              <w:rPr>
                <w:rFonts w:hint="eastAsia" w:ascii="宋体" w:hAnsi="宋体" w:eastAsia="宋体" w:cs="宋体"/>
                <w:color w:val="auto"/>
                <w:sz w:val="28"/>
                <w:szCs w:val="28"/>
              </w:rPr>
              <w:t xml:space="preserve">响应文件有效期满足磋商文件规定； </w:t>
            </w:r>
          </w:p>
        </w:tc>
        <w:tc>
          <w:tcPr>
            <w:tcW w:w="17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4</w:t>
            </w:r>
          </w:p>
        </w:tc>
        <w:tc>
          <w:tcPr>
            <w:tcW w:w="5955"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8"/>
                <w:szCs w:val="28"/>
                <w:lang w:val="en-US"/>
              </w:rPr>
            </w:pPr>
            <w:r>
              <w:rPr>
                <w:rFonts w:hint="eastAsia" w:ascii="宋体" w:hAnsi="宋体" w:eastAsia="宋体" w:cs="宋体"/>
                <w:color w:val="auto"/>
                <w:sz w:val="28"/>
                <w:szCs w:val="28"/>
              </w:rPr>
              <w:t xml:space="preserve">响应文件中未附有采购人不能接受条件； </w:t>
            </w:r>
          </w:p>
        </w:tc>
        <w:tc>
          <w:tcPr>
            <w:tcW w:w="17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5</w:t>
            </w:r>
          </w:p>
        </w:tc>
        <w:tc>
          <w:tcPr>
            <w:tcW w:w="5955"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8"/>
                <w:szCs w:val="28"/>
                <w:lang w:val="en-US"/>
              </w:rPr>
            </w:pPr>
            <w:r>
              <w:rPr>
                <w:rFonts w:hint="eastAsia" w:ascii="宋体" w:hAnsi="宋体" w:eastAsia="宋体" w:cs="宋体"/>
                <w:color w:val="auto"/>
                <w:sz w:val="28"/>
                <w:szCs w:val="28"/>
              </w:rPr>
              <w:t xml:space="preserve">响应文件满足磋商文件商务、技术等实质性要求； </w:t>
            </w:r>
          </w:p>
        </w:tc>
        <w:tc>
          <w:tcPr>
            <w:tcW w:w="17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6</w:t>
            </w:r>
          </w:p>
        </w:tc>
        <w:tc>
          <w:tcPr>
            <w:tcW w:w="5955"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8"/>
                <w:szCs w:val="28"/>
                <w:lang w:val="en-US"/>
              </w:rPr>
            </w:pPr>
            <w:r>
              <w:rPr>
                <w:rFonts w:hint="eastAsia" w:ascii="宋体" w:hAnsi="宋体" w:eastAsia="宋体" w:cs="宋体"/>
                <w:color w:val="auto"/>
                <w:sz w:val="28"/>
                <w:szCs w:val="28"/>
              </w:rPr>
              <w:t xml:space="preserve">供应商未出现磋商文件中规定无效的其它条款； </w:t>
            </w:r>
          </w:p>
        </w:tc>
        <w:tc>
          <w:tcPr>
            <w:tcW w:w="17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sz w:val="28"/>
                <w:szCs w:val="28"/>
                <w:lang w:val="en-US"/>
              </w:rPr>
            </w:pPr>
          </w:p>
        </w:tc>
      </w:tr>
    </w:tbl>
    <w:p>
      <w:pPr>
        <w:bidi w:val="0"/>
        <w:ind w:firstLine="560" w:firstLineChars="200"/>
        <w:outlineLvl w:val="2"/>
        <w:rPr>
          <w:rFonts w:hint="eastAsia" w:ascii="宋体" w:hAnsi="宋体" w:eastAsia="宋体" w:cs="宋体"/>
          <w:color w:val="auto"/>
          <w:sz w:val="28"/>
          <w:szCs w:val="32"/>
          <w:lang w:val="hr-HR" w:eastAsia="zh-CN"/>
        </w:rPr>
      </w:pPr>
      <w:r>
        <w:rPr>
          <w:rFonts w:hint="eastAsia" w:ascii="宋体" w:hAnsi="宋体" w:eastAsia="宋体" w:cs="宋体"/>
          <w:color w:val="auto"/>
          <w:sz w:val="28"/>
          <w:szCs w:val="32"/>
          <w:lang w:val="en-US" w:eastAsia="zh-CN"/>
        </w:rPr>
        <w:t>2.</w:t>
      </w:r>
      <w:r>
        <w:rPr>
          <w:rFonts w:hint="eastAsia" w:ascii="宋体" w:hAnsi="宋体" w:eastAsia="宋体" w:cs="宋体"/>
          <w:color w:val="auto"/>
          <w:sz w:val="28"/>
          <w:szCs w:val="32"/>
          <w:lang w:val="hr-HR" w:eastAsia="zh-CN"/>
        </w:rPr>
        <w:t>评分标准</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30"/>
        <w:gridCol w:w="891"/>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78" w:type="dxa"/>
            <w:vAlign w:val="center"/>
          </w:tcPr>
          <w:p>
            <w:pPr>
              <w:pStyle w:val="9"/>
              <w:jc w:val="center"/>
              <w:rPr>
                <w:rFonts w:ascii="宋体" w:hAnsi="宋体" w:eastAsia="宋体" w:cs="宋体"/>
                <w:bCs/>
                <w:color w:val="auto"/>
              </w:rPr>
            </w:pPr>
            <w:r>
              <w:rPr>
                <w:rFonts w:hint="eastAsia" w:ascii="宋体" w:hAnsi="宋体" w:eastAsia="宋体" w:cs="宋体"/>
                <w:bCs/>
                <w:color w:val="auto"/>
              </w:rPr>
              <w:t>评标项目</w:t>
            </w:r>
          </w:p>
        </w:tc>
        <w:tc>
          <w:tcPr>
            <w:tcW w:w="1230" w:type="dxa"/>
            <w:vAlign w:val="center"/>
          </w:tcPr>
          <w:p>
            <w:pPr>
              <w:pStyle w:val="9"/>
              <w:jc w:val="center"/>
              <w:rPr>
                <w:rFonts w:ascii="宋体" w:hAnsi="宋体" w:eastAsia="宋体" w:cs="宋体"/>
                <w:bCs/>
                <w:color w:val="auto"/>
              </w:rPr>
            </w:pPr>
            <w:r>
              <w:rPr>
                <w:rFonts w:hint="eastAsia" w:ascii="宋体" w:hAnsi="宋体" w:eastAsia="宋体" w:cs="宋体"/>
                <w:bCs/>
                <w:color w:val="auto"/>
              </w:rPr>
              <w:t>评标分项</w:t>
            </w:r>
          </w:p>
        </w:tc>
        <w:tc>
          <w:tcPr>
            <w:tcW w:w="891" w:type="dxa"/>
            <w:vAlign w:val="center"/>
          </w:tcPr>
          <w:p>
            <w:pPr>
              <w:pStyle w:val="9"/>
              <w:jc w:val="center"/>
              <w:rPr>
                <w:rFonts w:ascii="宋体" w:hAnsi="宋体" w:eastAsia="宋体" w:cs="宋体"/>
                <w:bCs/>
                <w:color w:val="auto"/>
              </w:rPr>
            </w:pPr>
            <w:r>
              <w:rPr>
                <w:rFonts w:hint="eastAsia" w:ascii="宋体" w:hAnsi="宋体" w:eastAsia="宋体" w:cs="宋体"/>
                <w:bCs/>
                <w:color w:val="auto"/>
              </w:rPr>
              <w:t>分值</w:t>
            </w:r>
          </w:p>
        </w:tc>
        <w:tc>
          <w:tcPr>
            <w:tcW w:w="6172" w:type="dxa"/>
            <w:vAlign w:val="center"/>
          </w:tcPr>
          <w:p>
            <w:pPr>
              <w:pStyle w:val="9"/>
              <w:jc w:val="center"/>
              <w:rPr>
                <w:rFonts w:ascii="宋体" w:hAnsi="宋体" w:eastAsia="宋体" w:cs="宋体"/>
                <w:bCs/>
                <w:color w:val="auto"/>
              </w:rPr>
            </w:pPr>
            <w:r>
              <w:rPr>
                <w:rFonts w:hint="eastAsia" w:ascii="宋体" w:hAnsi="宋体" w:eastAsia="宋体" w:cs="宋体"/>
                <w:bCs/>
                <w:color w:val="auto"/>
              </w:rPr>
              <w:t>评标打分细则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78" w:type="dxa"/>
            <w:vAlign w:val="center"/>
          </w:tcPr>
          <w:p>
            <w:pPr>
              <w:autoSpaceDE w:val="0"/>
              <w:autoSpaceDN w:val="0"/>
              <w:adjustRightInd w:val="0"/>
              <w:jc w:val="center"/>
              <w:rPr>
                <w:rFonts w:ascii="宋体" w:hAnsi="宋体" w:eastAsia="宋体" w:cs="宋体"/>
                <w:bCs/>
                <w:color w:val="auto"/>
                <w:sz w:val="24"/>
              </w:rPr>
            </w:pPr>
            <w:r>
              <w:rPr>
                <w:rFonts w:hint="eastAsia" w:ascii="宋体" w:hAnsi="宋体" w:eastAsia="宋体" w:cs="宋体"/>
                <w:bCs/>
                <w:color w:val="auto"/>
                <w:sz w:val="24"/>
              </w:rPr>
              <w:t>价格部分</w:t>
            </w: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0分</w:t>
            </w:r>
          </w:p>
        </w:tc>
        <w:tc>
          <w:tcPr>
            <w:tcW w:w="1230" w:type="dxa"/>
            <w:vAlign w:val="center"/>
          </w:tcPr>
          <w:p>
            <w:pPr>
              <w:autoSpaceDE w:val="0"/>
              <w:autoSpaceDN w:val="0"/>
              <w:adjustRightInd w:val="0"/>
              <w:jc w:val="center"/>
              <w:rPr>
                <w:rFonts w:ascii="宋体" w:hAnsi="宋体" w:eastAsia="宋体" w:cs="宋体"/>
                <w:bCs/>
                <w:color w:val="auto"/>
                <w:sz w:val="24"/>
              </w:rPr>
            </w:pPr>
          </w:p>
          <w:p>
            <w:pPr>
              <w:autoSpaceDE w:val="0"/>
              <w:autoSpaceDN w:val="0"/>
              <w:adjustRightInd w:val="0"/>
              <w:jc w:val="center"/>
              <w:rPr>
                <w:rFonts w:ascii="宋体" w:hAnsi="宋体" w:eastAsia="宋体" w:cs="宋体"/>
                <w:bCs/>
                <w:color w:val="auto"/>
                <w:sz w:val="24"/>
              </w:rPr>
            </w:pPr>
            <w:r>
              <w:rPr>
                <w:rFonts w:hint="eastAsia" w:ascii="宋体" w:hAnsi="宋体" w:eastAsia="宋体" w:cs="宋体"/>
                <w:bCs/>
                <w:color w:val="auto"/>
                <w:sz w:val="24"/>
              </w:rPr>
              <w:t>报价得分</w:t>
            </w:r>
          </w:p>
        </w:tc>
        <w:tc>
          <w:tcPr>
            <w:tcW w:w="891" w:type="dxa"/>
            <w:vAlign w:val="center"/>
          </w:tcPr>
          <w:p>
            <w:pPr>
              <w:autoSpaceDE w:val="0"/>
              <w:autoSpaceDN w:val="0"/>
              <w:adjustRightInd w:val="0"/>
              <w:jc w:val="center"/>
              <w:rPr>
                <w:rFonts w:ascii="宋体" w:hAnsi="宋体" w:eastAsia="宋体" w:cs="宋体"/>
                <w:bCs/>
                <w:color w:val="auto"/>
                <w:sz w:val="24"/>
              </w:rPr>
            </w:pP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0分</w:t>
            </w:r>
          </w:p>
        </w:tc>
        <w:tc>
          <w:tcPr>
            <w:tcW w:w="6172" w:type="dxa"/>
          </w:tcPr>
          <w:p>
            <w:pPr>
              <w:autoSpaceDE w:val="0"/>
              <w:autoSpaceDN w:val="0"/>
              <w:adjustRightInd w:val="0"/>
              <w:rPr>
                <w:rFonts w:ascii="宋体" w:hAnsi="宋体" w:eastAsia="宋体" w:cs="宋体"/>
                <w:bCs/>
                <w:color w:val="auto"/>
                <w:sz w:val="24"/>
              </w:rPr>
            </w:pPr>
            <w:r>
              <w:rPr>
                <w:rFonts w:hint="eastAsia" w:ascii="宋体" w:hAnsi="宋体" w:eastAsia="宋体" w:cs="宋体"/>
                <w:bCs/>
                <w:color w:val="auto"/>
                <w:sz w:val="24"/>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78" w:type="dxa"/>
            <w:vMerge w:val="restart"/>
            <w:vAlign w:val="center"/>
          </w:tcPr>
          <w:p>
            <w:pPr>
              <w:pStyle w:val="9"/>
              <w:jc w:val="center"/>
              <w:rPr>
                <w:rFonts w:ascii="宋体" w:hAnsi="宋体" w:eastAsia="宋体" w:cs="宋体"/>
                <w:bCs/>
                <w:color w:val="auto"/>
              </w:rPr>
            </w:pPr>
            <w:r>
              <w:rPr>
                <w:rFonts w:hint="eastAsia" w:ascii="宋体" w:hAnsi="宋体" w:eastAsia="宋体" w:cs="宋体"/>
                <w:bCs/>
                <w:color w:val="auto"/>
              </w:rPr>
              <w:t>商务部分2</w:t>
            </w:r>
            <w:r>
              <w:rPr>
                <w:rFonts w:hint="eastAsia" w:ascii="宋体" w:hAnsi="宋体" w:eastAsia="宋体" w:cs="宋体"/>
                <w:bCs/>
                <w:color w:val="auto"/>
                <w:lang w:val="en-US" w:eastAsia="zh-CN"/>
              </w:rPr>
              <w:t>0</w:t>
            </w:r>
            <w:r>
              <w:rPr>
                <w:rFonts w:hint="eastAsia" w:ascii="宋体" w:hAnsi="宋体" w:eastAsia="宋体" w:cs="宋体"/>
                <w:bCs/>
                <w:color w:val="auto"/>
              </w:rPr>
              <w:t>分</w:t>
            </w:r>
          </w:p>
        </w:tc>
        <w:tc>
          <w:tcPr>
            <w:tcW w:w="1230" w:type="dxa"/>
            <w:vAlign w:val="center"/>
          </w:tcPr>
          <w:p>
            <w:pPr>
              <w:widowControl/>
              <w:jc w:val="center"/>
              <w:outlineLvl w:val="1"/>
              <w:rPr>
                <w:rFonts w:ascii="宋体" w:hAnsi="宋体" w:eastAsia="宋体" w:cs="宋体"/>
                <w:bCs/>
                <w:color w:val="auto"/>
                <w:kern w:val="0"/>
                <w:sz w:val="24"/>
              </w:rPr>
            </w:pPr>
            <w:r>
              <w:rPr>
                <w:rFonts w:hint="eastAsia" w:ascii="宋体" w:hAnsi="宋体" w:eastAsia="宋体" w:cs="宋体"/>
                <w:bCs/>
                <w:color w:val="auto"/>
                <w:sz w:val="24"/>
              </w:rPr>
              <w:t>防治业绩</w:t>
            </w:r>
          </w:p>
        </w:tc>
        <w:tc>
          <w:tcPr>
            <w:tcW w:w="891" w:type="dxa"/>
            <w:vAlign w:val="center"/>
          </w:tcPr>
          <w:p>
            <w:pPr>
              <w:pStyle w:val="9"/>
              <w:jc w:val="center"/>
              <w:rPr>
                <w:rFonts w:ascii="宋体" w:hAnsi="宋体" w:eastAsia="宋体" w:cs="宋体"/>
                <w:bCs/>
                <w:color w:val="auto"/>
              </w:rPr>
            </w:pPr>
            <w:r>
              <w:rPr>
                <w:rFonts w:hint="eastAsia" w:ascii="宋体" w:hAnsi="宋体" w:eastAsia="宋体" w:cs="宋体"/>
                <w:bCs/>
                <w:color w:val="auto"/>
                <w:lang w:val="en-US" w:eastAsia="zh-CN"/>
              </w:rPr>
              <w:t>10</w:t>
            </w:r>
            <w:r>
              <w:rPr>
                <w:rFonts w:hint="eastAsia" w:ascii="宋体" w:hAnsi="宋体" w:eastAsia="宋体" w:cs="宋体"/>
                <w:bCs/>
                <w:color w:val="auto"/>
              </w:rPr>
              <w:t>分</w:t>
            </w:r>
          </w:p>
        </w:tc>
        <w:tc>
          <w:tcPr>
            <w:tcW w:w="6172" w:type="dxa"/>
            <w:vAlign w:val="center"/>
          </w:tcPr>
          <w:p>
            <w:pPr>
              <w:autoSpaceDE w:val="0"/>
              <w:autoSpaceDN w:val="0"/>
              <w:adjustRightInd w:val="0"/>
              <w:rPr>
                <w:rFonts w:ascii="宋体" w:hAnsi="宋体" w:eastAsia="宋体" w:cs="宋体"/>
                <w:bCs/>
                <w:color w:val="auto"/>
                <w:sz w:val="24"/>
              </w:rPr>
            </w:pPr>
            <w:r>
              <w:rPr>
                <w:rFonts w:hint="eastAsia" w:ascii="宋体" w:hAnsi="宋体" w:eastAsia="宋体" w:cs="宋体"/>
                <w:bCs/>
                <w:color w:val="auto"/>
                <w:sz w:val="24"/>
              </w:rPr>
              <w:t>近三年（2018年4月至今）类似项目（松材线虫病和松墨天牛相关），每提供1份得</w:t>
            </w: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分，满分1</w:t>
            </w:r>
            <w:r>
              <w:rPr>
                <w:rFonts w:hint="eastAsia" w:ascii="宋体" w:hAnsi="宋体" w:eastAsia="宋体" w:cs="宋体"/>
                <w:bCs/>
                <w:color w:val="auto"/>
                <w:sz w:val="24"/>
                <w:lang w:val="en-US" w:eastAsia="zh-CN"/>
              </w:rPr>
              <w:t>0</w:t>
            </w:r>
            <w:r>
              <w:rPr>
                <w:rFonts w:hint="eastAsia" w:ascii="宋体" w:hAnsi="宋体" w:eastAsia="宋体" w:cs="宋体"/>
                <w:bCs/>
                <w:color w:val="auto"/>
                <w:sz w:val="24"/>
              </w:rPr>
              <w:t>分；需提供中标通知书、合同及网上公示截图。（提供真彩扫描打印件并加盖公章）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78" w:type="dxa"/>
            <w:vMerge w:val="continue"/>
            <w:vAlign w:val="center"/>
          </w:tcPr>
          <w:p>
            <w:pPr>
              <w:pStyle w:val="9"/>
              <w:jc w:val="center"/>
              <w:rPr>
                <w:rFonts w:ascii="宋体" w:hAnsi="宋体" w:eastAsia="宋体" w:cs="宋体"/>
                <w:bCs/>
                <w:color w:val="auto"/>
              </w:rPr>
            </w:pPr>
          </w:p>
        </w:tc>
        <w:tc>
          <w:tcPr>
            <w:tcW w:w="1230" w:type="dxa"/>
            <w:vAlign w:val="center"/>
          </w:tcPr>
          <w:p>
            <w:pPr>
              <w:widowControl/>
              <w:jc w:val="center"/>
              <w:outlineLvl w:val="1"/>
              <w:rPr>
                <w:rFonts w:ascii="宋体" w:hAnsi="宋体" w:eastAsia="宋体" w:cs="宋体"/>
                <w:bCs/>
                <w:color w:val="auto"/>
                <w:sz w:val="24"/>
              </w:rPr>
            </w:pPr>
            <w:r>
              <w:rPr>
                <w:rFonts w:hint="eastAsia" w:ascii="宋体" w:hAnsi="宋体" w:eastAsia="宋体" w:cs="宋体"/>
                <w:bCs/>
                <w:color w:val="auto"/>
                <w:sz w:val="24"/>
              </w:rPr>
              <w:t>防治农药授权</w:t>
            </w:r>
          </w:p>
        </w:tc>
        <w:tc>
          <w:tcPr>
            <w:tcW w:w="891" w:type="dxa"/>
            <w:vAlign w:val="center"/>
          </w:tcPr>
          <w:p>
            <w:pPr>
              <w:pStyle w:val="9"/>
              <w:jc w:val="center"/>
              <w:rPr>
                <w:rFonts w:ascii="宋体" w:hAnsi="宋体" w:eastAsia="宋体" w:cs="宋体"/>
                <w:bCs/>
                <w:color w:val="auto"/>
              </w:rPr>
            </w:pPr>
            <w:r>
              <w:rPr>
                <w:rFonts w:hint="eastAsia" w:ascii="宋体" w:hAnsi="宋体" w:eastAsia="宋体" w:cs="宋体"/>
                <w:bCs/>
                <w:color w:val="auto"/>
              </w:rPr>
              <w:t>10分</w:t>
            </w:r>
          </w:p>
        </w:tc>
        <w:tc>
          <w:tcPr>
            <w:tcW w:w="6172" w:type="dxa"/>
            <w:vAlign w:val="center"/>
          </w:tcPr>
          <w:p>
            <w:pPr>
              <w:autoSpaceDE w:val="0"/>
              <w:autoSpaceDN w:val="0"/>
              <w:adjustRightInd w:val="0"/>
              <w:rPr>
                <w:rFonts w:ascii="宋体" w:hAnsi="宋体" w:eastAsia="宋体" w:cs="宋体"/>
                <w:bCs/>
                <w:color w:val="auto"/>
                <w:sz w:val="24"/>
                <w:highlight w:val="none"/>
              </w:rPr>
            </w:pPr>
            <w:r>
              <w:rPr>
                <w:rFonts w:hint="eastAsia" w:ascii="宋体" w:hAnsi="宋体" w:eastAsia="宋体" w:cs="宋体"/>
                <w:bCs/>
                <w:color w:val="auto"/>
                <w:sz w:val="24"/>
                <w:highlight w:val="none"/>
              </w:rPr>
              <w:t>防治选用药剂为防治对象为天牛的≥8%氯氰菊酯微囊悬浮剂，需提供以下证明材料：投标人需提供药剂生产制造厂家针对本项目出具的合法授权书原件；投标人需提供药剂生产制造厂家农药产品三证（农药登记证、农药生产许可证和企业标准），三证均须在有效期内，三证均须加盖生产制造厂家</w:t>
            </w:r>
            <w:r>
              <w:rPr>
                <w:rFonts w:hint="eastAsia" w:ascii="宋体" w:hAnsi="宋体" w:eastAsia="宋体" w:cs="宋体"/>
                <w:bCs/>
                <w:color w:val="auto"/>
                <w:sz w:val="24"/>
                <w:highlight w:val="none"/>
                <w:lang w:eastAsia="zh-CN"/>
              </w:rPr>
              <w:t>公</w:t>
            </w:r>
            <w:r>
              <w:rPr>
                <w:rFonts w:hint="eastAsia" w:ascii="宋体" w:hAnsi="宋体" w:eastAsia="宋体" w:cs="宋体"/>
                <w:bCs/>
                <w:color w:val="auto"/>
                <w:sz w:val="24"/>
                <w:highlight w:val="none"/>
              </w:rPr>
              <w:t>章；投标人需提供农药2021年第三方检测报告。每提供1份得2分，满分10分（提供</w:t>
            </w:r>
            <w:r>
              <w:rPr>
                <w:rFonts w:hint="eastAsia" w:ascii="宋体" w:hAnsi="宋体" w:eastAsia="宋体" w:cs="宋体"/>
                <w:bCs/>
                <w:color w:val="auto"/>
                <w:sz w:val="24"/>
                <w:highlight w:val="none"/>
                <w:lang w:eastAsia="zh-CN"/>
              </w:rPr>
              <w:t>证件的</w:t>
            </w:r>
            <w:r>
              <w:rPr>
                <w:rFonts w:hint="eastAsia" w:ascii="宋体" w:hAnsi="宋体" w:eastAsia="宋体" w:cs="宋体"/>
                <w:bCs/>
                <w:color w:val="auto"/>
                <w:sz w:val="24"/>
                <w:highlight w:val="none"/>
              </w:rPr>
              <w:t>真彩扫描打印件并加盖公章）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78" w:type="dxa"/>
            <w:vMerge w:val="restart"/>
            <w:vAlign w:val="center"/>
          </w:tcPr>
          <w:p>
            <w:pPr>
              <w:pStyle w:val="9"/>
              <w:jc w:val="center"/>
              <w:rPr>
                <w:rFonts w:ascii="宋体" w:hAnsi="宋体" w:eastAsia="宋体" w:cs="宋体"/>
                <w:bCs/>
                <w:color w:val="auto"/>
              </w:rPr>
            </w:pPr>
            <w:r>
              <w:rPr>
                <w:rFonts w:hint="eastAsia" w:ascii="宋体" w:hAnsi="宋体" w:cs="宋体"/>
                <w:bCs/>
                <w:color w:val="auto"/>
                <w:lang w:eastAsia="zh-CN"/>
              </w:rPr>
              <w:t>技术部分</w:t>
            </w:r>
            <w:r>
              <w:rPr>
                <w:rFonts w:hint="eastAsia" w:ascii="宋体" w:hAnsi="宋体" w:eastAsia="宋体" w:cs="宋体"/>
                <w:bCs/>
                <w:color w:val="auto"/>
              </w:rPr>
              <w:t>5</w:t>
            </w:r>
            <w:r>
              <w:rPr>
                <w:rFonts w:hint="eastAsia" w:ascii="宋体" w:hAnsi="宋体" w:eastAsia="宋体" w:cs="宋体"/>
                <w:bCs/>
                <w:color w:val="auto"/>
                <w:lang w:val="en-US" w:eastAsia="zh-CN"/>
              </w:rPr>
              <w:t>0</w:t>
            </w:r>
            <w:r>
              <w:rPr>
                <w:rFonts w:hint="eastAsia" w:ascii="宋体" w:hAnsi="宋体" w:eastAsia="宋体" w:cs="宋体"/>
                <w:bCs/>
                <w:color w:val="auto"/>
              </w:rPr>
              <w:t>分</w:t>
            </w:r>
          </w:p>
        </w:tc>
        <w:tc>
          <w:tcPr>
            <w:tcW w:w="1230" w:type="dxa"/>
            <w:vAlign w:val="center"/>
          </w:tcPr>
          <w:p>
            <w:pPr>
              <w:autoSpaceDE w:val="0"/>
              <w:autoSpaceDN w:val="0"/>
              <w:adjustRightInd w:val="0"/>
              <w:jc w:val="center"/>
              <w:rPr>
                <w:rFonts w:ascii="宋体" w:hAnsi="宋体" w:eastAsia="宋体" w:cs="宋体"/>
                <w:bCs/>
                <w:color w:val="auto"/>
                <w:sz w:val="24"/>
              </w:rPr>
            </w:pPr>
            <w:r>
              <w:rPr>
                <w:rFonts w:hint="eastAsia" w:ascii="宋体" w:hAnsi="宋体" w:eastAsia="宋体" w:cs="宋体"/>
                <w:color w:val="auto"/>
                <w:sz w:val="24"/>
              </w:rPr>
              <w:t>技术方案和设计</w:t>
            </w:r>
          </w:p>
        </w:tc>
        <w:tc>
          <w:tcPr>
            <w:tcW w:w="891" w:type="dxa"/>
            <w:vAlign w:val="center"/>
          </w:tcPr>
          <w:p>
            <w:pPr>
              <w:autoSpaceDE w:val="0"/>
              <w:autoSpaceDN w:val="0"/>
              <w:adjustRightInd w:val="0"/>
              <w:jc w:val="center"/>
              <w:rPr>
                <w:rFonts w:ascii="宋体" w:hAnsi="宋体" w:eastAsia="宋体" w:cs="宋体"/>
                <w:color w:val="auto"/>
                <w:sz w:val="24"/>
              </w:rPr>
            </w:pPr>
            <w:r>
              <w:rPr>
                <w:rFonts w:hint="eastAsia" w:ascii="宋体" w:hAnsi="宋体" w:eastAsia="宋体" w:cs="宋体"/>
                <w:color w:val="auto"/>
                <w:sz w:val="24"/>
              </w:rPr>
              <w:t>20分</w:t>
            </w:r>
          </w:p>
        </w:tc>
        <w:tc>
          <w:tcPr>
            <w:tcW w:w="6172" w:type="dxa"/>
            <w:vAlign w:val="center"/>
          </w:tcPr>
          <w:p>
            <w:pPr>
              <w:widowControl/>
              <w:outlineLvl w:val="1"/>
              <w:rPr>
                <w:rFonts w:ascii="宋体" w:hAnsi="宋体" w:eastAsia="宋体" w:cs="宋体"/>
                <w:bCs/>
                <w:color w:val="auto"/>
                <w:sz w:val="24"/>
              </w:rPr>
            </w:pPr>
            <w:r>
              <w:rPr>
                <w:rFonts w:hint="eastAsia" w:ascii="宋体" w:hAnsi="宋体" w:eastAsia="宋体" w:cs="宋体"/>
                <w:bCs/>
                <w:color w:val="auto"/>
                <w:sz w:val="24"/>
              </w:rPr>
              <w:t>对本项目的</w:t>
            </w:r>
            <w:r>
              <w:rPr>
                <w:rFonts w:hint="eastAsia" w:ascii="宋体" w:hAnsi="宋体" w:eastAsia="宋体" w:cs="宋体"/>
                <w:color w:val="auto"/>
                <w:sz w:val="24"/>
              </w:rPr>
              <w:t>技术方案和设计</w:t>
            </w:r>
            <w:r>
              <w:rPr>
                <w:rFonts w:hint="eastAsia" w:ascii="宋体" w:hAnsi="宋体" w:eastAsia="宋体" w:cs="宋体"/>
                <w:bCs/>
                <w:color w:val="auto"/>
                <w:sz w:val="24"/>
              </w:rPr>
              <w:t>准确，合理，符合阳新县实际。</w:t>
            </w:r>
          </w:p>
          <w:p>
            <w:pPr>
              <w:widowControl/>
              <w:outlineLvl w:val="1"/>
              <w:rPr>
                <w:rFonts w:ascii="宋体" w:hAnsi="宋体" w:eastAsia="宋体" w:cs="宋体"/>
                <w:color w:val="auto"/>
                <w:kern w:val="0"/>
                <w:sz w:val="24"/>
              </w:rPr>
            </w:pPr>
            <w:r>
              <w:rPr>
                <w:rFonts w:hint="eastAsia" w:ascii="宋体" w:hAnsi="宋体" w:eastAsia="宋体" w:cs="宋体"/>
                <w:color w:val="auto"/>
                <w:sz w:val="24"/>
              </w:rPr>
              <w:t>1、方案合理、设计规范、操作性强</w:t>
            </w:r>
            <w:r>
              <w:rPr>
                <w:rFonts w:hint="eastAsia" w:ascii="宋体" w:hAnsi="宋体" w:eastAsia="宋体" w:cs="宋体"/>
                <w:color w:val="auto"/>
                <w:kern w:val="0"/>
                <w:sz w:val="24"/>
              </w:rPr>
              <w:t>的得14-20分；</w:t>
            </w:r>
          </w:p>
          <w:p>
            <w:pPr>
              <w:widowControl/>
              <w:outlineLvl w:val="1"/>
              <w:rPr>
                <w:rFonts w:ascii="宋体" w:hAnsi="宋体" w:eastAsia="宋体" w:cs="宋体"/>
                <w:color w:val="auto"/>
                <w:sz w:val="24"/>
              </w:rPr>
            </w:pPr>
            <w:r>
              <w:rPr>
                <w:rFonts w:hint="eastAsia" w:ascii="宋体" w:hAnsi="宋体" w:eastAsia="宋体" w:cs="宋体"/>
                <w:color w:val="auto"/>
                <w:sz w:val="24"/>
              </w:rPr>
              <w:t>2、方案、设计、操作性一般</w:t>
            </w:r>
            <w:r>
              <w:rPr>
                <w:rFonts w:hint="eastAsia" w:ascii="宋体" w:hAnsi="宋体" w:eastAsia="宋体" w:cs="宋体"/>
                <w:color w:val="auto"/>
                <w:kern w:val="0"/>
                <w:sz w:val="24"/>
              </w:rPr>
              <w:t>的得6-13分；</w:t>
            </w:r>
          </w:p>
          <w:p>
            <w:pPr>
              <w:widowControl/>
              <w:outlineLvl w:val="1"/>
              <w:rPr>
                <w:rFonts w:ascii="宋体" w:hAnsi="宋体" w:eastAsia="宋体" w:cs="宋体"/>
                <w:bCs/>
                <w:color w:val="auto"/>
                <w:sz w:val="24"/>
              </w:rPr>
            </w:pPr>
            <w:r>
              <w:rPr>
                <w:rFonts w:hint="eastAsia" w:ascii="宋体" w:hAnsi="宋体" w:eastAsia="宋体" w:cs="宋体"/>
                <w:color w:val="auto"/>
                <w:sz w:val="24"/>
              </w:rPr>
              <w:t>3、方案、设计、操作性、有缺陷和不足</w:t>
            </w:r>
            <w:r>
              <w:rPr>
                <w:rFonts w:hint="eastAsia" w:ascii="宋体" w:hAnsi="宋体" w:eastAsia="宋体" w:cs="宋体"/>
                <w:color w:val="auto"/>
                <w:kern w:val="0"/>
                <w:sz w:val="24"/>
              </w:rPr>
              <w:t>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8" w:type="dxa"/>
            <w:vMerge w:val="continue"/>
            <w:vAlign w:val="center"/>
          </w:tcPr>
          <w:p>
            <w:pPr>
              <w:pStyle w:val="9"/>
              <w:jc w:val="center"/>
              <w:rPr>
                <w:rFonts w:ascii="宋体" w:hAnsi="宋体" w:eastAsia="宋体" w:cs="宋体"/>
                <w:bCs/>
                <w:color w:val="auto"/>
              </w:rPr>
            </w:pPr>
          </w:p>
        </w:tc>
        <w:tc>
          <w:tcPr>
            <w:tcW w:w="1230" w:type="dxa"/>
            <w:vAlign w:val="center"/>
          </w:tcPr>
          <w:p>
            <w:pPr>
              <w:autoSpaceDE w:val="0"/>
              <w:autoSpaceDN w:val="0"/>
              <w:adjustRightInd w:val="0"/>
              <w:jc w:val="center"/>
              <w:rPr>
                <w:rFonts w:ascii="宋体" w:hAnsi="宋体" w:eastAsia="宋体" w:cs="宋体"/>
                <w:color w:val="auto"/>
                <w:sz w:val="24"/>
              </w:rPr>
            </w:pPr>
            <w:r>
              <w:rPr>
                <w:rFonts w:hint="eastAsia" w:ascii="宋体" w:hAnsi="宋体" w:eastAsia="宋体" w:cs="宋体"/>
                <w:color w:val="auto"/>
                <w:sz w:val="24"/>
              </w:rPr>
              <w:t>人员配置</w:t>
            </w:r>
          </w:p>
        </w:tc>
        <w:tc>
          <w:tcPr>
            <w:tcW w:w="891" w:type="dxa"/>
            <w:vAlign w:val="center"/>
          </w:tcPr>
          <w:p>
            <w:pPr>
              <w:autoSpaceDE w:val="0"/>
              <w:autoSpaceDN w:val="0"/>
              <w:adjustRightInd w:val="0"/>
              <w:jc w:val="center"/>
              <w:rPr>
                <w:rFonts w:ascii="宋体" w:hAnsi="宋体" w:eastAsia="宋体" w:cs="宋体"/>
                <w:bCs/>
                <w:color w:val="auto"/>
                <w:sz w:val="24"/>
              </w:rPr>
            </w:pPr>
            <w:r>
              <w:rPr>
                <w:rFonts w:hint="eastAsia" w:ascii="宋体" w:hAnsi="宋体" w:eastAsia="宋体" w:cs="宋体"/>
                <w:bCs/>
                <w:color w:val="auto"/>
                <w:sz w:val="24"/>
              </w:rPr>
              <w:t>4分</w:t>
            </w:r>
          </w:p>
        </w:tc>
        <w:tc>
          <w:tcPr>
            <w:tcW w:w="6172" w:type="dxa"/>
            <w:vAlign w:val="center"/>
          </w:tcPr>
          <w:p>
            <w:pPr>
              <w:autoSpaceDE w:val="0"/>
              <w:autoSpaceDN w:val="0"/>
              <w:adjustRightInd w:val="0"/>
              <w:rPr>
                <w:rFonts w:ascii="宋体" w:hAnsi="宋体" w:eastAsia="宋体" w:cs="宋体"/>
                <w:color w:val="auto"/>
                <w:sz w:val="24"/>
              </w:rPr>
            </w:pPr>
            <w:r>
              <w:rPr>
                <w:rFonts w:hint="eastAsia" w:ascii="宋体" w:hAnsi="宋体" w:eastAsia="宋体" w:cs="宋体"/>
                <w:bCs/>
                <w:color w:val="auto"/>
                <w:sz w:val="24"/>
              </w:rPr>
              <w:t>项目组技术人员具有林业有害生物防治员中级及以上资格证书，每提供一名得1分，满分4分；（提供证件的真彩扫描打印件并加盖公章）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78" w:type="dxa"/>
            <w:vMerge w:val="continue"/>
            <w:vAlign w:val="center"/>
          </w:tcPr>
          <w:p>
            <w:pPr>
              <w:pStyle w:val="9"/>
              <w:jc w:val="center"/>
              <w:rPr>
                <w:rFonts w:ascii="宋体" w:hAnsi="宋体" w:eastAsia="宋体" w:cs="宋体"/>
                <w:bCs/>
                <w:color w:val="auto"/>
              </w:rPr>
            </w:pPr>
          </w:p>
        </w:tc>
        <w:tc>
          <w:tcPr>
            <w:tcW w:w="1230" w:type="dxa"/>
            <w:vAlign w:val="center"/>
          </w:tcPr>
          <w:p>
            <w:pPr>
              <w:autoSpaceDE w:val="0"/>
              <w:autoSpaceDN w:val="0"/>
              <w:adjustRightInd w:val="0"/>
              <w:jc w:val="center"/>
              <w:rPr>
                <w:rFonts w:ascii="宋体" w:hAnsi="宋体" w:eastAsia="宋体" w:cs="宋体"/>
                <w:color w:val="auto"/>
                <w:sz w:val="24"/>
              </w:rPr>
            </w:pPr>
            <w:r>
              <w:rPr>
                <w:rFonts w:hint="eastAsia" w:ascii="宋体" w:hAnsi="宋体" w:eastAsia="宋体" w:cs="宋体"/>
                <w:color w:val="auto"/>
                <w:sz w:val="24"/>
              </w:rPr>
              <w:t>器械配置</w:t>
            </w:r>
          </w:p>
        </w:tc>
        <w:tc>
          <w:tcPr>
            <w:tcW w:w="891" w:type="dxa"/>
            <w:vAlign w:val="center"/>
          </w:tcPr>
          <w:p>
            <w:pPr>
              <w:autoSpaceDE w:val="0"/>
              <w:autoSpaceDN w:val="0"/>
              <w:adjustRightInd w:val="0"/>
              <w:jc w:val="center"/>
              <w:rPr>
                <w:rFonts w:ascii="宋体" w:hAnsi="宋体" w:eastAsia="宋体" w:cs="宋体"/>
                <w:bCs/>
                <w:color w:val="auto"/>
                <w:sz w:val="24"/>
              </w:rPr>
            </w:pPr>
            <w:r>
              <w:rPr>
                <w:rFonts w:hint="eastAsia" w:ascii="宋体" w:hAnsi="宋体" w:eastAsia="宋体" w:cs="宋体"/>
                <w:bCs/>
                <w:color w:val="auto"/>
                <w:sz w:val="24"/>
              </w:rPr>
              <w:t>10分</w:t>
            </w:r>
          </w:p>
        </w:tc>
        <w:tc>
          <w:tcPr>
            <w:tcW w:w="6172" w:type="dxa"/>
            <w:vAlign w:val="center"/>
          </w:tcPr>
          <w:p>
            <w:pPr>
              <w:autoSpaceDE w:val="0"/>
              <w:autoSpaceDN w:val="0"/>
              <w:adjustRightInd w:val="0"/>
              <w:rPr>
                <w:rFonts w:ascii="宋体" w:hAnsi="宋体" w:eastAsia="宋体" w:cs="宋体"/>
                <w:color w:val="auto"/>
                <w:sz w:val="24"/>
                <w:highlight w:val="none"/>
              </w:rPr>
            </w:pPr>
            <w:r>
              <w:rPr>
                <w:rFonts w:hint="eastAsia" w:ascii="宋体" w:hAnsi="宋体" w:eastAsia="宋体" w:cs="宋体"/>
                <w:bCs/>
                <w:color w:val="auto"/>
                <w:sz w:val="24"/>
                <w:highlight w:val="none"/>
              </w:rPr>
              <w:t>各种作业器械配备齐全，搭配科学合理</w:t>
            </w:r>
            <w:r>
              <w:rPr>
                <w:rFonts w:hint="eastAsia" w:ascii="宋体" w:hAnsi="宋体" w:eastAsia="宋体" w:cs="宋体"/>
                <w:bCs/>
                <w:color w:val="auto"/>
                <w:sz w:val="24"/>
                <w:highlight w:val="none"/>
                <w:lang w:eastAsia="zh-CN"/>
              </w:rPr>
              <w:t>进行评审，</w:t>
            </w:r>
            <w:r>
              <w:rPr>
                <w:rFonts w:hint="eastAsia" w:ascii="宋体" w:hAnsi="宋体" w:eastAsia="宋体" w:cs="宋体"/>
                <w:bCs/>
                <w:color w:val="auto"/>
                <w:sz w:val="24"/>
                <w:highlight w:val="none"/>
              </w:rPr>
              <w:t>科学、合理、可行、针对性强的得</w:t>
            </w:r>
            <w:r>
              <w:rPr>
                <w:rFonts w:hint="eastAsia" w:ascii="宋体" w:hAnsi="宋体" w:eastAsia="宋体" w:cs="宋体"/>
                <w:bCs/>
                <w:color w:val="auto"/>
                <w:sz w:val="24"/>
                <w:highlight w:val="none"/>
                <w:lang w:val="en-US" w:eastAsia="zh-CN"/>
              </w:rPr>
              <w:t>7-10</w:t>
            </w:r>
            <w:r>
              <w:rPr>
                <w:rFonts w:hint="eastAsia" w:ascii="宋体" w:hAnsi="宋体" w:eastAsia="宋体" w:cs="宋体"/>
                <w:bCs/>
                <w:color w:val="auto"/>
                <w:sz w:val="24"/>
                <w:highlight w:val="none"/>
              </w:rPr>
              <w:t>分，基本合理、可行的得</w:t>
            </w:r>
            <w:r>
              <w:rPr>
                <w:rFonts w:hint="eastAsia" w:ascii="宋体" w:hAnsi="宋体" w:eastAsia="宋体" w:cs="宋体"/>
                <w:bCs/>
                <w:color w:val="auto"/>
                <w:sz w:val="24"/>
                <w:highlight w:val="none"/>
                <w:lang w:val="en-US" w:eastAsia="zh-CN"/>
              </w:rPr>
              <w:t>4-6</w:t>
            </w:r>
            <w:r>
              <w:rPr>
                <w:rFonts w:hint="eastAsia" w:ascii="宋体" w:hAnsi="宋体" w:eastAsia="宋体" w:cs="宋体"/>
                <w:bCs/>
                <w:color w:val="auto"/>
                <w:sz w:val="24"/>
                <w:highlight w:val="none"/>
              </w:rPr>
              <w:t>分，欠合理，可行得</w:t>
            </w:r>
            <w:r>
              <w:rPr>
                <w:rFonts w:hint="eastAsia" w:ascii="宋体" w:hAnsi="宋体" w:eastAsia="宋体" w:cs="宋体"/>
                <w:bCs/>
                <w:color w:val="auto"/>
                <w:sz w:val="24"/>
                <w:highlight w:val="none"/>
                <w:lang w:val="en-US" w:eastAsia="zh-CN"/>
              </w:rPr>
              <w:t>0-3</w:t>
            </w:r>
            <w:r>
              <w:rPr>
                <w:rFonts w:hint="eastAsia" w:ascii="宋体" w:hAnsi="宋体" w:eastAsia="宋体" w:cs="宋体"/>
                <w:bCs/>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78" w:type="dxa"/>
            <w:vMerge w:val="continue"/>
            <w:vAlign w:val="center"/>
          </w:tcPr>
          <w:p>
            <w:pPr>
              <w:pStyle w:val="9"/>
              <w:jc w:val="center"/>
              <w:rPr>
                <w:rFonts w:ascii="宋体" w:hAnsi="宋体" w:eastAsia="宋体" w:cs="宋体"/>
                <w:bCs/>
                <w:color w:val="auto"/>
              </w:rPr>
            </w:pPr>
          </w:p>
        </w:tc>
        <w:tc>
          <w:tcPr>
            <w:tcW w:w="1230" w:type="dxa"/>
            <w:vAlign w:val="center"/>
          </w:tcPr>
          <w:p>
            <w:pPr>
              <w:autoSpaceDE w:val="0"/>
              <w:autoSpaceDN w:val="0"/>
              <w:adjustRightInd w:val="0"/>
              <w:jc w:val="center"/>
              <w:rPr>
                <w:rFonts w:ascii="宋体" w:hAnsi="宋体" w:eastAsia="宋体" w:cs="宋体"/>
                <w:color w:val="auto"/>
                <w:sz w:val="24"/>
              </w:rPr>
            </w:pPr>
            <w:r>
              <w:rPr>
                <w:rFonts w:hint="eastAsia" w:ascii="宋体" w:hAnsi="宋体" w:eastAsia="宋体" w:cs="宋体"/>
                <w:color w:val="auto"/>
                <w:sz w:val="24"/>
              </w:rPr>
              <w:t>安全保障措施</w:t>
            </w:r>
          </w:p>
        </w:tc>
        <w:tc>
          <w:tcPr>
            <w:tcW w:w="891" w:type="dxa"/>
            <w:vAlign w:val="center"/>
          </w:tcPr>
          <w:p>
            <w:pPr>
              <w:autoSpaceDE w:val="0"/>
              <w:autoSpaceDN w:val="0"/>
              <w:adjustRightInd w:val="0"/>
              <w:jc w:val="center"/>
              <w:rPr>
                <w:rFonts w:ascii="宋体" w:hAnsi="宋体" w:eastAsia="宋体" w:cs="宋体"/>
                <w:bCs/>
                <w:color w:val="auto"/>
                <w:sz w:val="24"/>
              </w:rPr>
            </w:pP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分</w:t>
            </w:r>
          </w:p>
        </w:tc>
        <w:tc>
          <w:tcPr>
            <w:tcW w:w="6172" w:type="dxa"/>
            <w:vAlign w:val="center"/>
          </w:tcPr>
          <w:p>
            <w:pPr>
              <w:autoSpaceDE w:val="0"/>
              <w:autoSpaceDN w:val="0"/>
              <w:adjustRightInd w:val="0"/>
              <w:rPr>
                <w:rFonts w:ascii="宋体" w:hAnsi="宋体" w:eastAsia="宋体" w:cs="宋体"/>
                <w:color w:val="auto"/>
                <w:sz w:val="24"/>
              </w:rPr>
            </w:pPr>
            <w:r>
              <w:rPr>
                <w:rFonts w:hint="eastAsia" w:ascii="宋体" w:hAnsi="宋体" w:eastAsia="宋体" w:cs="宋体"/>
                <w:bCs/>
                <w:color w:val="auto"/>
                <w:sz w:val="24"/>
              </w:rPr>
              <w:t>提供作业人员近一年不低于50万元的意外伤害保险证明材料，一人得1分，最高得</w:t>
            </w: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分。</w:t>
            </w:r>
            <w:r>
              <w:rPr>
                <w:rFonts w:hint="eastAsia" w:ascii="宋体" w:hAnsi="宋体" w:eastAsia="宋体" w:cs="宋体"/>
                <w:color w:val="auto"/>
                <w:sz w:val="24"/>
              </w:rPr>
              <w:t>（</w:t>
            </w:r>
            <w:r>
              <w:rPr>
                <w:rFonts w:hint="eastAsia" w:ascii="宋体" w:hAnsi="宋体" w:eastAsia="宋体" w:cs="宋体"/>
                <w:bCs/>
                <w:color w:val="auto"/>
                <w:sz w:val="24"/>
              </w:rPr>
              <w:t>提供证件的真彩扫描打印件并加盖公章）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8" w:type="dxa"/>
            <w:vMerge w:val="continue"/>
            <w:vAlign w:val="center"/>
          </w:tcPr>
          <w:p>
            <w:pPr>
              <w:pStyle w:val="9"/>
              <w:jc w:val="center"/>
              <w:rPr>
                <w:rFonts w:ascii="宋体" w:hAnsi="宋体" w:eastAsia="宋体" w:cs="宋体"/>
                <w:bCs/>
                <w:color w:val="auto"/>
              </w:rPr>
            </w:pPr>
          </w:p>
        </w:tc>
        <w:tc>
          <w:tcPr>
            <w:tcW w:w="1230" w:type="dxa"/>
            <w:vAlign w:val="center"/>
          </w:tcPr>
          <w:p>
            <w:pPr>
              <w:autoSpaceDE w:val="0"/>
              <w:autoSpaceDN w:val="0"/>
              <w:adjustRightInd w:val="0"/>
              <w:jc w:val="center"/>
              <w:rPr>
                <w:rFonts w:ascii="宋体" w:hAnsi="宋体" w:eastAsia="宋体" w:cs="宋体"/>
                <w:color w:val="auto"/>
                <w:sz w:val="24"/>
              </w:rPr>
            </w:pPr>
            <w:r>
              <w:rPr>
                <w:rFonts w:hint="eastAsia" w:ascii="宋体" w:hAnsi="宋体" w:eastAsia="宋体" w:cs="宋体"/>
                <w:color w:val="auto"/>
                <w:sz w:val="24"/>
              </w:rPr>
              <w:t>效果保障措施</w:t>
            </w:r>
          </w:p>
        </w:tc>
        <w:tc>
          <w:tcPr>
            <w:tcW w:w="891" w:type="dxa"/>
            <w:vAlign w:val="center"/>
          </w:tcPr>
          <w:p>
            <w:pPr>
              <w:autoSpaceDE w:val="0"/>
              <w:autoSpaceDN w:val="0"/>
              <w:adjustRightInd w:val="0"/>
              <w:jc w:val="center"/>
              <w:rPr>
                <w:rFonts w:ascii="宋体" w:hAnsi="宋体" w:eastAsia="宋体" w:cs="宋体"/>
                <w:bCs/>
                <w:color w:val="auto"/>
                <w:sz w:val="24"/>
              </w:rPr>
            </w:pPr>
            <w:r>
              <w:rPr>
                <w:rFonts w:hint="eastAsia" w:ascii="宋体" w:hAnsi="宋体" w:eastAsia="宋体" w:cs="宋体"/>
                <w:bCs/>
                <w:color w:val="auto"/>
                <w:sz w:val="24"/>
              </w:rPr>
              <w:t>5分</w:t>
            </w:r>
          </w:p>
        </w:tc>
        <w:tc>
          <w:tcPr>
            <w:tcW w:w="6172" w:type="dxa"/>
            <w:vAlign w:val="center"/>
          </w:tcPr>
          <w:p>
            <w:pPr>
              <w:autoSpaceDE w:val="0"/>
              <w:autoSpaceDN w:val="0"/>
              <w:adjustRightInd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根据效果保障措施内容及其合理性</w:t>
            </w:r>
            <w:r>
              <w:rPr>
                <w:rFonts w:hint="eastAsia" w:ascii="宋体" w:hAnsi="宋体" w:eastAsia="宋体" w:cs="宋体"/>
                <w:color w:val="auto"/>
                <w:sz w:val="24"/>
                <w:highlight w:val="none"/>
                <w:lang w:eastAsia="zh-CN"/>
              </w:rPr>
              <w:t>进行评审</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科学、合理、可行得5分，基本合理、可行的得3分，欠合理，可行得1分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8" w:type="dxa"/>
            <w:vMerge w:val="continue"/>
            <w:vAlign w:val="center"/>
          </w:tcPr>
          <w:p>
            <w:pPr>
              <w:pStyle w:val="9"/>
              <w:jc w:val="center"/>
              <w:rPr>
                <w:rFonts w:ascii="宋体" w:hAnsi="宋体" w:eastAsia="宋体" w:cs="宋体"/>
                <w:bCs/>
                <w:color w:val="auto"/>
              </w:rPr>
            </w:pPr>
          </w:p>
        </w:tc>
        <w:tc>
          <w:tcPr>
            <w:tcW w:w="1230" w:type="dxa"/>
            <w:vAlign w:val="center"/>
          </w:tcPr>
          <w:p>
            <w:pPr>
              <w:autoSpaceDE w:val="0"/>
              <w:autoSpaceDN w:val="0"/>
              <w:adjustRightInd w:val="0"/>
              <w:jc w:val="center"/>
              <w:rPr>
                <w:rFonts w:ascii="宋体" w:hAnsi="宋体" w:eastAsia="宋体" w:cs="宋体"/>
                <w:color w:val="auto"/>
                <w:sz w:val="24"/>
              </w:rPr>
            </w:pPr>
            <w:r>
              <w:rPr>
                <w:rFonts w:hint="eastAsia" w:ascii="宋体" w:hAnsi="宋体" w:eastAsia="宋体" w:cs="宋体"/>
                <w:color w:val="auto"/>
                <w:sz w:val="24"/>
              </w:rPr>
              <w:t>应急服务措施</w:t>
            </w:r>
          </w:p>
        </w:tc>
        <w:tc>
          <w:tcPr>
            <w:tcW w:w="891" w:type="dxa"/>
            <w:vAlign w:val="center"/>
          </w:tcPr>
          <w:p>
            <w:pPr>
              <w:autoSpaceDE w:val="0"/>
              <w:autoSpaceDN w:val="0"/>
              <w:adjustRightInd w:val="0"/>
              <w:jc w:val="center"/>
              <w:rPr>
                <w:rFonts w:ascii="宋体" w:hAnsi="宋体" w:eastAsia="宋体" w:cs="宋体"/>
                <w:bCs/>
                <w:color w:val="auto"/>
                <w:sz w:val="24"/>
              </w:rPr>
            </w:pPr>
            <w:r>
              <w:rPr>
                <w:rFonts w:hint="eastAsia" w:ascii="宋体" w:hAnsi="宋体" w:eastAsia="宋体" w:cs="宋体"/>
                <w:bCs/>
                <w:color w:val="auto"/>
                <w:sz w:val="24"/>
              </w:rPr>
              <w:t>5分</w:t>
            </w:r>
          </w:p>
        </w:tc>
        <w:tc>
          <w:tcPr>
            <w:tcW w:w="6172" w:type="dxa"/>
            <w:vAlign w:val="center"/>
          </w:tcPr>
          <w:p>
            <w:pPr>
              <w:autoSpaceDE w:val="0"/>
              <w:autoSpaceDN w:val="0"/>
              <w:adjustRightInd w:val="0"/>
              <w:rPr>
                <w:rFonts w:ascii="宋体" w:hAnsi="宋体" w:eastAsia="宋体" w:cs="宋体"/>
                <w:color w:val="auto"/>
                <w:sz w:val="24"/>
                <w:highlight w:val="none"/>
              </w:rPr>
            </w:pPr>
            <w:r>
              <w:rPr>
                <w:rFonts w:hint="eastAsia" w:ascii="宋体" w:hAnsi="宋体" w:eastAsia="宋体" w:cs="宋体"/>
                <w:color w:val="auto"/>
                <w:sz w:val="24"/>
                <w:highlight w:val="none"/>
              </w:rPr>
              <w:t>根据投标人的管理制度科学完备性，以及应急保障机制健全、方案周详、措施得当等方面进行综合评定，</w:t>
            </w:r>
            <w:r>
              <w:rPr>
                <w:rFonts w:hint="eastAsia" w:ascii="宋体" w:hAnsi="宋体" w:eastAsia="宋体" w:cs="宋体"/>
                <w:bCs/>
                <w:color w:val="auto"/>
                <w:sz w:val="24"/>
                <w:highlight w:val="none"/>
              </w:rPr>
              <w:t>科学、合理、针对性强5分；合理、可行得3分；欠合理，基本可行得1分</w:t>
            </w:r>
          </w:p>
        </w:tc>
      </w:tr>
    </w:tbl>
    <w:p>
      <w:pPr>
        <w:widowControl/>
        <w:jc w:val="left"/>
        <w:rPr>
          <w:rFonts w:hint="eastAsia" w:ascii="宋体" w:hAnsi="宋体" w:eastAsia="宋体" w:cs="宋体"/>
          <w:b w:val="0"/>
          <w:bCs/>
          <w:color w:val="auto"/>
          <w:sz w:val="24"/>
        </w:rPr>
      </w:pPr>
      <w:r>
        <w:rPr>
          <w:rFonts w:hint="eastAsia" w:ascii="宋体" w:hAnsi="宋体" w:eastAsia="宋体" w:cs="宋体"/>
          <w:b w:val="0"/>
          <w:bCs/>
          <w:color w:val="auto"/>
          <w:sz w:val="24"/>
        </w:rPr>
        <w:t>备注：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证明材料需提供真彩扫描打印件。</w:t>
      </w:r>
    </w:p>
    <w:p>
      <w:pPr>
        <w:rPr>
          <w:rFonts w:hint="eastAsia" w:ascii="宋体" w:hAnsi="宋体" w:eastAsia="宋体" w:cs="宋体"/>
          <w:b/>
          <w:color w:val="auto"/>
          <w:sz w:val="24"/>
        </w:rPr>
      </w:pPr>
      <w:r>
        <w:rPr>
          <w:rFonts w:hint="eastAsia" w:ascii="宋体" w:hAnsi="宋体" w:eastAsia="宋体" w:cs="宋体"/>
          <w:b/>
          <w:color w:val="auto"/>
          <w:sz w:val="24"/>
        </w:rPr>
        <w:br w:type="page"/>
      </w:r>
    </w:p>
    <w:p>
      <w:pPr>
        <w:widowControl/>
        <w:jc w:val="center"/>
        <w:outlineLvl w:val="0"/>
        <w:rPr>
          <w:rFonts w:hint="eastAsia" w:ascii="宋体" w:hAnsi="宋体" w:eastAsia="宋体" w:cs="宋体"/>
          <w:bCs/>
          <w:color w:val="auto"/>
          <w:sz w:val="32"/>
          <w:szCs w:val="32"/>
        </w:rPr>
      </w:pPr>
      <w:bookmarkStart w:id="13" w:name="_Toc21460"/>
      <w:bookmarkStart w:id="14" w:name="_Toc7270"/>
      <w:r>
        <w:rPr>
          <w:rFonts w:hint="eastAsia" w:ascii="宋体" w:hAnsi="宋体" w:eastAsia="宋体" w:cs="宋体"/>
          <w:b/>
          <w:color w:val="auto"/>
          <w:sz w:val="32"/>
          <w:szCs w:val="32"/>
        </w:rPr>
        <w:t>第五章 合同书（参考格式）</w:t>
      </w:r>
      <w:bookmarkEnd w:id="13"/>
      <w:bookmarkEnd w:id="14"/>
    </w:p>
    <w:p>
      <w:pPr>
        <w:spacing w:line="300" w:lineRule="auto"/>
        <w:ind w:firstLine="480" w:firstLineChars="200"/>
        <w:rPr>
          <w:rFonts w:hint="eastAsia" w:ascii="宋体" w:hAnsi="宋体" w:eastAsia="宋体" w:cs="宋体"/>
          <w:color w:val="auto"/>
          <w:sz w:val="24"/>
          <w:szCs w:val="24"/>
        </w:rPr>
      </w:pPr>
    </w:p>
    <w:p>
      <w:pPr>
        <w:spacing w:line="300" w:lineRule="auto"/>
        <w:ind w:firstLine="480" w:firstLineChars="200"/>
        <w:rPr>
          <w:rFonts w:hint="eastAsia" w:ascii="宋体" w:hAnsi="宋体" w:eastAsia="宋体" w:cs="宋体"/>
          <w:color w:val="auto"/>
          <w:spacing w:val="-10"/>
          <w:sz w:val="24"/>
          <w:szCs w:val="24"/>
        </w:rPr>
      </w:pPr>
      <w:r>
        <w:rPr>
          <w:rFonts w:hint="eastAsia" w:ascii="宋体" w:hAnsi="宋体" w:eastAsia="宋体" w:cs="宋体"/>
          <w:color w:val="auto"/>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hint="eastAsia" w:ascii="宋体" w:hAnsi="宋体" w:eastAsia="宋体" w:cs="宋体"/>
          <w:b/>
          <w:color w:val="auto"/>
          <w:kern w:val="0"/>
          <w:sz w:val="24"/>
          <w:szCs w:val="24"/>
        </w:rPr>
      </w:pPr>
    </w:p>
    <w:p>
      <w:pPr>
        <w:spacing w:line="500" w:lineRule="exact"/>
        <w:ind w:firstLine="540"/>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合 同 书</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签订日期：</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签订合同地点：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本合同由（以下简称“需方”）与（以下简称“供方”）签订。</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供方以总金额万元人民币（用大写数字书写）向需方提供如下货物：</w:t>
      </w:r>
    </w:p>
    <w:p>
      <w:pPr>
        <w:autoSpaceDE w:val="0"/>
        <w:autoSpaceDN w:val="0"/>
        <w:adjustRightInd w:val="0"/>
        <w:spacing w:line="5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经双方协商，同意按下列条文执行：</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4.合同文件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下列文件为本合同不可分割的部分：</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4.1竞争性磋商文件(编号：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4.2供方成交的响应文件（副本）；</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4.3合同书；</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4.4合同条款；</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4.5</w:t>
      </w:r>
      <w:r>
        <w:rPr>
          <w:rFonts w:hint="eastAsia" w:ascii="宋体" w:hAnsi="宋体" w:eastAsia="宋体" w:cs="宋体"/>
          <w:color w:val="auto"/>
          <w:kern w:val="0"/>
          <w:sz w:val="24"/>
          <w:szCs w:val="20"/>
        </w:rPr>
        <w:t>（</w:t>
      </w:r>
      <w:r>
        <w:rPr>
          <w:rFonts w:hint="eastAsia" w:ascii="宋体" w:hAnsi="宋体" w:eastAsia="宋体" w:cs="宋体"/>
          <w:color w:val="auto"/>
          <w:kern w:val="0"/>
          <w:sz w:val="24"/>
          <w:szCs w:val="20"/>
          <w:lang w:eastAsia="zh-CN"/>
        </w:rPr>
        <w:t>采购代理机构</w:t>
      </w:r>
      <w:r>
        <w:rPr>
          <w:rFonts w:hint="eastAsia" w:ascii="宋体" w:hAnsi="宋体" w:eastAsia="宋体" w:cs="宋体"/>
          <w:color w:val="auto"/>
          <w:kern w:val="0"/>
          <w:sz w:val="24"/>
          <w:szCs w:val="20"/>
        </w:rPr>
        <w:t>名称）</w:t>
      </w:r>
      <w:r>
        <w:rPr>
          <w:rFonts w:hint="eastAsia" w:ascii="宋体" w:hAnsi="宋体" w:eastAsia="宋体" w:cs="宋体"/>
          <w:color w:val="auto"/>
          <w:kern w:val="0"/>
          <w:sz w:val="24"/>
          <w:szCs w:val="24"/>
        </w:rPr>
        <w:t>发出的成交通知书；</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5.合同范围和条件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6.货物及数量</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7.付款条件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8.合同金额</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9.交货时间和交货地点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10.合同生效</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11.合同的份数</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本合同正本一式　　份，需方执　　份，供方执　　份；副本一式　　份，需方执　　份，供方执　　份，湖北省财政厅政府采购管理处壹份备案。</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需　　方：</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供　　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单位名称（盖章）：</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单位名称（盖章）：</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单位地址：</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单位地址：</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法人（负责人）代表授权人(签字)：</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法人（负责人）代表授权人(签字)：</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联系人：</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　　话：</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电　　话：</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　　真：</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传　　真：</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邮政编码：</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邮政编码：</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开户银行：</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开户银行：</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帐　　号：</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帐　　号：</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税　　号：</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税　　号：</w:t>
      </w:r>
    </w:p>
    <w:p>
      <w:pPr>
        <w:widowControl/>
        <w:jc w:val="left"/>
        <w:rPr>
          <w:rFonts w:hint="eastAsia" w:ascii="宋体" w:hAnsi="宋体" w:eastAsia="宋体" w:cs="宋体"/>
          <w:b/>
          <w:color w:val="auto"/>
          <w:sz w:val="24"/>
          <w:szCs w:val="24"/>
        </w:rPr>
      </w:pPr>
    </w:p>
    <w:p>
      <w:pPr>
        <w:adjustRightInd w:val="0"/>
        <w:snapToGrid w:val="0"/>
        <w:jc w:val="center"/>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adjustRightInd w:val="0"/>
        <w:snapToGrid w:val="0"/>
        <w:jc w:val="center"/>
        <w:outlineLvl w:val="0"/>
        <w:rPr>
          <w:rFonts w:hint="eastAsia" w:ascii="宋体" w:hAnsi="宋体" w:eastAsia="宋体" w:cs="宋体"/>
          <w:b/>
          <w:color w:val="auto"/>
          <w:sz w:val="32"/>
          <w:szCs w:val="32"/>
        </w:rPr>
      </w:pPr>
      <w:bookmarkStart w:id="15" w:name="_Toc29805"/>
      <w:bookmarkStart w:id="16" w:name="_Toc17822"/>
      <w:r>
        <w:rPr>
          <w:rFonts w:hint="eastAsia" w:ascii="宋体" w:hAnsi="宋体" w:eastAsia="宋体" w:cs="宋体"/>
          <w:b/>
          <w:color w:val="auto"/>
          <w:sz w:val="32"/>
          <w:szCs w:val="32"/>
        </w:rPr>
        <w:t>第六章 响应文件格式</w:t>
      </w:r>
      <w:bookmarkEnd w:id="15"/>
      <w:bookmarkEnd w:id="16"/>
    </w:p>
    <w:p>
      <w:pPr>
        <w:adjustRightInd w:val="0"/>
        <w:snapToGrid w:val="0"/>
        <w:jc w:val="center"/>
        <w:outlineLvl w:val="9"/>
        <w:rPr>
          <w:rFonts w:hint="eastAsia" w:ascii="宋体" w:hAnsi="宋体" w:eastAsia="宋体" w:cs="宋体"/>
          <w:b/>
          <w:color w:val="auto"/>
          <w:sz w:val="18"/>
          <w:szCs w:val="18"/>
        </w:rPr>
      </w:pPr>
    </w:p>
    <w:p>
      <w:pPr>
        <w:adjustRightInd w:val="0"/>
        <w:snapToGrid w:val="0"/>
        <w:outlineLvl w:val="0"/>
        <w:rPr>
          <w:rFonts w:hint="eastAsia" w:ascii="宋体" w:hAnsi="宋体" w:eastAsia="宋体" w:cs="宋体"/>
          <w:color w:val="auto"/>
          <w:szCs w:val="28"/>
        </w:rPr>
      </w:pPr>
      <w:bookmarkStart w:id="17" w:name="_Toc29755"/>
      <w:bookmarkStart w:id="18" w:name="_Toc4519"/>
      <w:r>
        <w:rPr>
          <w:rFonts w:hint="eastAsia" w:ascii="宋体" w:hAnsi="宋体" w:eastAsia="宋体" w:cs="宋体"/>
          <w:color w:val="auto"/>
          <w:szCs w:val="28"/>
        </w:rPr>
        <w:t>封面：</w:t>
      </w:r>
      <w:bookmarkEnd w:id="17"/>
      <w:bookmarkEnd w:id="18"/>
    </w:p>
    <w:p>
      <w:pPr>
        <w:tabs>
          <w:tab w:val="left" w:pos="1260"/>
        </w:tabs>
        <w:jc w:val="center"/>
        <w:rPr>
          <w:rFonts w:hint="eastAsia" w:ascii="宋体" w:hAnsi="宋体" w:eastAsia="宋体" w:cs="宋体"/>
          <w:b/>
          <w:bCs/>
          <w:color w:val="auto"/>
          <w:spacing w:val="100"/>
          <w:w w:val="110"/>
          <w:sz w:val="36"/>
          <w:szCs w:val="36"/>
        </w:rPr>
      </w:pPr>
    </w:p>
    <w:p>
      <w:pPr>
        <w:tabs>
          <w:tab w:val="left" w:pos="1260"/>
        </w:tabs>
        <w:jc w:val="center"/>
        <w:rPr>
          <w:rFonts w:hint="eastAsia" w:ascii="宋体" w:hAnsi="宋体" w:eastAsia="宋体" w:cs="宋体"/>
          <w:bCs/>
          <w:color w:val="auto"/>
          <w:spacing w:val="100"/>
          <w:w w:val="110"/>
          <w:sz w:val="36"/>
          <w:szCs w:val="36"/>
        </w:rPr>
      </w:pPr>
      <w:r>
        <w:rPr>
          <w:rFonts w:hint="eastAsia" w:ascii="宋体" w:hAnsi="宋体" w:eastAsia="宋体" w:cs="宋体"/>
          <w:bCs/>
          <w:color w:val="auto"/>
          <w:spacing w:val="100"/>
          <w:w w:val="110"/>
          <w:sz w:val="36"/>
          <w:szCs w:val="36"/>
        </w:rPr>
        <w:t>阳新县县级政府采购</w:t>
      </w:r>
    </w:p>
    <w:p>
      <w:pPr>
        <w:tabs>
          <w:tab w:val="left" w:pos="1260"/>
        </w:tabs>
        <w:jc w:val="center"/>
        <w:rPr>
          <w:rFonts w:hint="eastAsia" w:ascii="宋体" w:hAnsi="宋体" w:eastAsia="宋体" w:cs="宋体"/>
          <w:bCs/>
          <w:color w:val="auto"/>
          <w:spacing w:val="100"/>
          <w:w w:val="110"/>
          <w:sz w:val="52"/>
          <w:szCs w:val="52"/>
        </w:rPr>
      </w:pPr>
    </w:p>
    <w:p>
      <w:pPr>
        <w:tabs>
          <w:tab w:val="left" w:pos="1260"/>
        </w:tabs>
        <w:jc w:val="center"/>
        <w:rPr>
          <w:rFonts w:hint="eastAsia" w:ascii="宋体" w:hAnsi="宋体" w:eastAsia="宋体" w:cs="宋体"/>
          <w:color w:val="auto"/>
          <w:spacing w:val="100"/>
          <w:w w:val="110"/>
          <w:sz w:val="100"/>
          <w:szCs w:val="100"/>
        </w:rPr>
      </w:pPr>
      <w:r>
        <w:rPr>
          <w:rFonts w:hint="eastAsia" w:ascii="宋体" w:hAnsi="宋体" w:eastAsia="宋体" w:cs="宋体"/>
          <w:bCs/>
          <w:color w:val="auto"/>
          <w:spacing w:val="100"/>
          <w:w w:val="110"/>
          <w:sz w:val="100"/>
          <w:szCs w:val="100"/>
        </w:rPr>
        <w:t>磋商响应文件</w:t>
      </w:r>
    </w:p>
    <w:p>
      <w:pPr>
        <w:jc w:val="center"/>
        <w:rPr>
          <w:rFonts w:hint="eastAsia" w:ascii="宋体" w:hAnsi="宋体" w:eastAsia="宋体" w:cs="宋体"/>
          <w:color w:val="auto"/>
          <w:sz w:val="44"/>
          <w:szCs w:val="21"/>
        </w:rPr>
      </w:pPr>
      <w:r>
        <w:rPr>
          <w:rFonts w:hint="eastAsia" w:ascii="宋体" w:hAnsi="宋体" w:eastAsia="宋体" w:cs="宋体"/>
          <w:color w:val="auto"/>
          <w:sz w:val="44"/>
          <w:szCs w:val="21"/>
        </w:rPr>
        <w:t>（正本/副本）</w:t>
      </w:r>
    </w:p>
    <w:p>
      <w:pPr>
        <w:jc w:val="center"/>
        <w:rPr>
          <w:rFonts w:hint="eastAsia" w:ascii="宋体" w:hAnsi="宋体" w:eastAsia="宋体" w:cs="宋体"/>
          <w:color w:val="auto"/>
          <w:sz w:val="44"/>
          <w:szCs w:val="21"/>
        </w:rPr>
      </w:pPr>
    </w:p>
    <w:p>
      <w:pPr>
        <w:jc w:val="center"/>
        <w:rPr>
          <w:rFonts w:hint="eastAsia" w:ascii="宋体" w:hAnsi="宋体" w:eastAsia="宋体" w:cs="宋体"/>
          <w:color w:val="auto"/>
          <w:sz w:val="44"/>
          <w:szCs w:val="21"/>
        </w:rPr>
      </w:pPr>
    </w:p>
    <w:p>
      <w:pPr>
        <w:rPr>
          <w:rFonts w:hint="eastAsia" w:ascii="宋体" w:hAnsi="宋体" w:eastAsia="宋体" w:cs="宋体"/>
          <w:color w:val="auto"/>
          <w:sz w:val="44"/>
          <w:szCs w:val="21"/>
        </w:rPr>
      </w:pPr>
    </w:p>
    <w:p>
      <w:pPr>
        <w:jc w:val="center"/>
        <w:rPr>
          <w:rFonts w:hint="eastAsia" w:ascii="宋体" w:hAnsi="宋体" w:eastAsia="宋体" w:cs="宋体"/>
          <w:color w:val="auto"/>
          <w:sz w:val="44"/>
          <w:szCs w:val="21"/>
        </w:rPr>
      </w:pPr>
    </w:p>
    <w:p>
      <w:pPr>
        <w:jc w:val="center"/>
        <w:rPr>
          <w:rFonts w:hint="eastAsia" w:ascii="宋体" w:hAnsi="宋体" w:eastAsia="宋体" w:cs="宋体"/>
          <w:color w:val="auto"/>
          <w:sz w:val="44"/>
          <w:szCs w:val="21"/>
        </w:rPr>
      </w:pPr>
    </w:p>
    <w:p>
      <w:pPr>
        <w:jc w:val="center"/>
        <w:rPr>
          <w:rFonts w:hint="eastAsia" w:ascii="宋体" w:hAnsi="宋体" w:eastAsia="宋体" w:cs="宋体"/>
          <w:color w:val="auto"/>
          <w:sz w:val="44"/>
          <w:szCs w:val="21"/>
        </w:rPr>
      </w:pPr>
    </w:p>
    <w:p>
      <w:pPr>
        <w:jc w:val="center"/>
        <w:rPr>
          <w:rFonts w:hint="eastAsia" w:ascii="宋体" w:hAnsi="宋体" w:eastAsia="宋体" w:cs="宋体"/>
          <w:color w:val="auto"/>
          <w:sz w:val="44"/>
          <w:szCs w:val="21"/>
        </w:rPr>
      </w:pPr>
    </w:p>
    <w:p>
      <w:pPr>
        <w:spacing w:line="360" w:lineRule="auto"/>
        <w:ind w:firstLine="1280" w:firstLineChars="400"/>
        <w:rPr>
          <w:rFonts w:hint="eastAsia" w:ascii="宋体" w:hAnsi="宋体" w:eastAsia="宋体" w:cs="宋体"/>
          <w:color w:val="auto"/>
          <w:sz w:val="32"/>
          <w:szCs w:val="32"/>
        </w:rPr>
      </w:pPr>
      <w:r>
        <w:rPr>
          <w:rFonts w:hint="eastAsia" w:ascii="宋体" w:hAnsi="宋体" w:eastAsia="宋体" w:cs="宋体"/>
          <w:color w:val="auto"/>
          <w:sz w:val="32"/>
          <w:szCs w:val="32"/>
        </w:rPr>
        <w:t>项目编号：</w:t>
      </w:r>
    </w:p>
    <w:p>
      <w:pPr>
        <w:spacing w:line="360" w:lineRule="auto"/>
        <w:ind w:firstLine="1280" w:firstLineChars="400"/>
        <w:rPr>
          <w:rFonts w:hint="eastAsia" w:ascii="宋体" w:hAnsi="宋体" w:eastAsia="宋体" w:cs="宋体"/>
          <w:color w:val="auto"/>
          <w:sz w:val="32"/>
          <w:szCs w:val="32"/>
          <w:u w:val="single"/>
        </w:rPr>
      </w:pPr>
      <w:r>
        <w:rPr>
          <w:rFonts w:hint="eastAsia" w:ascii="宋体" w:hAnsi="宋体" w:eastAsia="宋体" w:cs="宋体"/>
          <w:color w:val="auto"/>
          <w:sz w:val="32"/>
          <w:szCs w:val="32"/>
        </w:rPr>
        <w:t>采</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购</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人：</w:t>
      </w:r>
    </w:p>
    <w:p>
      <w:pPr>
        <w:spacing w:line="360" w:lineRule="auto"/>
        <w:ind w:firstLine="1280" w:firstLineChars="400"/>
        <w:rPr>
          <w:rFonts w:hint="eastAsia" w:ascii="宋体" w:hAnsi="宋体" w:eastAsia="宋体" w:cs="宋体"/>
          <w:color w:val="auto"/>
          <w:sz w:val="32"/>
          <w:szCs w:val="32"/>
        </w:rPr>
      </w:pPr>
      <w:r>
        <w:rPr>
          <w:rFonts w:hint="eastAsia" w:ascii="宋体" w:hAnsi="宋体" w:eastAsia="宋体" w:cs="宋体"/>
          <w:color w:val="auto"/>
          <w:sz w:val="32"/>
          <w:szCs w:val="32"/>
        </w:rPr>
        <w:t>项目名称：</w:t>
      </w:r>
    </w:p>
    <w:p>
      <w:pPr>
        <w:spacing w:line="360" w:lineRule="auto"/>
        <w:ind w:firstLine="1280" w:firstLineChars="400"/>
        <w:rPr>
          <w:rFonts w:hint="eastAsia" w:ascii="宋体" w:hAnsi="宋体" w:eastAsia="宋体" w:cs="宋体"/>
          <w:color w:val="auto"/>
          <w:sz w:val="32"/>
          <w:szCs w:val="32"/>
          <w:u w:val="single"/>
        </w:rPr>
      </w:pPr>
      <w:r>
        <w:rPr>
          <w:rFonts w:hint="eastAsia" w:ascii="宋体" w:hAnsi="宋体" w:eastAsia="宋体" w:cs="宋体"/>
          <w:color w:val="auto"/>
          <w:sz w:val="32"/>
          <w:szCs w:val="32"/>
        </w:rPr>
        <w:t>磋商内容：</w:t>
      </w:r>
    </w:p>
    <w:p>
      <w:pPr>
        <w:spacing w:line="360" w:lineRule="auto"/>
        <w:rPr>
          <w:rFonts w:hint="eastAsia" w:ascii="宋体" w:hAnsi="宋体" w:eastAsia="宋体" w:cs="宋体"/>
          <w:color w:val="auto"/>
          <w:sz w:val="44"/>
          <w:szCs w:val="21"/>
        </w:rPr>
      </w:pPr>
    </w:p>
    <w:p>
      <w:pPr>
        <w:spacing w:line="360" w:lineRule="auto"/>
        <w:rPr>
          <w:rFonts w:hint="eastAsia" w:ascii="宋体" w:hAnsi="宋体" w:eastAsia="宋体" w:cs="宋体"/>
          <w:color w:val="auto"/>
          <w:sz w:val="44"/>
          <w:szCs w:val="21"/>
        </w:rPr>
      </w:pPr>
    </w:p>
    <w:p>
      <w:pPr>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供应商名称：</w:t>
      </w:r>
    </w:p>
    <w:p>
      <w:pPr>
        <w:spacing w:line="360" w:lineRule="auto"/>
        <w:jc w:val="center"/>
        <w:rPr>
          <w:rFonts w:hint="eastAsia" w:ascii="宋体" w:hAnsi="宋体" w:eastAsia="宋体" w:cs="宋体"/>
          <w:color w:val="auto"/>
          <w:sz w:val="32"/>
          <w:szCs w:val="32"/>
          <w:u w:val="single"/>
        </w:rPr>
      </w:pPr>
      <w:r>
        <w:rPr>
          <w:rFonts w:hint="eastAsia" w:ascii="宋体" w:hAnsi="宋体" w:eastAsia="宋体" w:cs="宋体"/>
          <w:color w:val="auto"/>
          <w:sz w:val="32"/>
          <w:szCs w:val="32"/>
        </w:rPr>
        <w:t>年  月  日</w:t>
      </w:r>
    </w:p>
    <w:p>
      <w:pPr>
        <w:adjustRightInd w:val="0"/>
        <w:snapToGrid w:val="0"/>
        <w:jc w:val="center"/>
        <w:outlineLvl w:val="0"/>
        <w:rPr>
          <w:rFonts w:hint="eastAsia" w:ascii="宋体" w:hAnsi="宋体" w:eastAsia="宋体" w:cs="宋体"/>
          <w:b/>
          <w:color w:val="auto"/>
          <w:sz w:val="32"/>
          <w:szCs w:val="32"/>
        </w:rPr>
      </w:pPr>
      <w:r>
        <w:rPr>
          <w:rFonts w:hint="eastAsia" w:ascii="宋体" w:hAnsi="宋体" w:eastAsia="宋体" w:cs="宋体"/>
          <w:b/>
          <w:color w:val="auto"/>
        </w:rPr>
        <w:br w:type="page"/>
      </w:r>
      <w:bookmarkStart w:id="19" w:name="_Toc31169"/>
      <w:bookmarkStart w:id="20" w:name="_Toc10389"/>
      <w:r>
        <w:rPr>
          <w:rFonts w:hint="eastAsia" w:ascii="宋体" w:hAnsi="宋体" w:eastAsia="宋体" w:cs="宋体"/>
          <w:b/>
          <w:color w:val="auto"/>
          <w:sz w:val="32"/>
          <w:szCs w:val="32"/>
        </w:rPr>
        <w:t>目  录</w:t>
      </w:r>
      <w:bookmarkEnd w:id="19"/>
      <w:bookmarkEnd w:id="20"/>
    </w:p>
    <w:p>
      <w:pPr>
        <w:adjustRightInd w:val="0"/>
        <w:snapToGrid w:val="0"/>
        <w:outlineLvl w:val="0"/>
        <w:rPr>
          <w:rFonts w:hint="eastAsia" w:ascii="宋体" w:hAnsi="宋体" w:eastAsia="宋体" w:cs="宋体"/>
          <w:bCs/>
          <w:color w:val="auto"/>
          <w:sz w:val="24"/>
          <w:szCs w:val="24"/>
        </w:rPr>
      </w:pPr>
      <w:r>
        <w:rPr>
          <w:rFonts w:hint="eastAsia" w:ascii="宋体" w:hAnsi="宋体" w:eastAsia="宋体" w:cs="宋体"/>
          <w:b/>
          <w:color w:val="auto"/>
          <w:sz w:val="24"/>
          <w:szCs w:val="24"/>
        </w:rPr>
        <w:br w:type="page"/>
      </w:r>
      <w:bookmarkStart w:id="21" w:name="_Toc17545"/>
      <w:bookmarkStart w:id="22" w:name="_Toc5356"/>
      <w:r>
        <w:rPr>
          <w:rFonts w:hint="eastAsia" w:ascii="宋体" w:hAnsi="宋体" w:eastAsia="宋体" w:cs="宋体"/>
          <w:bCs/>
          <w:color w:val="auto"/>
          <w:sz w:val="24"/>
          <w:szCs w:val="24"/>
        </w:rPr>
        <w:t>附件1</w:t>
      </w:r>
      <w:bookmarkEnd w:id="21"/>
      <w:bookmarkEnd w:id="22"/>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磋 商 书</w:t>
      </w:r>
    </w:p>
    <w:p>
      <w:pPr>
        <w:spacing w:line="500" w:lineRule="exact"/>
        <w:ind w:left="-88" w:leftChars="-42"/>
        <w:rPr>
          <w:rFonts w:hint="eastAsia" w:ascii="宋体" w:hAnsi="宋体" w:eastAsia="宋体" w:cs="宋体"/>
          <w:color w:val="auto"/>
          <w:sz w:val="24"/>
          <w:szCs w:val="24"/>
        </w:rPr>
      </w:pP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(采购人、采购代理机构)</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根据贵方</w:t>
      </w:r>
      <w:r>
        <w:rPr>
          <w:rFonts w:hint="eastAsia" w:ascii="宋体" w:hAnsi="宋体" w:eastAsia="宋体" w:cs="宋体"/>
          <w:color w:val="auto"/>
          <w:sz w:val="24"/>
          <w:szCs w:val="24"/>
          <w:u w:val="single"/>
        </w:rPr>
        <w:t>（项目名称/项目编号）</w:t>
      </w:r>
      <w:r>
        <w:rPr>
          <w:rFonts w:hint="eastAsia" w:ascii="宋体" w:hAnsi="宋体" w:eastAsia="宋体" w:cs="宋体"/>
          <w:color w:val="auto"/>
          <w:sz w:val="24"/>
          <w:szCs w:val="24"/>
        </w:rPr>
        <w:t>项目政府采购的磋商邀请，</w:t>
      </w:r>
      <w:r>
        <w:rPr>
          <w:rFonts w:hint="eastAsia" w:ascii="宋体" w:hAnsi="宋体" w:eastAsia="宋体" w:cs="宋体"/>
          <w:color w:val="auto"/>
          <w:sz w:val="24"/>
          <w:szCs w:val="24"/>
          <w:u w:val="single"/>
        </w:rPr>
        <w:t>签字代表</w:t>
      </w:r>
      <w:r>
        <w:rPr>
          <w:rFonts w:hint="eastAsia" w:ascii="宋体" w:hAnsi="宋体" w:eastAsia="宋体" w:cs="宋体"/>
          <w:color w:val="auto"/>
          <w:sz w:val="24"/>
          <w:szCs w:val="24"/>
        </w:rPr>
        <w:t>（姓名和职务）经正式授权并代表供应商</w:t>
      </w:r>
      <w:r>
        <w:rPr>
          <w:rFonts w:hint="eastAsia" w:ascii="宋体" w:hAnsi="宋体" w:eastAsia="宋体" w:cs="宋体"/>
          <w:color w:val="auto"/>
          <w:sz w:val="24"/>
          <w:szCs w:val="24"/>
          <w:u w:val="single"/>
        </w:rPr>
        <w:t>（供应商名称、地址）</w:t>
      </w:r>
      <w:r>
        <w:rPr>
          <w:rFonts w:hint="eastAsia" w:ascii="宋体" w:hAnsi="宋体" w:eastAsia="宋体" w:cs="宋体"/>
          <w:color w:val="auto"/>
          <w:sz w:val="24"/>
          <w:szCs w:val="24"/>
        </w:rPr>
        <w:t>提交下述响应文件正本一份、副本二份。</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1）磋商书 (附件1) ；</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2）报价组成情况表(附件2) ；</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3）货物（服务）清单(附件3)；</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4）资格性符合性检查对照表(附件4)；</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5）技术响应、偏离情况说明表(附件5)；</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6）合同草案条款响应、偏离情况说明表（附件6）；</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7）法人（负责人）代表授权书（附件7）；</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8）法人或者其他组织的营业执照等证明文件，自然人的身份证明(附件8)；</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9）财务状况报告，依法缴纳税收和社会保障资金的相关材料(附件9)；</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10）具备履行合同所必需的设备和专业技术能力的证明材料(附件10)；</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11）参加政府采购活动前3年内在经营活动中没有重大违法记录的书面声明(附件11)；</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bCs/>
          <w:color w:val="auto"/>
          <w:sz w:val="24"/>
        </w:rPr>
        <w:t>12）未被列入“信用中国”网站(www.creditchina. gov.cn)失信被执行人、重大税收违法案件当事人名单、政府采购严重违法失信行为记录名单</w:t>
      </w:r>
      <w:r>
        <w:rPr>
          <w:rFonts w:hint="eastAsia" w:ascii="宋体" w:hAnsi="宋体" w:eastAsia="宋体" w:cs="宋体"/>
          <w:bCs/>
          <w:color w:val="auto"/>
          <w:sz w:val="24"/>
          <w:lang w:eastAsia="zh-CN"/>
        </w:rPr>
        <w:t>（须提供网页截图）</w:t>
      </w:r>
      <w:r>
        <w:rPr>
          <w:rFonts w:hint="eastAsia" w:ascii="宋体" w:hAnsi="宋体" w:eastAsia="宋体" w:cs="宋体"/>
          <w:bCs/>
          <w:color w:val="auto"/>
          <w:sz w:val="24"/>
        </w:rPr>
        <w:t>(附件12)。</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bCs/>
          <w:color w:val="auto"/>
          <w:sz w:val="24"/>
        </w:rPr>
        <w:t>13）《中小企业声明函》、《残疾人福利性单位声明函》、属于监狱企业的证明文件等（如果有的话）(附件13)。</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b/>
          <w:bCs/>
          <w:color w:val="auto"/>
          <w:sz w:val="24"/>
        </w:rPr>
        <w:t>本文件要求提供的其他资格证明文件及资料。</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在此，我方宣布同意如下：</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 将按磋商文件的规定履行合同责任和义务；</w:t>
      </w:r>
    </w:p>
    <w:p>
      <w:pPr>
        <w:spacing w:line="440" w:lineRule="exact"/>
        <w:ind w:left="840" w:hanging="360"/>
        <w:rPr>
          <w:rFonts w:hint="eastAsia" w:ascii="宋体" w:hAnsi="宋体" w:eastAsia="宋体" w:cs="宋体"/>
          <w:color w:val="auto"/>
          <w:sz w:val="24"/>
          <w:szCs w:val="24"/>
        </w:rPr>
      </w:pPr>
      <w:r>
        <w:rPr>
          <w:rFonts w:hint="eastAsia" w:ascii="宋体" w:hAnsi="宋体" w:eastAsia="宋体" w:cs="宋体"/>
          <w:color w:val="auto"/>
          <w:sz w:val="24"/>
          <w:szCs w:val="24"/>
        </w:rPr>
        <w:t>2. 已详细审查全部磋商文件，包括第（编号、补遗书）（如果有的话）；我们完全理解并同意放弃对这方面有不明及误解的权力；</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3. 本响应文件有效期为自磋商之日起个日历日；</w:t>
      </w:r>
    </w:p>
    <w:p>
      <w:pPr>
        <w:spacing w:line="440" w:lineRule="exact"/>
        <w:ind w:left="840" w:hanging="360"/>
        <w:rPr>
          <w:rFonts w:hint="eastAsia" w:ascii="宋体" w:hAnsi="宋体" w:eastAsia="宋体" w:cs="宋体"/>
          <w:color w:val="auto"/>
          <w:sz w:val="24"/>
          <w:szCs w:val="24"/>
        </w:rPr>
      </w:pPr>
      <w:r>
        <w:rPr>
          <w:rFonts w:hint="eastAsia" w:ascii="宋体" w:hAnsi="宋体" w:eastAsia="宋体" w:cs="宋体"/>
          <w:color w:val="auto"/>
          <w:sz w:val="24"/>
          <w:szCs w:val="24"/>
        </w:rPr>
        <w:t>4. 同意提供按照贵方可能要求的与其磋商有关的一切数据或资料；</w:t>
      </w:r>
    </w:p>
    <w:p>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5. 与本磋商有关的一切正式往来信函请寄：</w:t>
      </w:r>
    </w:p>
    <w:p>
      <w:pPr>
        <w:spacing w:line="44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t>地址：</w:t>
      </w:r>
    </w:p>
    <w:p>
      <w:pPr>
        <w:spacing w:line="44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t>电话/传真：</w:t>
      </w:r>
    </w:p>
    <w:p>
      <w:pPr>
        <w:spacing w:line="44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t>电子信箱：</w:t>
      </w:r>
    </w:p>
    <w:p>
      <w:pPr>
        <w:spacing w:line="44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t>供应商（授权）代表签字：</w:t>
      </w:r>
    </w:p>
    <w:p>
      <w:pPr>
        <w:spacing w:line="44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w:t>
      </w:r>
    </w:p>
    <w:p>
      <w:pPr>
        <w:spacing w:line="44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spacing w:line="44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ind w:left="480" w:hanging="480"/>
        <w:rPr>
          <w:rFonts w:hint="eastAsia" w:ascii="宋体" w:hAnsi="宋体" w:eastAsia="宋体" w:cs="宋体"/>
          <w:bCs/>
          <w:color w:val="auto"/>
          <w:sz w:val="24"/>
          <w:szCs w:val="24"/>
        </w:rPr>
      </w:pPr>
      <w:r>
        <w:rPr>
          <w:rFonts w:hint="eastAsia" w:ascii="宋体" w:hAnsi="宋体" w:eastAsia="宋体" w:cs="宋体"/>
          <w:bCs/>
          <w:color w:val="auto"/>
          <w:sz w:val="24"/>
          <w:szCs w:val="24"/>
        </w:rPr>
        <w:t>附件2</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报价组成情况表</w:t>
      </w:r>
    </w:p>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项目编号（包号）：</w:t>
      </w:r>
    </w:p>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项目名称：</w:t>
      </w:r>
    </w:p>
    <w:tbl>
      <w:tblPr>
        <w:tblStyle w:val="10"/>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869"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名称（服务）</w:t>
            </w:r>
          </w:p>
        </w:tc>
        <w:tc>
          <w:tcPr>
            <w:tcW w:w="1237" w:type="dxa"/>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805" w:type="dxa"/>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654" w:type="dxa"/>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913" w:type="dxa"/>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136" w:type="dxa"/>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869" w:type="dxa"/>
            <w:vAlign w:val="center"/>
          </w:tcPr>
          <w:p>
            <w:pPr>
              <w:adjustRightInd w:val="0"/>
              <w:snapToGrid w:val="0"/>
              <w:ind w:left="-88" w:leftChars="-42"/>
              <w:jc w:val="center"/>
              <w:rPr>
                <w:rFonts w:hint="eastAsia" w:ascii="宋体" w:hAnsi="宋体" w:eastAsia="宋体" w:cs="宋体"/>
                <w:color w:val="auto"/>
                <w:sz w:val="24"/>
              </w:rPr>
            </w:pPr>
          </w:p>
        </w:tc>
        <w:tc>
          <w:tcPr>
            <w:tcW w:w="1237" w:type="dxa"/>
            <w:vAlign w:val="center"/>
          </w:tcPr>
          <w:p>
            <w:pPr>
              <w:adjustRightInd w:val="0"/>
              <w:snapToGrid w:val="0"/>
              <w:jc w:val="center"/>
              <w:rPr>
                <w:rFonts w:hint="eastAsia" w:ascii="宋体" w:hAnsi="宋体" w:eastAsia="宋体" w:cs="宋体"/>
                <w:color w:val="auto"/>
                <w:sz w:val="24"/>
              </w:rPr>
            </w:pPr>
          </w:p>
        </w:tc>
        <w:tc>
          <w:tcPr>
            <w:tcW w:w="805" w:type="dxa"/>
            <w:vAlign w:val="center"/>
          </w:tcPr>
          <w:p>
            <w:pPr>
              <w:adjustRightInd w:val="0"/>
              <w:snapToGrid w:val="0"/>
              <w:jc w:val="center"/>
              <w:rPr>
                <w:rFonts w:hint="eastAsia" w:ascii="宋体" w:hAnsi="宋体" w:eastAsia="宋体" w:cs="宋体"/>
                <w:color w:val="auto"/>
                <w:sz w:val="24"/>
              </w:rPr>
            </w:pPr>
          </w:p>
        </w:tc>
        <w:tc>
          <w:tcPr>
            <w:tcW w:w="1654" w:type="dxa"/>
            <w:vAlign w:val="center"/>
          </w:tcPr>
          <w:p>
            <w:pPr>
              <w:adjustRightInd w:val="0"/>
              <w:snapToGrid w:val="0"/>
              <w:jc w:val="center"/>
              <w:rPr>
                <w:rFonts w:hint="eastAsia" w:ascii="宋体" w:hAnsi="宋体" w:eastAsia="宋体" w:cs="宋体"/>
                <w:color w:val="auto"/>
                <w:sz w:val="24"/>
              </w:rPr>
            </w:pPr>
          </w:p>
        </w:tc>
        <w:tc>
          <w:tcPr>
            <w:tcW w:w="913" w:type="dxa"/>
            <w:vAlign w:val="center"/>
          </w:tcPr>
          <w:p>
            <w:pPr>
              <w:adjustRightInd w:val="0"/>
              <w:snapToGrid w:val="0"/>
              <w:jc w:val="center"/>
              <w:rPr>
                <w:rFonts w:hint="eastAsia" w:ascii="宋体" w:hAnsi="宋体" w:eastAsia="宋体" w:cs="宋体"/>
                <w:color w:val="auto"/>
                <w:sz w:val="24"/>
              </w:rPr>
            </w:pPr>
          </w:p>
        </w:tc>
        <w:tc>
          <w:tcPr>
            <w:tcW w:w="1136"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869"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237" w:type="dxa"/>
            <w:vAlign w:val="center"/>
          </w:tcPr>
          <w:p>
            <w:pPr>
              <w:adjustRightInd w:val="0"/>
              <w:snapToGrid w:val="0"/>
              <w:jc w:val="center"/>
              <w:rPr>
                <w:rFonts w:hint="eastAsia" w:ascii="宋体" w:hAnsi="宋体" w:eastAsia="宋体" w:cs="宋体"/>
                <w:color w:val="auto"/>
                <w:sz w:val="24"/>
              </w:rPr>
            </w:pPr>
          </w:p>
        </w:tc>
        <w:tc>
          <w:tcPr>
            <w:tcW w:w="805" w:type="dxa"/>
            <w:vAlign w:val="center"/>
          </w:tcPr>
          <w:p>
            <w:pPr>
              <w:adjustRightInd w:val="0"/>
              <w:snapToGrid w:val="0"/>
              <w:jc w:val="center"/>
              <w:rPr>
                <w:rFonts w:hint="eastAsia" w:ascii="宋体" w:hAnsi="宋体" w:eastAsia="宋体" w:cs="宋体"/>
                <w:color w:val="auto"/>
                <w:sz w:val="24"/>
              </w:rPr>
            </w:pPr>
          </w:p>
        </w:tc>
        <w:tc>
          <w:tcPr>
            <w:tcW w:w="1654" w:type="dxa"/>
            <w:vAlign w:val="center"/>
          </w:tcPr>
          <w:p>
            <w:pPr>
              <w:adjustRightInd w:val="0"/>
              <w:snapToGrid w:val="0"/>
              <w:jc w:val="center"/>
              <w:rPr>
                <w:rFonts w:hint="eastAsia" w:ascii="宋体" w:hAnsi="宋体" w:eastAsia="宋体" w:cs="宋体"/>
                <w:color w:val="auto"/>
                <w:sz w:val="24"/>
              </w:rPr>
            </w:pPr>
          </w:p>
        </w:tc>
        <w:tc>
          <w:tcPr>
            <w:tcW w:w="913" w:type="dxa"/>
            <w:vAlign w:val="center"/>
          </w:tcPr>
          <w:p>
            <w:pPr>
              <w:adjustRightInd w:val="0"/>
              <w:snapToGrid w:val="0"/>
              <w:jc w:val="center"/>
              <w:rPr>
                <w:rFonts w:hint="eastAsia" w:ascii="宋体" w:hAnsi="宋体" w:eastAsia="宋体" w:cs="宋体"/>
                <w:color w:val="auto"/>
                <w:sz w:val="24"/>
              </w:rPr>
            </w:pPr>
          </w:p>
        </w:tc>
        <w:tc>
          <w:tcPr>
            <w:tcW w:w="1136"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869" w:type="dxa"/>
            <w:vAlign w:val="center"/>
          </w:tcPr>
          <w:p>
            <w:pPr>
              <w:adjustRightInd w:val="0"/>
              <w:snapToGrid w:val="0"/>
              <w:ind w:left="-88" w:leftChars="-42"/>
              <w:jc w:val="center"/>
              <w:rPr>
                <w:rFonts w:hint="eastAsia" w:ascii="宋体" w:hAnsi="宋体" w:eastAsia="宋体" w:cs="宋体"/>
                <w:color w:val="auto"/>
                <w:sz w:val="24"/>
              </w:rPr>
            </w:pPr>
          </w:p>
        </w:tc>
        <w:tc>
          <w:tcPr>
            <w:tcW w:w="1237" w:type="dxa"/>
            <w:vAlign w:val="center"/>
          </w:tcPr>
          <w:p>
            <w:pPr>
              <w:adjustRightInd w:val="0"/>
              <w:snapToGrid w:val="0"/>
              <w:jc w:val="center"/>
              <w:rPr>
                <w:rFonts w:hint="eastAsia" w:ascii="宋体" w:hAnsi="宋体" w:eastAsia="宋体" w:cs="宋体"/>
                <w:color w:val="auto"/>
                <w:sz w:val="24"/>
              </w:rPr>
            </w:pPr>
          </w:p>
        </w:tc>
        <w:tc>
          <w:tcPr>
            <w:tcW w:w="805" w:type="dxa"/>
            <w:vAlign w:val="center"/>
          </w:tcPr>
          <w:p>
            <w:pPr>
              <w:adjustRightInd w:val="0"/>
              <w:snapToGrid w:val="0"/>
              <w:jc w:val="center"/>
              <w:rPr>
                <w:rFonts w:hint="eastAsia" w:ascii="宋体" w:hAnsi="宋体" w:eastAsia="宋体" w:cs="宋体"/>
                <w:color w:val="auto"/>
                <w:sz w:val="24"/>
              </w:rPr>
            </w:pPr>
          </w:p>
        </w:tc>
        <w:tc>
          <w:tcPr>
            <w:tcW w:w="1654" w:type="dxa"/>
            <w:vAlign w:val="center"/>
          </w:tcPr>
          <w:p>
            <w:pPr>
              <w:adjustRightInd w:val="0"/>
              <w:snapToGrid w:val="0"/>
              <w:jc w:val="center"/>
              <w:rPr>
                <w:rFonts w:hint="eastAsia" w:ascii="宋体" w:hAnsi="宋体" w:eastAsia="宋体" w:cs="宋体"/>
                <w:color w:val="auto"/>
                <w:sz w:val="24"/>
              </w:rPr>
            </w:pPr>
          </w:p>
        </w:tc>
        <w:tc>
          <w:tcPr>
            <w:tcW w:w="913" w:type="dxa"/>
            <w:vAlign w:val="center"/>
          </w:tcPr>
          <w:p>
            <w:pPr>
              <w:adjustRightInd w:val="0"/>
              <w:snapToGrid w:val="0"/>
              <w:jc w:val="center"/>
              <w:rPr>
                <w:rFonts w:hint="eastAsia" w:ascii="宋体" w:hAnsi="宋体" w:eastAsia="宋体" w:cs="宋体"/>
                <w:color w:val="auto"/>
                <w:sz w:val="24"/>
              </w:rPr>
            </w:pPr>
          </w:p>
        </w:tc>
        <w:tc>
          <w:tcPr>
            <w:tcW w:w="1136"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869" w:type="dxa"/>
            <w:vAlign w:val="center"/>
          </w:tcPr>
          <w:p>
            <w:pPr>
              <w:adjustRightInd w:val="0"/>
              <w:snapToGrid w:val="0"/>
              <w:ind w:left="-88" w:leftChars="-42"/>
              <w:jc w:val="center"/>
              <w:rPr>
                <w:rFonts w:hint="eastAsia" w:ascii="宋体" w:hAnsi="宋体" w:eastAsia="宋体" w:cs="宋体"/>
                <w:color w:val="auto"/>
                <w:sz w:val="24"/>
              </w:rPr>
            </w:pPr>
          </w:p>
        </w:tc>
        <w:tc>
          <w:tcPr>
            <w:tcW w:w="1237" w:type="dxa"/>
            <w:vAlign w:val="center"/>
          </w:tcPr>
          <w:p>
            <w:pPr>
              <w:adjustRightInd w:val="0"/>
              <w:snapToGrid w:val="0"/>
              <w:jc w:val="center"/>
              <w:rPr>
                <w:rFonts w:hint="eastAsia" w:ascii="宋体" w:hAnsi="宋体" w:eastAsia="宋体" w:cs="宋体"/>
                <w:color w:val="auto"/>
                <w:sz w:val="24"/>
              </w:rPr>
            </w:pPr>
          </w:p>
        </w:tc>
        <w:tc>
          <w:tcPr>
            <w:tcW w:w="805" w:type="dxa"/>
            <w:vAlign w:val="center"/>
          </w:tcPr>
          <w:p>
            <w:pPr>
              <w:adjustRightInd w:val="0"/>
              <w:snapToGrid w:val="0"/>
              <w:jc w:val="center"/>
              <w:rPr>
                <w:rFonts w:hint="eastAsia" w:ascii="宋体" w:hAnsi="宋体" w:eastAsia="宋体" w:cs="宋体"/>
                <w:color w:val="auto"/>
                <w:sz w:val="24"/>
              </w:rPr>
            </w:pPr>
          </w:p>
        </w:tc>
        <w:tc>
          <w:tcPr>
            <w:tcW w:w="1654" w:type="dxa"/>
            <w:vAlign w:val="center"/>
          </w:tcPr>
          <w:p>
            <w:pPr>
              <w:adjustRightInd w:val="0"/>
              <w:snapToGrid w:val="0"/>
              <w:jc w:val="center"/>
              <w:rPr>
                <w:rFonts w:hint="eastAsia" w:ascii="宋体" w:hAnsi="宋体" w:eastAsia="宋体" w:cs="宋体"/>
                <w:color w:val="auto"/>
                <w:sz w:val="24"/>
              </w:rPr>
            </w:pPr>
          </w:p>
        </w:tc>
        <w:tc>
          <w:tcPr>
            <w:tcW w:w="913" w:type="dxa"/>
            <w:vAlign w:val="center"/>
          </w:tcPr>
          <w:p>
            <w:pPr>
              <w:adjustRightInd w:val="0"/>
              <w:snapToGrid w:val="0"/>
              <w:jc w:val="center"/>
              <w:rPr>
                <w:rFonts w:hint="eastAsia" w:ascii="宋体" w:hAnsi="宋体" w:eastAsia="宋体" w:cs="宋体"/>
                <w:color w:val="auto"/>
                <w:sz w:val="24"/>
              </w:rPr>
            </w:pPr>
          </w:p>
        </w:tc>
        <w:tc>
          <w:tcPr>
            <w:tcW w:w="1136"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869"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237" w:type="dxa"/>
            <w:vAlign w:val="center"/>
          </w:tcPr>
          <w:p>
            <w:pPr>
              <w:adjustRightInd w:val="0"/>
              <w:snapToGrid w:val="0"/>
              <w:jc w:val="center"/>
              <w:rPr>
                <w:rFonts w:hint="eastAsia" w:ascii="宋体" w:hAnsi="宋体" w:eastAsia="宋体" w:cs="宋体"/>
                <w:color w:val="auto"/>
                <w:sz w:val="24"/>
              </w:rPr>
            </w:pPr>
          </w:p>
        </w:tc>
        <w:tc>
          <w:tcPr>
            <w:tcW w:w="805" w:type="dxa"/>
            <w:vAlign w:val="center"/>
          </w:tcPr>
          <w:p>
            <w:pPr>
              <w:adjustRightInd w:val="0"/>
              <w:snapToGrid w:val="0"/>
              <w:jc w:val="center"/>
              <w:rPr>
                <w:rFonts w:hint="eastAsia" w:ascii="宋体" w:hAnsi="宋体" w:eastAsia="宋体" w:cs="宋体"/>
                <w:color w:val="auto"/>
                <w:sz w:val="24"/>
              </w:rPr>
            </w:pPr>
          </w:p>
        </w:tc>
        <w:tc>
          <w:tcPr>
            <w:tcW w:w="1654" w:type="dxa"/>
            <w:vAlign w:val="center"/>
          </w:tcPr>
          <w:p>
            <w:pPr>
              <w:adjustRightInd w:val="0"/>
              <w:snapToGrid w:val="0"/>
              <w:jc w:val="center"/>
              <w:rPr>
                <w:rFonts w:hint="eastAsia" w:ascii="宋体" w:hAnsi="宋体" w:eastAsia="宋体" w:cs="宋体"/>
                <w:color w:val="auto"/>
                <w:sz w:val="24"/>
              </w:rPr>
            </w:pPr>
          </w:p>
        </w:tc>
        <w:tc>
          <w:tcPr>
            <w:tcW w:w="913" w:type="dxa"/>
            <w:vAlign w:val="center"/>
          </w:tcPr>
          <w:p>
            <w:pPr>
              <w:adjustRightInd w:val="0"/>
              <w:snapToGrid w:val="0"/>
              <w:jc w:val="center"/>
              <w:rPr>
                <w:rFonts w:hint="eastAsia" w:ascii="宋体" w:hAnsi="宋体" w:eastAsia="宋体" w:cs="宋体"/>
                <w:color w:val="auto"/>
                <w:sz w:val="24"/>
              </w:rPr>
            </w:pPr>
          </w:p>
        </w:tc>
        <w:tc>
          <w:tcPr>
            <w:tcW w:w="1136"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869"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其它</w:t>
            </w:r>
          </w:p>
        </w:tc>
        <w:tc>
          <w:tcPr>
            <w:tcW w:w="1237" w:type="dxa"/>
            <w:vAlign w:val="center"/>
          </w:tcPr>
          <w:p>
            <w:pPr>
              <w:adjustRightInd w:val="0"/>
              <w:snapToGrid w:val="0"/>
              <w:jc w:val="center"/>
              <w:rPr>
                <w:rFonts w:hint="eastAsia" w:ascii="宋体" w:hAnsi="宋体" w:eastAsia="宋体" w:cs="宋体"/>
                <w:color w:val="auto"/>
                <w:sz w:val="24"/>
              </w:rPr>
            </w:pPr>
          </w:p>
        </w:tc>
        <w:tc>
          <w:tcPr>
            <w:tcW w:w="805" w:type="dxa"/>
            <w:vAlign w:val="center"/>
          </w:tcPr>
          <w:p>
            <w:pPr>
              <w:adjustRightInd w:val="0"/>
              <w:snapToGrid w:val="0"/>
              <w:jc w:val="center"/>
              <w:rPr>
                <w:rFonts w:hint="eastAsia" w:ascii="宋体" w:hAnsi="宋体" w:eastAsia="宋体" w:cs="宋体"/>
                <w:color w:val="auto"/>
                <w:sz w:val="24"/>
              </w:rPr>
            </w:pPr>
          </w:p>
        </w:tc>
        <w:tc>
          <w:tcPr>
            <w:tcW w:w="1654" w:type="dxa"/>
            <w:vAlign w:val="center"/>
          </w:tcPr>
          <w:p>
            <w:pPr>
              <w:adjustRightInd w:val="0"/>
              <w:snapToGrid w:val="0"/>
              <w:jc w:val="center"/>
              <w:rPr>
                <w:rFonts w:hint="eastAsia" w:ascii="宋体" w:hAnsi="宋体" w:eastAsia="宋体" w:cs="宋体"/>
                <w:color w:val="auto"/>
                <w:sz w:val="24"/>
              </w:rPr>
            </w:pPr>
          </w:p>
        </w:tc>
        <w:tc>
          <w:tcPr>
            <w:tcW w:w="913" w:type="dxa"/>
            <w:vAlign w:val="center"/>
          </w:tcPr>
          <w:p>
            <w:pPr>
              <w:adjustRightInd w:val="0"/>
              <w:snapToGrid w:val="0"/>
              <w:jc w:val="center"/>
              <w:rPr>
                <w:rFonts w:hint="eastAsia" w:ascii="宋体" w:hAnsi="宋体" w:eastAsia="宋体" w:cs="宋体"/>
                <w:color w:val="auto"/>
                <w:sz w:val="24"/>
              </w:rPr>
            </w:pPr>
          </w:p>
        </w:tc>
        <w:tc>
          <w:tcPr>
            <w:tcW w:w="1136"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7</w:t>
            </w:r>
          </w:p>
        </w:tc>
        <w:tc>
          <w:tcPr>
            <w:tcW w:w="1869"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237" w:type="dxa"/>
            <w:vAlign w:val="center"/>
          </w:tcPr>
          <w:p>
            <w:pPr>
              <w:adjustRightInd w:val="0"/>
              <w:snapToGrid w:val="0"/>
              <w:jc w:val="center"/>
              <w:rPr>
                <w:rFonts w:hint="eastAsia" w:ascii="宋体" w:hAnsi="宋体" w:eastAsia="宋体" w:cs="宋体"/>
                <w:color w:val="auto"/>
                <w:sz w:val="24"/>
              </w:rPr>
            </w:pPr>
          </w:p>
        </w:tc>
        <w:tc>
          <w:tcPr>
            <w:tcW w:w="805" w:type="dxa"/>
            <w:vAlign w:val="center"/>
          </w:tcPr>
          <w:p>
            <w:pPr>
              <w:adjustRightInd w:val="0"/>
              <w:snapToGrid w:val="0"/>
              <w:jc w:val="center"/>
              <w:rPr>
                <w:rFonts w:hint="eastAsia" w:ascii="宋体" w:hAnsi="宋体" w:eastAsia="宋体" w:cs="宋体"/>
                <w:color w:val="auto"/>
                <w:sz w:val="24"/>
              </w:rPr>
            </w:pPr>
          </w:p>
        </w:tc>
        <w:tc>
          <w:tcPr>
            <w:tcW w:w="1654" w:type="dxa"/>
            <w:vAlign w:val="center"/>
          </w:tcPr>
          <w:p>
            <w:pPr>
              <w:adjustRightInd w:val="0"/>
              <w:snapToGrid w:val="0"/>
              <w:jc w:val="center"/>
              <w:rPr>
                <w:rFonts w:hint="eastAsia" w:ascii="宋体" w:hAnsi="宋体" w:eastAsia="宋体" w:cs="宋体"/>
                <w:color w:val="auto"/>
                <w:sz w:val="24"/>
              </w:rPr>
            </w:pPr>
          </w:p>
        </w:tc>
        <w:tc>
          <w:tcPr>
            <w:tcW w:w="913" w:type="dxa"/>
            <w:vAlign w:val="center"/>
          </w:tcPr>
          <w:p>
            <w:pPr>
              <w:adjustRightInd w:val="0"/>
              <w:snapToGrid w:val="0"/>
              <w:jc w:val="center"/>
              <w:rPr>
                <w:rFonts w:hint="eastAsia" w:ascii="宋体" w:hAnsi="宋体" w:eastAsia="宋体" w:cs="宋体"/>
                <w:color w:val="auto"/>
                <w:sz w:val="24"/>
              </w:rPr>
            </w:pPr>
          </w:p>
        </w:tc>
        <w:tc>
          <w:tcPr>
            <w:tcW w:w="1136"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总计</w:t>
            </w:r>
          </w:p>
        </w:tc>
        <w:tc>
          <w:tcPr>
            <w:tcW w:w="2049" w:type="dxa"/>
            <w:gridSpan w:val="2"/>
            <w:vAlign w:val="center"/>
          </w:tcPr>
          <w:p>
            <w:pPr>
              <w:adjustRightInd w:val="0"/>
              <w:snapToGrid w:val="0"/>
              <w:jc w:val="center"/>
              <w:rPr>
                <w:rFonts w:hint="eastAsia" w:ascii="宋体" w:hAnsi="宋体" w:eastAsia="宋体" w:cs="宋体"/>
                <w:color w:val="auto"/>
                <w:sz w:val="24"/>
              </w:rPr>
            </w:pPr>
          </w:p>
        </w:tc>
      </w:tr>
    </w:tbl>
    <w:p>
      <w:pPr>
        <w:spacing w:line="240" w:lineRule="atLeas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注：本表仅作为磋商小组了解报价组成情况，不作为最终成交价。</w:t>
      </w:r>
    </w:p>
    <w:p>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p>
    <w:p>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时间：</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widowControl/>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附件3</w:t>
      </w:r>
    </w:p>
    <w:p>
      <w:pPr>
        <w:widowControl/>
        <w:jc w:val="center"/>
        <w:rPr>
          <w:rFonts w:hint="eastAsia" w:ascii="宋体" w:hAnsi="宋体" w:eastAsia="宋体" w:cs="宋体"/>
          <w:color w:val="auto"/>
          <w:sz w:val="32"/>
          <w:szCs w:val="32"/>
        </w:rPr>
      </w:pPr>
      <w:r>
        <w:rPr>
          <w:rFonts w:hint="eastAsia" w:ascii="宋体" w:hAnsi="宋体" w:eastAsia="宋体" w:cs="宋体"/>
          <w:color w:val="auto"/>
          <w:sz w:val="32"/>
          <w:szCs w:val="32"/>
        </w:rPr>
        <w:t>货物（服务）清单</w:t>
      </w:r>
    </w:p>
    <w:p>
      <w:pPr>
        <w:spacing w:line="240" w:lineRule="atLeast"/>
        <w:rPr>
          <w:rFonts w:hint="eastAsia" w:ascii="宋体" w:hAnsi="宋体" w:eastAsia="宋体" w:cs="宋体"/>
          <w:color w:val="auto"/>
          <w:sz w:val="24"/>
        </w:rPr>
      </w:pP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项目编号（包号）：</w:t>
      </w:r>
    </w:p>
    <w:p>
      <w:pPr>
        <w:rPr>
          <w:rFonts w:hint="eastAsia" w:ascii="宋体" w:hAnsi="宋体" w:eastAsia="宋体" w:cs="宋体"/>
          <w:b/>
          <w:bCs/>
          <w:color w:val="auto"/>
          <w:sz w:val="32"/>
          <w:szCs w:val="32"/>
        </w:rPr>
      </w:pPr>
      <w:r>
        <w:rPr>
          <w:rFonts w:hint="eastAsia" w:ascii="宋体" w:hAnsi="宋体" w:eastAsia="宋体" w:cs="宋体"/>
          <w:color w:val="auto"/>
          <w:sz w:val="24"/>
        </w:rPr>
        <w:t>项目名称：</w:t>
      </w:r>
    </w:p>
    <w:tbl>
      <w:tblPr>
        <w:tblStyle w:val="10"/>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187"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货物（服务）名称</w:t>
            </w:r>
          </w:p>
        </w:tc>
        <w:tc>
          <w:tcPr>
            <w:tcW w:w="1559" w:type="dxa"/>
            <w:tcBorders>
              <w:right w:val="single" w:color="auto" w:sz="4" w:space="0"/>
            </w:tcBorders>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1560" w:type="dxa"/>
            <w:tcBorders>
              <w:left w:val="single" w:color="auto" w:sz="4" w:space="0"/>
            </w:tcBorders>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生产地</w:t>
            </w:r>
          </w:p>
        </w:tc>
        <w:tc>
          <w:tcPr>
            <w:tcW w:w="1701" w:type="dxa"/>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1134" w:type="dxa"/>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187" w:type="dxa"/>
            <w:vAlign w:val="center"/>
          </w:tcPr>
          <w:p>
            <w:pPr>
              <w:adjustRightInd w:val="0"/>
              <w:snapToGrid w:val="0"/>
              <w:ind w:left="-88" w:leftChars="-42"/>
              <w:jc w:val="center"/>
              <w:rPr>
                <w:rFonts w:hint="eastAsia" w:ascii="宋体" w:hAnsi="宋体" w:eastAsia="宋体" w:cs="宋体"/>
                <w:color w:val="auto"/>
                <w:sz w:val="24"/>
              </w:rPr>
            </w:pPr>
          </w:p>
        </w:tc>
        <w:tc>
          <w:tcPr>
            <w:tcW w:w="1559" w:type="dxa"/>
            <w:tcBorders>
              <w:right w:val="single" w:color="auto" w:sz="4" w:space="0"/>
            </w:tcBorders>
            <w:vAlign w:val="center"/>
          </w:tcPr>
          <w:p>
            <w:pPr>
              <w:adjustRightInd w:val="0"/>
              <w:snapToGrid w:val="0"/>
              <w:jc w:val="center"/>
              <w:rPr>
                <w:rFonts w:hint="eastAsia" w:ascii="宋体" w:hAnsi="宋体" w:eastAsia="宋体" w:cs="宋体"/>
                <w:color w:val="auto"/>
                <w:sz w:val="24"/>
              </w:rPr>
            </w:pPr>
          </w:p>
        </w:tc>
        <w:tc>
          <w:tcPr>
            <w:tcW w:w="1560" w:type="dxa"/>
            <w:tcBorders>
              <w:left w:val="single" w:color="auto" w:sz="4" w:space="0"/>
            </w:tcBorders>
            <w:vAlign w:val="center"/>
          </w:tcPr>
          <w:p>
            <w:pPr>
              <w:adjustRightInd w:val="0"/>
              <w:snapToGrid w:val="0"/>
              <w:jc w:val="center"/>
              <w:rPr>
                <w:rFonts w:hint="eastAsia" w:ascii="宋体" w:hAnsi="宋体" w:eastAsia="宋体" w:cs="宋体"/>
                <w:color w:val="auto"/>
                <w:sz w:val="24"/>
              </w:rPr>
            </w:pPr>
          </w:p>
        </w:tc>
        <w:tc>
          <w:tcPr>
            <w:tcW w:w="1701" w:type="dxa"/>
            <w:vAlign w:val="center"/>
          </w:tcPr>
          <w:p>
            <w:pPr>
              <w:adjustRightInd w:val="0"/>
              <w:snapToGrid w:val="0"/>
              <w:jc w:val="center"/>
              <w:rPr>
                <w:rFonts w:hint="eastAsia" w:ascii="宋体" w:hAnsi="宋体" w:eastAsia="宋体" w:cs="宋体"/>
                <w:color w:val="auto"/>
                <w:sz w:val="24"/>
              </w:rPr>
            </w:pPr>
          </w:p>
        </w:tc>
        <w:tc>
          <w:tcPr>
            <w:tcW w:w="1134"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187" w:type="dxa"/>
            <w:vAlign w:val="center"/>
          </w:tcPr>
          <w:p>
            <w:pPr>
              <w:adjustRightInd w:val="0"/>
              <w:snapToGrid w:val="0"/>
              <w:ind w:left="-88" w:leftChars="-42"/>
              <w:jc w:val="center"/>
              <w:rPr>
                <w:rFonts w:hint="eastAsia" w:ascii="宋体" w:hAnsi="宋体" w:eastAsia="宋体" w:cs="宋体"/>
                <w:color w:val="auto"/>
                <w:sz w:val="24"/>
              </w:rPr>
            </w:pPr>
          </w:p>
        </w:tc>
        <w:tc>
          <w:tcPr>
            <w:tcW w:w="1559" w:type="dxa"/>
            <w:tcBorders>
              <w:right w:val="single" w:color="auto" w:sz="4" w:space="0"/>
            </w:tcBorders>
            <w:vAlign w:val="center"/>
          </w:tcPr>
          <w:p>
            <w:pPr>
              <w:adjustRightInd w:val="0"/>
              <w:snapToGrid w:val="0"/>
              <w:jc w:val="center"/>
              <w:rPr>
                <w:rFonts w:hint="eastAsia" w:ascii="宋体" w:hAnsi="宋体" w:eastAsia="宋体" w:cs="宋体"/>
                <w:color w:val="auto"/>
                <w:sz w:val="24"/>
              </w:rPr>
            </w:pPr>
          </w:p>
        </w:tc>
        <w:tc>
          <w:tcPr>
            <w:tcW w:w="1560" w:type="dxa"/>
            <w:tcBorders>
              <w:left w:val="single" w:color="auto" w:sz="4" w:space="0"/>
            </w:tcBorders>
            <w:vAlign w:val="center"/>
          </w:tcPr>
          <w:p>
            <w:pPr>
              <w:adjustRightInd w:val="0"/>
              <w:snapToGrid w:val="0"/>
              <w:jc w:val="center"/>
              <w:rPr>
                <w:rFonts w:hint="eastAsia" w:ascii="宋体" w:hAnsi="宋体" w:eastAsia="宋体" w:cs="宋体"/>
                <w:color w:val="auto"/>
                <w:sz w:val="24"/>
              </w:rPr>
            </w:pPr>
          </w:p>
        </w:tc>
        <w:tc>
          <w:tcPr>
            <w:tcW w:w="1701" w:type="dxa"/>
            <w:vAlign w:val="center"/>
          </w:tcPr>
          <w:p>
            <w:pPr>
              <w:adjustRightInd w:val="0"/>
              <w:snapToGrid w:val="0"/>
              <w:jc w:val="center"/>
              <w:rPr>
                <w:rFonts w:hint="eastAsia" w:ascii="宋体" w:hAnsi="宋体" w:eastAsia="宋体" w:cs="宋体"/>
                <w:color w:val="auto"/>
                <w:sz w:val="24"/>
              </w:rPr>
            </w:pPr>
          </w:p>
        </w:tc>
        <w:tc>
          <w:tcPr>
            <w:tcW w:w="1134"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187" w:type="dxa"/>
            <w:vAlign w:val="center"/>
          </w:tcPr>
          <w:p>
            <w:pPr>
              <w:adjustRightInd w:val="0"/>
              <w:snapToGrid w:val="0"/>
              <w:ind w:left="-88" w:leftChars="-42"/>
              <w:jc w:val="center"/>
              <w:rPr>
                <w:rFonts w:hint="eastAsia" w:ascii="宋体" w:hAnsi="宋体" w:eastAsia="宋体" w:cs="宋体"/>
                <w:color w:val="auto"/>
                <w:sz w:val="24"/>
              </w:rPr>
            </w:pPr>
          </w:p>
        </w:tc>
        <w:tc>
          <w:tcPr>
            <w:tcW w:w="1559" w:type="dxa"/>
            <w:tcBorders>
              <w:right w:val="single" w:color="auto" w:sz="4" w:space="0"/>
            </w:tcBorders>
            <w:vAlign w:val="center"/>
          </w:tcPr>
          <w:p>
            <w:pPr>
              <w:adjustRightInd w:val="0"/>
              <w:snapToGrid w:val="0"/>
              <w:jc w:val="center"/>
              <w:rPr>
                <w:rFonts w:hint="eastAsia" w:ascii="宋体" w:hAnsi="宋体" w:eastAsia="宋体" w:cs="宋体"/>
                <w:color w:val="auto"/>
                <w:sz w:val="24"/>
              </w:rPr>
            </w:pPr>
          </w:p>
        </w:tc>
        <w:tc>
          <w:tcPr>
            <w:tcW w:w="1560" w:type="dxa"/>
            <w:tcBorders>
              <w:left w:val="single" w:color="auto" w:sz="4" w:space="0"/>
            </w:tcBorders>
            <w:vAlign w:val="center"/>
          </w:tcPr>
          <w:p>
            <w:pPr>
              <w:adjustRightInd w:val="0"/>
              <w:snapToGrid w:val="0"/>
              <w:jc w:val="center"/>
              <w:rPr>
                <w:rFonts w:hint="eastAsia" w:ascii="宋体" w:hAnsi="宋体" w:eastAsia="宋体" w:cs="宋体"/>
                <w:color w:val="auto"/>
                <w:sz w:val="24"/>
              </w:rPr>
            </w:pPr>
          </w:p>
        </w:tc>
        <w:tc>
          <w:tcPr>
            <w:tcW w:w="1701" w:type="dxa"/>
            <w:vAlign w:val="center"/>
          </w:tcPr>
          <w:p>
            <w:pPr>
              <w:adjustRightInd w:val="0"/>
              <w:snapToGrid w:val="0"/>
              <w:jc w:val="center"/>
              <w:rPr>
                <w:rFonts w:hint="eastAsia" w:ascii="宋体" w:hAnsi="宋体" w:eastAsia="宋体" w:cs="宋体"/>
                <w:color w:val="auto"/>
                <w:sz w:val="24"/>
              </w:rPr>
            </w:pPr>
          </w:p>
        </w:tc>
        <w:tc>
          <w:tcPr>
            <w:tcW w:w="1134"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187" w:type="dxa"/>
            <w:vAlign w:val="center"/>
          </w:tcPr>
          <w:p>
            <w:pPr>
              <w:adjustRightInd w:val="0"/>
              <w:snapToGrid w:val="0"/>
              <w:ind w:left="-88" w:leftChars="-42"/>
              <w:jc w:val="center"/>
              <w:rPr>
                <w:rFonts w:hint="eastAsia" w:ascii="宋体" w:hAnsi="宋体" w:eastAsia="宋体" w:cs="宋体"/>
                <w:color w:val="auto"/>
                <w:sz w:val="24"/>
              </w:rPr>
            </w:pPr>
          </w:p>
        </w:tc>
        <w:tc>
          <w:tcPr>
            <w:tcW w:w="1559" w:type="dxa"/>
            <w:tcBorders>
              <w:right w:val="single" w:color="auto" w:sz="4" w:space="0"/>
            </w:tcBorders>
            <w:vAlign w:val="center"/>
          </w:tcPr>
          <w:p>
            <w:pPr>
              <w:adjustRightInd w:val="0"/>
              <w:snapToGrid w:val="0"/>
              <w:jc w:val="center"/>
              <w:rPr>
                <w:rFonts w:hint="eastAsia" w:ascii="宋体" w:hAnsi="宋体" w:eastAsia="宋体" w:cs="宋体"/>
                <w:color w:val="auto"/>
                <w:sz w:val="24"/>
              </w:rPr>
            </w:pPr>
          </w:p>
        </w:tc>
        <w:tc>
          <w:tcPr>
            <w:tcW w:w="1560" w:type="dxa"/>
            <w:tcBorders>
              <w:left w:val="single" w:color="auto" w:sz="4" w:space="0"/>
            </w:tcBorders>
            <w:vAlign w:val="center"/>
          </w:tcPr>
          <w:p>
            <w:pPr>
              <w:adjustRightInd w:val="0"/>
              <w:snapToGrid w:val="0"/>
              <w:jc w:val="center"/>
              <w:rPr>
                <w:rFonts w:hint="eastAsia" w:ascii="宋体" w:hAnsi="宋体" w:eastAsia="宋体" w:cs="宋体"/>
                <w:color w:val="auto"/>
                <w:sz w:val="24"/>
              </w:rPr>
            </w:pPr>
          </w:p>
        </w:tc>
        <w:tc>
          <w:tcPr>
            <w:tcW w:w="1701" w:type="dxa"/>
            <w:vAlign w:val="center"/>
          </w:tcPr>
          <w:p>
            <w:pPr>
              <w:adjustRightInd w:val="0"/>
              <w:snapToGrid w:val="0"/>
              <w:jc w:val="center"/>
              <w:rPr>
                <w:rFonts w:hint="eastAsia" w:ascii="宋体" w:hAnsi="宋体" w:eastAsia="宋体" w:cs="宋体"/>
                <w:color w:val="auto"/>
                <w:sz w:val="24"/>
              </w:rPr>
            </w:pPr>
          </w:p>
        </w:tc>
        <w:tc>
          <w:tcPr>
            <w:tcW w:w="1134"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187" w:type="dxa"/>
            <w:vAlign w:val="center"/>
          </w:tcPr>
          <w:p>
            <w:pPr>
              <w:adjustRightInd w:val="0"/>
              <w:snapToGrid w:val="0"/>
              <w:ind w:left="-88" w:leftChars="-42"/>
              <w:jc w:val="center"/>
              <w:rPr>
                <w:rFonts w:hint="eastAsia" w:ascii="宋体" w:hAnsi="宋体" w:eastAsia="宋体" w:cs="宋体"/>
                <w:color w:val="auto"/>
                <w:sz w:val="24"/>
              </w:rPr>
            </w:pPr>
          </w:p>
        </w:tc>
        <w:tc>
          <w:tcPr>
            <w:tcW w:w="1559" w:type="dxa"/>
            <w:tcBorders>
              <w:right w:val="single" w:color="auto" w:sz="4" w:space="0"/>
            </w:tcBorders>
            <w:vAlign w:val="center"/>
          </w:tcPr>
          <w:p>
            <w:pPr>
              <w:adjustRightInd w:val="0"/>
              <w:snapToGrid w:val="0"/>
              <w:jc w:val="center"/>
              <w:rPr>
                <w:rFonts w:hint="eastAsia" w:ascii="宋体" w:hAnsi="宋体" w:eastAsia="宋体" w:cs="宋体"/>
                <w:color w:val="auto"/>
                <w:sz w:val="24"/>
              </w:rPr>
            </w:pPr>
          </w:p>
        </w:tc>
        <w:tc>
          <w:tcPr>
            <w:tcW w:w="1560" w:type="dxa"/>
            <w:tcBorders>
              <w:left w:val="single" w:color="auto" w:sz="4" w:space="0"/>
            </w:tcBorders>
            <w:vAlign w:val="center"/>
          </w:tcPr>
          <w:p>
            <w:pPr>
              <w:adjustRightInd w:val="0"/>
              <w:snapToGrid w:val="0"/>
              <w:jc w:val="center"/>
              <w:rPr>
                <w:rFonts w:hint="eastAsia" w:ascii="宋体" w:hAnsi="宋体" w:eastAsia="宋体" w:cs="宋体"/>
                <w:color w:val="auto"/>
                <w:sz w:val="24"/>
              </w:rPr>
            </w:pPr>
          </w:p>
        </w:tc>
        <w:tc>
          <w:tcPr>
            <w:tcW w:w="1701" w:type="dxa"/>
            <w:vAlign w:val="center"/>
          </w:tcPr>
          <w:p>
            <w:pPr>
              <w:adjustRightInd w:val="0"/>
              <w:snapToGrid w:val="0"/>
              <w:jc w:val="center"/>
              <w:rPr>
                <w:rFonts w:hint="eastAsia" w:ascii="宋体" w:hAnsi="宋体" w:eastAsia="宋体" w:cs="宋体"/>
                <w:color w:val="auto"/>
                <w:sz w:val="24"/>
              </w:rPr>
            </w:pPr>
          </w:p>
        </w:tc>
        <w:tc>
          <w:tcPr>
            <w:tcW w:w="1134"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187" w:type="dxa"/>
            <w:vAlign w:val="center"/>
          </w:tcPr>
          <w:p>
            <w:pPr>
              <w:adjustRightInd w:val="0"/>
              <w:snapToGrid w:val="0"/>
              <w:ind w:left="-88" w:leftChars="-42"/>
              <w:jc w:val="center"/>
              <w:rPr>
                <w:rFonts w:hint="eastAsia" w:ascii="宋体" w:hAnsi="宋体" w:eastAsia="宋体" w:cs="宋体"/>
                <w:color w:val="auto"/>
                <w:sz w:val="24"/>
              </w:rPr>
            </w:pPr>
          </w:p>
        </w:tc>
        <w:tc>
          <w:tcPr>
            <w:tcW w:w="1559" w:type="dxa"/>
            <w:tcBorders>
              <w:right w:val="single" w:color="auto" w:sz="4" w:space="0"/>
            </w:tcBorders>
            <w:vAlign w:val="center"/>
          </w:tcPr>
          <w:p>
            <w:pPr>
              <w:adjustRightInd w:val="0"/>
              <w:snapToGrid w:val="0"/>
              <w:jc w:val="center"/>
              <w:rPr>
                <w:rFonts w:hint="eastAsia" w:ascii="宋体" w:hAnsi="宋体" w:eastAsia="宋体" w:cs="宋体"/>
                <w:color w:val="auto"/>
                <w:sz w:val="24"/>
              </w:rPr>
            </w:pPr>
          </w:p>
        </w:tc>
        <w:tc>
          <w:tcPr>
            <w:tcW w:w="1560" w:type="dxa"/>
            <w:tcBorders>
              <w:left w:val="single" w:color="auto" w:sz="4" w:space="0"/>
            </w:tcBorders>
            <w:vAlign w:val="center"/>
          </w:tcPr>
          <w:p>
            <w:pPr>
              <w:adjustRightInd w:val="0"/>
              <w:snapToGrid w:val="0"/>
              <w:jc w:val="center"/>
              <w:rPr>
                <w:rFonts w:hint="eastAsia" w:ascii="宋体" w:hAnsi="宋体" w:eastAsia="宋体" w:cs="宋体"/>
                <w:color w:val="auto"/>
                <w:sz w:val="24"/>
              </w:rPr>
            </w:pPr>
          </w:p>
        </w:tc>
        <w:tc>
          <w:tcPr>
            <w:tcW w:w="1701" w:type="dxa"/>
            <w:vAlign w:val="center"/>
          </w:tcPr>
          <w:p>
            <w:pPr>
              <w:adjustRightInd w:val="0"/>
              <w:snapToGrid w:val="0"/>
              <w:jc w:val="center"/>
              <w:rPr>
                <w:rFonts w:hint="eastAsia" w:ascii="宋体" w:hAnsi="宋体" w:eastAsia="宋体" w:cs="宋体"/>
                <w:color w:val="auto"/>
                <w:sz w:val="24"/>
              </w:rPr>
            </w:pPr>
          </w:p>
        </w:tc>
        <w:tc>
          <w:tcPr>
            <w:tcW w:w="1134"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187" w:type="dxa"/>
            <w:vAlign w:val="center"/>
          </w:tcPr>
          <w:p>
            <w:pPr>
              <w:adjustRightInd w:val="0"/>
              <w:snapToGrid w:val="0"/>
              <w:ind w:left="-88" w:leftChars="-42"/>
              <w:jc w:val="center"/>
              <w:rPr>
                <w:rFonts w:hint="eastAsia" w:ascii="宋体" w:hAnsi="宋体" w:eastAsia="宋体" w:cs="宋体"/>
                <w:color w:val="auto"/>
                <w:sz w:val="24"/>
              </w:rPr>
            </w:pPr>
          </w:p>
        </w:tc>
        <w:tc>
          <w:tcPr>
            <w:tcW w:w="1559" w:type="dxa"/>
            <w:tcBorders>
              <w:right w:val="single" w:color="auto" w:sz="4" w:space="0"/>
            </w:tcBorders>
            <w:vAlign w:val="center"/>
          </w:tcPr>
          <w:p>
            <w:pPr>
              <w:adjustRightInd w:val="0"/>
              <w:snapToGrid w:val="0"/>
              <w:jc w:val="center"/>
              <w:rPr>
                <w:rFonts w:hint="eastAsia" w:ascii="宋体" w:hAnsi="宋体" w:eastAsia="宋体" w:cs="宋体"/>
                <w:color w:val="auto"/>
                <w:sz w:val="24"/>
              </w:rPr>
            </w:pPr>
          </w:p>
        </w:tc>
        <w:tc>
          <w:tcPr>
            <w:tcW w:w="1560" w:type="dxa"/>
            <w:tcBorders>
              <w:left w:val="single" w:color="auto" w:sz="4" w:space="0"/>
            </w:tcBorders>
            <w:vAlign w:val="center"/>
          </w:tcPr>
          <w:p>
            <w:pPr>
              <w:adjustRightInd w:val="0"/>
              <w:snapToGrid w:val="0"/>
              <w:jc w:val="center"/>
              <w:rPr>
                <w:rFonts w:hint="eastAsia" w:ascii="宋体" w:hAnsi="宋体" w:eastAsia="宋体" w:cs="宋体"/>
                <w:color w:val="auto"/>
                <w:sz w:val="24"/>
              </w:rPr>
            </w:pPr>
          </w:p>
        </w:tc>
        <w:tc>
          <w:tcPr>
            <w:tcW w:w="1701" w:type="dxa"/>
            <w:vAlign w:val="center"/>
          </w:tcPr>
          <w:p>
            <w:pPr>
              <w:adjustRightInd w:val="0"/>
              <w:snapToGrid w:val="0"/>
              <w:jc w:val="center"/>
              <w:rPr>
                <w:rFonts w:hint="eastAsia" w:ascii="宋体" w:hAnsi="宋体" w:eastAsia="宋体" w:cs="宋体"/>
                <w:color w:val="auto"/>
                <w:sz w:val="24"/>
              </w:rPr>
            </w:pPr>
          </w:p>
        </w:tc>
        <w:tc>
          <w:tcPr>
            <w:tcW w:w="1134"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8</w:t>
            </w:r>
          </w:p>
        </w:tc>
        <w:tc>
          <w:tcPr>
            <w:tcW w:w="2187" w:type="dxa"/>
            <w:vAlign w:val="center"/>
          </w:tcPr>
          <w:p>
            <w:pPr>
              <w:adjustRightInd w:val="0"/>
              <w:snapToGrid w:val="0"/>
              <w:ind w:left="-88" w:leftChars="-42"/>
              <w:jc w:val="center"/>
              <w:rPr>
                <w:rFonts w:hint="eastAsia" w:ascii="宋体" w:hAnsi="宋体" w:eastAsia="宋体" w:cs="宋体"/>
                <w:color w:val="auto"/>
                <w:sz w:val="24"/>
              </w:rPr>
            </w:pPr>
          </w:p>
        </w:tc>
        <w:tc>
          <w:tcPr>
            <w:tcW w:w="1559" w:type="dxa"/>
            <w:tcBorders>
              <w:right w:val="single" w:color="auto" w:sz="4" w:space="0"/>
            </w:tcBorders>
            <w:vAlign w:val="center"/>
          </w:tcPr>
          <w:p>
            <w:pPr>
              <w:adjustRightInd w:val="0"/>
              <w:snapToGrid w:val="0"/>
              <w:jc w:val="center"/>
              <w:rPr>
                <w:rFonts w:hint="eastAsia" w:ascii="宋体" w:hAnsi="宋体" w:eastAsia="宋体" w:cs="宋体"/>
                <w:color w:val="auto"/>
                <w:sz w:val="24"/>
              </w:rPr>
            </w:pPr>
          </w:p>
        </w:tc>
        <w:tc>
          <w:tcPr>
            <w:tcW w:w="1560" w:type="dxa"/>
            <w:tcBorders>
              <w:left w:val="single" w:color="auto" w:sz="4" w:space="0"/>
            </w:tcBorders>
            <w:vAlign w:val="center"/>
          </w:tcPr>
          <w:p>
            <w:pPr>
              <w:adjustRightInd w:val="0"/>
              <w:snapToGrid w:val="0"/>
              <w:jc w:val="center"/>
              <w:rPr>
                <w:rFonts w:hint="eastAsia" w:ascii="宋体" w:hAnsi="宋体" w:eastAsia="宋体" w:cs="宋体"/>
                <w:color w:val="auto"/>
                <w:sz w:val="24"/>
              </w:rPr>
            </w:pPr>
          </w:p>
        </w:tc>
        <w:tc>
          <w:tcPr>
            <w:tcW w:w="1701" w:type="dxa"/>
            <w:vAlign w:val="center"/>
          </w:tcPr>
          <w:p>
            <w:pPr>
              <w:adjustRightInd w:val="0"/>
              <w:snapToGrid w:val="0"/>
              <w:jc w:val="center"/>
              <w:rPr>
                <w:rFonts w:hint="eastAsia" w:ascii="宋体" w:hAnsi="宋体" w:eastAsia="宋体" w:cs="宋体"/>
                <w:color w:val="auto"/>
                <w:sz w:val="24"/>
              </w:rPr>
            </w:pPr>
          </w:p>
        </w:tc>
        <w:tc>
          <w:tcPr>
            <w:tcW w:w="1134" w:type="dxa"/>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2187" w:type="dxa"/>
            <w:vAlign w:val="center"/>
          </w:tcPr>
          <w:p>
            <w:pPr>
              <w:adjustRightInd w:val="0"/>
              <w:snapToGrid w:val="0"/>
              <w:ind w:left="-88" w:leftChars="-42"/>
              <w:jc w:val="center"/>
              <w:rPr>
                <w:rFonts w:hint="eastAsia" w:ascii="宋体" w:hAnsi="宋体" w:eastAsia="宋体" w:cs="宋体"/>
                <w:color w:val="auto"/>
                <w:sz w:val="24"/>
              </w:rPr>
            </w:pPr>
          </w:p>
        </w:tc>
        <w:tc>
          <w:tcPr>
            <w:tcW w:w="1559" w:type="dxa"/>
            <w:tcBorders>
              <w:right w:val="single" w:color="auto" w:sz="4" w:space="0"/>
            </w:tcBorders>
            <w:vAlign w:val="center"/>
          </w:tcPr>
          <w:p>
            <w:pPr>
              <w:adjustRightInd w:val="0"/>
              <w:snapToGrid w:val="0"/>
              <w:jc w:val="center"/>
              <w:rPr>
                <w:rFonts w:hint="eastAsia" w:ascii="宋体" w:hAnsi="宋体" w:eastAsia="宋体" w:cs="宋体"/>
                <w:color w:val="auto"/>
                <w:sz w:val="24"/>
              </w:rPr>
            </w:pPr>
          </w:p>
        </w:tc>
        <w:tc>
          <w:tcPr>
            <w:tcW w:w="1560" w:type="dxa"/>
            <w:tcBorders>
              <w:left w:val="single" w:color="auto" w:sz="4" w:space="0"/>
            </w:tcBorders>
            <w:vAlign w:val="center"/>
          </w:tcPr>
          <w:p>
            <w:pPr>
              <w:adjustRightInd w:val="0"/>
              <w:snapToGrid w:val="0"/>
              <w:jc w:val="center"/>
              <w:rPr>
                <w:rFonts w:hint="eastAsia" w:ascii="宋体" w:hAnsi="宋体" w:eastAsia="宋体" w:cs="宋体"/>
                <w:color w:val="auto"/>
                <w:sz w:val="24"/>
              </w:rPr>
            </w:pPr>
          </w:p>
        </w:tc>
        <w:tc>
          <w:tcPr>
            <w:tcW w:w="1701" w:type="dxa"/>
            <w:vAlign w:val="center"/>
          </w:tcPr>
          <w:p>
            <w:pPr>
              <w:adjustRightInd w:val="0"/>
              <w:snapToGrid w:val="0"/>
              <w:jc w:val="center"/>
              <w:rPr>
                <w:rFonts w:hint="eastAsia" w:ascii="宋体" w:hAnsi="宋体" w:eastAsia="宋体" w:cs="宋体"/>
                <w:color w:val="auto"/>
                <w:sz w:val="24"/>
              </w:rPr>
            </w:pPr>
          </w:p>
        </w:tc>
        <w:tc>
          <w:tcPr>
            <w:tcW w:w="1134" w:type="dxa"/>
            <w:vAlign w:val="center"/>
          </w:tcPr>
          <w:p>
            <w:pPr>
              <w:adjustRightInd w:val="0"/>
              <w:snapToGrid w:val="0"/>
              <w:jc w:val="center"/>
              <w:rPr>
                <w:rFonts w:hint="eastAsia" w:ascii="宋体" w:hAnsi="宋体" w:eastAsia="宋体" w:cs="宋体"/>
                <w:color w:val="auto"/>
                <w:sz w:val="24"/>
              </w:rPr>
            </w:pPr>
          </w:p>
        </w:tc>
      </w:tr>
    </w:tbl>
    <w:p>
      <w:pPr>
        <w:spacing w:line="240" w:lineRule="atLeast"/>
        <w:ind w:firstLine="480" w:firstLineChars="200"/>
        <w:rPr>
          <w:rFonts w:hint="eastAsia" w:ascii="宋体" w:hAnsi="宋体" w:eastAsia="宋体" w:cs="宋体"/>
          <w:color w:val="auto"/>
        </w:rPr>
      </w:pPr>
      <w:r>
        <w:rPr>
          <w:rFonts w:hint="eastAsia" w:ascii="宋体" w:hAnsi="宋体" w:eastAsia="宋体" w:cs="宋体"/>
          <w:color w:val="auto"/>
          <w:sz w:val="24"/>
        </w:rPr>
        <w:t>说明：提供详细的货物和服务范围，包括货物和服务类别及制造（开发）商、备品备件等。</w:t>
      </w:r>
    </w:p>
    <w:p>
      <w:pPr>
        <w:spacing w:line="500" w:lineRule="exact"/>
        <w:rPr>
          <w:rFonts w:hint="eastAsia" w:ascii="宋体" w:hAnsi="宋体" w:eastAsia="宋体" w:cs="宋体"/>
          <w:color w:val="auto"/>
          <w:sz w:val="24"/>
        </w:rPr>
      </w:pPr>
    </w:p>
    <w:p>
      <w:pPr>
        <w:pStyle w:val="5"/>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pStyle w:val="5"/>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p>
    <w:p>
      <w:pPr>
        <w:pStyle w:val="5"/>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时间：</w:t>
      </w:r>
    </w:p>
    <w:p>
      <w:pPr>
        <w:widowControl/>
        <w:jc w:val="left"/>
        <w:rPr>
          <w:rFonts w:hint="eastAsia" w:ascii="宋体" w:hAnsi="宋体" w:eastAsia="宋体" w:cs="宋体"/>
          <w:color w:val="auto"/>
          <w:sz w:val="32"/>
          <w:szCs w:val="32"/>
        </w:rPr>
      </w:pPr>
    </w:p>
    <w:p>
      <w:pPr>
        <w:widowControl/>
        <w:jc w:val="left"/>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附件4</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资格性符合性检查对照表</w:t>
      </w:r>
    </w:p>
    <w:p>
      <w:pPr>
        <w:spacing w:line="240" w:lineRule="atLeast"/>
        <w:rPr>
          <w:rFonts w:hint="eastAsia" w:ascii="宋体" w:hAnsi="宋体" w:eastAsia="宋体" w:cs="宋体"/>
          <w:color w:val="auto"/>
          <w:sz w:val="24"/>
          <w:szCs w:val="24"/>
          <w:u w:val="single"/>
        </w:rPr>
      </w:pPr>
      <w:r>
        <w:rPr>
          <w:rFonts w:hint="eastAsia" w:ascii="宋体" w:hAnsi="宋体" w:eastAsia="宋体" w:cs="宋体"/>
          <w:color w:val="auto"/>
          <w:sz w:val="24"/>
        </w:rPr>
        <w:t>项目编号（包号）</w:t>
      </w:r>
      <w:r>
        <w:rPr>
          <w:rFonts w:hint="eastAsia" w:ascii="宋体" w:hAnsi="宋体" w:eastAsia="宋体" w:cs="宋体"/>
          <w:color w:val="auto"/>
          <w:sz w:val="24"/>
          <w:szCs w:val="24"/>
        </w:rPr>
        <w:t>：</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417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资格性符合性检查内容</w:t>
            </w:r>
          </w:p>
        </w:tc>
        <w:tc>
          <w:tcPr>
            <w:tcW w:w="1274" w:type="dxa"/>
            <w:vAlign w:val="center"/>
          </w:tcPr>
          <w:p>
            <w:pPr>
              <w:ind w:leftChars="-51" w:hanging="107" w:hangingChars="51"/>
              <w:jc w:val="center"/>
              <w:rPr>
                <w:rFonts w:hint="eastAsia" w:ascii="宋体" w:hAnsi="宋体" w:eastAsia="宋体" w:cs="宋体"/>
                <w:color w:val="auto"/>
                <w:szCs w:val="21"/>
              </w:rPr>
            </w:pPr>
            <w:r>
              <w:rPr>
                <w:rFonts w:hint="eastAsia" w:ascii="宋体" w:hAnsi="宋体" w:eastAsia="宋体" w:cs="宋体"/>
                <w:color w:val="auto"/>
                <w:szCs w:val="21"/>
              </w:rPr>
              <w:t>响应文件响应情况</w:t>
            </w:r>
          </w:p>
        </w:tc>
        <w:tc>
          <w:tcPr>
            <w:tcW w:w="1104" w:type="dxa"/>
            <w:vAlign w:val="center"/>
          </w:tcPr>
          <w:p>
            <w:pPr>
              <w:ind w:leftChars="-51" w:hanging="107" w:hangingChars="51"/>
              <w:jc w:val="center"/>
              <w:rPr>
                <w:rFonts w:hint="eastAsia" w:ascii="宋体" w:hAnsi="宋体" w:eastAsia="宋体" w:cs="宋体"/>
                <w:color w:val="auto"/>
                <w:szCs w:val="21"/>
              </w:rPr>
            </w:pPr>
            <w:r>
              <w:rPr>
                <w:rFonts w:hint="eastAsia" w:ascii="宋体" w:hAnsi="宋体" w:eastAsia="宋体" w:cs="宋体"/>
                <w:color w:val="auto"/>
                <w:szCs w:val="21"/>
              </w:rPr>
              <w:t>偏离情况说明</w:t>
            </w:r>
          </w:p>
        </w:tc>
        <w:tc>
          <w:tcPr>
            <w:tcW w:w="1549" w:type="dxa"/>
            <w:vAlign w:val="center"/>
          </w:tcPr>
          <w:p>
            <w:pPr>
              <w:ind w:leftChars="-51" w:hanging="107" w:hangingChars="51"/>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4175" w:type="dxa"/>
          </w:tcPr>
          <w:p>
            <w:pPr>
              <w:rPr>
                <w:rFonts w:hint="eastAsia" w:ascii="宋体" w:hAnsi="宋体" w:eastAsia="宋体" w:cs="宋体"/>
                <w:color w:val="auto"/>
              </w:rPr>
            </w:pPr>
          </w:p>
        </w:tc>
        <w:tc>
          <w:tcPr>
            <w:tcW w:w="1274" w:type="dxa"/>
          </w:tcPr>
          <w:p>
            <w:pPr>
              <w:jc w:val="center"/>
              <w:rPr>
                <w:rFonts w:hint="eastAsia" w:ascii="宋体" w:hAnsi="宋体" w:eastAsia="宋体" w:cs="宋体"/>
                <w:color w:val="auto"/>
                <w:szCs w:val="21"/>
              </w:rPr>
            </w:pPr>
          </w:p>
        </w:tc>
        <w:tc>
          <w:tcPr>
            <w:tcW w:w="1104" w:type="dxa"/>
          </w:tcPr>
          <w:p>
            <w:pPr>
              <w:jc w:val="center"/>
              <w:rPr>
                <w:rFonts w:hint="eastAsia" w:ascii="宋体" w:hAnsi="宋体" w:eastAsia="宋体" w:cs="宋体"/>
                <w:color w:val="auto"/>
                <w:szCs w:val="21"/>
              </w:rPr>
            </w:pPr>
          </w:p>
        </w:tc>
        <w:tc>
          <w:tcPr>
            <w:tcW w:w="1549" w:type="dxa"/>
            <w:vAlign w:val="center"/>
          </w:tcPr>
          <w:p>
            <w:pPr>
              <w:ind w:leftChars="-50" w:hanging="105" w:hanging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4175" w:type="dxa"/>
          </w:tcPr>
          <w:p>
            <w:pPr>
              <w:rPr>
                <w:rFonts w:hint="eastAsia" w:ascii="宋体" w:hAnsi="宋体" w:eastAsia="宋体" w:cs="宋体"/>
                <w:color w:val="auto"/>
              </w:rPr>
            </w:pPr>
          </w:p>
        </w:tc>
        <w:tc>
          <w:tcPr>
            <w:tcW w:w="1274" w:type="dxa"/>
          </w:tcPr>
          <w:p>
            <w:pPr>
              <w:jc w:val="center"/>
              <w:rPr>
                <w:rFonts w:hint="eastAsia" w:ascii="宋体" w:hAnsi="宋体" w:eastAsia="宋体" w:cs="宋体"/>
                <w:color w:val="auto"/>
                <w:szCs w:val="21"/>
              </w:rPr>
            </w:pPr>
          </w:p>
        </w:tc>
        <w:tc>
          <w:tcPr>
            <w:tcW w:w="1104" w:type="dxa"/>
          </w:tcPr>
          <w:p>
            <w:pPr>
              <w:jc w:val="center"/>
              <w:rPr>
                <w:rFonts w:hint="eastAsia" w:ascii="宋体" w:hAnsi="宋体" w:eastAsia="宋体" w:cs="宋体"/>
                <w:color w:val="auto"/>
                <w:szCs w:val="21"/>
              </w:rPr>
            </w:pPr>
          </w:p>
        </w:tc>
        <w:tc>
          <w:tcPr>
            <w:tcW w:w="1549"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4175" w:type="dxa"/>
          </w:tcPr>
          <w:p>
            <w:pPr>
              <w:rPr>
                <w:rFonts w:hint="eastAsia" w:ascii="宋体" w:hAnsi="宋体" w:eastAsia="宋体" w:cs="宋体"/>
                <w:color w:val="auto"/>
              </w:rPr>
            </w:pPr>
          </w:p>
        </w:tc>
        <w:tc>
          <w:tcPr>
            <w:tcW w:w="1274" w:type="dxa"/>
          </w:tcPr>
          <w:p>
            <w:pPr>
              <w:jc w:val="center"/>
              <w:rPr>
                <w:rFonts w:hint="eastAsia" w:ascii="宋体" w:hAnsi="宋体" w:eastAsia="宋体" w:cs="宋体"/>
                <w:color w:val="auto"/>
                <w:szCs w:val="21"/>
              </w:rPr>
            </w:pPr>
          </w:p>
        </w:tc>
        <w:tc>
          <w:tcPr>
            <w:tcW w:w="1104" w:type="dxa"/>
          </w:tcPr>
          <w:p>
            <w:pPr>
              <w:jc w:val="center"/>
              <w:rPr>
                <w:rFonts w:hint="eastAsia" w:ascii="宋体" w:hAnsi="宋体" w:eastAsia="宋体" w:cs="宋体"/>
                <w:color w:val="auto"/>
                <w:szCs w:val="21"/>
              </w:rPr>
            </w:pPr>
          </w:p>
        </w:tc>
        <w:tc>
          <w:tcPr>
            <w:tcW w:w="1549"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4175" w:type="dxa"/>
          </w:tcPr>
          <w:p>
            <w:pPr>
              <w:rPr>
                <w:rFonts w:hint="eastAsia" w:ascii="宋体" w:hAnsi="宋体" w:eastAsia="宋体" w:cs="宋体"/>
                <w:color w:val="auto"/>
              </w:rPr>
            </w:pPr>
          </w:p>
        </w:tc>
        <w:tc>
          <w:tcPr>
            <w:tcW w:w="1274" w:type="dxa"/>
          </w:tcPr>
          <w:p>
            <w:pPr>
              <w:jc w:val="center"/>
              <w:rPr>
                <w:rFonts w:hint="eastAsia" w:ascii="宋体" w:hAnsi="宋体" w:eastAsia="宋体" w:cs="宋体"/>
                <w:color w:val="auto"/>
                <w:szCs w:val="21"/>
              </w:rPr>
            </w:pPr>
          </w:p>
        </w:tc>
        <w:tc>
          <w:tcPr>
            <w:tcW w:w="1104" w:type="dxa"/>
          </w:tcPr>
          <w:p>
            <w:pPr>
              <w:jc w:val="center"/>
              <w:rPr>
                <w:rFonts w:hint="eastAsia" w:ascii="宋体" w:hAnsi="宋体" w:eastAsia="宋体" w:cs="宋体"/>
                <w:color w:val="auto"/>
                <w:szCs w:val="21"/>
              </w:rPr>
            </w:pPr>
          </w:p>
        </w:tc>
        <w:tc>
          <w:tcPr>
            <w:tcW w:w="1549"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4175" w:type="dxa"/>
          </w:tcPr>
          <w:p>
            <w:pPr>
              <w:rPr>
                <w:rFonts w:hint="eastAsia" w:ascii="宋体" w:hAnsi="宋体" w:eastAsia="宋体" w:cs="宋体"/>
                <w:color w:val="auto"/>
              </w:rPr>
            </w:pPr>
          </w:p>
        </w:tc>
        <w:tc>
          <w:tcPr>
            <w:tcW w:w="1274" w:type="dxa"/>
          </w:tcPr>
          <w:p>
            <w:pPr>
              <w:jc w:val="center"/>
              <w:rPr>
                <w:rFonts w:hint="eastAsia" w:ascii="宋体" w:hAnsi="宋体" w:eastAsia="宋体" w:cs="宋体"/>
                <w:color w:val="auto"/>
                <w:szCs w:val="21"/>
              </w:rPr>
            </w:pPr>
          </w:p>
        </w:tc>
        <w:tc>
          <w:tcPr>
            <w:tcW w:w="1104" w:type="dxa"/>
          </w:tcPr>
          <w:p>
            <w:pPr>
              <w:jc w:val="center"/>
              <w:rPr>
                <w:rFonts w:hint="eastAsia" w:ascii="宋体" w:hAnsi="宋体" w:eastAsia="宋体" w:cs="宋体"/>
                <w:color w:val="auto"/>
                <w:szCs w:val="21"/>
              </w:rPr>
            </w:pPr>
          </w:p>
        </w:tc>
        <w:tc>
          <w:tcPr>
            <w:tcW w:w="1549"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4175" w:type="dxa"/>
          </w:tcPr>
          <w:p>
            <w:pPr>
              <w:rPr>
                <w:rFonts w:hint="eastAsia" w:ascii="宋体" w:hAnsi="宋体" w:eastAsia="宋体" w:cs="宋体"/>
                <w:color w:val="auto"/>
              </w:rPr>
            </w:pPr>
          </w:p>
        </w:tc>
        <w:tc>
          <w:tcPr>
            <w:tcW w:w="1274" w:type="dxa"/>
          </w:tcPr>
          <w:p>
            <w:pPr>
              <w:jc w:val="left"/>
              <w:rPr>
                <w:rFonts w:hint="eastAsia" w:ascii="宋体" w:hAnsi="宋体" w:eastAsia="宋体" w:cs="宋体"/>
                <w:color w:val="auto"/>
                <w:szCs w:val="21"/>
              </w:rPr>
            </w:pPr>
          </w:p>
        </w:tc>
        <w:tc>
          <w:tcPr>
            <w:tcW w:w="1104" w:type="dxa"/>
          </w:tcPr>
          <w:p>
            <w:pPr>
              <w:jc w:val="left"/>
              <w:rPr>
                <w:rFonts w:hint="eastAsia" w:ascii="宋体" w:hAnsi="宋体" w:eastAsia="宋体" w:cs="宋体"/>
                <w:color w:val="auto"/>
                <w:szCs w:val="21"/>
              </w:rPr>
            </w:pPr>
          </w:p>
        </w:tc>
        <w:tc>
          <w:tcPr>
            <w:tcW w:w="1549"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4175" w:type="dxa"/>
          </w:tcPr>
          <w:p>
            <w:pPr>
              <w:rPr>
                <w:rFonts w:hint="eastAsia" w:ascii="宋体" w:hAnsi="宋体" w:eastAsia="宋体" w:cs="宋体"/>
                <w:color w:val="auto"/>
              </w:rPr>
            </w:pPr>
          </w:p>
        </w:tc>
        <w:tc>
          <w:tcPr>
            <w:tcW w:w="1274" w:type="dxa"/>
          </w:tcPr>
          <w:p>
            <w:pPr>
              <w:jc w:val="left"/>
              <w:rPr>
                <w:rFonts w:hint="eastAsia" w:ascii="宋体" w:hAnsi="宋体" w:eastAsia="宋体" w:cs="宋体"/>
                <w:color w:val="auto"/>
                <w:szCs w:val="21"/>
              </w:rPr>
            </w:pPr>
          </w:p>
        </w:tc>
        <w:tc>
          <w:tcPr>
            <w:tcW w:w="1104" w:type="dxa"/>
          </w:tcPr>
          <w:p>
            <w:pPr>
              <w:jc w:val="left"/>
              <w:rPr>
                <w:rFonts w:hint="eastAsia" w:ascii="宋体" w:hAnsi="宋体" w:eastAsia="宋体" w:cs="宋体"/>
                <w:color w:val="auto"/>
                <w:szCs w:val="21"/>
              </w:rPr>
            </w:pPr>
          </w:p>
        </w:tc>
        <w:tc>
          <w:tcPr>
            <w:tcW w:w="1549"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4175" w:type="dxa"/>
          </w:tcPr>
          <w:p>
            <w:pPr>
              <w:rPr>
                <w:rFonts w:hint="eastAsia" w:ascii="宋体" w:hAnsi="宋体" w:eastAsia="宋体" w:cs="宋体"/>
                <w:color w:val="auto"/>
              </w:rPr>
            </w:pPr>
          </w:p>
        </w:tc>
        <w:tc>
          <w:tcPr>
            <w:tcW w:w="1274" w:type="dxa"/>
          </w:tcPr>
          <w:p>
            <w:pPr>
              <w:jc w:val="center"/>
              <w:rPr>
                <w:rFonts w:hint="eastAsia" w:ascii="宋体" w:hAnsi="宋体" w:eastAsia="宋体" w:cs="宋体"/>
                <w:color w:val="auto"/>
                <w:szCs w:val="21"/>
              </w:rPr>
            </w:pPr>
          </w:p>
        </w:tc>
        <w:tc>
          <w:tcPr>
            <w:tcW w:w="1104" w:type="dxa"/>
          </w:tcPr>
          <w:p>
            <w:pPr>
              <w:jc w:val="center"/>
              <w:rPr>
                <w:rFonts w:hint="eastAsia" w:ascii="宋体" w:hAnsi="宋体" w:eastAsia="宋体" w:cs="宋体"/>
                <w:color w:val="auto"/>
                <w:szCs w:val="21"/>
              </w:rPr>
            </w:pPr>
          </w:p>
        </w:tc>
        <w:tc>
          <w:tcPr>
            <w:tcW w:w="1549"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rPr>
                <w:rFonts w:hint="eastAsia" w:ascii="宋体" w:hAnsi="宋体" w:eastAsia="宋体" w:cs="宋体"/>
                <w:color w:val="auto"/>
              </w:rPr>
            </w:pPr>
            <w:r>
              <w:rPr>
                <w:rFonts w:hint="eastAsia" w:ascii="宋体" w:hAnsi="宋体" w:eastAsia="宋体" w:cs="宋体"/>
                <w:color w:val="auto"/>
              </w:rPr>
              <w:t>自评结论</w:t>
            </w:r>
          </w:p>
        </w:tc>
        <w:tc>
          <w:tcPr>
            <w:tcW w:w="1274" w:type="dxa"/>
          </w:tcPr>
          <w:p>
            <w:pPr>
              <w:jc w:val="center"/>
              <w:rPr>
                <w:rFonts w:hint="eastAsia" w:ascii="宋体" w:hAnsi="宋体" w:eastAsia="宋体" w:cs="宋体"/>
                <w:color w:val="auto"/>
                <w:szCs w:val="21"/>
              </w:rPr>
            </w:pPr>
          </w:p>
        </w:tc>
        <w:tc>
          <w:tcPr>
            <w:tcW w:w="1104" w:type="dxa"/>
          </w:tcPr>
          <w:p>
            <w:pPr>
              <w:jc w:val="center"/>
              <w:rPr>
                <w:rFonts w:hint="eastAsia" w:ascii="宋体" w:hAnsi="宋体" w:eastAsia="宋体" w:cs="宋体"/>
                <w:color w:val="auto"/>
                <w:szCs w:val="21"/>
              </w:rPr>
            </w:pPr>
          </w:p>
        </w:tc>
        <w:tc>
          <w:tcPr>
            <w:tcW w:w="1549" w:type="dxa"/>
            <w:vAlign w:val="center"/>
          </w:tcPr>
          <w:p>
            <w:pPr>
              <w:jc w:val="center"/>
              <w:rPr>
                <w:rFonts w:hint="eastAsia" w:ascii="宋体" w:hAnsi="宋体" w:eastAsia="宋体" w:cs="宋体"/>
                <w:color w:val="auto"/>
                <w:szCs w:val="21"/>
              </w:rPr>
            </w:pPr>
          </w:p>
        </w:tc>
      </w:tr>
    </w:tbl>
    <w:p>
      <w:pPr>
        <w:spacing w:line="240" w:lineRule="atLeast"/>
        <w:outlineLvl w:val="0"/>
        <w:rPr>
          <w:rFonts w:hint="eastAsia" w:ascii="宋体" w:hAnsi="宋体" w:eastAsia="宋体" w:cs="宋体"/>
          <w:color w:val="auto"/>
          <w:szCs w:val="21"/>
        </w:rPr>
      </w:pPr>
      <w:bookmarkStart w:id="23" w:name="_Toc25561"/>
      <w:bookmarkStart w:id="24" w:name="_Toc1461"/>
      <w:r>
        <w:rPr>
          <w:rFonts w:hint="eastAsia" w:ascii="宋体" w:hAnsi="宋体" w:eastAsia="宋体" w:cs="宋体"/>
          <w:color w:val="auto"/>
          <w:szCs w:val="21"/>
        </w:rPr>
        <w:t>说明：1. 备注栏中应提供相关内容在响应文件中的页码。</w:t>
      </w:r>
      <w:bookmarkEnd w:id="23"/>
      <w:bookmarkEnd w:id="24"/>
    </w:p>
    <w:p>
      <w:pPr>
        <w:spacing w:line="240" w:lineRule="atLeast"/>
        <w:ind w:left="945" w:leftChars="300" w:hanging="315" w:hangingChars="150"/>
        <w:rPr>
          <w:rFonts w:hint="eastAsia" w:ascii="宋体" w:hAnsi="宋体" w:eastAsia="宋体" w:cs="宋体"/>
          <w:color w:val="auto"/>
          <w:szCs w:val="21"/>
        </w:rPr>
      </w:pPr>
      <w:r>
        <w:rPr>
          <w:rFonts w:hint="eastAsia" w:ascii="宋体" w:hAnsi="宋体" w:eastAsia="宋体" w:cs="宋体"/>
          <w:color w:val="auto"/>
          <w:szCs w:val="21"/>
        </w:rPr>
        <w:t>2. 应对照磋商文件的要求，说明所提供服务已对磋商文件的服务要求做出了实质性的响应，</w:t>
      </w:r>
      <w:r>
        <w:rPr>
          <w:rFonts w:hint="eastAsia" w:ascii="宋体" w:hAnsi="宋体" w:eastAsia="宋体" w:cs="宋体"/>
          <w:color w:val="auto"/>
          <w:sz w:val="24"/>
          <w:szCs w:val="24"/>
        </w:rPr>
        <w:t>并</w:t>
      </w:r>
      <w:r>
        <w:rPr>
          <w:rFonts w:hint="eastAsia" w:ascii="宋体" w:hAnsi="宋体" w:eastAsia="宋体" w:cs="宋体"/>
          <w:color w:val="auto"/>
          <w:sz w:val="24"/>
        </w:rPr>
        <w:t>说明</w:t>
      </w:r>
      <w:r>
        <w:rPr>
          <w:rFonts w:hint="eastAsia" w:ascii="宋体" w:hAnsi="宋体" w:eastAsia="宋体" w:cs="宋体"/>
          <w:color w:val="auto"/>
          <w:sz w:val="24"/>
          <w:szCs w:val="24"/>
        </w:rPr>
        <w:t>响应</w:t>
      </w:r>
      <w:r>
        <w:rPr>
          <w:rFonts w:hint="eastAsia" w:ascii="宋体" w:hAnsi="宋体" w:eastAsia="宋体" w:cs="宋体"/>
          <w:color w:val="auto"/>
          <w:sz w:val="24"/>
        </w:rPr>
        <w:t>情况</w:t>
      </w:r>
      <w:r>
        <w:rPr>
          <w:rFonts w:hint="eastAsia" w:ascii="宋体" w:hAnsi="宋体" w:eastAsia="宋体" w:cs="宋体"/>
          <w:color w:val="auto"/>
          <w:szCs w:val="21"/>
        </w:rPr>
        <w:t>。如果仅注明“符合”、“满足”或简单复制磋商文件要求，将导致响应文件无效。</w:t>
      </w:r>
    </w:p>
    <w:p>
      <w:pPr>
        <w:spacing w:line="440" w:lineRule="exact"/>
        <w:rPr>
          <w:rFonts w:hint="eastAsia" w:ascii="宋体" w:hAnsi="宋体" w:eastAsia="宋体" w:cs="宋体"/>
          <w:color w:val="auto"/>
          <w:sz w:val="24"/>
          <w:szCs w:val="24"/>
        </w:rPr>
      </w:pPr>
    </w:p>
    <w:p>
      <w:pPr>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时间：</w:t>
      </w:r>
    </w:p>
    <w:p>
      <w:pPr>
        <w:widowControl/>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25" w:name="_Toc30302"/>
      <w:bookmarkStart w:id="26" w:name="_Toc4583"/>
      <w:r>
        <w:rPr>
          <w:rFonts w:hint="eastAsia" w:ascii="宋体" w:hAnsi="宋体" w:eastAsia="宋体" w:cs="宋体"/>
          <w:color w:val="auto"/>
          <w:sz w:val="24"/>
          <w:szCs w:val="24"/>
        </w:rPr>
        <w:t>附件5</w:t>
      </w:r>
      <w:bookmarkEnd w:id="25"/>
      <w:bookmarkEnd w:id="26"/>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技术响应、偏离情况说明表</w:t>
      </w:r>
    </w:p>
    <w:p>
      <w:pPr>
        <w:spacing w:line="240" w:lineRule="atLeast"/>
        <w:rPr>
          <w:rFonts w:hint="eastAsia" w:ascii="宋体" w:hAnsi="宋体" w:eastAsia="宋体" w:cs="宋体"/>
          <w:color w:val="auto"/>
          <w:sz w:val="24"/>
          <w:szCs w:val="24"/>
          <w:u w:val="single"/>
        </w:rPr>
      </w:pPr>
      <w:r>
        <w:rPr>
          <w:rFonts w:hint="eastAsia" w:ascii="宋体" w:hAnsi="宋体" w:eastAsia="宋体" w:cs="宋体"/>
          <w:color w:val="auto"/>
          <w:sz w:val="24"/>
          <w:szCs w:val="24"/>
        </w:rPr>
        <w:t>项目编号（包号）：</w:t>
      </w:r>
    </w:p>
    <w:p>
      <w:pPr>
        <w:rPr>
          <w:rFonts w:hint="eastAsia" w:ascii="宋体" w:hAnsi="宋体" w:eastAsia="宋体" w:cs="宋体"/>
          <w:bCs/>
          <w:color w:val="auto"/>
          <w:sz w:val="24"/>
          <w:szCs w:val="24"/>
        </w:rPr>
      </w:pPr>
      <w:r>
        <w:rPr>
          <w:rFonts w:hint="eastAsia" w:ascii="宋体" w:hAnsi="宋体" w:eastAsia="宋体" w:cs="宋体"/>
          <w:color w:val="auto"/>
          <w:sz w:val="24"/>
          <w:szCs w:val="24"/>
        </w:rPr>
        <w:t>项目名称：</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磋商文件要求</w:t>
            </w:r>
          </w:p>
        </w:tc>
        <w:tc>
          <w:tcPr>
            <w:tcW w:w="1281" w:type="dxa"/>
            <w:vAlign w:val="center"/>
          </w:tcPr>
          <w:p>
            <w:pPr>
              <w:ind w:left="-109" w:leftChars="-52" w:right="-107" w:rightChars="-51"/>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响应文件响应情况</w:t>
            </w:r>
          </w:p>
        </w:tc>
        <w:tc>
          <w:tcPr>
            <w:tcW w:w="85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c>
          <w:tcPr>
            <w:tcW w:w="1637"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hint="eastAsia" w:ascii="宋体" w:hAnsi="宋体" w:eastAsia="宋体" w:cs="宋体"/>
                <w:color w:val="auto"/>
              </w:rPr>
            </w:pP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hint="eastAsia" w:ascii="宋体" w:hAnsi="宋体" w:eastAsia="宋体" w:cs="宋体"/>
                <w:color w:val="auto"/>
              </w:rPr>
            </w:pPr>
            <w:r>
              <w:rPr>
                <w:rFonts w:hint="eastAsia" w:ascii="宋体" w:hAnsi="宋体" w:eastAsia="宋体" w:cs="宋体"/>
                <w:color w:val="auto"/>
              </w:rPr>
              <w:t>自评结论</w:t>
            </w:r>
          </w:p>
        </w:tc>
        <w:tc>
          <w:tcPr>
            <w:tcW w:w="1281" w:type="dxa"/>
          </w:tcPr>
          <w:p>
            <w:pPr>
              <w:rPr>
                <w:rFonts w:hint="eastAsia" w:ascii="宋体" w:hAnsi="宋体" w:eastAsia="宋体" w:cs="宋体"/>
                <w:color w:val="auto"/>
                <w:sz w:val="24"/>
                <w:szCs w:val="24"/>
              </w:rPr>
            </w:pPr>
          </w:p>
        </w:tc>
        <w:tc>
          <w:tcPr>
            <w:tcW w:w="853" w:type="dxa"/>
          </w:tcPr>
          <w:p>
            <w:pPr>
              <w:rPr>
                <w:rFonts w:hint="eastAsia" w:ascii="宋体" w:hAnsi="宋体" w:eastAsia="宋体" w:cs="宋体"/>
                <w:color w:val="auto"/>
                <w:sz w:val="24"/>
                <w:szCs w:val="24"/>
              </w:rPr>
            </w:pPr>
          </w:p>
        </w:tc>
        <w:tc>
          <w:tcPr>
            <w:tcW w:w="1637" w:type="dxa"/>
          </w:tcPr>
          <w:p>
            <w:pPr>
              <w:rPr>
                <w:rFonts w:hint="eastAsia" w:ascii="宋体" w:hAnsi="宋体" w:eastAsia="宋体" w:cs="宋体"/>
                <w:color w:val="auto"/>
                <w:sz w:val="24"/>
                <w:szCs w:val="24"/>
              </w:rPr>
            </w:pPr>
          </w:p>
        </w:tc>
      </w:tr>
    </w:tbl>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备注栏中应提供相关内容在响应文件中的页码。</w:t>
      </w:r>
    </w:p>
    <w:p>
      <w:pPr>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2. 应对照磋商文件的要求，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500" w:lineRule="exact"/>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授权代表（签字）：</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时间：</w:t>
      </w:r>
    </w:p>
    <w:p>
      <w:pPr>
        <w:spacing w:line="500" w:lineRule="exact"/>
        <w:rPr>
          <w:rFonts w:hint="eastAsia" w:ascii="宋体" w:hAnsi="宋体" w:eastAsia="宋体" w:cs="宋体"/>
          <w:color w:val="auto"/>
          <w:sz w:val="24"/>
          <w:szCs w:val="24"/>
        </w:rPr>
      </w:pP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adjustRightInd w:val="0"/>
        <w:snapToGrid w:val="0"/>
        <w:spacing w:line="300" w:lineRule="auto"/>
        <w:outlineLvl w:val="0"/>
        <w:rPr>
          <w:rFonts w:hint="eastAsia" w:ascii="宋体" w:hAnsi="宋体" w:eastAsia="宋体" w:cs="宋体"/>
          <w:b/>
          <w:bCs/>
          <w:color w:val="auto"/>
          <w:sz w:val="24"/>
          <w:szCs w:val="24"/>
        </w:rPr>
      </w:pPr>
      <w:bookmarkStart w:id="27" w:name="_Toc28164"/>
      <w:bookmarkStart w:id="28" w:name="_Toc754"/>
      <w:r>
        <w:rPr>
          <w:rFonts w:hint="eastAsia" w:ascii="宋体" w:hAnsi="宋体" w:eastAsia="宋体" w:cs="宋体"/>
          <w:bCs/>
          <w:color w:val="auto"/>
          <w:sz w:val="24"/>
          <w:szCs w:val="24"/>
        </w:rPr>
        <w:t>附件6</w:t>
      </w:r>
      <w:bookmarkEnd w:id="27"/>
      <w:bookmarkEnd w:id="28"/>
    </w:p>
    <w:p>
      <w:pPr>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合同草案条款响应、偏离情况说明表</w:t>
      </w:r>
    </w:p>
    <w:p>
      <w:pPr>
        <w:adjustRightInd w:val="0"/>
        <w:snapToGrid w:val="0"/>
        <w:jc w:val="center"/>
        <w:outlineLvl w:val="9"/>
        <w:rPr>
          <w:rFonts w:hint="eastAsia" w:ascii="宋体" w:hAnsi="宋体" w:eastAsia="宋体" w:cs="宋体"/>
          <w:color w:val="auto"/>
          <w:sz w:val="32"/>
          <w:szCs w:val="32"/>
        </w:rPr>
      </w:pPr>
    </w:p>
    <w:p>
      <w:pPr>
        <w:spacing w:line="240" w:lineRule="atLeast"/>
        <w:rPr>
          <w:rFonts w:hint="eastAsia" w:ascii="宋体" w:hAnsi="宋体" w:eastAsia="宋体" w:cs="宋体"/>
          <w:color w:val="auto"/>
          <w:sz w:val="24"/>
          <w:szCs w:val="24"/>
          <w:u w:val="single"/>
        </w:rPr>
      </w:pPr>
      <w:r>
        <w:rPr>
          <w:rFonts w:hint="eastAsia" w:ascii="宋体" w:hAnsi="宋体" w:eastAsia="宋体" w:cs="宋体"/>
          <w:color w:val="auto"/>
          <w:sz w:val="24"/>
          <w:szCs w:val="24"/>
        </w:rPr>
        <w:t>项目编号（包号）：</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2062" w:type="dxa"/>
            <w:vAlign w:val="center"/>
          </w:tcPr>
          <w:p>
            <w:pPr>
              <w:ind w:right="-80" w:rightChars="-38"/>
              <w:jc w:val="center"/>
              <w:rPr>
                <w:rFonts w:hint="eastAsia" w:ascii="宋体" w:hAnsi="宋体" w:eastAsia="宋体" w:cs="宋体"/>
                <w:bCs/>
                <w:color w:val="auto"/>
                <w:sz w:val="24"/>
              </w:rPr>
            </w:pPr>
            <w:r>
              <w:rPr>
                <w:rFonts w:hint="eastAsia" w:ascii="宋体" w:hAnsi="宋体" w:eastAsia="宋体" w:cs="宋体"/>
                <w:bCs/>
                <w:color w:val="auto"/>
                <w:sz w:val="24"/>
              </w:rPr>
              <w:t>磋商文件要求部分</w:t>
            </w:r>
          </w:p>
        </w:tc>
        <w:tc>
          <w:tcPr>
            <w:tcW w:w="2270" w:type="dxa"/>
            <w:vAlign w:val="center"/>
          </w:tcPr>
          <w:p>
            <w:pPr>
              <w:ind w:left="28" w:leftChars="-38" w:right="-80" w:rightChars="-38" w:hanging="108" w:hangingChars="45"/>
              <w:jc w:val="center"/>
              <w:rPr>
                <w:rFonts w:hint="eastAsia" w:ascii="宋体" w:hAnsi="宋体" w:eastAsia="宋体" w:cs="宋体"/>
                <w:bCs/>
                <w:color w:val="auto"/>
                <w:sz w:val="24"/>
              </w:rPr>
            </w:pPr>
            <w:r>
              <w:rPr>
                <w:rFonts w:hint="eastAsia" w:ascii="宋体" w:hAnsi="宋体" w:eastAsia="宋体" w:cs="宋体"/>
                <w:bCs/>
                <w:color w:val="auto"/>
                <w:sz w:val="24"/>
              </w:rPr>
              <w:t>响应文件的响应部分</w:t>
            </w:r>
          </w:p>
        </w:tc>
        <w:tc>
          <w:tcPr>
            <w:tcW w:w="1277"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偏离说明</w:t>
            </w:r>
          </w:p>
        </w:tc>
        <w:tc>
          <w:tcPr>
            <w:tcW w:w="2459"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hint="eastAsia" w:ascii="宋体" w:hAnsi="宋体" w:eastAsia="宋体" w:cs="宋体"/>
                <w:bCs/>
                <w:color w:val="auto"/>
                <w:sz w:val="24"/>
              </w:rPr>
            </w:pPr>
            <w:r>
              <w:rPr>
                <w:rFonts w:hint="eastAsia" w:ascii="宋体" w:hAnsi="宋体" w:eastAsia="宋体" w:cs="宋体"/>
                <w:bCs/>
                <w:color w:val="auto"/>
                <w:sz w:val="24"/>
              </w:rPr>
              <w:t>1</w:t>
            </w:r>
          </w:p>
        </w:tc>
        <w:tc>
          <w:tcPr>
            <w:tcW w:w="2062" w:type="dxa"/>
            <w:vAlign w:val="center"/>
          </w:tcPr>
          <w:p>
            <w:pPr>
              <w:rPr>
                <w:rFonts w:hint="eastAsia" w:ascii="宋体" w:hAnsi="宋体" w:eastAsia="宋体" w:cs="宋体"/>
                <w:bCs/>
                <w:color w:val="auto"/>
                <w:sz w:val="24"/>
              </w:rPr>
            </w:pPr>
          </w:p>
        </w:tc>
        <w:tc>
          <w:tcPr>
            <w:tcW w:w="2270" w:type="dxa"/>
            <w:vAlign w:val="center"/>
          </w:tcPr>
          <w:p>
            <w:pPr>
              <w:rPr>
                <w:rFonts w:hint="eastAsia" w:ascii="宋体" w:hAnsi="宋体" w:eastAsia="宋体" w:cs="宋体"/>
                <w:bCs/>
                <w:color w:val="auto"/>
                <w:sz w:val="24"/>
              </w:rPr>
            </w:pPr>
          </w:p>
        </w:tc>
        <w:tc>
          <w:tcPr>
            <w:tcW w:w="1277" w:type="dxa"/>
            <w:vAlign w:val="center"/>
          </w:tcPr>
          <w:p>
            <w:pPr>
              <w:rPr>
                <w:rFonts w:hint="eastAsia" w:ascii="宋体" w:hAnsi="宋体" w:eastAsia="宋体" w:cs="宋体"/>
                <w:bCs/>
                <w:color w:val="auto"/>
                <w:sz w:val="24"/>
              </w:rPr>
            </w:pPr>
          </w:p>
        </w:tc>
        <w:tc>
          <w:tcPr>
            <w:tcW w:w="2459"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hint="eastAsia" w:ascii="宋体" w:hAnsi="宋体" w:eastAsia="宋体" w:cs="宋体"/>
                <w:bCs/>
                <w:color w:val="auto"/>
                <w:sz w:val="24"/>
              </w:rPr>
            </w:pPr>
            <w:r>
              <w:rPr>
                <w:rFonts w:hint="eastAsia" w:ascii="宋体" w:hAnsi="宋体" w:eastAsia="宋体" w:cs="宋体"/>
                <w:bCs/>
                <w:color w:val="auto"/>
                <w:sz w:val="24"/>
              </w:rPr>
              <w:t>2</w:t>
            </w:r>
          </w:p>
        </w:tc>
        <w:tc>
          <w:tcPr>
            <w:tcW w:w="2062" w:type="dxa"/>
            <w:vAlign w:val="center"/>
          </w:tcPr>
          <w:p>
            <w:pPr>
              <w:rPr>
                <w:rFonts w:hint="eastAsia" w:ascii="宋体" w:hAnsi="宋体" w:eastAsia="宋体" w:cs="宋体"/>
                <w:bCs/>
                <w:color w:val="auto"/>
                <w:sz w:val="24"/>
              </w:rPr>
            </w:pPr>
          </w:p>
        </w:tc>
        <w:tc>
          <w:tcPr>
            <w:tcW w:w="2270" w:type="dxa"/>
            <w:vAlign w:val="center"/>
          </w:tcPr>
          <w:p>
            <w:pPr>
              <w:rPr>
                <w:rFonts w:hint="eastAsia" w:ascii="宋体" w:hAnsi="宋体" w:eastAsia="宋体" w:cs="宋体"/>
                <w:bCs/>
                <w:color w:val="auto"/>
                <w:sz w:val="24"/>
              </w:rPr>
            </w:pPr>
          </w:p>
        </w:tc>
        <w:tc>
          <w:tcPr>
            <w:tcW w:w="1277" w:type="dxa"/>
            <w:vAlign w:val="center"/>
          </w:tcPr>
          <w:p>
            <w:pPr>
              <w:rPr>
                <w:rFonts w:hint="eastAsia" w:ascii="宋体" w:hAnsi="宋体" w:eastAsia="宋体" w:cs="宋体"/>
                <w:bCs/>
                <w:color w:val="auto"/>
                <w:sz w:val="24"/>
              </w:rPr>
            </w:pPr>
          </w:p>
        </w:tc>
        <w:tc>
          <w:tcPr>
            <w:tcW w:w="2459"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hint="eastAsia" w:ascii="宋体" w:hAnsi="宋体" w:eastAsia="宋体" w:cs="宋体"/>
                <w:bCs/>
                <w:color w:val="auto"/>
                <w:sz w:val="24"/>
              </w:rPr>
            </w:pPr>
            <w:r>
              <w:rPr>
                <w:rFonts w:hint="eastAsia" w:ascii="宋体" w:hAnsi="宋体" w:eastAsia="宋体" w:cs="宋体"/>
                <w:bCs/>
                <w:color w:val="auto"/>
                <w:sz w:val="24"/>
              </w:rPr>
              <w:t>3</w:t>
            </w:r>
          </w:p>
        </w:tc>
        <w:tc>
          <w:tcPr>
            <w:tcW w:w="2062" w:type="dxa"/>
            <w:vAlign w:val="center"/>
          </w:tcPr>
          <w:p>
            <w:pPr>
              <w:rPr>
                <w:rFonts w:hint="eastAsia" w:ascii="宋体" w:hAnsi="宋体" w:eastAsia="宋体" w:cs="宋体"/>
                <w:bCs/>
                <w:color w:val="auto"/>
                <w:sz w:val="24"/>
              </w:rPr>
            </w:pPr>
          </w:p>
        </w:tc>
        <w:tc>
          <w:tcPr>
            <w:tcW w:w="2270" w:type="dxa"/>
            <w:vAlign w:val="center"/>
          </w:tcPr>
          <w:p>
            <w:pPr>
              <w:rPr>
                <w:rFonts w:hint="eastAsia" w:ascii="宋体" w:hAnsi="宋体" w:eastAsia="宋体" w:cs="宋体"/>
                <w:bCs/>
                <w:color w:val="auto"/>
                <w:sz w:val="24"/>
              </w:rPr>
            </w:pPr>
          </w:p>
        </w:tc>
        <w:tc>
          <w:tcPr>
            <w:tcW w:w="1277" w:type="dxa"/>
            <w:vAlign w:val="center"/>
          </w:tcPr>
          <w:p>
            <w:pPr>
              <w:rPr>
                <w:rFonts w:hint="eastAsia" w:ascii="宋体" w:hAnsi="宋体" w:eastAsia="宋体" w:cs="宋体"/>
                <w:bCs/>
                <w:color w:val="auto"/>
                <w:sz w:val="24"/>
              </w:rPr>
            </w:pPr>
          </w:p>
        </w:tc>
        <w:tc>
          <w:tcPr>
            <w:tcW w:w="2459"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hint="eastAsia" w:ascii="宋体" w:hAnsi="宋体" w:eastAsia="宋体" w:cs="宋体"/>
                <w:bCs/>
                <w:color w:val="auto"/>
                <w:sz w:val="24"/>
              </w:rPr>
            </w:pPr>
            <w:r>
              <w:rPr>
                <w:rFonts w:hint="eastAsia" w:ascii="宋体" w:hAnsi="宋体" w:eastAsia="宋体" w:cs="宋体"/>
                <w:bCs/>
                <w:color w:val="auto"/>
                <w:sz w:val="24"/>
              </w:rPr>
              <w:t>4</w:t>
            </w:r>
          </w:p>
        </w:tc>
        <w:tc>
          <w:tcPr>
            <w:tcW w:w="2062" w:type="dxa"/>
            <w:vAlign w:val="center"/>
          </w:tcPr>
          <w:p>
            <w:pPr>
              <w:rPr>
                <w:rFonts w:hint="eastAsia" w:ascii="宋体" w:hAnsi="宋体" w:eastAsia="宋体" w:cs="宋体"/>
                <w:bCs/>
                <w:color w:val="auto"/>
                <w:sz w:val="24"/>
              </w:rPr>
            </w:pPr>
          </w:p>
        </w:tc>
        <w:tc>
          <w:tcPr>
            <w:tcW w:w="2270" w:type="dxa"/>
            <w:vAlign w:val="center"/>
          </w:tcPr>
          <w:p>
            <w:pPr>
              <w:rPr>
                <w:rFonts w:hint="eastAsia" w:ascii="宋体" w:hAnsi="宋体" w:eastAsia="宋体" w:cs="宋体"/>
                <w:bCs/>
                <w:color w:val="auto"/>
                <w:sz w:val="24"/>
              </w:rPr>
            </w:pPr>
          </w:p>
        </w:tc>
        <w:tc>
          <w:tcPr>
            <w:tcW w:w="1277" w:type="dxa"/>
            <w:vAlign w:val="center"/>
          </w:tcPr>
          <w:p>
            <w:pPr>
              <w:rPr>
                <w:rFonts w:hint="eastAsia" w:ascii="宋体" w:hAnsi="宋体" w:eastAsia="宋体" w:cs="宋体"/>
                <w:bCs/>
                <w:color w:val="auto"/>
                <w:sz w:val="24"/>
              </w:rPr>
            </w:pPr>
          </w:p>
        </w:tc>
        <w:tc>
          <w:tcPr>
            <w:tcW w:w="2459"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hint="eastAsia" w:ascii="宋体" w:hAnsi="宋体" w:eastAsia="宋体" w:cs="宋体"/>
                <w:bCs/>
                <w:color w:val="auto"/>
                <w:sz w:val="24"/>
              </w:rPr>
            </w:pPr>
            <w:r>
              <w:rPr>
                <w:rFonts w:hint="eastAsia" w:ascii="宋体" w:hAnsi="宋体" w:eastAsia="宋体" w:cs="宋体"/>
                <w:bCs/>
                <w:color w:val="auto"/>
                <w:sz w:val="24"/>
              </w:rPr>
              <w:t>5</w:t>
            </w:r>
          </w:p>
        </w:tc>
        <w:tc>
          <w:tcPr>
            <w:tcW w:w="2062" w:type="dxa"/>
            <w:vAlign w:val="center"/>
          </w:tcPr>
          <w:p>
            <w:pPr>
              <w:rPr>
                <w:rFonts w:hint="eastAsia" w:ascii="宋体" w:hAnsi="宋体" w:eastAsia="宋体" w:cs="宋体"/>
                <w:bCs/>
                <w:color w:val="auto"/>
                <w:sz w:val="24"/>
              </w:rPr>
            </w:pPr>
          </w:p>
        </w:tc>
        <w:tc>
          <w:tcPr>
            <w:tcW w:w="2270" w:type="dxa"/>
            <w:vAlign w:val="center"/>
          </w:tcPr>
          <w:p>
            <w:pPr>
              <w:rPr>
                <w:rFonts w:hint="eastAsia" w:ascii="宋体" w:hAnsi="宋体" w:eastAsia="宋体" w:cs="宋体"/>
                <w:bCs/>
                <w:color w:val="auto"/>
                <w:sz w:val="24"/>
              </w:rPr>
            </w:pPr>
          </w:p>
        </w:tc>
        <w:tc>
          <w:tcPr>
            <w:tcW w:w="1277" w:type="dxa"/>
            <w:vAlign w:val="center"/>
          </w:tcPr>
          <w:p>
            <w:pPr>
              <w:rPr>
                <w:rFonts w:hint="eastAsia" w:ascii="宋体" w:hAnsi="宋体" w:eastAsia="宋体" w:cs="宋体"/>
                <w:bCs/>
                <w:color w:val="auto"/>
                <w:sz w:val="24"/>
              </w:rPr>
            </w:pPr>
          </w:p>
        </w:tc>
        <w:tc>
          <w:tcPr>
            <w:tcW w:w="2459"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hint="eastAsia" w:ascii="宋体" w:hAnsi="宋体" w:eastAsia="宋体" w:cs="宋体"/>
                <w:bCs/>
                <w:color w:val="auto"/>
                <w:sz w:val="24"/>
              </w:rPr>
            </w:pPr>
            <w:r>
              <w:rPr>
                <w:rFonts w:hint="eastAsia" w:ascii="宋体" w:hAnsi="宋体" w:eastAsia="宋体" w:cs="宋体"/>
                <w:bCs/>
                <w:color w:val="auto"/>
                <w:sz w:val="24"/>
              </w:rPr>
              <w:t>6</w:t>
            </w:r>
          </w:p>
        </w:tc>
        <w:tc>
          <w:tcPr>
            <w:tcW w:w="2062" w:type="dxa"/>
            <w:vAlign w:val="center"/>
          </w:tcPr>
          <w:p>
            <w:pPr>
              <w:rPr>
                <w:rFonts w:hint="eastAsia" w:ascii="宋体" w:hAnsi="宋体" w:eastAsia="宋体" w:cs="宋体"/>
                <w:bCs/>
                <w:color w:val="auto"/>
                <w:sz w:val="24"/>
              </w:rPr>
            </w:pPr>
          </w:p>
        </w:tc>
        <w:tc>
          <w:tcPr>
            <w:tcW w:w="2270" w:type="dxa"/>
            <w:vAlign w:val="center"/>
          </w:tcPr>
          <w:p>
            <w:pPr>
              <w:rPr>
                <w:rFonts w:hint="eastAsia" w:ascii="宋体" w:hAnsi="宋体" w:eastAsia="宋体" w:cs="宋体"/>
                <w:bCs/>
                <w:color w:val="auto"/>
                <w:sz w:val="24"/>
              </w:rPr>
            </w:pPr>
          </w:p>
        </w:tc>
        <w:tc>
          <w:tcPr>
            <w:tcW w:w="1277" w:type="dxa"/>
            <w:vAlign w:val="center"/>
          </w:tcPr>
          <w:p>
            <w:pPr>
              <w:rPr>
                <w:rFonts w:hint="eastAsia" w:ascii="宋体" w:hAnsi="宋体" w:eastAsia="宋体" w:cs="宋体"/>
                <w:bCs/>
                <w:color w:val="auto"/>
                <w:sz w:val="24"/>
              </w:rPr>
            </w:pPr>
          </w:p>
        </w:tc>
        <w:tc>
          <w:tcPr>
            <w:tcW w:w="2459"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hint="eastAsia" w:ascii="宋体" w:hAnsi="宋体" w:eastAsia="宋体" w:cs="宋体"/>
                <w:bCs/>
                <w:color w:val="auto"/>
                <w:sz w:val="24"/>
              </w:rPr>
            </w:pPr>
            <w:r>
              <w:rPr>
                <w:rFonts w:hint="eastAsia" w:ascii="宋体" w:hAnsi="宋体" w:eastAsia="宋体" w:cs="宋体"/>
                <w:bCs/>
                <w:color w:val="auto"/>
                <w:sz w:val="24"/>
              </w:rPr>
              <w:t>7</w:t>
            </w:r>
          </w:p>
        </w:tc>
        <w:tc>
          <w:tcPr>
            <w:tcW w:w="2062" w:type="dxa"/>
            <w:vAlign w:val="center"/>
          </w:tcPr>
          <w:p>
            <w:pPr>
              <w:rPr>
                <w:rFonts w:hint="eastAsia" w:ascii="宋体" w:hAnsi="宋体" w:eastAsia="宋体" w:cs="宋体"/>
                <w:bCs/>
                <w:color w:val="auto"/>
                <w:sz w:val="24"/>
              </w:rPr>
            </w:pPr>
          </w:p>
        </w:tc>
        <w:tc>
          <w:tcPr>
            <w:tcW w:w="2270" w:type="dxa"/>
            <w:vAlign w:val="center"/>
          </w:tcPr>
          <w:p>
            <w:pPr>
              <w:rPr>
                <w:rFonts w:hint="eastAsia" w:ascii="宋体" w:hAnsi="宋体" w:eastAsia="宋体" w:cs="宋体"/>
                <w:bCs/>
                <w:color w:val="auto"/>
                <w:sz w:val="24"/>
              </w:rPr>
            </w:pPr>
          </w:p>
        </w:tc>
        <w:tc>
          <w:tcPr>
            <w:tcW w:w="1277" w:type="dxa"/>
            <w:vAlign w:val="center"/>
          </w:tcPr>
          <w:p>
            <w:pPr>
              <w:rPr>
                <w:rFonts w:hint="eastAsia" w:ascii="宋体" w:hAnsi="宋体" w:eastAsia="宋体" w:cs="宋体"/>
                <w:bCs/>
                <w:color w:val="auto"/>
                <w:sz w:val="24"/>
              </w:rPr>
            </w:pPr>
          </w:p>
        </w:tc>
        <w:tc>
          <w:tcPr>
            <w:tcW w:w="2459"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hint="eastAsia" w:ascii="宋体" w:hAnsi="宋体" w:eastAsia="宋体" w:cs="宋体"/>
                <w:bCs/>
                <w:color w:val="auto"/>
                <w:sz w:val="24"/>
              </w:rPr>
            </w:pPr>
            <w:r>
              <w:rPr>
                <w:rFonts w:hint="eastAsia" w:ascii="宋体" w:hAnsi="宋体" w:eastAsia="宋体" w:cs="宋体"/>
                <w:bCs/>
                <w:color w:val="auto"/>
                <w:sz w:val="24"/>
              </w:rPr>
              <w:t>…</w:t>
            </w:r>
          </w:p>
        </w:tc>
        <w:tc>
          <w:tcPr>
            <w:tcW w:w="2062" w:type="dxa"/>
            <w:vAlign w:val="center"/>
          </w:tcPr>
          <w:p>
            <w:pPr>
              <w:rPr>
                <w:rFonts w:hint="eastAsia" w:ascii="宋体" w:hAnsi="宋体" w:eastAsia="宋体" w:cs="宋体"/>
                <w:bCs/>
                <w:color w:val="auto"/>
                <w:sz w:val="24"/>
              </w:rPr>
            </w:pPr>
          </w:p>
        </w:tc>
        <w:tc>
          <w:tcPr>
            <w:tcW w:w="2270" w:type="dxa"/>
            <w:vAlign w:val="center"/>
          </w:tcPr>
          <w:p>
            <w:pPr>
              <w:rPr>
                <w:rFonts w:hint="eastAsia" w:ascii="宋体" w:hAnsi="宋体" w:eastAsia="宋体" w:cs="宋体"/>
                <w:bCs/>
                <w:color w:val="auto"/>
                <w:sz w:val="24"/>
              </w:rPr>
            </w:pPr>
          </w:p>
        </w:tc>
        <w:tc>
          <w:tcPr>
            <w:tcW w:w="1277" w:type="dxa"/>
            <w:vAlign w:val="center"/>
          </w:tcPr>
          <w:p>
            <w:pPr>
              <w:rPr>
                <w:rFonts w:hint="eastAsia" w:ascii="宋体" w:hAnsi="宋体" w:eastAsia="宋体" w:cs="宋体"/>
                <w:bCs/>
                <w:color w:val="auto"/>
                <w:sz w:val="24"/>
              </w:rPr>
            </w:pPr>
          </w:p>
        </w:tc>
        <w:tc>
          <w:tcPr>
            <w:tcW w:w="2459" w:type="dxa"/>
            <w:vAlign w:val="center"/>
          </w:tcPr>
          <w:p>
            <w:pPr>
              <w:jc w:val="center"/>
              <w:rPr>
                <w:rFonts w:hint="eastAsia" w:ascii="宋体" w:hAnsi="宋体" w:eastAsia="宋体" w:cs="宋体"/>
                <w:bCs/>
                <w:color w:val="auto"/>
                <w:sz w:val="24"/>
              </w:rPr>
            </w:pPr>
          </w:p>
        </w:tc>
      </w:tr>
    </w:tbl>
    <w:p>
      <w:pPr>
        <w:spacing w:line="300" w:lineRule="auto"/>
        <w:rPr>
          <w:rFonts w:hint="eastAsia" w:ascii="宋体" w:hAnsi="宋体" w:eastAsia="宋体" w:cs="宋体"/>
          <w:color w:val="auto"/>
          <w:sz w:val="24"/>
          <w:szCs w:val="24"/>
        </w:rPr>
      </w:pPr>
    </w:p>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备注栏中应提供相关内容在响应文件中的页码。</w:t>
      </w:r>
    </w:p>
    <w:p>
      <w:pPr>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2. 应对照磋商文件的要求，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440" w:lineRule="exact"/>
        <w:rPr>
          <w:rFonts w:hint="eastAsia" w:ascii="宋体" w:hAnsi="宋体" w:eastAsia="宋体" w:cs="宋体"/>
          <w:color w:val="auto"/>
          <w:sz w:val="24"/>
          <w:szCs w:val="24"/>
        </w:rPr>
      </w:pPr>
    </w:p>
    <w:p>
      <w:pPr>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授权代表（签字）：</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时间：</w:t>
      </w:r>
    </w:p>
    <w:p>
      <w:pPr>
        <w:widowControl/>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br w:type="page"/>
      </w:r>
    </w:p>
    <w:p>
      <w:pPr>
        <w:widowControl/>
        <w:jc w:val="left"/>
        <w:outlineLvl w:val="0"/>
        <w:rPr>
          <w:rFonts w:hint="eastAsia" w:ascii="宋体" w:hAnsi="宋体" w:eastAsia="宋体" w:cs="宋体"/>
          <w:color w:val="auto"/>
          <w:sz w:val="24"/>
          <w:szCs w:val="24"/>
        </w:rPr>
      </w:pPr>
      <w:bookmarkStart w:id="29" w:name="_Toc8351"/>
      <w:bookmarkStart w:id="30" w:name="_Toc12831"/>
      <w:r>
        <w:rPr>
          <w:rFonts w:hint="eastAsia" w:ascii="宋体" w:hAnsi="宋体" w:eastAsia="宋体" w:cs="宋体"/>
          <w:color w:val="auto"/>
          <w:sz w:val="24"/>
          <w:szCs w:val="24"/>
        </w:rPr>
        <w:t>附件7</w:t>
      </w:r>
      <w:bookmarkEnd w:id="29"/>
      <w:bookmarkEnd w:id="30"/>
    </w:p>
    <w:p>
      <w:pPr>
        <w:adjustRightInd w:val="0"/>
        <w:snapToGrid w:val="0"/>
        <w:jc w:val="center"/>
        <w:outlineLvl w:val="0"/>
        <w:rPr>
          <w:rFonts w:hint="eastAsia" w:ascii="宋体" w:hAnsi="宋体" w:eastAsia="宋体" w:cs="宋体"/>
          <w:color w:val="auto"/>
          <w:sz w:val="32"/>
          <w:szCs w:val="32"/>
        </w:rPr>
      </w:pPr>
      <w:bookmarkStart w:id="31" w:name="_Toc3290"/>
      <w:bookmarkStart w:id="32" w:name="_Toc3549"/>
      <w:r>
        <w:rPr>
          <w:rFonts w:hint="eastAsia" w:ascii="宋体" w:hAnsi="宋体" w:eastAsia="宋体" w:cs="宋体"/>
          <w:color w:val="auto"/>
          <w:sz w:val="32"/>
          <w:szCs w:val="32"/>
        </w:rPr>
        <w:t>法人（负责人）代表授权书</w:t>
      </w:r>
      <w:bookmarkEnd w:id="31"/>
      <w:bookmarkEnd w:id="32"/>
    </w:p>
    <w:p>
      <w:pPr>
        <w:spacing w:before="120" w:beforeLines="50" w:after="240" w:afterLines="100"/>
        <w:rPr>
          <w:rFonts w:hint="eastAsia" w:ascii="宋体" w:hAnsi="宋体" w:eastAsia="宋体" w:cs="宋体"/>
          <w:color w:val="auto"/>
          <w:sz w:val="24"/>
          <w:szCs w:val="24"/>
        </w:rPr>
      </w:pPr>
    </w:p>
    <w:p>
      <w:pPr>
        <w:spacing w:line="440" w:lineRule="exact"/>
        <w:rPr>
          <w:rFonts w:hint="eastAsia" w:ascii="宋体" w:hAnsi="宋体" w:eastAsia="宋体" w:cs="宋体"/>
          <w:bCs/>
          <w:color w:val="auto"/>
          <w:sz w:val="24"/>
          <w:szCs w:val="24"/>
        </w:rPr>
      </w:pPr>
      <w:r>
        <w:rPr>
          <w:rFonts w:hint="eastAsia" w:ascii="宋体" w:hAnsi="宋体" w:eastAsia="宋体" w:cs="宋体"/>
          <w:color w:val="auto"/>
          <w:sz w:val="24"/>
          <w:szCs w:val="24"/>
          <w:u w:val="single"/>
        </w:rPr>
        <w:t>(采购人、采购代理机构)</w:t>
      </w:r>
      <w:r>
        <w:rPr>
          <w:rFonts w:hint="eastAsia" w:ascii="宋体" w:hAnsi="宋体" w:eastAsia="宋体" w:cs="宋体"/>
          <w:bCs/>
          <w:color w:val="auto"/>
          <w:sz w:val="24"/>
          <w:szCs w:val="24"/>
        </w:rPr>
        <w:t>：</w:t>
      </w:r>
    </w:p>
    <w:p>
      <w:pPr>
        <w:spacing w:line="44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（供应商名称）</w:t>
      </w:r>
      <w:r>
        <w:rPr>
          <w:rFonts w:hint="eastAsia" w:ascii="宋体" w:hAnsi="宋体" w:eastAsia="宋体" w:cs="宋体"/>
          <w:bCs/>
          <w:color w:val="auto"/>
          <w:sz w:val="24"/>
          <w:szCs w:val="24"/>
        </w:rPr>
        <w:t>在下面签字的（</w:t>
      </w:r>
      <w:r>
        <w:rPr>
          <w:rFonts w:hint="eastAsia" w:ascii="宋体" w:hAnsi="宋体" w:eastAsia="宋体" w:cs="宋体"/>
          <w:bCs/>
          <w:color w:val="auto"/>
          <w:sz w:val="24"/>
          <w:szCs w:val="24"/>
          <w:u w:val="single"/>
        </w:rPr>
        <w:t>法定代表人姓名、职务</w:t>
      </w:r>
      <w:r>
        <w:rPr>
          <w:rFonts w:hint="eastAsia" w:ascii="宋体" w:hAnsi="宋体" w:eastAsia="宋体" w:cs="宋体"/>
          <w:bCs/>
          <w:color w:val="auto"/>
          <w:sz w:val="24"/>
          <w:szCs w:val="24"/>
        </w:rPr>
        <w:t>）代表本公司授权（供应商名称）的下面签字的</w:t>
      </w:r>
      <w:r>
        <w:rPr>
          <w:rFonts w:hint="eastAsia" w:ascii="宋体" w:hAnsi="宋体" w:eastAsia="宋体" w:cs="宋体"/>
          <w:bCs/>
          <w:color w:val="auto"/>
          <w:sz w:val="24"/>
          <w:szCs w:val="24"/>
          <w:u w:val="single"/>
        </w:rPr>
        <w:t>（被授权代表的姓名、职务）</w:t>
      </w:r>
      <w:r>
        <w:rPr>
          <w:rFonts w:hint="eastAsia" w:ascii="宋体" w:hAnsi="宋体" w:eastAsia="宋体" w:cs="宋体"/>
          <w:bCs/>
          <w:color w:val="auto"/>
          <w:sz w:val="24"/>
          <w:szCs w:val="24"/>
        </w:rPr>
        <w:t>为本公司的合法代理人，就（</w:t>
      </w:r>
      <w:r>
        <w:rPr>
          <w:rFonts w:hint="eastAsia" w:ascii="宋体" w:hAnsi="宋体" w:eastAsia="宋体" w:cs="宋体"/>
          <w:bCs/>
          <w:color w:val="auto"/>
          <w:sz w:val="24"/>
          <w:szCs w:val="24"/>
          <w:u w:val="single"/>
        </w:rPr>
        <w:t>项目名称、项目编号</w:t>
      </w:r>
      <w:r>
        <w:rPr>
          <w:rFonts w:hint="eastAsia" w:ascii="宋体" w:hAnsi="宋体" w:eastAsia="宋体" w:cs="宋体"/>
          <w:bCs/>
          <w:color w:val="auto"/>
          <w:sz w:val="24"/>
          <w:szCs w:val="24"/>
        </w:rPr>
        <w:t>）的竞争性磋商，以本公司的名义处理一切与之有关的事务。</w:t>
      </w:r>
    </w:p>
    <w:p>
      <w:pPr>
        <w:spacing w:line="44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本授权书自    年    月    日至    年    月    日止签字有效。</w:t>
      </w:r>
    </w:p>
    <w:p>
      <w:pPr>
        <w:spacing w:line="44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特此声明。</w:t>
      </w:r>
    </w:p>
    <w:p>
      <w:pPr>
        <w:spacing w:before="240" w:beforeLines="100" w:after="100" w:afterAutospacing="1"/>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委托人名称（公章）：                被授权人（签章）：</w:t>
      </w:r>
    </w:p>
    <w:p>
      <w:pPr>
        <w:spacing w:before="240" w:beforeLines="100" w:after="100" w:afterAutospacing="1"/>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法定（负责人）代表人（签章）：      身份证号码：</w:t>
      </w:r>
    </w:p>
    <w:p>
      <w:pPr>
        <w:spacing w:before="240" w:beforeLines="100" w:after="100" w:afterAutospacing="1"/>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电话：                               电话（手机）：</w:t>
      </w:r>
    </w:p>
    <w:p>
      <w:pPr>
        <w:spacing w:before="240" w:beforeLines="100" w:after="100" w:afterAutospacing="1"/>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传真：办公                           电话/传真：</w:t>
      </w:r>
    </w:p>
    <w:p>
      <w:pPr>
        <w:spacing w:before="120" w:beforeLines="50" w:after="240" w:afterLines="100"/>
        <w:rPr>
          <w:rFonts w:hint="eastAsia" w:ascii="宋体" w:hAnsi="宋体" w:eastAsia="宋体" w:cs="宋体"/>
          <w:bCs/>
          <w:color w:val="auto"/>
          <w:sz w:val="24"/>
          <w:szCs w:val="24"/>
          <w:u w:val="single"/>
        </w:rPr>
      </w:pP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120" w:beforeLines="50" w:after="240" w:afterLines="100"/>
              <w:rPr>
                <w:rFonts w:hint="eastAsia" w:ascii="宋体" w:hAnsi="宋体" w:eastAsia="宋体" w:cs="宋体"/>
                <w:bCs/>
                <w:color w:val="auto"/>
                <w:sz w:val="24"/>
                <w:szCs w:val="24"/>
              </w:rPr>
            </w:pPr>
            <w:r>
              <w:rPr>
                <w:rFonts w:hint="eastAsia" w:ascii="宋体" w:hAnsi="宋体" w:eastAsia="宋体" w:cs="宋体"/>
                <w:bCs/>
                <w:color w:val="auto"/>
                <w:sz w:val="24"/>
                <w:szCs w:val="24"/>
              </w:rPr>
              <w:t>粘贴被授权人身份证（复印件）</w:t>
            </w:r>
          </w:p>
        </w:tc>
      </w:tr>
    </w:tbl>
    <w:p>
      <w:pPr>
        <w:rPr>
          <w:rFonts w:hint="eastAsia" w:ascii="宋体" w:hAnsi="宋体" w:eastAsia="宋体" w:cs="宋体"/>
          <w:bCs/>
          <w:color w:val="auto"/>
          <w:sz w:val="24"/>
          <w:szCs w:val="24"/>
        </w:rPr>
      </w:pPr>
    </w:p>
    <w:p>
      <w:pPr>
        <w:widowControl/>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br w:type="page"/>
      </w:r>
    </w:p>
    <w:p>
      <w:pPr>
        <w:spacing w:before="120" w:beforeLines="50" w:after="240" w:afterLines="100"/>
        <w:outlineLvl w:val="0"/>
        <w:rPr>
          <w:rFonts w:hint="eastAsia" w:ascii="宋体" w:hAnsi="宋体" w:eastAsia="宋体" w:cs="宋体"/>
          <w:bCs/>
          <w:color w:val="auto"/>
          <w:sz w:val="24"/>
        </w:rPr>
      </w:pPr>
      <w:bookmarkStart w:id="33" w:name="_Toc20215"/>
      <w:bookmarkStart w:id="34" w:name="_Toc26949"/>
      <w:r>
        <w:rPr>
          <w:rFonts w:hint="eastAsia" w:ascii="宋体" w:hAnsi="宋体" w:eastAsia="宋体" w:cs="宋体"/>
          <w:bCs/>
          <w:color w:val="auto"/>
          <w:sz w:val="24"/>
        </w:rPr>
        <w:t>附件8</w:t>
      </w:r>
      <w:bookmarkEnd w:id="33"/>
      <w:bookmarkEnd w:id="34"/>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法人或者其他组织的营业执照等证明文件，自然人的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身份证明等证明材料</w:t>
      </w:r>
    </w:p>
    <w:p>
      <w:pPr>
        <w:rPr>
          <w:rFonts w:hint="eastAsia" w:ascii="宋体" w:hAnsi="宋体" w:eastAsia="宋体" w:cs="宋体"/>
          <w:bCs/>
          <w:color w:val="auto"/>
          <w:szCs w:val="28"/>
        </w:rPr>
      </w:pPr>
    </w:p>
    <w:p>
      <w:pPr>
        <w:widowControl/>
        <w:jc w:val="left"/>
        <w:rPr>
          <w:rFonts w:hint="eastAsia" w:ascii="宋体" w:hAnsi="宋体" w:eastAsia="宋体" w:cs="宋体"/>
          <w:bCs/>
          <w:color w:val="auto"/>
          <w:sz w:val="24"/>
        </w:rPr>
      </w:pPr>
      <w:r>
        <w:rPr>
          <w:rFonts w:hint="eastAsia" w:ascii="宋体" w:hAnsi="宋体" w:eastAsia="宋体" w:cs="宋体"/>
          <w:bCs/>
          <w:color w:val="auto"/>
          <w:sz w:val="24"/>
        </w:rPr>
        <w:t>（企业法人营业执照、税务登记证，供应商是自然人的身份证明材料等）</w:t>
      </w:r>
      <w:bookmarkStart w:id="35" w:name="_Toc31587"/>
    </w:p>
    <w:p>
      <w:pPr>
        <w:widowControl/>
        <w:jc w:val="left"/>
        <w:rPr>
          <w:rFonts w:hint="eastAsia" w:ascii="宋体" w:hAnsi="宋体" w:eastAsia="宋体" w:cs="宋体"/>
          <w:bCs/>
          <w:color w:val="auto"/>
          <w:sz w:val="24"/>
        </w:rPr>
      </w:pPr>
    </w:p>
    <w:p>
      <w:pPr>
        <w:widowControl/>
        <w:jc w:val="left"/>
        <w:rPr>
          <w:rFonts w:hint="eastAsia" w:ascii="宋体" w:hAnsi="宋体" w:eastAsia="宋体" w:cs="宋体"/>
          <w:bCs/>
          <w:color w:val="auto"/>
          <w:sz w:val="24"/>
        </w:rPr>
      </w:pPr>
    </w:p>
    <w:p>
      <w:pPr>
        <w:widowControl/>
        <w:jc w:val="left"/>
        <w:rPr>
          <w:rFonts w:hint="eastAsia" w:ascii="宋体" w:hAnsi="宋体" w:eastAsia="宋体" w:cs="宋体"/>
          <w:bCs/>
          <w:color w:val="auto"/>
          <w:sz w:val="24"/>
        </w:rPr>
      </w:pPr>
    </w:p>
    <w:p>
      <w:pPr>
        <w:widowControl/>
        <w:jc w:val="left"/>
        <w:rPr>
          <w:rFonts w:hint="eastAsia" w:ascii="宋体" w:hAnsi="宋体" w:eastAsia="宋体" w:cs="宋体"/>
          <w:bCs/>
          <w:color w:val="auto"/>
          <w:sz w:val="24"/>
        </w:rPr>
      </w:pPr>
    </w:p>
    <w:p>
      <w:pPr>
        <w:widowControl/>
        <w:jc w:val="left"/>
        <w:outlineLvl w:val="0"/>
        <w:rPr>
          <w:rFonts w:hint="eastAsia" w:ascii="宋体" w:hAnsi="宋体" w:eastAsia="宋体" w:cs="宋体"/>
          <w:bCs/>
          <w:color w:val="auto"/>
          <w:sz w:val="24"/>
        </w:rPr>
      </w:pPr>
      <w:bookmarkStart w:id="36" w:name="_Toc19415"/>
      <w:r>
        <w:rPr>
          <w:rFonts w:hint="eastAsia" w:ascii="宋体" w:hAnsi="宋体" w:eastAsia="宋体" w:cs="宋体"/>
          <w:bCs/>
          <w:color w:val="auto"/>
          <w:sz w:val="24"/>
        </w:rPr>
        <w:t>附件9</w:t>
      </w:r>
      <w:bookmarkEnd w:id="35"/>
      <w:bookmarkEnd w:id="36"/>
    </w:p>
    <w:p>
      <w:pPr>
        <w:spacing w:line="440" w:lineRule="exact"/>
        <w:ind w:left="360" w:hanging="360" w:hangingChars="150"/>
        <w:rPr>
          <w:rFonts w:hint="eastAsia" w:ascii="宋体" w:hAnsi="宋体" w:eastAsia="宋体" w:cs="宋体"/>
          <w:bCs/>
          <w:color w:val="auto"/>
          <w:sz w:val="24"/>
        </w:rPr>
      </w:pP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财务状况报告，依法缴纳税收和社会保障资金的相关材料</w:t>
      </w:r>
    </w:p>
    <w:p>
      <w:pPr>
        <w:rPr>
          <w:rFonts w:hint="eastAsia" w:ascii="宋体" w:hAnsi="宋体" w:eastAsia="宋体" w:cs="宋体"/>
          <w:bCs/>
          <w:color w:val="auto"/>
          <w:szCs w:val="28"/>
        </w:rPr>
      </w:pP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一、参加本采购项目前一年度的财务报表（企业成立时间不足一年不适用），或其他证明具备实施本项目的财务状况证明材料；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二、参加本采购项目前，近期的纳税证明；</w:t>
      </w:r>
    </w:p>
    <w:p>
      <w:pPr>
        <w:spacing w:line="440" w:lineRule="exact"/>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三、参加本采购项目前，近期缴纳社会保障资金证明等。</w:t>
      </w:r>
    </w:p>
    <w:p>
      <w:pPr>
        <w:spacing w:line="440" w:lineRule="exact"/>
        <w:rPr>
          <w:rFonts w:hint="eastAsia" w:ascii="宋体" w:hAnsi="宋体" w:eastAsia="宋体" w:cs="宋体"/>
          <w:bCs/>
          <w:color w:val="auto"/>
          <w:sz w:val="24"/>
        </w:rPr>
      </w:pPr>
    </w:p>
    <w:p>
      <w:pPr>
        <w:outlineLvl w:val="9"/>
        <w:rPr>
          <w:rFonts w:hint="eastAsia" w:ascii="宋体" w:hAnsi="宋体" w:eastAsia="宋体" w:cs="宋体"/>
          <w:bCs/>
          <w:color w:val="auto"/>
          <w:sz w:val="24"/>
        </w:rPr>
      </w:pPr>
    </w:p>
    <w:p>
      <w:pPr>
        <w:rPr>
          <w:rFonts w:hint="eastAsia" w:ascii="宋体" w:hAnsi="宋体" w:eastAsia="宋体" w:cs="宋体"/>
          <w:color w:val="auto"/>
        </w:rPr>
      </w:pPr>
    </w:p>
    <w:p>
      <w:pPr>
        <w:spacing w:line="440" w:lineRule="exact"/>
        <w:outlineLvl w:val="0"/>
        <w:rPr>
          <w:rFonts w:hint="eastAsia" w:ascii="宋体" w:hAnsi="宋体" w:eastAsia="宋体" w:cs="宋体"/>
          <w:bCs/>
          <w:color w:val="auto"/>
          <w:sz w:val="24"/>
        </w:rPr>
      </w:pPr>
      <w:bookmarkStart w:id="37" w:name="_Toc27440"/>
      <w:r>
        <w:rPr>
          <w:rFonts w:hint="eastAsia" w:ascii="宋体" w:hAnsi="宋体" w:eastAsia="宋体" w:cs="宋体"/>
          <w:bCs/>
          <w:color w:val="auto"/>
          <w:sz w:val="24"/>
        </w:rPr>
        <w:t>附件10</w:t>
      </w:r>
      <w:bookmarkEnd w:id="37"/>
    </w:p>
    <w:p>
      <w:pPr>
        <w:widowControl/>
        <w:jc w:val="left"/>
        <w:rPr>
          <w:rFonts w:hint="eastAsia" w:ascii="宋体" w:hAnsi="宋体" w:eastAsia="宋体" w:cs="宋体"/>
          <w:bCs/>
          <w:color w:val="auto"/>
          <w:sz w:val="24"/>
        </w:rPr>
      </w:pP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具备履行合同所必需的设备和专业技术能力的</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证明材料</w:t>
      </w:r>
    </w:p>
    <w:p>
      <w:pPr>
        <w:spacing w:line="440" w:lineRule="exact"/>
        <w:jc w:val="center"/>
        <w:rPr>
          <w:rFonts w:hint="eastAsia" w:ascii="宋体" w:hAnsi="宋体" w:eastAsia="宋体" w:cs="宋体"/>
          <w:bCs/>
          <w:color w:val="auto"/>
          <w:sz w:val="32"/>
          <w:szCs w:val="32"/>
        </w:rPr>
      </w:pPr>
    </w:p>
    <w:p>
      <w:pPr>
        <w:spacing w:line="500" w:lineRule="exact"/>
        <w:jc w:val="center"/>
        <w:rPr>
          <w:rFonts w:hint="eastAsia" w:ascii="宋体" w:hAnsi="宋体" w:eastAsia="宋体" w:cs="宋体"/>
          <w:bCs/>
          <w:color w:val="auto"/>
          <w:sz w:val="24"/>
        </w:rPr>
      </w:pPr>
      <w:r>
        <w:rPr>
          <w:rFonts w:hint="eastAsia" w:ascii="宋体" w:hAnsi="宋体" w:eastAsia="宋体" w:cs="宋体"/>
          <w:bCs/>
          <w:color w:val="auto"/>
          <w:sz w:val="24"/>
        </w:rPr>
        <w:t>（提供履行合同所必需的设备和专业技术能力的相关文件）</w:t>
      </w:r>
    </w:p>
    <w:p>
      <w:pPr>
        <w:widowControl/>
        <w:jc w:val="left"/>
        <w:rPr>
          <w:rFonts w:hint="eastAsia" w:ascii="宋体" w:hAnsi="宋体" w:eastAsia="宋体" w:cs="宋体"/>
          <w:color w:val="auto"/>
          <w:sz w:val="24"/>
        </w:rPr>
      </w:pPr>
      <w:r>
        <w:rPr>
          <w:rFonts w:hint="eastAsia" w:ascii="宋体" w:hAnsi="宋体" w:eastAsia="宋体" w:cs="宋体"/>
          <w:color w:val="auto"/>
          <w:sz w:val="24"/>
        </w:rPr>
        <w:br w:type="page"/>
      </w:r>
    </w:p>
    <w:p>
      <w:pPr>
        <w:spacing w:before="120" w:beforeLines="50" w:after="240" w:afterLines="100"/>
        <w:outlineLvl w:val="0"/>
        <w:rPr>
          <w:rFonts w:hint="eastAsia" w:ascii="宋体" w:hAnsi="宋体" w:eastAsia="宋体" w:cs="宋体"/>
          <w:bCs/>
          <w:color w:val="auto"/>
          <w:sz w:val="24"/>
        </w:rPr>
      </w:pPr>
      <w:bookmarkStart w:id="38" w:name="_Toc1956"/>
      <w:bookmarkStart w:id="39" w:name="_Toc8389"/>
      <w:r>
        <w:rPr>
          <w:rFonts w:hint="eastAsia" w:ascii="宋体" w:hAnsi="宋体" w:eastAsia="宋体" w:cs="宋体"/>
          <w:bCs/>
          <w:color w:val="auto"/>
          <w:sz w:val="24"/>
        </w:rPr>
        <w:t>附件11</w:t>
      </w:r>
      <w:bookmarkEnd w:id="38"/>
      <w:bookmarkEnd w:id="39"/>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参加政府采购活动前3年内在经营活动中</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没有重大违法记录的书面声明</w:t>
      </w:r>
    </w:p>
    <w:p>
      <w:pPr>
        <w:spacing w:line="440" w:lineRule="exact"/>
        <w:jc w:val="center"/>
        <w:rPr>
          <w:rFonts w:hint="eastAsia" w:ascii="宋体" w:hAnsi="宋体" w:eastAsia="宋体" w:cs="宋体"/>
          <w:color w:val="auto"/>
          <w:sz w:val="24"/>
        </w:rPr>
      </w:pPr>
    </w:p>
    <w:p>
      <w:pPr>
        <w:spacing w:line="500" w:lineRule="exact"/>
        <w:jc w:val="center"/>
        <w:rPr>
          <w:rFonts w:hint="eastAsia" w:ascii="宋体" w:hAnsi="宋体" w:eastAsia="宋体" w:cs="宋体"/>
          <w:bCs/>
          <w:color w:val="auto"/>
          <w:sz w:val="32"/>
          <w:szCs w:val="32"/>
        </w:rPr>
      </w:pPr>
      <w:r>
        <w:rPr>
          <w:rFonts w:hint="eastAsia" w:ascii="宋体" w:hAnsi="宋体" w:eastAsia="宋体" w:cs="宋体"/>
          <w:color w:val="auto"/>
          <w:sz w:val="24"/>
        </w:rPr>
        <w:t>（供应商自行编写）</w:t>
      </w:r>
    </w:p>
    <w:p>
      <w:pPr>
        <w:widowControl/>
        <w:jc w:val="left"/>
        <w:rPr>
          <w:rFonts w:hint="eastAsia" w:ascii="宋体" w:hAnsi="宋体" w:eastAsia="宋体" w:cs="宋体"/>
          <w:bCs/>
          <w:color w:val="auto"/>
          <w:sz w:val="32"/>
          <w:szCs w:val="32"/>
        </w:rPr>
      </w:pPr>
    </w:p>
    <w:p>
      <w:pPr>
        <w:outlineLvl w:val="9"/>
        <w:rPr>
          <w:rFonts w:hint="eastAsia" w:ascii="宋体" w:hAnsi="宋体" w:eastAsia="宋体" w:cs="宋体"/>
          <w:color w:val="auto"/>
        </w:rPr>
      </w:pPr>
    </w:p>
    <w:p>
      <w:pPr>
        <w:widowControl/>
        <w:jc w:val="left"/>
        <w:outlineLvl w:val="0"/>
        <w:rPr>
          <w:rFonts w:hint="eastAsia" w:ascii="宋体" w:hAnsi="宋体" w:eastAsia="宋体" w:cs="宋体"/>
          <w:color w:val="auto"/>
          <w:sz w:val="32"/>
          <w:szCs w:val="32"/>
        </w:rPr>
      </w:pPr>
      <w:bookmarkStart w:id="40" w:name="_Toc26595"/>
      <w:bookmarkStart w:id="41" w:name="_Toc5051"/>
      <w:r>
        <w:rPr>
          <w:rFonts w:hint="eastAsia" w:ascii="宋体" w:hAnsi="宋体" w:eastAsia="宋体" w:cs="宋体"/>
          <w:bCs/>
          <w:color w:val="auto"/>
          <w:sz w:val="24"/>
        </w:rPr>
        <w:t>附件12</w:t>
      </w:r>
      <w:bookmarkEnd w:id="40"/>
      <w:bookmarkEnd w:id="41"/>
    </w:p>
    <w:p>
      <w:pPr>
        <w:adjustRightInd w:val="0"/>
        <w:snapToGrid w:val="0"/>
        <w:jc w:val="center"/>
        <w:outlineLvl w:val="9"/>
        <w:rPr>
          <w:rFonts w:hint="eastAsia" w:ascii="宋体" w:hAnsi="宋体" w:eastAsia="宋体" w:cs="宋体"/>
          <w:color w:val="auto"/>
          <w:sz w:val="32"/>
          <w:szCs w:val="32"/>
        </w:rPr>
      </w:pP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未被列入“信用中国”网站失信被执行人、重大税收违法案件当事人名单、政府采购严重违法失信行为</w:t>
      </w:r>
    </w:p>
    <w:p>
      <w:pPr>
        <w:spacing w:line="440" w:lineRule="exact"/>
        <w:jc w:val="center"/>
        <w:rPr>
          <w:rFonts w:hint="eastAsia" w:ascii="宋体" w:hAnsi="宋体" w:eastAsia="宋体" w:cs="宋体"/>
          <w:color w:val="auto"/>
          <w:sz w:val="24"/>
        </w:rPr>
      </w:pPr>
      <w:r>
        <w:rPr>
          <w:rFonts w:hint="eastAsia" w:ascii="宋体" w:hAnsi="宋体" w:eastAsia="宋体" w:cs="宋体"/>
          <w:bCs/>
          <w:color w:val="auto"/>
          <w:sz w:val="32"/>
          <w:szCs w:val="32"/>
        </w:rPr>
        <w:t>记录名单（须提供网页截图）</w:t>
      </w:r>
    </w:p>
    <w:p>
      <w:pPr>
        <w:spacing w:line="440" w:lineRule="exact"/>
        <w:jc w:val="center"/>
        <w:rPr>
          <w:rFonts w:hint="eastAsia" w:ascii="宋体" w:hAnsi="宋体" w:eastAsia="宋体" w:cs="宋体"/>
          <w:color w:val="auto"/>
        </w:rPr>
      </w:pPr>
      <w:r>
        <w:rPr>
          <w:rFonts w:hint="eastAsia" w:ascii="宋体" w:hAnsi="宋体" w:eastAsia="宋体" w:cs="宋体"/>
          <w:color w:val="auto"/>
          <w:sz w:val="24"/>
        </w:rPr>
        <w:t>（供应商自行打印）</w:t>
      </w:r>
    </w:p>
    <w:p>
      <w:pPr>
        <w:spacing w:line="440" w:lineRule="exact"/>
        <w:rPr>
          <w:rFonts w:hint="eastAsia" w:ascii="宋体" w:hAnsi="宋体" w:eastAsia="宋体" w:cs="宋体"/>
          <w:color w:val="auto"/>
        </w:rPr>
      </w:pPr>
    </w:p>
    <w:p>
      <w:pPr>
        <w:widowControl/>
        <w:jc w:val="left"/>
        <w:rPr>
          <w:rFonts w:hint="eastAsia" w:ascii="宋体" w:hAnsi="宋体" w:eastAsia="宋体" w:cs="宋体"/>
          <w:bCs/>
          <w:color w:val="auto"/>
          <w:sz w:val="24"/>
        </w:rPr>
      </w:pPr>
      <w:r>
        <w:rPr>
          <w:rFonts w:hint="eastAsia" w:ascii="宋体" w:hAnsi="宋体" w:eastAsia="宋体" w:cs="宋体"/>
          <w:bCs/>
          <w:color w:val="auto"/>
          <w:sz w:val="24"/>
        </w:rPr>
        <w:br w:type="page"/>
      </w:r>
    </w:p>
    <w:p>
      <w:pPr>
        <w:outlineLvl w:val="0"/>
        <w:rPr>
          <w:rFonts w:hint="eastAsia" w:ascii="宋体" w:hAnsi="宋体" w:eastAsia="宋体" w:cs="宋体"/>
          <w:color w:val="auto"/>
          <w:sz w:val="24"/>
          <w:lang w:val="en-US" w:eastAsia="zh-CN"/>
        </w:rPr>
      </w:pPr>
      <w:bookmarkStart w:id="42" w:name="_Toc1837"/>
      <w:bookmarkStart w:id="43" w:name="_Toc6227"/>
      <w:r>
        <w:rPr>
          <w:rFonts w:hint="eastAsia" w:ascii="宋体" w:hAnsi="宋体" w:eastAsia="宋体" w:cs="宋体"/>
          <w:color w:val="auto"/>
          <w:sz w:val="24"/>
        </w:rPr>
        <w:t>附件13</w:t>
      </w:r>
      <w:bookmarkEnd w:id="42"/>
      <w:r>
        <w:rPr>
          <w:rFonts w:hint="eastAsia" w:ascii="宋体" w:hAnsi="宋体" w:eastAsia="宋体" w:cs="宋体"/>
          <w:color w:val="auto"/>
          <w:sz w:val="24"/>
          <w:lang w:val="en-US" w:eastAsia="zh-CN"/>
        </w:rPr>
        <w:t>-1</w:t>
      </w:r>
      <w:bookmarkEnd w:id="43"/>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中小企业声明函</w:t>
      </w:r>
    </w:p>
    <w:p>
      <w:pPr>
        <w:rPr>
          <w:rFonts w:hint="eastAsia" w:ascii="宋体" w:hAnsi="宋体" w:eastAsia="宋体" w:cs="宋体"/>
          <w:color w:val="auto"/>
          <w:sz w:val="32"/>
          <w:szCs w:val="32"/>
        </w:rPr>
      </w:pPr>
      <w:r>
        <w:rPr>
          <w:rFonts w:hint="eastAsia" w:ascii="宋体" w:hAnsi="宋体" w:eastAsia="宋体" w:cs="宋体"/>
          <w:color w:val="auto"/>
          <w:sz w:val="32"/>
          <w:szCs w:val="32"/>
        </w:rPr>
        <w:t>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本公司郑重声明，根据《政府采购促进中小企业发展暂行办法》（财库〔2011〕181号）的规定，本公司为______（请填写：中型、小型、微型）企业。即，本公司同时满足以下条件：</w:t>
      </w:r>
      <w:r>
        <w:rPr>
          <w:rFonts w:hint="eastAsia" w:ascii="宋体" w:hAnsi="宋体" w:eastAsia="宋体" w:cs="宋体"/>
          <w:color w:val="auto"/>
          <w:sz w:val="24"/>
        </w:rPr>
        <w:br w:type="textWrapping"/>
      </w:r>
      <w:r>
        <w:rPr>
          <w:rFonts w:hint="eastAsia" w:ascii="宋体" w:hAnsi="宋体" w:eastAsia="宋体" w:cs="宋体"/>
          <w:color w:val="auto"/>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eastAsia="宋体" w:cs="宋体"/>
          <w:color w:val="auto"/>
          <w:sz w:val="24"/>
        </w:rPr>
        <w:br w:type="textWrapping"/>
      </w:r>
      <w:r>
        <w:rPr>
          <w:rFonts w:hint="eastAsia" w:ascii="宋体" w:hAnsi="宋体" w:eastAsia="宋体" w:cs="宋体"/>
          <w:color w:val="auto"/>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宋体" w:hAnsi="宋体" w:eastAsia="宋体" w:cs="宋体"/>
          <w:color w:val="auto"/>
          <w:sz w:val="24"/>
        </w:rPr>
        <w:br w:type="textWrapping"/>
      </w:r>
      <w:r>
        <w:rPr>
          <w:rFonts w:hint="eastAsia" w:ascii="宋体" w:hAnsi="宋体" w:eastAsia="宋体" w:cs="宋体"/>
          <w:color w:val="auto"/>
          <w:sz w:val="24"/>
        </w:rPr>
        <w:t>　　本公司对上述声明的真实性负责。如有虚假，将依法承担相应责任。</w:t>
      </w:r>
      <w:r>
        <w:rPr>
          <w:rFonts w:hint="eastAsia" w:ascii="宋体" w:hAnsi="宋体" w:eastAsia="宋体" w:cs="宋体"/>
          <w:color w:val="auto"/>
          <w:sz w:val="24"/>
        </w:rPr>
        <w:br w:type="textWrapping"/>
      </w:r>
      <w:r>
        <w:rPr>
          <w:rFonts w:hint="eastAsia" w:ascii="宋体" w:hAnsi="宋体" w:eastAsia="宋体" w:cs="宋体"/>
          <w:color w:val="auto"/>
          <w:sz w:val="24"/>
        </w:rPr>
        <w:t>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企业名称（盖章）：</w:t>
      </w:r>
    </w:p>
    <w:p>
      <w:pPr>
        <w:spacing w:line="360" w:lineRule="auto"/>
        <w:ind w:firstLine="480" w:firstLineChars="200"/>
        <w:rPr>
          <w:rFonts w:hint="eastAsia" w:ascii="宋体" w:hAnsi="宋体" w:eastAsia="宋体" w:cs="宋体"/>
          <w:color w:val="auto"/>
          <w:sz w:val="24"/>
        </w:rPr>
        <w:sectPr>
          <w:pgSz w:w="11906" w:h="16838"/>
          <w:pgMar w:top="1440" w:right="1797" w:bottom="1440" w:left="1797" w:header="851" w:footer="992" w:gutter="0"/>
          <w:cols w:space="425" w:num="1"/>
          <w:docGrid w:linePitch="312" w:charSpace="0"/>
        </w:sectPr>
      </w:pPr>
      <w:r>
        <w:rPr>
          <w:rFonts w:hint="eastAsia" w:ascii="宋体" w:hAnsi="宋体" w:eastAsia="宋体" w:cs="宋体"/>
          <w:color w:val="auto"/>
          <w:sz w:val="24"/>
        </w:rPr>
        <w:t>企业法人（负责人）签字（签章）：</w:t>
      </w:r>
      <w:r>
        <w:rPr>
          <w:rFonts w:hint="eastAsia" w:ascii="宋体" w:hAnsi="宋体" w:eastAsia="宋体" w:cs="宋体"/>
          <w:color w:val="auto"/>
          <w:sz w:val="24"/>
        </w:rPr>
        <w:br w:type="textWrapping"/>
      </w:r>
      <w:r>
        <w:rPr>
          <w:rFonts w:hint="eastAsia" w:ascii="宋体" w:hAnsi="宋体" w:eastAsia="宋体" w:cs="宋体"/>
          <w:color w:val="auto"/>
          <w:sz w:val="24"/>
        </w:rPr>
        <w:t>　　日  期：</w:t>
      </w:r>
    </w:p>
    <w:p>
      <w:pPr>
        <w:jc w:val="center"/>
        <w:rPr>
          <w:rFonts w:hint="eastAsia" w:ascii="宋体" w:hAnsi="宋体" w:eastAsia="宋体" w:cs="宋体"/>
          <w:color w:val="auto"/>
          <w:kern w:val="0"/>
          <w:sz w:val="36"/>
          <w:szCs w:val="36"/>
        </w:rPr>
      </w:pPr>
      <w:r>
        <w:rPr>
          <w:rFonts w:hint="eastAsia" w:ascii="宋体" w:hAnsi="宋体" w:eastAsia="宋体" w:cs="宋体"/>
          <w:color w:val="auto"/>
          <w:kern w:val="0"/>
          <w:sz w:val="36"/>
          <w:szCs w:val="36"/>
        </w:rPr>
        <w:t>中小企业划型标准</w:t>
      </w:r>
    </w:p>
    <w:tbl>
      <w:tblPr>
        <w:tblStyle w:val="10"/>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营业收入</w:t>
            </w:r>
          </w:p>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从业人员</w:t>
            </w:r>
          </w:p>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总资产</w:t>
            </w:r>
          </w:p>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营业收入</w:t>
            </w:r>
          </w:p>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从业人员</w:t>
            </w:r>
          </w:p>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总资产</w:t>
            </w:r>
          </w:p>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营业收入</w:t>
            </w:r>
          </w:p>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1" w:leftChars="-40" w:right="-57" w:rightChars="-27" w:hanging="165" w:hangingChars="79"/>
              <w:jc w:val="center"/>
              <w:rPr>
                <w:rFonts w:hint="eastAsia" w:ascii="宋体" w:hAnsi="宋体" w:eastAsia="宋体" w:cs="宋体"/>
                <w:color w:val="auto"/>
                <w:kern w:val="0"/>
                <w:szCs w:val="21"/>
              </w:rPr>
            </w:pPr>
            <w:r>
              <w:rPr>
                <w:rFonts w:hint="eastAsia" w:ascii="宋体" w:hAnsi="宋体" w:eastAsia="宋体" w:cs="宋体"/>
                <w:color w:val="auto"/>
                <w:kern w:val="0"/>
                <w:szCs w:val="21"/>
              </w:rPr>
              <w:t>从业人员</w:t>
            </w:r>
          </w:p>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总资产</w:t>
            </w:r>
          </w:p>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营业收入</w:t>
            </w:r>
          </w:p>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从业人员</w:t>
            </w:r>
          </w:p>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总资产</w:t>
            </w:r>
          </w:p>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hint="eastAsia" w:ascii="宋体" w:hAnsi="宋体" w:eastAsia="宋体" w:cs="宋体"/>
                <w:color w:val="auto"/>
                <w:kern w:val="0"/>
                <w:szCs w:val="21"/>
              </w:rPr>
            </w:pPr>
            <w:r>
              <w:rPr>
                <w:rFonts w:hint="eastAsia" w:ascii="宋体" w:hAnsi="宋体" w:eastAsia="宋体" w:cs="宋体"/>
                <w:color w:val="auto"/>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27" w:leftChars="-40" w:right="-57" w:rightChars="-27" w:hanging="111" w:hangingChars="53"/>
              <w:jc w:val="center"/>
              <w:rPr>
                <w:rFonts w:hint="eastAsia" w:ascii="宋体" w:hAnsi="宋体" w:eastAsia="宋体" w:cs="宋体"/>
                <w:color w:val="auto"/>
                <w:kern w:val="0"/>
                <w:szCs w:val="21"/>
              </w:rPr>
            </w:pPr>
            <w:r>
              <w:rPr>
                <w:rFonts w:hint="eastAsia" w:ascii="宋体" w:hAnsi="宋体" w:eastAsia="宋体" w:cs="宋体"/>
                <w:color w:val="auto"/>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hint="eastAsia" w:ascii="宋体" w:hAnsi="宋体" w:eastAsia="宋体" w:cs="宋体"/>
                <w:color w:val="auto"/>
                <w:kern w:val="0"/>
                <w:szCs w:val="21"/>
              </w:rPr>
            </w:pPr>
            <w:r>
              <w:rPr>
                <w:rFonts w:hint="eastAsia" w:ascii="宋体" w:hAnsi="宋体" w:eastAsia="宋体" w:cs="宋体"/>
                <w:color w:val="auto"/>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hint="eastAsia" w:ascii="宋体" w:hAnsi="宋体" w:eastAsia="宋体" w:cs="宋体"/>
                <w:color w:val="auto"/>
                <w:kern w:val="0"/>
                <w:szCs w:val="21"/>
              </w:rPr>
            </w:pPr>
            <w:r>
              <w:rPr>
                <w:rFonts w:hint="eastAsia" w:ascii="宋体" w:hAnsi="宋体" w:eastAsia="宋体" w:cs="宋体"/>
                <w:color w:val="auto"/>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hint="eastAsia" w:ascii="宋体" w:hAnsi="宋体" w:eastAsia="宋体" w:cs="宋体"/>
                <w:color w:val="auto"/>
                <w:kern w:val="0"/>
                <w:szCs w:val="21"/>
              </w:rPr>
            </w:pPr>
            <w:r>
              <w:rPr>
                <w:rFonts w:hint="eastAsia" w:ascii="宋体" w:hAnsi="宋体" w:eastAsia="宋体" w:cs="宋体"/>
                <w:color w:val="auto"/>
                <w:kern w:val="0"/>
                <w:szCs w:val="21"/>
              </w:rPr>
              <w:t>　</w:t>
            </w:r>
          </w:p>
        </w:tc>
      </w:tr>
    </w:tbl>
    <w:p>
      <w:pPr>
        <w:spacing w:line="360" w:lineRule="auto"/>
        <w:rPr>
          <w:rFonts w:hint="eastAsia" w:ascii="宋体" w:hAnsi="宋体" w:eastAsia="宋体" w:cs="宋体"/>
          <w:color w:val="auto"/>
          <w:sz w:val="24"/>
        </w:rPr>
        <w:sectPr>
          <w:pgSz w:w="16838" w:h="11906" w:orient="landscape"/>
          <w:pgMar w:top="1797" w:right="1440" w:bottom="1797" w:left="1440" w:header="851" w:footer="992" w:gutter="0"/>
          <w:cols w:space="425" w:num="1"/>
          <w:docGrid w:linePitch="312" w:charSpace="0"/>
        </w:sectPr>
      </w:pPr>
    </w:p>
    <w:p>
      <w:pPr>
        <w:rPr>
          <w:rFonts w:hint="eastAsia" w:ascii="宋体" w:hAnsi="宋体" w:eastAsia="宋体" w:cs="宋体"/>
          <w:color w:val="auto"/>
          <w:sz w:val="24"/>
        </w:rPr>
      </w:pPr>
      <w:r>
        <w:rPr>
          <w:rFonts w:hint="eastAsia" w:ascii="宋体" w:hAnsi="宋体" w:eastAsia="宋体" w:cs="宋体"/>
          <w:color w:val="auto"/>
          <w:sz w:val="24"/>
        </w:rPr>
        <w:t>附件1</w:t>
      </w:r>
      <w:r>
        <w:rPr>
          <w:rFonts w:hint="eastAsia" w:ascii="宋体" w:hAnsi="宋体" w:eastAsia="宋体" w:cs="宋体"/>
          <w:color w:val="auto"/>
          <w:sz w:val="24"/>
          <w:lang w:val="en-US" w:eastAsia="zh-CN"/>
        </w:rPr>
        <w:t>3</w:t>
      </w:r>
      <w:r>
        <w:rPr>
          <w:rFonts w:hint="eastAsia" w:ascii="宋体" w:hAnsi="宋体" w:eastAsia="宋体" w:cs="宋体"/>
          <w:color w:val="auto"/>
          <w:sz w:val="24"/>
        </w:rPr>
        <w:t>-2</w:t>
      </w:r>
    </w:p>
    <w:p>
      <w:pPr>
        <w:spacing w:line="588" w:lineRule="exact"/>
        <w:ind w:firstLine="667"/>
        <w:jc w:val="center"/>
        <w:rPr>
          <w:rFonts w:hint="eastAsia" w:ascii="宋体" w:hAnsi="宋体" w:eastAsia="宋体" w:cs="宋体"/>
          <w:b/>
          <w:color w:val="auto"/>
          <w:spacing w:val="6"/>
          <w:sz w:val="32"/>
          <w:szCs w:val="32"/>
        </w:rPr>
      </w:pPr>
      <w:bookmarkStart w:id="44" w:name="OLE_LINK14"/>
      <w:bookmarkStart w:id="45" w:name="OLE_LINK13"/>
      <w:r>
        <w:rPr>
          <w:rFonts w:hint="eastAsia" w:ascii="宋体" w:hAnsi="宋体" w:eastAsia="宋体" w:cs="宋体"/>
          <w:b/>
          <w:color w:val="auto"/>
          <w:spacing w:val="6"/>
          <w:sz w:val="32"/>
          <w:szCs w:val="32"/>
        </w:rPr>
        <w:t>残疾人福利性单位声明函</w:t>
      </w:r>
    </w:p>
    <w:bookmarkEnd w:id="44"/>
    <w:bookmarkEnd w:id="45"/>
    <w:p>
      <w:pPr>
        <w:spacing w:line="588" w:lineRule="exact"/>
        <w:ind w:firstLine="626"/>
        <w:rPr>
          <w:rFonts w:hint="eastAsia" w:ascii="宋体" w:hAnsi="宋体" w:eastAsia="宋体" w:cs="宋体"/>
          <w:b/>
          <w:color w:val="auto"/>
          <w:spacing w:val="6"/>
          <w:sz w:val="30"/>
          <w:szCs w:val="30"/>
        </w:rPr>
      </w:pP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本单位郑重声明，根据《财政部 民政部 中国残疾人联合会关于促进残疾人就业政府采购政策的通知》（财库</w:t>
      </w:r>
      <w:r>
        <w:rPr>
          <w:rFonts w:hint="eastAsia" w:ascii="宋体" w:hAnsi="宋体" w:eastAsia="宋体" w:cs="宋体"/>
          <w:color w:val="auto"/>
          <w:sz w:val="32"/>
          <w:szCs w:val="32"/>
        </w:rPr>
        <w:t>〔2017〕 141</w:t>
      </w:r>
      <w:r>
        <w:rPr>
          <w:rFonts w:hint="eastAsia" w:ascii="宋体" w:hAnsi="宋体" w:eastAsia="宋体" w:cs="宋体"/>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本单位对上述声明的真实性负责。如有虚假，将依法承担相应责任。</w:t>
      </w:r>
    </w:p>
    <w:p>
      <w:pPr>
        <w:spacing w:line="588" w:lineRule="exact"/>
        <w:ind w:firstLine="624"/>
        <w:rPr>
          <w:rFonts w:hint="eastAsia" w:ascii="宋体" w:hAnsi="宋体" w:eastAsia="宋体" w:cs="宋体"/>
          <w:color w:val="auto"/>
          <w:spacing w:val="6"/>
          <w:sz w:val="30"/>
          <w:szCs w:val="30"/>
        </w:rPr>
      </w:pPr>
    </w:p>
    <w:p>
      <w:pPr>
        <w:spacing w:line="588" w:lineRule="exact"/>
        <w:ind w:firstLine="624"/>
        <w:rPr>
          <w:rFonts w:hint="eastAsia" w:ascii="宋体" w:hAnsi="宋体" w:eastAsia="宋体" w:cs="宋体"/>
          <w:color w:val="auto"/>
          <w:spacing w:val="6"/>
          <w:sz w:val="30"/>
          <w:szCs w:val="30"/>
        </w:rPr>
      </w:pPr>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单位名称（盖章）：</w:t>
      </w:r>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日  期：</w:t>
      </w:r>
    </w:p>
    <w:p>
      <w:pPr>
        <w:widowControl/>
        <w:jc w:val="left"/>
        <w:rPr>
          <w:rFonts w:hint="eastAsia" w:ascii="宋体" w:hAnsi="宋体" w:eastAsia="宋体" w:cs="宋体"/>
          <w:bCs/>
          <w:color w:val="auto"/>
          <w:sz w:val="32"/>
          <w:szCs w:val="32"/>
        </w:rPr>
      </w:pPr>
      <w:r>
        <w:rPr>
          <w:rFonts w:hint="eastAsia" w:ascii="宋体" w:hAnsi="宋体" w:eastAsia="宋体" w:cs="宋体"/>
          <w:bCs/>
          <w:color w:val="auto"/>
          <w:sz w:val="32"/>
          <w:szCs w:val="32"/>
        </w:rPr>
        <w:br w:type="page"/>
      </w:r>
    </w:p>
    <w:p>
      <w:pPr>
        <w:outlineLvl w:val="0"/>
        <w:rPr>
          <w:rFonts w:hint="eastAsia" w:ascii="宋体" w:hAnsi="宋体" w:eastAsia="宋体" w:cs="宋体"/>
          <w:color w:val="auto"/>
          <w:sz w:val="24"/>
        </w:rPr>
      </w:pPr>
      <w:bookmarkStart w:id="46" w:name="_Toc26728"/>
      <w:bookmarkStart w:id="47" w:name="_Toc21259"/>
      <w:r>
        <w:rPr>
          <w:rFonts w:hint="eastAsia" w:ascii="宋体" w:hAnsi="宋体" w:eastAsia="宋体" w:cs="宋体"/>
          <w:color w:val="auto"/>
          <w:sz w:val="24"/>
        </w:rPr>
        <w:t>附件1</w:t>
      </w:r>
      <w:r>
        <w:rPr>
          <w:rFonts w:hint="eastAsia" w:ascii="宋体" w:hAnsi="宋体" w:eastAsia="宋体" w:cs="宋体"/>
          <w:color w:val="auto"/>
          <w:sz w:val="24"/>
          <w:lang w:val="en-US" w:eastAsia="zh-CN"/>
        </w:rPr>
        <w:t>3</w:t>
      </w:r>
      <w:r>
        <w:rPr>
          <w:rFonts w:hint="eastAsia" w:ascii="宋体" w:hAnsi="宋体" w:eastAsia="宋体" w:cs="宋体"/>
          <w:color w:val="auto"/>
          <w:sz w:val="24"/>
        </w:rPr>
        <w:t>-3</w:t>
      </w:r>
      <w:bookmarkEnd w:id="46"/>
      <w:bookmarkEnd w:id="47"/>
    </w:p>
    <w:p>
      <w:pPr>
        <w:rPr>
          <w:rFonts w:hint="eastAsia" w:ascii="宋体" w:hAnsi="宋体" w:eastAsia="宋体" w:cs="宋体"/>
          <w:color w:val="auto"/>
          <w:sz w:val="24"/>
        </w:rPr>
      </w:pPr>
    </w:p>
    <w:p>
      <w:pPr>
        <w:tabs>
          <w:tab w:val="left" w:pos="7665"/>
        </w:tabs>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省级以上监狱管理局、戒毒管理局（含新疆生产建设兵团）出具的属于监狱企业的证明文件</w:t>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textWrapping"/>
      </w:r>
    </w:p>
    <w:p>
      <w:pPr>
        <w:widowControl/>
        <w:jc w:val="left"/>
        <w:rPr>
          <w:rFonts w:hint="eastAsia" w:ascii="宋体" w:hAnsi="宋体" w:eastAsia="宋体" w:cs="宋体"/>
          <w:bCs/>
          <w:color w:val="auto"/>
          <w:sz w:val="32"/>
          <w:szCs w:val="32"/>
        </w:rPr>
      </w:pPr>
      <w:r>
        <w:rPr>
          <w:rFonts w:hint="eastAsia" w:ascii="宋体" w:hAnsi="宋体" w:eastAsia="宋体" w:cs="宋体"/>
          <w:bCs/>
          <w:color w:val="auto"/>
          <w:sz w:val="32"/>
          <w:szCs w:val="32"/>
        </w:rPr>
        <w:br w:type="page"/>
      </w:r>
    </w:p>
    <w:p>
      <w:pPr>
        <w:tabs>
          <w:tab w:val="left" w:pos="7665"/>
        </w:tabs>
        <w:jc w:val="center"/>
        <w:outlineLvl w:val="1"/>
        <w:rPr>
          <w:rFonts w:hint="eastAsia" w:ascii="宋体" w:hAnsi="宋体" w:eastAsia="宋体" w:cs="宋体"/>
          <w:color w:val="auto"/>
        </w:rPr>
      </w:pPr>
      <w:r>
        <w:rPr>
          <w:rFonts w:hint="eastAsia" w:ascii="宋体" w:hAnsi="宋体" w:eastAsia="宋体" w:cs="宋体"/>
          <w:bCs/>
          <w:color w:val="auto"/>
          <w:sz w:val="32"/>
          <w:szCs w:val="32"/>
        </w:rPr>
        <w:t>其他资格证明文件及资料</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11</w:t>
    </w:r>
    <w:r>
      <w:rPr>
        <w:rFonts w:hint="eastAsia" w:ascii="宋体" w:hAnsi="宋体" w:eastAsia="宋体" w:cs="宋体"/>
        <w:sz w:val="21"/>
        <w:szCs w:val="21"/>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6"/>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5A095B0F"/>
    <w:multiLevelType w:val="singleLevel"/>
    <w:tmpl w:val="5A095B0F"/>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F237D"/>
    <w:rsid w:val="017367D0"/>
    <w:rsid w:val="04F9540E"/>
    <w:rsid w:val="061D23C8"/>
    <w:rsid w:val="0BB85448"/>
    <w:rsid w:val="0F0B5FF7"/>
    <w:rsid w:val="212942DD"/>
    <w:rsid w:val="3FDD236E"/>
    <w:rsid w:val="421649D4"/>
    <w:rsid w:val="45253BAE"/>
    <w:rsid w:val="4FD82D56"/>
    <w:rsid w:val="535F7E9C"/>
    <w:rsid w:val="57E96678"/>
    <w:rsid w:val="59FD5E48"/>
    <w:rsid w:val="5AB337C9"/>
    <w:rsid w:val="606F20E5"/>
    <w:rsid w:val="614F237D"/>
    <w:rsid w:val="67FA00D2"/>
    <w:rsid w:val="6C791476"/>
    <w:rsid w:val="725C4057"/>
    <w:rsid w:val="780B6CE5"/>
    <w:rsid w:val="78D00C00"/>
    <w:rsid w:val="7F512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2">
    <w:name w:val="heading 4"/>
    <w:basedOn w:val="1"/>
    <w:next w:val="1"/>
    <w:unhideWhenUsed/>
    <w:qFormat/>
    <w:uiPriority w:val="9"/>
    <w:pPr>
      <w:keepNext/>
      <w:keepLines/>
      <w:widowControl w:val="0"/>
      <w:suppressLineNumbers w:val="0"/>
      <w:spacing w:before="280" w:beforeAutospacing="0" w:after="290" w:afterAutospacing="0" w:line="374" w:lineRule="auto"/>
      <w:ind w:left="0" w:right="0"/>
      <w:jc w:val="both"/>
      <w:outlineLvl w:val="3"/>
    </w:pPr>
    <w:rPr>
      <w:rFonts w:hint="default" w:ascii="Calibri Light" w:hAnsi="Calibri Light" w:eastAsia="Calibri Light" w:cs="Times New Roman"/>
      <w:b/>
      <w:kern w:val="2"/>
      <w:sz w:val="28"/>
      <w:szCs w:val="28"/>
      <w:lang w:val="en-US" w:eastAsia="zh-CN" w:bidi="ar"/>
    </w:rPr>
  </w:style>
  <w:style w:type="paragraph" w:styleId="4">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eastAsia="宋体"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unhideWhenUsed/>
    <w:qFormat/>
    <w:uiPriority w:val="0"/>
    <w:pPr>
      <w:spacing w:beforeAutospacing="1" w:afterAutospacing="1"/>
      <w:jc w:val="left"/>
    </w:pPr>
    <w:rPr>
      <w:rFonts w:cs="Times New Roman"/>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styleId="15">
    <w:name w:val="List Paragraph"/>
    <w:basedOn w:val="1"/>
    <w:qFormat/>
    <w:uiPriority w:val="99"/>
    <w:pPr>
      <w:ind w:firstLine="420" w:firstLineChars="200"/>
    </w:pPr>
    <w:rPr>
      <w:rFonts w:ascii="Calibri" w:hAnsi="Calibri" w:eastAsia="宋体" w:cs="Times New Roman"/>
      <w:szCs w:val="21"/>
    </w:rPr>
  </w:style>
  <w:style w:type="paragraph" w:customStyle="1" w:styleId="16">
    <w:name w:val="Table Paragraph"/>
    <w:basedOn w:val="1"/>
    <w:qFormat/>
    <w:uiPriority w:val="1"/>
  </w:style>
  <w:style w:type="character" w:customStyle="1" w:styleId="17">
    <w:name w:val="NormalCharacter"/>
    <w:semiHidden/>
    <w:qFormat/>
    <w:uiPriority w:val="0"/>
  </w:style>
  <w:style w:type="paragraph" w:customStyle="1" w:styleId="18">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2021-04-26T06:32:00Z</dcterms:created>
  <dc:creator>Stone</dc:creator>
  <cp:lastModifiedBy>Stone</cp:lastModifiedBy>
  <cp:lastPrinted>2021-04-29T06:00:00Z</cp:lastPrinted>
  <dcterms:modified xsi:type="dcterms:W3CDTF">2021-05-21T08:29:07Z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929E0CBAB37641F8929F789A13373210</vt:lpwstr>
  </property>
</Properties>
</file>