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52"/>
          <w:szCs w:val="52"/>
        </w:rPr>
      </w:pPr>
      <w:bookmarkStart w:id="24" w:name="_GoBack"/>
      <w:bookmarkEnd w:id="24"/>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jc w:val="center"/>
        <w:rPr>
          <w:rFonts w:ascii="Times New Roman" w:hAnsi="Times New Roman" w:eastAsia="宋体" w:cs="Times New Roman"/>
          <w:bCs/>
          <w:color w:val="000000"/>
          <w:w w:val="66"/>
          <w:sz w:val="144"/>
          <w:szCs w:val="144"/>
        </w:rPr>
      </w:pPr>
      <w:r>
        <w:rPr>
          <w:rFonts w:ascii="Times New Roman" w:hAnsi="Times New Roman" w:eastAsia="宋体" w:cs="Times New Roman"/>
          <w:bCs/>
          <w:color w:val="000000"/>
          <w:w w:val="66"/>
          <w:sz w:val="144"/>
          <w:szCs w:val="144"/>
        </w:rPr>
        <w:t>竞争性磋商文件</w:t>
      </w: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rPr>
          <w:rFonts w:ascii="Times New Roman" w:hAnsi="Times New Roman" w:cs="Times New Roman"/>
          <w:sz w:val="30"/>
          <w:szCs w:val="30"/>
        </w:rPr>
      </w:pPr>
      <w:r>
        <w:rPr>
          <w:rFonts w:ascii="Times New Roman" w:hAnsi="Times New Roman" w:cs="Times New Roman"/>
          <w:sz w:val="30"/>
          <w:szCs w:val="30"/>
        </w:rPr>
        <w:t>项目编号：</w:t>
      </w:r>
      <w:r>
        <w:rPr>
          <w:rFonts w:hint="eastAsia" w:ascii="Times New Roman" w:hAnsi="Times New Roman" w:cs="Times New Roman"/>
          <w:sz w:val="30"/>
          <w:szCs w:val="30"/>
        </w:rPr>
        <w:t xml:space="preserve"> </w:t>
      </w:r>
      <w:r>
        <w:rPr>
          <w:rFonts w:hint="eastAsia" w:ascii="Times New Roman" w:hAnsi="Times New Roman" w:cs="Times New Roman"/>
          <w:sz w:val="30"/>
          <w:szCs w:val="30"/>
          <w:u w:val="single"/>
          <w:lang w:eastAsia="zh-CN"/>
        </w:rPr>
        <w:t>131-202</w:t>
      </w:r>
      <w:r>
        <w:rPr>
          <w:rFonts w:hint="eastAsia" w:ascii="Times New Roman" w:hAnsi="Times New Roman" w:cs="Times New Roman"/>
          <w:sz w:val="30"/>
          <w:szCs w:val="30"/>
          <w:u w:val="single"/>
          <w:lang w:val="en-US" w:eastAsia="zh-CN"/>
        </w:rPr>
        <w:t>1</w:t>
      </w:r>
      <w:r>
        <w:rPr>
          <w:rFonts w:hint="eastAsia" w:ascii="Times New Roman" w:hAnsi="Times New Roman" w:cs="Times New Roman"/>
          <w:sz w:val="30"/>
          <w:szCs w:val="30"/>
          <w:u w:val="single"/>
          <w:lang w:eastAsia="zh-CN"/>
        </w:rPr>
        <w:t>CG-</w:t>
      </w:r>
      <w:r>
        <w:rPr>
          <w:rFonts w:hint="eastAsia" w:ascii="Times New Roman" w:hAnsi="Times New Roman" w:cs="Times New Roman"/>
          <w:sz w:val="30"/>
          <w:szCs w:val="30"/>
          <w:u w:val="single"/>
          <w:lang w:val="en-US" w:eastAsia="zh-CN"/>
        </w:rPr>
        <w:t>68</w:t>
      </w:r>
    </w:p>
    <w:p>
      <w:pPr>
        <w:tabs>
          <w:tab w:val="left" w:pos="2100"/>
        </w:tabs>
        <w:jc w:val="left"/>
        <w:rPr>
          <w:rFonts w:ascii="Times New Roman" w:hAnsi="Times New Roman" w:cs="Times New Roman"/>
          <w:sz w:val="30"/>
          <w:szCs w:val="30"/>
        </w:rPr>
      </w:pPr>
      <w:r>
        <w:rPr>
          <w:rFonts w:hint="eastAsia" w:ascii="Times New Roman" w:hAnsi="Times New Roman" w:cs="Times New Roman"/>
          <w:sz w:val="30"/>
          <w:szCs w:val="30"/>
        </w:rPr>
        <w:t>采</w:t>
      </w:r>
      <w:r>
        <w:rPr>
          <w:rFonts w:ascii="Times New Roman" w:hAnsi="Times New Roman" w:cs="Times New Roman"/>
          <w:sz w:val="30"/>
          <w:szCs w:val="30"/>
        </w:rPr>
        <w:t xml:space="preserve"> </w:t>
      </w:r>
      <w:r>
        <w:rPr>
          <w:rFonts w:hint="eastAsia" w:ascii="Times New Roman" w:hAnsi="Times New Roman" w:cs="Times New Roman"/>
          <w:sz w:val="30"/>
          <w:szCs w:val="30"/>
        </w:rPr>
        <w:t>购</w:t>
      </w:r>
      <w:r>
        <w:rPr>
          <w:rFonts w:ascii="Times New Roman" w:hAnsi="Times New Roman" w:cs="Times New Roman"/>
          <w:sz w:val="30"/>
          <w:szCs w:val="30"/>
        </w:rPr>
        <w:t xml:space="preserve"> </w:t>
      </w:r>
      <w:r>
        <w:rPr>
          <w:rFonts w:hint="eastAsia" w:ascii="Times New Roman" w:hAnsi="Times New Roman" w:cs="Times New Roman"/>
          <w:sz w:val="30"/>
          <w:szCs w:val="30"/>
        </w:rPr>
        <w:t>人：</w:t>
      </w:r>
      <w:r>
        <w:rPr>
          <w:rFonts w:ascii="Times New Roman" w:hAnsi="Times New Roman" w:cs="Times New Roman"/>
          <w:sz w:val="30"/>
          <w:szCs w:val="30"/>
        </w:rPr>
        <w:t xml:space="preserve"> </w:t>
      </w:r>
      <w:r>
        <w:rPr>
          <w:rFonts w:hint="eastAsia" w:ascii="Times New Roman" w:hAnsi="Times New Roman" w:cs="Times New Roman"/>
          <w:sz w:val="30"/>
          <w:szCs w:val="30"/>
          <w:u w:val="single"/>
          <w:lang w:eastAsia="zh-CN"/>
        </w:rPr>
        <w:t>阳新县城市管理执法局</w:t>
      </w:r>
    </w:p>
    <w:p>
      <w:pPr>
        <w:rPr>
          <w:rFonts w:hint="eastAsia" w:ascii="Times New Roman" w:hAnsi="Times New Roman" w:eastAsia="宋体" w:cs="Times New Roman"/>
          <w:sz w:val="30"/>
          <w:szCs w:val="30"/>
          <w:lang w:eastAsia="zh-CN"/>
        </w:rPr>
      </w:pPr>
      <w:r>
        <w:rPr>
          <w:rFonts w:ascii="Times New Roman" w:hAnsi="Times New Roman" w:cs="Times New Roman"/>
          <w:sz w:val="30"/>
          <w:szCs w:val="30"/>
        </w:rPr>
        <w:t xml:space="preserve">项目名称： </w:t>
      </w:r>
      <w:r>
        <w:rPr>
          <w:rFonts w:hint="eastAsia" w:ascii="Times New Roman" w:hAnsi="Times New Roman" w:cs="Times New Roman"/>
          <w:sz w:val="30"/>
          <w:szCs w:val="30"/>
          <w:u w:val="single"/>
          <w:lang w:eastAsia="zh-CN"/>
        </w:rPr>
        <w:t>2020年兴国镇和枫林镇生活垃圾分类</w:t>
      </w:r>
    </w:p>
    <w:p>
      <w:pPr>
        <w:rPr>
          <w:rFonts w:hint="eastAsia" w:ascii="Times New Roman" w:hAnsi="Times New Roman" w:eastAsia="宋体" w:cs="Times New Roman"/>
          <w:sz w:val="30"/>
          <w:szCs w:val="30"/>
          <w:lang w:eastAsia="zh-CN"/>
        </w:rPr>
      </w:pPr>
      <w:r>
        <w:rPr>
          <w:rFonts w:ascii="Times New Roman" w:hAnsi="Times New Roman" w:cs="Times New Roman"/>
          <w:sz w:val="30"/>
          <w:szCs w:val="30"/>
        </w:rPr>
        <w:t xml:space="preserve">磋商内容： </w:t>
      </w:r>
      <w:r>
        <w:rPr>
          <w:rFonts w:hint="eastAsia" w:ascii="Times New Roman" w:hAnsi="Times New Roman" w:cs="Times New Roman"/>
          <w:sz w:val="30"/>
          <w:szCs w:val="30"/>
          <w:u w:val="single"/>
          <w:lang w:eastAsia="zh-CN"/>
        </w:rPr>
        <w:t>垃圾分类</w:t>
      </w:r>
    </w:p>
    <w:p>
      <w:pPr>
        <w:rPr>
          <w:rFonts w:ascii="Times New Roman" w:hAnsi="Times New Roman" w:cs="Times New Roman"/>
          <w:sz w:val="30"/>
          <w:szCs w:val="30"/>
        </w:rPr>
      </w:pPr>
    </w:p>
    <w:p>
      <w:pPr>
        <w:adjustRightInd w:val="0"/>
        <w:snapToGrid w:val="0"/>
        <w:jc w:val="center"/>
        <w:rPr>
          <w:rFonts w:hint="eastAsia" w:ascii="Times New Roman" w:hAnsi="Times New Roman" w:eastAsia="宋体" w:cs="Times New Roman"/>
          <w:bCs/>
          <w:sz w:val="56"/>
          <w:szCs w:val="56"/>
          <w:lang w:eastAsia="zh-CN"/>
        </w:rPr>
      </w:pPr>
      <w:r>
        <w:rPr>
          <w:rFonts w:hint="eastAsia" w:ascii="Times New Roman" w:hAnsi="Times New Roman" w:cs="Times New Roman"/>
          <w:bCs/>
          <w:sz w:val="56"/>
          <w:szCs w:val="56"/>
          <w:lang w:eastAsia="zh-CN"/>
        </w:rPr>
        <w:t>立信大华工程咨询有限责任公司</w:t>
      </w:r>
    </w:p>
    <w:p>
      <w:pPr>
        <w:spacing w:line="520" w:lineRule="exact"/>
        <w:jc w:val="center"/>
        <w:rPr>
          <w:rFonts w:ascii="Times New Roman" w:hAnsi="Times New Roman" w:cs="Times New Roman"/>
          <w:b/>
          <w:sz w:val="32"/>
          <w:szCs w:val="32"/>
        </w:rPr>
        <w:sectPr>
          <w:footerReference r:id="rId4" w:type="default"/>
          <w:headerReference r:id="rId3" w:type="even"/>
          <w:footerReference r:id="rId5" w:type="even"/>
          <w:pgSz w:w="11906" w:h="16838"/>
          <w:pgMar w:top="1480" w:right="1800" w:bottom="1440" w:left="1800" w:header="851" w:footer="0" w:gutter="0"/>
          <w:cols w:space="720" w:num="1"/>
          <w:titlePg/>
          <w:docGrid w:type="lines" w:linePitch="312" w:charSpace="0"/>
        </w:sectPr>
      </w:pPr>
      <w:r>
        <w:rPr>
          <w:rFonts w:hint="eastAsia" w:ascii="Times New Roman" w:hAnsi="Times New Roman" w:cs="Times New Roman"/>
          <w:sz w:val="32"/>
          <w:szCs w:val="32"/>
          <w:u w:val="single"/>
        </w:rPr>
        <w:t>20</w:t>
      </w:r>
      <w:r>
        <w:rPr>
          <w:rFonts w:hint="eastAsia" w:ascii="Times New Roman" w:hAnsi="Times New Roman" w:cs="Times New Roman"/>
          <w:sz w:val="32"/>
          <w:szCs w:val="32"/>
          <w:u w:val="single"/>
          <w:lang w:val="en-US" w:eastAsia="zh-CN"/>
        </w:rPr>
        <w:t>21</w:t>
      </w:r>
      <w:r>
        <w:rPr>
          <w:rFonts w:hint="eastAsia" w:ascii="Times New Roman" w:hAnsi="Times New Roman" w:cs="Times New Roman"/>
          <w:sz w:val="32"/>
          <w:szCs w:val="32"/>
        </w:rPr>
        <w:t xml:space="preserve"> </w:t>
      </w:r>
      <w:r>
        <w:rPr>
          <w:rFonts w:ascii="Times New Roman" w:hAnsi="Times New Roman" w:cs="Times New Roman"/>
          <w:sz w:val="32"/>
          <w:szCs w:val="32"/>
        </w:rPr>
        <w:t>年</w:t>
      </w:r>
      <w:r>
        <w:rPr>
          <w:rFonts w:ascii="Times New Roman" w:hAnsi="Times New Roman" w:cs="Times New Roman"/>
          <w:sz w:val="32"/>
          <w:szCs w:val="32"/>
          <w:u w:val="single"/>
        </w:rPr>
        <w:t xml:space="preserve"> </w:t>
      </w:r>
      <w:r>
        <w:rPr>
          <w:rFonts w:hint="eastAsia" w:ascii="Times New Roman" w:hAnsi="Times New Roman" w:cs="Times New Roman"/>
          <w:sz w:val="32"/>
          <w:szCs w:val="32"/>
          <w:u w:val="single"/>
          <w:lang w:val="en-US" w:eastAsia="zh-CN"/>
        </w:rPr>
        <w:t xml:space="preserve">04 </w:t>
      </w:r>
      <w:r>
        <w:rPr>
          <w:rFonts w:ascii="Times New Roman" w:hAnsi="Times New Roman" w:cs="Times New Roman"/>
          <w:sz w:val="32"/>
          <w:szCs w:val="32"/>
        </w:rPr>
        <w:t>月</w:t>
      </w:r>
    </w:p>
    <w:p>
      <w:pPr>
        <w:jc w:val="center"/>
        <w:rPr>
          <w:rFonts w:ascii="Times New Roman" w:hAnsi="Times New Roman" w:cs="Times New Roman"/>
          <w:b/>
          <w:sz w:val="24"/>
          <w:szCs w:val="24"/>
        </w:rPr>
      </w:pPr>
    </w:p>
    <w:p>
      <w:pPr>
        <w:jc w:val="center"/>
        <w:rPr>
          <w:rFonts w:ascii="Times New Roman" w:hAnsi="Times New Roman" w:cs="Times New Roman"/>
          <w:b/>
          <w:sz w:val="36"/>
          <w:szCs w:val="36"/>
        </w:rPr>
      </w:pPr>
      <w:r>
        <w:rPr>
          <w:rFonts w:ascii="Times New Roman" w:hAnsi="Times New Roman" w:cs="Times New Roman"/>
          <w:b/>
          <w:sz w:val="36"/>
          <w:szCs w:val="36"/>
        </w:rPr>
        <w:t>目  录</w:t>
      </w:r>
    </w:p>
    <w:p>
      <w:pPr>
        <w:rPr>
          <w:rFonts w:ascii="Times New Roman" w:hAnsi="Times New Roman" w:eastAsia="黑体" w:cs="Times New Roman"/>
          <w:sz w:val="24"/>
          <w:szCs w:val="24"/>
        </w:rPr>
      </w:pP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第一章  磋商邀请函·········································································</w:t>
      </w:r>
      <w:r>
        <w:rPr>
          <w:rFonts w:hint="eastAsia" w:ascii="Times New Roman" w:hAnsi="Times New Roman" w:cs="Times New Roman"/>
          <w:sz w:val="24"/>
          <w:szCs w:val="24"/>
        </w:rPr>
        <w:t>3</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第二章  磋商须知············································································</w:t>
      </w:r>
      <w:r>
        <w:rPr>
          <w:rFonts w:hint="eastAsia" w:ascii="Times New Roman" w:hAnsi="Times New Roman" w:cs="Times New Roman"/>
          <w:sz w:val="24"/>
          <w:szCs w:val="24"/>
        </w:rPr>
        <w:t>5</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rPr>
        <w:t>15</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rPr>
        <w:t>16</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第五章  合同书（格式）···································································</w:t>
      </w:r>
      <w:r>
        <w:rPr>
          <w:rFonts w:hint="eastAsia" w:ascii="Times New Roman" w:hAnsi="Times New Roman" w:cs="Times New Roman"/>
          <w:sz w:val="24"/>
          <w:szCs w:val="24"/>
        </w:rPr>
        <w:t>18</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第六章  响应文件格式······································································2</w:t>
      </w:r>
      <w:r>
        <w:rPr>
          <w:rFonts w:hint="eastAsia" w:ascii="Times New Roman" w:hAnsi="Times New Roman" w:cs="Times New Roman"/>
          <w:sz w:val="24"/>
          <w:szCs w:val="24"/>
        </w:rPr>
        <w:t>0</w:t>
      </w:r>
    </w:p>
    <w:p>
      <w:pPr>
        <w:spacing w:line="480" w:lineRule="auto"/>
        <w:jc w:val="left"/>
        <w:rPr>
          <w:rFonts w:ascii="Times New Roman" w:hAnsi="Times New Roman" w:cs="Times New Roman"/>
          <w:sz w:val="24"/>
          <w:szCs w:val="24"/>
        </w:rPr>
      </w:pPr>
    </w:p>
    <w:p>
      <w:pPr>
        <w:widowControl/>
        <w:jc w:val="left"/>
        <w:rPr>
          <w:rFonts w:ascii="Times New Roman" w:hAnsi="Times New Roman" w:cs="Times New Roman"/>
          <w:sz w:val="24"/>
          <w:szCs w:val="24"/>
        </w:rPr>
        <w:sectPr>
          <w:headerReference r:id="rId6" w:type="default"/>
          <w:pgSz w:w="11906" w:h="16838"/>
          <w:pgMar w:top="1440" w:right="1800" w:bottom="1440" w:left="1800" w:header="851" w:footer="992" w:gutter="0"/>
          <w:cols w:space="720" w:num="1"/>
          <w:docGrid w:type="lines" w:linePitch="312" w:charSpace="0"/>
        </w:sectPr>
      </w:pPr>
    </w:p>
    <w:p>
      <w:pPr>
        <w:spacing w:line="500" w:lineRule="exact"/>
        <w:jc w:val="center"/>
        <w:rPr>
          <w:rFonts w:ascii="Times New Roman" w:hAnsi="Times New Roman" w:cs="Times New Roman"/>
          <w:b/>
          <w:bCs/>
          <w:sz w:val="36"/>
          <w:szCs w:val="36"/>
        </w:rPr>
      </w:pPr>
      <w:r>
        <w:rPr>
          <w:rFonts w:ascii="Times New Roman" w:hAnsi="Times New Roman" w:cs="Times New Roman"/>
          <w:b/>
          <w:bCs/>
          <w:sz w:val="36"/>
          <w:szCs w:val="36"/>
        </w:rPr>
        <w:t>第一章 邀请函</w:t>
      </w:r>
    </w:p>
    <w:p>
      <w:pPr>
        <w:spacing w:line="420" w:lineRule="exact"/>
        <w:rPr>
          <w:rFonts w:ascii="Times New Roman" w:hAnsi="Times New Roman" w:cs="Times New Roman"/>
          <w:bCs/>
          <w:sz w:val="24"/>
          <w:szCs w:val="24"/>
        </w:rPr>
      </w:pP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rPr>
        <w:t>（受邀请供应商名称）：</w:t>
      </w:r>
    </w:p>
    <w:p>
      <w:pPr>
        <w:adjustRightInd w:val="0"/>
        <w:snapToGrid w:val="0"/>
        <w:spacing w:line="360" w:lineRule="auto"/>
        <w:ind w:left="239" w:leftChars="114" w:firstLine="240" w:firstLineChars="1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sz w:val="24"/>
          <w:szCs w:val="24"/>
        </w:rPr>
        <w:t>（</w:t>
      </w:r>
      <w:r>
        <w:rPr>
          <w:rFonts w:hint="eastAsia" w:ascii="Times New Roman" w:hAnsi="Times New Roman" w:cs="Times New Roman"/>
          <w:sz w:val="24"/>
          <w:szCs w:val="24"/>
          <w:lang w:eastAsia="zh-CN"/>
        </w:rPr>
        <w:t>2020年兴国镇和枫林镇生活垃圾分类</w:t>
      </w:r>
      <w:r>
        <w:rPr>
          <w:rFonts w:hint="eastAsia" w:ascii="Times New Roman" w:hAnsi="Times New Roman" w:cs="Times New Roman"/>
          <w:sz w:val="24"/>
          <w:szCs w:val="24"/>
        </w:rPr>
        <w:t>，阳财采计备[20</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 xml:space="preserve">A60 </w:t>
      </w:r>
      <w:r>
        <w:rPr>
          <w:rFonts w:hint="eastAsia" w:ascii="Times New Roman" w:hAnsi="Times New Roman" w:cs="Times New Roman"/>
          <w:sz w:val="24"/>
          <w:szCs w:val="24"/>
          <w:highlight w:val="none"/>
        </w:rPr>
        <w:t>号）</w:t>
      </w:r>
      <w:r>
        <w:rPr>
          <w:rFonts w:ascii="Times New Roman" w:hAnsi="Times New Roman" w:cs="Times New Roman"/>
          <w:sz w:val="24"/>
          <w:szCs w:val="24"/>
        </w:rPr>
        <w:t>磋商供应商，现邀请你公司参加竞争性磋商。</w:t>
      </w:r>
    </w:p>
    <w:p>
      <w:pPr>
        <w:numPr>
          <w:ilvl w:val="0"/>
          <w:numId w:val="1"/>
        </w:numPr>
        <w:adjustRightInd w:val="0"/>
        <w:snapToGrid w:val="0"/>
        <w:spacing w:line="360" w:lineRule="auto"/>
        <w:ind w:firstLine="480" w:firstLineChars="200"/>
        <w:rPr>
          <w:rFonts w:hint="eastAsia" w:ascii="Times New Roman" w:hAnsi="Times New Roman" w:cs="Times New Roman"/>
          <w:bCs/>
          <w:sz w:val="24"/>
          <w:szCs w:val="24"/>
          <w:lang w:eastAsia="zh-CN"/>
        </w:rPr>
      </w:pPr>
      <w:r>
        <w:rPr>
          <w:rFonts w:ascii="Times New Roman" w:hAnsi="Times New Roman" w:cs="Times New Roman"/>
          <w:bCs/>
          <w:sz w:val="24"/>
          <w:szCs w:val="24"/>
        </w:rPr>
        <w:t>项目编号：</w:t>
      </w:r>
      <w:r>
        <w:rPr>
          <w:rFonts w:hint="eastAsia" w:ascii="Times New Roman" w:hAnsi="Times New Roman" w:cs="Times New Roman"/>
          <w:bCs/>
          <w:sz w:val="24"/>
          <w:szCs w:val="24"/>
          <w:lang w:eastAsia="zh-CN"/>
        </w:rPr>
        <w:t>131-202</w:t>
      </w:r>
      <w:r>
        <w:rPr>
          <w:rFonts w:hint="eastAsia" w:ascii="Times New Roman" w:hAnsi="Times New Roman" w:cs="Times New Roman"/>
          <w:bCs/>
          <w:sz w:val="24"/>
          <w:szCs w:val="24"/>
          <w:lang w:val="en-US" w:eastAsia="zh-CN"/>
        </w:rPr>
        <w:t>1</w:t>
      </w:r>
      <w:r>
        <w:rPr>
          <w:rFonts w:hint="eastAsia" w:ascii="Times New Roman" w:hAnsi="Times New Roman" w:cs="Times New Roman"/>
          <w:bCs/>
          <w:sz w:val="24"/>
          <w:szCs w:val="24"/>
          <w:lang w:eastAsia="zh-CN"/>
        </w:rPr>
        <w:t>CG-</w:t>
      </w:r>
      <w:r>
        <w:rPr>
          <w:rFonts w:hint="eastAsia" w:ascii="Times New Roman" w:hAnsi="Times New Roman" w:cs="Times New Roman"/>
          <w:bCs/>
          <w:sz w:val="24"/>
          <w:szCs w:val="24"/>
          <w:lang w:val="en-US" w:eastAsia="zh-CN"/>
        </w:rPr>
        <w:t>68</w:t>
      </w:r>
    </w:p>
    <w:p>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ascii="Times New Roman" w:hAnsi="Times New Roman" w:cs="Times New Roman"/>
          <w:bCs/>
          <w:sz w:val="24"/>
          <w:szCs w:val="24"/>
        </w:rPr>
        <w:t>二、项目名称：</w:t>
      </w:r>
      <w:r>
        <w:rPr>
          <w:rFonts w:hint="eastAsia" w:ascii="Times New Roman" w:hAnsi="Times New Roman" w:cs="Times New Roman"/>
          <w:bCs/>
          <w:sz w:val="24"/>
          <w:szCs w:val="24"/>
          <w:lang w:eastAsia="zh-CN"/>
        </w:rPr>
        <w:t>2020年兴国镇和枫林镇生活垃圾分类</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sz w:val="24"/>
          <w:szCs w:val="24"/>
        </w:rPr>
        <w:t>三、磋商内容：</w:t>
      </w:r>
      <w:r>
        <w:rPr>
          <w:rFonts w:hint="eastAsia" w:ascii="Times New Roman" w:hAnsi="Times New Roman" w:cs="Times New Roman"/>
          <w:sz w:val="24"/>
          <w:szCs w:val="24"/>
        </w:rPr>
        <w:t>（详情见采购需求）</w:t>
      </w:r>
    </w:p>
    <w:p>
      <w:pPr>
        <w:numPr>
          <w:ilvl w:val="0"/>
          <w:numId w:val="2"/>
        </w:numPr>
        <w:adjustRightInd w:val="0"/>
        <w:snapToGrid w:val="0"/>
        <w:spacing w:line="360" w:lineRule="auto"/>
        <w:ind w:firstLine="480" w:firstLineChars="200"/>
        <w:rPr>
          <w:rFonts w:hint="eastAsia" w:ascii="Times New Roman" w:hAnsi="Times New Roman" w:cs="Times New Roman"/>
          <w:sz w:val="24"/>
          <w:szCs w:val="24"/>
          <w:lang w:val="en-US" w:eastAsia="zh-CN"/>
        </w:rPr>
      </w:pPr>
      <w:r>
        <w:rPr>
          <w:rFonts w:ascii="Times New Roman" w:hAnsi="Times New Roman" w:cs="Times New Roman"/>
          <w:bCs/>
          <w:sz w:val="24"/>
          <w:szCs w:val="24"/>
        </w:rPr>
        <w:t>采购预算：</w:t>
      </w:r>
      <w:r>
        <w:rPr>
          <w:rFonts w:hint="eastAsia" w:ascii="Times New Roman" w:hAnsi="Times New Roman" w:cs="Times New Roman"/>
          <w:bCs/>
          <w:sz w:val="24"/>
          <w:szCs w:val="24"/>
          <w:lang w:val="en-US" w:eastAsia="zh-CN"/>
        </w:rPr>
        <w:t>145.021</w:t>
      </w:r>
      <w:r>
        <w:rPr>
          <w:rFonts w:hint="eastAsia" w:ascii="Times New Roman" w:hAnsi="Times New Roman" w:cs="Times New Roman"/>
          <w:bCs/>
          <w:sz w:val="24"/>
          <w:szCs w:val="24"/>
        </w:rPr>
        <w:t>万元</w:t>
      </w:r>
      <w:r>
        <w:rPr>
          <w:rFonts w:hint="eastAsia" w:ascii="Times New Roman" w:hAnsi="Times New Roman" w:cs="Times New Roman"/>
          <w:bCs/>
          <w:sz w:val="24"/>
          <w:szCs w:val="24"/>
          <w:lang w:val="en-US" w:eastAsia="zh-CN"/>
        </w:rPr>
        <w:t xml:space="preserve">    </w:t>
      </w:r>
      <w:r>
        <w:rPr>
          <w:rFonts w:hint="eastAsia" w:ascii="Times New Roman" w:hAnsi="Times New Roman" w:cs="Times New Roman"/>
          <w:sz w:val="24"/>
          <w:szCs w:val="24"/>
          <w:lang w:val="en-US" w:eastAsia="zh-CN"/>
        </w:rPr>
        <w:t>交货期：合同签订后10个工作日</w:t>
      </w:r>
    </w:p>
    <w:p>
      <w:pPr>
        <w:numPr>
          <w:ilvl w:val="0"/>
          <w:numId w:val="0"/>
        </w:num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（一）应具备《中华人民共和国政府采购法》第二十二条第一款</w:t>
      </w:r>
      <w:r>
        <w:rPr>
          <w:rFonts w:hint="eastAsia" w:ascii="Times New Roman" w:hAnsi="Times New Roman" w:cs="Times New Roman"/>
          <w:sz w:val="24"/>
          <w:szCs w:val="24"/>
        </w:rPr>
        <w:t>之</w:t>
      </w:r>
      <w:r>
        <w:rPr>
          <w:rFonts w:ascii="Times New Roman" w:hAnsi="Times New Roman" w:cs="Times New Roman"/>
          <w:sz w:val="24"/>
          <w:szCs w:val="24"/>
        </w:rPr>
        <w:t>规定的</w:t>
      </w:r>
      <w:r>
        <w:rPr>
          <w:rFonts w:hint="eastAsia" w:ascii="Times New Roman" w:hAnsi="Times New Roman" w:cs="Times New Roman"/>
          <w:sz w:val="24"/>
          <w:szCs w:val="24"/>
        </w:rPr>
        <w:t>基本</w:t>
      </w:r>
      <w:r>
        <w:rPr>
          <w:rFonts w:ascii="Times New Roman" w:hAnsi="Times New Roman" w:cs="Times New Roman"/>
          <w:sz w:val="24"/>
          <w:szCs w:val="24"/>
        </w:rPr>
        <w:t>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w:t>
      </w:r>
      <w:r>
        <w:rPr>
          <w:rFonts w:hint="eastAsia" w:ascii="Times New Roman" w:hAnsi="Times New Roman" w:cs="Times New Roman"/>
          <w:sz w:val="24"/>
          <w:szCs w:val="24"/>
        </w:rPr>
        <w:t>参加本次政府采购活动前三年内，在经营活动中没有重大违法记录并须提交《参加政府采购活动前3年内在经营活动中没有重大违法记录的书面声明》，且必须未被列入"信用中国"网站失信被执行人（须提供网站截图）、重大税收违法案件当事人、未被中国政府采购网列入严重违法失信行为记录名单。</w:t>
      </w:r>
    </w:p>
    <w:p>
      <w:pPr>
        <w:adjustRightInd w:val="0"/>
        <w:snapToGrid w:val="0"/>
        <w:spacing w:line="360" w:lineRule="auto"/>
        <w:ind w:firstLine="480"/>
        <w:outlineLvl w:val="0"/>
        <w:rPr>
          <w:rFonts w:ascii="Times New Roman" w:hAnsi="Times New Roman" w:cs="Times New Roman"/>
          <w:color w:val="000000"/>
          <w:sz w:val="24"/>
        </w:rPr>
      </w:pPr>
      <w:r>
        <w:rPr>
          <w:rFonts w:ascii="Times New Roman" w:hAnsi="Times New Roman" w:cs="Times New Roman"/>
          <w:color w:val="000000"/>
          <w:sz w:val="24"/>
        </w:rPr>
        <w:t>六、是否专门面向中小企业、监狱企业、残疾人福利性单位：否。</w:t>
      </w:r>
    </w:p>
    <w:p>
      <w:pPr>
        <w:adjustRightInd w:val="0"/>
        <w:snapToGrid w:val="0"/>
        <w:spacing w:line="360" w:lineRule="auto"/>
        <w:ind w:firstLine="480"/>
        <w:outlineLvl w:val="0"/>
        <w:rPr>
          <w:rFonts w:ascii="Times New Roman" w:hAnsi="Times New Roman" w:cs="Times New Roman"/>
          <w:color w:val="000000"/>
          <w:sz w:val="24"/>
        </w:rPr>
      </w:pPr>
      <w:r>
        <w:rPr>
          <w:rFonts w:ascii="Times New Roman" w:hAnsi="Times New Roman" w:cs="Times New Roman"/>
          <w:color w:val="000000"/>
          <w:sz w:val="24"/>
        </w:rPr>
        <w:t>七、竞争性磋商文件的获得</w:t>
      </w:r>
    </w:p>
    <w:p>
      <w:pPr>
        <w:adjustRightInd w:val="0"/>
        <w:snapToGrid w:val="0"/>
        <w:spacing w:line="360" w:lineRule="auto"/>
        <w:ind w:firstLine="480"/>
        <w:rPr>
          <w:sz w:val="24"/>
        </w:rPr>
      </w:pPr>
      <w:r>
        <w:rPr>
          <w:rFonts w:ascii="Times New Roman" w:hAnsi="Times New Roman" w:cs="Times New Roman"/>
          <w:color w:val="000000"/>
          <w:sz w:val="24"/>
        </w:rPr>
        <w:t>（一）领取时间：</w:t>
      </w:r>
      <w:r>
        <w:rPr>
          <w:rFonts w:hint="eastAsia"/>
          <w:color w:val="FF0000"/>
          <w:sz w:val="24"/>
          <w:szCs w:val="24"/>
          <w:u w:val="single"/>
        </w:rPr>
        <w:t>20</w:t>
      </w:r>
      <w:r>
        <w:rPr>
          <w:rFonts w:hint="eastAsia"/>
          <w:color w:val="FF0000"/>
          <w:sz w:val="24"/>
          <w:szCs w:val="24"/>
          <w:u w:val="single"/>
          <w:lang w:val="en-US" w:eastAsia="zh-CN"/>
        </w:rPr>
        <w:t>21</w:t>
      </w:r>
      <w:r>
        <w:rPr>
          <w:rFonts w:hint="eastAsia"/>
          <w:color w:val="FF0000"/>
          <w:sz w:val="24"/>
          <w:szCs w:val="24"/>
        </w:rPr>
        <w:t>年</w:t>
      </w:r>
      <w:r>
        <w:rPr>
          <w:rFonts w:hint="eastAsia"/>
          <w:color w:val="FF0000"/>
          <w:sz w:val="24"/>
          <w:szCs w:val="24"/>
          <w:u w:val="single"/>
          <w:lang w:val="en-US" w:eastAsia="zh-CN"/>
        </w:rPr>
        <w:t xml:space="preserve"> 04 </w:t>
      </w:r>
      <w:r>
        <w:rPr>
          <w:color w:val="FF0000"/>
          <w:sz w:val="24"/>
          <w:szCs w:val="24"/>
        </w:rPr>
        <w:t>月</w:t>
      </w:r>
      <w:r>
        <w:rPr>
          <w:rFonts w:hint="eastAsia"/>
          <w:color w:val="FF0000"/>
          <w:sz w:val="24"/>
          <w:szCs w:val="24"/>
          <w:u w:val="single"/>
          <w:lang w:val="en-US" w:eastAsia="zh-CN"/>
        </w:rPr>
        <w:t xml:space="preserve"> 26  </w:t>
      </w:r>
      <w:r>
        <w:rPr>
          <w:color w:val="FF0000"/>
          <w:sz w:val="24"/>
          <w:szCs w:val="24"/>
        </w:rPr>
        <w:t>日起至</w:t>
      </w:r>
      <w:r>
        <w:rPr>
          <w:rFonts w:hint="default"/>
          <w:color w:val="FF0000"/>
          <w:sz w:val="24"/>
          <w:szCs w:val="24"/>
          <w:u w:val="single"/>
          <w:lang w:val="en-US"/>
        </w:rPr>
        <w:t>202</w:t>
      </w:r>
      <w:r>
        <w:rPr>
          <w:rFonts w:hint="eastAsia"/>
          <w:color w:val="FF0000"/>
          <w:sz w:val="24"/>
          <w:szCs w:val="24"/>
          <w:u w:val="single"/>
          <w:lang w:val="en-US" w:eastAsia="zh-CN"/>
        </w:rPr>
        <w:t>1</w:t>
      </w:r>
      <w:r>
        <w:rPr>
          <w:rFonts w:hint="eastAsia"/>
          <w:color w:val="FF0000"/>
          <w:sz w:val="24"/>
          <w:szCs w:val="24"/>
          <w:lang w:val="en-US" w:eastAsia="zh-CN"/>
        </w:rPr>
        <w:t>年</w:t>
      </w:r>
      <w:r>
        <w:rPr>
          <w:rFonts w:hint="eastAsia"/>
          <w:color w:val="FF0000"/>
          <w:sz w:val="24"/>
          <w:szCs w:val="24"/>
          <w:u w:val="single"/>
          <w:lang w:val="en-US" w:eastAsia="zh-CN"/>
        </w:rPr>
        <w:t xml:space="preserve"> 04 </w:t>
      </w:r>
      <w:r>
        <w:rPr>
          <w:color w:val="FF0000"/>
          <w:sz w:val="24"/>
          <w:szCs w:val="24"/>
        </w:rPr>
        <w:t>月</w:t>
      </w:r>
      <w:r>
        <w:rPr>
          <w:rFonts w:hint="eastAsia"/>
          <w:color w:val="FF0000"/>
          <w:sz w:val="24"/>
          <w:szCs w:val="24"/>
          <w:u w:val="single"/>
          <w:lang w:val="en-US" w:eastAsia="zh-CN"/>
        </w:rPr>
        <w:t xml:space="preserve"> 29 </w:t>
      </w:r>
      <w:r>
        <w:rPr>
          <w:color w:val="000000"/>
          <w:sz w:val="24"/>
        </w:rPr>
        <w:t>日17时止（工作间）</w:t>
      </w:r>
      <w:r>
        <w:rPr>
          <w:sz w:val="24"/>
        </w:rPr>
        <w:t>。</w:t>
      </w:r>
    </w:p>
    <w:p>
      <w:pPr>
        <w:adjustRightInd w:val="0"/>
        <w:snapToGrid w:val="0"/>
        <w:spacing w:line="360" w:lineRule="auto"/>
        <w:ind w:firstLine="480" w:firstLineChars="200"/>
        <w:rPr>
          <w:szCs w:val="28"/>
        </w:rPr>
      </w:pPr>
      <w:r>
        <w:rPr>
          <w:rFonts w:ascii="Times New Roman" w:hAnsi="Times New Roman" w:cs="Times New Roman"/>
          <w:color w:val="000000"/>
          <w:sz w:val="24"/>
        </w:rPr>
        <w:t>（二）领取方式：</w:t>
      </w:r>
      <w:r>
        <w:rPr>
          <w:rFonts w:hint="eastAsia"/>
          <w:color w:val="FF0000"/>
          <w:sz w:val="24"/>
        </w:rPr>
        <w:t>采购代理公司按磋商小组征集并确定好的供应商发送电子邮件通知其合格，并邀请其前往采购代理公司领取纸质采购文件。本采购文件300元/套。</w:t>
      </w:r>
      <w:r>
        <w:rPr>
          <w:sz w:val="24"/>
        </w:rPr>
        <w:t xml:space="preserve"> </w:t>
      </w:r>
    </w:p>
    <w:p>
      <w:pPr>
        <w:adjustRightInd w:val="0"/>
        <w:snapToGrid w:val="0"/>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八</w:t>
      </w:r>
      <w:r>
        <w:rPr>
          <w:rFonts w:ascii="Times New Roman" w:hAnsi="Times New Roman" w:cs="Times New Roman"/>
          <w:color w:val="000000"/>
          <w:sz w:val="24"/>
        </w:rPr>
        <w:t>、递交响应文件截止时间</w:t>
      </w:r>
      <w:r>
        <w:rPr>
          <w:rFonts w:hint="eastAsia" w:ascii="Times New Roman" w:hAnsi="Times New Roman" w:cs="Times New Roman"/>
          <w:color w:val="000000"/>
          <w:sz w:val="24"/>
        </w:rPr>
        <w:t>、</w:t>
      </w:r>
      <w:r>
        <w:rPr>
          <w:rFonts w:ascii="Times New Roman" w:hAnsi="Times New Roman" w:cs="Times New Roman"/>
          <w:color w:val="000000"/>
          <w:sz w:val="24"/>
        </w:rPr>
        <w:t>磋商时间</w:t>
      </w:r>
      <w:r>
        <w:rPr>
          <w:rFonts w:hint="eastAsia" w:ascii="Times New Roman" w:hAnsi="Times New Roman" w:cs="Times New Roman"/>
          <w:color w:val="000000"/>
          <w:sz w:val="24"/>
        </w:rPr>
        <w:t>和磋商地点</w:t>
      </w:r>
    </w:p>
    <w:p>
      <w:pPr>
        <w:adjustRightInd w:val="0"/>
        <w:snapToGrid w:val="0"/>
        <w:spacing w:line="360" w:lineRule="auto"/>
        <w:ind w:left="479" w:leftChars="228"/>
        <w:outlineLvl w:val="0"/>
        <w:rPr>
          <w:sz w:val="24"/>
        </w:rPr>
      </w:pPr>
      <w:r>
        <w:rPr>
          <w:rFonts w:ascii="Times New Roman" w:hAnsi="Times New Roman" w:cs="Times New Roman"/>
          <w:color w:val="000000"/>
          <w:sz w:val="24"/>
        </w:rPr>
        <w:t>递交响应文件截止时间：</w:t>
      </w:r>
      <w:r>
        <w:rPr>
          <w:rFonts w:hint="eastAsia"/>
          <w:color w:val="000000"/>
          <w:sz w:val="24"/>
          <w:u w:val="single"/>
        </w:rPr>
        <w:t>20</w:t>
      </w:r>
      <w:r>
        <w:rPr>
          <w:rFonts w:hint="eastAsia"/>
          <w:color w:val="000000"/>
          <w:sz w:val="24"/>
          <w:u w:val="single"/>
          <w:lang w:val="en-US" w:eastAsia="zh-CN"/>
        </w:rPr>
        <w:t>21</w:t>
      </w:r>
      <w:r>
        <w:rPr>
          <w:rFonts w:hint="eastAsia"/>
          <w:color w:val="000000"/>
          <w:sz w:val="24"/>
        </w:rPr>
        <w:t>年</w:t>
      </w:r>
      <w:r>
        <w:rPr>
          <w:rFonts w:hint="eastAsia"/>
          <w:color w:val="000000"/>
          <w:sz w:val="24"/>
          <w:u w:val="single"/>
        </w:rPr>
        <w:t xml:space="preserve"> </w:t>
      </w:r>
      <w:r>
        <w:rPr>
          <w:rFonts w:hint="eastAsia"/>
          <w:color w:val="000000"/>
          <w:sz w:val="24"/>
          <w:u w:val="single"/>
          <w:lang w:val="en-US" w:eastAsia="zh-CN"/>
        </w:rPr>
        <w:t xml:space="preserve">05  </w:t>
      </w:r>
      <w:r>
        <w:rPr>
          <w:color w:val="000000"/>
          <w:sz w:val="24"/>
        </w:rPr>
        <w:t>月</w:t>
      </w:r>
      <w:r>
        <w:rPr>
          <w:rFonts w:hint="eastAsia"/>
          <w:color w:val="000000"/>
          <w:sz w:val="24"/>
          <w:u w:val="single"/>
          <w:lang w:val="en-US" w:eastAsia="zh-CN"/>
        </w:rPr>
        <w:t xml:space="preserve"> 08 </w:t>
      </w:r>
      <w:r>
        <w:rPr>
          <w:color w:val="000000"/>
          <w:sz w:val="24"/>
        </w:rPr>
        <w:t>日</w:t>
      </w:r>
      <w:r>
        <w:rPr>
          <w:rFonts w:hint="eastAsia"/>
          <w:sz w:val="24"/>
          <w:u w:val="single"/>
          <w:lang w:val="en-US" w:eastAsia="zh-CN"/>
        </w:rPr>
        <w:t xml:space="preserve">  09 </w:t>
      </w:r>
      <w:r>
        <w:rPr>
          <w:rFonts w:hint="eastAsia"/>
          <w:sz w:val="24"/>
          <w:u w:val="single"/>
        </w:rPr>
        <w:t xml:space="preserve"> </w:t>
      </w:r>
      <w:r>
        <w:rPr>
          <w:sz w:val="24"/>
        </w:rPr>
        <w:t>时整（</w:t>
      </w:r>
      <w:r>
        <w:rPr>
          <w:rFonts w:hint="eastAsia"/>
          <w:sz w:val="24"/>
          <w:u w:val="single"/>
        </w:rPr>
        <w:t xml:space="preserve"> </w:t>
      </w:r>
      <w:r>
        <w:rPr>
          <w:rFonts w:hint="eastAsia"/>
          <w:sz w:val="24"/>
          <w:u w:val="single"/>
          <w:lang w:val="en-US" w:eastAsia="zh-CN"/>
        </w:rPr>
        <w:t xml:space="preserve">08  </w:t>
      </w:r>
      <w:r>
        <w:rPr>
          <w:sz w:val="24"/>
        </w:rPr>
        <w:t>时</w:t>
      </w:r>
      <w:r>
        <w:rPr>
          <w:rFonts w:hint="eastAsia"/>
          <w:sz w:val="24"/>
          <w:u w:val="single"/>
          <w:lang w:val="en-US" w:eastAsia="zh-CN"/>
        </w:rPr>
        <w:t xml:space="preserve">  30 </w:t>
      </w:r>
      <w:r>
        <w:rPr>
          <w:rFonts w:hint="eastAsia"/>
          <w:sz w:val="24"/>
        </w:rPr>
        <w:t>分</w:t>
      </w:r>
      <w:r>
        <w:rPr>
          <w:sz w:val="24"/>
        </w:rPr>
        <w:t>开始接受响应文件）。</w:t>
      </w:r>
      <w:r>
        <w:rPr>
          <w:rFonts w:ascii="Times New Roman" w:hAnsi="Times New Roman" w:cs="Times New Roman"/>
          <w:color w:val="FF0000"/>
          <w:sz w:val="24"/>
        </w:rPr>
        <w:t>递交响应文件截止时间即为磋商时间，逾期送达的响应文件概不接受。</w:t>
      </w:r>
    </w:p>
    <w:p>
      <w:pPr>
        <w:widowControl/>
        <w:adjustRightInd w:val="0"/>
        <w:snapToGrid w:val="0"/>
        <w:spacing w:line="360" w:lineRule="auto"/>
        <w:ind w:firstLine="480" w:firstLineChars="200"/>
        <w:textAlignment w:val="baseline"/>
        <w:rPr>
          <w:color w:val="000000"/>
          <w:sz w:val="24"/>
        </w:rPr>
      </w:pPr>
      <w:r>
        <w:rPr>
          <w:rFonts w:hint="eastAsia"/>
          <w:color w:val="000000"/>
          <w:sz w:val="24"/>
        </w:rPr>
        <w:t>磋商</w:t>
      </w:r>
      <w:r>
        <w:rPr>
          <w:color w:val="000000"/>
          <w:sz w:val="24"/>
        </w:rPr>
        <w:t>响应文件送达地点：</w:t>
      </w:r>
      <w:r>
        <w:rPr>
          <w:rFonts w:hint="eastAsia"/>
          <w:color w:val="000000"/>
          <w:sz w:val="24"/>
        </w:rPr>
        <w:t>阳新县公共资源交</w:t>
      </w:r>
      <w:r>
        <w:rPr>
          <w:rFonts w:hint="eastAsia"/>
          <w:sz w:val="24"/>
        </w:rPr>
        <w:t>易中心</w:t>
      </w:r>
      <w:r>
        <w:rPr>
          <w:rFonts w:hint="eastAsia"/>
          <w:sz w:val="24"/>
          <w:lang w:val="en-US" w:eastAsia="zh-CN"/>
        </w:rPr>
        <w:t>一</w:t>
      </w:r>
      <w:r>
        <w:rPr>
          <w:rFonts w:hint="eastAsia"/>
          <w:sz w:val="24"/>
        </w:rPr>
        <w:t>楼开标大厅（阳新大道熊家垴安置小区东侧</w:t>
      </w:r>
      <w:r>
        <w:rPr>
          <w:rFonts w:hint="eastAsia"/>
          <w:color w:val="000000"/>
          <w:sz w:val="24"/>
        </w:rPr>
        <w:t>）</w:t>
      </w:r>
    </w:p>
    <w:p>
      <w:pPr>
        <w:widowControl/>
        <w:adjustRightInd w:val="0"/>
        <w:snapToGrid w:val="0"/>
        <w:spacing w:line="360" w:lineRule="auto"/>
        <w:ind w:firstLine="480" w:firstLineChars="200"/>
        <w:textAlignment w:val="baseline"/>
        <w:rPr>
          <w:color w:val="000000"/>
          <w:sz w:val="24"/>
        </w:rPr>
      </w:pPr>
      <w:r>
        <w:rPr>
          <w:rFonts w:hint="eastAsia" w:ascii="Times New Roman" w:hAnsi="Times New Roman" w:cs="Times New Roman"/>
          <w:color w:val="000000"/>
          <w:sz w:val="24"/>
        </w:rPr>
        <w:t>九</w:t>
      </w:r>
      <w:r>
        <w:rPr>
          <w:rFonts w:ascii="Times New Roman" w:hAnsi="Times New Roman" w:cs="Times New Roman"/>
          <w:color w:val="000000"/>
          <w:sz w:val="24"/>
        </w:rPr>
        <w:t>、</w:t>
      </w:r>
      <w:r>
        <w:rPr>
          <w:rFonts w:hint="eastAsia" w:cs="宋体"/>
          <w:color w:val="FF0000"/>
          <w:sz w:val="24"/>
        </w:rPr>
        <w:t>届时请参加磋商的授权代表携带有效身份证、法人身份证明书或法人授权委托书（原件）出席磋商会并参加磋商，否则磋商小组将拒绝供应商参加磋商。</w:t>
      </w:r>
    </w:p>
    <w:p>
      <w:pPr>
        <w:adjustRightInd w:val="0"/>
        <w:snapToGrid w:val="0"/>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十</w:t>
      </w:r>
      <w:r>
        <w:rPr>
          <w:rFonts w:ascii="Times New Roman" w:hAnsi="Times New Roman" w:cs="Times New Roman"/>
          <w:sz w:val="24"/>
          <w:szCs w:val="24"/>
        </w:rPr>
        <w:t>、询问和质疑</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相关供应商对磋商文件、磋商过程和成交结果有异议的，可在知道或者应知其权益受到损害之日起7个工作日内，向</w:t>
      </w:r>
      <w:r>
        <w:rPr>
          <w:rFonts w:hint="eastAsia" w:ascii="Times New Roman" w:hAnsi="Times New Roman" w:cs="Times New Roman"/>
          <w:sz w:val="24"/>
          <w:szCs w:val="24"/>
        </w:rPr>
        <w:t>采购人、采购代理公司</w:t>
      </w:r>
      <w:r>
        <w:rPr>
          <w:rFonts w:ascii="Times New Roman" w:hAnsi="Times New Roman" w:cs="Times New Roman"/>
          <w:sz w:val="24"/>
          <w:szCs w:val="24"/>
        </w:rPr>
        <w:t>提出询问和质疑。质疑时请提交书面质疑函一份（法人或负责人）代表签字、加盖单位公章，并附相关证据材料。</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十一、联系方式</w:t>
      </w:r>
    </w:p>
    <w:p>
      <w:pPr>
        <w:adjustRightInd w:val="0"/>
        <w:snapToGrid w:val="0"/>
        <w:spacing w:line="360" w:lineRule="auto"/>
        <w:ind w:firstLine="840" w:firstLineChars="35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u w:val="single"/>
          <w:lang w:eastAsia="zh-CN"/>
        </w:rPr>
        <w:t>立信大华工程咨询有限责任公司</w:t>
      </w:r>
    </w:p>
    <w:p>
      <w:pPr>
        <w:adjustRightInd w:val="0"/>
        <w:snapToGrid w:val="0"/>
        <w:spacing w:line="360" w:lineRule="auto"/>
        <w:ind w:firstLine="840" w:firstLineChars="350"/>
        <w:rPr>
          <w:rFonts w:ascii="宋体" w:hAnsi="宋体" w:cs="宋体"/>
          <w:sz w:val="24"/>
          <w:szCs w:val="24"/>
        </w:rPr>
      </w:pPr>
      <w:r>
        <w:rPr>
          <w:rFonts w:hint="eastAsia" w:ascii="宋体" w:hAnsi="宋体" w:cs="宋体"/>
          <w:sz w:val="24"/>
          <w:szCs w:val="24"/>
        </w:rPr>
        <w:t xml:space="preserve">联系人： </w:t>
      </w:r>
      <w:r>
        <w:rPr>
          <w:rFonts w:hint="eastAsia" w:ascii="宋体" w:hAnsi="宋体" w:cs="宋体"/>
          <w:sz w:val="24"/>
          <w:szCs w:val="24"/>
          <w:u w:val="single"/>
          <w:lang w:eastAsia="zh-CN"/>
        </w:rPr>
        <w:t>樊文洁</w:t>
      </w:r>
      <w:r>
        <w:rPr>
          <w:rFonts w:hint="eastAsia" w:ascii="宋体" w:hAnsi="宋体" w:cs="宋体"/>
          <w:sz w:val="24"/>
          <w:szCs w:val="24"/>
        </w:rPr>
        <w:t xml:space="preserve">   </w:t>
      </w:r>
    </w:p>
    <w:p>
      <w:pPr>
        <w:adjustRightInd w:val="0"/>
        <w:snapToGrid w:val="0"/>
        <w:spacing w:line="360" w:lineRule="auto"/>
        <w:ind w:firstLine="840" w:firstLineChars="350"/>
        <w:rPr>
          <w:rFonts w:hint="eastAsia" w:ascii="宋体" w:hAnsi="宋体" w:eastAsia="宋体" w:cs="宋体"/>
          <w:sz w:val="24"/>
          <w:szCs w:val="24"/>
          <w:u w:val="single"/>
          <w:lang w:eastAsia="zh-CN"/>
        </w:rPr>
      </w:pPr>
      <w:r>
        <w:rPr>
          <w:rFonts w:hint="eastAsia" w:ascii="宋体" w:hAnsi="宋体" w:cs="宋体"/>
          <w:sz w:val="24"/>
          <w:szCs w:val="24"/>
        </w:rPr>
        <w:t xml:space="preserve">电话：  </w:t>
      </w:r>
      <w:r>
        <w:rPr>
          <w:rFonts w:hint="eastAsia" w:ascii="宋体" w:hAnsi="宋体" w:cs="宋体"/>
          <w:sz w:val="24"/>
          <w:szCs w:val="24"/>
          <w:u w:val="single"/>
          <w:lang w:eastAsia="zh-CN"/>
        </w:rPr>
        <w:t>13597667150</w:t>
      </w:r>
    </w:p>
    <w:p>
      <w:pPr>
        <w:adjustRightInd w:val="0"/>
        <w:snapToGrid w:val="0"/>
        <w:spacing w:line="360" w:lineRule="auto"/>
        <w:ind w:left="-199" w:leftChars="-95" w:firstLine="1080" w:firstLineChars="450"/>
        <w:rPr>
          <w:rFonts w:hint="eastAsia" w:ascii="宋体" w:hAnsi="宋体" w:eastAsia="宋体" w:cs="宋体"/>
          <w:sz w:val="24"/>
          <w:szCs w:val="24"/>
          <w:lang w:eastAsia="zh-CN"/>
        </w:rPr>
      </w:pPr>
      <w:r>
        <w:rPr>
          <w:rFonts w:hint="eastAsia" w:ascii="宋体" w:hAnsi="宋体" w:cs="宋体"/>
          <w:sz w:val="24"/>
          <w:szCs w:val="24"/>
        </w:rPr>
        <w:t xml:space="preserve">电子邮箱： </w:t>
      </w:r>
      <w:r>
        <w:rPr>
          <w:rFonts w:hint="eastAsia" w:ascii="宋体" w:hAnsi="宋体" w:cs="宋体"/>
          <w:sz w:val="24"/>
          <w:szCs w:val="24"/>
          <w:u w:val="single"/>
          <w:lang w:eastAsia="zh-CN"/>
        </w:rPr>
        <w:t>120585044@qq.com</w:t>
      </w:r>
    </w:p>
    <w:p>
      <w:pPr>
        <w:adjustRightInd w:val="0"/>
        <w:snapToGrid w:val="0"/>
        <w:spacing w:line="360" w:lineRule="auto"/>
        <w:ind w:firstLine="840" w:firstLineChars="350"/>
        <w:rPr>
          <w:rFonts w:hint="eastAsia" w:ascii="Times New Roman" w:hAnsi="Times New Roman" w:eastAsia="宋体" w:cs="Times New Roman"/>
          <w:sz w:val="24"/>
          <w:szCs w:val="24"/>
          <w:lang w:eastAsia="zh-CN"/>
        </w:rPr>
      </w:pPr>
      <w:r>
        <w:rPr>
          <w:rFonts w:hint="eastAsia" w:ascii="宋体" w:hAnsi="宋体" w:cs="宋体"/>
          <w:sz w:val="24"/>
          <w:szCs w:val="24"/>
        </w:rPr>
        <w:t>联系地址：</w:t>
      </w:r>
      <w:r>
        <w:rPr>
          <w:rFonts w:hint="eastAsia" w:ascii="宋体" w:hAnsi="宋体" w:cs="宋体"/>
          <w:sz w:val="24"/>
          <w:szCs w:val="24"/>
          <w:u w:val="single"/>
          <w:lang w:eastAsia="zh-CN"/>
        </w:rPr>
        <w:t>阳新县财政局隔壁中国平安后面二单元301室</w:t>
      </w:r>
    </w:p>
    <w:p>
      <w:pPr>
        <w:adjustRightInd w:val="0"/>
        <w:snapToGrid w:val="0"/>
        <w:spacing w:line="360" w:lineRule="auto"/>
        <w:ind w:firstLine="720" w:firstLineChars="300"/>
        <w:outlineLvl w:val="0"/>
        <w:rPr>
          <w:rFonts w:ascii="Times New Roman" w:hAnsi="Times New Roman" w:cs="Times New Roman"/>
          <w:sz w:val="24"/>
        </w:rPr>
      </w:pPr>
    </w:p>
    <w:p>
      <w:pPr>
        <w:adjustRightInd w:val="0"/>
        <w:snapToGrid w:val="0"/>
        <w:spacing w:line="360" w:lineRule="auto"/>
        <w:ind w:firstLine="720" w:firstLineChars="300"/>
        <w:outlineLvl w:val="0"/>
        <w:rPr>
          <w:rFonts w:hint="eastAsia" w:ascii="Times New Roman" w:hAnsi="Times New Roman" w:eastAsia="宋体" w:cs="Times New Roman"/>
          <w:sz w:val="24"/>
          <w:u w:val="single"/>
          <w:lang w:eastAsia="zh-CN"/>
        </w:rPr>
      </w:pPr>
      <w:r>
        <w:rPr>
          <w:rFonts w:ascii="Times New Roman" w:hAnsi="Times New Roman" w:cs="Times New Roman"/>
          <w:sz w:val="24"/>
        </w:rPr>
        <w:t>采购人名称：</w:t>
      </w:r>
      <w:r>
        <w:rPr>
          <w:rFonts w:hint="eastAsia" w:ascii="Times New Roman" w:hAnsi="Times New Roman" w:cs="Times New Roman"/>
          <w:sz w:val="24"/>
          <w:u w:val="single"/>
          <w:lang w:eastAsia="zh-CN"/>
        </w:rPr>
        <w:t>阳新县城市管理执法局</w:t>
      </w:r>
    </w:p>
    <w:p>
      <w:pPr>
        <w:adjustRightInd w:val="0"/>
        <w:snapToGrid w:val="0"/>
        <w:spacing w:line="360" w:lineRule="auto"/>
        <w:ind w:firstLine="720" w:firstLineChars="300"/>
        <w:outlineLvl w:val="0"/>
        <w:rPr>
          <w:rFonts w:ascii="Times New Roman" w:hAnsi="Times New Roman" w:cs="Times New Roman"/>
          <w:sz w:val="24"/>
        </w:rPr>
      </w:pPr>
      <w:r>
        <w:rPr>
          <w:rFonts w:ascii="Times New Roman" w:hAnsi="Times New Roman" w:cs="Times New Roman"/>
          <w:sz w:val="24"/>
        </w:rPr>
        <w:t>联系人：</w:t>
      </w:r>
      <w:r>
        <w:rPr>
          <w:rFonts w:hint="eastAsia" w:ascii="Times New Roman" w:hAnsi="Times New Roman" w:cs="Times New Roman"/>
          <w:sz w:val="24"/>
          <w:szCs w:val="24"/>
          <w:u w:val="single"/>
          <w:lang w:eastAsia="zh-CN"/>
        </w:rPr>
        <w:t>朱晖</w:t>
      </w:r>
      <w:r>
        <w:rPr>
          <w:rFonts w:hint="eastAsia" w:ascii="Times New Roman" w:hAnsi="Times New Roman" w:cs="Times New Roman"/>
          <w:sz w:val="30"/>
          <w:szCs w:val="30"/>
          <w:u w:val="single"/>
        </w:rPr>
        <w:t xml:space="preserve"> </w:t>
      </w:r>
    </w:p>
    <w:p>
      <w:pPr>
        <w:adjustRightInd w:val="0"/>
        <w:snapToGrid w:val="0"/>
        <w:spacing w:line="360" w:lineRule="auto"/>
        <w:ind w:firstLine="720" w:firstLineChars="300"/>
        <w:outlineLvl w:val="0"/>
        <w:rPr>
          <w:rFonts w:hint="default" w:ascii="Times New Roman" w:hAnsi="Times New Roman" w:eastAsia="宋体" w:cs="Times New Roman"/>
          <w:sz w:val="24"/>
          <w:lang w:val="en-US" w:eastAsia="zh-CN"/>
        </w:rPr>
      </w:pPr>
      <w:r>
        <w:rPr>
          <w:rFonts w:ascii="Times New Roman" w:hAnsi="Times New Roman" w:cs="Times New Roman"/>
          <w:sz w:val="24"/>
        </w:rPr>
        <w:t>联系电话：</w:t>
      </w:r>
      <w:r>
        <w:rPr>
          <w:rFonts w:hint="eastAsia" w:ascii="宋体" w:hAnsi="宋体" w:cs="宋体"/>
          <w:sz w:val="24"/>
          <w:szCs w:val="24"/>
          <w:u w:val="single"/>
          <w:lang w:val="en-US" w:eastAsia="zh-CN"/>
        </w:rPr>
        <w:t>15172053999</w:t>
      </w:r>
    </w:p>
    <w:p>
      <w:pPr>
        <w:adjustRightInd w:val="0"/>
        <w:snapToGrid w:val="0"/>
        <w:spacing w:line="360" w:lineRule="auto"/>
        <w:ind w:firstLine="720" w:firstLineChars="300"/>
        <w:outlineLvl w:val="0"/>
        <w:rPr>
          <w:rFonts w:ascii="Times New Roman" w:hAnsi="Times New Roman" w:cs="Times New Roman"/>
          <w:sz w:val="24"/>
        </w:rPr>
      </w:pPr>
      <w:r>
        <w:rPr>
          <w:rFonts w:ascii="Times New Roman" w:hAnsi="Times New Roman" w:cs="Times New Roman"/>
          <w:sz w:val="24"/>
        </w:rPr>
        <w:t>地址：</w:t>
      </w:r>
      <w:r>
        <w:rPr>
          <w:rFonts w:hint="eastAsia" w:ascii="Times New Roman" w:hAnsi="Times New Roman" w:cs="Times New Roman"/>
          <w:sz w:val="24"/>
          <w:u w:val="single"/>
          <w:lang w:eastAsia="zh-CN"/>
        </w:rPr>
        <w:t>湖北省黄石市阳新县兴国大道87号</w:t>
      </w:r>
    </w:p>
    <w:p>
      <w:pPr>
        <w:adjustRightInd w:val="0"/>
        <w:snapToGrid w:val="0"/>
        <w:spacing w:line="360" w:lineRule="auto"/>
        <w:ind w:firstLine="480" w:firstLineChars="200"/>
        <w:outlineLvl w:val="0"/>
        <w:rPr>
          <w:rFonts w:ascii="Times New Roman" w:hAnsi="Times New Roman" w:cs="Times New Roman"/>
          <w:sz w:val="24"/>
        </w:rPr>
      </w:pPr>
    </w:p>
    <w:p>
      <w:pPr>
        <w:adjustRightInd w:val="0"/>
        <w:snapToGrid w:val="0"/>
        <w:spacing w:line="360" w:lineRule="auto"/>
        <w:jc w:val="right"/>
        <w:outlineLvl w:val="0"/>
        <w:rPr>
          <w:color w:val="000000"/>
          <w:sz w:val="24"/>
        </w:rPr>
      </w:pPr>
      <w:r>
        <w:rPr>
          <w:rFonts w:hint="eastAsia"/>
          <w:color w:val="000000"/>
          <w:sz w:val="24"/>
          <w:u w:val="single"/>
        </w:rPr>
        <w:t>20</w:t>
      </w:r>
      <w:r>
        <w:rPr>
          <w:rFonts w:hint="eastAsia"/>
          <w:color w:val="000000"/>
          <w:sz w:val="24"/>
          <w:u w:val="single"/>
          <w:lang w:val="en-US" w:eastAsia="zh-CN"/>
        </w:rPr>
        <w:t>21</w:t>
      </w:r>
      <w:r>
        <w:rPr>
          <w:rFonts w:hint="eastAsia"/>
          <w:color w:val="000000"/>
          <w:sz w:val="24"/>
        </w:rPr>
        <w:t>年</w:t>
      </w:r>
      <w:r>
        <w:rPr>
          <w:rFonts w:hint="eastAsia"/>
          <w:color w:val="000000"/>
          <w:sz w:val="24"/>
          <w:u w:val="single"/>
        </w:rPr>
        <w:t xml:space="preserve"> </w:t>
      </w:r>
      <w:r>
        <w:rPr>
          <w:rFonts w:hint="eastAsia"/>
          <w:color w:val="000000"/>
          <w:sz w:val="24"/>
          <w:u w:val="single"/>
          <w:lang w:val="en-US" w:eastAsia="zh-CN"/>
        </w:rPr>
        <w:t>04</w:t>
      </w:r>
      <w:r>
        <w:rPr>
          <w:color w:val="000000"/>
          <w:sz w:val="24"/>
        </w:rPr>
        <w:t>月</w:t>
      </w:r>
      <w:r>
        <w:rPr>
          <w:rFonts w:hint="eastAsia"/>
          <w:color w:val="000000"/>
          <w:sz w:val="24"/>
          <w:u w:val="single"/>
        </w:rPr>
        <w:t xml:space="preserve"> </w:t>
      </w:r>
      <w:r>
        <w:rPr>
          <w:rFonts w:hint="eastAsia"/>
          <w:color w:val="000000"/>
          <w:sz w:val="24"/>
          <w:u w:val="single"/>
          <w:lang w:val="en-US" w:eastAsia="zh-CN"/>
        </w:rPr>
        <w:t xml:space="preserve"> 26 </w:t>
      </w:r>
      <w:r>
        <w:rPr>
          <w:rFonts w:hint="eastAsia"/>
          <w:color w:val="000000"/>
          <w:sz w:val="24"/>
          <w:u w:val="single"/>
        </w:rPr>
        <w:t xml:space="preserve"> </w:t>
      </w:r>
      <w:r>
        <w:rPr>
          <w:color w:val="000000"/>
          <w:sz w:val="24"/>
        </w:rPr>
        <w:t>日</w:t>
      </w: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pStyle w:val="2"/>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bCs/>
          <w:sz w:val="36"/>
          <w:szCs w:val="36"/>
        </w:rPr>
      </w:pPr>
      <w:r>
        <w:rPr>
          <w:rFonts w:ascii="Times New Roman" w:hAnsi="Times New Roman" w:cs="Times New Roman"/>
          <w:b/>
          <w:sz w:val="36"/>
          <w:szCs w:val="36"/>
        </w:rPr>
        <w:t xml:space="preserve">第二章 </w:t>
      </w:r>
      <w:r>
        <w:rPr>
          <w:rFonts w:ascii="Times New Roman" w:hAnsi="Times New Roman" w:cs="Times New Roman"/>
          <w:b/>
          <w:bCs/>
          <w:sz w:val="36"/>
          <w:szCs w:val="36"/>
        </w:rPr>
        <w:t>磋商须知</w:t>
      </w:r>
    </w:p>
    <w:p>
      <w:pPr>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1"/>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10"/>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blHeader/>
          <w:jc w:val="center"/>
        </w:trPr>
        <w:tc>
          <w:tcPr>
            <w:tcW w:w="770" w:type="dxa"/>
            <w:vAlign w:val="center"/>
          </w:tcPr>
          <w:p>
            <w:pPr>
              <w:adjustRightInd w:val="0"/>
              <w:snapToGrid w:val="0"/>
              <w:spacing w:line="360" w:lineRule="auto"/>
              <w:jc w:val="center"/>
              <w:rPr>
                <w:rFonts w:ascii="宋体" w:hAnsi="宋体"/>
                <w:b/>
                <w:sz w:val="24"/>
              </w:rPr>
            </w:pPr>
            <w:bookmarkStart w:id="0" w:name="_Toc56855654"/>
            <w:bookmarkStart w:id="1" w:name="_Toc56855622"/>
            <w:bookmarkStart w:id="2" w:name="_Toc56938702"/>
            <w:r>
              <w:rPr>
                <w:rFonts w:ascii="宋体" w:hAnsi="宋体"/>
                <w:b/>
                <w:sz w:val="24"/>
              </w:rPr>
              <w:t>序号</w:t>
            </w:r>
          </w:p>
        </w:tc>
        <w:tc>
          <w:tcPr>
            <w:tcW w:w="2410" w:type="dxa"/>
            <w:vAlign w:val="center"/>
          </w:tcPr>
          <w:p>
            <w:pPr>
              <w:adjustRightInd w:val="0"/>
              <w:snapToGrid w:val="0"/>
              <w:spacing w:line="360" w:lineRule="auto"/>
              <w:jc w:val="center"/>
              <w:rPr>
                <w:rFonts w:ascii="宋体" w:hAnsi="宋体"/>
                <w:b/>
                <w:sz w:val="24"/>
              </w:rPr>
            </w:pPr>
            <w:r>
              <w:rPr>
                <w:rFonts w:ascii="宋体" w:hAnsi="宋体"/>
                <w:b/>
                <w:sz w:val="24"/>
              </w:rPr>
              <w:t>条款名称</w:t>
            </w:r>
          </w:p>
        </w:tc>
        <w:tc>
          <w:tcPr>
            <w:tcW w:w="6410" w:type="dxa"/>
            <w:vAlign w:val="top"/>
          </w:tcPr>
          <w:p>
            <w:pPr>
              <w:adjustRightInd w:val="0"/>
              <w:snapToGrid w:val="0"/>
              <w:spacing w:line="360" w:lineRule="auto"/>
              <w:jc w:val="center"/>
              <w:rPr>
                <w:rFonts w:ascii="宋体" w:hAnsi="宋体"/>
                <w:b/>
                <w:sz w:val="24"/>
              </w:rPr>
            </w:pPr>
            <w:r>
              <w:rPr>
                <w:rFonts w:ascii="宋体" w:hAnsi="宋体"/>
                <w:b/>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0"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p>
        </w:tc>
        <w:tc>
          <w:tcPr>
            <w:tcW w:w="2410" w:type="dxa"/>
            <w:vAlign w:val="center"/>
          </w:tcPr>
          <w:p>
            <w:pPr>
              <w:adjustRightInd w:val="0"/>
              <w:snapToGrid w:val="0"/>
              <w:spacing w:line="460" w:lineRule="exact"/>
              <w:jc w:val="center"/>
              <w:rPr>
                <w:rFonts w:ascii="宋体" w:hAnsi="宋体"/>
                <w:color w:val="000000"/>
                <w:sz w:val="24"/>
              </w:rPr>
            </w:pPr>
            <w:r>
              <w:rPr>
                <w:rFonts w:hint="eastAsia" w:ascii="宋体" w:hAnsi="宋体"/>
                <w:color w:val="000000"/>
                <w:sz w:val="24"/>
              </w:rPr>
              <w:t>采购人</w:t>
            </w:r>
          </w:p>
        </w:tc>
        <w:tc>
          <w:tcPr>
            <w:tcW w:w="6410" w:type="dxa"/>
            <w:vAlign w:val="center"/>
          </w:tcPr>
          <w:p>
            <w:pPr>
              <w:snapToGrid w:val="0"/>
              <w:spacing w:line="460" w:lineRule="exact"/>
              <w:jc w:val="both"/>
              <w:rPr>
                <w:rFonts w:hint="eastAsia" w:ascii="宋体" w:hAnsi="宋体" w:eastAsia="宋体"/>
                <w:sz w:val="24"/>
                <w:lang w:eastAsia="zh-CN"/>
              </w:rPr>
            </w:pPr>
            <w:r>
              <w:rPr>
                <w:rFonts w:hint="eastAsia" w:ascii="宋体" w:hAnsi="宋体"/>
                <w:sz w:val="24"/>
                <w:lang w:eastAsia="zh-CN"/>
              </w:rPr>
              <w:t>阳新县城市管理执法局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2</w:t>
            </w:r>
          </w:p>
        </w:tc>
        <w:tc>
          <w:tcPr>
            <w:tcW w:w="2410" w:type="dxa"/>
            <w:vAlign w:val="center"/>
          </w:tcPr>
          <w:p>
            <w:pPr>
              <w:pStyle w:val="19"/>
              <w:spacing w:before="131"/>
              <w:jc w:val="center"/>
              <w:rPr>
                <w:sz w:val="24"/>
              </w:rPr>
            </w:pPr>
            <w:r>
              <w:rPr>
                <w:rFonts w:hint="eastAsia"/>
                <w:sz w:val="24"/>
                <w:lang w:val="en-US"/>
              </w:rPr>
              <w:t>项目</w:t>
            </w:r>
            <w:r>
              <w:rPr>
                <w:rFonts w:hint="eastAsia"/>
                <w:sz w:val="24"/>
              </w:rPr>
              <w:t>编号</w:t>
            </w:r>
          </w:p>
        </w:tc>
        <w:tc>
          <w:tcPr>
            <w:tcW w:w="6410" w:type="dxa"/>
            <w:vAlign w:val="center"/>
          </w:tcPr>
          <w:p>
            <w:pPr>
              <w:pStyle w:val="19"/>
              <w:spacing w:before="131"/>
              <w:rPr>
                <w:sz w:val="24"/>
              </w:rPr>
            </w:pPr>
            <w:r>
              <w:rPr>
                <w:rFonts w:hint="eastAsia" w:ascii="Times New Roman" w:hAnsi="Times New Roman" w:cs="Times New Roman"/>
                <w:bCs/>
                <w:sz w:val="24"/>
                <w:szCs w:val="24"/>
                <w:lang w:eastAsia="zh-CN"/>
              </w:rPr>
              <w:t>131-202</w:t>
            </w:r>
            <w:r>
              <w:rPr>
                <w:rFonts w:hint="eastAsia" w:ascii="Times New Roman" w:hAnsi="Times New Roman" w:cs="Times New Roman"/>
                <w:bCs/>
                <w:sz w:val="24"/>
                <w:szCs w:val="24"/>
                <w:lang w:val="en-US" w:eastAsia="zh-CN"/>
              </w:rPr>
              <w:t>1</w:t>
            </w:r>
            <w:r>
              <w:rPr>
                <w:rFonts w:hint="eastAsia" w:ascii="Times New Roman" w:hAnsi="Times New Roman" w:cs="Times New Roman"/>
                <w:bCs/>
                <w:sz w:val="24"/>
                <w:szCs w:val="24"/>
                <w:lang w:eastAsia="zh-CN"/>
              </w:rPr>
              <w:t>CG-</w:t>
            </w:r>
            <w:r>
              <w:rPr>
                <w:rFonts w:hint="eastAsia" w:ascii="Times New Roman" w:hAnsi="Times New Roman" w:cs="Times New Roman"/>
                <w:bCs/>
                <w:sz w:val="24"/>
                <w:szCs w:val="24"/>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3</w:t>
            </w:r>
          </w:p>
        </w:tc>
        <w:tc>
          <w:tcPr>
            <w:tcW w:w="2410" w:type="dxa"/>
            <w:vAlign w:val="center"/>
          </w:tcPr>
          <w:p>
            <w:pPr>
              <w:adjustRightInd w:val="0"/>
              <w:snapToGrid w:val="0"/>
              <w:spacing w:line="460" w:lineRule="exact"/>
              <w:jc w:val="center"/>
              <w:rPr>
                <w:rFonts w:ascii="宋体" w:hAnsi="宋体"/>
                <w:sz w:val="24"/>
              </w:rPr>
            </w:pPr>
            <w:r>
              <w:rPr>
                <w:rFonts w:ascii="宋体" w:hAnsi="宋体"/>
                <w:sz w:val="24"/>
              </w:rPr>
              <w:t>项目名称</w:t>
            </w:r>
          </w:p>
        </w:tc>
        <w:tc>
          <w:tcPr>
            <w:tcW w:w="6410" w:type="dxa"/>
            <w:vAlign w:val="top"/>
          </w:tcPr>
          <w:p>
            <w:pPr>
              <w:pStyle w:val="19"/>
              <w:spacing w:before="131"/>
              <w:rPr>
                <w:rFonts w:hint="eastAsia" w:eastAsia="宋体"/>
                <w:sz w:val="24"/>
                <w:lang w:eastAsia="zh-CN"/>
              </w:rPr>
            </w:pPr>
            <w:r>
              <w:rPr>
                <w:rFonts w:hint="eastAsia"/>
                <w:sz w:val="24"/>
                <w:lang w:eastAsia="zh-CN"/>
              </w:rPr>
              <w:t>2020年兴国镇和枫林镇生活垃圾分类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投标保证金</w:t>
            </w:r>
          </w:p>
        </w:tc>
        <w:tc>
          <w:tcPr>
            <w:tcW w:w="6410" w:type="dxa"/>
            <w:vAlign w:val="top"/>
          </w:tcPr>
          <w:p>
            <w:pPr>
              <w:pStyle w:val="19"/>
              <w:spacing w:before="132"/>
              <w:ind w:left="226"/>
              <w:rPr>
                <w:sz w:val="24"/>
                <w:lang w:val="en-US"/>
              </w:rPr>
            </w:pPr>
            <w:r>
              <w:rPr>
                <w:rFonts w:hint="eastAsia"/>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正本壹份，副本</w:t>
            </w:r>
            <w:r>
              <w:rPr>
                <w:rFonts w:hint="eastAsia" w:ascii="宋体" w:hAnsi="宋体"/>
                <w:sz w:val="24"/>
                <w:lang w:eastAsia="zh-CN"/>
              </w:rPr>
              <w:t>肆</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6</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磋商有效期</w:t>
            </w:r>
          </w:p>
        </w:tc>
        <w:tc>
          <w:tcPr>
            <w:tcW w:w="6410" w:type="dxa"/>
            <w:vAlign w:val="top"/>
          </w:tcPr>
          <w:p>
            <w:pPr>
              <w:pStyle w:val="19"/>
              <w:spacing w:before="176"/>
              <w:ind w:left="106"/>
              <w:rPr>
                <w:rFonts w:cs="Times New Roman"/>
                <w:sz w:val="24"/>
              </w:rPr>
            </w:pPr>
            <w:r>
              <w:rPr>
                <w:rFonts w:hint="eastAsia" w:cs="Times New Roman"/>
                <w:sz w:val="24"/>
                <w:lang w:val="en-US"/>
              </w:rPr>
              <w:t>提交响应文件截止之日起</w:t>
            </w:r>
            <w:r>
              <w:rPr>
                <w:rFonts w:cs="Times New Roman"/>
                <w:sz w:val="24"/>
                <w:lang w:val="en-US"/>
              </w:rPr>
              <w:t>9</w:t>
            </w:r>
            <w:r>
              <w:rPr>
                <w:rFonts w:hint="eastAsia" w:cs="Times New Roman"/>
                <w:sz w:val="24"/>
              </w:rPr>
              <w:t>0个日历天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7</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采购预算</w:t>
            </w:r>
          </w:p>
        </w:tc>
        <w:tc>
          <w:tcPr>
            <w:tcW w:w="6410" w:type="dxa"/>
            <w:vAlign w:val="top"/>
          </w:tcPr>
          <w:p>
            <w:pPr>
              <w:pStyle w:val="19"/>
              <w:spacing w:before="2" w:line="458" w:lineRule="exact"/>
              <w:ind w:left="106" w:right="-29"/>
              <w:rPr>
                <w:sz w:val="24"/>
                <w:lang w:val="en-US"/>
              </w:rPr>
            </w:pPr>
            <w:r>
              <w:rPr>
                <w:sz w:val="24"/>
              </w:rPr>
              <w:t>人民币</w:t>
            </w:r>
            <w:r>
              <w:rPr>
                <w:rFonts w:hint="eastAsia"/>
                <w:spacing w:val="-2"/>
                <w:sz w:val="24"/>
              </w:rPr>
              <w:t>¥</w:t>
            </w:r>
            <w:r>
              <w:rPr>
                <w:rFonts w:hint="eastAsia" w:ascii="Times New Roman" w:hAnsi="Times New Roman" w:cs="Times New Roman"/>
                <w:bCs/>
                <w:sz w:val="24"/>
                <w:szCs w:val="24"/>
                <w:lang w:val="en-US" w:eastAsia="zh-CN"/>
              </w:rPr>
              <w:t>145.021</w:t>
            </w:r>
            <w:r>
              <w:rPr>
                <w:rFonts w:hint="eastAsia"/>
                <w:spacing w:val="-2"/>
                <w:sz w:val="24"/>
              </w:rPr>
              <w:t>万元</w:t>
            </w:r>
            <w:r>
              <w:rPr>
                <w:rFonts w:hint="eastAsia"/>
                <w:sz w:val="24"/>
                <w:lang w:val="en-US"/>
              </w:rPr>
              <w:t>。</w:t>
            </w:r>
            <w:r>
              <w:rPr>
                <w:spacing w:val="-2"/>
                <w:sz w:val="24"/>
              </w:rPr>
              <w:t>此预算为本项目最高限价，供应商报价超过此预算的投标无效。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8</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资金来源</w:t>
            </w:r>
          </w:p>
        </w:tc>
        <w:tc>
          <w:tcPr>
            <w:tcW w:w="6410" w:type="dxa"/>
            <w:vAlign w:val="top"/>
          </w:tcPr>
          <w:p>
            <w:pPr>
              <w:pStyle w:val="19"/>
              <w:spacing w:before="130"/>
              <w:ind w:left="106"/>
              <w:rPr>
                <w:color w:val="000000"/>
                <w:sz w:val="24"/>
              </w:rPr>
            </w:pPr>
            <w:r>
              <w:rPr>
                <w:rFonts w:hint="eastAsia"/>
                <w:color w:val="000000"/>
                <w:sz w:val="24"/>
                <w:lang w:val="en-US"/>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9</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资格审查</w:t>
            </w:r>
          </w:p>
        </w:tc>
        <w:tc>
          <w:tcPr>
            <w:tcW w:w="6410" w:type="dxa"/>
            <w:vAlign w:val="top"/>
          </w:tcPr>
          <w:p>
            <w:pPr>
              <w:pStyle w:val="19"/>
              <w:spacing w:before="130"/>
              <w:ind w:left="106"/>
              <w:rPr>
                <w:sz w:val="24"/>
                <w:lang w:val="en-US"/>
              </w:rPr>
            </w:pPr>
            <w:r>
              <w:rPr>
                <w:rFonts w:hint="eastAsia"/>
                <w:sz w:val="24"/>
                <w:lang w:val="en-US"/>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10</w:t>
            </w:r>
          </w:p>
        </w:tc>
        <w:tc>
          <w:tcPr>
            <w:tcW w:w="2410" w:type="dxa"/>
            <w:vAlign w:val="center"/>
          </w:tcPr>
          <w:p>
            <w:pPr>
              <w:adjustRightInd w:val="0"/>
              <w:snapToGrid w:val="0"/>
              <w:spacing w:line="240" w:lineRule="auto"/>
              <w:jc w:val="center"/>
              <w:rPr>
                <w:rFonts w:ascii="宋体" w:hAnsi="宋体"/>
                <w:sz w:val="24"/>
              </w:rPr>
            </w:pPr>
            <w:r>
              <w:rPr>
                <w:rFonts w:hint="eastAsia" w:ascii="宋体" w:hAnsi="宋体" w:eastAsia="宋体"/>
                <w:sz w:val="24"/>
                <w:lang w:val="en-US" w:eastAsia="zh-CN"/>
              </w:rPr>
              <w:t>交货期</w:t>
            </w:r>
          </w:p>
        </w:tc>
        <w:tc>
          <w:tcPr>
            <w:tcW w:w="6410" w:type="dxa"/>
            <w:vAlign w:val="center"/>
          </w:tcPr>
          <w:p>
            <w:pPr>
              <w:pStyle w:val="19"/>
              <w:spacing w:before="2" w:line="458" w:lineRule="exact"/>
              <w:ind w:left="106" w:leftChars="0" w:right="-29" w:rightChars="0"/>
              <w:jc w:val="left"/>
              <w:rPr>
                <w:sz w:val="24"/>
              </w:rPr>
            </w:pPr>
            <w:r>
              <w:rPr>
                <w:rFonts w:hint="eastAsia" w:ascii="宋体" w:hAnsi="宋体" w:eastAsia="宋体" w:cs="宋体"/>
                <w:spacing w:val="-2"/>
                <w:sz w:val="24"/>
                <w:lang w:val="en-US" w:eastAsia="zh-CN"/>
              </w:rPr>
              <w:t>合同签订后</w:t>
            </w:r>
            <w:r>
              <w:rPr>
                <w:rFonts w:hint="eastAsia" w:cs="宋体"/>
                <w:spacing w:val="-2"/>
                <w:sz w:val="24"/>
                <w:lang w:val="en-US" w:eastAsia="zh-CN"/>
              </w:rPr>
              <w:t>10</w:t>
            </w:r>
            <w:r>
              <w:rPr>
                <w:rFonts w:hint="eastAsia" w:ascii="宋体" w:hAnsi="宋体" w:eastAsia="宋体" w:cs="宋体"/>
                <w:spacing w:val="-2"/>
                <w:sz w:val="24"/>
                <w:lang w:val="en-US" w:eastAsia="zh-CN"/>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11</w:t>
            </w:r>
          </w:p>
        </w:tc>
        <w:tc>
          <w:tcPr>
            <w:tcW w:w="2410" w:type="dxa"/>
            <w:vAlign w:val="center"/>
          </w:tcPr>
          <w:p>
            <w:pPr>
              <w:spacing w:line="460" w:lineRule="exact"/>
              <w:jc w:val="center"/>
              <w:rPr>
                <w:rFonts w:ascii="宋体" w:hAnsi="宋体"/>
                <w:sz w:val="24"/>
              </w:rPr>
            </w:pPr>
            <w:r>
              <w:rPr>
                <w:sz w:val="24"/>
              </w:rPr>
              <w:t>质量要求</w:t>
            </w:r>
          </w:p>
        </w:tc>
        <w:tc>
          <w:tcPr>
            <w:tcW w:w="6410" w:type="dxa"/>
            <w:vAlign w:val="center"/>
          </w:tcPr>
          <w:p>
            <w:pPr>
              <w:spacing w:line="460" w:lineRule="exact"/>
              <w:jc w:val="left"/>
              <w:rPr>
                <w:rFonts w:ascii="宋体" w:hAnsi="宋体"/>
                <w:sz w:val="24"/>
              </w:rPr>
            </w:pPr>
            <w:r>
              <w:rPr>
                <w:rFonts w:hint="eastAsia"/>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12</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供应商</w:t>
            </w:r>
            <w:r>
              <w:rPr>
                <w:rFonts w:ascii="宋体" w:hAnsi="宋体"/>
                <w:sz w:val="24"/>
              </w:rPr>
              <w:t>资格要求</w:t>
            </w:r>
          </w:p>
        </w:tc>
        <w:tc>
          <w:tcPr>
            <w:tcW w:w="6410" w:type="dxa"/>
            <w:vAlign w:val="center"/>
          </w:tcPr>
          <w:p>
            <w:pPr>
              <w:pStyle w:val="10"/>
              <w:adjustRightInd w:val="0"/>
              <w:snapToGrid w:val="0"/>
              <w:spacing w:line="460" w:lineRule="exact"/>
              <w:jc w:val="left"/>
            </w:pPr>
            <w:r>
              <w:rPr>
                <w:rFonts w:cs="Times New Roman"/>
                <w:kern w:val="2"/>
                <w:sz w:val="24"/>
                <w:szCs w:val="24"/>
              </w:rPr>
              <w:t>详见</w:t>
            </w:r>
            <w:r>
              <w:rPr>
                <w:rFonts w:hint="eastAsia" w:cs="Times New Roman"/>
                <w:kern w:val="2"/>
                <w:sz w:val="24"/>
                <w:szCs w:val="24"/>
              </w:rPr>
              <w:t>竞争性磋商公告</w:t>
            </w:r>
            <w:r>
              <w:rPr>
                <w:rFonts w:cs="Times New Roman"/>
                <w:kern w:val="2"/>
                <w:sz w:val="24"/>
                <w:szCs w:val="24"/>
              </w:rPr>
              <w:t>“</w:t>
            </w:r>
            <w:r>
              <w:rPr>
                <w:rFonts w:hint="eastAsia" w:cs="Times New Roman"/>
                <w:kern w:val="2"/>
                <w:sz w:val="24"/>
                <w:szCs w:val="24"/>
              </w:rPr>
              <w:t>供应商</w:t>
            </w:r>
            <w:r>
              <w:rPr>
                <w:rFonts w:cs="Times New Roman"/>
                <w:kern w:val="2"/>
                <w:sz w:val="24"/>
                <w:szCs w:val="24"/>
              </w:rPr>
              <w:t>资格要求”条款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r>
              <w:rPr>
                <w:rFonts w:hint="eastAsia" w:ascii="宋体" w:hAnsi="宋体"/>
                <w:sz w:val="24"/>
              </w:rPr>
              <w:t>3</w:t>
            </w:r>
          </w:p>
        </w:tc>
        <w:tc>
          <w:tcPr>
            <w:tcW w:w="2410" w:type="dxa"/>
            <w:vAlign w:val="center"/>
          </w:tcPr>
          <w:p>
            <w:pPr>
              <w:spacing w:line="460" w:lineRule="exact"/>
              <w:jc w:val="center"/>
              <w:rPr>
                <w:sz w:val="24"/>
              </w:rPr>
            </w:pPr>
            <w:r>
              <w:rPr>
                <w:rFonts w:hint="eastAsia"/>
                <w:sz w:val="24"/>
              </w:rPr>
              <w:t>是否接受联合体投标</w:t>
            </w:r>
          </w:p>
        </w:tc>
        <w:tc>
          <w:tcPr>
            <w:tcW w:w="6410" w:type="dxa"/>
            <w:vAlign w:val="center"/>
          </w:tcPr>
          <w:p>
            <w:pPr>
              <w:spacing w:line="460" w:lineRule="exact"/>
              <w:jc w:val="left"/>
              <w:rPr>
                <w:sz w:val="24"/>
              </w:rPr>
            </w:pPr>
            <w:r>
              <w:rPr>
                <w:rFonts w:hint="eastAsia"/>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分包</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偏离</w:t>
            </w:r>
          </w:p>
        </w:tc>
        <w:tc>
          <w:tcPr>
            <w:tcW w:w="6410" w:type="dxa"/>
            <w:vAlign w:val="top"/>
          </w:tcPr>
          <w:p>
            <w:r>
              <w:rPr>
                <w:rFonts w:hint="eastAsia"/>
              </w:rPr>
              <w:t>不接受重大偏差</w:t>
            </w:r>
          </w:p>
          <w:p>
            <w:r>
              <w:rPr>
                <w:rFonts w:hint="eastAsia"/>
              </w:rPr>
              <w:t>下列为细微偏差：</w:t>
            </w:r>
          </w:p>
          <w:p>
            <w:r>
              <w:rPr>
                <w:rFonts w:hint="eastAsia"/>
              </w:rPr>
              <w:t>（1）施工组织设计和项目管理机构不够完善（实质性偏差除外）；</w:t>
            </w:r>
          </w:p>
          <w:p>
            <w:r>
              <w:rPr>
                <w:rFonts w:hint="eastAsia"/>
              </w:rPr>
              <w:t>（2）单价分析表与工程量清单对应子目单价不一致，以工程量清单对应子目单价为准。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16</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Cs w:val="21"/>
              </w:rPr>
              <w:t>是否专门面向中小企业</w:t>
            </w:r>
          </w:p>
        </w:tc>
        <w:tc>
          <w:tcPr>
            <w:tcW w:w="6410" w:type="dxa"/>
            <w:vAlign w:val="top"/>
          </w:tcPr>
          <w:p>
            <w:r>
              <w:rPr>
                <w:rFonts w:hint="eastAsia"/>
              </w:rPr>
              <w:t>非专门面向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17</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w:t>
            </w:r>
            <w:r>
              <w:rPr>
                <w:rFonts w:ascii="宋体" w:hAnsi="宋体"/>
                <w:sz w:val="24"/>
              </w:rPr>
              <w:t>有效期</w:t>
            </w:r>
          </w:p>
        </w:tc>
        <w:tc>
          <w:tcPr>
            <w:tcW w:w="6410" w:type="dxa"/>
            <w:vAlign w:val="top"/>
          </w:tcPr>
          <w:p>
            <w:r>
              <w:t>9</w:t>
            </w:r>
            <w:r>
              <w:rPr>
                <w:rFonts w:hint="eastAsia"/>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18</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vAlign w:val="top"/>
          </w:tcPr>
          <w:p>
            <w:pPr>
              <w:adjustRightInd w:val="0"/>
              <w:snapToGrid w:val="0"/>
              <w:spacing w:line="460" w:lineRule="exact"/>
              <w:rPr>
                <w:rFonts w:ascii="宋体" w:hAnsi="宋体"/>
                <w:sz w:val="24"/>
              </w:rPr>
            </w:pPr>
            <w:r>
              <w:rPr>
                <w:rFonts w:hint="eastAsia" w:ascii="宋体" w:hAnsi="宋体"/>
                <w:sz w:val="24"/>
                <w:lang w:val="zh-CN"/>
              </w:rPr>
              <w:t>响应文件份数：</w:t>
            </w:r>
            <w:r>
              <w:rPr>
                <w:rFonts w:hint="eastAsia" w:ascii="宋体" w:hAnsi="宋体"/>
                <w:sz w:val="24"/>
              </w:rPr>
              <w:t>正本壹份，副本</w:t>
            </w:r>
            <w:r>
              <w:rPr>
                <w:rFonts w:hint="eastAsia" w:ascii="宋体" w:hAnsi="宋体"/>
                <w:sz w:val="24"/>
                <w:lang w:eastAsia="zh-CN"/>
              </w:rPr>
              <w:t>肆</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r>
              <w:rPr>
                <w:rFonts w:hint="eastAsia" w:ascii="宋体" w:hAnsi="宋体"/>
                <w:sz w:val="24"/>
              </w:rPr>
              <w:t>9</w:t>
            </w:r>
          </w:p>
        </w:tc>
        <w:tc>
          <w:tcPr>
            <w:tcW w:w="2410" w:type="dxa"/>
            <w:vAlign w:val="center"/>
          </w:tcPr>
          <w:p>
            <w:r>
              <w:rPr>
                <w:rFonts w:hint="eastAsia"/>
              </w:rPr>
              <w:t>磋商</w:t>
            </w:r>
            <w:r>
              <w:t>保证金</w:t>
            </w:r>
          </w:p>
        </w:tc>
        <w:tc>
          <w:tcPr>
            <w:tcW w:w="6410" w:type="dxa"/>
            <w:vAlign w:val="top"/>
          </w:tcPr>
          <w:p>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20</w:t>
            </w:r>
          </w:p>
        </w:tc>
        <w:tc>
          <w:tcPr>
            <w:tcW w:w="2410" w:type="dxa"/>
            <w:vAlign w:val="center"/>
          </w:tcPr>
          <w:p>
            <w:r>
              <w:rPr>
                <w:rFonts w:hint="eastAsia"/>
              </w:rPr>
              <w:t>履约担保</w:t>
            </w:r>
          </w:p>
        </w:tc>
        <w:tc>
          <w:tcPr>
            <w:tcW w:w="6410" w:type="dxa"/>
            <w:vAlign w:val="top"/>
          </w:tcPr>
          <w:p>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21</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磋商小组</w:t>
            </w:r>
            <w:r>
              <w:rPr>
                <w:rFonts w:ascii="宋体" w:hAnsi="宋体"/>
                <w:sz w:val="24"/>
              </w:rPr>
              <w:t>的组建</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磋商小组</w:t>
            </w:r>
            <w:r>
              <w:rPr>
                <w:rFonts w:ascii="宋体" w:hAnsi="宋体"/>
                <w:sz w:val="24"/>
              </w:rPr>
              <w:t>构成：</w:t>
            </w:r>
            <w:r>
              <w:rPr>
                <w:rFonts w:ascii="宋体" w:hAnsi="宋体"/>
                <w:sz w:val="24"/>
                <w:u w:val="single"/>
              </w:rPr>
              <w:t xml:space="preserve"> </w:t>
            </w:r>
            <w:r>
              <w:rPr>
                <w:rFonts w:hint="eastAsia" w:ascii="宋体" w:hAnsi="宋体"/>
                <w:sz w:val="24"/>
                <w:u w:val="single"/>
              </w:rPr>
              <w:t xml:space="preserve"> 3 </w:t>
            </w:r>
            <w:r>
              <w:rPr>
                <w:rFonts w:ascii="宋体" w:hAnsi="宋体"/>
                <w:sz w:val="24"/>
              </w:rPr>
              <w:t>人</w:t>
            </w:r>
            <w:r>
              <w:rPr>
                <w:rFonts w:hint="eastAsia" w:ascii="宋体" w:hAnsi="宋体"/>
                <w:sz w:val="24"/>
              </w:rPr>
              <w:t xml:space="preserve">，其中业主评委一名 </w:t>
            </w:r>
            <w:r>
              <w:rPr>
                <w:rFonts w:ascii="宋体" w:hAnsi="宋体"/>
                <w:sz w:val="24"/>
              </w:rPr>
              <w:t>；</w:t>
            </w:r>
          </w:p>
          <w:p>
            <w:pPr>
              <w:adjustRightInd w:val="0"/>
              <w:snapToGrid w:val="0"/>
              <w:spacing w:line="460" w:lineRule="exact"/>
              <w:rPr>
                <w:rFonts w:ascii="宋体" w:hAnsi="宋体"/>
                <w:color w:val="000000"/>
                <w:sz w:val="24"/>
              </w:rPr>
            </w:pPr>
            <w:r>
              <w:rPr>
                <w:rFonts w:hint="eastAsia" w:ascii="宋体" w:hAnsi="宋体"/>
                <w:sz w:val="24"/>
              </w:rPr>
              <w:t>磋商</w:t>
            </w:r>
            <w:r>
              <w:rPr>
                <w:rFonts w:ascii="宋体" w:hAnsi="宋体"/>
                <w:sz w:val="24"/>
              </w:rPr>
              <w:t>专家确定方式：由</w:t>
            </w:r>
            <w:r>
              <w:rPr>
                <w:rFonts w:hint="eastAsia" w:ascii="宋体" w:hAnsi="宋体"/>
                <w:sz w:val="24"/>
              </w:rPr>
              <w:t>采购人</w:t>
            </w:r>
            <w:r>
              <w:rPr>
                <w:rFonts w:ascii="宋体" w:hAnsi="宋体"/>
                <w:sz w:val="24"/>
              </w:rPr>
              <w:t>从</w:t>
            </w:r>
            <w:r>
              <w:rPr>
                <w:rFonts w:ascii="宋体" w:hAnsi="宋体"/>
                <w:sz w:val="24"/>
                <w:lang w:val="zh-CN"/>
              </w:rPr>
              <w:t>专家库中随机抽取</w:t>
            </w: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22</w:t>
            </w:r>
          </w:p>
        </w:tc>
        <w:tc>
          <w:tcPr>
            <w:tcW w:w="2410" w:type="dxa"/>
            <w:vAlign w:val="center"/>
          </w:tcPr>
          <w:p>
            <w:pPr>
              <w:adjustRightInd w:val="0"/>
              <w:snapToGrid w:val="0"/>
              <w:spacing w:line="460" w:lineRule="exact"/>
              <w:jc w:val="center"/>
              <w:rPr>
                <w:rFonts w:ascii="宋体" w:hAnsi="宋体"/>
                <w:color w:val="000000"/>
                <w:sz w:val="24"/>
              </w:rPr>
            </w:pPr>
            <w:r>
              <w:rPr>
                <w:rFonts w:hint="eastAsia" w:ascii="宋体" w:hAnsi="宋体"/>
                <w:sz w:val="24"/>
              </w:rPr>
              <w:t>是否授权磋商小组确定成交人</w:t>
            </w:r>
          </w:p>
        </w:tc>
        <w:tc>
          <w:tcPr>
            <w:tcW w:w="6410" w:type="dxa"/>
            <w:vAlign w:val="top"/>
          </w:tcPr>
          <w:p>
            <w:pPr>
              <w:adjustRightInd w:val="0"/>
              <w:snapToGrid w:val="0"/>
              <w:spacing w:line="460" w:lineRule="exact"/>
              <w:rPr>
                <w:rFonts w:ascii="宋体" w:hAnsi="宋体"/>
                <w:color w:val="000000"/>
                <w:sz w:val="24"/>
              </w:rPr>
            </w:pPr>
            <w:r>
              <w:rPr>
                <w:rFonts w:hint="eastAsia" w:ascii="宋体" w:hAnsi="宋体"/>
                <w:sz w:val="24"/>
              </w:rPr>
              <w:t>否，推荐的中标候选人数：</w:t>
            </w:r>
            <w:r>
              <w:rPr>
                <w:rFonts w:ascii="宋体" w:hAnsi="宋体"/>
                <w:sz w:val="24"/>
              </w:rPr>
              <w:t>3</w:t>
            </w: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23</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成交</w:t>
            </w:r>
            <w:r>
              <w:rPr>
                <w:rFonts w:ascii="宋体" w:hAnsi="宋体"/>
                <w:sz w:val="24"/>
              </w:rPr>
              <w:t>候选人公示媒介</w:t>
            </w:r>
          </w:p>
        </w:tc>
        <w:tc>
          <w:tcPr>
            <w:tcW w:w="6410" w:type="dxa"/>
            <w:vAlign w:val="top"/>
          </w:tcPr>
          <w:p>
            <w:pPr>
              <w:adjustRightInd w:val="0"/>
              <w:snapToGrid w:val="0"/>
              <w:spacing w:line="460" w:lineRule="exact"/>
              <w:rPr>
                <w:rFonts w:ascii="宋体" w:hAnsi="宋体"/>
                <w:sz w:val="24"/>
              </w:rPr>
            </w:pPr>
            <w:r>
              <w:rPr>
                <w:rFonts w:ascii="宋体" w:hAnsi="宋体"/>
                <w:sz w:val="24"/>
              </w:rPr>
              <w:t>同</w:t>
            </w:r>
            <w:r>
              <w:rPr>
                <w:rFonts w:hint="eastAsia" w:ascii="宋体" w:hAnsi="宋体"/>
                <w:sz w:val="24"/>
              </w:rPr>
              <w:t>磋商</w:t>
            </w:r>
            <w:r>
              <w:rPr>
                <w:rFonts w:ascii="宋体" w:hAnsi="宋体"/>
                <w:sz w:val="24"/>
              </w:rPr>
              <w:t>公告公示媒</w:t>
            </w:r>
            <w:r>
              <w:rPr>
                <w:rFonts w:hint="eastAsia" w:ascii="宋体" w:hAnsi="宋体"/>
                <w:sz w:val="24"/>
              </w:rPr>
              <w:t>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成交通知书</w:t>
            </w:r>
          </w:p>
        </w:tc>
        <w:tc>
          <w:tcPr>
            <w:tcW w:w="6410" w:type="dxa"/>
            <w:vAlign w:val="top"/>
          </w:tcPr>
          <w:p>
            <w:pPr>
              <w:adjustRightInd w:val="0"/>
              <w:snapToGrid w:val="0"/>
              <w:spacing w:line="460" w:lineRule="exact"/>
              <w:rPr>
                <w:rFonts w:ascii="宋体" w:hAnsi="宋体"/>
                <w:sz w:val="24"/>
              </w:rPr>
            </w:pPr>
            <w:r>
              <w:rPr>
                <w:sz w:val="24"/>
              </w:rPr>
              <w:t>成交供应商在公示期满后携带授权委托书到</w:t>
            </w:r>
            <w:r>
              <w:rPr>
                <w:rFonts w:hint="eastAsia"/>
                <w:sz w:val="24"/>
              </w:rPr>
              <w:t>采购机构</w:t>
            </w:r>
            <w:r>
              <w:rPr>
                <w:sz w:val="24"/>
              </w:rPr>
              <w:t>领取成交通知书。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代理服务费</w:t>
            </w:r>
          </w:p>
        </w:tc>
        <w:tc>
          <w:tcPr>
            <w:tcW w:w="6410" w:type="dxa"/>
            <w:vAlign w:val="top"/>
          </w:tcPr>
          <w:p>
            <w:pPr>
              <w:adjustRightInd w:val="0"/>
              <w:snapToGrid w:val="0"/>
              <w:spacing w:line="460" w:lineRule="exact"/>
              <w:rPr>
                <w:rFonts w:ascii="宋体" w:hAnsi="宋体"/>
                <w:sz w:val="24"/>
              </w:rPr>
            </w:pPr>
            <w:r>
              <w:rPr>
                <w:rFonts w:hint="eastAsia" w:hAnsi="宋体"/>
                <w:sz w:val="24"/>
              </w:rPr>
              <w:t>根据本项目《采购代理协议》，成交投标人在领取成交通知书时，需向采购代理机构缴纳本次采购项目的代理服务费。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26</w:t>
            </w:r>
          </w:p>
        </w:tc>
        <w:tc>
          <w:tcPr>
            <w:tcW w:w="2410" w:type="dxa"/>
            <w:vAlign w:val="center"/>
          </w:tcPr>
          <w:p>
            <w:pPr>
              <w:pStyle w:val="20"/>
              <w:ind w:left="38"/>
              <w:jc w:val="center"/>
              <w:rPr>
                <w:rFonts w:ascii="Times New Roman" w:hAnsi="Times New Roman" w:cs="Times New Roman"/>
                <w:kern w:val="2"/>
              </w:rPr>
            </w:pPr>
            <w:r>
              <w:rPr>
                <w:rFonts w:hint="eastAsia" w:ascii="Times New Roman" w:hAnsi="Times New Roman" w:cs="Times New Roman"/>
                <w:kern w:val="2"/>
              </w:rPr>
              <w:t>低于成本价</w:t>
            </w:r>
          </w:p>
          <w:p>
            <w:pPr>
              <w:pStyle w:val="20"/>
              <w:ind w:left="38"/>
              <w:jc w:val="center"/>
              <w:rPr>
                <w:rFonts w:ascii="Times New Roman" w:hAnsi="Times New Roman" w:cs="Times New Roman"/>
                <w:kern w:val="2"/>
              </w:rPr>
            </w:pPr>
            <w:r>
              <w:rPr>
                <w:rFonts w:hint="eastAsia" w:ascii="Times New Roman" w:hAnsi="Times New Roman" w:cs="Times New Roman"/>
                <w:kern w:val="2"/>
              </w:rPr>
              <w:t>不正当竞争预防措施</w:t>
            </w:r>
          </w:p>
          <w:p>
            <w:pPr>
              <w:adjustRightInd w:val="0"/>
              <w:snapToGrid w:val="0"/>
              <w:spacing w:line="460" w:lineRule="exact"/>
              <w:jc w:val="center"/>
              <w:rPr>
                <w:sz w:val="24"/>
              </w:rPr>
            </w:pPr>
          </w:p>
        </w:tc>
        <w:tc>
          <w:tcPr>
            <w:tcW w:w="6410" w:type="dxa"/>
            <w:vAlign w:val="top"/>
          </w:tcPr>
          <w:p>
            <w:pPr>
              <w:adjustRightInd w:val="0"/>
              <w:snapToGrid w:val="0"/>
              <w:spacing w:line="240" w:lineRule="auto"/>
              <w:rPr>
                <w:sz w:val="24"/>
              </w:rPr>
            </w:pPr>
            <w:r>
              <w:rPr>
                <w:rFonts w:hint="eastAsia"/>
                <w:sz w:val="24"/>
              </w:rPr>
              <w:t>1.投标人报价不得超过招标控制价，否则做无效投标处理，同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spacing w:line="240" w:lineRule="auto"/>
              <w:rPr>
                <w:sz w:val="24"/>
              </w:rPr>
            </w:pPr>
            <w:r>
              <w:rPr>
                <w:rFonts w:hint="eastAsia"/>
                <w:sz w:val="24"/>
              </w:rPr>
              <w:t>供应商的书面说明材料应当按照国家财务会计制度的规定要求，逐项就供应商提供的货物、工程和服务的主营业务成本、税金及附加、销售费用、管理费用、财务费用等成本构成事项详细陈述）。</w:t>
            </w:r>
          </w:p>
          <w:p>
            <w:pPr>
              <w:adjustRightInd w:val="0"/>
              <w:snapToGrid w:val="0"/>
              <w:spacing w:line="240" w:lineRule="auto"/>
              <w:rPr>
                <w:sz w:val="24"/>
              </w:rPr>
            </w:pPr>
            <w:r>
              <w:rPr>
                <w:rFonts w:hint="eastAsia"/>
                <w:sz w:val="24"/>
              </w:rPr>
              <w:t>2. 供应商书面说明应当签字确认或者加盖公章，否则无效。书面说明的签字确认，由其法定代表人/主要负责人/本人或者其授权代表签字确认。</w:t>
            </w:r>
          </w:p>
          <w:p>
            <w:pPr>
              <w:adjustRightInd w:val="0"/>
              <w:snapToGrid w:val="0"/>
              <w:spacing w:line="240" w:lineRule="auto"/>
              <w:rPr>
                <w:rFonts w:ascii="宋体" w:hAnsi="宋体"/>
                <w:sz w:val="24"/>
              </w:rPr>
            </w:pPr>
            <w:r>
              <w:rPr>
                <w:rFonts w:hint="eastAsia"/>
                <w:sz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bookmarkEnd w:id="0"/>
      <w:bookmarkEnd w:id="1"/>
      <w:bookmarkEnd w:id="2"/>
    </w:tbl>
    <w:p>
      <w:pPr>
        <w:widowControl/>
        <w:jc w:val="left"/>
        <w:rPr>
          <w:rFonts w:ascii="Times New Roman" w:hAnsi="Times New Roman" w:eastAsia="仿宋_GB2312" w:cs="Times New Roman"/>
          <w:bCs/>
          <w:color w:val="000000"/>
          <w:sz w:val="24"/>
        </w:rPr>
      </w:pPr>
      <w:r>
        <w:rPr>
          <w:rFonts w:hint="eastAsia" w:ascii="宋体" w:hAnsi="宋体"/>
          <w:color w:val="000000"/>
          <w:sz w:val="24"/>
        </w:rPr>
        <w:t>注：本表是对供应商须知的具体补充和修改，如有矛盾，应以本表为准。</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p>
    <w:p>
      <w:pPr>
        <w:pStyle w:val="2"/>
      </w:pPr>
    </w:p>
    <w:p/>
    <w:p>
      <w:pPr>
        <w:pStyle w:val="2"/>
      </w:pPr>
    </w:p>
    <w:p/>
    <w:p>
      <w:pPr>
        <w:pStyle w:val="2"/>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1. 适用范围</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2. 定义</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sz w:val="24"/>
        </w:rPr>
        <w:t>详见《磋商须知前附表》</w:t>
      </w:r>
      <w:r>
        <w:rPr>
          <w:rFonts w:ascii="Times New Roman" w:hAnsi="Times New Roman" w:cs="Times New Roman"/>
          <w:bCs/>
          <w:color w:val="FF0000"/>
          <w:sz w:val="24"/>
          <w:szCs w:val="24"/>
        </w:rPr>
        <w:t>。</w:t>
      </w:r>
    </w:p>
    <w:p>
      <w:pPr>
        <w:adjustRightInd w:val="0"/>
        <w:snapToGrid w:val="0"/>
        <w:spacing w:line="30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阳新县政府采购办公室、阳新县公共资源交易监督管理局。</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rPr>
        <w:t>代理</w:t>
      </w:r>
      <w:r>
        <w:rPr>
          <w:rFonts w:ascii="Times New Roman" w:hAnsi="Times New Roman" w:cs="Times New Roman"/>
          <w:bCs/>
          <w:sz w:val="24"/>
          <w:szCs w:val="24"/>
        </w:rPr>
        <w:t>机构”是指：</w:t>
      </w:r>
      <w:r>
        <w:rPr>
          <w:rFonts w:hint="eastAsia" w:ascii="Times New Roman" w:hAnsi="Times New Roman" w:cs="Times New Roman"/>
          <w:bCs/>
          <w:sz w:val="24"/>
          <w:szCs w:val="24"/>
          <w:lang w:eastAsia="zh-CN"/>
        </w:rPr>
        <w:t>立信大华工程咨询有限责任公司</w:t>
      </w:r>
      <w:r>
        <w:rPr>
          <w:rFonts w:ascii="Times New Roman" w:hAnsi="Times New Roman" w:cs="Times New Roman"/>
          <w:bCs/>
          <w:sz w:val="24"/>
          <w:szCs w:val="24"/>
        </w:rPr>
        <w:t>。</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440" w:lineRule="exact"/>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3.4</w:t>
      </w:r>
      <w:r>
        <w:rPr>
          <w:rFonts w:hint="eastAsia" w:ascii="Times New Roman" w:hAnsi="Times New Roman" w:cs="Times New Roman"/>
          <w:bCs/>
          <w:sz w:val="24"/>
          <w:szCs w:val="24"/>
        </w:rPr>
        <w:t>供应商应提供项目所在地或公司所在地人民检察院出具的无行贿犯罪记录查询证明（不需要提供，自行承诺）。</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本文件第一章第五条除上述以外的条款。</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440" w:lineRule="exact"/>
        <w:ind w:left="420" w:hanging="420"/>
        <w:rPr>
          <w:bCs/>
          <w:color w:val="000000"/>
          <w:sz w:val="24"/>
        </w:rPr>
      </w:pPr>
      <w:r>
        <w:rPr>
          <w:rFonts w:hint="eastAsia"/>
          <w:bCs/>
          <w:color w:val="000000"/>
          <w:sz w:val="24"/>
        </w:rPr>
        <w:t>4.1供应商应自行承担所有与编写和提交响应文件有关的费用，不论磋商结果如何，采购人和采购代理机构在任何情况下无义务和责任承担此类费用。</w:t>
      </w:r>
    </w:p>
    <w:p>
      <w:pPr>
        <w:spacing w:line="440" w:lineRule="exact"/>
        <w:rPr>
          <w:sz w:val="24"/>
        </w:rPr>
      </w:pPr>
      <w:r>
        <w:rPr>
          <w:rFonts w:hint="eastAsia"/>
          <w:bCs/>
          <w:color w:val="000000"/>
          <w:sz w:val="24"/>
        </w:rPr>
        <w:t>4.2</w:t>
      </w:r>
      <w:r>
        <w:rPr>
          <w:rFonts w:hint="eastAsia" w:ascii="宋体" w:hAnsi="宋体"/>
          <w:sz w:val="24"/>
        </w:rPr>
        <w:t>采购代理服务费</w:t>
      </w:r>
    </w:p>
    <w:p>
      <w:pPr>
        <w:pStyle w:val="17"/>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4" w:hRule="atLeast"/>
        </w:trPr>
        <w:tc>
          <w:tcPr>
            <w:tcW w:w="2475" w:type="dxa"/>
            <w:vAlign w:val="top"/>
          </w:tcPr>
          <w:p>
            <w:pPr>
              <w:spacing w:line="300" w:lineRule="auto"/>
              <w:ind w:firstLine="998" w:firstLineChars="416"/>
              <w:rPr>
                <w:rFonts w:ascii="宋体" w:hAnsi="宋体" w:cs="宋体"/>
                <w:sz w:val="24"/>
              </w:rPr>
            </w:pPr>
            <w:r>
              <w:rPr>
                <w:rFonts w:ascii="宋体" w:hAnsi="宋体" w:eastAsia="宋体" w:cs="宋体"/>
                <w:kern w:val="2"/>
                <w:sz w:val="24"/>
                <w:szCs w:val="22"/>
                <w:lang w:val="en-US" w:eastAsia="zh-CN" w:bidi="ar-SA"/>
              </w:rPr>
              <w:pict>
                <v:line id="Line 16" o:spid="_x0000_s1026" o:spt="20" style="position:absolute;left:0pt;flip:x y;margin-left:-1pt;margin-top:8pt;height:68.5pt;width:111.05pt;z-index:251663360;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宋体" w:hAnsi="宋体" w:eastAsia="宋体" w:cs="宋体"/>
                <w:kern w:val="2"/>
                <w:sz w:val="24"/>
                <w:szCs w:val="22"/>
                <w:lang w:val="en-US" w:eastAsia="zh-CN" w:bidi="ar-SA"/>
              </w:rPr>
              <w:pict>
                <v:line id="Line 17" o:spid="_x0000_s1027" o:spt="20" style="position:absolute;left:0pt;flip:x y;margin-left:-5.1pt;margin-top:4.3pt;height:33.15pt;width:125.7pt;z-index:251664384;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宋体" w:hAnsi="宋体" w:eastAsia="宋体" w:cs="宋体"/>
                <w:kern w:val="2"/>
                <w:sz w:val="24"/>
                <w:szCs w:val="22"/>
                <w:lang w:val="en-US" w:eastAsia="zh-CN" w:bidi="ar-SA"/>
              </w:rPr>
              <w:pict>
                <v:line id="Line 15" o:spid="_x0000_s1028" o:spt="20" style="position:absolute;left:0pt;margin-left:-8.95pt;margin-top:-0.45pt;height:0.25pt;width:0.25pt;z-index:251665408;mso-width-relative:page;mso-height-relative:page;" fillcolor="#FFFFFF" filled="f" o:preferrelative="t" stroked="t" coordsize="21600,21600" o:allowincell="f">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宋体" w:hAnsi="宋体" w:cs="宋体"/>
                <w:sz w:val="24"/>
              </w:rPr>
              <w:t>招标类型　　　</w:t>
            </w:r>
          </w:p>
          <w:p>
            <w:pPr>
              <w:spacing w:line="30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00" w:lineRule="auto"/>
              <w:ind w:firstLine="1504" w:firstLineChars="627"/>
              <w:rPr>
                <w:rFonts w:ascii="宋体" w:hAnsi="宋体" w:cs="宋体"/>
                <w:bCs/>
                <w:sz w:val="24"/>
              </w:rPr>
            </w:pPr>
            <w:r>
              <w:rPr>
                <w:rFonts w:hint="eastAsia" w:ascii="宋体" w:hAnsi="宋体" w:cs="宋体"/>
                <w:bCs/>
                <w:sz w:val="24"/>
              </w:rPr>
              <w:t>费率</w:t>
            </w:r>
          </w:p>
          <w:p>
            <w:pPr>
              <w:spacing w:line="300" w:lineRule="auto"/>
              <w:rPr>
                <w:rFonts w:ascii="宋体" w:hAnsi="宋体" w:cs="宋体"/>
                <w:sz w:val="24"/>
              </w:rPr>
            </w:pPr>
            <w:r>
              <w:rPr>
                <w:rFonts w:hint="eastAsia" w:ascii="宋体" w:hAnsi="宋体" w:cs="宋体"/>
                <w:sz w:val="24"/>
              </w:rPr>
              <w:t>金额（万元）</w:t>
            </w:r>
          </w:p>
        </w:tc>
        <w:tc>
          <w:tcPr>
            <w:tcW w:w="2028" w:type="dxa"/>
            <w:vAlign w:val="center"/>
          </w:tcPr>
          <w:p>
            <w:pPr>
              <w:spacing w:line="30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0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0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100以下</w:t>
            </w:r>
          </w:p>
        </w:tc>
        <w:tc>
          <w:tcPr>
            <w:tcW w:w="2028" w:type="dxa"/>
            <w:vAlign w:val="top"/>
          </w:tcPr>
          <w:p>
            <w:pPr>
              <w:spacing w:line="300" w:lineRule="auto"/>
              <w:jc w:val="center"/>
              <w:rPr>
                <w:rFonts w:ascii="宋体" w:hAnsi="宋体" w:cs="宋体"/>
                <w:sz w:val="24"/>
              </w:rPr>
            </w:pPr>
            <w:r>
              <w:rPr>
                <w:rFonts w:hint="eastAsia" w:ascii="宋体" w:hAnsi="宋体" w:cs="宋体"/>
                <w:sz w:val="24"/>
              </w:rPr>
              <w:t>1.5%</w:t>
            </w:r>
          </w:p>
        </w:tc>
        <w:tc>
          <w:tcPr>
            <w:tcW w:w="1842" w:type="dxa"/>
            <w:vAlign w:val="top"/>
          </w:tcPr>
          <w:p>
            <w:pPr>
              <w:spacing w:line="300" w:lineRule="auto"/>
              <w:jc w:val="center"/>
              <w:rPr>
                <w:rFonts w:ascii="宋体" w:hAnsi="宋体" w:cs="宋体"/>
                <w:sz w:val="24"/>
              </w:rPr>
            </w:pPr>
            <w:r>
              <w:rPr>
                <w:rFonts w:hint="eastAsia" w:ascii="宋体" w:hAnsi="宋体" w:cs="宋体"/>
                <w:sz w:val="24"/>
              </w:rPr>
              <w:t>1.5%</w:t>
            </w:r>
          </w:p>
        </w:tc>
        <w:tc>
          <w:tcPr>
            <w:tcW w:w="1985" w:type="dxa"/>
            <w:vAlign w:val="top"/>
          </w:tcPr>
          <w:p>
            <w:pPr>
              <w:spacing w:line="30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100-500</w:t>
            </w:r>
          </w:p>
        </w:tc>
        <w:tc>
          <w:tcPr>
            <w:tcW w:w="2028" w:type="dxa"/>
            <w:vAlign w:val="top"/>
          </w:tcPr>
          <w:p>
            <w:pPr>
              <w:spacing w:line="300" w:lineRule="auto"/>
              <w:jc w:val="center"/>
              <w:rPr>
                <w:rFonts w:ascii="宋体" w:hAnsi="宋体" w:cs="宋体"/>
                <w:sz w:val="24"/>
              </w:rPr>
            </w:pPr>
            <w:r>
              <w:rPr>
                <w:rFonts w:hint="eastAsia" w:ascii="宋体" w:hAnsi="宋体" w:cs="宋体"/>
                <w:sz w:val="24"/>
              </w:rPr>
              <w:t>1.1%</w:t>
            </w:r>
          </w:p>
        </w:tc>
        <w:tc>
          <w:tcPr>
            <w:tcW w:w="1842" w:type="dxa"/>
            <w:vAlign w:val="top"/>
          </w:tcPr>
          <w:p>
            <w:pPr>
              <w:spacing w:line="300" w:lineRule="auto"/>
              <w:jc w:val="center"/>
              <w:rPr>
                <w:rFonts w:ascii="宋体" w:hAnsi="宋体" w:cs="宋体"/>
                <w:sz w:val="24"/>
              </w:rPr>
            </w:pPr>
            <w:r>
              <w:rPr>
                <w:rFonts w:hint="eastAsia" w:ascii="宋体" w:hAnsi="宋体" w:cs="宋体"/>
                <w:sz w:val="24"/>
              </w:rPr>
              <w:t>0.8%</w:t>
            </w:r>
          </w:p>
        </w:tc>
        <w:tc>
          <w:tcPr>
            <w:tcW w:w="1985" w:type="dxa"/>
            <w:vAlign w:val="top"/>
          </w:tcPr>
          <w:p>
            <w:pPr>
              <w:spacing w:line="30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500-1000</w:t>
            </w:r>
          </w:p>
        </w:tc>
        <w:tc>
          <w:tcPr>
            <w:tcW w:w="2028" w:type="dxa"/>
            <w:vAlign w:val="top"/>
          </w:tcPr>
          <w:p>
            <w:pPr>
              <w:spacing w:line="300" w:lineRule="auto"/>
              <w:jc w:val="center"/>
              <w:rPr>
                <w:rFonts w:ascii="宋体" w:hAnsi="宋体" w:cs="宋体"/>
                <w:sz w:val="24"/>
              </w:rPr>
            </w:pPr>
            <w:r>
              <w:rPr>
                <w:rFonts w:hint="eastAsia" w:ascii="宋体" w:hAnsi="宋体" w:cs="宋体"/>
                <w:sz w:val="24"/>
              </w:rPr>
              <w:t>0.8%</w:t>
            </w:r>
          </w:p>
        </w:tc>
        <w:tc>
          <w:tcPr>
            <w:tcW w:w="1842" w:type="dxa"/>
            <w:vAlign w:val="top"/>
          </w:tcPr>
          <w:p>
            <w:pPr>
              <w:spacing w:line="300" w:lineRule="auto"/>
              <w:jc w:val="center"/>
              <w:rPr>
                <w:rFonts w:ascii="宋体" w:hAnsi="宋体" w:cs="宋体"/>
                <w:sz w:val="24"/>
              </w:rPr>
            </w:pPr>
            <w:r>
              <w:rPr>
                <w:rFonts w:hint="eastAsia" w:ascii="宋体" w:hAnsi="宋体" w:cs="宋体"/>
                <w:sz w:val="24"/>
              </w:rPr>
              <w:t>0.45%</w:t>
            </w:r>
          </w:p>
        </w:tc>
        <w:tc>
          <w:tcPr>
            <w:tcW w:w="1985" w:type="dxa"/>
            <w:vAlign w:val="top"/>
          </w:tcPr>
          <w:p>
            <w:pPr>
              <w:spacing w:line="300" w:lineRule="auto"/>
              <w:jc w:val="center"/>
              <w:rPr>
                <w:rFonts w:ascii="宋体" w:hAnsi="宋体" w:cs="宋体"/>
                <w:sz w:val="24"/>
              </w:rPr>
            </w:pPr>
            <w:r>
              <w:rPr>
                <w:rFonts w:hint="eastAsia" w:ascii="宋体" w:hAnsi="宋体" w:cs="宋体"/>
                <w:sz w:val="24"/>
              </w:rPr>
              <w:t>0.55％</w:t>
            </w:r>
          </w:p>
        </w:tc>
      </w:tr>
    </w:tbl>
    <w:p>
      <w:pPr>
        <w:spacing w:line="440" w:lineRule="exact"/>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5.1响应文件以及与集中采购机构和采购人就有关磋商的所有来往函电均应使用简体中文。</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5.5响应文件的组成</w:t>
      </w:r>
    </w:p>
    <w:p>
      <w:pPr>
        <w:spacing w:line="360" w:lineRule="auto"/>
        <w:ind w:left="315" w:leftChars="150"/>
        <w:rPr>
          <w:rFonts w:ascii="Times New Roman" w:hAnsi="Times New Roman" w:cs="Times New Roman"/>
          <w:bCs/>
          <w:sz w:val="24"/>
          <w:szCs w:val="24"/>
        </w:rPr>
      </w:pPr>
      <w:r>
        <w:rPr>
          <w:rFonts w:ascii="Times New Roman" w:hAnsi="Times New Roman" w:cs="Times New Roman"/>
          <w:bCs/>
          <w:sz w:val="24"/>
          <w:szCs w:val="24"/>
        </w:rPr>
        <w:t>不限于以下内容,应该有的必须提供,如未提供,磋商小组有权拒绝其响应文件：</w:t>
      </w:r>
    </w:p>
    <w:p>
      <w:pPr>
        <w:spacing w:line="360" w:lineRule="auto"/>
        <w:rPr>
          <w:rFonts w:ascii="Times New Roman" w:hAnsi="Times New Roman" w:cs="Times New Roman"/>
          <w:bCs/>
          <w:sz w:val="24"/>
          <w:szCs w:val="24"/>
        </w:rPr>
      </w:pPr>
      <w:r>
        <w:rPr>
          <w:rFonts w:ascii="Times New Roman" w:hAnsi="Times New Roman" w:cs="Times New Roman"/>
          <w:bCs/>
          <w:sz w:val="24"/>
          <w:szCs w:val="24"/>
        </w:rPr>
        <w:t>1）磋商书 (附件1)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2）报价组成情况表(附件2)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3）货物（服务）清单(附件3)；</w:t>
      </w:r>
    </w:p>
    <w:p>
      <w:pPr>
        <w:spacing w:line="360" w:lineRule="auto"/>
        <w:rPr>
          <w:rFonts w:ascii="Times New Roman" w:hAnsi="Times New Roman" w:cs="Times New Roman"/>
          <w:bCs/>
          <w:sz w:val="24"/>
          <w:szCs w:val="24"/>
        </w:rPr>
      </w:pPr>
      <w:r>
        <w:rPr>
          <w:rFonts w:ascii="Times New Roman" w:hAnsi="Times New Roman" w:cs="Times New Roman"/>
          <w:bCs/>
          <w:sz w:val="24"/>
          <w:szCs w:val="24"/>
        </w:rPr>
        <w:t>4）资格性符合性检查对照表(附件4)；</w:t>
      </w:r>
    </w:p>
    <w:p>
      <w:pPr>
        <w:spacing w:line="360" w:lineRule="auto"/>
        <w:rPr>
          <w:rFonts w:ascii="Times New Roman" w:hAnsi="Times New Roman" w:cs="Times New Roman"/>
          <w:bCs/>
          <w:sz w:val="24"/>
          <w:szCs w:val="24"/>
        </w:rPr>
      </w:pPr>
      <w:r>
        <w:rPr>
          <w:rFonts w:ascii="Times New Roman" w:hAnsi="Times New Roman" w:cs="Times New Roman"/>
          <w:bCs/>
          <w:sz w:val="24"/>
          <w:szCs w:val="24"/>
        </w:rPr>
        <w:t>5）技术响应、偏离情况说明表(附件5)；</w:t>
      </w:r>
    </w:p>
    <w:p>
      <w:pPr>
        <w:spacing w:line="360" w:lineRule="auto"/>
        <w:rPr>
          <w:rFonts w:ascii="Times New Roman" w:hAnsi="Times New Roman" w:cs="Times New Roman"/>
          <w:bCs/>
          <w:sz w:val="24"/>
          <w:szCs w:val="24"/>
        </w:rPr>
      </w:pPr>
      <w:r>
        <w:rPr>
          <w:rFonts w:ascii="Times New Roman" w:hAnsi="Times New Roman" w:cs="Times New Roman"/>
          <w:bCs/>
          <w:sz w:val="24"/>
          <w:szCs w:val="24"/>
        </w:rPr>
        <w:t>6）合同草案条款响应、偏离情况说明表（附件6）；</w:t>
      </w:r>
    </w:p>
    <w:p>
      <w:pPr>
        <w:spacing w:line="360" w:lineRule="auto"/>
        <w:rPr>
          <w:rFonts w:ascii="Times New Roman" w:hAnsi="Times New Roman" w:cs="Times New Roman"/>
          <w:bCs/>
          <w:sz w:val="24"/>
          <w:szCs w:val="24"/>
        </w:rPr>
      </w:pPr>
      <w:r>
        <w:rPr>
          <w:rFonts w:ascii="Times New Roman" w:hAnsi="Times New Roman" w:cs="Times New Roman"/>
          <w:bCs/>
          <w:sz w:val="24"/>
          <w:szCs w:val="24"/>
        </w:rPr>
        <w:t>7）法人（负责人）代表授权书（附件7）；</w:t>
      </w:r>
    </w:p>
    <w:p>
      <w:pPr>
        <w:spacing w:line="360" w:lineRule="auto"/>
        <w:rPr>
          <w:rFonts w:ascii="Times New Roman" w:hAnsi="Times New Roman" w:cs="Times New Roman"/>
          <w:bCs/>
          <w:sz w:val="24"/>
          <w:szCs w:val="24"/>
        </w:rPr>
      </w:pPr>
      <w:r>
        <w:rPr>
          <w:rFonts w:ascii="Times New Roman" w:hAnsi="Times New Roman" w:cs="Times New Roman"/>
          <w:bCs/>
          <w:sz w:val="24"/>
          <w:szCs w:val="24"/>
        </w:rPr>
        <w:t>8）法人或者其他组织的营业执照等证明文件，自然人的身份证明(附件8)；</w:t>
      </w:r>
    </w:p>
    <w:p>
      <w:pPr>
        <w:spacing w:line="360" w:lineRule="auto"/>
        <w:rPr>
          <w:rFonts w:ascii="Times New Roman" w:hAnsi="Times New Roman" w:cs="Times New Roman"/>
          <w:bCs/>
          <w:sz w:val="24"/>
          <w:szCs w:val="24"/>
        </w:rPr>
      </w:pPr>
      <w:r>
        <w:rPr>
          <w:rFonts w:ascii="Times New Roman" w:hAnsi="Times New Roman" w:cs="Times New Roman"/>
          <w:bCs/>
          <w:sz w:val="24"/>
          <w:szCs w:val="24"/>
        </w:rPr>
        <w:t>9）财务状况报告，依法缴纳税收和社会保障资金的相关材料(附件9)；</w:t>
      </w:r>
    </w:p>
    <w:p>
      <w:pPr>
        <w:spacing w:line="360" w:lineRule="auto"/>
        <w:rPr>
          <w:rFonts w:ascii="Times New Roman" w:hAnsi="Times New Roman" w:cs="Times New Roman"/>
          <w:bCs/>
          <w:sz w:val="24"/>
          <w:szCs w:val="24"/>
        </w:rPr>
      </w:pPr>
      <w:r>
        <w:rPr>
          <w:rFonts w:ascii="Times New Roman" w:hAnsi="Times New Roman" w:cs="Times New Roman"/>
          <w:bCs/>
          <w:sz w:val="24"/>
          <w:szCs w:val="24"/>
        </w:rPr>
        <w:t>10）具备履行合同所必需的设备和专业技术能力的证明材料(附件10)；</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11）参加政府采购活动前3年内在经营活动中没有重大违法记录的书面声明(附件11)；</w:t>
      </w:r>
    </w:p>
    <w:p>
      <w:pPr>
        <w:spacing w:line="360" w:lineRule="auto"/>
        <w:ind w:left="362" w:leftChars="1" w:hanging="360" w:hangingChars="150"/>
        <w:rPr>
          <w:bCs/>
          <w:color w:val="000000" w:themeColor="text1"/>
          <w:sz w:val="24"/>
        </w:rPr>
      </w:pPr>
      <w:r>
        <w:rPr>
          <w:rFonts w:hint="eastAsia"/>
          <w:bCs/>
          <w:color w:val="000000" w:themeColor="text1"/>
          <w:sz w:val="24"/>
        </w:rPr>
        <w:t>12）未被列入“信用中国”网站(www.creditchina. gov.cn)失信被执行人、重大税收违法案件当事人名单、政府采购严重违法失信行为记录名单的网页打印件(附件12)。</w:t>
      </w:r>
    </w:p>
    <w:p>
      <w:pPr>
        <w:spacing w:line="360" w:lineRule="auto"/>
        <w:ind w:left="362" w:leftChars="1" w:hanging="360" w:hangingChars="150"/>
        <w:rPr>
          <w:bCs/>
          <w:color w:val="000000" w:themeColor="text1"/>
          <w:sz w:val="24"/>
        </w:rPr>
      </w:pPr>
      <w:r>
        <w:rPr>
          <w:rFonts w:hint="eastAsia"/>
          <w:bCs/>
          <w:color w:val="000000" w:themeColor="text1"/>
          <w:sz w:val="24"/>
        </w:rPr>
        <w:t>1</w:t>
      </w:r>
      <w:r>
        <w:rPr>
          <w:rFonts w:hint="eastAsia"/>
          <w:bCs/>
          <w:color w:val="000000" w:themeColor="text1"/>
          <w:sz w:val="24"/>
          <w:lang w:val="en-US" w:eastAsia="zh-CN"/>
        </w:rPr>
        <w:t>3</w:t>
      </w:r>
      <w:r>
        <w:rPr>
          <w:rFonts w:hint="eastAsia"/>
          <w:bCs/>
          <w:color w:val="000000" w:themeColor="text1"/>
          <w:sz w:val="24"/>
        </w:rPr>
        <w:t>）《中小企业声明函》、《残疾人福利性单位声明函》、属于监狱企业的证明文件等(附件13)。</w:t>
      </w:r>
    </w:p>
    <w:p>
      <w:pPr>
        <w:spacing w:after="120" w:line="440" w:lineRule="exact"/>
        <w:ind w:firstLine="480" w:firstLineChars="200"/>
        <w:rPr>
          <w:rFonts w:ascii="宋体" w:hAnsi="宋体"/>
          <w:bCs/>
          <w:color w:val="000000"/>
          <w:sz w:val="24"/>
        </w:rPr>
      </w:pPr>
    </w:p>
    <w:p>
      <w:pPr>
        <w:spacing w:line="440" w:lineRule="exact"/>
        <w:ind w:left="273" w:leftChars="130"/>
        <w:rPr>
          <w:b/>
          <w:bCs/>
          <w:color w:val="000000"/>
          <w:sz w:val="24"/>
        </w:rPr>
      </w:pPr>
      <w:r>
        <w:rPr>
          <w:rFonts w:hint="eastAsia"/>
          <w:b/>
          <w:bCs/>
          <w:color w:val="000000"/>
          <w:sz w:val="24"/>
        </w:rPr>
        <w:t>本文件要求提供的其他资格证明文件及资料。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sz w:val="24"/>
        </w:rPr>
        <w:t>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sz w:val="24"/>
        </w:rPr>
        <w:t>日历日</w:t>
      </w:r>
      <w:r>
        <w:rPr>
          <w:rFonts w:hint="eastAsia"/>
          <w:bCs/>
          <w:color w:val="000000"/>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440" w:lineRule="exact"/>
        <w:outlineLvl w:val="0"/>
        <w:rPr>
          <w:rFonts w:ascii="Times New Roman" w:hAnsi="Times New Roman" w:cs="Times New Roman"/>
          <w:b/>
          <w:sz w:val="24"/>
          <w:szCs w:val="24"/>
        </w:rPr>
      </w:pPr>
    </w:p>
    <w:p>
      <w:pPr>
        <w:spacing w:line="440" w:lineRule="exact"/>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sz w:val="24"/>
          <w:szCs w:val="24"/>
        </w:rPr>
        <w:t>9. 报价以人民币报价。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bCs/>
          <w:sz w:val="24"/>
          <w:szCs w:val="24"/>
        </w:rPr>
        <w:t>11. 成交供应商负</w:t>
      </w:r>
      <w:r>
        <w:rPr>
          <w:rFonts w:ascii="Times New Roman" w:hAnsi="Times New Roman" w:cs="Times New Roman"/>
          <w:sz w:val="24"/>
          <w:szCs w:val="24"/>
        </w:rPr>
        <w:t>责本项目所需的售后服务等全部工作，文件另有规定的除外。</w:t>
      </w:r>
    </w:p>
    <w:p>
      <w:pPr>
        <w:spacing w:line="440" w:lineRule="exact"/>
        <w:ind w:left="420" w:hanging="420"/>
        <w:rPr>
          <w:rFonts w:ascii="Times New Roman" w:hAnsi="Times New Roman" w:cs="Times New Roman"/>
          <w:b/>
          <w:bCs/>
          <w:sz w:val="24"/>
          <w:szCs w:val="24"/>
        </w:rPr>
      </w:pPr>
    </w:p>
    <w:p>
      <w:pPr>
        <w:spacing w:line="440" w:lineRule="exact"/>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 响应文件的份数和封装</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12.1响应文</w:t>
      </w:r>
      <w:r>
        <w:rPr>
          <w:rFonts w:ascii="Times New Roman" w:hAnsi="Times New Roman" w:cs="Times New Roman"/>
          <w:sz w:val="24"/>
          <w:szCs w:val="24"/>
        </w:rPr>
        <w:t>件一式</w:t>
      </w:r>
      <w:r>
        <w:rPr>
          <w:rFonts w:hint="eastAsia" w:ascii="Times New Roman" w:hAnsi="Times New Roman" w:cs="Times New Roman"/>
          <w:sz w:val="24"/>
          <w:szCs w:val="24"/>
          <w:lang w:eastAsia="zh-CN"/>
        </w:rPr>
        <w:t>肆</w:t>
      </w:r>
      <w:r>
        <w:rPr>
          <w:rFonts w:ascii="Times New Roman" w:hAnsi="Times New Roman" w:cs="Times New Roman"/>
          <w:sz w:val="24"/>
          <w:szCs w:val="24"/>
        </w:rPr>
        <w:t>份，其中正本一份，副本</w:t>
      </w:r>
      <w:r>
        <w:rPr>
          <w:rFonts w:hint="eastAsia" w:ascii="Times New Roman" w:hAnsi="Times New Roman" w:cs="Times New Roman"/>
          <w:bCs/>
          <w:sz w:val="24"/>
          <w:szCs w:val="24"/>
          <w:lang w:eastAsia="zh-CN"/>
        </w:rPr>
        <w:t>肆</w:t>
      </w:r>
      <w:r>
        <w:rPr>
          <w:rFonts w:ascii="Times New Roman" w:hAnsi="Times New Roman" w:cs="Times New Roman"/>
          <w:bCs/>
          <w:sz w:val="24"/>
          <w:szCs w:val="24"/>
        </w:rPr>
        <w:t>份。</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12.2响应文件的信封上应写明:项目编号、项目名称、磋商内容、供应商名称。</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 响应文件的递交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 迟交的响应文件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15.磋商小组成员由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 xml:space="preserve">16. </w:t>
      </w:r>
      <w:r>
        <w:rPr>
          <w:rFonts w:ascii="Times New Roman" w:hAnsi="Times New Roman" w:cs="Times New Roman"/>
          <w:bCs/>
          <w:color w:val="FF0000"/>
          <w:sz w:val="24"/>
          <w:szCs w:val="24"/>
        </w:rPr>
        <w:t>供应商授权代表及其项目相关的商务技术人员</w:t>
      </w:r>
      <w:r>
        <w:rPr>
          <w:rFonts w:ascii="Times New Roman" w:hAnsi="Times New Roman" w:cs="Times New Roman"/>
          <w:bCs/>
          <w:sz w:val="24"/>
          <w:szCs w:val="24"/>
        </w:rPr>
        <w:t>按要求参加本项目磋商过程</w:t>
      </w:r>
      <w:r>
        <w:rPr>
          <w:rFonts w:hint="eastAsia" w:ascii="Times New Roman" w:hAnsi="Times New Roman" w:cs="Times New Roman"/>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参加磋商的供应商委托授权代表至少须有一名技术人员参加磋商。若磋商小组和授权代表磋商时，授权代表只能简单的回答"不知道"、"不清楚"等，该供应商的磋商将有可能被拒绝。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 资格性审查</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 第一轮磋商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18.1磋商小组将按</w:t>
      </w:r>
      <w:r>
        <w:rPr>
          <w:rFonts w:ascii="Times New Roman" w:hAnsi="Times New Roman" w:cs="Times New Roman"/>
          <w:bCs/>
          <w:color w:val="FF0000"/>
          <w:sz w:val="24"/>
          <w:szCs w:val="24"/>
        </w:rPr>
        <w:t>照随机抽签的顺序</w:t>
      </w:r>
      <w:r>
        <w:rPr>
          <w:rFonts w:hint="eastAsia" w:ascii="Times New Roman" w:hAnsi="Times New Roman" w:cs="Times New Roman"/>
          <w:bCs/>
          <w:color w:val="FF0000"/>
          <w:sz w:val="24"/>
          <w:szCs w:val="24"/>
        </w:rPr>
        <w:t>或按照签到的顺序</w:t>
      </w:r>
      <w:r>
        <w:rPr>
          <w:rFonts w:ascii="Times New Roman" w:hAnsi="Times New Roman" w:cs="Times New Roman"/>
          <w:bCs/>
          <w:sz w:val="24"/>
          <w:szCs w:val="24"/>
        </w:rPr>
        <w:t>决定供应商的磋商顺序，并与单一供应商分别进行磋商。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18.3 响应文件的澄清和说明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18.4磋商小组按磋商文件设定的方法和标准确定供应商符合磋商文件要求的，该供应商即为合格的供应商。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19.磋商文件修正</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19.2磋商小组将磋商文件的修改结果以书面形式通知参加磋商的供应商。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 第二轮磋商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20.1磋商小组就修正后的磋商文件与供应商分别进行磋商。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 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21.3供应商的报价均超过了政府采购预算或报价未超过采购预算的供应商不足三家的，磋商活动终止。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21.4最后报价文件应密封，并在规定的同一时间内提交。最后报价是供应商响应文件的有效组成部分。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21.5在提交最后报价之前，供应商可以根据磋商情况退出磋商。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 综合评议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22.1 磋商小组将按照磋商文件确定的评审办法对各供应商的响应文件进行商务服务评议和价格评议。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22.2评审采用综合评分法，具体见“第四章评审办法及评审标准”。</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23.非专门面向中小企业、监狱企业或残疾人福利性单位采购项目价格评议</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w:t>
      </w:r>
      <w:r>
        <w:rPr>
          <w:rFonts w:ascii="Times New Roman" w:hAnsi="Times New Roman" w:cs="Times New Roman"/>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4.1</w:t>
      </w:r>
      <w:r>
        <w:rPr>
          <w:rFonts w:ascii="Times New Roman" w:hAnsi="Times New Roman" w:cs="Times New Roman"/>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5.</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6</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7</w:t>
      </w:r>
      <w:r>
        <w:rPr>
          <w:rFonts w:ascii="Times New Roman" w:hAnsi="Times New Roman" w:cs="Times New Roman"/>
          <w:bCs/>
          <w:sz w:val="24"/>
          <w:szCs w:val="24"/>
        </w:rPr>
        <w:t>.采购人从评审报告提出的成交候选供应商中，按照排序由高到低的原则确定成交供应商。</w:t>
      </w:r>
    </w:p>
    <w:p>
      <w:pPr>
        <w:spacing w:line="440" w:lineRule="exact"/>
        <w:ind w:left="360" w:hanging="360" w:hangingChars="150"/>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8</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9</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6提起质疑的日期。</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.成交供应商在收到成交通知书后，三十日内与采购人签订供货（服务）合同。</w:t>
      </w:r>
    </w:p>
    <w:p>
      <w:pPr>
        <w:spacing w:line="440" w:lineRule="exact"/>
        <w:rPr>
          <w:rFonts w:ascii="Times New Roman" w:hAnsi="Times New Roman" w:cs="Times New Roman"/>
          <w:sz w:val="24"/>
          <w:szCs w:val="24"/>
        </w:rPr>
      </w:pPr>
    </w:p>
    <w:p>
      <w:pPr>
        <w:spacing w:line="440" w:lineRule="exact"/>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.货物（服务）交付验收合格后，</w:t>
      </w:r>
      <w:r>
        <w:rPr>
          <w:rFonts w:hint="eastAsia" w:ascii="Times New Roman" w:hAnsi="Times New Roman" w:cs="Times New Roman"/>
          <w:bCs/>
          <w:sz w:val="24"/>
          <w:szCs w:val="24"/>
          <w:lang w:eastAsia="zh-CN"/>
        </w:rPr>
        <w:t>一次性付清</w:t>
      </w:r>
      <w:r>
        <w:rPr>
          <w:rFonts w:ascii="Times New Roman" w:hAnsi="Times New Roman" w:cs="Times New Roman"/>
          <w:bCs/>
          <w:sz w:val="24"/>
          <w:szCs w:val="24"/>
        </w:rPr>
        <w:t>。</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440" w:lineRule="exact"/>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500" w:lineRule="exact"/>
        <w:jc w:val="center"/>
        <w:rPr>
          <w:rFonts w:ascii="Times New Roman" w:hAnsi="Times New Roman" w:cs="Times New Roman"/>
          <w:b/>
          <w:sz w:val="24"/>
          <w:szCs w:val="24"/>
        </w:rPr>
        <w:sectPr>
          <w:headerReference r:id="rId7" w:type="default"/>
          <w:pgSz w:w="11906" w:h="16838"/>
          <w:pgMar w:top="1440" w:right="1266" w:bottom="1440" w:left="1400" w:header="851" w:footer="992" w:gutter="0"/>
          <w:cols w:space="720" w:num="1"/>
          <w:docGrid w:type="lines" w:linePitch="312" w:charSpace="0"/>
        </w:sectPr>
      </w:pPr>
    </w:p>
    <w:p>
      <w:pPr>
        <w:numPr>
          <w:ilvl w:val="0"/>
          <w:numId w:val="3"/>
        </w:numPr>
        <w:spacing w:line="500" w:lineRule="exact"/>
        <w:jc w:val="center"/>
        <w:rPr>
          <w:rFonts w:ascii="Times New Roman" w:hAnsi="Times New Roman" w:cs="Times New Roman"/>
          <w:b/>
          <w:sz w:val="36"/>
          <w:szCs w:val="36"/>
        </w:rPr>
      </w:pPr>
      <w:r>
        <w:rPr>
          <w:rFonts w:ascii="Times New Roman" w:hAnsi="Times New Roman" w:cs="Times New Roman"/>
          <w:b/>
          <w:sz w:val="36"/>
          <w:szCs w:val="36"/>
        </w:rPr>
        <w:t xml:space="preserve"> 采购货物</w:t>
      </w:r>
      <w:r>
        <w:rPr>
          <w:rFonts w:hint="eastAsia" w:ascii="Times New Roman" w:hAnsi="Times New Roman" w:cs="Times New Roman"/>
          <w:b/>
          <w:sz w:val="36"/>
          <w:szCs w:val="36"/>
        </w:rPr>
        <w:t>（服务）</w:t>
      </w:r>
      <w:r>
        <w:rPr>
          <w:rFonts w:ascii="Times New Roman" w:hAnsi="Times New Roman" w:cs="Times New Roman"/>
          <w:b/>
          <w:sz w:val="36"/>
          <w:szCs w:val="36"/>
        </w:rPr>
        <w:t>技术参数、规格及要求</w:t>
      </w:r>
    </w:p>
    <w:p>
      <w:pPr>
        <w:pStyle w:val="2"/>
        <w:rPr>
          <w:rFonts w:hint="eastAsia" w:eastAsia="宋体"/>
          <w:lang w:eastAsia="zh-CN"/>
        </w:rPr>
      </w:pPr>
    </w:p>
    <w:p>
      <w:pPr>
        <w:pStyle w:val="36"/>
        <w:keepNext w:val="0"/>
        <w:keepLines w:val="0"/>
        <w:widowControl w:val="0"/>
        <w:shd w:val="clear" w:color="auto" w:fill="auto"/>
        <w:bidi w:val="0"/>
        <w:spacing w:before="0" w:line="504" w:lineRule="exact"/>
        <w:ind w:left="0" w:right="0" w:firstLine="0"/>
        <w:jc w:val="center"/>
        <w:rPr>
          <w:b/>
          <w:bCs/>
          <w:sz w:val="28"/>
          <w:szCs w:val="28"/>
        </w:rPr>
      </w:pPr>
      <w:r>
        <w:rPr>
          <w:rFonts w:hint="eastAsia"/>
          <w:b/>
          <w:bCs/>
          <w:color w:val="000000"/>
          <w:spacing w:val="0"/>
          <w:w w:val="100"/>
          <w:position w:val="0"/>
          <w:sz w:val="28"/>
          <w:szCs w:val="28"/>
          <w:lang w:val="en-US" w:eastAsia="zh-CN"/>
        </w:rPr>
        <w:t>1.</w:t>
      </w:r>
      <w:r>
        <w:rPr>
          <w:b/>
          <w:bCs/>
          <w:color w:val="000000"/>
          <w:spacing w:val="0"/>
          <w:w w:val="100"/>
          <w:position w:val="0"/>
          <w:sz w:val="28"/>
          <w:szCs w:val="28"/>
        </w:rPr>
        <w:t>分类标准</w:t>
      </w:r>
    </w:p>
    <w:p>
      <w:pPr>
        <w:pStyle w:val="36"/>
        <w:keepNext w:val="0"/>
        <w:keepLines w:val="0"/>
        <w:widowControl w:val="0"/>
        <w:shd w:val="clear" w:color="auto" w:fill="auto"/>
        <w:bidi w:val="0"/>
        <w:spacing w:before="0" w:line="514" w:lineRule="exact"/>
        <w:ind w:left="34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.1</w:t>
      </w:r>
      <w:r>
        <w:rPr>
          <w:color w:val="000000"/>
          <w:spacing w:val="0"/>
          <w:w w:val="100"/>
          <w:position w:val="0"/>
        </w:rPr>
        <w:t>实施大分流，按照日常生活垃圾、单位餐厨垃圾、大件垃圾等分 类。</w:t>
      </w:r>
    </w:p>
    <w:p>
      <w:pPr>
        <w:pStyle w:val="36"/>
        <w:keepNext w:val="0"/>
        <w:keepLines w:val="0"/>
        <w:widowControl w:val="0"/>
        <w:shd w:val="clear" w:color="auto" w:fill="auto"/>
        <w:bidi w:val="0"/>
        <w:spacing w:before="0" w:line="504" w:lineRule="exact"/>
        <w:ind w:left="34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.2</w:t>
      </w:r>
      <w:r>
        <w:rPr>
          <w:color w:val="000000"/>
          <w:spacing w:val="0"/>
          <w:w w:val="100"/>
          <w:position w:val="0"/>
        </w:rPr>
        <w:t>日常生活垃圾分类。具体区分居民家庭、单位办公场所、农贸市 场、公共场所、人行道等</w:t>
      </w:r>
      <w:r>
        <w:rPr>
          <w:color w:val="000000"/>
          <w:spacing w:val="0"/>
          <w:w w:val="100"/>
          <w:position w:val="0"/>
          <w:sz w:val="28"/>
          <w:szCs w:val="28"/>
        </w:rPr>
        <w:t>5</w:t>
      </w:r>
      <w:r>
        <w:rPr>
          <w:color w:val="000000"/>
          <w:spacing w:val="0"/>
          <w:w w:val="100"/>
          <w:position w:val="0"/>
        </w:rPr>
        <w:t>种场所类型。</w:t>
      </w:r>
    </w:p>
    <w:p>
      <w:pPr>
        <w:pStyle w:val="36"/>
        <w:keepNext w:val="0"/>
        <w:keepLines w:val="0"/>
        <w:widowControl w:val="0"/>
        <w:numPr>
          <w:ilvl w:val="0"/>
          <w:numId w:val="0"/>
        </w:numPr>
        <w:shd w:val="clear" w:color="auto" w:fill="auto"/>
        <w:tabs>
          <w:tab w:val="left" w:pos="708"/>
        </w:tabs>
        <w:bidi w:val="0"/>
        <w:spacing w:before="0" w:line="504" w:lineRule="exact"/>
        <w:ind w:left="360" w:leftChars="0" w:right="0" w:rightChars="0"/>
        <w:jc w:val="both"/>
      </w:pPr>
      <w:bookmarkStart w:id="3" w:name="bookmark12"/>
      <w:bookmarkEnd w:id="3"/>
      <w:r>
        <w:rPr>
          <w:rFonts w:hint="eastAsia"/>
          <w:color w:val="000000"/>
          <w:spacing w:val="0"/>
          <w:w w:val="100"/>
          <w:position w:val="0"/>
          <w:sz w:val="28"/>
          <w:szCs w:val="28"/>
          <w:lang w:val="en-US" w:eastAsia="zh-CN" w:bidi="en-US"/>
        </w:rPr>
        <w:t>1.2</w:t>
      </w:r>
      <w:r>
        <w:rPr>
          <w:color w:val="000000"/>
          <w:spacing w:val="0"/>
          <w:w w:val="100"/>
          <w:position w:val="0"/>
          <w:sz w:val="28"/>
          <w:szCs w:val="28"/>
          <w:lang w:val="en-US" w:eastAsia="en-US" w:bidi="en-US"/>
        </w:rPr>
        <w:t xml:space="preserve">. </w:t>
      </w:r>
      <w:r>
        <w:rPr>
          <w:color w:val="000000"/>
          <w:spacing w:val="0"/>
          <w:w w:val="100"/>
          <w:position w:val="0"/>
          <w:sz w:val="28"/>
          <w:szCs w:val="28"/>
        </w:rPr>
        <w:t>1</w:t>
      </w:r>
      <w:r>
        <w:rPr>
          <w:color w:val="000000"/>
          <w:spacing w:val="0"/>
          <w:w w:val="100"/>
          <w:position w:val="0"/>
        </w:rPr>
        <w:t>居民家庭日常生活垃圾按照可回收物、有害垃圾、厨余垃圾、 其他垃圾等分成</w:t>
      </w:r>
      <w:r>
        <w:rPr>
          <w:color w:val="000000"/>
          <w:spacing w:val="0"/>
          <w:w w:val="100"/>
          <w:position w:val="0"/>
          <w:sz w:val="28"/>
          <w:szCs w:val="28"/>
        </w:rPr>
        <w:t>4</w:t>
      </w:r>
      <w:r>
        <w:rPr>
          <w:color w:val="000000"/>
          <w:spacing w:val="0"/>
          <w:w w:val="100"/>
          <w:position w:val="0"/>
        </w:rPr>
        <w:t>类。</w:t>
      </w:r>
    </w:p>
    <w:p>
      <w:pPr>
        <w:pStyle w:val="36"/>
        <w:keepNext w:val="0"/>
        <w:keepLines w:val="0"/>
        <w:widowControl w:val="0"/>
        <w:shd w:val="clear" w:color="auto" w:fill="auto"/>
        <w:bidi w:val="0"/>
        <w:spacing w:before="0" w:line="504" w:lineRule="exact"/>
        <w:ind w:left="26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w:t>
      </w: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.2</w:t>
      </w:r>
      <w:r>
        <w:rPr>
          <w:color w:val="000000"/>
          <w:spacing w:val="0"/>
          <w:w w:val="100"/>
          <w:position w:val="0"/>
        </w:rPr>
        <w:t>单位办公场所日常生活垃圾按照可回收物、有害垃圾、厨余垃 圾、其他垃圾等分成</w:t>
      </w:r>
      <w:r>
        <w:rPr>
          <w:color w:val="000000"/>
          <w:spacing w:val="0"/>
          <w:w w:val="100"/>
          <w:position w:val="0"/>
          <w:sz w:val="28"/>
          <w:szCs w:val="28"/>
        </w:rPr>
        <w:t>4</w:t>
      </w:r>
      <w:r>
        <w:rPr>
          <w:color w:val="000000"/>
          <w:spacing w:val="0"/>
          <w:w w:val="100"/>
          <w:position w:val="0"/>
        </w:rPr>
        <w:t>类。</w:t>
      </w:r>
    </w:p>
    <w:p>
      <w:pPr>
        <w:pStyle w:val="36"/>
        <w:keepNext w:val="0"/>
        <w:keepLines w:val="0"/>
        <w:widowControl w:val="0"/>
        <w:shd w:val="clear" w:color="auto" w:fill="auto"/>
        <w:bidi w:val="0"/>
        <w:spacing w:before="0" w:line="499" w:lineRule="exact"/>
        <w:ind w:left="26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w:t>
      </w: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.3</w:t>
      </w:r>
      <w:r>
        <w:rPr>
          <w:color w:val="000000"/>
          <w:spacing w:val="0"/>
          <w:w w:val="100"/>
          <w:position w:val="0"/>
        </w:rPr>
        <w:t>农贸市场日常生活垃圾按照可回收物、厨余垃圾、其他垃圾等 分成</w:t>
      </w:r>
      <w:r>
        <w:rPr>
          <w:color w:val="000000"/>
          <w:spacing w:val="0"/>
          <w:w w:val="100"/>
          <w:position w:val="0"/>
          <w:sz w:val="28"/>
          <w:szCs w:val="28"/>
        </w:rPr>
        <w:t>3</w:t>
      </w:r>
      <w:r>
        <w:rPr>
          <w:color w:val="000000"/>
          <w:spacing w:val="0"/>
          <w:w w:val="100"/>
          <w:position w:val="0"/>
        </w:rPr>
        <w:t>类。</w:t>
      </w:r>
    </w:p>
    <w:p>
      <w:pPr>
        <w:pStyle w:val="36"/>
        <w:keepNext w:val="0"/>
        <w:keepLines w:val="0"/>
        <w:widowControl w:val="0"/>
        <w:shd w:val="clear" w:color="auto" w:fill="auto"/>
        <w:bidi w:val="0"/>
        <w:spacing w:before="0" w:line="504" w:lineRule="exact"/>
        <w:ind w:left="0" w:right="0" w:firstLine="260"/>
        <w:jc w:val="left"/>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w:t>
      </w: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.4</w:t>
      </w:r>
      <w:r>
        <w:rPr>
          <w:color w:val="000000"/>
          <w:spacing w:val="0"/>
          <w:w w:val="100"/>
          <w:position w:val="0"/>
        </w:rPr>
        <w:t>公共场所生活垃圾按照可回收物、其他垃圾等分成</w:t>
      </w:r>
      <w:r>
        <w:rPr>
          <w:color w:val="000000"/>
          <w:spacing w:val="0"/>
          <w:w w:val="100"/>
          <w:position w:val="0"/>
          <w:sz w:val="28"/>
          <w:szCs w:val="28"/>
        </w:rPr>
        <w:t>2</w:t>
      </w:r>
      <w:r>
        <w:rPr>
          <w:color w:val="000000"/>
          <w:spacing w:val="0"/>
          <w:w w:val="100"/>
          <w:position w:val="0"/>
        </w:rPr>
        <w:t>类。</w:t>
      </w:r>
    </w:p>
    <w:p>
      <w:pPr>
        <w:pStyle w:val="36"/>
        <w:keepNext w:val="0"/>
        <w:keepLines w:val="0"/>
        <w:widowControl w:val="0"/>
        <w:shd w:val="clear" w:color="auto" w:fill="auto"/>
        <w:bidi w:val="0"/>
        <w:spacing w:before="0" w:line="523" w:lineRule="exact"/>
        <w:ind w:left="26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w:t>
      </w: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.5</w:t>
      </w:r>
      <w:r>
        <w:rPr>
          <w:color w:val="000000"/>
          <w:spacing w:val="0"/>
          <w:w w:val="100"/>
          <w:position w:val="0"/>
        </w:rPr>
        <w:t>可回收物进一步细化分类为玻璃、金属、塑料、纸张、废旧衣 物等，实施专项分类收集。</w:t>
      </w:r>
    </w:p>
    <w:p>
      <w:pPr>
        <w:pStyle w:val="36"/>
        <w:keepNext w:val="0"/>
        <w:keepLines w:val="0"/>
        <w:widowControl w:val="0"/>
        <w:shd w:val="clear" w:color="auto" w:fill="auto"/>
        <w:bidi w:val="0"/>
        <w:spacing w:before="0" w:line="504" w:lineRule="exact"/>
        <w:ind w:left="26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w:t>
      </w: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w:t>
      </w:r>
      <w:r>
        <w:rPr>
          <w:color w:val="000000"/>
          <w:spacing w:val="0"/>
          <w:w w:val="100"/>
          <w:position w:val="0"/>
          <w:sz w:val="28"/>
          <w:szCs w:val="28"/>
        </w:rPr>
        <w:t>6</w:t>
      </w:r>
      <w:r>
        <w:rPr>
          <w:color w:val="000000"/>
          <w:spacing w:val="0"/>
          <w:w w:val="100"/>
          <w:position w:val="0"/>
        </w:rPr>
        <w:t>可回收物纳入社会废旧物资回收利用体系资源化利用；有害垃 圾集中收集后，暂存管理，委托具备专业处理资质的企业规范处置， 并建立三联单管理制度和相关台账；在黄石市厨余垃圾处理厂谋划建 设的过渡期内，农贸市场厨余垃圾分出后暂时进入黄金山餐厨废弃物 处理厂资源化利用。</w:t>
      </w:r>
    </w:p>
    <w:p>
      <w:pPr>
        <w:pStyle w:val="36"/>
        <w:keepNext w:val="0"/>
        <w:keepLines w:val="0"/>
        <w:widowControl w:val="0"/>
        <w:shd w:val="clear" w:color="auto" w:fill="auto"/>
        <w:bidi w:val="0"/>
        <w:spacing w:before="0" w:line="504" w:lineRule="exact"/>
        <w:ind w:left="0" w:right="0" w:firstLine="26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.3</w:t>
      </w:r>
      <w:r>
        <w:rPr>
          <w:color w:val="000000"/>
          <w:spacing w:val="0"/>
          <w:w w:val="100"/>
          <w:position w:val="0"/>
        </w:rPr>
        <w:t>单位餐厨垃圾分类</w:t>
      </w:r>
    </w:p>
    <w:p>
      <w:pPr>
        <w:pStyle w:val="36"/>
        <w:keepNext w:val="0"/>
        <w:keepLines w:val="0"/>
        <w:widowControl w:val="0"/>
        <w:shd w:val="clear" w:color="auto" w:fill="auto"/>
        <w:bidi w:val="0"/>
        <w:spacing w:before="0" w:line="509" w:lineRule="exact"/>
        <w:ind w:left="26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.3</w:t>
      </w:r>
      <w:r>
        <w:rPr>
          <w:rFonts w:hint="eastAsia"/>
          <w:color w:val="000000"/>
          <w:spacing w:val="0"/>
          <w:w w:val="100"/>
          <w:position w:val="0"/>
          <w:sz w:val="28"/>
          <w:szCs w:val="28"/>
          <w:lang w:val="en-US" w:eastAsia="zh-CN" w:bidi="en-US"/>
        </w:rPr>
        <w:t>.</w:t>
      </w:r>
      <w:r>
        <w:rPr>
          <w:color w:val="000000"/>
          <w:spacing w:val="0"/>
          <w:w w:val="100"/>
          <w:position w:val="0"/>
          <w:sz w:val="28"/>
          <w:szCs w:val="28"/>
          <w:lang w:val="en-US" w:eastAsia="en-US" w:bidi="en-US"/>
        </w:rPr>
        <w:t>1</w:t>
      </w:r>
      <w:r>
        <w:rPr>
          <w:color w:val="000000"/>
          <w:spacing w:val="0"/>
          <w:w w:val="100"/>
          <w:position w:val="0"/>
        </w:rPr>
        <w:t>餐饮服务企业以及企业机关和企事业单位内部的食堂、餐饮单 位产生的餐厨垃圾，按照餐厨垃圾、废弃食用油脂等分成</w:t>
      </w:r>
      <w:r>
        <w:rPr>
          <w:color w:val="000000"/>
          <w:spacing w:val="0"/>
          <w:w w:val="100"/>
          <w:position w:val="0"/>
          <w:sz w:val="28"/>
          <w:szCs w:val="28"/>
        </w:rPr>
        <w:t>2</w:t>
      </w:r>
      <w:r>
        <w:rPr>
          <w:color w:val="000000"/>
          <w:spacing w:val="0"/>
          <w:w w:val="100"/>
          <w:position w:val="0"/>
        </w:rPr>
        <w:t>类。</w:t>
      </w:r>
    </w:p>
    <w:p>
      <w:pPr>
        <w:pStyle w:val="36"/>
        <w:keepNext w:val="0"/>
        <w:keepLines w:val="0"/>
        <w:widowControl w:val="0"/>
        <w:shd w:val="clear" w:color="auto" w:fill="auto"/>
        <w:bidi w:val="0"/>
        <w:spacing w:before="0" w:line="514" w:lineRule="exact"/>
        <w:ind w:left="260" w:right="0"/>
        <w:jc w:val="both"/>
      </w:pPr>
      <w:r>
        <w:rPr>
          <w:rFonts w:hint="eastAsia"/>
          <w:color w:val="000000"/>
          <w:spacing w:val="0"/>
          <w:w w:val="100"/>
          <w:position w:val="0"/>
          <w:sz w:val="28"/>
          <w:szCs w:val="28"/>
          <w:lang w:val="en-US" w:eastAsia="zh-CN" w:bidi="en-US"/>
        </w:rPr>
        <w:t>1</w:t>
      </w:r>
      <w:r>
        <w:rPr>
          <w:color w:val="000000"/>
          <w:spacing w:val="0"/>
          <w:w w:val="100"/>
          <w:position w:val="0"/>
          <w:sz w:val="28"/>
          <w:szCs w:val="28"/>
          <w:lang w:val="en-US" w:eastAsia="en-US" w:bidi="en-US"/>
        </w:rPr>
        <w:t xml:space="preserve">. 3. </w:t>
      </w:r>
      <w:r>
        <w:rPr>
          <w:color w:val="000000"/>
          <w:spacing w:val="0"/>
          <w:w w:val="100"/>
          <w:position w:val="0"/>
          <w:sz w:val="28"/>
          <w:szCs w:val="28"/>
        </w:rPr>
        <w:t>2</w:t>
      </w:r>
      <w:r>
        <w:rPr>
          <w:color w:val="000000"/>
          <w:spacing w:val="0"/>
          <w:w w:val="100"/>
          <w:position w:val="0"/>
        </w:rPr>
        <w:t>餐饮服务企业以及机关和企事业单位餐厨垃圾和废弃食用油 脂全部进入黄金山餐厨废弃物处理厂资源化利用和无害化处理。</w:t>
      </w:r>
    </w:p>
    <w:p>
      <w:pPr>
        <w:pStyle w:val="36"/>
        <w:keepNext w:val="0"/>
        <w:keepLines w:val="0"/>
        <w:widowControl w:val="0"/>
        <w:shd w:val="clear" w:color="auto" w:fill="auto"/>
        <w:bidi w:val="0"/>
        <w:spacing w:before="0" w:line="514" w:lineRule="exact"/>
        <w:ind w:left="260" w:right="0"/>
        <w:jc w:val="both"/>
        <w:rPr>
          <w:rFonts w:ascii="宋体" w:hAnsi="宋体" w:eastAsia="宋体" w:cs="宋体"/>
          <w:color w:val="000000"/>
          <w:spacing w:val="0"/>
          <w:w w:val="100"/>
          <w:position w:val="0"/>
        </w:rPr>
      </w:pPr>
      <w:bookmarkStart w:id="4" w:name="bookmark13"/>
      <w:bookmarkEnd w:id="4"/>
      <w:r>
        <w:rPr>
          <w:rFonts w:hint="eastAsia" w:ascii="宋体" w:hAnsi="宋体" w:eastAsia="宋体" w:cs="宋体"/>
          <w:color w:val="000000"/>
          <w:spacing w:val="0"/>
          <w:w w:val="100"/>
          <w:position w:val="0"/>
          <w:lang w:val="en-US" w:eastAsia="zh-CN"/>
        </w:rPr>
        <w:t>1.</w:t>
      </w:r>
      <w:r>
        <w:rPr>
          <w:rFonts w:ascii="宋体" w:hAnsi="宋体" w:eastAsia="宋体" w:cs="宋体"/>
          <w:color w:val="000000"/>
          <w:spacing w:val="0"/>
          <w:w w:val="100"/>
          <w:position w:val="0"/>
        </w:rPr>
        <w:t>4大件垃圾分类</w:t>
      </w:r>
    </w:p>
    <w:p>
      <w:pPr>
        <w:pStyle w:val="36"/>
        <w:keepNext w:val="0"/>
        <w:keepLines w:val="0"/>
        <w:widowControl w:val="0"/>
        <w:shd w:val="clear" w:color="auto" w:fill="auto"/>
        <w:bidi w:val="0"/>
        <w:spacing w:before="0" w:line="502" w:lineRule="exact"/>
        <w:ind w:left="260" w:right="0" w:firstLine="500"/>
        <w:jc w:val="both"/>
      </w:pPr>
      <w:r>
        <w:rPr>
          <w:color w:val="000000"/>
          <w:spacing w:val="0"/>
          <w:w w:val="100"/>
          <w:position w:val="0"/>
        </w:rPr>
        <w:t>各城区要结合工作实际，</w:t>
      </w:r>
      <w:r>
        <w:rPr>
          <w:rFonts w:hint="eastAsia"/>
          <w:color w:val="000000"/>
          <w:spacing w:val="0"/>
          <w:w w:val="100"/>
          <w:position w:val="0"/>
          <w:lang w:eastAsia="zh-CN"/>
        </w:rPr>
        <w:t>采取</w:t>
      </w:r>
      <w:r>
        <w:rPr>
          <w:color w:val="000000"/>
          <w:spacing w:val="0"/>
          <w:w w:val="100"/>
          <w:position w:val="0"/>
        </w:rPr>
        <w:t>预约登记、集中收集的方式，积极 开展大件垃圾的收运工作，收集的大件垃圾统一运往下陆区长乐山循 环经济产业园大件垃圾处置车间集中处理。</w:t>
      </w:r>
    </w:p>
    <w:p>
      <w:pPr>
        <w:pStyle w:val="36"/>
        <w:keepNext w:val="0"/>
        <w:keepLines w:val="0"/>
        <w:widowControl w:val="0"/>
        <w:shd w:val="clear" w:color="auto" w:fill="auto"/>
        <w:bidi w:val="0"/>
        <w:spacing w:before="0" w:line="504" w:lineRule="exact"/>
        <w:ind w:left="0" w:right="0" w:firstLine="0"/>
        <w:jc w:val="center"/>
        <w:rPr>
          <w:rFonts w:hint="eastAsia" w:ascii="宋体" w:hAnsi="宋体" w:eastAsia="宋体" w:cs="宋体"/>
          <w:b/>
          <w:bCs/>
          <w:color w:val="000000"/>
          <w:spacing w:val="0"/>
          <w:w w:val="100"/>
          <w:position w:val="0"/>
          <w:sz w:val="28"/>
          <w:szCs w:val="28"/>
          <w:lang w:val="en-US" w:eastAsia="zh-CN"/>
        </w:rPr>
      </w:pPr>
      <w:r>
        <w:rPr>
          <w:rFonts w:hint="eastAsia" w:ascii="宋体" w:hAnsi="宋体" w:eastAsia="宋体" w:cs="宋体"/>
          <w:b/>
          <w:bCs/>
          <w:color w:val="000000"/>
          <w:spacing w:val="0"/>
          <w:w w:val="100"/>
          <w:position w:val="0"/>
          <w:sz w:val="28"/>
          <w:szCs w:val="28"/>
          <w:lang w:val="en-US" w:eastAsia="zh-CN"/>
        </w:rPr>
        <w:t>2.生活垃圾分类设施设备的配置</w:t>
      </w:r>
    </w:p>
    <w:p>
      <w:pPr>
        <w:pStyle w:val="36"/>
        <w:keepNext w:val="0"/>
        <w:keepLines w:val="0"/>
        <w:widowControl w:val="0"/>
        <w:numPr>
          <w:ilvl w:val="0"/>
          <w:numId w:val="0"/>
        </w:numPr>
        <w:shd w:val="clear" w:color="auto" w:fill="auto"/>
        <w:tabs>
          <w:tab w:val="left" w:pos="813"/>
        </w:tabs>
        <w:bidi w:val="0"/>
        <w:spacing w:before="0" w:line="506" w:lineRule="exact"/>
        <w:ind w:left="440" w:leftChars="0" w:right="0" w:rightChars="0"/>
        <w:jc w:val="left"/>
      </w:pPr>
      <w:bookmarkStart w:id="5" w:name="bookmark14"/>
      <w:bookmarkEnd w:id="5"/>
      <w:r>
        <w:rPr>
          <w:rFonts w:hint="eastAsia"/>
          <w:color w:val="000000"/>
          <w:spacing w:val="0"/>
          <w:w w:val="100"/>
          <w:position w:val="0"/>
          <w:sz w:val="28"/>
          <w:szCs w:val="28"/>
          <w:lang w:val="en-US" w:eastAsia="zh-CN"/>
        </w:rPr>
        <w:t>2.</w:t>
      </w:r>
      <w:r>
        <w:rPr>
          <w:color w:val="000000"/>
          <w:spacing w:val="0"/>
          <w:w w:val="100"/>
          <w:position w:val="0"/>
          <w:sz w:val="28"/>
          <w:szCs w:val="28"/>
        </w:rPr>
        <w:t>1</w:t>
      </w:r>
      <w:r>
        <w:rPr>
          <w:color w:val="000000"/>
          <w:spacing w:val="0"/>
          <w:w w:val="100"/>
          <w:position w:val="0"/>
        </w:rPr>
        <w:t>居住小区（住宅）</w:t>
      </w:r>
    </w:p>
    <w:p>
      <w:pPr>
        <w:pStyle w:val="36"/>
        <w:keepNext w:val="0"/>
        <w:keepLines w:val="0"/>
        <w:widowControl w:val="0"/>
        <w:shd w:val="clear" w:color="auto" w:fill="auto"/>
        <w:bidi w:val="0"/>
        <w:spacing w:before="0" w:line="509" w:lineRule="exact"/>
        <w:ind w:left="440" w:right="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 1.1</w:t>
      </w:r>
      <w:r>
        <w:rPr>
          <w:color w:val="000000"/>
          <w:spacing w:val="0"/>
          <w:w w:val="100"/>
          <w:position w:val="0"/>
        </w:rPr>
        <w:t>结合垃圾成分和垃圾量，居民住宅内一般应设置</w:t>
      </w:r>
      <w:r>
        <w:rPr>
          <w:color w:val="000000"/>
          <w:spacing w:val="0"/>
          <w:w w:val="100"/>
          <w:position w:val="0"/>
          <w:lang w:val="zh-CN" w:eastAsia="zh-CN" w:bidi="zh-CN"/>
        </w:rPr>
        <w:t>“可回</w:t>
      </w:r>
      <w:r>
        <w:rPr>
          <w:color w:val="000000"/>
          <w:spacing w:val="0"/>
          <w:w w:val="100"/>
          <w:position w:val="0"/>
        </w:rPr>
        <w:t>收物、 其他垃圾”或</w:t>
      </w:r>
      <w:r>
        <w:rPr>
          <w:color w:val="000000"/>
          <w:spacing w:val="0"/>
          <w:w w:val="100"/>
          <w:position w:val="0"/>
          <w:lang w:val="zh-CN" w:eastAsia="zh-CN" w:bidi="zh-CN"/>
        </w:rPr>
        <w:t>“厨余</w:t>
      </w:r>
      <w:r>
        <w:rPr>
          <w:color w:val="000000"/>
          <w:spacing w:val="0"/>
          <w:w w:val="100"/>
          <w:position w:val="0"/>
        </w:rPr>
        <w:t>垃圾、其他垃圾”分类收集容器。</w:t>
      </w:r>
    </w:p>
    <w:p>
      <w:pPr>
        <w:pStyle w:val="36"/>
        <w:keepNext w:val="0"/>
        <w:keepLines w:val="0"/>
        <w:widowControl w:val="0"/>
        <w:shd w:val="clear" w:color="auto" w:fill="auto"/>
        <w:bidi w:val="0"/>
        <w:spacing w:before="0" w:after="0" w:line="505" w:lineRule="exact"/>
        <w:ind w:left="440" w:right="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.1.2</w:t>
      </w:r>
      <w:r>
        <w:rPr>
          <w:color w:val="000000"/>
          <w:spacing w:val="0"/>
          <w:w w:val="100"/>
          <w:position w:val="0"/>
        </w:rPr>
        <w:t>居住小区宜按门洞（高层住宅）或每幢（多层住宅）在适宜位 置设置分别收集厨余垃圾、其他垃圾的垃圾容器。同时，每</w:t>
      </w:r>
      <w:r>
        <w:rPr>
          <w:color w:val="000000"/>
          <w:spacing w:val="0"/>
          <w:w w:val="100"/>
          <w:position w:val="0"/>
          <w:sz w:val="28"/>
          <w:szCs w:val="28"/>
        </w:rPr>
        <w:t>300</w:t>
      </w:r>
      <w:r>
        <w:rPr>
          <w:color w:val="000000"/>
          <w:spacing w:val="0"/>
          <w:w w:val="100"/>
          <w:position w:val="0"/>
        </w:rPr>
        <w:t>户至 少设置一处</w:t>
      </w:r>
      <w:r>
        <w:rPr>
          <w:color w:val="000000"/>
          <w:spacing w:val="0"/>
          <w:w w:val="100"/>
          <w:position w:val="0"/>
          <w:lang w:val="zh-CN" w:eastAsia="zh-CN" w:bidi="zh-CN"/>
        </w:rPr>
        <w:t>“四分类"</w:t>
      </w:r>
      <w:r>
        <w:rPr>
          <w:color w:val="000000"/>
          <w:spacing w:val="0"/>
          <w:w w:val="100"/>
          <w:position w:val="0"/>
        </w:rPr>
        <w:t xml:space="preserve">垃圾分类收集点，垃圾分类投放收集服务半径 </w:t>
      </w:r>
      <w:r>
        <w:rPr>
          <w:color w:val="000000"/>
          <w:spacing w:val="0"/>
          <w:w w:val="100"/>
          <w:position w:val="0"/>
          <w:sz w:val="28"/>
          <w:szCs w:val="28"/>
        </w:rPr>
        <w:t>70</w:t>
      </w:r>
      <w:r>
        <w:rPr>
          <w:color w:val="000000"/>
          <w:spacing w:val="0"/>
          <w:w w:val="100"/>
          <w:position w:val="0"/>
        </w:rPr>
        <w:t>米。</w:t>
      </w:r>
    </w:p>
    <w:p>
      <w:pPr>
        <w:pStyle w:val="36"/>
        <w:keepNext w:val="0"/>
        <w:keepLines w:val="0"/>
        <w:widowControl w:val="0"/>
        <w:shd w:val="clear" w:color="auto" w:fill="auto"/>
        <w:bidi w:val="0"/>
        <w:spacing w:before="0" w:line="505" w:lineRule="exact"/>
        <w:ind w:left="440" w:right="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 xml:space="preserve">. 1. </w:t>
      </w:r>
      <w:r>
        <w:rPr>
          <w:color w:val="000000"/>
          <w:spacing w:val="0"/>
          <w:w w:val="100"/>
          <w:position w:val="0"/>
          <w:sz w:val="28"/>
          <w:szCs w:val="28"/>
        </w:rPr>
        <w:t>3</w:t>
      </w:r>
      <w:r>
        <w:rPr>
          <w:color w:val="000000"/>
          <w:spacing w:val="0"/>
          <w:w w:val="100"/>
          <w:position w:val="0"/>
        </w:rPr>
        <w:t>居民住宅区的生活垃圾分类釆用定时定点、直收直运的收运方 式的，要结合居民日常生活习惯，建议在早上</w:t>
      </w:r>
      <w:r>
        <w:rPr>
          <w:color w:val="000000"/>
          <w:spacing w:val="0"/>
          <w:w w:val="100"/>
          <w:position w:val="0"/>
          <w:sz w:val="28"/>
          <w:szCs w:val="28"/>
        </w:rPr>
        <w:t>7:30〜9:00</w:t>
      </w:r>
      <w:r>
        <w:rPr>
          <w:color w:val="000000"/>
          <w:spacing w:val="0"/>
          <w:w w:val="100"/>
          <w:position w:val="0"/>
        </w:rPr>
        <w:t xml:space="preserve">、晚上 </w:t>
      </w:r>
      <w:r>
        <w:rPr>
          <w:color w:val="000000"/>
          <w:spacing w:val="0"/>
          <w:w w:val="100"/>
          <w:position w:val="0"/>
          <w:sz w:val="28"/>
          <w:szCs w:val="28"/>
        </w:rPr>
        <w:t>18:00〜20：30</w:t>
      </w:r>
      <w:r>
        <w:rPr>
          <w:color w:val="000000"/>
          <w:spacing w:val="0"/>
          <w:w w:val="100"/>
          <w:position w:val="0"/>
        </w:rPr>
        <w:t>两个时段进行，并科学设置误时投放点；黄石市环卫 园林推行市场化运作后，垃圾分类工作全面实行</w:t>
      </w:r>
      <w:r>
        <w:rPr>
          <w:color w:val="000000"/>
          <w:spacing w:val="0"/>
          <w:w w:val="100"/>
          <w:position w:val="0"/>
          <w:lang w:val="zh-CN" w:eastAsia="zh-CN" w:bidi="zh-CN"/>
        </w:rPr>
        <w:t>“定时</w:t>
      </w:r>
      <w:r>
        <w:rPr>
          <w:color w:val="000000"/>
          <w:spacing w:val="0"/>
          <w:w w:val="100"/>
          <w:position w:val="0"/>
        </w:rPr>
        <w:t>定点、集中投 放”。</w:t>
      </w:r>
    </w:p>
    <w:p>
      <w:pPr>
        <w:pStyle w:val="36"/>
        <w:keepNext w:val="0"/>
        <w:keepLines w:val="0"/>
        <w:widowControl w:val="0"/>
        <w:shd w:val="clear" w:color="auto" w:fill="auto"/>
        <w:bidi w:val="0"/>
        <w:spacing w:before="0" w:line="506" w:lineRule="exact"/>
        <w:ind w:left="0" w:right="0" w:firstLine="440"/>
        <w:jc w:val="left"/>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 xml:space="preserve">. </w:t>
      </w:r>
      <w:r>
        <w:rPr>
          <w:color w:val="000000"/>
          <w:spacing w:val="0"/>
          <w:w w:val="100"/>
          <w:position w:val="0"/>
          <w:sz w:val="28"/>
          <w:szCs w:val="28"/>
        </w:rPr>
        <w:t>2</w:t>
      </w:r>
      <w:r>
        <w:rPr>
          <w:color w:val="000000"/>
          <w:spacing w:val="0"/>
          <w:w w:val="100"/>
          <w:position w:val="0"/>
        </w:rPr>
        <w:t>机关和企事业单位办公场所</w:t>
      </w:r>
    </w:p>
    <w:p>
      <w:pPr>
        <w:pStyle w:val="36"/>
        <w:keepNext w:val="0"/>
        <w:keepLines w:val="0"/>
        <w:widowControl w:val="0"/>
        <w:shd w:val="clear" w:color="auto" w:fill="auto"/>
        <w:bidi w:val="0"/>
        <w:spacing w:before="0" w:line="509" w:lineRule="exact"/>
        <w:ind w:left="440" w:right="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 xml:space="preserve">.2. </w:t>
      </w:r>
      <w:r>
        <w:rPr>
          <w:color w:val="000000"/>
          <w:spacing w:val="0"/>
          <w:w w:val="100"/>
          <w:position w:val="0"/>
          <w:sz w:val="28"/>
          <w:szCs w:val="28"/>
        </w:rPr>
        <w:t>1</w:t>
      </w:r>
      <w:r>
        <w:rPr>
          <w:color w:val="000000"/>
          <w:spacing w:val="0"/>
          <w:w w:val="100"/>
          <w:position w:val="0"/>
        </w:rPr>
        <w:t>新建的非居建筑内设置食堂等餐饮设施的，或现有的非居建筑 已有或增加餐饮服务功能的，应设置餐厨垃圾、废弃食用油脂收集容 器。</w:t>
      </w:r>
    </w:p>
    <w:p>
      <w:pPr>
        <w:pStyle w:val="36"/>
        <w:keepNext w:val="0"/>
        <w:keepLines w:val="0"/>
        <w:widowControl w:val="0"/>
        <w:shd w:val="clear" w:color="auto" w:fill="auto"/>
        <w:bidi w:val="0"/>
        <w:spacing w:before="0" w:line="507" w:lineRule="exact"/>
        <w:ind w:left="440" w:right="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.2.2</w:t>
      </w:r>
      <w:r>
        <w:rPr>
          <w:color w:val="000000"/>
          <w:spacing w:val="0"/>
          <w:w w:val="100"/>
          <w:position w:val="0"/>
        </w:rPr>
        <w:t xml:space="preserve">机关和企事业单位应按规定配置生活垃圾容器间。垃圾容器间 应配置可回收物、有害垃圾和其他垃圾收集容器。收集容器容积宜为 </w:t>
      </w:r>
      <w:r>
        <w:rPr>
          <w:color w:val="000000"/>
          <w:spacing w:val="0"/>
          <w:w w:val="100"/>
          <w:position w:val="0"/>
          <w:sz w:val="28"/>
          <w:szCs w:val="28"/>
        </w:rPr>
        <w:t>40</w:t>
      </w:r>
      <w:r>
        <w:rPr>
          <w:color w:val="000000"/>
          <w:spacing w:val="0"/>
          <w:w w:val="100"/>
          <w:position w:val="0"/>
        </w:rPr>
        <w:t>升或</w:t>
      </w:r>
      <w:r>
        <w:rPr>
          <w:color w:val="000000"/>
          <w:spacing w:val="0"/>
          <w:w w:val="100"/>
          <w:position w:val="0"/>
          <w:sz w:val="28"/>
          <w:szCs w:val="28"/>
        </w:rPr>
        <w:t>60</w:t>
      </w:r>
      <w:r>
        <w:rPr>
          <w:color w:val="000000"/>
          <w:spacing w:val="0"/>
          <w:w w:val="100"/>
          <w:position w:val="0"/>
        </w:rPr>
        <w:t>升。至少设立一处“四分类</w:t>
      </w:r>
      <w:r>
        <w:rPr>
          <w:color w:val="000000"/>
          <w:spacing w:val="0"/>
          <w:w w:val="100"/>
          <w:position w:val="0"/>
          <w:lang w:val="zh-CN" w:eastAsia="zh-CN" w:bidi="zh-CN"/>
        </w:rPr>
        <w:t>”垃</w:t>
      </w:r>
      <w:r>
        <w:rPr>
          <w:color w:val="000000"/>
          <w:spacing w:val="0"/>
          <w:w w:val="100"/>
          <w:position w:val="0"/>
        </w:rPr>
        <w:t>圾分类收集容器，并设置 大件垃圾、可回收物、有害垃圾暂存点。</w:t>
      </w:r>
    </w:p>
    <w:p>
      <w:pPr>
        <w:pStyle w:val="36"/>
        <w:keepNext w:val="0"/>
        <w:keepLines w:val="0"/>
        <w:widowControl w:val="0"/>
        <w:shd w:val="clear" w:color="auto" w:fill="auto"/>
        <w:bidi w:val="0"/>
        <w:spacing w:before="0" w:after="480" w:line="506" w:lineRule="exact"/>
        <w:ind w:left="0" w:right="0" w:firstLine="44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.3</w:t>
      </w:r>
      <w:r>
        <w:rPr>
          <w:color w:val="000000"/>
          <w:spacing w:val="0"/>
          <w:w w:val="100"/>
          <w:position w:val="0"/>
        </w:rPr>
        <w:t>公共场所</w:t>
      </w:r>
    </w:p>
    <w:p>
      <w:pPr>
        <w:pStyle w:val="36"/>
        <w:keepNext w:val="0"/>
        <w:keepLines w:val="0"/>
        <w:widowControl w:val="0"/>
        <w:shd w:val="clear" w:color="auto" w:fill="auto"/>
        <w:bidi w:val="0"/>
        <w:spacing w:before="0" w:after="0" w:line="240" w:lineRule="auto"/>
        <w:ind w:left="0" w:right="0" w:firstLine="44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 xml:space="preserve">.3. </w:t>
      </w:r>
      <w:r>
        <w:rPr>
          <w:color w:val="000000"/>
          <w:spacing w:val="0"/>
          <w:w w:val="100"/>
          <w:position w:val="0"/>
          <w:sz w:val="28"/>
          <w:szCs w:val="28"/>
        </w:rPr>
        <w:t>1</w:t>
      </w:r>
      <w:r>
        <w:rPr>
          <w:color w:val="000000"/>
          <w:spacing w:val="0"/>
          <w:w w:val="100"/>
          <w:position w:val="0"/>
        </w:rPr>
        <w:t>道路、广场、公园等公共场所应按《黄石市道路、公共广场等 废物箱配置导则》规定，设置分别收集可回收物及其他垃圾的分类废 物箱。园林绿化场所应在主干道路及人流量较大的支路，每间隔</w:t>
      </w:r>
      <w:r>
        <w:rPr>
          <w:color w:val="000000"/>
          <w:spacing w:val="0"/>
          <w:w w:val="100"/>
          <w:position w:val="0"/>
          <w:sz w:val="28"/>
          <w:szCs w:val="28"/>
        </w:rPr>
        <w:t xml:space="preserve">100 </w:t>
      </w:r>
      <w:r>
        <w:rPr>
          <w:color w:val="000000"/>
          <w:spacing w:val="0"/>
          <w:w w:val="100"/>
          <w:position w:val="0"/>
        </w:rPr>
        <w:t>米〜</w:t>
      </w:r>
      <w:r>
        <w:rPr>
          <w:color w:val="000000"/>
          <w:spacing w:val="0"/>
          <w:w w:val="100"/>
          <w:position w:val="0"/>
          <w:sz w:val="28"/>
          <w:szCs w:val="28"/>
        </w:rPr>
        <w:t>200</w:t>
      </w:r>
      <w:r>
        <w:rPr>
          <w:color w:val="000000"/>
          <w:spacing w:val="0"/>
          <w:w w:val="100"/>
          <w:position w:val="0"/>
        </w:rPr>
        <w:t>米设置可回收物和其他垃圾收集容器，容器容积宜各为</w:t>
      </w:r>
      <w:r>
        <w:rPr>
          <w:color w:val="000000"/>
          <w:spacing w:val="0"/>
          <w:w w:val="100"/>
          <w:position w:val="0"/>
          <w:sz w:val="28"/>
          <w:szCs w:val="28"/>
        </w:rPr>
        <w:t xml:space="preserve">40 </w:t>
      </w:r>
      <w:r>
        <w:rPr>
          <w:color w:val="000000"/>
          <w:spacing w:val="0"/>
          <w:w w:val="100"/>
          <w:position w:val="0"/>
        </w:rPr>
        <w:t>升或</w:t>
      </w:r>
      <w:r>
        <w:rPr>
          <w:color w:val="000000"/>
          <w:spacing w:val="0"/>
          <w:w w:val="100"/>
          <w:position w:val="0"/>
          <w:sz w:val="28"/>
          <w:szCs w:val="28"/>
        </w:rPr>
        <w:t>60</w:t>
      </w:r>
      <w:r>
        <w:rPr>
          <w:color w:val="000000"/>
          <w:spacing w:val="0"/>
          <w:w w:val="100"/>
          <w:position w:val="0"/>
        </w:rPr>
        <w:t>升。</w:t>
      </w:r>
    </w:p>
    <w:p>
      <w:pPr>
        <w:pStyle w:val="36"/>
        <w:keepNext w:val="0"/>
        <w:keepLines w:val="0"/>
        <w:widowControl w:val="0"/>
        <w:numPr>
          <w:ilvl w:val="0"/>
          <w:numId w:val="4"/>
        </w:numPr>
        <w:shd w:val="clear" w:color="auto" w:fill="auto"/>
        <w:tabs>
          <w:tab w:val="left" w:pos="708"/>
        </w:tabs>
        <w:bidi w:val="0"/>
        <w:spacing w:before="0" w:line="498" w:lineRule="exact"/>
        <w:ind w:left="340" w:right="0" w:firstLine="0"/>
        <w:jc w:val="both"/>
      </w:pPr>
      <w:bookmarkStart w:id="6" w:name="bookmark15"/>
      <w:bookmarkEnd w:id="6"/>
      <w:r>
        <w:rPr>
          <w:color w:val="000000"/>
          <w:spacing w:val="0"/>
          <w:w w:val="100"/>
          <w:position w:val="0"/>
          <w:sz w:val="28"/>
          <w:szCs w:val="28"/>
          <w:lang w:val="en-US" w:eastAsia="en-US" w:bidi="en-US"/>
        </w:rPr>
        <w:t xml:space="preserve">3. </w:t>
      </w:r>
      <w:r>
        <w:rPr>
          <w:color w:val="000000"/>
          <w:spacing w:val="0"/>
          <w:w w:val="100"/>
          <w:position w:val="0"/>
          <w:sz w:val="28"/>
          <w:szCs w:val="28"/>
        </w:rPr>
        <w:t>2</w:t>
      </w:r>
      <w:r>
        <w:rPr>
          <w:color w:val="000000"/>
          <w:spacing w:val="0"/>
          <w:w w:val="100"/>
          <w:position w:val="0"/>
        </w:rPr>
        <w:t>影剧院、体育场馆、机场、轨道交通站厅、铁路公路轮渡客运 站侯客厅、大型商场等文化、体育、交通、商业设施等公共场所，应 在电梯口、大堂等公共区域及办公区域设置可回收物和其他垃圾收集 容器。收集容器容积宜为</w:t>
      </w:r>
      <w:r>
        <w:rPr>
          <w:color w:val="000000"/>
          <w:spacing w:val="0"/>
          <w:w w:val="100"/>
          <w:position w:val="0"/>
          <w:sz w:val="28"/>
          <w:szCs w:val="28"/>
        </w:rPr>
        <w:t>40</w:t>
      </w:r>
      <w:r>
        <w:rPr>
          <w:color w:val="000000"/>
          <w:spacing w:val="0"/>
          <w:w w:val="100"/>
          <w:position w:val="0"/>
        </w:rPr>
        <w:t>升。</w:t>
      </w:r>
    </w:p>
    <w:p>
      <w:pPr>
        <w:pStyle w:val="36"/>
        <w:keepNext w:val="0"/>
        <w:keepLines w:val="0"/>
        <w:widowControl w:val="0"/>
        <w:shd w:val="clear" w:color="auto" w:fill="auto"/>
        <w:bidi w:val="0"/>
        <w:spacing w:before="0" w:line="518" w:lineRule="exact"/>
        <w:ind w:left="340" w:right="0" w:firstLine="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 3.3</w:t>
      </w:r>
      <w:r>
        <w:rPr>
          <w:color w:val="000000"/>
          <w:spacing w:val="0"/>
          <w:w w:val="100"/>
          <w:position w:val="0"/>
        </w:rPr>
        <w:t>菜场、集贸市场应配置厨余垃圾、可回收物、其他垃圾收集容 器，有条件的可就地配置厨余垃圾生化处理装置。</w:t>
      </w:r>
    </w:p>
    <w:p>
      <w:pPr>
        <w:pStyle w:val="36"/>
        <w:keepNext w:val="0"/>
        <w:keepLines w:val="0"/>
        <w:widowControl w:val="0"/>
        <w:numPr>
          <w:ilvl w:val="0"/>
          <w:numId w:val="0"/>
        </w:numPr>
        <w:shd w:val="clear" w:color="auto" w:fill="auto"/>
        <w:tabs>
          <w:tab w:val="left" w:pos="708"/>
        </w:tabs>
        <w:bidi w:val="0"/>
        <w:spacing w:before="0" w:after="0" w:line="504" w:lineRule="exact"/>
        <w:ind w:left="340" w:leftChars="0" w:right="0" w:rightChars="0"/>
        <w:jc w:val="both"/>
      </w:pPr>
      <w:bookmarkStart w:id="7" w:name="bookmark16"/>
      <w:bookmarkEnd w:id="7"/>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3.4</w:t>
      </w:r>
      <w:r>
        <w:rPr>
          <w:color w:val="000000"/>
          <w:spacing w:val="0"/>
          <w:w w:val="100"/>
          <w:position w:val="0"/>
        </w:rPr>
        <w:t>人行道生活垃圾分类收集容器设置。人行道每间隔</w:t>
      </w:r>
      <w:r>
        <w:rPr>
          <w:color w:val="000000"/>
          <w:spacing w:val="0"/>
          <w:w w:val="100"/>
          <w:position w:val="0"/>
          <w:sz w:val="28"/>
          <w:szCs w:val="28"/>
        </w:rPr>
        <w:t>200</w:t>
      </w:r>
      <w:r>
        <w:rPr>
          <w:color w:val="000000"/>
          <w:spacing w:val="0"/>
          <w:w w:val="100"/>
          <w:position w:val="0"/>
        </w:rPr>
        <w:t>米处 应设置可回收物和其他垃圾收集容器，容器容积宜各为</w:t>
      </w:r>
      <w:r>
        <w:rPr>
          <w:color w:val="000000"/>
          <w:spacing w:val="0"/>
          <w:w w:val="100"/>
          <w:position w:val="0"/>
          <w:sz w:val="28"/>
          <w:szCs w:val="28"/>
        </w:rPr>
        <w:t>40</w:t>
      </w:r>
      <w:r>
        <w:rPr>
          <w:color w:val="000000"/>
          <w:spacing w:val="0"/>
          <w:w w:val="100"/>
          <w:position w:val="0"/>
        </w:rPr>
        <w:t>升或</w:t>
      </w:r>
      <w:r>
        <w:rPr>
          <w:color w:val="000000"/>
          <w:spacing w:val="0"/>
          <w:w w:val="100"/>
          <w:position w:val="0"/>
          <w:sz w:val="28"/>
          <w:szCs w:val="28"/>
        </w:rPr>
        <w:t xml:space="preserve">60 </w:t>
      </w:r>
      <w:r>
        <w:rPr>
          <w:color w:val="000000"/>
          <w:spacing w:val="0"/>
          <w:w w:val="100"/>
          <w:position w:val="0"/>
        </w:rPr>
        <w:t>升。次干道路及有非机动车道和人行道的快速路每间隔</w:t>
      </w:r>
      <w:r>
        <w:rPr>
          <w:color w:val="000000"/>
          <w:spacing w:val="0"/>
          <w:w w:val="100"/>
          <w:position w:val="0"/>
          <w:sz w:val="28"/>
          <w:szCs w:val="28"/>
        </w:rPr>
        <w:t>200</w:t>
      </w:r>
      <w:r>
        <w:rPr>
          <w:color w:val="000000"/>
          <w:spacing w:val="0"/>
          <w:w w:val="100"/>
          <w:position w:val="0"/>
        </w:rPr>
        <w:t>米〜</w:t>
      </w:r>
      <w:r>
        <w:rPr>
          <w:color w:val="000000"/>
          <w:spacing w:val="0"/>
          <w:w w:val="100"/>
          <w:position w:val="0"/>
          <w:sz w:val="28"/>
          <w:szCs w:val="28"/>
        </w:rPr>
        <w:t xml:space="preserve">400 </w:t>
      </w:r>
      <w:r>
        <w:rPr>
          <w:color w:val="000000"/>
          <w:spacing w:val="0"/>
          <w:w w:val="100"/>
          <w:position w:val="0"/>
        </w:rPr>
        <w:t>米设可回收物和其他垃圾分类收集容器，容器容积各</w:t>
      </w:r>
      <w:r>
        <w:rPr>
          <w:color w:val="000000"/>
          <w:spacing w:val="0"/>
          <w:w w:val="100"/>
          <w:position w:val="0"/>
          <w:sz w:val="28"/>
          <w:szCs w:val="28"/>
        </w:rPr>
        <w:t>40</w:t>
      </w:r>
      <w:r>
        <w:rPr>
          <w:color w:val="000000"/>
          <w:spacing w:val="0"/>
          <w:w w:val="100"/>
          <w:position w:val="0"/>
        </w:rPr>
        <w:t>升。</w:t>
      </w:r>
    </w:p>
    <w:p>
      <w:pPr>
        <w:pStyle w:val="36"/>
        <w:keepNext w:val="0"/>
        <w:keepLines w:val="0"/>
        <w:widowControl w:val="0"/>
        <w:shd w:val="clear" w:color="auto" w:fill="auto"/>
        <w:bidi w:val="0"/>
        <w:spacing w:before="0" w:line="504" w:lineRule="exact"/>
        <w:ind w:left="340" w:right="0" w:firstLine="0"/>
        <w:jc w:val="both"/>
      </w:pPr>
      <w:r>
        <w:rPr>
          <w:rFonts w:hint="eastAsia"/>
          <w:color w:val="000000"/>
          <w:spacing w:val="0"/>
          <w:w w:val="100"/>
          <w:position w:val="0"/>
          <w:sz w:val="28"/>
          <w:szCs w:val="28"/>
          <w:lang w:val="en-US" w:eastAsia="zh-CN" w:bidi="en-US"/>
        </w:rPr>
        <w:t>2</w:t>
      </w:r>
      <w:r>
        <w:rPr>
          <w:color w:val="000000"/>
          <w:spacing w:val="0"/>
          <w:w w:val="100"/>
          <w:position w:val="0"/>
          <w:sz w:val="28"/>
          <w:szCs w:val="28"/>
          <w:lang w:val="en-US" w:eastAsia="en-US" w:bidi="en-US"/>
        </w:rPr>
        <w:t>.3.5</w:t>
      </w:r>
      <w:r>
        <w:rPr>
          <w:color w:val="000000"/>
          <w:spacing w:val="0"/>
          <w:w w:val="100"/>
          <w:position w:val="0"/>
        </w:rPr>
        <w:t>商业街、风貌街等繁华区每间隔</w:t>
      </w:r>
      <w:r>
        <w:rPr>
          <w:color w:val="000000"/>
          <w:spacing w:val="0"/>
          <w:w w:val="100"/>
          <w:position w:val="0"/>
          <w:sz w:val="28"/>
          <w:szCs w:val="28"/>
        </w:rPr>
        <w:t>50</w:t>
      </w:r>
      <w:r>
        <w:rPr>
          <w:color w:val="000000"/>
          <w:spacing w:val="0"/>
          <w:w w:val="100"/>
          <w:position w:val="0"/>
        </w:rPr>
        <w:t>米〜</w:t>
      </w:r>
      <w:r>
        <w:rPr>
          <w:color w:val="000000"/>
          <w:spacing w:val="0"/>
          <w:w w:val="100"/>
          <w:position w:val="0"/>
          <w:sz w:val="28"/>
          <w:szCs w:val="28"/>
        </w:rPr>
        <w:t>100</w:t>
      </w:r>
      <w:r>
        <w:rPr>
          <w:color w:val="000000"/>
          <w:spacing w:val="0"/>
          <w:w w:val="100"/>
          <w:position w:val="0"/>
        </w:rPr>
        <w:t>米设可回收物和 其他垃圾分类收集容器，容器容积各</w:t>
      </w:r>
      <w:r>
        <w:rPr>
          <w:color w:val="000000"/>
          <w:spacing w:val="0"/>
          <w:w w:val="100"/>
          <w:position w:val="0"/>
          <w:sz w:val="28"/>
          <w:szCs w:val="28"/>
        </w:rPr>
        <w:t>40</w:t>
      </w:r>
      <w:r>
        <w:rPr>
          <w:color w:val="000000"/>
          <w:spacing w:val="0"/>
          <w:w w:val="100"/>
          <w:position w:val="0"/>
        </w:rPr>
        <w:t>升。</w:t>
      </w:r>
    </w:p>
    <w:p>
      <w:pPr>
        <w:pStyle w:val="36"/>
        <w:keepNext w:val="0"/>
        <w:keepLines w:val="0"/>
        <w:widowControl w:val="0"/>
        <w:shd w:val="clear" w:color="auto" w:fill="auto"/>
        <w:bidi w:val="0"/>
        <w:spacing w:before="0" w:line="504" w:lineRule="exact"/>
        <w:ind w:left="0" w:right="0" w:firstLine="0"/>
        <w:jc w:val="center"/>
        <w:rPr>
          <w:rFonts w:hint="eastAsia" w:ascii="宋体" w:hAnsi="宋体" w:eastAsia="宋体" w:cs="宋体"/>
          <w:b/>
          <w:bCs/>
          <w:color w:val="000000"/>
          <w:spacing w:val="0"/>
          <w:w w:val="100"/>
          <w:position w:val="0"/>
          <w:sz w:val="28"/>
          <w:szCs w:val="28"/>
          <w:lang w:val="en-US" w:eastAsia="zh-CN"/>
        </w:rPr>
      </w:pPr>
      <w:r>
        <w:rPr>
          <w:rFonts w:hint="eastAsia" w:ascii="宋体" w:hAnsi="宋体" w:eastAsia="宋体" w:cs="宋体"/>
          <w:b/>
          <w:bCs/>
          <w:color w:val="000000"/>
          <w:spacing w:val="0"/>
          <w:w w:val="100"/>
          <w:position w:val="0"/>
          <w:sz w:val="28"/>
          <w:szCs w:val="28"/>
          <w:lang w:val="en-US" w:eastAsia="zh-CN"/>
        </w:rPr>
        <w:t>3.分类标识</w:t>
      </w:r>
    </w:p>
    <w:p>
      <w:pPr>
        <w:pStyle w:val="36"/>
        <w:keepNext w:val="0"/>
        <w:keepLines w:val="0"/>
        <w:widowControl w:val="0"/>
        <w:numPr>
          <w:ilvl w:val="0"/>
          <w:numId w:val="5"/>
        </w:numPr>
        <w:shd w:val="clear" w:color="auto" w:fill="auto"/>
        <w:tabs>
          <w:tab w:val="left" w:pos="718"/>
        </w:tabs>
        <w:bidi w:val="0"/>
        <w:spacing w:before="0" w:line="501" w:lineRule="exact"/>
        <w:ind w:left="0" w:right="0" w:firstLine="340"/>
        <w:jc w:val="left"/>
      </w:pPr>
      <w:bookmarkStart w:id="8" w:name="bookmark17"/>
      <w:bookmarkEnd w:id="8"/>
      <w:r>
        <w:rPr>
          <w:color w:val="000000"/>
          <w:spacing w:val="0"/>
          <w:w w:val="100"/>
          <w:position w:val="0"/>
          <w:sz w:val="28"/>
          <w:szCs w:val="28"/>
        </w:rPr>
        <w:t>1</w:t>
      </w:r>
      <w:r>
        <w:rPr>
          <w:color w:val="000000"/>
          <w:spacing w:val="0"/>
          <w:w w:val="100"/>
          <w:position w:val="0"/>
        </w:rPr>
        <w:t>分类容器标志色</w:t>
      </w:r>
    </w:p>
    <w:p>
      <w:pPr>
        <w:pStyle w:val="36"/>
        <w:keepNext w:val="0"/>
        <w:keepLines w:val="0"/>
        <w:widowControl w:val="0"/>
        <w:shd w:val="clear" w:color="auto" w:fill="auto"/>
        <w:bidi w:val="0"/>
        <w:spacing w:before="0" w:line="501" w:lineRule="exact"/>
        <w:ind w:left="0" w:right="0" w:firstLine="340"/>
        <w:jc w:val="left"/>
      </w:pPr>
      <w:r>
        <w:rPr>
          <w:color w:val="000000"/>
          <w:spacing w:val="0"/>
          <w:w w:val="100"/>
          <w:position w:val="0"/>
        </w:rPr>
        <w:t>生活垃圾分类容器整体或局部体现对应标志色，具体定如下：</w:t>
      </w:r>
    </w:p>
    <w:p>
      <w:pPr>
        <w:pStyle w:val="36"/>
        <w:keepNext w:val="0"/>
        <w:keepLines w:val="0"/>
        <w:widowControl w:val="0"/>
        <w:numPr>
          <w:ilvl w:val="0"/>
          <w:numId w:val="6"/>
        </w:numPr>
        <w:shd w:val="clear" w:color="auto" w:fill="auto"/>
        <w:tabs>
          <w:tab w:val="left" w:pos="722"/>
        </w:tabs>
        <w:bidi w:val="0"/>
        <w:spacing w:before="0" w:line="501" w:lineRule="exact"/>
        <w:ind w:left="0" w:right="0" w:firstLine="340"/>
        <w:jc w:val="left"/>
        <w:rPr>
          <w:sz w:val="28"/>
          <w:szCs w:val="28"/>
        </w:rPr>
      </w:pPr>
      <w:bookmarkStart w:id="9" w:name="bookmark18"/>
      <w:bookmarkEnd w:id="9"/>
      <w:r>
        <w:rPr>
          <w:color w:val="000000"/>
          <w:spacing w:val="0"/>
          <w:w w:val="100"/>
          <w:position w:val="0"/>
          <w:sz w:val="26"/>
          <w:szCs w:val="26"/>
        </w:rPr>
        <w:t>有害垃圾容器为红色，色标为</w:t>
      </w:r>
      <w:r>
        <w:rPr>
          <w:color w:val="000000"/>
          <w:spacing w:val="0"/>
          <w:w w:val="100"/>
          <w:position w:val="0"/>
          <w:sz w:val="28"/>
          <w:szCs w:val="28"/>
          <w:lang w:val="en-US" w:eastAsia="en-US" w:bidi="en-US"/>
        </w:rPr>
        <w:t>PANTONG 703C</w:t>
      </w:r>
      <w:r>
        <w:rPr>
          <w:color w:val="000000"/>
          <w:spacing w:val="0"/>
          <w:w w:val="100"/>
          <w:position w:val="0"/>
          <w:sz w:val="28"/>
          <w:szCs w:val="28"/>
          <w:vertAlign w:val="subscript"/>
          <w:lang w:val="en-US" w:eastAsia="en-US" w:bidi="en-US"/>
        </w:rPr>
        <w:t>o</w:t>
      </w:r>
    </w:p>
    <w:p>
      <w:pPr>
        <w:pStyle w:val="36"/>
        <w:keepNext w:val="0"/>
        <w:keepLines w:val="0"/>
        <w:widowControl w:val="0"/>
        <w:numPr>
          <w:ilvl w:val="0"/>
          <w:numId w:val="7"/>
        </w:numPr>
        <w:shd w:val="clear" w:color="auto" w:fill="auto"/>
        <w:tabs>
          <w:tab w:val="left" w:pos="742"/>
        </w:tabs>
        <w:bidi w:val="0"/>
        <w:spacing w:before="0" w:after="460" w:line="501" w:lineRule="exact"/>
        <w:ind w:left="0" w:right="0" w:firstLine="340"/>
        <w:jc w:val="left"/>
        <w:rPr>
          <w:rFonts w:ascii="宋体" w:hAnsi="宋体" w:eastAsia="宋体" w:cs="宋体"/>
          <w:b w:val="0"/>
          <w:bCs w:val="0"/>
          <w:color w:val="000000"/>
          <w:spacing w:val="0"/>
          <w:w w:val="100"/>
          <w:kern w:val="2"/>
          <w:position w:val="0"/>
          <w:sz w:val="26"/>
          <w:szCs w:val="26"/>
          <w:u w:val="none"/>
          <w:shd w:val="clear" w:color="auto" w:fill="auto"/>
          <w:lang w:val="en-US" w:eastAsia="en-US" w:bidi="zh-TW"/>
        </w:rPr>
      </w:pPr>
      <w:bookmarkStart w:id="10" w:name="bookmark19"/>
      <w:bookmarkEnd w:id="10"/>
      <w:r>
        <w:rPr>
          <w:color w:val="000000"/>
          <w:spacing w:val="0"/>
          <w:w w:val="100"/>
          <w:position w:val="0"/>
          <w:sz w:val="26"/>
          <w:szCs w:val="26"/>
        </w:rPr>
        <w:t>可回收物容器为蓝色，色标为</w:t>
      </w:r>
      <w:r>
        <w:rPr>
          <w:color w:val="000000"/>
          <w:spacing w:val="0"/>
          <w:w w:val="100"/>
          <w:position w:val="0"/>
          <w:sz w:val="28"/>
          <w:szCs w:val="28"/>
          <w:lang w:val="en-US" w:eastAsia="en-US" w:bidi="en-US"/>
        </w:rPr>
        <w:t>PANTONG 647C</w:t>
      </w:r>
      <w:r>
        <w:rPr>
          <w:color w:val="000000"/>
          <w:spacing w:val="0"/>
          <w:w w:val="100"/>
          <w:position w:val="0"/>
          <w:sz w:val="28"/>
          <w:szCs w:val="28"/>
          <w:vertAlign w:val="subscript"/>
          <w:lang w:val="en-US" w:eastAsia="en-US" w:bidi="en-US"/>
        </w:rPr>
        <w:t>O</w:t>
      </w:r>
      <w:bookmarkStart w:id="11" w:name="bookmark20"/>
      <w:bookmarkEnd w:id="11"/>
      <w:r>
        <w:rPr>
          <w:rFonts w:hint="eastAsia"/>
          <w:color w:val="000000"/>
          <w:spacing w:val="0"/>
          <w:w w:val="100"/>
          <w:position w:val="0"/>
          <w:sz w:val="28"/>
          <w:szCs w:val="28"/>
          <w:vertAlign w:val="subscript"/>
          <w:lang w:val="en-US" w:eastAsia="zh-CN" w:bidi="en-US"/>
        </w:rPr>
        <w:t>,</w:t>
      </w:r>
    </w:p>
    <w:p>
      <w:pPr>
        <w:pStyle w:val="36"/>
        <w:keepNext w:val="0"/>
        <w:keepLines w:val="0"/>
        <w:widowControl w:val="0"/>
        <w:numPr>
          <w:ilvl w:val="0"/>
          <w:numId w:val="7"/>
        </w:numPr>
        <w:shd w:val="clear" w:color="auto" w:fill="auto"/>
        <w:tabs>
          <w:tab w:val="left" w:pos="742"/>
        </w:tabs>
        <w:bidi w:val="0"/>
        <w:spacing w:before="0" w:after="460" w:line="501" w:lineRule="exact"/>
        <w:ind w:left="0" w:right="0" w:firstLine="340"/>
        <w:jc w:val="left"/>
      </w:pPr>
      <w:r>
        <w:rPr>
          <w:rFonts w:ascii="宋体" w:hAnsi="宋体" w:eastAsia="宋体" w:cs="宋体"/>
          <w:b w:val="0"/>
          <w:bCs w:val="0"/>
          <w:color w:val="000000"/>
          <w:spacing w:val="0"/>
          <w:w w:val="100"/>
          <w:kern w:val="2"/>
          <w:position w:val="0"/>
          <w:sz w:val="26"/>
          <w:szCs w:val="26"/>
          <w:u w:val="none"/>
          <w:shd w:val="clear" w:color="auto" w:fill="auto"/>
          <w:lang w:val="zh-TW" w:eastAsia="zh-TW" w:bidi="zh-TW"/>
        </w:rPr>
        <w:t>厨余垃圾容器为绿色，色标为</w:t>
      </w:r>
      <w:r>
        <w:rPr>
          <w:rFonts w:ascii="宋体" w:hAnsi="宋体" w:eastAsia="宋体" w:cs="宋体"/>
          <w:b w:val="0"/>
          <w:bCs w:val="0"/>
          <w:color w:val="000000"/>
          <w:spacing w:val="0"/>
          <w:w w:val="100"/>
          <w:kern w:val="2"/>
          <w:position w:val="0"/>
          <w:sz w:val="26"/>
          <w:szCs w:val="26"/>
          <w:u w:val="none"/>
          <w:shd w:val="clear" w:color="auto" w:fill="auto"/>
          <w:lang w:val="en-US" w:eastAsia="en-US" w:bidi="zh-TW"/>
        </w:rPr>
        <w:t>PANTONG 356CO</w:t>
      </w:r>
    </w:p>
    <w:p>
      <w:pPr>
        <w:pStyle w:val="37"/>
        <w:keepNext w:val="0"/>
        <w:keepLines w:val="0"/>
        <w:widowControl w:val="0"/>
        <w:shd w:val="clear" w:color="auto" w:fill="auto"/>
        <w:bidi w:val="0"/>
        <w:spacing w:before="0" w:after="0" w:line="240" w:lineRule="auto"/>
        <w:ind w:left="0" w:right="0" w:firstLine="0"/>
        <w:jc w:val="left"/>
      </w:pPr>
      <w:r>
        <w:rPr>
          <w:rFonts w:hint="eastAsia" w:ascii="宋体" w:hAnsi="宋体" w:cs="宋体"/>
          <w:b w:val="0"/>
          <w:bCs w:val="0"/>
          <w:color w:val="000000"/>
          <w:spacing w:val="0"/>
          <w:w w:val="100"/>
          <w:position w:val="0"/>
          <w:lang w:val="en-US" w:eastAsia="zh-CN" w:bidi="zh-TW"/>
        </w:rPr>
        <w:t>4、</w:t>
      </w:r>
      <w:r>
        <w:rPr>
          <w:rFonts w:ascii="宋体" w:hAnsi="宋体" w:eastAsia="宋体" w:cs="宋体"/>
          <w:b w:val="0"/>
          <w:bCs w:val="0"/>
          <w:color w:val="000000"/>
          <w:spacing w:val="0"/>
          <w:w w:val="100"/>
          <w:position w:val="0"/>
          <w:lang w:val="zh-TW" w:eastAsia="zh-TW" w:bidi="zh-TW"/>
        </w:rPr>
        <w:t>其他垃圾容器为灰色，色标为</w:t>
      </w:r>
      <w:r>
        <w:rPr>
          <w:rFonts w:ascii="宋体" w:hAnsi="宋体" w:eastAsia="宋体" w:cs="宋体"/>
          <w:b w:val="0"/>
          <w:bCs w:val="0"/>
          <w:color w:val="000000"/>
          <w:spacing w:val="0"/>
          <w:w w:val="100"/>
          <w:position w:val="0"/>
          <w:sz w:val="28"/>
          <w:szCs w:val="28"/>
          <w:lang w:val="en-US" w:eastAsia="en-US" w:bidi="en-US"/>
        </w:rPr>
        <w:t>PANTONG 5477C</w:t>
      </w:r>
      <w:r>
        <w:rPr>
          <w:rFonts w:ascii="宋体" w:hAnsi="宋体" w:eastAsia="宋体" w:cs="宋体"/>
          <w:b w:val="0"/>
          <w:bCs w:val="0"/>
          <w:color w:val="000000"/>
          <w:spacing w:val="0"/>
          <w:w w:val="100"/>
          <w:position w:val="0"/>
          <w:lang w:val="en-US" w:eastAsia="en-US" w:bidi="en-US"/>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7"/>
        <w:gridCol w:w="1950"/>
        <w:gridCol w:w="2251"/>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353" w:type="dxa"/>
            <w:vAlign w:val="center"/>
          </w:tcPr>
          <w:p>
            <w:pPr>
              <w:pStyle w:val="36"/>
              <w:keepNext w:val="0"/>
              <w:keepLines w:val="0"/>
              <w:widowControl w:val="0"/>
              <w:numPr>
                <w:ilvl w:val="0"/>
                <w:numId w:val="0"/>
              </w:numPr>
              <w:shd w:val="clear"/>
              <w:bidi w:val="0"/>
              <w:spacing w:before="0" w:line="240" w:lineRule="auto"/>
              <w:ind w:right="0" w:rightChars="0"/>
              <w:jc w:val="center"/>
              <w:rPr>
                <w:rFonts w:hint="eastAsia" w:eastAsia="宋体"/>
                <w:sz w:val="28"/>
                <w:szCs w:val="28"/>
                <w:vertAlign w:val="baseline"/>
                <w:lang w:eastAsia="zh-CN"/>
              </w:rPr>
            </w:pPr>
            <w:r>
              <w:rPr>
                <w:rFonts w:hint="eastAsia"/>
                <w:sz w:val="28"/>
                <w:szCs w:val="28"/>
                <w:vertAlign w:val="baseline"/>
                <w:lang w:eastAsia="zh-CN"/>
              </w:rPr>
              <w:t>标识示例</w:t>
            </w:r>
          </w:p>
        </w:tc>
        <w:tc>
          <w:tcPr>
            <w:tcW w:w="2353" w:type="dxa"/>
            <w:vAlign w:val="center"/>
          </w:tcPr>
          <w:p>
            <w:pPr>
              <w:pStyle w:val="36"/>
              <w:keepNext w:val="0"/>
              <w:keepLines w:val="0"/>
              <w:widowControl w:val="0"/>
              <w:numPr>
                <w:ilvl w:val="0"/>
                <w:numId w:val="0"/>
              </w:numPr>
              <w:shd w:val="clear"/>
              <w:bidi w:val="0"/>
              <w:spacing w:before="0" w:line="240" w:lineRule="auto"/>
              <w:ind w:right="0" w:rightChars="0"/>
              <w:jc w:val="center"/>
              <w:rPr>
                <w:rFonts w:hint="eastAsia" w:eastAsia="宋体"/>
                <w:sz w:val="28"/>
                <w:szCs w:val="28"/>
                <w:vertAlign w:val="baseline"/>
                <w:lang w:eastAsia="zh-CN"/>
              </w:rPr>
            </w:pPr>
            <w:r>
              <w:rPr>
                <w:rFonts w:hint="eastAsia"/>
                <w:sz w:val="28"/>
                <w:szCs w:val="28"/>
                <w:vertAlign w:val="baseline"/>
                <w:lang w:eastAsia="zh-CN"/>
              </w:rPr>
              <w:t>类别说明</w:t>
            </w:r>
          </w:p>
        </w:tc>
        <w:tc>
          <w:tcPr>
            <w:tcW w:w="2353" w:type="dxa"/>
            <w:vAlign w:val="center"/>
          </w:tcPr>
          <w:p>
            <w:pPr>
              <w:pStyle w:val="36"/>
              <w:keepNext w:val="0"/>
              <w:keepLines w:val="0"/>
              <w:widowControl w:val="0"/>
              <w:numPr>
                <w:ilvl w:val="0"/>
                <w:numId w:val="0"/>
              </w:numPr>
              <w:shd w:val="clear"/>
              <w:bidi w:val="0"/>
              <w:spacing w:before="0" w:line="240" w:lineRule="auto"/>
              <w:ind w:right="0" w:rightChars="0"/>
              <w:jc w:val="center"/>
              <w:rPr>
                <w:rFonts w:hint="eastAsia" w:eastAsia="宋体"/>
                <w:sz w:val="28"/>
                <w:szCs w:val="28"/>
                <w:vertAlign w:val="baseline"/>
                <w:lang w:eastAsia="zh-CN"/>
              </w:rPr>
            </w:pPr>
            <w:r>
              <w:rPr>
                <w:rFonts w:hint="eastAsia"/>
                <w:sz w:val="28"/>
                <w:szCs w:val="28"/>
                <w:vertAlign w:val="baseline"/>
                <w:lang w:eastAsia="zh-CN"/>
              </w:rPr>
              <w:t>标识示例</w:t>
            </w:r>
          </w:p>
        </w:tc>
        <w:tc>
          <w:tcPr>
            <w:tcW w:w="2354" w:type="dxa"/>
            <w:vAlign w:val="center"/>
          </w:tcPr>
          <w:p>
            <w:pPr>
              <w:pStyle w:val="36"/>
              <w:keepNext w:val="0"/>
              <w:keepLines w:val="0"/>
              <w:widowControl w:val="0"/>
              <w:numPr>
                <w:ilvl w:val="0"/>
                <w:numId w:val="0"/>
              </w:numPr>
              <w:shd w:val="clear"/>
              <w:bidi w:val="0"/>
              <w:spacing w:before="0" w:line="240" w:lineRule="auto"/>
              <w:ind w:right="0" w:rightChars="0"/>
              <w:jc w:val="center"/>
              <w:rPr>
                <w:rFonts w:hint="eastAsia" w:eastAsia="宋体"/>
                <w:sz w:val="28"/>
                <w:szCs w:val="28"/>
                <w:vertAlign w:val="baseline"/>
                <w:lang w:eastAsia="zh-CN"/>
              </w:rPr>
            </w:pPr>
            <w:r>
              <w:rPr>
                <w:rFonts w:hint="eastAsia"/>
                <w:sz w:val="28"/>
                <w:szCs w:val="28"/>
                <w:vertAlign w:val="baseline"/>
                <w:lang w:eastAsia="zh-CN"/>
              </w:rPr>
              <w:t>类别说明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53" w:type="dxa"/>
          </w:tcPr>
          <w:p>
            <w:pPr>
              <w:pStyle w:val="37"/>
              <w:keepNext w:val="0"/>
              <w:keepLines w:val="0"/>
              <w:widowControl w:val="0"/>
              <w:shd w:val="clear" w:color="auto" w:fill="auto"/>
              <w:bidi w:val="0"/>
              <w:spacing w:before="0" w:after="0" w:line="240" w:lineRule="auto"/>
              <w:ind w:left="0" w:right="0" w:firstLine="0"/>
              <w:jc w:val="center"/>
              <w:rPr>
                <w:sz w:val="44"/>
                <w:szCs w:val="44"/>
              </w:rPr>
            </w:pPr>
            <w:r>
              <w:drawing>
                <wp:inline distT="0" distB="0" distL="114300" distR="114300">
                  <wp:extent cx="1143000" cy="1133475"/>
                  <wp:effectExtent l="0" t="0" r="0" b="95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2"/>
                          <a:stretch>
                            <a:fillRect/>
                          </a:stretch>
                        </pic:blipFill>
                        <pic:spPr>
                          <a:xfrm>
                            <a:off x="0" y="0"/>
                            <a:ext cx="1143000" cy="1133475"/>
                          </a:xfrm>
                          <a:prstGeom prst="rect">
                            <a:avLst/>
                          </a:prstGeom>
                          <a:noFill/>
                          <a:ln>
                            <a:noFill/>
                          </a:ln>
                        </pic:spPr>
                      </pic:pic>
                    </a:graphicData>
                  </a:graphic>
                </wp:inline>
              </w:drawing>
            </w:r>
            <w:r>
              <w:rPr>
                <w:rFonts w:ascii="宋体" w:hAnsi="宋体" w:eastAsia="宋体" w:cs="宋体"/>
                <w:b w:val="0"/>
                <w:bCs w:val="0"/>
                <w:color w:val="000000"/>
                <w:spacing w:val="0"/>
                <w:w w:val="100"/>
                <w:position w:val="0"/>
                <w:sz w:val="44"/>
                <w:szCs w:val="44"/>
                <w:lang w:val="zh-TW" w:eastAsia="zh-TW" w:bidi="zh-TW"/>
              </w:rPr>
              <w:t>可回收物</w:t>
            </w:r>
          </w:p>
          <w:p>
            <w:pPr>
              <w:pStyle w:val="37"/>
              <w:keepNext w:val="0"/>
              <w:keepLines w:val="0"/>
              <w:widowControl w:val="0"/>
              <w:shd w:val="clear" w:color="auto" w:fill="auto"/>
              <w:bidi w:val="0"/>
              <w:spacing w:before="0" w:after="0" w:line="230" w:lineRule="auto"/>
              <w:ind w:left="0" w:right="0" w:firstLine="0"/>
              <w:jc w:val="center"/>
            </w:pPr>
            <w:r>
              <w:rPr>
                <w:rFonts w:ascii="Times New Roman" w:hAnsi="Times New Roman" w:eastAsia="Times New Roman" w:cs="Times New Roman"/>
                <w:color w:val="000000"/>
                <w:spacing w:val="0"/>
                <w:w w:val="100"/>
                <w:position w:val="0"/>
                <w:lang w:val="en-US" w:eastAsia="en-US" w:bidi="en-US"/>
              </w:rPr>
              <w:t>Recyclable</w:t>
            </w:r>
          </w:p>
          <w:p>
            <w:pPr>
              <w:pStyle w:val="36"/>
              <w:keepNext w:val="0"/>
              <w:keepLines w:val="0"/>
              <w:widowControl w:val="0"/>
              <w:numPr>
                <w:ilvl w:val="0"/>
                <w:numId w:val="0"/>
              </w:numPr>
              <w:shd w:val="clear"/>
              <w:bidi w:val="0"/>
              <w:spacing w:before="0" w:line="240" w:lineRule="auto"/>
              <w:ind w:right="0" w:rightChars="0"/>
              <w:jc w:val="left"/>
              <w:rPr>
                <w:sz w:val="28"/>
                <w:szCs w:val="28"/>
                <w:vertAlign w:val="baseline"/>
              </w:rPr>
            </w:pPr>
          </w:p>
        </w:tc>
        <w:tc>
          <w:tcPr>
            <w:tcW w:w="2353" w:type="dxa"/>
            <w:vAlign w:val="center"/>
          </w:tcPr>
          <w:p>
            <w:pPr>
              <w:pStyle w:val="36"/>
              <w:keepNext w:val="0"/>
              <w:keepLines w:val="0"/>
              <w:widowControl w:val="0"/>
              <w:numPr>
                <w:ilvl w:val="0"/>
                <w:numId w:val="0"/>
              </w:numPr>
              <w:shd w:val="clear"/>
              <w:bidi w:val="0"/>
              <w:spacing w:before="0" w:line="240" w:lineRule="auto"/>
              <w:ind w:right="0" w:rightChars="0"/>
              <w:jc w:val="center"/>
              <w:rPr>
                <w:rFonts w:hint="eastAsia" w:eastAsia="宋体"/>
                <w:sz w:val="28"/>
                <w:szCs w:val="28"/>
                <w:vertAlign w:val="baseline"/>
                <w:lang w:eastAsia="zh-CN"/>
              </w:rPr>
            </w:pPr>
            <w:r>
              <w:rPr>
                <w:rFonts w:hint="eastAsia"/>
                <w:sz w:val="28"/>
                <w:szCs w:val="28"/>
                <w:vertAlign w:val="baseline"/>
                <w:lang w:eastAsia="zh-CN"/>
              </w:rPr>
              <w:t>可回收物</w:t>
            </w:r>
          </w:p>
        </w:tc>
        <w:tc>
          <w:tcPr>
            <w:tcW w:w="2353" w:type="dxa"/>
          </w:tcPr>
          <w:p>
            <w:pPr>
              <w:pStyle w:val="36"/>
              <w:keepNext w:val="0"/>
              <w:keepLines w:val="0"/>
              <w:widowControl w:val="0"/>
              <w:numPr>
                <w:ilvl w:val="0"/>
                <w:numId w:val="0"/>
              </w:numPr>
              <w:shd w:val="clear"/>
              <w:bidi w:val="0"/>
              <w:spacing w:before="0" w:line="240" w:lineRule="auto"/>
              <w:ind w:right="0" w:rightChars="0"/>
              <w:jc w:val="left"/>
            </w:pPr>
            <w:r>
              <w:drawing>
                <wp:inline distT="0" distB="0" distL="114300" distR="114300">
                  <wp:extent cx="1076325" cy="1047750"/>
                  <wp:effectExtent l="0" t="0" r="9525"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3"/>
                          <a:stretch>
                            <a:fillRect/>
                          </a:stretch>
                        </pic:blipFill>
                        <pic:spPr>
                          <a:xfrm>
                            <a:off x="0" y="0"/>
                            <a:ext cx="1076325" cy="1047750"/>
                          </a:xfrm>
                          <a:prstGeom prst="rect">
                            <a:avLst/>
                          </a:prstGeom>
                          <a:noFill/>
                          <a:ln>
                            <a:noFill/>
                          </a:ln>
                        </pic:spPr>
                      </pic:pic>
                    </a:graphicData>
                  </a:graphic>
                </wp:inline>
              </w:drawing>
            </w:r>
          </w:p>
          <w:p>
            <w:pPr>
              <w:pStyle w:val="37"/>
              <w:keepNext w:val="0"/>
              <w:keepLines w:val="0"/>
              <w:widowControl w:val="0"/>
              <w:shd w:val="clear" w:color="auto" w:fill="auto"/>
              <w:bidi w:val="0"/>
              <w:spacing w:before="0" w:after="0" w:line="240" w:lineRule="auto"/>
              <w:ind w:left="0" w:right="0" w:firstLine="0"/>
              <w:jc w:val="center"/>
              <w:rPr>
                <w:sz w:val="44"/>
                <w:szCs w:val="44"/>
              </w:rPr>
            </w:pPr>
            <w:r>
              <w:rPr>
                <w:rFonts w:ascii="宋体" w:hAnsi="宋体" w:eastAsia="宋体" w:cs="宋体"/>
                <w:b w:val="0"/>
                <w:bCs w:val="0"/>
                <w:color w:val="000000"/>
                <w:spacing w:val="0"/>
                <w:w w:val="100"/>
                <w:position w:val="0"/>
                <w:sz w:val="44"/>
                <w:szCs w:val="44"/>
                <w:lang w:val="zh-TW" w:eastAsia="zh-TW" w:bidi="zh-TW"/>
              </w:rPr>
              <w:t>有害垃圾</w:t>
            </w:r>
          </w:p>
          <w:p>
            <w:pPr>
              <w:pStyle w:val="37"/>
              <w:keepNext w:val="0"/>
              <w:keepLines w:val="0"/>
              <w:widowControl w:val="0"/>
              <w:shd w:val="clear" w:color="auto" w:fill="auto"/>
              <w:bidi w:val="0"/>
              <w:spacing w:before="0" w:after="0" w:line="230" w:lineRule="auto"/>
              <w:ind w:left="0" w:right="0" w:firstLine="0"/>
              <w:jc w:val="center"/>
            </w:pPr>
            <w:r>
              <w:rPr>
                <w:rFonts w:ascii="Times New Roman" w:hAnsi="Times New Roman" w:eastAsia="Times New Roman" w:cs="Times New Roman"/>
                <w:color w:val="000000"/>
                <w:spacing w:val="0"/>
                <w:w w:val="100"/>
                <w:position w:val="0"/>
                <w:lang w:val="en-US" w:eastAsia="en-US" w:bidi="en-US"/>
              </w:rPr>
              <w:t>Hazardous waste</w:t>
            </w:r>
          </w:p>
          <w:p>
            <w:pPr>
              <w:pStyle w:val="36"/>
              <w:keepNext w:val="0"/>
              <w:keepLines w:val="0"/>
              <w:widowControl w:val="0"/>
              <w:numPr>
                <w:ilvl w:val="0"/>
                <w:numId w:val="0"/>
              </w:numPr>
              <w:shd w:val="clear"/>
              <w:bidi w:val="0"/>
              <w:spacing w:before="0" w:line="240" w:lineRule="auto"/>
              <w:ind w:right="0" w:rightChars="0"/>
              <w:jc w:val="left"/>
            </w:pPr>
          </w:p>
        </w:tc>
        <w:tc>
          <w:tcPr>
            <w:tcW w:w="2354" w:type="dxa"/>
            <w:vAlign w:val="center"/>
          </w:tcPr>
          <w:p>
            <w:pPr>
              <w:pStyle w:val="36"/>
              <w:keepNext w:val="0"/>
              <w:keepLines w:val="0"/>
              <w:widowControl w:val="0"/>
              <w:numPr>
                <w:ilvl w:val="0"/>
                <w:numId w:val="0"/>
              </w:numPr>
              <w:shd w:val="clear"/>
              <w:bidi w:val="0"/>
              <w:spacing w:before="0" w:line="240" w:lineRule="auto"/>
              <w:ind w:right="0" w:rightChars="0"/>
              <w:jc w:val="center"/>
              <w:rPr>
                <w:rFonts w:hint="eastAsia" w:eastAsia="宋体"/>
                <w:sz w:val="28"/>
                <w:szCs w:val="28"/>
                <w:vertAlign w:val="baseline"/>
                <w:lang w:eastAsia="zh-CN"/>
              </w:rPr>
            </w:pPr>
            <w:r>
              <w:rPr>
                <w:rFonts w:hint="eastAsia"/>
                <w:sz w:val="28"/>
                <w:szCs w:val="28"/>
                <w:vertAlign w:val="baseline"/>
                <w:lang w:eastAsia="zh-CN"/>
              </w:rPr>
              <w:t>有害垃圾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2" w:hRule="atLeast"/>
        </w:trPr>
        <w:tc>
          <w:tcPr>
            <w:tcW w:w="2353" w:type="dxa"/>
          </w:tcPr>
          <w:p>
            <w:pPr>
              <w:pStyle w:val="36"/>
              <w:keepNext w:val="0"/>
              <w:keepLines w:val="0"/>
              <w:widowControl w:val="0"/>
              <w:numPr>
                <w:ilvl w:val="0"/>
                <w:numId w:val="0"/>
              </w:numPr>
              <w:shd w:val="clear"/>
              <w:bidi w:val="0"/>
              <w:spacing w:before="0" w:line="240" w:lineRule="auto"/>
              <w:ind w:right="0" w:rightChars="0"/>
              <w:jc w:val="left"/>
              <w:rPr>
                <w:sz w:val="28"/>
                <w:szCs w:val="28"/>
                <w:vertAlign w:val="baseline"/>
              </w:rPr>
            </w:pPr>
            <w:r>
              <w:drawing>
                <wp:inline distT="0" distB="0" distL="114300" distR="114300">
                  <wp:extent cx="1057275" cy="1028700"/>
                  <wp:effectExtent l="0" t="0" r="9525" b="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4"/>
                          <a:stretch>
                            <a:fillRect/>
                          </a:stretch>
                        </pic:blipFill>
                        <pic:spPr>
                          <a:xfrm>
                            <a:off x="0" y="0"/>
                            <a:ext cx="1057275" cy="1028700"/>
                          </a:xfrm>
                          <a:prstGeom prst="rect">
                            <a:avLst/>
                          </a:prstGeom>
                          <a:noFill/>
                          <a:ln>
                            <a:noFill/>
                          </a:ln>
                        </pic:spPr>
                      </pic:pic>
                    </a:graphicData>
                  </a:graphic>
                </wp:inline>
              </w:drawing>
            </w:r>
          </w:p>
          <w:p>
            <w:pPr>
              <w:pStyle w:val="37"/>
              <w:keepNext w:val="0"/>
              <w:keepLines w:val="0"/>
              <w:widowControl w:val="0"/>
              <w:shd w:val="clear" w:color="auto" w:fill="auto"/>
              <w:bidi w:val="0"/>
              <w:spacing w:before="0" w:after="0" w:line="240" w:lineRule="auto"/>
              <w:ind w:left="0" w:right="0" w:firstLine="0"/>
              <w:jc w:val="center"/>
              <w:rPr>
                <w:sz w:val="44"/>
                <w:szCs w:val="44"/>
              </w:rPr>
            </w:pPr>
            <w:r>
              <w:rPr>
                <w:rFonts w:ascii="宋体" w:hAnsi="宋体" w:eastAsia="宋体" w:cs="宋体"/>
                <w:b w:val="0"/>
                <w:bCs w:val="0"/>
                <w:color w:val="000000"/>
                <w:spacing w:val="0"/>
                <w:w w:val="100"/>
                <w:position w:val="0"/>
                <w:sz w:val="44"/>
                <w:szCs w:val="44"/>
                <w:lang w:val="zh-TW" w:eastAsia="zh-TW" w:bidi="zh-TW"/>
              </w:rPr>
              <w:t>厨余垃圾</w:t>
            </w:r>
          </w:p>
          <w:p>
            <w:pPr>
              <w:pStyle w:val="37"/>
              <w:keepNext w:val="0"/>
              <w:keepLines w:val="0"/>
              <w:widowControl w:val="0"/>
              <w:shd w:val="clear" w:color="auto" w:fill="auto"/>
              <w:bidi w:val="0"/>
              <w:spacing w:before="0" w:after="0" w:line="226" w:lineRule="auto"/>
              <w:ind w:left="0" w:right="0" w:firstLine="0"/>
              <w:jc w:val="center"/>
            </w:pPr>
            <w:r>
              <w:rPr>
                <w:rFonts w:ascii="Times New Roman" w:hAnsi="Times New Roman" w:eastAsia="Times New Roman" w:cs="Times New Roman"/>
                <w:color w:val="000000"/>
                <w:spacing w:val="0"/>
                <w:w w:val="100"/>
                <w:position w:val="0"/>
                <w:lang w:val="en-US" w:eastAsia="en-US" w:bidi="en-US"/>
              </w:rPr>
              <w:t>Food waste</w:t>
            </w:r>
          </w:p>
          <w:p>
            <w:pPr>
              <w:pStyle w:val="36"/>
              <w:keepNext w:val="0"/>
              <w:keepLines w:val="0"/>
              <w:widowControl w:val="0"/>
              <w:numPr>
                <w:ilvl w:val="0"/>
                <w:numId w:val="0"/>
              </w:numPr>
              <w:shd w:val="clear"/>
              <w:bidi w:val="0"/>
              <w:spacing w:before="0" w:line="240" w:lineRule="auto"/>
              <w:ind w:right="0" w:rightChars="0"/>
              <w:jc w:val="left"/>
              <w:rPr>
                <w:sz w:val="28"/>
                <w:szCs w:val="28"/>
                <w:vertAlign w:val="baseline"/>
              </w:rPr>
            </w:pPr>
          </w:p>
        </w:tc>
        <w:tc>
          <w:tcPr>
            <w:tcW w:w="2353" w:type="dxa"/>
            <w:vAlign w:val="center"/>
          </w:tcPr>
          <w:p>
            <w:pPr>
              <w:pStyle w:val="38"/>
              <w:keepNext w:val="0"/>
              <w:keepLines w:val="0"/>
              <w:widowControl w:val="0"/>
              <w:shd w:val="clear" w:color="auto" w:fill="auto"/>
              <w:bidi w:val="0"/>
              <w:spacing w:before="0" w:after="80" w:line="240" w:lineRule="auto"/>
              <w:ind w:left="0" w:right="0" w:firstLine="0"/>
              <w:jc w:val="center"/>
              <w:rPr>
                <w:rFonts w:hint="eastAsia" w:ascii="宋体" w:hAnsi="宋体" w:eastAsia="宋体" w:cs="宋体"/>
                <w:kern w:val="2"/>
                <w:sz w:val="28"/>
                <w:szCs w:val="28"/>
                <w:u w:val="none"/>
                <w:shd w:val="clear" w:color="auto" w:fill="auto"/>
                <w:vertAlign w:val="baseline"/>
                <w:lang w:val="zh-TW" w:eastAsia="zh-CN" w:bidi="zh-TW"/>
              </w:rPr>
            </w:pPr>
            <w:r>
              <w:rPr>
                <w:rFonts w:hint="eastAsia" w:ascii="宋体" w:hAnsi="宋体" w:eastAsia="宋体" w:cs="宋体"/>
                <w:kern w:val="2"/>
                <w:sz w:val="28"/>
                <w:szCs w:val="28"/>
                <w:u w:val="none"/>
                <w:shd w:val="clear" w:color="auto" w:fill="auto"/>
                <w:vertAlign w:val="baseline"/>
                <w:lang w:val="zh-TW" w:eastAsia="zh-CN" w:bidi="zh-TW"/>
              </w:rPr>
              <w:t>厨余垃圾</w:t>
            </w:r>
          </w:p>
          <w:p>
            <w:pPr>
              <w:pStyle w:val="38"/>
              <w:keepNext w:val="0"/>
              <w:keepLines w:val="0"/>
              <w:widowControl w:val="0"/>
              <w:shd w:val="clear" w:color="auto" w:fill="auto"/>
              <w:bidi w:val="0"/>
              <w:spacing w:before="0" w:after="0" w:line="240" w:lineRule="auto"/>
              <w:ind w:left="0" w:right="0" w:firstLine="0"/>
              <w:jc w:val="center"/>
              <w:rPr>
                <w:rFonts w:hint="eastAsia" w:ascii="宋体" w:hAnsi="宋体" w:eastAsia="宋体" w:cs="宋体"/>
                <w:kern w:val="2"/>
                <w:sz w:val="28"/>
                <w:szCs w:val="28"/>
                <w:u w:val="none"/>
                <w:shd w:val="clear" w:color="auto" w:fill="auto"/>
                <w:vertAlign w:val="baseline"/>
                <w:lang w:val="zh-TW" w:eastAsia="zh-CN" w:bidi="zh-TW"/>
              </w:rPr>
            </w:pPr>
            <w:r>
              <w:rPr>
                <w:rFonts w:hint="eastAsia" w:ascii="宋体" w:hAnsi="宋体" w:eastAsia="宋体" w:cs="宋体"/>
                <w:kern w:val="2"/>
                <w:sz w:val="28"/>
                <w:szCs w:val="28"/>
                <w:u w:val="none"/>
                <w:shd w:val="clear" w:color="auto" w:fill="auto"/>
                <w:vertAlign w:val="baseline"/>
                <w:lang w:val="zh-TW" w:eastAsia="zh-CN" w:bidi="zh-TW"/>
              </w:rPr>
              <w:t>（易腐垃圾）</w:t>
            </w:r>
          </w:p>
          <w:p>
            <w:pPr>
              <w:pStyle w:val="36"/>
              <w:keepNext w:val="0"/>
              <w:keepLines w:val="0"/>
              <w:widowControl w:val="0"/>
              <w:numPr>
                <w:ilvl w:val="0"/>
                <w:numId w:val="0"/>
              </w:numPr>
              <w:shd w:val="clear"/>
              <w:bidi w:val="0"/>
              <w:spacing w:before="0" w:line="240" w:lineRule="auto"/>
              <w:ind w:right="0" w:rightChars="0"/>
              <w:jc w:val="center"/>
              <w:rPr>
                <w:sz w:val="28"/>
                <w:szCs w:val="28"/>
                <w:vertAlign w:val="baseline"/>
              </w:rPr>
            </w:pPr>
          </w:p>
        </w:tc>
        <w:tc>
          <w:tcPr>
            <w:tcW w:w="2353" w:type="dxa"/>
          </w:tcPr>
          <w:p>
            <w:pPr>
              <w:pStyle w:val="39"/>
              <w:keepNext/>
              <w:keepLines/>
              <w:widowControl w:val="0"/>
              <w:shd w:val="clear" w:color="auto" w:fill="auto"/>
              <w:bidi w:val="0"/>
              <w:spacing w:before="0" w:after="0" w:line="240" w:lineRule="auto"/>
              <w:ind w:right="0" w:firstLine="0"/>
              <w:jc w:val="center"/>
            </w:pPr>
            <w:r>
              <w:drawing>
                <wp:inline distT="0" distB="0" distL="114300" distR="114300">
                  <wp:extent cx="1063625" cy="1108710"/>
                  <wp:effectExtent l="0" t="0" r="3175" b="1524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5"/>
                          <a:stretch>
                            <a:fillRect/>
                          </a:stretch>
                        </pic:blipFill>
                        <pic:spPr>
                          <a:xfrm>
                            <a:off x="0" y="0"/>
                            <a:ext cx="1063625" cy="1108710"/>
                          </a:xfrm>
                          <a:prstGeom prst="rect">
                            <a:avLst/>
                          </a:prstGeom>
                          <a:noFill/>
                          <a:ln>
                            <a:noFill/>
                          </a:ln>
                        </pic:spPr>
                      </pic:pic>
                    </a:graphicData>
                  </a:graphic>
                </wp:inline>
              </w:drawing>
            </w:r>
          </w:p>
          <w:p>
            <w:pPr>
              <w:pStyle w:val="39"/>
              <w:keepNext/>
              <w:keepLines/>
              <w:widowControl w:val="0"/>
              <w:shd w:val="clear" w:color="auto" w:fill="auto"/>
              <w:bidi w:val="0"/>
              <w:spacing w:before="0" w:after="0" w:line="240" w:lineRule="auto"/>
              <w:ind w:right="0" w:firstLine="0"/>
              <w:jc w:val="center"/>
            </w:pPr>
            <w:r>
              <w:rPr>
                <w:color w:val="000000"/>
                <w:spacing w:val="0"/>
                <w:w w:val="100"/>
                <w:position w:val="0"/>
              </w:rPr>
              <w:t>其他垃圾</w:t>
            </w:r>
          </w:p>
          <w:p>
            <w:pPr>
              <w:pStyle w:val="40"/>
              <w:keepNext w:val="0"/>
              <w:keepLines w:val="0"/>
              <w:widowControl w:val="0"/>
              <w:shd w:val="clear" w:color="auto" w:fill="auto"/>
              <w:bidi w:val="0"/>
              <w:spacing w:before="0" w:after="0"/>
              <w:ind w:right="0" w:firstLine="0"/>
              <w:jc w:val="center"/>
              <w:rPr>
                <w:sz w:val="28"/>
                <w:szCs w:val="28"/>
                <w:vertAlign w:val="baseline"/>
              </w:rPr>
            </w:pPr>
            <w:r>
              <w:rPr>
                <w:rFonts w:ascii="Times New Roman" w:hAnsi="Times New Roman" w:eastAsia="Times New Roman" w:cs="Times New Roman"/>
                <w:color w:val="000000"/>
                <w:spacing w:val="0"/>
                <w:w w:val="100"/>
                <w:position w:val="0"/>
                <w:lang w:val="en-US" w:eastAsia="en-US" w:bidi="en-US"/>
              </w:rPr>
              <w:t>Other waste</w:t>
            </w:r>
          </w:p>
        </w:tc>
        <w:tc>
          <w:tcPr>
            <w:tcW w:w="2354" w:type="dxa"/>
            <w:vAlign w:val="center"/>
          </w:tcPr>
          <w:p>
            <w:pPr>
              <w:pStyle w:val="36"/>
              <w:keepNext w:val="0"/>
              <w:keepLines w:val="0"/>
              <w:widowControl w:val="0"/>
              <w:numPr>
                <w:ilvl w:val="0"/>
                <w:numId w:val="0"/>
              </w:numPr>
              <w:shd w:val="clear"/>
              <w:bidi w:val="0"/>
              <w:spacing w:before="0" w:line="240" w:lineRule="auto"/>
              <w:ind w:right="0" w:rightChars="0"/>
              <w:jc w:val="center"/>
              <w:rPr>
                <w:rFonts w:hint="eastAsia" w:eastAsia="宋体"/>
                <w:sz w:val="28"/>
                <w:szCs w:val="28"/>
                <w:vertAlign w:val="baseline"/>
                <w:lang w:eastAsia="zh-CN"/>
              </w:rPr>
            </w:pPr>
            <w:r>
              <w:rPr>
                <w:rFonts w:hint="eastAsia"/>
                <w:sz w:val="28"/>
                <w:szCs w:val="28"/>
                <w:vertAlign w:val="baseline"/>
                <w:lang w:eastAsia="zh-CN"/>
              </w:rPr>
              <w:t>其他垃圾</w:t>
            </w:r>
          </w:p>
        </w:tc>
      </w:tr>
    </w:tbl>
    <w:p>
      <w:pPr>
        <w:widowControl w:val="0"/>
        <w:spacing w:line="1" w:lineRule="exact"/>
        <w:sectPr>
          <w:footerReference r:id="rId8" w:type="default"/>
          <w:footnotePr>
            <w:numFmt w:val="decimal"/>
          </w:footnotePr>
          <w:pgSz w:w="11900" w:h="16840"/>
          <w:pgMar w:top="1486" w:right="2105" w:bottom="1494" w:left="1664" w:header="1058" w:footer="1066" w:gutter="0"/>
          <w:pgNumType w:fmt="decimal" w:start="19"/>
          <w:cols w:space="720" w:num="1"/>
          <w:rtlGutter w:val="0"/>
          <w:docGrid w:linePitch="360" w:charSpace="0"/>
        </w:sectPr>
      </w:pPr>
    </w:p>
    <w:p>
      <w:pPr>
        <w:spacing w:line="460" w:lineRule="exact"/>
        <w:rPr>
          <w:b/>
          <w:bCs/>
          <w:sz w:val="28"/>
          <w:szCs w:val="32"/>
        </w:rPr>
      </w:pPr>
      <w:r>
        <w:rPr>
          <w:rFonts w:hint="eastAsia"/>
          <w:b/>
          <w:bCs/>
          <w:sz w:val="36"/>
          <w:szCs w:val="36"/>
        </w:rPr>
        <w:t>技术参数、规格规格详见清单</w:t>
      </w:r>
      <w:r>
        <w:rPr>
          <w:b/>
          <w:bCs/>
          <w:sz w:val="36"/>
          <w:szCs w:val="36"/>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6"/>
        <w:gridCol w:w="1751"/>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3763" w:type="dxa"/>
            <w:vAlign w:val="center"/>
          </w:tcPr>
          <w:p>
            <w:pPr>
              <w:pStyle w:val="2"/>
              <w:jc w:val="center"/>
              <w:rPr>
                <w:rFonts w:hint="eastAsia" w:eastAsia="宋体"/>
                <w:sz w:val="24"/>
                <w:szCs w:val="24"/>
                <w:vertAlign w:val="baseline"/>
                <w:lang w:eastAsia="zh-CN"/>
              </w:rPr>
            </w:pPr>
            <w:r>
              <w:rPr>
                <w:rFonts w:hint="eastAsia"/>
                <w:sz w:val="24"/>
                <w:szCs w:val="24"/>
                <w:vertAlign w:val="baseline"/>
                <w:lang w:eastAsia="zh-CN"/>
              </w:rPr>
              <w:t>名称</w:t>
            </w:r>
          </w:p>
        </w:tc>
        <w:tc>
          <w:tcPr>
            <w:tcW w:w="1860" w:type="dxa"/>
            <w:vAlign w:val="center"/>
          </w:tcPr>
          <w:p>
            <w:pPr>
              <w:pStyle w:val="2"/>
              <w:jc w:val="center"/>
              <w:rPr>
                <w:rFonts w:hint="eastAsia" w:eastAsia="宋体"/>
                <w:sz w:val="24"/>
                <w:szCs w:val="24"/>
                <w:vertAlign w:val="baseline"/>
                <w:lang w:eastAsia="zh-CN"/>
              </w:rPr>
            </w:pPr>
            <w:r>
              <w:rPr>
                <w:rFonts w:hint="eastAsia"/>
                <w:sz w:val="24"/>
                <w:szCs w:val="24"/>
                <w:vertAlign w:val="baseline"/>
                <w:lang w:eastAsia="zh-CN"/>
              </w:rPr>
              <w:t>数量</w:t>
            </w:r>
          </w:p>
        </w:tc>
        <w:tc>
          <w:tcPr>
            <w:tcW w:w="3715" w:type="dxa"/>
          </w:tcPr>
          <w:p>
            <w:pPr>
              <w:pStyle w:val="2"/>
              <w:jc w:val="center"/>
              <w:rPr>
                <w:rFonts w:hint="eastAsia" w:eastAsia="宋体"/>
                <w:sz w:val="24"/>
                <w:szCs w:val="24"/>
                <w:vertAlign w:val="baseline"/>
                <w:lang w:eastAsia="zh-CN"/>
              </w:rPr>
            </w:pPr>
            <w:r>
              <w:rPr>
                <w:rFonts w:hint="eastAsia"/>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3763"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240L垃圾桶</w:t>
            </w:r>
          </w:p>
        </w:tc>
        <w:tc>
          <w:tcPr>
            <w:tcW w:w="1860"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4166个</w:t>
            </w:r>
          </w:p>
        </w:tc>
        <w:tc>
          <w:tcPr>
            <w:tcW w:w="3715" w:type="dxa"/>
          </w:tcPr>
          <w:p>
            <w:pPr>
              <w:pStyle w:val="2"/>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3763"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660L易腐垃圾桶</w:t>
            </w:r>
          </w:p>
        </w:tc>
        <w:tc>
          <w:tcPr>
            <w:tcW w:w="1860"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152个</w:t>
            </w:r>
          </w:p>
        </w:tc>
        <w:tc>
          <w:tcPr>
            <w:tcW w:w="3715" w:type="dxa"/>
          </w:tcPr>
          <w:p>
            <w:pPr>
              <w:pStyle w:val="2"/>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3763"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120L有害垃圾桶</w:t>
            </w:r>
          </w:p>
        </w:tc>
        <w:tc>
          <w:tcPr>
            <w:tcW w:w="1860"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100个</w:t>
            </w:r>
          </w:p>
        </w:tc>
        <w:tc>
          <w:tcPr>
            <w:tcW w:w="3715" w:type="dxa"/>
          </w:tcPr>
          <w:p>
            <w:pPr>
              <w:pStyle w:val="2"/>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3763"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5L入户垃圾桶</w:t>
            </w:r>
          </w:p>
        </w:tc>
        <w:tc>
          <w:tcPr>
            <w:tcW w:w="1860" w:type="dxa"/>
            <w:vAlign w:val="center"/>
          </w:tcPr>
          <w:p>
            <w:pPr>
              <w:pStyle w:val="2"/>
              <w:jc w:val="center"/>
              <w:rPr>
                <w:rFonts w:hint="default" w:eastAsia="宋体"/>
                <w:sz w:val="24"/>
                <w:szCs w:val="24"/>
                <w:vertAlign w:val="baseline"/>
                <w:lang w:val="en-US" w:eastAsia="zh-CN"/>
              </w:rPr>
            </w:pPr>
            <w:r>
              <w:rPr>
                <w:rFonts w:hint="eastAsia"/>
                <w:sz w:val="24"/>
                <w:szCs w:val="24"/>
                <w:vertAlign w:val="baseline"/>
                <w:lang w:val="en-US" w:eastAsia="zh-CN"/>
              </w:rPr>
              <w:t>43029个</w:t>
            </w:r>
          </w:p>
        </w:tc>
        <w:tc>
          <w:tcPr>
            <w:tcW w:w="3715" w:type="dxa"/>
          </w:tcPr>
          <w:p>
            <w:pPr>
              <w:pStyle w:val="2"/>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trPr>
        <w:tc>
          <w:tcPr>
            <w:tcW w:w="3763" w:type="dxa"/>
            <w:vAlign w:val="center"/>
          </w:tcPr>
          <w:p>
            <w:pPr>
              <w:pStyle w:val="2"/>
              <w:jc w:val="center"/>
              <w:rPr>
                <w:rFonts w:hint="eastAsia"/>
                <w:sz w:val="24"/>
                <w:szCs w:val="24"/>
                <w:vertAlign w:val="baseline"/>
                <w:lang w:val="en-US" w:eastAsia="zh-CN"/>
              </w:rPr>
            </w:pPr>
            <w:r>
              <w:rPr>
                <w:rFonts w:hint="eastAsia"/>
                <w:sz w:val="24"/>
                <w:szCs w:val="24"/>
                <w:vertAlign w:val="baseline"/>
                <w:lang w:val="en-US" w:eastAsia="zh-CN"/>
              </w:rPr>
              <w:t>智能垃圾桶</w:t>
            </w:r>
          </w:p>
        </w:tc>
        <w:tc>
          <w:tcPr>
            <w:tcW w:w="1860" w:type="dxa"/>
            <w:vAlign w:val="center"/>
          </w:tcPr>
          <w:p>
            <w:pPr>
              <w:pStyle w:val="2"/>
              <w:jc w:val="center"/>
              <w:rPr>
                <w:rFonts w:hint="default"/>
                <w:sz w:val="24"/>
                <w:szCs w:val="24"/>
                <w:vertAlign w:val="baseline"/>
                <w:lang w:val="en-US" w:eastAsia="zh-CN"/>
              </w:rPr>
            </w:pPr>
            <w:r>
              <w:rPr>
                <w:rFonts w:hint="eastAsia"/>
                <w:sz w:val="24"/>
                <w:szCs w:val="24"/>
                <w:vertAlign w:val="baseline"/>
                <w:lang w:val="en-US" w:eastAsia="zh-CN"/>
              </w:rPr>
              <w:t>2个</w:t>
            </w:r>
          </w:p>
        </w:tc>
        <w:tc>
          <w:tcPr>
            <w:tcW w:w="3715" w:type="dxa"/>
          </w:tcPr>
          <w:p>
            <w:pPr>
              <w:pStyle w:val="2"/>
              <w:rPr>
                <w:sz w:val="24"/>
                <w:szCs w:val="24"/>
                <w:vertAlign w:val="baseline"/>
              </w:rPr>
            </w:pPr>
          </w:p>
        </w:tc>
      </w:tr>
    </w:tbl>
    <w:p>
      <w:pPr>
        <w:spacing w:line="400" w:lineRule="exact"/>
        <w:rPr>
          <w:rFonts w:hint="eastAsia"/>
          <w:b/>
          <w:sz w:val="24"/>
          <w:szCs w:val="24"/>
        </w:rPr>
      </w:pPr>
    </w:p>
    <w:p>
      <w:pPr>
        <w:spacing w:line="480" w:lineRule="auto"/>
        <w:jc w:val="center"/>
        <w:rPr>
          <w:rFonts w:hint="eastAsia" w:ascii="宋体" w:hAnsi="宋体"/>
          <w:b/>
          <w:color w:val="000000"/>
          <w:sz w:val="44"/>
          <w:szCs w:val="44"/>
        </w:rPr>
      </w:pPr>
      <w:r>
        <w:rPr>
          <w:rFonts w:hint="eastAsia" w:ascii="宋体" w:hAnsi="宋体"/>
          <w:b/>
          <w:color w:val="000000"/>
          <w:sz w:val="44"/>
          <w:szCs w:val="44"/>
        </w:rPr>
        <w:t>240L垃圾桶技术参数</w:t>
      </w:r>
    </w:p>
    <w:p>
      <w:pPr>
        <w:spacing w:line="480" w:lineRule="auto"/>
        <w:rPr>
          <w:rFonts w:hint="eastAsia" w:ascii="宋体" w:hAnsi="宋体"/>
          <w:color w:val="000000"/>
          <w:sz w:val="24"/>
        </w:rPr>
      </w:pPr>
      <w:r>
        <w:rPr>
          <w:rFonts w:hint="eastAsia" w:ascii="宋体" w:hAnsi="宋体"/>
          <w:color w:val="000000"/>
          <w:sz w:val="24"/>
        </w:rPr>
        <w:t>1、容积：240L（±5%）；</w:t>
      </w:r>
    </w:p>
    <w:p>
      <w:pPr>
        <w:spacing w:line="480" w:lineRule="auto"/>
        <w:rPr>
          <w:rFonts w:hint="eastAsia" w:ascii="宋体" w:hAnsi="宋体"/>
          <w:color w:val="000000"/>
          <w:sz w:val="24"/>
        </w:rPr>
      </w:pPr>
      <w:r>
        <w:rPr>
          <w:rFonts w:hint="eastAsia" w:ascii="宋体" w:hAnsi="宋体"/>
          <w:color w:val="000000"/>
          <w:sz w:val="24"/>
        </w:rPr>
        <w:t>2、长</w:t>
      </w:r>
      <w:r>
        <w:rPr>
          <w:rFonts w:hint="eastAsia" w:ascii="宋体" w:hAnsi="宋体" w:cs="宋体"/>
          <w:color w:val="000000"/>
          <w:sz w:val="24"/>
          <w:szCs w:val="22"/>
        </w:rPr>
        <w:t>×</w:t>
      </w:r>
      <w:r>
        <w:rPr>
          <w:rFonts w:hint="eastAsia" w:ascii="宋体" w:hAnsi="宋体"/>
          <w:color w:val="000000"/>
          <w:sz w:val="24"/>
        </w:rPr>
        <w:t>宽</w:t>
      </w:r>
      <w:r>
        <w:rPr>
          <w:rFonts w:hint="eastAsia" w:ascii="宋体" w:hAnsi="宋体" w:cs="宋体"/>
          <w:color w:val="000000"/>
          <w:sz w:val="24"/>
          <w:szCs w:val="22"/>
        </w:rPr>
        <w:t>×</w:t>
      </w:r>
      <w:r>
        <w:rPr>
          <w:rFonts w:hint="eastAsia" w:ascii="宋体" w:hAnsi="宋体"/>
          <w:color w:val="000000"/>
          <w:sz w:val="24"/>
        </w:rPr>
        <w:t>高（mm）：730</w:t>
      </w:r>
      <w:r>
        <w:rPr>
          <w:rFonts w:hint="eastAsia" w:ascii="宋体" w:hAnsi="宋体" w:cs="宋体"/>
          <w:color w:val="000000"/>
          <w:sz w:val="24"/>
          <w:szCs w:val="22"/>
        </w:rPr>
        <w:t>×</w:t>
      </w:r>
      <w:r>
        <w:rPr>
          <w:rFonts w:hint="eastAsia" w:ascii="宋体" w:hAnsi="宋体"/>
          <w:color w:val="000000"/>
          <w:sz w:val="24"/>
          <w:lang w:val="en-US" w:eastAsia="zh-CN"/>
        </w:rPr>
        <w:t>585</w:t>
      </w:r>
      <w:r>
        <w:rPr>
          <w:rFonts w:hint="eastAsia" w:ascii="宋体" w:hAnsi="宋体" w:cs="宋体"/>
          <w:color w:val="000000"/>
          <w:sz w:val="24"/>
          <w:szCs w:val="22"/>
        </w:rPr>
        <w:t>×1</w:t>
      </w:r>
      <w:r>
        <w:rPr>
          <w:rFonts w:hint="eastAsia" w:ascii="宋体" w:hAnsi="宋体"/>
          <w:color w:val="000000"/>
          <w:sz w:val="24"/>
        </w:rPr>
        <w:t>0</w:t>
      </w:r>
      <w:r>
        <w:rPr>
          <w:rFonts w:hint="eastAsia" w:ascii="宋体" w:hAnsi="宋体"/>
          <w:color w:val="000000"/>
          <w:sz w:val="24"/>
          <w:lang w:val="en-US" w:eastAsia="zh-CN"/>
        </w:rPr>
        <w:t>85</w:t>
      </w:r>
      <w:r>
        <w:rPr>
          <w:rFonts w:hint="eastAsia" w:ascii="宋体" w:hAnsi="宋体"/>
          <w:color w:val="000000"/>
          <w:sz w:val="24"/>
        </w:rPr>
        <w:t>（±5mm）；</w:t>
      </w:r>
    </w:p>
    <w:p>
      <w:pPr>
        <w:spacing w:line="480" w:lineRule="auto"/>
        <w:rPr>
          <w:rFonts w:hint="eastAsia" w:ascii="宋体" w:hAnsi="宋体"/>
          <w:color w:val="000000"/>
          <w:sz w:val="24"/>
          <w:lang w:eastAsia="zh-CN"/>
        </w:rPr>
      </w:pPr>
      <w:r>
        <w:rPr>
          <w:rFonts w:hint="eastAsia" w:ascii="宋体" w:hAnsi="宋体"/>
          <w:color w:val="000000"/>
          <w:sz w:val="24"/>
        </w:rPr>
        <w:t>3、整体重量</w:t>
      </w:r>
      <w:r>
        <w:rPr>
          <w:rFonts w:hint="eastAsia" w:ascii="宋体" w:hAnsi="宋体" w:cs="宋体"/>
          <w:color w:val="000000"/>
          <w:sz w:val="24"/>
          <w:szCs w:val="22"/>
          <w:lang w:eastAsia="zh-CN"/>
        </w:rPr>
        <w:t>：</w:t>
      </w:r>
      <w:r>
        <w:rPr>
          <w:rFonts w:hint="eastAsia" w:ascii="宋体" w:hAnsi="宋体" w:cs="宋体"/>
          <w:color w:val="000000"/>
          <w:sz w:val="24"/>
          <w:szCs w:val="22"/>
          <w:lang w:val="en-US" w:eastAsia="zh-CN"/>
        </w:rPr>
        <w:t>16</w:t>
      </w:r>
      <w:r>
        <w:rPr>
          <w:rFonts w:hint="eastAsia" w:ascii="宋体" w:hAnsi="宋体" w:cs="宋体"/>
          <w:color w:val="000000"/>
          <w:sz w:val="24"/>
          <w:szCs w:val="22"/>
        </w:rPr>
        <w:t>kg</w:t>
      </w:r>
      <w:r>
        <w:rPr>
          <w:rFonts w:hint="eastAsia" w:ascii="宋体" w:hAnsi="宋体" w:cs="宋体"/>
          <w:color w:val="000000"/>
          <w:sz w:val="24"/>
          <w:szCs w:val="22"/>
          <w:lang w:eastAsia="zh-CN"/>
        </w:rPr>
        <w:t>，</w:t>
      </w:r>
      <w:r>
        <w:rPr>
          <w:rFonts w:hint="eastAsia" w:ascii="宋体" w:hAnsi="宋体"/>
          <w:color w:val="000000"/>
          <w:sz w:val="24"/>
          <w:lang w:val="en-US" w:eastAsia="zh-CN"/>
        </w:rPr>
        <w:t>配实心钢轴</w:t>
      </w:r>
      <w:r>
        <w:rPr>
          <w:rFonts w:hint="eastAsia" w:ascii="宋体" w:hAnsi="宋体"/>
          <w:color w:val="000000"/>
          <w:sz w:val="24"/>
          <w:lang w:eastAsia="zh-CN"/>
        </w:rPr>
        <w:t>；</w:t>
      </w:r>
    </w:p>
    <w:p>
      <w:pPr>
        <w:spacing w:line="480" w:lineRule="auto"/>
        <w:rPr>
          <w:rFonts w:hint="eastAsia" w:ascii="宋体" w:hAnsi="宋体"/>
          <w:color w:val="000000"/>
          <w:sz w:val="24"/>
        </w:rPr>
      </w:pPr>
      <w:r>
        <w:rPr>
          <w:rFonts w:hint="eastAsia" w:ascii="宋体" w:hAnsi="宋体"/>
          <w:color w:val="000000"/>
          <w:sz w:val="24"/>
        </w:rPr>
        <w:t>桶身</w:t>
      </w:r>
      <w:r>
        <w:rPr>
          <w:rFonts w:hint="eastAsia" w:ascii="宋体" w:hAnsi="宋体"/>
          <w:color w:val="000000"/>
          <w:sz w:val="24"/>
          <w:lang w:eastAsia="zh-CN"/>
        </w:rPr>
        <w:t>：</w:t>
      </w:r>
      <w:r>
        <w:rPr>
          <w:rFonts w:hint="eastAsia" w:ascii="宋体" w:hAnsi="宋体"/>
          <w:color w:val="000000"/>
          <w:sz w:val="24"/>
          <w:lang w:val="en-US" w:eastAsia="zh-CN"/>
        </w:rPr>
        <w:t>11</w:t>
      </w:r>
      <w:r>
        <w:rPr>
          <w:rFonts w:hint="eastAsia" w:ascii="宋体" w:hAnsi="宋体"/>
          <w:color w:val="000000"/>
          <w:sz w:val="24"/>
        </w:rPr>
        <w:t>kg，盖子</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.35</w:t>
      </w:r>
      <w:r>
        <w:rPr>
          <w:rFonts w:hint="eastAsia" w:ascii="宋体" w:hAnsi="宋体"/>
          <w:color w:val="000000"/>
          <w:sz w:val="24"/>
        </w:rPr>
        <w:t>kg；</w:t>
      </w:r>
      <w:r>
        <w:rPr>
          <w:rFonts w:hint="eastAsia" w:ascii="宋体" w:hAnsi="宋体"/>
          <w:color w:val="000000"/>
          <w:sz w:val="24"/>
          <w:lang w:eastAsia="zh-CN"/>
        </w:rPr>
        <w:t>（重量偏差</w:t>
      </w:r>
      <w:r>
        <w:rPr>
          <w:rFonts w:hint="eastAsia" w:ascii="宋体" w:hAnsi="宋体" w:eastAsia="宋体" w:cs="宋体"/>
          <w:color w:val="000000"/>
          <w:sz w:val="24"/>
          <w:lang w:eastAsia="zh-CN"/>
        </w:rPr>
        <w:t>±</w:t>
      </w:r>
      <w:r>
        <w:rPr>
          <w:rFonts w:hint="eastAsia" w:ascii="宋体" w:hAnsi="宋体"/>
          <w:color w:val="000000"/>
          <w:sz w:val="24"/>
          <w:lang w:val="en-US" w:eastAsia="zh-CN"/>
        </w:rPr>
        <w:t>0.2kg</w:t>
      </w:r>
      <w:r>
        <w:rPr>
          <w:rFonts w:hint="eastAsia" w:ascii="宋体" w:hAnsi="宋体"/>
          <w:color w:val="000000"/>
          <w:sz w:val="24"/>
          <w:lang w:eastAsia="zh-CN"/>
        </w:rPr>
        <w:t>）</w:t>
      </w:r>
    </w:p>
    <w:p>
      <w:pPr>
        <w:spacing w:line="480" w:lineRule="auto"/>
        <w:rPr>
          <w:rFonts w:hint="eastAsia" w:ascii="宋体" w:hAnsi="宋体"/>
          <w:color w:val="000000"/>
          <w:sz w:val="24"/>
        </w:rPr>
      </w:pPr>
      <w:r>
        <w:rPr>
          <w:rFonts w:hint="eastAsia" w:ascii="宋体" w:hAnsi="宋体"/>
          <w:color w:val="000000"/>
          <w:sz w:val="24"/>
        </w:rPr>
        <w:t>4、橡胶轮：Ф200*</w:t>
      </w:r>
      <w:r>
        <w:rPr>
          <w:rFonts w:hint="eastAsia" w:ascii="宋体" w:hAnsi="宋体" w:cs="宋体"/>
          <w:color w:val="000000"/>
          <w:sz w:val="24"/>
          <w:szCs w:val="22"/>
        </w:rPr>
        <w:t>×</w:t>
      </w:r>
      <w:r>
        <w:rPr>
          <w:rFonts w:hint="eastAsia" w:ascii="宋体" w:hAnsi="宋体"/>
          <w:color w:val="000000"/>
          <w:sz w:val="24"/>
        </w:rPr>
        <w:t>50</w:t>
      </w:r>
      <w:r>
        <w:rPr>
          <w:rFonts w:hint="eastAsia" w:ascii="宋体" w:hAnsi="宋体" w:cs="宋体"/>
          <w:color w:val="000000"/>
          <w:sz w:val="24"/>
          <w:szCs w:val="22"/>
        </w:rPr>
        <w:t>×</w:t>
      </w:r>
      <w:r>
        <w:rPr>
          <w:rFonts w:hint="eastAsia" w:ascii="宋体" w:hAnsi="宋体"/>
          <w:color w:val="000000"/>
          <w:sz w:val="24"/>
        </w:rPr>
        <w:t>100mm，内圈聚乙烯，内置钢套，外圈橡胶轮；</w:t>
      </w:r>
    </w:p>
    <w:p>
      <w:pPr>
        <w:spacing w:line="480" w:lineRule="auto"/>
        <w:rPr>
          <w:rFonts w:hint="eastAsia" w:ascii="宋体" w:hAnsi="宋体"/>
          <w:color w:val="000000"/>
          <w:sz w:val="24"/>
        </w:rPr>
      </w:pPr>
      <w:r>
        <w:rPr>
          <w:rFonts w:hint="eastAsia" w:ascii="宋体" w:hAnsi="宋体"/>
          <w:color w:val="000000"/>
          <w:sz w:val="24"/>
        </w:rPr>
        <w:t>5、钢轴规格：Ф22</w:t>
      </w:r>
      <w:r>
        <w:rPr>
          <w:rFonts w:hint="eastAsia" w:ascii="宋体" w:hAnsi="宋体" w:cs="宋体"/>
          <w:color w:val="000000"/>
          <w:sz w:val="24"/>
          <w:szCs w:val="22"/>
        </w:rPr>
        <w:t>×</w:t>
      </w:r>
      <w:r>
        <w:rPr>
          <w:rFonts w:hint="eastAsia" w:ascii="宋体" w:hAnsi="宋体"/>
          <w:color w:val="000000"/>
          <w:sz w:val="24"/>
        </w:rPr>
        <w:t>555mm；</w:t>
      </w:r>
    </w:p>
    <w:p>
      <w:pPr>
        <w:spacing w:line="480" w:lineRule="auto"/>
        <w:rPr>
          <w:rFonts w:hint="eastAsia" w:ascii="宋体" w:hAnsi="宋体"/>
          <w:color w:val="000000"/>
          <w:sz w:val="24"/>
        </w:rPr>
      </w:pPr>
      <w:r>
        <w:rPr>
          <w:rFonts w:hint="eastAsia" w:ascii="宋体" w:hAnsi="宋体"/>
          <w:color w:val="000000"/>
          <w:sz w:val="24"/>
        </w:rPr>
        <w:t>6、桶体壁厚≥5.0mm，桶底正面底部在注塑生产过程中嵌</w:t>
      </w:r>
      <w:r>
        <w:rPr>
          <w:rFonts w:hint="eastAsia" w:ascii="宋体" w:hAnsi="宋体"/>
          <w:color w:val="000000"/>
          <w:sz w:val="24"/>
          <w:lang w:val="en-US" w:eastAsia="zh-CN"/>
        </w:rPr>
        <w:t>26</w:t>
      </w:r>
      <w:r>
        <w:rPr>
          <w:rFonts w:hint="eastAsia" w:ascii="宋体" w:hAnsi="宋体"/>
          <w:color w:val="000000"/>
          <w:sz w:val="24"/>
        </w:rPr>
        <w:t>颗</w:t>
      </w:r>
      <w:r>
        <w:rPr>
          <w:rFonts w:hint="eastAsia" w:ascii="宋体" w:hAnsi="宋体"/>
          <w:color w:val="000000"/>
          <w:sz w:val="24"/>
          <w:lang w:val="en-US" w:eastAsia="zh-CN"/>
        </w:rPr>
        <w:t>PC</w:t>
      </w:r>
      <w:r>
        <w:rPr>
          <w:rFonts w:hint="eastAsia" w:ascii="宋体" w:hAnsi="宋体"/>
          <w:color w:val="000000"/>
          <w:sz w:val="24"/>
        </w:rPr>
        <w:t>耐磨钉；</w:t>
      </w:r>
    </w:p>
    <w:p>
      <w:pPr>
        <w:spacing w:line="480" w:lineRule="auto"/>
        <w:rPr>
          <w:rFonts w:hint="eastAsia" w:ascii="宋体" w:hAnsi="宋体"/>
          <w:color w:val="000000"/>
          <w:sz w:val="24"/>
        </w:rPr>
      </w:pPr>
      <w:r>
        <w:rPr>
          <w:rFonts w:hint="eastAsia" w:ascii="宋体" w:hAnsi="宋体"/>
          <w:color w:val="000000"/>
          <w:sz w:val="24"/>
        </w:rPr>
        <w:t>7、高温65℃、低温-30℃的气温下，不变形，不开裂；</w:t>
      </w:r>
    </w:p>
    <w:p>
      <w:pPr>
        <w:spacing w:line="480" w:lineRule="auto"/>
        <w:rPr>
          <w:rFonts w:hint="eastAsia" w:ascii="宋体" w:hAnsi="宋体"/>
          <w:color w:val="000000"/>
          <w:sz w:val="24"/>
        </w:rPr>
      </w:pPr>
      <w:r>
        <w:rPr>
          <w:rFonts w:hint="eastAsia" w:ascii="宋体" w:hAnsi="宋体"/>
          <w:color w:val="000000"/>
          <w:sz w:val="24"/>
        </w:rPr>
        <w:t>8、材料：全新高密度聚乙烯（HDPE）；</w:t>
      </w:r>
    </w:p>
    <w:p>
      <w:pPr>
        <w:spacing w:line="480" w:lineRule="auto"/>
        <w:rPr>
          <w:rFonts w:hint="eastAsia" w:ascii="宋体" w:hAnsi="宋体"/>
          <w:color w:val="000000"/>
          <w:sz w:val="24"/>
        </w:rPr>
      </w:pPr>
      <w:r>
        <w:rPr>
          <w:rFonts w:hint="eastAsia" w:ascii="宋体" w:hAnsi="宋体"/>
          <w:color w:val="000000"/>
          <w:sz w:val="24"/>
        </w:rPr>
        <w:t>9、橡胶轮与底轴：轴采用Ф22低碳钢材，三次酸洗彻底清除氧化面，经过电镀锌特殊工艺制成的钢轮轴。坚固耐用、抗氧化、防锈功能，橡胶轮与底轴之间采用自然固定连接；</w:t>
      </w:r>
    </w:p>
    <w:p>
      <w:pPr>
        <w:spacing w:line="480" w:lineRule="auto"/>
        <w:rPr>
          <w:rFonts w:hint="eastAsia" w:ascii="宋体" w:hAnsi="宋体"/>
          <w:color w:val="000000"/>
          <w:sz w:val="24"/>
          <w:szCs w:val="22"/>
        </w:rPr>
      </w:pPr>
      <w:r>
        <w:rPr>
          <w:rFonts w:hint="eastAsia" w:ascii="宋体" w:hAnsi="宋体"/>
          <w:color w:val="000000"/>
          <w:sz w:val="24"/>
          <w:szCs w:val="22"/>
        </w:rPr>
        <w:t>10、垃圾桶沿口选用双裙边设计，设有网状加强筋，加强桶沿口在提升架时有足够的机械操作强度。在桶体正面和背面添置连贯性加强筋，桶身两侧添置特有的U型加强凹面筋，使桶的四周能承受足够的机械强度和更大的冲击力；</w:t>
      </w:r>
    </w:p>
    <w:p>
      <w:pPr>
        <w:spacing w:line="480" w:lineRule="auto"/>
        <w:rPr>
          <w:rFonts w:hint="eastAsia" w:ascii="宋体" w:hAnsi="宋体"/>
          <w:color w:val="000000"/>
          <w:sz w:val="24"/>
          <w:szCs w:val="22"/>
        </w:rPr>
      </w:pPr>
      <w:r>
        <w:rPr>
          <w:rFonts w:hint="eastAsia" w:ascii="宋体" w:hAnsi="宋体"/>
          <w:color w:val="000000"/>
          <w:sz w:val="24"/>
          <w:szCs w:val="22"/>
        </w:rPr>
        <w:t>11、桶盖上方有明显禁火标志，提手有</w:t>
      </w:r>
      <w:r>
        <w:rPr>
          <w:rFonts w:hint="eastAsia" w:ascii="宋体" w:hAnsi="宋体"/>
          <w:color w:val="000000"/>
          <w:sz w:val="24"/>
        </w:rPr>
        <w:t>≥</w:t>
      </w:r>
      <w:r>
        <w:rPr>
          <w:rFonts w:hint="eastAsia" w:ascii="宋体" w:hAnsi="宋体"/>
          <w:color w:val="000000"/>
          <w:sz w:val="24"/>
          <w:szCs w:val="22"/>
        </w:rPr>
        <w:t>3条加强筋，有效防止提手位置变形或损坏。盖子上方有</w:t>
      </w:r>
      <w:r>
        <w:rPr>
          <w:rFonts w:hint="eastAsia" w:ascii="宋体" w:hAnsi="宋体"/>
          <w:color w:val="000000"/>
          <w:sz w:val="24"/>
        </w:rPr>
        <w:t>≥</w:t>
      </w:r>
      <w:r>
        <w:rPr>
          <w:rFonts w:hint="eastAsia" w:ascii="宋体" w:hAnsi="宋体"/>
          <w:color w:val="000000"/>
          <w:sz w:val="24"/>
          <w:szCs w:val="22"/>
        </w:rPr>
        <w:t>4条加强筋，使桶盖在日常的使用当中有足够的抗冲击强度。</w:t>
      </w:r>
    </w:p>
    <w:p>
      <w:pPr>
        <w:spacing w:line="480" w:lineRule="auto"/>
        <w:rPr>
          <w:rFonts w:hint="eastAsia" w:ascii="宋体" w:hAnsi="宋体"/>
          <w:color w:val="000000"/>
          <w:sz w:val="24"/>
          <w:szCs w:val="22"/>
          <w:lang w:val="en-US" w:eastAsia="zh-CN"/>
        </w:rPr>
      </w:pPr>
      <w:r>
        <w:rPr>
          <w:rFonts w:hint="eastAsia" w:ascii="宋体" w:hAnsi="宋体"/>
          <w:color w:val="000000"/>
          <w:sz w:val="24"/>
          <w:szCs w:val="22"/>
        </w:rPr>
        <w:t>12、</w:t>
      </w:r>
      <w:r>
        <w:rPr>
          <w:rFonts w:hint="eastAsia" w:ascii="宋体" w:hAnsi="宋体"/>
          <w:color w:val="000000"/>
          <w:sz w:val="24"/>
          <w:szCs w:val="22"/>
          <w:lang w:val="en-US" w:eastAsia="zh-CN"/>
        </w:rPr>
        <w:t>桶体上部左右两侧设有一体注塑成型规格为</w:t>
      </w:r>
      <w:r>
        <w:rPr>
          <w:rFonts w:hint="eastAsia" w:ascii="宋体" w:hAnsi="宋体"/>
          <w:color w:val="000000"/>
          <w:sz w:val="24"/>
        </w:rPr>
        <w:t>≥</w:t>
      </w:r>
      <w:r>
        <w:rPr>
          <w:rFonts w:hint="eastAsia" w:ascii="宋体" w:hAnsi="宋体"/>
          <w:color w:val="000000"/>
          <w:sz w:val="24"/>
          <w:szCs w:val="22"/>
          <w:lang w:val="en-US" w:eastAsia="zh-CN"/>
        </w:rPr>
        <w:t>18×3cm的塑料把手，在桶的背面靠下有U型凹槽与钢轴配合形成提手装置，方便使用人员倾倒垃圾和搬运重物协助作业使用，减轻使用人员的负重，从而保护作业人员安全；</w:t>
      </w:r>
    </w:p>
    <w:p>
      <w:pPr>
        <w:spacing w:line="480" w:lineRule="auto"/>
        <w:rPr>
          <w:rFonts w:hint="eastAsia" w:ascii="宋体" w:hAnsi="宋体"/>
          <w:color w:val="000000"/>
          <w:sz w:val="24"/>
          <w:szCs w:val="24"/>
        </w:rPr>
      </w:pPr>
      <w:r>
        <w:rPr>
          <w:rFonts w:hint="eastAsia" w:ascii="宋体" w:hAnsi="宋体"/>
          <w:color w:val="000000"/>
          <w:sz w:val="24"/>
          <w:szCs w:val="22"/>
        </w:rPr>
        <w:t>13、</w:t>
      </w:r>
      <w:r>
        <w:rPr>
          <w:rFonts w:hint="eastAsia" w:ascii="宋体" w:hAnsi="宋体"/>
          <w:color w:val="000000"/>
          <w:sz w:val="24"/>
          <w:szCs w:val="24"/>
          <w:lang w:val="zh-CN"/>
        </w:rPr>
        <w:t>桶体底部中间部位采用</w:t>
      </w:r>
      <w:r>
        <w:rPr>
          <w:rFonts w:hint="eastAsia" w:ascii="宋体" w:hAnsi="宋体"/>
          <w:color w:val="000000"/>
          <w:sz w:val="24"/>
          <w:szCs w:val="24"/>
        </w:rPr>
        <w:t>≥</w:t>
      </w:r>
      <w:r>
        <w:rPr>
          <w:rFonts w:hint="eastAsia" w:ascii="宋体" w:hAnsi="宋体"/>
          <w:color w:val="000000"/>
          <w:sz w:val="24"/>
          <w:szCs w:val="24"/>
          <w:lang w:val="en-US" w:eastAsia="zh-CN"/>
        </w:rPr>
        <w:t>15</w:t>
      </w:r>
      <w:r>
        <w:rPr>
          <w:rFonts w:hint="eastAsia" w:ascii="宋体" w:hAnsi="宋体" w:cs="宋体"/>
          <w:color w:val="000000"/>
          <w:sz w:val="24"/>
          <w:szCs w:val="24"/>
        </w:rPr>
        <w:t>×</w:t>
      </w:r>
      <w:r>
        <w:rPr>
          <w:rFonts w:hint="eastAsia" w:ascii="宋体" w:hAnsi="宋体"/>
          <w:color w:val="000000"/>
          <w:sz w:val="24"/>
          <w:szCs w:val="24"/>
          <w:lang w:val="en-US" w:eastAsia="zh-CN"/>
        </w:rPr>
        <w:t>14</w:t>
      </w:r>
      <w:r>
        <w:rPr>
          <w:rFonts w:hint="eastAsia" w:ascii="宋体" w:hAnsi="宋体"/>
          <w:color w:val="000000"/>
          <w:sz w:val="24"/>
          <w:szCs w:val="24"/>
        </w:rPr>
        <w:t>cm的</w:t>
      </w:r>
      <w:r>
        <w:rPr>
          <w:rFonts w:hint="eastAsia" w:ascii="宋体" w:hAnsi="宋体"/>
          <w:color w:val="000000"/>
          <w:sz w:val="24"/>
          <w:szCs w:val="24"/>
          <w:lang w:val="zh-CN"/>
        </w:rPr>
        <w:t>放射状的加强筋设计，放射状四周采用六边形的蜂窝状加强</w:t>
      </w:r>
      <w:r>
        <w:rPr>
          <w:rFonts w:hint="eastAsia" w:ascii="宋体" w:hAnsi="宋体"/>
          <w:color w:val="000000"/>
          <w:sz w:val="24"/>
          <w:szCs w:val="24"/>
        </w:rPr>
        <w:t>筋</w:t>
      </w:r>
      <w:r>
        <w:rPr>
          <w:rFonts w:hint="eastAsia" w:ascii="宋体" w:hAnsi="宋体"/>
          <w:color w:val="000000"/>
          <w:sz w:val="24"/>
          <w:szCs w:val="24"/>
          <w:lang w:val="zh-CN"/>
        </w:rPr>
        <w:t>，其中蜂窝状的注塑高度</w:t>
      </w:r>
      <w:r>
        <w:rPr>
          <w:rFonts w:hint="eastAsia" w:ascii="宋体" w:hAnsi="宋体"/>
          <w:color w:val="000000"/>
          <w:sz w:val="24"/>
          <w:szCs w:val="24"/>
        </w:rPr>
        <w:t>≥2mm，</w:t>
      </w:r>
      <w:r>
        <w:rPr>
          <w:rFonts w:hint="eastAsia" w:ascii="宋体" w:hAnsi="宋体"/>
          <w:color w:val="000000"/>
          <w:sz w:val="24"/>
          <w:szCs w:val="24"/>
          <w:lang w:val="zh-CN"/>
        </w:rPr>
        <w:t>减少垃圾对桶底部的冲击力；桶底与地面间距≥</w:t>
      </w:r>
      <w:r>
        <w:rPr>
          <w:rFonts w:hint="eastAsia" w:ascii="宋体" w:hAnsi="宋体"/>
          <w:color w:val="000000"/>
          <w:sz w:val="24"/>
          <w:szCs w:val="24"/>
        </w:rPr>
        <w:t>1.5cm</w:t>
      </w:r>
      <w:r>
        <w:rPr>
          <w:rFonts w:hint="eastAsia" w:ascii="宋体" w:hAnsi="宋体"/>
          <w:color w:val="000000"/>
          <w:sz w:val="24"/>
          <w:szCs w:val="24"/>
          <w:lang w:val="zh-CN"/>
        </w:rPr>
        <w:t>，使垃圾桶放置更平稳，桶底前面</w:t>
      </w:r>
      <w:r>
        <w:rPr>
          <w:rFonts w:hint="eastAsia" w:ascii="宋体" w:hAnsi="宋体"/>
          <w:color w:val="000000"/>
          <w:sz w:val="24"/>
          <w:szCs w:val="24"/>
          <w:lang w:val="en-US" w:eastAsia="zh-CN"/>
        </w:rPr>
        <w:t>和两侧面三边必要时可选择安装有一次成型</w:t>
      </w:r>
      <w:r>
        <w:rPr>
          <w:rFonts w:hint="eastAsia" w:ascii="宋体" w:hAnsi="宋体"/>
          <w:color w:val="000000"/>
          <w:sz w:val="24"/>
          <w:szCs w:val="24"/>
          <w:lang w:val="zh-CN"/>
        </w:rPr>
        <w:t>橡胶材质</w:t>
      </w:r>
      <w:r>
        <w:rPr>
          <w:rFonts w:hint="eastAsia" w:ascii="宋体" w:hAnsi="宋体" w:cs="宋体"/>
          <w:b w:val="0"/>
          <w:bCs/>
          <w:color w:val="000000"/>
          <w:sz w:val="24"/>
          <w:szCs w:val="24"/>
          <w:lang w:val="en-US" w:eastAsia="zh-CN"/>
        </w:rPr>
        <w:t>38cm*33.5cm*3.5cm的U型耐磨条，内含26颗PC材质耐磨钉及17颗钢质耐磨螺丝。</w:t>
      </w:r>
      <w:r>
        <w:rPr>
          <w:rFonts w:hint="eastAsia" w:ascii="宋体" w:hAnsi="宋体"/>
          <w:color w:val="000000"/>
          <w:sz w:val="24"/>
          <w:szCs w:val="24"/>
          <w:lang w:val="zh-CN"/>
        </w:rPr>
        <w:t>与地面接触过程中减少磨损。</w:t>
      </w:r>
      <w:r>
        <w:rPr>
          <w:rFonts w:hint="eastAsia" w:ascii="宋体" w:hAnsi="宋体"/>
          <w:color w:val="000000"/>
          <w:sz w:val="24"/>
          <w:szCs w:val="24"/>
        </w:rPr>
        <w:t>桶底底部预留</w:t>
      </w:r>
      <w:r>
        <w:rPr>
          <w:rFonts w:hint="eastAsia" w:ascii="宋体" w:hAnsi="宋体" w:cs="宋体"/>
          <w:color w:val="000000"/>
          <w:sz w:val="24"/>
          <w:szCs w:val="24"/>
        </w:rPr>
        <w:t>≥</w:t>
      </w:r>
      <w:r>
        <w:rPr>
          <w:rFonts w:hint="eastAsia" w:ascii="宋体" w:hAnsi="宋体"/>
          <w:color w:val="000000"/>
          <w:sz w:val="24"/>
          <w:szCs w:val="24"/>
        </w:rPr>
        <w:t>10</w:t>
      </w:r>
      <w:r>
        <w:rPr>
          <w:rFonts w:hint="eastAsia" w:ascii="宋体" w:hAnsi="宋体" w:cs="宋体"/>
          <w:color w:val="000000"/>
          <w:sz w:val="24"/>
          <w:szCs w:val="24"/>
        </w:rPr>
        <w:t>×</w:t>
      </w:r>
      <w:r>
        <w:rPr>
          <w:rFonts w:hint="eastAsia" w:ascii="宋体" w:hAnsi="宋体"/>
          <w:color w:val="000000"/>
          <w:sz w:val="24"/>
          <w:szCs w:val="24"/>
        </w:rPr>
        <w:t>3.5cm的长方形凹槽，必要时可以添加生产企业名称、电话和出厂年月；</w:t>
      </w:r>
    </w:p>
    <w:p>
      <w:pPr>
        <w:spacing w:line="480" w:lineRule="auto"/>
        <w:rPr>
          <w:rFonts w:hint="eastAsia" w:ascii="宋体" w:hAnsi="宋体"/>
          <w:b/>
          <w:bCs/>
          <w:color w:val="000000"/>
          <w:sz w:val="24"/>
          <w:szCs w:val="22"/>
          <w:lang w:val="zh-CN" w:eastAsia="zh-CN"/>
        </w:rPr>
      </w:pPr>
      <w:r>
        <w:rPr>
          <w:rFonts w:hint="eastAsia" w:ascii="宋体" w:hAnsi="宋体"/>
          <w:color w:val="000000"/>
          <w:sz w:val="24"/>
          <w:szCs w:val="22"/>
        </w:rPr>
        <w:t>14、</w:t>
      </w:r>
      <w:r>
        <w:rPr>
          <w:rFonts w:hint="eastAsia" w:ascii="宋体" w:hAnsi="宋体"/>
          <w:color w:val="000000"/>
          <w:sz w:val="24"/>
          <w:szCs w:val="22"/>
          <w:lang w:val="zh-CN"/>
        </w:rPr>
        <w:t>桶体与桶盖</w:t>
      </w:r>
      <w:r>
        <w:rPr>
          <w:rFonts w:hint="eastAsia" w:ascii="宋体" w:hAnsi="宋体"/>
          <w:color w:val="000000"/>
          <w:sz w:val="24"/>
          <w:szCs w:val="22"/>
        </w:rPr>
        <w:t>四</w:t>
      </w:r>
      <w:r>
        <w:rPr>
          <w:rFonts w:hint="eastAsia" w:ascii="宋体" w:hAnsi="宋体"/>
          <w:color w:val="000000"/>
          <w:sz w:val="24"/>
          <w:szCs w:val="22"/>
          <w:lang w:val="zh-CN"/>
        </w:rPr>
        <w:t>点链接，桶盖与桶身把手之间4个连接销子，</w:t>
      </w:r>
      <w:r>
        <w:rPr>
          <w:rFonts w:hint="eastAsia" w:ascii="宋体" w:hAnsi="宋体"/>
          <w:color w:val="000000"/>
          <w:sz w:val="24"/>
          <w:szCs w:val="22"/>
        </w:rPr>
        <w:t>把手上方带有圆点防滑颗粒，下方符合人体工程学有手指凹凸握感</w:t>
      </w:r>
      <w:r>
        <w:rPr>
          <w:rFonts w:hint="eastAsia" w:ascii="宋体" w:hAnsi="宋体"/>
          <w:color w:val="000000"/>
          <w:sz w:val="24"/>
          <w:szCs w:val="22"/>
          <w:lang w:val="zh-CN"/>
        </w:rPr>
        <w:t>。桶的把手位置设有</w:t>
      </w:r>
      <w:r>
        <w:rPr>
          <w:rFonts w:hint="eastAsia" w:ascii="宋体" w:hAnsi="宋体"/>
          <w:color w:val="000000"/>
          <w:sz w:val="24"/>
          <w:szCs w:val="22"/>
        </w:rPr>
        <w:t>6</w:t>
      </w:r>
      <w:r>
        <w:rPr>
          <w:rFonts w:hint="eastAsia" w:ascii="宋体" w:hAnsi="宋体"/>
          <w:color w:val="000000"/>
          <w:sz w:val="24"/>
          <w:szCs w:val="22"/>
          <w:lang w:val="zh-CN"/>
        </w:rPr>
        <w:t>条加强筋连接，增加桶体把手的抗冲击能力，提高了对把手的保护程度，延长了使用寿命，手柄有防滑设计</w:t>
      </w:r>
      <w:r>
        <w:rPr>
          <w:rFonts w:hint="eastAsia" w:ascii="宋体" w:hAnsi="宋体"/>
          <w:color w:val="000000"/>
          <w:sz w:val="24"/>
          <w:szCs w:val="22"/>
        </w:rPr>
        <w:t>。桶身特有的</w:t>
      </w:r>
      <w:r>
        <w:rPr>
          <w:rFonts w:hint="eastAsia" w:ascii="宋体" w:hAnsi="宋体"/>
          <w:color w:val="000000"/>
          <w:sz w:val="24"/>
          <w:szCs w:val="22"/>
          <w:lang w:val="zh-CN"/>
        </w:rPr>
        <w:t>人性化设计，</w:t>
      </w:r>
      <w:r>
        <w:rPr>
          <w:rFonts w:hint="eastAsia" w:ascii="宋体" w:hAnsi="宋体"/>
          <w:b/>
          <w:bCs/>
          <w:color w:val="000000"/>
          <w:sz w:val="24"/>
          <w:szCs w:val="22"/>
          <w:lang w:val="zh-CN" w:eastAsia="zh-CN"/>
        </w:rPr>
        <w:t>在桶沿口后边缘注塑过程中一次成型的外径</w:t>
      </w:r>
      <w:r>
        <w:rPr>
          <w:rFonts w:hint="eastAsia" w:ascii="宋体" w:hAnsi="宋体"/>
          <w:b/>
          <w:bCs/>
          <w:color w:val="000000"/>
          <w:sz w:val="24"/>
          <w:szCs w:val="22"/>
          <w:lang w:val="en-US" w:eastAsia="zh-CN"/>
        </w:rPr>
        <w:t>4cm、内径2.7cm圆形带有橡胶垫的垃圾袋收紧固定装置，靠近把手位置带有垃圾桶收紧挂钩</w:t>
      </w:r>
      <w:r>
        <w:rPr>
          <w:rFonts w:hint="eastAsia" w:ascii="宋体" w:hAnsi="宋体"/>
          <w:b/>
          <w:bCs/>
          <w:color w:val="000000"/>
          <w:sz w:val="24"/>
          <w:szCs w:val="22"/>
          <w:lang w:val="zh-CN" w:eastAsia="zh-CN"/>
        </w:rPr>
        <w:t>，两者紧密结合防止垃圾袋脱落并方便取出。</w:t>
      </w:r>
    </w:p>
    <w:p>
      <w:pPr>
        <w:spacing w:line="480" w:lineRule="auto"/>
        <w:rPr>
          <w:rFonts w:hint="eastAsia" w:ascii="宋体" w:hAnsi="宋体"/>
          <w:color w:val="000000"/>
          <w:sz w:val="24"/>
          <w:szCs w:val="22"/>
        </w:rPr>
      </w:pPr>
      <w:r>
        <w:rPr>
          <w:rFonts w:ascii="宋体" w:hAnsi="宋体"/>
          <w:color w:val="000000"/>
          <w:sz w:val="24"/>
          <w:szCs w:val="22"/>
        </w:rPr>
        <w:t>15.</w:t>
      </w:r>
      <w:r>
        <w:rPr>
          <w:rFonts w:hint="eastAsia" w:ascii="宋体" w:hAnsi="宋体"/>
          <w:color w:val="000000"/>
          <w:sz w:val="24"/>
          <w:szCs w:val="22"/>
        </w:rPr>
        <w:t>桶体内部有刻度线，可随时提醒垃圾桶装货量，防止垃圾超量装，延长垃圾桶使用寿命。</w:t>
      </w:r>
    </w:p>
    <w:p>
      <w:pPr>
        <w:spacing w:line="480" w:lineRule="auto"/>
        <w:rPr>
          <w:rFonts w:hint="eastAsia" w:ascii="宋体" w:hAnsi="宋体"/>
          <w:color w:val="000000"/>
          <w:sz w:val="24"/>
        </w:rPr>
      </w:pPr>
      <w:r>
        <w:rPr>
          <w:rFonts w:hint="eastAsia" w:ascii="宋体" w:hAnsi="宋体"/>
          <w:color w:val="000000"/>
          <w:sz w:val="24"/>
        </w:rPr>
        <w:t>16、垃圾桶要求：色彩鲜艳，5年不褪色，耐腐蚀，并且有足够的机械强度和良好的冲击韧性，能与现有的垃圾车配套使用。产品经过6000h抗老化测试，变化率不大于1。正面投放标采用丝网印刷工艺，可根据国家垃圾分类要求丝印分类标识；</w:t>
      </w:r>
    </w:p>
    <w:p>
      <w:pPr>
        <w:spacing w:line="480" w:lineRule="auto"/>
        <w:rPr>
          <w:rFonts w:hint="eastAsia" w:ascii="宋体" w:hAnsi="宋体"/>
          <w:color w:val="000000"/>
          <w:sz w:val="24"/>
        </w:rPr>
      </w:pPr>
      <w:r>
        <w:rPr>
          <w:rFonts w:hint="eastAsia" w:ascii="宋体" w:hAnsi="宋体"/>
          <w:color w:val="000000"/>
          <w:sz w:val="24"/>
        </w:rPr>
        <w:t>17、符合中华人民共和国城镇建设行业标准《塑料垃圾桶通用技术条件》CJ/T 280-2008标准。</w:t>
      </w:r>
    </w:p>
    <w:p>
      <w:pPr>
        <w:spacing w:line="360" w:lineRule="auto"/>
        <w:jc w:val="center"/>
        <w:rPr>
          <w:rFonts w:hint="eastAsia" w:ascii="宋体" w:hAnsi="宋体"/>
          <w:b/>
          <w:color w:val="000000"/>
          <w:sz w:val="18"/>
          <w:szCs w:val="18"/>
        </w:rPr>
      </w:pPr>
    </w:p>
    <w:p>
      <w:pPr>
        <w:jc w:val="center"/>
        <w:outlineLvl w:val="1"/>
        <w:rPr>
          <w:rFonts w:hint="eastAsia" w:ascii="宋体" w:hAnsi="宋体"/>
          <w:b/>
          <w:color w:val="0000FF"/>
          <w:sz w:val="30"/>
          <w:szCs w:val="30"/>
        </w:rPr>
      </w:pPr>
      <w:bookmarkStart w:id="12" w:name="_Toc335394655"/>
      <w:bookmarkStart w:id="13" w:name="_Toc349046310"/>
      <w:bookmarkStart w:id="14" w:name="_Toc337623831"/>
    </w:p>
    <w:bookmarkEnd w:id="12"/>
    <w:bookmarkEnd w:id="13"/>
    <w:bookmarkEnd w:id="14"/>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0"/>
        <w:gridCol w:w="4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8" w:hRule="atLeast"/>
        </w:trPr>
        <w:tc>
          <w:tcPr>
            <w:tcW w:w="4870" w:type="dxa"/>
            <w:noWrap w:val="0"/>
            <w:vAlign w:val="top"/>
          </w:tcPr>
          <w:p>
            <w:pPr>
              <w:spacing w:line="360" w:lineRule="auto"/>
              <w:jc w:val="center"/>
              <w:rPr>
                <w:rFonts w:hint="eastAsia" w:eastAsia="宋体"/>
                <w:sz w:val="24"/>
                <w:szCs w:val="24"/>
                <w:lang w:val="en-US" w:eastAsia="zh-CN"/>
              </w:rPr>
            </w:pPr>
            <w:r>
              <w:drawing>
                <wp:inline distT="0" distB="0" distL="114300" distR="114300">
                  <wp:extent cx="2550795" cy="3977005"/>
                  <wp:effectExtent l="0" t="0" r="190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2550795" cy="3977005"/>
                          </a:xfrm>
                          <a:prstGeom prst="rect">
                            <a:avLst/>
                          </a:prstGeom>
                          <a:noFill/>
                          <a:ln>
                            <a:noFill/>
                          </a:ln>
                        </pic:spPr>
                      </pic:pic>
                    </a:graphicData>
                  </a:graphic>
                </wp:inline>
              </w:drawing>
            </w:r>
            <w:r>
              <w:drawing>
                <wp:inline distT="0" distB="0" distL="114300" distR="114300">
                  <wp:extent cx="2559050" cy="3566795"/>
                  <wp:effectExtent l="0" t="0" r="1270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2559050" cy="3566795"/>
                          </a:xfrm>
                          <a:prstGeom prst="rect">
                            <a:avLst/>
                          </a:prstGeom>
                          <a:noFill/>
                          <a:ln>
                            <a:noFill/>
                          </a:ln>
                        </pic:spPr>
                      </pic:pic>
                    </a:graphicData>
                  </a:graphic>
                </wp:inline>
              </w:drawing>
            </w:r>
          </w:p>
        </w:tc>
        <w:tc>
          <w:tcPr>
            <w:tcW w:w="4870" w:type="dxa"/>
            <w:noWrap w:val="0"/>
            <w:vAlign w:val="top"/>
          </w:tcPr>
          <w:p>
            <w:pPr>
              <w:spacing w:line="360" w:lineRule="auto"/>
              <w:ind w:left="240" w:hanging="240" w:hangingChars="100"/>
              <w:jc w:val="left"/>
              <w:rPr>
                <w:rFonts w:hint="eastAsia" w:ascii="宋体" w:hAnsi="宋体"/>
                <w:color w:val="000000"/>
                <w:sz w:val="24"/>
                <w:szCs w:val="24"/>
              </w:rPr>
            </w:pPr>
          </w:p>
          <w:p>
            <w:pPr>
              <w:spacing w:line="360" w:lineRule="auto"/>
              <w:ind w:left="240" w:hanging="240" w:hangingChars="100"/>
              <w:jc w:val="left"/>
              <w:rPr>
                <w:rFonts w:hint="eastAsia" w:ascii="宋体" w:hAnsi="宋体"/>
                <w:color w:val="000000"/>
                <w:sz w:val="24"/>
                <w:szCs w:val="24"/>
              </w:rPr>
            </w:pPr>
          </w:p>
          <w:p>
            <w:pPr>
              <w:spacing w:line="360" w:lineRule="auto"/>
              <w:ind w:left="240" w:hanging="240" w:hangingChars="100"/>
              <w:jc w:val="left"/>
              <w:rPr>
                <w:rFonts w:hint="eastAsia" w:ascii="宋体" w:hAnsi="宋体"/>
                <w:color w:val="000000"/>
                <w:sz w:val="24"/>
                <w:szCs w:val="24"/>
              </w:rPr>
            </w:pPr>
          </w:p>
          <w:p>
            <w:pPr>
              <w:spacing w:line="360" w:lineRule="auto"/>
              <w:ind w:left="240" w:hanging="240" w:hangingChars="100"/>
              <w:jc w:val="left"/>
              <w:rPr>
                <w:rFonts w:hint="eastAsia" w:ascii="宋体" w:hAnsi="宋体"/>
                <w:color w:val="000000"/>
                <w:sz w:val="24"/>
                <w:szCs w:val="24"/>
              </w:rPr>
            </w:pPr>
            <w:r>
              <w:rPr>
                <w:rFonts w:hint="eastAsia" w:ascii="宋体" w:hAnsi="宋体"/>
                <w:color w:val="000000"/>
                <w:sz w:val="24"/>
                <w:szCs w:val="24"/>
              </w:rPr>
              <w:t>■ 桶体采用</w:t>
            </w:r>
            <w:r>
              <w:rPr>
                <w:rFonts w:ascii="宋体" w:hAnsi="宋体"/>
                <w:color w:val="000000"/>
                <w:sz w:val="24"/>
                <w:szCs w:val="24"/>
              </w:rPr>
              <w:t>高密度聚乙烯100%新料</w:t>
            </w:r>
            <w:r>
              <w:rPr>
                <w:rFonts w:hint="eastAsia" w:ascii="宋体" w:hAnsi="宋体"/>
                <w:color w:val="000000"/>
                <w:sz w:val="24"/>
                <w:szCs w:val="24"/>
              </w:rPr>
              <w:t>一次性</w:t>
            </w:r>
          </w:p>
          <w:p>
            <w:pPr>
              <w:spacing w:line="360" w:lineRule="auto"/>
              <w:ind w:left="240" w:hanging="240" w:hangingChars="100"/>
              <w:jc w:val="left"/>
              <w:rPr>
                <w:rFonts w:hint="eastAsia" w:ascii="宋体" w:hAnsi="宋体"/>
                <w:color w:val="000000"/>
                <w:sz w:val="24"/>
                <w:szCs w:val="24"/>
              </w:rPr>
            </w:pPr>
            <w:r>
              <w:rPr>
                <w:rFonts w:hint="eastAsia" w:ascii="宋体" w:hAnsi="宋体"/>
                <w:color w:val="000000"/>
                <w:sz w:val="24"/>
                <w:szCs w:val="24"/>
              </w:rPr>
              <w:t>注模成型无接缝，外表光滑，容易清洗，桶</w:t>
            </w:r>
          </w:p>
          <w:p>
            <w:pPr>
              <w:spacing w:line="360" w:lineRule="auto"/>
              <w:ind w:left="240" w:hanging="240" w:hangingChars="100"/>
              <w:jc w:val="left"/>
              <w:rPr>
                <w:rFonts w:hint="eastAsia" w:ascii="宋体" w:hAnsi="宋体"/>
                <w:color w:val="000000"/>
                <w:sz w:val="24"/>
                <w:szCs w:val="24"/>
              </w:rPr>
            </w:pPr>
            <w:r>
              <w:rPr>
                <w:rFonts w:hint="eastAsia" w:ascii="宋体" w:hAnsi="宋体"/>
                <w:color w:val="000000"/>
                <w:sz w:val="24"/>
                <w:szCs w:val="24"/>
              </w:rPr>
              <w:t>体性能根据EN840-5的标准生产，桶体的平</w:t>
            </w:r>
          </w:p>
          <w:p>
            <w:pPr>
              <w:spacing w:line="360" w:lineRule="auto"/>
              <w:ind w:left="240" w:hanging="240" w:hangingChars="100"/>
              <w:jc w:val="left"/>
              <w:rPr>
                <w:rFonts w:hint="eastAsia" w:ascii="宋体" w:hAnsi="宋体"/>
                <w:color w:val="000000"/>
                <w:sz w:val="24"/>
                <w:szCs w:val="24"/>
              </w:rPr>
            </w:pPr>
            <w:r>
              <w:rPr>
                <w:rFonts w:hint="eastAsia" w:ascii="宋体" w:hAnsi="宋体"/>
                <w:color w:val="000000"/>
                <w:sz w:val="24"/>
                <w:szCs w:val="24"/>
              </w:rPr>
              <w:t>均壁厚达到5.0mm以上。</w:t>
            </w:r>
          </w:p>
          <w:p>
            <w:pPr>
              <w:spacing w:line="360" w:lineRule="auto"/>
              <w:rPr>
                <w:color w:val="000000"/>
                <w:sz w:val="24"/>
                <w:szCs w:val="24"/>
              </w:rPr>
            </w:pPr>
          </w:p>
          <w:p>
            <w:pPr>
              <w:spacing w:line="360" w:lineRule="auto"/>
              <w:rPr>
                <w:rFonts w:hint="eastAsia" w:ascii="宋体" w:hAnsi="宋体"/>
                <w:color w:val="000000"/>
                <w:sz w:val="24"/>
                <w:szCs w:val="22"/>
                <w:lang w:val="en-US" w:eastAsia="zh-CN"/>
              </w:rPr>
            </w:pPr>
            <w:r>
              <w:rPr>
                <w:rFonts w:hint="eastAsia" w:ascii="宋体" w:hAnsi="宋体"/>
                <w:color w:val="000000"/>
                <w:sz w:val="24"/>
                <w:szCs w:val="22"/>
                <w:lang w:val="en-US" w:eastAsia="zh-CN"/>
              </w:rPr>
              <w:t>桶体上部左右两侧设有一体注塑成型规格为</w:t>
            </w:r>
            <w:r>
              <w:rPr>
                <w:rFonts w:hint="eastAsia" w:ascii="宋体" w:hAnsi="宋体"/>
                <w:color w:val="000000"/>
                <w:sz w:val="24"/>
              </w:rPr>
              <w:t>≥</w:t>
            </w:r>
            <w:r>
              <w:rPr>
                <w:rFonts w:hint="eastAsia" w:ascii="宋体" w:hAnsi="宋体"/>
                <w:color w:val="000000"/>
                <w:sz w:val="24"/>
                <w:szCs w:val="22"/>
                <w:lang w:val="en-US" w:eastAsia="zh-CN"/>
              </w:rPr>
              <w:t>18×3cm的塑料把手，方便使用人员倾倒垃圾和搬运重物协助作业使用，减轻使用人员的负重，从而保护作业人员安全；</w:t>
            </w:r>
          </w:p>
          <w:p>
            <w:pPr>
              <w:spacing w:line="360" w:lineRule="auto"/>
              <w:jc w:val="center"/>
              <w:rPr>
                <w:color w:val="000000"/>
                <w:sz w:val="24"/>
                <w:szCs w:val="24"/>
              </w:rPr>
            </w:pPr>
            <w:r>
              <w:rPr>
                <w:color w:val="000000"/>
              </w:rPr>
              <w:drawing>
                <wp:inline distT="0" distB="0" distL="114300" distR="114300">
                  <wp:extent cx="2500630" cy="1120140"/>
                  <wp:effectExtent l="0" t="0" r="1397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2500630" cy="1120140"/>
                          </a:xfrm>
                          <a:prstGeom prst="rect">
                            <a:avLst/>
                          </a:prstGeom>
                          <a:noFill/>
                          <a:ln>
                            <a:noFill/>
                          </a:ln>
                        </pic:spPr>
                      </pic:pic>
                    </a:graphicData>
                  </a:graphic>
                </wp:inline>
              </w:drawing>
            </w:r>
          </w:p>
          <w:p>
            <w:pPr>
              <w:spacing w:line="360" w:lineRule="auto"/>
              <w:rPr>
                <w:color w:val="000000"/>
                <w:sz w:val="24"/>
                <w:szCs w:val="24"/>
              </w:rPr>
            </w:pPr>
          </w:p>
          <w:p>
            <w:pPr>
              <w:spacing w:line="360" w:lineRule="auto"/>
              <w:rPr>
                <w:rFonts w:hint="eastAsia" w:ascii="宋体" w:hAnsi="宋体"/>
                <w:color w:val="000000"/>
                <w:sz w:val="24"/>
                <w:szCs w:val="24"/>
              </w:rPr>
            </w:pPr>
            <w:r>
              <w:rPr>
                <w:rFonts w:hint="eastAsia" w:ascii="宋体" w:hAnsi="宋体"/>
                <w:color w:val="000000"/>
                <w:sz w:val="24"/>
                <w:szCs w:val="24"/>
              </w:rPr>
              <w:t>■ 垃圾桶沿口选用双裙边设计，设有网状加强筋，加强桶沿口在提升架时有足够的机械操作强度。在桶体正面和背面添置连贯性加强筋，桶身两侧添置特有的U型加强凹面筋，使桶的四周能承受足够的机械强度和更大的冲击力；</w:t>
            </w:r>
          </w:p>
          <w:p>
            <w:pPr>
              <w:spacing w:line="360" w:lineRule="auto"/>
              <w:jc w:val="center"/>
              <w:rPr>
                <w:color w:val="000000"/>
                <w:sz w:val="24"/>
                <w:szCs w:val="24"/>
              </w:rPr>
            </w:pPr>
            <w:r>
              <w:rPr>
                <w:color w:val="000000"/>
              </w:rPr>
              <w:drawing>
                <wp:inline distT="0" distB="0" distL="114300" distR="114300">
                  <wp:extent cx="2559050" cy="752475"/>
                  <wp:effectExtent l="0" t="0" r="1270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2559050" cy="752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9" w:hRule="atLeast"/>
        </w:trPr>
        <w:tc>
          <w:tcPr>
            <w:tcW w:w="4870" w:type="dxa"/>
            <w:noWrap w:val="0"/>
            <w:vAlign w:val="center"/>
          </w:tcPr>
          <w:p>
            <w:pPr>
              <w:spacing w:line="360" w:lineRule="auto"/>
              <w:jc w:val="center"/>
              <w:rPr>
                <w:rFonts w:hint="eastAsia"/>
                <w:sz w:val="24"/>
                <w:szCs w:val="24"/>
              </w:rPr>
            </w:pPr>
            <w:r>
              <w:drawing>
                <wp:inline distT="0" distB="0" distL="114300" distR="114300">
                  <wp:extent cx="2554605" cy="1225550"/>
                  <wp:effectExtent l="0" t="0" r="17145"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0"/>
                          <a:stretch>
                            <a:fillRect/>
                          </a:stretch>
                        </pic:blipFill>
                        <pic:spPr>
                          <a:xfrm>
                            <a:off x="0" y="0"/>
                            <a:ext cx="2554605" cy="1225550"/>
                          </a:xfrm>
                          <a:prstGeom prst="rect">
                            <a:avLst/>
                          </a:prstGeom>
                          <a:noFill/>
                          <a:ln>
                            <a:noFill/>
                          </a:ln>
                        </pic:spPr>
                      </pic:pic>
                    </a:graphicData>
                  </a:graphic>
                </wp:inline>
              </w:drawing>
            </w:r>
          </w:p>
        </w:tc>
        <w:tc>
          <w:tcPr>
            <w:tcW w:w="4870" w:type="dxa"/>
            <w:noWrap w:val="0"/>
            <w:vAlign w:val="top"/>
          </w:tcPr>
          <w:p>
            <w:pPr>
              <w:spacing w:line="360" w:lineRule="auto"/>
              <w:rPr>
                <w:rFonts w:hint="eastAsia" w:ascii="宋体" w:hAnsi="宋体"/>
                <w:color w:val="000000"/>
                <w:sz w:val="24"/>
                <w:szCs w:val="24"/>
              </w:rPr>
            </w:pPr>
          </w:p>
          <w:p>
            <w:pPr>
              <w:spacing w:line="360" w:lineRule="auto"/>
              <w:rPr>
                <w:rFonts w:hint="eastAsia" w:ascii="宋体" w:hAnsi="宋体"/>
                <w:color w:val="000000"/>
                <w:sz w:val="24"/>
                <w:szCs w:val="24"/>
              </w:rPr>
            </w:pPr>
            <w:r>
              <w:rPr>
                <w:rFonts w:hint="eastAsia" w:ascii="宋体" w:hAnsi="宋体"/>
                <w:color w:val="000000"/>
                <w:sz w:val="24"/>
                <w:szCs w:val="24"/>
              </w:rPr>
              <w:t>■桶盖上方有明显禁火标志，提手有不少于3条加强筋，有效防止提手位置变形或损坏。盖子上方有4条加强筋，使桶盖在日常的使用当中有足够的抗冲击强度。</w:t>
            </w:r>
          </w:p>
          <w:p>
            <w:pPr>
              <w:spacing w:line="360" w:lineRule="auto"/>
              <w:rPr>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6" w:hRule="atLeast"/>
        </w:trPr>
        <w:tc>
          <w:tcPr>
            <w:tcW w:w="4870" w:type="dxa"/>
            <w:noWrap w:val="0"/>
            <w:vAlign w:val="center"/>
          </w:tcPr>
          <w:p>
            <w:pPr>
              <w:spacing w:line="360" w:lineRule="auto"/>
              <w:jc w:val="center"/>
            </w:pPr>
            <w:r>
              <w:drawing>
                <wp:inline distT="0" distB="0" distL="114300" distR="114300">
                  <wp:extent cx="2540000" cy="1157605"/>
                  <wp:effectExtent l="0" t="0" r="1270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2540000" cy="1157605"/>
                          </a:xfrm>
                          <a:prstGeom prst="rect">
                            <a:avLst/>
                          </a:prstGeom>
                          <a:noFill/>
                          <a:ln>
                            <a:noFill/>
                          </a:ln>
                        </pic:spPr>
                      </pic:pic>
                    </a:graphicData>
                  </a:graphic>
                </wp:inline>
              </w:drawing>
            </w:r>
          </w:p>
          <w:p>
            <w:pPr>
              <w:spacing w:line="360" w:lineRule="auto"/>
              <w:jc w:val="center"/>
              <w:rPr>
                <w:rFonts w:hint="eastAsia"/>
              </w:rPr>
            </w:pPr>
            <w:r>
              <w:drawing>
                <wp:inline distT="0" distB="0" distL="114300" distR="114300">
                  <wp:extent cx="2542540" cy="1637030"/>
                  <wp:effectExtent l="0" t="0" r="10160" b="127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2"/>
                          <a:stretch>
                            <a:fillRect/>
                          </a:stretch>
                        </pic:blipFill>
                        <pic:spPr>
                          <a:xfrm>
                            <a:off x="0" y="0"/>
                            <a:ext cx="2542540" cy="1637030"/>
                          </a:xfrm>
                          <a:prstGeom prst="rect">
                            <a:avLst/>
                          </a:prstGeom>
                          <a:noFill/>
                          <a:ln>
                            <a:noFill/>
                          </a:ln>
                        </pic:spPr>
                      </pic:pic>
                    </a:graphicData>
                  </a:graphic>
                </wp:inline>
              </w:drawing>
            </w:r>
          </w:p>
        </w:tc>
        <w:tc>
          <w:tcPr>
            <w:tcW w:w="4870" w:type="dxa"/>
            <w:noWrap w:val="0"/>
            <w:vAlign w:val="top"/>
          </w:tcPr>
          <w:p>
            <w:pPr>
              <w:spacing w:line="360" w:lineRule="auto"/>
              <w:rPr>
                <w:rFonts w:hint="eastAsia" w:ascii="宋体" w:hAnsi="宋体"/>
                <w:color w:val="000000"/>
                <w:sz w:val="24"/>
                <w:szCs w:val="24"/>
                <w:lang w:val="en-US" w:eastAsia="zh-CN"/>
              </w:rPr>
            </w:pPr>
            <w:r>
              <w:rPr>
                <w:rFonts w:hint="eastAsia" w:ascii="宋体" w:hAnsi="宋体"/>
                <w:color w:val="000000"/>
                <w:sz w:val="24"/>
                <w:szCs w:val="24"/>
              </w:rPr>
              <w:t>■</w:t>
            </w:r>
            <w:r>
              <w:rPr>
                <w:rFonts w:hint="eastAsia" w:ascii="宋体" w:hAnsi="宋体"/>
                <w:color w:val="000000"/>
                <w:sz w:val="24"/>
                <w:szCs w:val="24"/>
                <w:lang w:val="zh-CN"/>
              </w:rPr>
              <w:t>桶体与桶盖</w:t>
            </w:r>
            <w:r>
              <w:rPr>
                <w:rFonts w:hint="eastAsia" w:ascii="宋体" w:hAnsi="宋体"/>
                <w:color w:val="000000"/>
                <w:sz w:val="24"/>
                <w:szCs w:val="24"/>
              </w:rPr>
              <w:t>四</w:t>
            </w:r>
            <w:r>
              <w:rPr>
                <w:rFonts w:hint="eastAsia" w:ascii="宋体" w:hAnsi="宋体"/>
                <w:color w:val="000000"/>
                <w:sz w:val="24"/>
                <w:szCs w:val="24"/>
                <w:lang w:val="zh-CN"/>
              </w:rPr>
              <w:t>点链接，桶盖与桶身把手之间4个连接销子，</w:t>
            </w:r>
            <w:r>
              <w:rPr>
                <w:rFonts w:hint="eastAsia" w:ascii="宋体" w:hAnsi="宋体"/>
                <w:color w:val="000000"/>
                <w:sz w:val="24"/>
                <w:szCs w:val="24"/>
              </w:rPr>
              <w:t>把手上方带有圆点防滑颗粒，下方符合人体工程学有手指凹凸握感</w:t>
            </w:r>
            <w:r>
              <w:rPr>
                <w:rFonts w:hint="eastAsia" w:ascii="宋体" w:hAnsi="宋体"/>
                <w:color w:val="000000"/>
                <w:sz w:val="24"/>
                <w:szCs w:val="24"/>
                <w:lang w:val="zh-CN"/>
              </w:rPr>
              <w:t>。桶的把手位置设有</w:t>
            </w:r>
            <w:r>
              <w:rPr>
                <w:rFonts w:hint="eastAsia" w:ascii="宋体" w:hAnsi="宋体"/>
                <w:color w:val="000000"/>
                <w:sz w:val="24"/>
                <w:szCs w:val="24"/>
              </w:rPr>
              <w:t>6</w:t>
            </w:r>
            <w:r>
              <w:rPr>
                <w:rFonts w:hint="eastAsia" w:ascii="宋体" w:hAnsi="宋体"/>
                <w:color w:val="000000"/>
                <w:sz w:val="24"/>
                <w:szCs w:val="24"/>
                <w:lang w:val="zh-CN"/>
              </w:rPr>
              <w:t>条加强筋连接，增加桶体把手的抗冲击能力，提高了对把手的保护程度，延长了使用寿命，手柄有防滑设计</w:t>
            </w:r>
            <w:r>
              <w:rPr>
                <w:rFonts w:hint="eastAsia" w:ascii="宋体" w:hAnsi="宋体"/>
                <w:color w:val="000000"/>
                <w:sz w:val="24"/>
                <w:szCs w:val="24"/>
              </w:rPr>
              <w:t>。桶身特有的</w:t>
            </w:r>
            <w:r>
              <w:rPr>
                <w:rFonts w:hint="eastAsia" w:ascii="宋体" w:hAnsi="宋体"/>
                <w:color w:val="000000"/>
                <w:sz w:val="24"/>
                <w:szCs w:val="24"/>
                <w:lang w:val="zh-CN"/>
              </w:rPr>
              <w:t>人性化设计</w:t>
            </w:r>
            <w:r>
              <w:rPr>
                <w:rFonts w:hint="eastAsia" w:ascii="宋体" w:hAnsi="宋体"/>
                <w:color w:val="000000"/>
                <w:sz w:val="24"/>
                <w:szCs w:val="24"/>
                <w:lang w:val="en-US" w:eastAsia="zh-CN"/>
              </w:rPr>
              <w:t>;</w:t>
            </w:r>
          </w:p>
          <w:p>
            <w:pPr>
              <w:spacing w:line="360" w:lineRule="auto"/>
              <w:rPr>
                <w:rFonts w:hint="eastAsia" w:ascii="宋体" w:hAnsi="宋体"/>
                <w:color w:val="000000"/>
                <w:sz w:val="24"/>
                <w:szCs w:val="24"/>
                <w:lang w:val="en-US" w:eastAsia="zh-CN"/>
              </w:rPr>
            </w:pPr>
            <w:r>
              <w:rPr>
                <w:rFonts w:hint="eastAsia" w:ascii="宋体" w:hAnsi="宋体"/>
                <w:color w:val="000000"/>
                <w:sz w:val="24"/>
                <w:szCs w:val="24"/>
              </w:rPr>
              <w:t>■</w:t>
            </w:r>
            <w:r>
              <w:rPr>
                <w:rFonts w:hint="eastAsia" w:ascii="宋体" w:hAnsi="宋体"/>
                <w:b/>
                <w:bCs/>
                <w:color w:val="000000"/>
                <w:sz w:val="24"/>
                <w:szCs w:val="24"/>
                <w:lang w:val="zh-CN" w:eastAsia="zh-CN"/>
              </w:rPr>
              <w:t>在桶沿口后边缘注塑过程中一次成型的外径</w:t>
            </w:r>
            <w:r>
              <w:rPr>
                <w:rFonts w:hint="eastAsia" w:ascii="宋体" w:hAnsi="宋体"/>
                <w:b/>
                <w:bCs/>
                <w:color w:val="000000"/>
                <w:sz w:val="24"/>
                <w:szCs w:val="24"/>
                <w:lang w:val="en-US" w:eastAsia="zh-CN"/>
              </w:rPr>
              <w:t>4cm、内径2.7cm圆形带有橡胶垫的垃圾袋收紧固定装置，靠近把手位置带有垃圾桶收紧挂钩</w:t>
            </w:r>
            <w:r>
              <w:rPr>
                <w:rFonts w:hint="eastAsia" w:ascii="宋体" w:hAnsi="宋体"/>
                <w:b/>
                <w:bCs/>
                <w:color w:val="000000"/>
                <w:sz w:val="24"/>
                <w:szCs w:val="24"/>
                <w:lang w:val="zh-CN" w:eastAsia="zh-CN"/>
              </w:rPr>
              <w:t>，两者紧密结合防止垃圾袋脱落并方便取出。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870" w:type="dxa"/>
            <w:noWrap w:val="0"/>
            <w:vAlign w:val="center"/>
          </w:tcPr>
          <w:p>
            <w:pPr>
              <w:spacing w:line="360" w:lineRule="auto"/>
              <w:jc w:val="center"/>
              <w:rPr>
                <w:rFonts w:hint="eastAsia"/>
                <w:sz w:val="24"/>
                <w:szCs w:val="24"/>
              </w:rPr>
            </w:pPr>
            <w:r>
              <w:drawing>
                <wp:inline distT="0" distB="0" distL="114300" distR="114300">
                  <wp:extent cx="2583815" cy="2021205"/>
                  <wp:effectExtent l="0" t="0" r="6985" b="171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3"/>
                          <a:stretch>
                            <a:fillRect/>
                          </a:stretch>
                        </pic:blipFill>
                        <pic:spPr>
                          <a:xfrm>
                            <a:off x="0" y="0"/>
                            <a:ext cx="2583815" cy="2021205"/>
                          </a:xfrm>
                          <a:prstGeom prst="rect">
                            <a:avLst/>
                          </a:prstGeom>
                          <a:noFill/>
                          <a:ln>
                            <a:noFill/>
                          </a:ln>
                        </pic:spPr>
                      </pic:pic>
                    </a:graphicData>
                  </a:graphic>
                </wp:inline>
              </w:drawing>
            </w:r>
          </w:p>
        </w:tc>
        <w:tc>
          <w:tcPr>
            <w:tcW w:w="4870" w:type="dxa"/>
            <w:noWrap w:val="0"/>
            <w:vAlign w:val="top"/>
          </w:tcPr>
          <w:p>
            <w:pPr>
              <w:spacing w:line="360" w:lineRule="auto"/>
              <w:rPr>
                <w:color w:val="000000"/>
                <w:sz w:val="24"/>
                <w:szCs w:val="24"/>
              </w:rPr>
            </w:pPr>
            <w:r>
              <w:rPr>
                <w:rFonts w:hint="eastAsia" w:ascii="宋体" w:hAnsi="宋体"/>
                <w:color w:val="000000"/>
                <w:sz w:val="24"/>
                <w:szCs w:val="24"/>
              </w:rPr>
              <w:t>■</w:t>
            </w:r>
            <w:r>
              <w:rPr>
                <w:rFonts w:hint="eastAsia" w:ascii="宋体" w:hAnsi="宋体"/>
                <w:color w:val="000000"/>
                <w:sz w:val="24"/>
                <w:szCs w:val="24"/>
                <w:lang w:val="zh-CN"/>
              </w:rPr>
              <w:t>桶体底部中间部位采用</w:t>
            </w:r>
            <w:r>
              <w:rPr>
                <w:rFonts w:hint="eastAsia" w:ascii="宋体" w:hAnsi="宋体"/>
                <w:color w:val="000000"/>
                <w:sz w:val="24"/>
                <w:szCs w:val="24"/>
              </w:rPr>
              <w:t>≥</w:t>
            </w:r>
            <w:r>
              <w:rPr>
                <w:rFonts w:hint="eastAsia" w:ascii="宋体" w:hAnsi="宋体"/>
                <w:color w:val="000000"/>
                <w:sz w:val="24"/>
                <w:szCs w:val="24"/>
                <w:lang w:val="en-US" w:eastAsia="zh-CN"/>
              </w:rPr>
              <w:t>15</w:t>
            </w:r>
            <w:r>
              <w:rPr>
                <w:rFonts w:hint="eastAsia" w:ascii="宋体" w:hAnsi="宋体" w:cs="宋体"/>
                <w:color w:val="000000"/>
                <w:sz w:val="24"/>
                <w:szCs w:val="24"/>
              </w:rPr>
              <w:t>×</w:t>
            </w:r>
            <w:r>
              <w:rPr>
                <w:rFonts w:hint="eastAsia" w:ascii="宋体" w:hAnsi="宋体"/>
                <w:color w:val="000000"/>
                <w:sz w:val="24"/>
                <w:szCs w:val="24"/>
                <w:lang w:val="en-US" w:eastAsia="zh-CN"/>
              </w:rPr>
              <w:t>14</w:t>
            </w:r>
            <w:r>
              <w:rPr>
                <w:rFonts w:hint="eastAsia" w:ascii="宋体" w:hAnsi="宋体"/>
                <w:color w:val="000000"/>
                <w:sz w:val="24"/>
                <w:szCs w:val="24"/>
              </w:rPr>
              <w:t>cm的</w:t>
            </w:r>
            <w:r>
              <w:rPr>
                <w:rFonts w:hint="eastAsia" w:ascii="宋体" w:hAnsi="宋体"/>
                <w:color w:val="000000"/>
                <w:sz w:val="24"/>
                <w:szCs w:val="24"/>
                <w:lang w:val="zh-CN"/>
              </w:rPr>
              <w:t>放射状的加强筋设计，放射状四周采用六边形的蜂窝状加强</w:t>
            </w:r>
            <w:r>
              <w:rPr>
                <w:rFonts w:hint="eastAsia" w:ascii="宋体" w:hAnsi="宋体"/>
                <w:color w:val="000000"/>
                <w:sz w:val="24"/>
                <w:szCs w:val="24"/>
              </w:rPr>
              <w:t>筋</w:t>
            </w:r>
            <w:r>
              <w:rPr>
                <w:rFonts w:hint="eastAsia" w:ascii="宋体" w:hAnsi="宋体"/>
                <w:color w:val="000000"/>
                <w:sz w:val="24"/>
                <w:szCs w:val="24"/>
                <w:lang w:val="zh-CN"/>
              </w:rPr>
              <w:t>，其中蜂窝状的注塑高度</w:t>
            </w:r>
            <w:r>
              <w:rPr>
                <w:rFonts w:hint="eastAsia" w:ascii="宋体" w:hAnsi="宋体"/>
                <w:color w:val="000000"/>
                <w:sz w:val="24"/>
                <w:szCs w:val="24"/>
              </w:rPr>
              <w:t>≥2mm，</w:t>
            </w:r>
            <w:r>
              <w:rPr>
                <w:rFonts w:hint="eastAsia" w:ascii="宋体" w:hAnsi="宋体"/>
                <w:color w:val="000000"/>
                <w:sz w:val="24"/>
                <w:szCs w:val="24"/>
                <w:lang w:val="zh-CN"/>
              </w:rPr>
              <w:t>减少垃圾对桶底部的冲击力；桶底与地面间距≥</w:t>
            </w:r>
            <w:r>
              <w:rPr>
                <w:rFonts w:hint="eastAsia" w:ascii="宋体" w:hAnsi="宋体"/>
                <w:color w:val="000000"/>
                <w:sz w:val="24"/>
                <w:szCs w:val="24"/>
              </w:rPr>
              <w:t>1.5cm</w:t>
            </w:r>
            <w:r>
              <w:rPr>
                <w:rFonts w:hint="eastAsia" w:ascii="宋体" w:hAnsi="宋体"/>
                <w:color w:val="000000"/>
                <w:sz w:val="24"/>
                <w:szCs w:val="24"/>
                <w:lang w:val="zh-CN"/>
              </w:rPr>
              <w:t>，使垃圾桶放置更平稳，桶底前面</w:t>
            </w:r>
            <w:r>
              <w:rPr>
                <w:rFonts w:hint="eastAsia" w:ascii="宋体" w:hAnsi="宋体"/>
                <w:color w:val="000000"/>
                <w:sz w:val="24"/>
                <w:szCs w:val="24"/>
                <w:lang w:val="en-US" w:eastAsia="zh-CN"/>
              </w:rPr>
              <w:t>和两侧面三边必要时可选择安装有一次成型</w:t>
            </w:r>
            <w:r>
              <w:rPr>
                <w:rFonts w:hint="eastAsia" w:ascii="宋体" w:hAnsi="宋体"/>
                <w:color w:val="000000"/>
                <w:sz w:val="24"/>
                <w:szCs w:val="24"/>
                <w:lang w:val="zh-CN"/>
              </w:rPr>
              <w:t>橡胶材质</w:t>
            </w:r>
            <w:r>
              <w:rPr>
                <w:rFonts w:hint="eastAsia" w:ascii="宋体" w:hAnsi="宋体" w:cs="宋体"/>
                <w:b w:val="0"/>
                <w:bCs/>
                <w:color w:val="000000"/>
                <w:sz w:val="24"/>
                <w:szCs w:val="24"/>
                <w:lang w:val="en-US" w:eastAsia="zh-CN"/>
              </w:rPr>
              <w:t>38cm*33.5cm*3.5cm的U型耐磨条，内含26颗PC材质耐磨钉及17颗钢质耐磨螺丝。</w:t>
            </w:r>
            <w:r>
              <w:rPr>
                <w:rFonts w:hint="eastAsia" w:ascii="宋体" w:hAnsi="宋体"/>
                <w:color w:val="000000"/>
                <w:sz w:val="24"/>
                <w:szCs w:val="24"/>
                <w:lang w:val="zh-CN"/>
              </w:rPr>
              <w:t>与地面接触过程中减少磨损。</w:t>
            </w:r>
            <w:r>
              <w:rPr>
                <w:rFonts w:hint="eastAsia" w:ascii="宋体" w:hAnsi="宋体"/>
                <w:color w:val="000000"/>
                <w:sz w:val="24"/>
                <w:szCs w:val="24"/>
              </w:rPr>
              <w:t>桶底底部预留</w:t>
            </w:r>
            <w:r>
              <w:rPr>
                <w:rFonts w:hint="eastAsia" w:ascii="宋体" w:hAnsi="宋体" w:cs="宋体"/>
                <w:color w:val="000000"/>
                <w:sz w:val="24"/>
                <w:szCs w:val="24"/>
              </w:rPr>
              <w:t>≥</w:t>
            </w:r>
            <w:r>
              <w:rPr>
                <w:rFonts w:hint="eastAsia" w:ascii="宋体" w:hAnsi="宋体"/>
                <w:color w:val="000000"/>
                <w:sz w:val="24"/>
                <w:szCs w:val="24"/>
              </w:rPr>
              <w:t>10</w:t>
            </w:r>
            <w:r>
              <w:rPr>
                <w:rFonts w:hint="eastAsia" w:ascii="宋体" w:hAnsi="宋体" w:cs="宋体"/>
                <w:color w:val="000000"/>
                <w:sz w:val="24"/>
                <w:szCs w:val="24"/>
              </w:rPr>
              <w:t>×</w:t>
            </w:r>
            <w:r>
              <w:rPr>
                <w:rFonts w:hint="eastAsia" w:ascii="宋体" w:hAnsi="宋体"/>
                <w:color w:val="000000"/>
                <w:sz w:val="24"/>
                <w:szCs w:val="24"/>
              </w:rPr>
              <w:t>3.5cm的长方形凹槽，必要时可以添加生产企业名称、电话和出厂年月；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0" w:hRule="atLeast"/>
        </w:trPr>
        <w:tc>
          <w:tcPr>
            <w:tcW w:w="4870" w:type="dxa"/>
            <w:noWrap w:val="0"/>
            <w:vAlign w:val="top"/>
          </w:tcPr>
          <w:p>
            <w:pPr>
              <w:spacing w:line="360" w:lineRule="auto"/>
              <w:jc w:val="center"/>
              <w:rPr>
                <w:rFonts w:hint="eastAsia"/>
                <w:sz w:val="24"/>
                <w:szCs w:val="24"/>
              </w:rPr>
            </w:pPr>
            <w:r>
              <w:rPr>
                <w:rFonts w:hint="eastAsia" w:ascii="宋体" w:hAnsi="宋体" w:eastAsia="宋体"/>
                <w:sz w:val="24"/>
                <w:szCs w:val="24"/>
                <w:lang w:eastAsia="zh-CN"/>
              </w:rPr>
              <w:drawing>
                <wp:inline distT="0" distB="0" distL="114300" distR="114300">
                  <wp:extent cx="1830070" cy="2440305"/>
                  <wp:effectExtent l="0" t="0" r="17780" b="17145"/>
                  <wp:docPr id="13" name="图片 9" descr="6b125db508eeec97228c91a734df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6b125db508eeec97228c91a734dfbdb"/>
                          <pic:cNvPicPr>
                            <a:picLocks noChangeAspect="1"/>
                          </pic:cNvPicPr>
                        </pic:nvPicPr>
                        <pic:blipFill>
                          <a:blip r:embed="rId24"/>
                          <a:stretch>
                            <a:fillRect/>
                          </a:stretch>
                        </pic:blipFill>
                        <pic:spPr>
                          <a:xfrm>
                            <a:off x="0" y="0"/>
                            <a:ext cx="1830070" cy="2440305"/>
                          </a:xfrm>
                          <a:prstGeom prst="rect">
                            <a:avLst/>
                          </a:prstGeom>
                          <a:noFill/>
                          <a:ln>
                            <a:noFill/>
                          </a:ln>
                        </pic:spPr>
                      </pic:pic>
                    </a:graphicData>
                  </a:graphic>
                </wp:inline>
              </w:drawing>
            </w:r>
          </w:p>
        </w:tc>
        <w:tc>
          <w:tcPr>
            <w:tcW w:w="4870" w:type="dxa"/>
            <w:noWrap w:val="0"/>
            <w:vAlign w:val="center"/>
          </w:tcPr>
          <w:p>
            <w:pPr>
              <w:spacing w:after="60" w:line="360" w:lineRule="auto"/>
              <w:jc w:val="left"/>
              <w:rPr>
                <w:rFonts w:hint="eastAsia" w:eastAsia="宋体"/>
                <w:color w:val="000000"/>
                <w:sz w:val="24"/>
                <w:szCs w:val="24"/>
                <w:lang w:eastAsia="zh-CN"/>
              </w:rPr>
            </w:pPr>
            <w:r>
              <w:rPr>
                <w:rFonts w:hint="eastAsia" w:ascii="宋体" w:hAnsi="宋体"/>
                <w:color w:val="000000"/>
                <w:sz w:val="24"/>
                <w:szCs w:val="24"/>
              </w:rPr>
              <w:t>■</w:t>
            </w:r>
            <w:r>
              <w:rPr>
                <w:rFonts w:hint="eastAsia"/>
                <w:color w:val="000000"/>
                <w:sz w:val="24"/>
                <w:szCs w:val="24"/>
                <w:lang w:eastAsia="zh-CN"/>
              </w:rPr>
              <w:t>刻度线</w:t>
            </w:r>
          </w:p>
          <w:p>
            <w:pPr>
              <w:spacing w:line="360" w:lineRule="auto"/>
              <w:jc w:val="both"/>
              <w:rPr>
                <w:rFonts w:hint="eastAsia" w:ascii="宋体" w:hAnsi="宋体"/>
                <w:color w:val="000000"/>
                <w:sz w:val="24"/>
                <w:szCs w:val="24"/>
              </w:rPr>
            </w:pPr>
            <w:r>
              <w:rPr>
                <w:rFonts w:hint="eastAsia"/>
                <w:color w:val="000000"/>
                <w:sz w:val="24"/>
                <w:szCs w:val="24"/>
              </w:rPr>
              <w:t>桶体内部有垃圾桶生产一体成型的刻度线，从60L-220L每隔20L就有刻度线和升数，以便垃圾处理人员能通过垃圾密度系数，快速算出垃圾的重量。随时提醒垃圾桶的装货量，提高垃圾桶的使用寿命。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1" w:hRule="atLeast"/>
        </w:trPr>
        <w:tc>
          <w:tcPr>
            <w:tcW w:w="4870" w:type="dxa"/>
            <w:noWrap w:val="0"/>
            <w:vAlign w:val="center"/>
          </w:tcPr>
          <w:p>
            <w:pPr>
              <w:spacing w:line="360" w:lineRule="auto"/>
              <w:jc w:val="center"/>
              <w:rPr>
                <w:rFonts w:hint="eastAsia"/>
                <w:sz w:val="24"/>
                <w:szCs w:val="24"/>
              </w:rPr>
            </w:pPr>
            <w:r>
              <w:drawing>
                <wp:inline distT="0" distB="0" distL="114300" distR="114300">
                  <wp:extent cx="2487295" cy="1482090"/>
                  <wp:effectExtent l="0" t="0" r="8255" b="38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5"/>
                          <a:stretch>
                            <a:fillRect/>
                          </a:stretch>
                        </pic:blipFill>
                        <pic:spPr>
                          <a:xfrm>
                            <a:off x="0" y="0"/>
                            <a:ext cx="2487295" cy="1482090"/>
                          </a:xfrm>
                          <a:prstGeom prst="rect">
                            <a:avLst/>
                          </a:prstGeom>
                          <a:noFill/>
                          <a:ln>
                            <a:noFill/>
                          </a:ln>
                        </pic:spPr>
                      </pic:pic>
                    </a:graphicData>
                  </a:graphic>
                </wp:inline>
              </w:drawing>
            </w:r>
          </w:p>
        </w:tc>
        <w:tc>
          <w:tcPr>
            <w:tcW w:w="4870" w:type="dxa"/>
            <w:noWrap w:val="0"/>
            <w:vAlign w:val="top"/>
          </w:tcPr>
          <w:p>
            <w:pPr>
              <w:spacing w:line="360" w:lineRule="auto"/>
              <w:rPr>
                <w:rFonts w:hint="eastAsia" w:ascii="宋体" w:hAnsi="宋体"/>
                <w:color w:val="000000"/>
                <w:sz w:val="24"/>
                <w:szCs w:val="24"/>
              </w:rPr>
            </w:pPr>
          </w:p>
          <w:p>
            <w:pPr>
              <w:spacing w:line="360" w:lineRule="auto"/>
              <w:rPr>
                <w:color w:val="000000"/>
                <w:sz w:val="24"/>
                <w:szCs w:val="24"/>
              </w:rPr>
            </w:pPr>
            <w:r>
              <w:rPr>
                <w:rFonts w:hint="eastAsia" w:ascii="宋体" w:hAnsi="宋体"/>
                <w:color w:val="000000"/>
                <w:sz w:val="24"/>
                <w:szCs w:val="24"/>
              </w:rPr>
              <w:t>■</w:t>
            </w:r>
            <w:r>
              <w:rPr>
                <w:rFonts w:hint="eastAsia" w:ascii="宋体" w:hAnsi="宋体"/>
                <w:color w:val="000000"/>
                <w:sz w:val="24"/>
                <w:szCs w:val="22"/>
                <w:lang w:val="en-US" w:eastAsia="zh-CN"/>
              </w:rPr>
              <w:t>在桶的背面靠下有U型凹槽与钢轴配合形成提手装置，方便使用人员倾倒垃圾和搬运重物协助作业使用，减轻使用人员的负重，从而保护作业人员安全；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0" w:hRule="atLeast"/>
        </w:trPr>
        <w:tc>
          <w:tcPr>
            <w:tcW w:w="4870" w:type="dxa"/>
            <w:noWrap w:val="0"/>
            <w:vAlign w:val="center"/>
          </w:tcPr>
          <w:p>
            <w:pPr>
              <w:spacing w:line="360" w:lineRule="auto"/>
              <w:jc w:val="center"/>
              <w:rPr>
                <w:rFonts w:hint="eastAsia"/>
                <w:sz w:val="24"/>
                <w:szCs w:val="24"/>
              </w:rPr>
            </w:pPr>
            <w:r>
              <w:drawing>
                <wp:inline distT="0" distB="0" distL="114300" distR="114300">
                  <wp:extent cx="2600960" cy="347345"/>
                  <wp:effectExtent l="0" t="0" r="8890" b="146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6"/>
                          <a:stretch>
                            <a:fillRect/>
                          </a:stretch>
                        </pic:blipFill>
                        <pic:spPr>
                          <a:xfrm>
                            <a:off x="0" y="0"/>
                            <a:ext cx="2600960" cy="347345"/>
                          </a:xfrm>
                          <a:prstGeom prst="rect">
                            <a:avLst/>
                          </a:prstGeom>
                          <a:noFill/>
                          <a:ln>
                            <a:noFill/>
                          </a:ln>
                        </pic:spPr>
                      </pic:pic>
                    </a:graphicData>
                  </a:graphic>
                </wp:inline>
              </w:drawing>
            </w:r>
          </w:p>
        </w:tc>
        <w:tc>
          <w:tcPr>
            <w:tcW w:w="4870" w:type="dxa"/>
            <w:noWrap w:val="0"/>
            <w:vAlign w:val="top"/>
          </w:tcPr>
          <w:p>
            <w:pPr>
              <w:spacing w:line="360" w:lineRule="auto"/>
              <w:jc w:val="lef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轴采用Ф22低碳钢材，三次酸洗彻底清除氧化面，经过电镀锌特殊工艺制成的钢轮轴。坚固耐用、抗氧化、防锈功能，橡胶轮与底轴之间采用自然固定连接。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9" w:hRule="atLeast"/>
        </w:trPr>
        <w:tc>
          <w:tcPr>
            <w:tcW w:w="4870" w:type="dxa"/>
            <w:noWrap w:val="0"/>
            <w:vAlign w:val="center"/>
          </w:tcPr>
          <w:p>
            <w:pPr>
              <w:spacing w:line="360" w:lineRule="auto"/>
              <w:jc w:val="center"/>
              <w:rPr>
                <w:rFonts w:hint="eastAsia" w:ascii="宋体" w:hAnsi="宋体"/>
                <w:b/>
                <w:sz w:val="24"/>
                <w:szCs w:val="24"/>
              </w:rPr>
            </w:pPr>
            <w:r>
              <w:drawing>
                <wp:inline distT="0" distB="0" distL="114300" distR="114300">
                  <wp:extent cx="2561590" cy="2032635"/>
                  <wp:effectExtent l="0" t="0" r="10160" b="571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7"/>
                          <a:stretch>
                            <a:fillRect/>
                          </a:stretch>
                        </pic:blipFill>
                        <pic:spPr>
                          <a:xfrm>
                            <a:off x="0" y="0"/>
                            <a:ext cx="2561590" cy="2032635"/>
                          </a:xfrm>
                          <a:prstGeom prst="rect">
                            <a:avLst/>
                          </a:prstGeom>
                          <a:noFill/>
                          <a:ln>
                            <a:noFill/>
                          </a:ln>
                        </pic:spPr>
                      </pic:pic>
                    </a:graphicData>
                  </a:graphic>
                </wp:inline>
              </w:drawing>
            </w:r>
          </w:p>
        </w:tc>
        <w:tc>
          <w:tcPr>
            <w:tcW w:w="4870" w:type="dxa"/>
            <w:noWrap w:val="0"/>
            <w:vAlign w:val="top"/>
          </w:tcPr>
          <w:p>
            <w:pPr>
              <w:spacing w:line="360" w:lineRule="auto"/>
              <w:jc w:val="left"/>
              <w:rPr>
                <w:rFonts w:hint="eastAsia" w:ascii="宋体" w:hAnsi="宋体"/>
                <w:sz w:val="24"/>
                <w:szCs w:val="24"/>
              </w:rPr>
            </w:pPr>
            <w:r>
              <w:rPr>
                <w:rFonts w:hint="eastAsia" w:ascii="宋体" w:hAnsi="宋体"/>
                <w:b/>
                <w:sz w:val="24"/>
                <w:szCs w:val="24"/>
              </w:rPr>
              <w:t>■</w:t>
            </w:r>
            <w:r>
              <w:rPr>
                <w:rFonts w:ascii="宋体" w:hAnsi="宋体" w:cs="Arial"/>
                <w:sz w:val="24"/>
                <w:szCs w:val="24"/>
              </w:rPr>
              <w:t>轮胎采用来自热带地区生产的天然橡胶，按照相当于生产汽车轮胎的技术标准制造而成的橡胶实心轮胎</w:t>
            </w:r>
            <w:r>
              <w:rPr>
                <w:rFonts w:hint="eastAsia" w:ascii="宋体" w:hAnsi="宋体" w:cs="Arial"/>
                <w:sz w:val="24"/>
                <w:szCs w:val="24"/>
              </w:rPr>
              <w:t>。规格：ф200*50*100mm，内圈聚乙烯，内置钢套，外圈橡胶轮；</w:t>
            </w:r>
            <w:r>
              <w:rPr>
                <w:rFonts w:ascii="宋体" w:hAnsi="宋体" w:cs="Arial"/>
                <w:sz w:val="24"/>
                <w:szCs w:val="24"/>
              </w:rPr>
              <w:t>轮盘采用100%进口高密度聚乙烯HDPE原生料，利用独特的工艺，一次注塑成型，是其他同类产品所不能比拟的。</w:t>
            </w:r>
            <w:r>
              <w:rPr>
                <w:rFonts w:hint="eastAsia" w:ascii="宋体" w:hAnsi="宋体" w:cs="Arial"/>
                <w:sz w:val="24"/>
                <w:szCs w:val="24"/>
              </w:rPr>
              <w:t>橡</w:t>
            </w:r>
            <w:r>
              <w:rPr>
                <w:rFonts w:ascii="宋体" w:hAnsi="宋体" w:cs="Arial"/>
                <w:sz w:val="24"/>
                <w:szCs w:val="24"/>
              </w:rPr>
              <w:t>胶硬度测试达到65±5以确保清运过程动作平稳，便于清洗。</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hAnsi="宋体" w:eastAsia="宋体" w:cs="宋体"/>
          <w:color w:val="000000"/>
          <w:sz w:val="24"/>
          <w:szCs w:val="24"/>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hAnsi="宋体" w:eastAsia="宋体" w:cs="宋体"/>
          <w:color w:val="000000"/>
          <w:sz w:val="24"/>
          <w:szCs w:val="24"/>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黑体"/>
          <w:b/>
          <w:color w:val="000000"/>
          <w:kern w:val="2"/>
          <w:sz w:val="44"/>
          <w:szCs w:val="44"/>
          <w:lang w:val="en-US" w:eastAsia="zh-CN" w:bidi="ar-SA"/>
        </w:rPr>
      </w:pPr>
      <w:r>
        <w:rPr>
          <w:rFonts w:hint="eastAsia" w:ascii="宋体" w:hAnsi="宋体" w:eastAsia="宋体" w:cs="黑体"/>
          <w:b/>
          <w:color w:val="000000"/>
          <w:kern w:val="2"/>
          <w:sz w:val="44"/>
          <w:szCs w:val="44"/>
          <w:lang w:val="en-US" w:eastAsia="zh-CN" w:bidi="ar-SA"/>
        </w:rPr>
        <w:t>660L塑料垃圾桶</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000000"/>
          <w:sz w:val="24"/>
          <w:szCs w:val="24"/>
          <w:lang w:val="en-US" w:eastAsia="zh-CN"/>
        </w:rPr>
      </w:pPr>
      <w:r>
        <w:rPr>
          <w:rFonts w:hint="eastAsia" w:hAnsi="宋体" w:eastAsia="宋体" w:cs="宋体"/>
          <w:color w:val="000000"/>
          <w:sz w:val="24"/>
          <w:szCs w:val="24"/>
          <w:lang w:val="en-US" w:eastAsia="zh-CN"/>
        </w:rPr>
        <w:t>1.产品</w:t>
      </w:r>
      <w:r>
        <w:rPr>
          <w:rFonts w:hint="eastAsia" w:ascii="宋体" w:hAnsi="宋体" w:eastAsia="宋体" w:cs="宋体"/>
          <w:color w:val="000000"/>
          <w:sz w:val="24"/>
          <w:szCs w:val="24"/>
          <w:lang w:val="en-US" w:eastAsia="zh-CN"/>
        </w:rPr>
        <w:t>主要技术参数说明</w:t>
      </w:r>
    </w:p>
    <w:p>
      <w:pPr>
        <w:pStyle w:val="6"/>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0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产品名称：</w:t>
      </w:r>
      <w:r>
        <w:rPr>
          <w:rFonts w:hint="eastAsia" w:hAnsi="宋体" w:eastAsia="宋体" w:cs="宋体"/>
          <w:color w:val="000000"/>
          <w:sz w:val="24"/>
          <w:szCs w:val="24"/>
          <w:lang w:val="en-US" w:eastAsia="zh-CN"/>
        </w:rPr>
        <w:t>660L塑料</w:t>
      </w:r>
      <w:r>
        <w:rPr>
          <w:rFonts w:hint="eastAsia" w:ascii="宋体" w:hAnsi="宋体" w:eastAsia="宋体" w:cs="宋体"/>
          <w:color w:val="000000"/>
          <w:sz w:val="24"/>
          <w:szCs w:val="24"/>
        </w:rPr>
        <w:t>垃圾桶</w:t>
      </w:r>
    </w:p>
    <w:p>
      <w:pPr>
        <w:pStyle w:val="6"/>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0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规格尺寸：</w:t>
      </w:r>
      <w:r>
        <w:rPr>
          <w:rFonts w:hint="eastAsia" w:ascii="宋体" w:hAnsi="宋体" w:eastAsia="宋体" w:cs="宋体"/>
          <w:sz w:val="24"/>
          <w:szCs w:val="24"/>
          <w:lang w:val="en-US" w:eastAsia="zh-CN"/>
        </w:rPr>
        <w:t>L</w:t>
      </w:r>
      <w:r>
        <w:rPr>
          <w:rFonts w:hint="eastAsia" w:hAnsi="宋体" w:eastAsia="宋体" w:cs="宋体"/>
          <w:sz w:val="24"/>
          <w:szCs w:val="24"/>
          <w:lang w:val="en-US" w:eastAsia="zh-CN"/>
        </w:rPr>
        <w:t>1220</w:t>
      </w:r>
      <w:r>
        <w:rPr>
          <w:rFonts w:hint="eastAsia" w:ascii="宋体" w:hAnsi="宋体" w:eastAsia="宋体" w:cs="宋体"/>
          <w:sz w:val="24"/>
          <w:szCs w:val="24"/>
          <w:lang w:val="en-US" w:eastAsia="zh-CN"/>
        </w:rPr>
        <w:t>*W</w:t>
      </w:r>
      <w:r>
        <w:rPr>
          <w:rFonts w:hint="eastAsia" w:hAnsi="宋体" w:eastAsia="宋体" w:cs="宋体"/>
          <w:sz w:val="24"/>
          <w:szCs w:val="24"/>
          <w:lang w:val="en-US" w:eastAsia="zh-CN"/>
        </w:rPr>
        <w:t>785</w:t>
      </w:r>
      <w:r>
        <w:rPr>
          <w:rFonts w:hint="eastAsia" w:ascii="宋体" w:hAnsi="宋体" w:eastAsia="宋体" w:cs="宋体"/>
          <w:sz w:val="24"/>
          <w:szCs w:val="24"/>
          <w:lang w:val="en-US" w:eastAsia="zh-CN"/>
        </w:rPr>
        <w:t>*H</w:t>
      </w:r>
      <w:r>
        <w:rPr>
          <w:rFonts w:hint="eastAsia" w:hAnsi="宋体" w:eastAsia="宋体" w:cs="宋体"/>
          <w:sz w:val="24"/>
          <w:szCs w:val="24"/>
          <w:lang w:val="en-US" w:eastAsia="zh-CN"/>
        </w:rPr>
        <w:t>1230</w:t>
      </w:r>
      <w:r>
        <w:rPr>
          <w:rFonts w:hint="eastAsia" w:ascii="宋体" w:hAnsi="宋体" w:eastAsia="宋体" w:cs="宋体"/>
          <w:sz w:val="24"/>
          <w:szCs w:val="24"/>
          <w:lang w:val="en-US" w:eastAsia="zh-CN"/>
        </w:rPr>
        <w:t>（mm）</w:t>
      </w:r>
    </w:p>
    <w:p>
      <w:pPr>
        <w:pStyle w:val="6"/>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0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产品重量：单桶净重量：</w:t>
      </w:r>
      <w:r>
        <w:rPr>
          <w:rFonts w:hint="eastAsia" w:hAnsi="宋体" w:eastAsia="宋体" w:cs="宋体"/>
          <w:sz w:val="24"/>
          <w:szCs w:val="24"/>
          <w:lang w:val="en-US" w:eastAsia="zh-CN"/>
        </w:rPr>
        <w:t>22.50</w:t>
      </w:r>
      <w:r>
        <w:rPr>
          <w:rFonts w:hint="eastAsia" w:ascii="宋体" w:hAnsi="宋体" w:eastAsia="宋体" w:cs="宋体"/>
          <w:sz w:val="24"/>
          <w:szCs w:val="24"/>
          <w:lang w:val="en-US" w:eastAsia="zh-CN"/>
        </w:rPr>
        <w:t>kg，总重量：</w:t>
      </w:r>
      <w:r>
        <w:rPr>
          <w:rFonts w:hint="eastAsia" w:hAnsi="宋体" w:eastAsia="宋体" w:cs="宋体"/>
          <w:sz w:val="24"/>
          <w:szCs w:val="24"/>
          <w:lang w:val="en-US" w:eastAsia="zh-CN"/>
        </w:rPr>
        <w:t>42.00</w:t>
      </w:r>
      <w:r>
        <w:rPr>
          <w:rFonts w:hint="eastAsia" w:ascii="宋体" w:hAnsi="宋体" w:eastAsia="宋体" w:cs="宋体"/>
          <w:sz w:val="24"/>
          <w:szCs w:val="24"/>
          <w:lang w:val="en-US" w:eastAsia="zh-CN"/>
        </w:rPr>
        <w:t>kg（注：净重量只包含桶身，不包括滚轮、轮轴、铰链等零部件重量。）</w:t>
      </w:r>
    </w:p>
    <w:p>
      <w:pPr>
        <w:pStyle w:val="6"/>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00" w:firstLineChars="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设计结构：</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符合国家城镇建设行业CJ/T280-2008《塑料垃圾桶通用技术条件》标准要求。</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型式：</w:t>
      </w:r>
      <w:r>
        <w:rPr>
          <w:rFonts w:hint="eastAsia" w:hAnsi="宋体" w:eastAsia="宋体" w:cs="宋体"/>
          <w:sz w:val="24"/>
          <w:szCs w:val="24"/>
          <w:lang w:val="en-US" w:eastAsia="zh-CN"/>
        </w:rPr>
        <w:t>660L</w:t>
      </w:r>
      <w:r>
        <w:rPr>
          <w:rFonts w:hint="eastAsia" w:ascii="宋体" w:hAnsi="宋体" w:eastAsia="宋体" w:cs="宋体"/>
          <w:sz w:val="24"/>
          <w:szCs w:val="24"/>
          <w:lang w:val="en-US" w:eastAsia="zh-CN"/>
        </w:rPr>
        <w:t>移动式塑料垃圾桶，包括桶身、桶盖、铰链、手柄、滚轮及轮轴。</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额定容积：</w:t>
      </w:r>
      <w:r>
        <w:rPr>
          <w:rFonts w:hint="eastAsia" w:hAnsi="宋体" w:eastAsia="宋体" w:cs="宋体"/>
          <w:sz w:val="24"/>
          <w:szCs w:val="24"/>
          <w:lang w:val="en-US" w:eastAsia="zh-CN"/>
        </w:rPr>
        <w:t>660</w:t>
      </w:r>
      <w:r>
        <w:rPr>
          <w:rFonts w:hint="eastAsia" w:ascii="宋体" w:hAnsi="宋体" w:eastAsia="宋体" w:cs="宋体"/>
          <w:sz w:val="24"/>
          <w:szCs w:val="24"/>
          <w:lang w:val="en-US" w:eastAsia="zh-CN"/>
        </w:rPr>
        <w:t>L</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桶盖开启方式：手开式。</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桶身及桶盖采用100%高密度聚乙烯（HDPE）原生料一次性注塑成型。原料中添加专业配方的阻燃母料（稳定剂和戊溴醚/Sb₂O₃（3/1），使产品具有阻燃功能；</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塑料垃圾桶表面光滑平整、色泽均匀、耐腐蚀且具有良好的冲击韧性。</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塑料垃圾桶抗冷热、抗老化、抗褪色等理化性能稳定，原材料中添加4%德国巴斯夫高质量防紫外线原料及抗老化剂、阻燃母料等，颜料色素占5%以确保塑料桶颜色保持鲜艳耐久不褪色长达6年。</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桶身壁厚≥</w:t>
      </w:r>
      <w:r>
        <w:rPr>
          <w:rFonts w:hint="eastAsia" w:hAnsi="宋体" w:eastAsia="宋体" w:cs="宋体"/>
          <w:sz w:val="24"/>
          <w:szCs w:val="24"/>
          <w:lang w:val="en-US" w:eastAsia="zh-CN"/>
        </w:rPr>
        <w:t>5.3</w:t>
      </w:r>
      <w:r>
        <w:rPr>
          <w:rFonts w:hint="eastAsia" w:ascii="宋体" w:hAnsi="宋体" w:eastAsia="宋体" w:cs="宋体"/>
          <w:sz w:val="24"/>
          <w:szCs w:val="24"/>
          <w:lang w:val="en-US" w:eastAsia="zh-CN"/>
        </w:rPr>
        <w:t>mm，</w:t>
      </w:r>
      <w:r>
        <w:rPr>
          <w:rFonts w:hint="eastAsia" w:hAnsi="宋体" w:eastAsia="宋体" w:cs="宋体"/>
          <w:sz w:val="24"/>
          <w:szCs w:val="24"/>
          <w:lang w:val="en-US" w:eastAsia="zh-CN"/>
        </w:rPr>
        <w:t>邵氏硬度</w:t>
      </w:r>
      <w:r>
        <w:rPr>
          <w:rFonts w:hint="eastAsia" w:ascii="宋体" w:hAnsi="宋体" w:eastAsia="宋体" w:cs="宋体"/>
          <w:sz w:val="24"/>
          <w:szCs w:val="24"/>
          <w:lang w:val="en-US" w:eastAsia="zh-CN"/>
        </w:rPr>
        <w:t>≥</w:t>
      </w:r>
      <w:r>
        <w:rPr>
          <w:rFonts w:hint="eastAsia" w:hAnsi="宋体" w:eastAsia="宋体" w:cs="宋体"/>
          <w:sz w:val="24"/>
          <w:szCs w:val="24"/>
          <w:lang w:val="en-US" w:eastAsia="zh-CN"/>
        </w:rPr>
        <w:t>55</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桶盖提手配有加强筋，顶部外沿每边设纵向加强筋</w:t>
      </w:r>
      <w:r>
        <w:rPr>
          <w:rFonts w:hint="eastAsia" w:hAnsi="宋体" w:eastAsia="宋体" w:cs="宋体"/>
          <w:sz w:val="24"/>
          <w:szCs w:val="24"/>
          <w:lang w:val="en-US" w:eastAsia="zh-CN"/>
        </w:rPr>
        <w:t>共7</w:t>
      </w:r>
      <w:r>
        <w:rPr>
          <w:rFonts w:hint="eastAsia" w:ascii="宋体" w:hAnsi="宋体" w:eastAsia="宋体" w:cs="宋体"/>
          <w:sz w:val="24"/>
          <w:szCs w:val="24"/>
          <w:lang w:val="en-US" w:eastAsia="zh-CN"/>
        </w:rPr>
        <w:t>条，加强筋厚度达到6.</w:t>
      </w:r>
      <w:r>
        <w:rPr>
          <w:rFonts w:hint="eastAsia" w:hAnsi="宋体" w:eastAsia="宋体" w:cs="宋体"/>
          <w:sz w:val="24"/>
          <w:szCs w:val="24"/>
          <w:lang w:val="en-US" w:eastAsia="zh-CN"/>
        </w:rPr>
        <w:t>35</w:t>
      </w:r>
      <w:r>
        <w:rPr>
          <w:rFonts w:hint="eastAsia" w:ascii="宋体" w:hAnsi="宋体" w:eastAsia="宋体" w:cs="宋体"/>
          <w:sz w:val="24"/>
          <w:szCs w:val="24"/>
          <w:lang w:val="en-US" w:eastAsia="zh-CN"/>
        </w:rPr>
        <w:t>mm；桶盖与桶身之间采用四条铰链链接，以增强链接处的牢固度</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寿命。</w:t>
      </w:r>
      <w:r>
        <w:rPr>
          <w:rFonts w:hint="eastAsia" w:ascii="宋体" w:hAnsi="宋体" w:eastAsia="宋体" w:cs="宋体"/>
          <w:sz w:val="24"/>
          <w:szCs w:val="24"/>
        </w:rPr>
        <w:t>手柄采用两段不连接形式，</w:t>
      </w:r>
      <w:r>
        <w:rPr>
          <w:rFonts w:hint="eastAsia" w:ascii="宋体" w:hAnsi="宋体" w:eastAsia="宋体" w:cs="宋体"/>
          <w:sz w:val="24"/>
          <w:szCs w:val="24"/>
          <w:lang w:eastAsia="zh-CN"/>
        </w:rPr>
        <w:t>使手掌能舒适的掌握，手掌力充分全部发挥力。</w:t>
      </w:r>
    </w:p>
    <w:p>
      <w:pPr>
        <w:pStyle w:val="6"/>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hAnsi="宋体"/>
          <w:sz w:val="24"/>
          <w:szCs w:val="24"/>
          <w:lang w:val="en-US" w:eastAsia="zh-CN"/>
        </w:rPr>
        <w:t>轮子：</w:t>
      </w:r>
      <w:r>
        <w:rPr>
          <w:rFonts w:hint="eastAsia" w:ascii="宋体" w:hAnsi="宋体"/>
          <w:sz w:val="24"/>
          <w:szCs w:val="24"/>
        </w:rPr>
        <w:t>毂及辋圈为高密度聚乙稀材质；轮胎为</w:t>
      </w:r>
      <w:r>
        <w:rPr>
          <w:rFonts w:ascii="宋体" w:hAnsi="宋体"/>
          <w:sz w:val="24"/>
          <w:szCs w:val="24"/>
        </w:rPr>
        <w:t>100%</w:t>
      </w:r>
      <w:r>
        <w:rPr>
          <w:rFonts w:hint="eastAsia" w:ascii="宋体" w:hAnsi="宋体"/>
          <w:sz w:val="24"/>
          <w:szCs w:val="24"/>
        </w:rPr>
        <w:t>橡胶材质，直径Φ</w:t>
      </w:r>
      <w:r>
        <w:rPr>
          <w:rFonts w:ascii="宋体" w:hAnsi="宋体"/>
          <w:sz w:val="24"/>
          <w:szCs w:val="24"/>
        </w:rPr>
        <w:t>200mm</w:t>
      </w:r>
      <w:r>
        <w:rPr>
          <w:rFonts w:hint="eastAsia" w:ascii="宋体" w:hAnsi="宋体"/>
          <w:sz w:val="24"/>
          <w:szCs w:val="24"/>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hAnsi="宋体" w:eastAsia="宋体"/>
          <w:sz w:val="24"/>
          <w:szCs w:val="24"/>
          <w:lang w:val="en-US"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12"/>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8" w:type="dxa"/>
          </w:tcPr>
          <w:p>
            <w:pPr>
              <w:pStyle w:val="6"/>
              <w:jc w:val="both"/>
              <w:rPr>
                <w:rFonts w:hint="eastAsia" w:hAnsi="宋体" w:eastAsiaTheme="minorEastAsia"/>
                <w:color w:val="000000"/>
                <w:sz w:val="40"/>
                <w:vertAlign w:val="baseline"/>
                <w:lang w:eastAsia="zh-CN"/>
              </w:rPr>
            </w:pPr>
            <w:r>
              <w:rPr>
                <w:rFonts w:hint="eastAsia" w:hAnsi="宋体" w:eastAsiaTheme="minorEastAsia"/>
                <w:color w:val="000000"/>
                <w:sz w:val="40"/>
                <w:vertAlign w:val="baseline"/>
                <w:lang w:eastAsia="zh-CN"/>
              </w:rPr>
              <w:drawing>
                <wp:inline distT="0" distB="0" distL="114300" distR="114300">
                  <wp:extent cx="2535555" cy="1901825"/>
                  <wp:effectExtent l="0" t="0" r="17145" b="3175"/>
                  <wp:docPr id="16" name="图片 16" descr="IMG_20160307_15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60307_151102"/>
                          <pic:cNvPicPr>
                            <a:picLocks noChangeAspect="1"/>
                          </pic:cNvPicPr>
                        </pic:nvPicPr>
                        <pic:blipFill>
                          <a:blip r:embed="rId28"/>
                          <a:stretch>
                            <a:fillRect/>
                          </a:stretch>
                        </pic:blipFill>
                        <pic:spPr>
                          <a:xfrm>
                            <a:off x="0" y="0"/>
                            <a:ext cx="2535555" cy="1901825"/>
                          </a:xfrm>
                          <a:prstGeom prst="rect">
                            <a:avLst/>
                          </a:prstGeom>
                        </pic:spPr>
                      </pic:pic>
                    </a:graphicData>
                  </a:graphic>
                </wp:inline>
              </w:drawing>
            </w:r>
          </w:p>
        </w:tc>
        <w:tc>
          <w:tcPr>
            <w:tcW w:w="4258" w:type="dxa"/>
          </w:tcPr>
          <w:p>
            <w:pPr>
              <w:pStyle w:val="6"/>
              <w:jc w:val="both"/>
              <w:rPr>
                <w:rFonts w:hint="eastAsia" w:hAnsi="宋体"/>
                <w:color w:val="000000"/>
                <w:sz w:val="40"/>
                <w:vertAlign w:val="baseline"/>
              </w:rPr>
            </w:pPr>
            <w:r>
              <w:rPr>
                <w:rFonts w:hint="eastAsia" w:hAnsi="宋体"/>
                <w:color w:val="000000"/>
                <w:sz w:val="28"/>
                <w:szCs w:val="28"/>
                <w:vertAlign w:val="baseline"/>
                <w:lang w:eastAsia="zh-CN"/>
              </w:rPr>
              <w:t>垃圾桶采用</w:t>
            </w:r>
            <w:r>
              <w:rPr>
                <w:rFonts w:hint="eastAsia" w:hAnsi="宋体"/>
                <w:color w:val="000000"/>
                <w:sz w:val="28"/>
                <w:szCs w:val="28"/>
                <w:vertAlign w:val="baseline"/>
                <w:lang w:val="en-US" w:eastAsia="zh-CN"/>
              </w:rPr>
              <w:t>100%高密度聚乙烯材料一次性注模成型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8" w:type="dxa"/>
          </w:tcPr>
          <w:p>
            <w:pPr>
              <w:pStyle w:val="6"/>
              <w:jc w:val="both"/>
              <w:rPr>
                <w:rFonts w:hint="eastAsia" w:hAnsi="宋体" w:eastAsiaTheme="minorEastAsia"/>
                <w:color w:val="000000"/>
                <w:sz w:val="40"/>
                <w:vertAlign w:val="baseline"/>
                <w:lang w:eastAsia="zh-CN"/>
              </w:rPr>
            </w:pPr>
            <w:r>
              <w:rPr>
                <w:rFonts w:hint="eastAsia" w:hAnsi="宋体" w:eastAsiaTheme="minorEastAsia"/>
                <w:color w:val="000000"/>
                <w:sz w:val="40"/>
                <w:vertAlign w:val="baseline"/>
                <w:lang w:eastAsia="zh-CN"/>
              </w:rPr>
              <w:drawing>
                <wp:inline distT="0" distB="0" distL="114300" distR="114300">
                  <wp:extent cx="2535555" cy="1901825"/>
                  <wp:effectExtent l="0" t="0" r="17145" b="3175"/>
                  <wp:docPr id="17" name="图片 17" descr="IMG_20160307_1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60307_151042"/>
                          <pic:cNvPicPr>
                            <a:picLocks noChangeAspect="1"/>
                          </pic:cNvPicPr>
                        </pic:nvPicPr>
                        <pic:blipFill>
                          <a:blip r:embed="rId29"/>
                          <a:stretch>
                            <a:fillRect/>
                          </a:stretch>
                        </pic:blipFill>
                        <pic:spPr>
                          <a:xfrm>
                            <a:off x="0" y="0"/>
                            <a:ext cx="2535555" cy="1901825"/>
                          </a:xfrm>
                          <a:prstGeom prst="rect">
                            <a:avLst/>
                          </a:prstGeom>
                        </pic:spPr>
                      </pic:pic>
                    </a:graphicData>
                  </a:graphic>
                </wp:inline>
              </w:drawing>
            </w:r>
          </w:p>
        </w:tc>
        <w:tc>
          <w:tcPr>
            <w:tcW w:w="4258" w:type="dxa"/>
          </w:tcPr>
          <w:p>
            <w:pPr>
              <w:pStyle w:val="6"/>
              <w:jc w:val="both"/>
              <w:rPr>
                <w:rFonts w:hint="eastAsia" w:asciiTheme="minorEastAsia" w:hAnsiTheme="minorEastAsia" w:eastAsiaTheme="minorEastAsia" w:cstheme="minorEastAsia"/>
                <w:color w:val="000000"/>
                <w:sz w:val="28"/>
                <w:szCs w:val="28"/>
                <w:vertAlign w:val="baseline"/>
                <w:lang w:eastAsia="zh-CN"/>
              </w:rPr>
            </w:pPr>
            <w:r>
              <w:rPr>
                <w:rFonts w:hint="eastAsia" w:asciiTheme="minorEastAsia" w:hAnsiTheme="minorEastAsia" w:cstheme="minorEastAsia"/>
                <w:color w:val="000000"/>
                <w:sz w:val="28"/>
                <w:szCs w:val="28"/>
                <w:vertAlign w:val="baseline"/>
                <w:lang w:eastAsia="zh-CN"/>
              </w:rPr>
              <w:t>桶身与桶盖设计有四条连接筋，桶身正面和背面独特设计新添置加强肋骨，使桶的四周能承受更大的冲击力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8" w:type="dxa"/>
          </w:tcPr>
          <w:p>
            <w:pPr>
              <w:pStyle w:val="6"/>
              <w:jc w:val="both"/>
              <w:rPr>
                <w:rFonts w:hint="eastAsia" w:hAnsi="宋体" w:eastAsiaTheme="minorEastAsia"/>
                <w:color w:val="000000"/>
                <w:sz w:val="40"/>
                <w:vertAlign w:val="baseline"/>
                <w:lang w:eastAsia="zh-CN"/>
              </w:rPr>
            </w:pPr>
            <w:r>
              <w:rPr>
                <w:rFonts w:hint="eastAsia" w:hAnsi="宋体" w:eastAsiaTheme="minorEastAsia"/>
                <w:color w:val="000000"/>
                <w:sz w:val="40"/>
                <w:vertAlign w:val="baseline"/>
                <w:lang w:eastAsia="zh-CN"/>
              </w:rPr>
              <w:drawing>
                <wp:inline distT="0" distB="0" distL="114300" distR="114300">
                  <wp:extent cx="2535555" cy="1901825"/>
                  <wp:effectExtent l="0" t="0" r="17145" b="3175"/>
                  <wp:docPr id="18" name="图片 18" descr="IMG_20160307_15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60307_151210"/>
                          <pic:cNvPicPr>
                            <a:picLocks noChangeAspect="1"/>
                          </pic:cNvPicPr>
                        </pic:nvPicPr>
                        <pic:blipFill>
                          <a:blip r:embed="rId30"/>
                          <a:stretch>
                            <a:fillRect/>
                          </a:stretch>
                        </pic:blipFill>
                        <pic:spPr>
                          <a:xfrm>
                            <a:off x="0" y="0"/>
                            <a:ext cx="2535555" cy="1901825"/>
                          </a:xfrm>
                          <a:prstGeom prst="rect">
                            <a:avLst/>
                          </a:prstGeom>
                        </pic:spPr>
                      </pic:pic>
                    </a:graphicData>
                  </a:graphic>
                </wp:inline>
              </w:drawing>
            </w:r>
          </w:p>
          <w:p>
            <w:pPr>
              <w:pStyle w:val="6"/>
              <w:jc w:val="both"/>
              <w:rPr>
                <w:rFonts w:hint="eastAsia" w:hAnsi="宋体" w:eastAsiaTheme="minorEastAsia"/>
                <w:color w:val="000000"/>
                <w:sz w:val="40"/>
                <w:vertAlign w:val="baseline"/>
                <w:lang w:eastAsia="zh-CN"/>
              </w:rPr>
            </w:pPr>
            <w:r>
              <w:rPr>
                <w:rFonts w:hint="eastAsia" w:hAnsi="宋体" w:eastAsiaTheme="minorEastAsia"/>
                <w:color w:val="000000"/>
                <w:sz w:val="40"/>
                <w:vertAlign w:val="baseline"/>
                <w:lang w:eastAsia="zh-CN"/>
              </w:rPr>
              <w:drawing>
                <wp:inline distT="0" distB="0" distL="114300" distR="114300">
                  <wp:extent cx="2535555" cy="1901825"/>
                  <wp:effectExtent l="0" t="0" r="17145" b="3175"/>
                  <wp:docPr id="19" name="图片 19" descr="IMG_20160307_15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60307_151232"/>
                          <pic:cNvPicPr>
                            <a:picLocks noChangeAspect="1"/>
                          </pic:cNvPicPr>
                        </pic:nvPicPr>
                        <pic:blipFill>
                          <a:blip r:embed="rId31"/>
                          <a:stretch>
                            <a:fillRect/>
                          </a:stretch>
                        </pic:blipFill>
                        <pic:spPr>
                          <a:xfrm>
                            <a:off x="0" y="0"/>
                            <a:ext cx="2535555" cy="1901825"/>
                          </a:xfrm>
                          <a:prstGeom prst="rect">
                            <a:avLst/>
                          </a:prstGeom>
                        </pic:spPr>
                      </pic:pic>
                    </a:graphicData>
                  </a:graphic>
                </wp:inline>
              </w:drawing>
            </w:r>
          </w:p>
          <w:p>
            <w:pPr>
              <w:pStyle w:val="6"/>
              <w:jc w:val="both"/>
              <w:rPr>
                <w:rFonts w:hint="eastAsia" w:hAnsi="宋体" w:eastAsiaTheme="minorEastAsia"/>
                <w:color w:val="000000"/>
                <w:sz w:val="40"/>
                <w:vertAlign w:val="baseline"/>
                <w:lang w:eastAsia="zh-CN"/>
              </w:rPr>
            </w:pPr>
          </w:p>
        </w:tc>
        <w:tc>
          <w:tcPr>
            <w:tcW w:w="4258" w:type="dxa"/>
          </w:tcPr>
          <w:p>
            <w:pPr>
              <w:pStyle w:val="6"/>
              <w:jc w:val="both"/>
              <w:rPr>
                <w:rFonts w:hint="eastAsia" w:hAnsi="宋体" w:eastAsiaTheme="minorEastAsia"/>
                <w:color w:val="000000"/>
                <w:sz w:val="40"/>
                <w:vertAlign w:val="baseline"/>
                <w:lang w:eastAsia="zh-CN"/>
              </w:rPr>
            </w:pPr>
            <w:r>
              <w:rPr>
                <w:rFonts w:hint="eastAsia" w:asciiTheme="minorEastAsia" w:hAnsiTheme="minorEastAsia" w:eastAsiaTheme="minorEastAsia" w:cstheme="minorEastAsia"/>
                <w:color w:val="000000"/>
                <w:sz w:val="28"/>
                <w:szCs w:val="28"/>
                <w:vertAlign w:val="baseline"/>
                <w:lang w:eastAsia="zh-CN"/>
              </w:rPr>
              <w:t>塑料垃圾桶裙边设计有双条加强筋，厚度</w:t>
            </w:r>
            <w:r>
              <w:rPr>
                <w:rFonts w:hint="eastAsia" w:asciiTheme="minorEastAsia" w:hAnsiTheme="minorEastAsia" w:eastAsiaTheme="minorEastAsia" w:cstheme="minorEastAsia"/>
                <w:color w:val="000000"/>
                <w:sz w:val="28"/>
                <w:szCs w:val="28"/>
                <w:vertAlign w:val="baseline"/>
                <w:lang w:val="en-US" w:eastAsia="zh-CN"/>
              </w:rPr>
              <w:t>6mm以上，增强垃圾桶的使用寿命，</w:t>
            </w:r>
            <w:r>
              <w:rPr>
                <w:rFonts w:hint="eastAsia" w:asciiTheme="minorEastAsia" w:hAnsiTheme="minorEastAsia" w:cstheme="minorEastAsia"/>
                <w:sz w:val="28"/>
                <w:szCs w:val="28"/>
                <w:lang w:val="en-US" w:eastAsia="zh-CN"/>
              </w:rPr>
              <w:t>正面</w:t>
            </w:r>
            <w:r>
              <w:rPr>
                <w:rFonts w:hint="eastAsia" w:asciiTheme="minorEastAsia" w:hAnsiTheme="minorEastAsia" w:eastAsiaTheme="minorEastAsia" w:cstheme="minorEastAsia"/>
                <w:sz w:val="28"/>
                <w:szCs w:val="28"/>
                <w:lang w:val="en-US" w:eastAsia="zh-CN"/>
              </w:rPr>
              <w:t>外沿设纵向加强筋共7条</w:t>
            </w:r>
            <w:r>
              <w:rPr>
                <w:rFonts w:hint="eastAsia" w:asciiTheme="minorEastAsia" w:hAnsiTheme="minorEastAsia" w:cstheme="minorEastAsia"/>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8" w:type="dxa"/>
          </w:tcPr>
          <w:p>
            <w:pPr>
              <w:pStyle w:val="6"/>
              <w:jc w:val="both"/>
              <w:rPr>
                <w:rFonts w:hint="eastAsia" w:hAnsi="宋体" w:eastAsiaTheme="minorEastAsia"/>
                <w:color w:val="000000"/>
                <w:sz w:val="40"/>
                <w:vertAlign w:val="baseline"/>
                <w:lang w:eastAsia="zh-CN"/>
              </w:rPr>
            </w:pPr>
            <w:r>
              <w:rPr>
                <w:rFonts w:hint="eastAsia" w:hAnsi="宋体" w:eastAsiaTheme="minorEastAsia"/>
                <w:color w:val="000000"/>
                <w:sz w:val="40"/>
                <w:vertAlign w:val="baseline"/>
                <w:lang w:eastAsia="zh-CN"/>
              </w:rPr>
              <w:drawing>
                <wp:inline distT="0" distB="0" distL="114300" distR="114300">
                  <wp:extent cx="2535555" cy="1901825"/>
                  <wp:effectExtent l="0" t="0" r="17145" b="3175"/>
                  <wp:docPr id="20" name="图片 20" descr="IMG_20160307_15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60307_151232"/>
                          <pic:cNvPicPr>
                            <a:picLocks noChangeAspect="1"/>
                          </pic:cNvPicPr>
                        </pic:nvPicPr>
                        <pic:blipFill>
                          <a:blip r:embed="rId31"/>
                          <a:stretch>
                            <a:fillRect/>
                          </a:stretch>
                        </pic:blipFill>
                        <pic:spPr>
                          <a:xfrm>
                            <a:off x="0" y="0"/>
                            <a:ext cx="2535555" cy="1901825"/>
                          </a:xfrm>
                          <a:prstGeom prst="rect">
                            <a:avLst/>
                          </a:prstGeom>
                        </pic:spPr>
                      </pic:pic>
                    </a:graphicData>
                  </a:graphic>
                </wp:inline>
              </w:drawing>
            </w:r>
          </w:p>
        </w:tc>
        <w:tc>
          <w:tcPr>
            <w:tcW w:w="4258" w:type="dxa"/>
          </w:tcPr>
          <w:p>
            <w:pPr>
              <w:pStyle w:val="6"/>
              <w:jc w:val="both"/>
              <w:rPr>
                <w:rFonts w:hint="eastAsia" w:hAnsi="宋体"/>
                <w:color w:val="000000"/>
                <w:sz w:val="28"/>
                <w:szCs w:val="28"/>
                <w:vertAlign w:val="baseline"/>
                <w:lang w:eastAsia="zh-CN"/>
              </w:rPr>
            </w:pPr>
            <w:r>
              <w:rPr>
                <w:rFonts w:hint="eastAsia" w:hAnsi="宋体"/>
                <w:color w:val="000000"/>
                <w:sz w:val="28"/>
                <w:szCs w:val="28"/>
                <w:vertAlign w:val="baseline"/>
                <w:lang w:eastAsia="zh-CN"/>
              </w:rPr>
              <w:t>垃圾桶桶盖设计非常人性化，设计有</w:t>
            </w:r>
            <w:r>
              <w:rPr>
                <w:rFonts w:hint="eastAsia" w:hAnsi="宋体"/>
                <w:color w:val="000000"/>
                <w:sz w:val="28"/>
                <w:szCs w:val="28"/>
                <w:vertAlign w:val="baseline"/>
                <w:lang w:val="en-US" w:eastAsia="zh-CN"/>
              </w:rPr>
              <w:t>3个把手，方便用户使用，把手宽度适中，</w:t>
            </w:r>
            <w:r>
              <w:rPr>
                <w:rFonts w:hint="eastAsia" w:hAnsi="宋体"/>
                <w:color w:val="000000"/>
                <w:sz w:val="28"/>
                <w:szCs w:val="28"/>
                <w:vertAlign w:val="baseline"/>
                <w:lang w:eastAsia="zh-CN"/>
              </w:rPr>
              <w:t>能使手掌能舒适的掌握，手掌力充分全部发挥力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8" w:type="dxa"/>
          </w:tcPr>
          <w:p>
            <w:pPr>
              <w:pStyle w:val="6"/>
              <w:jc w:val="both"/>
              <w:rPr>
                <w:rFonts w:hint="eastAsia" w:hAnsi="宋体" w:eastAsiaTheme="minorEastAsia"/>
                <w:color w:val="000000"/>
                <w:sz w:val="40"/>
                <w:vertAlign w:val="baseline"/>
                <w:lang w:eastAsia="zh-CN"/>
              </w:rPr>
            </w:pPr>
            <w:r>
              <w:rPr>
                <w:rFonts w:hint="eastAsia" w:hAnsi="宋体" w:eastAsiaTheme="minorEastAsia"/>
                <w:color w:val="000000"/>
                <w:sz w:val="40"/>
                <w:vertAlign w:val="baseline"/>
                <w:lang w:eastAsia="zh-CN"/>
              </w:rPr>
              <w:drawing>
                <wp:inline distT="0" distB="0" distL="114300" distR="114300">
                  <wp:extent cx="2535555" cy="1901825"/>
                  <wp:effectExtent l="0" t="0" r="17145" b="3175"/>
                  <wp:docPr id="21" name="图片 21" descr="IMG_20160307_15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60307_151258"/>
                          <pic:cNvPicPr>
                            <a:picLocks noChangeAspect="1"/>
                          </pic:cNvPicPr>
                        </pic:nvPicPr>
                        <pic:blipFill>
                          <a:blip r:embed="rId32"/>
                          <a:stretch>
                            <a:fillRect/>
                          </a:stretch>
                        </pic:blipFill>
                        <pic:spPr>
                          <a:xfrm>
                            <a:off x="0" y="0"/>
                            <a:ext cx="2535555" cy="1901825"/>
                          </a:xfrm>
                          <a:prstGeom prst="rect">
                            <a:avLst/>
                          </a:prstGeom>
                        </pic:spPr>
                      </pic:pic>
                    </a:graphicData>
                  </a:graphic>
                </wp:inline>
              </w:drawing>
            </w:r>
          </w:p>
        </w:tc>
        <w:tc>
          <w:tcPr>
            <w:tcW w:w="4258" w:type="dxa"/>
          </w:tcPr>
          <w:p>
            <w:pPr>
              <w:pStyle w:val="6"/>
              <w:jc w:val="both"/>
              <w:rPr>
                <w:rFonts w:hint="eastAsia" w:hAnsi="宋体"/>
                <w:color w:val="000000"/>
                <w:sz w:val="40"/>
                <w:vertAlign w:val="baseline"/>
              </w:rPr>
            </w:pPr>
            <w:r>
              <w:rPr>
                <w:rFonts w:hint="eastAsia" w:hAnsi="宋体"/>
                <w:color w:val="000000"/>
                <w:sz w:val="28"/>
                <w:szCs w:val="28"/>
                <w:vertAlign w:val="baseline"/>
                <w:lang w:eastAsia="zh-CN"/>
              </w:rPr>
              <w:t>垃圾桶桶身的把手为不锈钢，不容易生锈，提手为塑料能使手掌能舒适的掌握，手掌力充分全部发挥力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258" w:type="dxa"/>
          </w:tcPr>
          <w:p>
            <w:pPr>
              <w:pStyle w:val="6"/>
              <w:jc w:val="both"/>
              <w:rPr>
                <w:rFonts w:hint="eastAsia" w:hAnsi="宋体" w:eastAsiaTheme="minorEastAsia"/>
                <w:color w:val="000000"/>
                <w:sz w:val="40"/>
                <w:vertAlign w:val="baseline"/>
                <w:lang w:eastAsia="zh-CN"/>
              </w:rPr>
            </w:pPr>
            <w:r>
              <w:rPr>
                <w:rFonts w:hint="eastAsia" w:hAnsi="宋体" w:eastAsiaTheme="minorEastAsia"/>
                <w:color w:val="000000"/>
                <w:sz w:val="40"/>
                <w:vertAlign w:val="baseline"/>
                <w:lang w:eastAsia="zh-CN"/>
              </w:rPr>
              <w:drawing>
                <wp:inline distT="0" distB="0" distL="114300" distR="114300">
                  <wp:extent cx="2535555" cy="1901825"/>
                  <wp:effectExtent l="0" t="0" r="17145" b="3175"/>
                  <wp:docPr id="22" name="图片 22" descr="IMG_20160307_15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60307_151149"/>
                          <pic:cNvPicPr>
                            <a:picLocks noChangeAspect="1"/>
                          </pic:cNvPicPr>
                        </pic:nvPicPr>
                        <pic:blipFill>
                          <a:blip r:embed="rId33"/>
                          <a:stretch>
                            <a:fillRect/>
                          </a:stretch>
                        </pic:blipFill>
                        <pic:spPr>
                          <a:xfrm>
                            <a:off x="0" y="0"/>
                            <a:ext cx="2535555" cy="1901825"/>
                          </a:xfrm>
                          <a:prstGeom prst="rect">
                            <a:avLst/>
                          </a:prstGeom>
                        </pic:spPr>
                      </pic:pic>
                    </a:graphicData>
                  </a:graphic>
                </wp:inline>
              </w:drawing>
            </w:r>
          </w:p>
        </w:tc>
        <w:tc>
          <w:tcPr>
            <w:tcW w:w="4258" w:type="dxa"/>
          </w:tcPr>
          <w:p>
            <w:pPr>
              <w:widowControl w:val="0"/>
              <w:spacing w:line="440" w:lineRule="exact"/>
              <w:jc w:val="both"/>
              <w:rPr>
                <w:rFonts w:hint="eastAsia" w:ascii="宋体" w:hAnsi="宋体"/>
                <w:sz w:val="28"/>
                <w:szCs w:val="28"/>
                <w:lang w:eastAsia="zh-CN"/>
              </w:rPr>
            </w:pPr>
            <w:r>
              <w:rPr>
                <w:rFonts w:hint="eastAsia" w:asciiTheme="minorEastAsia" w:hAnsiTheme="minorEastAsia" w:eastAsiaTheme="minorEastAsia" w:cstheme="minorEastAsia"/>
                <w:sz w:val="28"/>
                <w:szCs w:val="28"/>
              </w:rPr>
              <w:t>轮毂及辋圈为高密度聚乙稀材质；轮胎为100%橡胶材质，直径Φ200</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4个轮子整套重量为10.74kg，前面两个轮子带刹车可防旋转</w:t>
            </w:r>
          </w:p>
        </w:tc>
      </w:tr>
    </w:tbl>
    <w:p>
      <w:pPr>
        <w:spacing w:line="400" w:lineRule="exact"/>
        <w:rPr>
          <w:rFonts w:hint="eastAsia"/>
          <w:b/>
          <w:sz w:val="24"/>
          <w:szCs w:val="24"/>
        </w:rPr>
      </w:pPr>
    </w:p>
    <w:p>
      <w:pPr>
        <w:spacing w:line="400" w:lineRule="exact"/>
        <w:rPr>
          <w:rFonts w:hint="eastAsia"/>
          <w:b/>
          <w:sz w:val="24"/>
          <w:szCs w:val="24"/>
        </w:rPr>
      </w:pPr>
    </w:p>
    <w:p>
      <w:pPr>
        <w:spacing w:line="480" w:lineRule="auto"/>
        <w:jc w:val="center"/>
        <w:rPr>
          <w:rFonts w:hint="eastAsia" w:ascii="宋体" w:hAnsi="宋体"/>
          <w:b/>
          <w:color w:val="000000"/>
          <w:sz w:val="44"/>
          <w:szCs w:val="44"/>
        </w:rPr>
      </w:pPr>
      <w:bookmarkStart w:id="15" w:name="_Toc356110328"/>
      <w:bookmarkStart w:id="16" w:name="_Toc346870485"/>
      <w:bookmarkStart w:id="17" w:name="_Toc341000687"/>
      <w:bookmarkStart w:id="18" w:name="_Toc355333347"/>
      <w:bookmarkStart w:id="19" w:name="_Toc358385808"/>
      <w:bookmarkStart w:id="20" w:name="_Toc359341704"/>
      <w:bookmarkStart w:id="21" w:name="_Toc346870218"/>
    </w:p>
    <w:p>
      <w:pPr>
        <w:spacing w:line="480" w:lineRule="auto"/>
        <w:jc w:val="center"/>
        <w:rPr>
          <w:rFonts w:hint="eastAsia" w:ascii="宋体" w:hAnsi="宋体"/>
          <w:b/>
          <w:color w:val="000000"/>
          <w:sz w:val="44"/>
          <w:szCs w:val="44"/>
        </w:rPr>
      </w:pPr>
    </w:p>
    <w:p>
      <w:pPr>
        <w:spacing w:line="480" w:lineRule="auto"/>
        <w:jc w:val="center"/>
        <w:rPr>
          <w:rFonts w:hint="eastAsia" w:ascii="宋体" w:hAnsi="宋体"/>
          <w:b/>
          <w:color w:val="000000"/>
          <w:sz w:val="44"/>
          <w:szCs w:val="44"/>
        </w:rPr>
      </w:pPr>
    </w:p>
    <w:p>
      <w:pPr>
        <w:spacing w:line="480" w:lineRule="auto"/>
        <w:jc w:val="center"/>
        <w:rPr>
          <w:rFonts w:hint="eastAsia" w:ascii="宋体" w:hAnsi="宋体"/>
          <w:b/>
          <w:color w:val="000000"/>
          <w:sz w:val="44"/>
          <w:szCs w:val="44"/>
        </w:rPr>
      </w:pPr>
    </w:p>
    <w:p>
      <w:pPr>
        <w:spacing w:line="480" w:lineRule="auto"/>
        <w:jc w:val="center"/>
        <w:rPr>
          <w:rFonts w:hint="eastAsia" w:ascii="宋体" w:hAnsi="宋体"/>
          <w:color w:val="000000"/>
          <w:sz w:val="28"/>
          <w:szCs w:val="28"/>
        </w:rPr>
      </w:pPr>
      <w:r>
        <w:rPr>
          <w:rFonts w:hint="eastAsia" w:ascii="宋体" w:hAnsi="宋体"/>
          <w:b/>
          <w:color w:val="000000"/>
          <w:sz w:val="44"/>
          <w:szCs w:val="44"/>
        </w:rPr>
        <w:t>120L垃圾桶技术参数</w:t>
      </w:r>
    </w:p>
    <w:p>
      <w:pPr>
        <w:spacing w:line="480" w:lineRule="auto"/>
        <w:rPr>
          <w:rFonts w:hint="eastAsia" w:ascii="宋体" w:hAnsi="宋体"/>
          <w:color w:val="000000"/>
          <w:sz w:val="24"/>
        </w:rPr>
      </w:pPr>
      <w:r>
        <w:rPr>
          <w:rFonts w:hint="eastAsia" w:ascii="宋体" w:hAnsi="宋体"/>
          <w:color w:val="000000"/>
          <w:sz w:val="24"/>
        </w:rPr>
        <w:t>1、容积：120L（±5%）</w:t>
      </w:r>
    </w:p>
    <w:p>
      <w:pPr>
        <w:spacing w:line="480" w:lineRule="auto"/>
        <w:rPr>
          <w:rFonts w:hint="eastAsia" w:ascii="宋体" w:hAnsi="宋体"/>
          <w:color w:val="000000"/>
          <w:sz w:val="24"/>
        </w:rPr>
      </w:pPr>
      <w:r>
        <w:rPr>
          <w:rFonts w:hint="eastAsia" w:ascii="宋体" w:hAnsi="宋体"/>
          <w:color w:val="000000"/>
          <w:sz w:val="24"/>
        </w:rPr>
        <w:t>2、长*宽*高（mm）：5</w:t>
      </w:r>
      <w:r>
        <w:rPr>
          <w:rFonts w:hint="eastAsia" w:ascii="宋体" w:hAnsi="宋体"/>
          <w:color w:val="000000"/>
          <w:sz w:val="24"/>
          <w:lang w:val="en-US" w:eastAsia="zh-CN"/>
        </w:rPr>
        <w:t>6</w:t>
      </w:r>
      <w:r>
        <w:rPr>
          <w:rFonts w:hint="eastAsia" w:ascii="宋体" w:hAnsi="宋体"/>
          <w:color w:val="000000"/>
          <w:sz w:val="24"/>
        </w:rPr>
        <w:t>0*48</w:t>
      </w:r>
      <w:r>
        <w:rPr>
          <w:rFonts w:hint="eastAsia" w:ascii="宋体" w:hAnsi="宋体"/>
          <w:color w:val="000000"/>
          <w:sz w:val="24"/>
          <w:lang w:val="en-US" w:eastAsia="zh-CN"/>
        </w:rPr>
        <w:t>0</w:t>
      </w:r>
      <w:r>
        <w:rPr>
          <w:rFonts w:hint="eastAsia" w:ascii="宋体" w:hAnsi="宋体"/>
          <w:color w:val="000000"/>
          <w:sz w:val="24"/>
        </w:rPr>
        <w:t>*9</w:t>
      </w:r>
      <w:r>
        <w:rPr>
          <w:rFonts w:hint="eastAsia" w:ascii="宋体" w:hAnsi="宋体"/>
          <w:color w:val="000000"/>
          <w:sz w:val="24"/>
          <w:lang w:val="en-US" w:eastAsia="zh-CN"/>
        </w:rPr>
        <w:t>4</w:t>
      </w:r>
      <w:r>
        <w:rPr>
          <w:rFonts w:hint="eastAsia" w:ascii="宋体" w:hAnsi="宋体"/>
          <w:color w:val="000000"/>
          <w:sz w:val="24"/>
        </w:rPr>
        <w:t>0（±5mm）</w:t>
      </w:r>
    </w:p>
    <w:p>
      <w:pPr>
        <w:spacing w:line="480" w:lineRule="auto"/>
        <w:rPr>
          <w:rFonts w:hint="eastAsia" w:ascii="宋体" w:hAnsi="宋体"/>
          <w:color w:val="000000"/>
          <w:sz w:val="24"/>
        </w:rPr>
      </w:pPr>
      <w:r>
        <w:rPr>
          <w:rFonts w:hint="eastAsia" w:ascii="宋体" w:hAnsi="宋体"/>
          <w:color w:val="000000"/>
          <w:sz w:val="24"/>
        </w:rPr>
        <w:t>3、整体重量：≥</w:t>
      </w:r>
      <w:r>
        <w:rPr>
          <w:rFonts w:hint="eastAsia" w:ascii="宋体" w:hAnsi="宋体"/>
          <w:color w:val="000000"/>
          <w:sz w:val="24"/>
          <w:lang w:val="en-US" w:eastAsia="zh-CN"/>
        </w:rPr>
        <w:t>7.8k</w:t>
      </w:r>
      <w:r>
        <w:rPr>
          <w:rFonts w:hint="eastAsia" w:ascii="宋体" w:hAnsi="宋体"/>
          <w:color w:val="000000"/>
          <w:sz w:val="24"/>
        </w:rPr>
        <w:t>g,其中单桶体重量≥</w:t>
      </w:r>
      <w:r>
        <w:rPr>
          <w:rFonts w:hint="eastAsia" w:ascii="宋体" w:hAnsi="宋体"/>
          <w:color w:val="000000"/>
          <w:sz w:val="24"/>
          <w:lang w:val="en-US" w:eastAsia="zh-CN"/>
        </w:rPr>
        <w:t>5kg</w:t>
      </w:r>
      <w:r>
        <w:rPr>
          <w:rFonts w:hint="eastAsia" w:ascii="宋体" w:hAnsi="宋体"/>
          <w:color w:val="000000"/>
          <w:sz w:val="24"/>
        </w:rPr>
        <w:t>。</w:t>
      </w:r>
    </w:p>
    <w:p>
      <w:pPr>
        <w:spacing w:line="480" w:lineRule="auto"/>
        <w:rPr>
          <w:rFonts w:hint="eastAsia" w:ascii="宋体" w:hAnsi="宋体"/>
          <w:color w:val="000000"/>
          <w:sz w:val="24"/>
        </w:rPr>
      </w:pPr>
      <w:r>
        <w:rPr>
          <w:rFonts w:hint="eastAsia" w:ascii="宋体" w:hAnsi="宋体"/>
          <w:color w:val="000000"/>
          <w:sz w:val="24"/>
        </w:rPr>
        <w:t xml:space="preserve"> 4、橡胶轮：ф</w:t>
      </w:r>
      <w:r>
        <w:rPr>
          <w:rFonts w:ascii="宋体" w:hAnsi="宋体"/>
          <w:color w:val="000000"/>
          <w:sz w:val="24"/>
        </w:rPr>
        <w:t>185</w:t>
      </w:r>
      <w:r>
        <w:rPr>
          <w:rFonts w:hint="eastAsia" w:ascii="宋体" w:hAnsi="宋体"/>
          <w:color w:val="000000"/>
          <w:sz w:val="24"/>
        </w:rPr>
        <w:t>*68mm，内圈聚乙烯，内置钢套，外圈橡胶轮</w:t>
      </w:r>
    </w:p>
    <w:p>
      <w:pPr>
        <w:spacing w:line="480" w:lineRule="auto"/>
        <w:rPr>
          <w:rFonts w:hint="eastAsia" w:ascii="宋体" w:hAnsi="宋体"/>
          <w:color w:val="000000"/>
          <w:sz w:val="24"/>
        </w:rPr>
      </w:pPr>
      <w:r>
        <w:rPr>
          <w:rFonts w:hint="eastAsia" w:ascii="宋体" w:hAnsi="宋体"/>
          <w:color w:val="000000"/>
          <w:sz w:val="24"/>
        </w:rPr>
        <w:t>5、钢轴规格：ф21.5*456mm。</w:t>
      </w:r>
    </w:p>
    <w:p>
      <w:pPr>
        <w:spacing w:line="480" w:lineRule="auto"/>
        <w:rPr>
          <w:rFonts w:hint="eastAsia" w:ascii="宋体" w:hAnsi="宋体"/>
          <w:color w:val="000000"/>
          <w:sz w:val="24"/>
        </w:rPr>
      </w:pPr>
      <w:r>
        <w:rPr>
          <w:rFonts w:hint="eastAsia" w:ascii="宋体" w:hAnsi="宋体"/>
          <w:color w:val="000000"/>
          <w:sz w:val="24"/>
        </w:rPr>
        <w:t>6、桶体壁厚≥</w:t>
      </w:r>
      <w:r>
        <w:rPr>
          <w:rFonts w:hint="eastAsia" w:ascii="宋体" w:hAnsi="宋体"/>
          <w:color w:val="000000"/>
          <w:sz w:val="24"/>
          <w:lang w:val="en-US" w:eastAsia="zh-CN"/>
        </w:rPr>
        <w:t>3.5</w:t>
      </w:r>
      <w:r>
        <w:rPr>
          <w:rFonts w:hint="eastAsia" w:ascii="宋体" w:hAnsi="宋体"/>
          <w:color w:val="000000"/>
          <w:sz w:val="24"/>
        </w:rPr>
        <w:t>mm.</w:t>
      </w:r>
    </w:p>
    <w:p>
      <w:pPr>
        <w:spacing w:line="480" w:lineRule="auto"/>
        <w:rPr>
          <w:rFonts w:hint="eastAsia" w:ascii="宋体" w:hAnsi="宋体"/>
          <w:color w:val="000000"/>
          <w:sz w:val="24"/>
        </w:rPr>
      </w:pPr>
      <w:r>
        <w:rPr>
          <w:rFonts w:hint="eastAsia" w:ascii="宋体" w:hAnsi="宋体"/>
          <w:color w:val="000000"/>
          <w:sz w:val="24"/>
        </w:rPr>
        <w:t>7、高温65℃、低温-30℃的气温下，不变形，不开裂。</w:t>
      </w:r>
    </w:p>
    <w:p>
      <w:pPr>
        <w:spacing w:line="480" w:lineRule="auto"/>
        <w:rPr>
          <w:rFonts w:hint="eastAsia" w:ascii="宋体" w:hAnsi="宋体"/>
          <w:color w:val="000000"/>
          <w:sz w:val="24"/>
        </w:rPr>
      </w:pPr>
      <w:r>
        <w:rPr>
          <w:rFonts w:hint="eastAsia" w:ascii="宋体" w:hAnsi="宋体"/>
          <w:color w:val="000000"/>
          <w:sz w:val="24"/>
        </w:rPr>
        <w:t>8、材料：全新高密度聚乙烯（HDPE）。</w:t>
      </w:r>
    </w:p>
    <w:p>
      <w:pPr>
        <w:spacing w:line="480" w:lineRule="auto"/>
        <w:rPr>
          <w:rFonts w:hint="eastAsia" w:ascii="宋体" w:hAnsi="宋体"/>
          <w:color w:val="000000"/>
          <w:sz w:val="24"/>
        </w:rPr>
      </w:pPr>
      <w:r>
        <w:rPr>
          <w:rFonts w:hint="eastAsia" w:ascii="宋体" w:hAnsi="宋体"/>
          <w:color w:val="000000"/>
          <w:sz w:val="24"/>
        </w:rPr>
        <w:t>9、橡胶轮与底轴连接方式：直接插入式防盗设计。</w:t>
      </w:r>
    </w:p>
    <w:p>
      <w:pPr>
        <w:spacing w:line="480" w:lineRule="auto"/>
        <w:rPr>
          <w:rFonts w:hint="eastAsia" w:ascii="宋体" w:hAnsi="宋体"/>
          <w:color w:val="000000"/>
          <w:sz w:val="24"/>
        </w:rPr>
      </w:pPr>
      <w:r>
        <w:rPr>
          <w:rFonts w:hint="eastAsia" w:ascii="宋体" w:hAnsi="宋体"/>
          <w:color w:val="000000"/>
          <w:sz w:val="24"/>
        </w:rPr>
        <w:t>10、垃圾桶要求：色彩鲜艳，两年不褪色，颜色是蓝色，正面投放标采用丝印工艺。耐腐蚀，并且有足够的机械强度和良好的冲击韧性；</w:t>
      </w:r>
    </w:p>
    <w:p>
      <w:pPr>
        <w:spacing w:line="480" w:lineRule="auto"/>
        <w:rPr>
          <w:rFonts w:hint="eastAsia" w:ascii="宋体" w:hAnsi="宋体"/>
          <w:color w:val="000000"/>
          <w:sz w:val="24"/>
        </w:rPr>
      </w:pPr>
      <w:r>
        <w:rPr>
          <w:rFonts w:hint="eastAsia" w:ascii="宋体" w:hAnsi="宋体"/>
          <w:sz w:val="24"/>
        </w:rPr>
        <w:t xml:space="preserve"> 11、符合中华人民共和国城镇建设行业标准《塑料垃圾桶通用技术条件》CJ/T 280-2008标准。</w:t>
      </w:r>
    </w:p>
    <w:p>
      <w:pPr>
        <w:spacing w:line="360" w:lineRule="auto"/>
        <w:jc w:val="center"/>
        <w:outlineLvl w:val="2"/>
        <w:rPr>
          <w:rFonts w:hint="eastAsia" w:ascii="宋体" w:hAnsi="宋体"/>
          <w:b/>
          <w:sz w:val="44"/>
          <w:szCs w:val="44"/>
        </w:rPr>
      </w:pPr>
      <w:r>
        <w:rPr>
          <w:rFonts w:hint="eastAsia" w:ascii="宋体" w:hAnsi="宋体"/>
          <w:b/>
          <w:sz w:val="32"/>
          <w:szCs w:val="32"/>
        </w:rPr>
        <w:t xml:space="preserve">   </w:t>
      </w:r>
      <w:r>
        <w:rPr>
          <w:rFonts w:ascii="宋体" w:hAnsi="宋体"/>
          <w:b/>
          <w:sz w:val="32"/>
          <w:szCs w:val="32"/>
        </w:rPr>
        <w:br w:type="page"/>
      </w:r>
      <w:r>
        <w:rPr>
          <w:rFonts w:hint="eastAsia" w:ascii="宋体" w:hAnsi="宋体"/>
          <w:b/>
          <w:sz w:val="44"/>
          <w:szCs w:val="44"/>
        </w:rPr>
        <w:t xml:space="preserve"> 产品各部件的详细介绍</w:t>
      </w:r>
      <w:bookmarkEnd w:id="15"/>
      <w:bookmarkEnd w:id="16"/>
      <w:bookmarkEnd w:id="17"/>
      <w:bookmarkEnd w:id="18"/>
      <w:bookmarkEnd w:id="19"/>
      <w:bookmarkEnd w:id="20"/>
      <w:bookmarkEnd w:id="2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2"/>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02" w:type="dxa"/>
            <w:noWrap w:val="0"/>
            <w:vAlign w:val="center"/>
          </w:tcPr>
          <w:p>
            <w:pPr>
              <w:adjustRightInd w:val="0"/>
              <w:snapToGrid w:val="0"/>
              <w:spacing w:line="360" w:lineRule="auto"/>
              <w:jc w:val="center"/>
              <w:rPr>
                <w:rFonts w:hint="eastAsia"/>
              </w:rPr>
            </w:pPr>
          </w:p>
          <w:p>
            <w:pPr>
              <w:adjustRightInd w:val="0"/>
              <w:snapToGrid w:val="0"/>
              <w:spacing w:line="360" w:lineRule="auto"/>
              <w:jc w:val="center"/>
              <w:rPr>
                <w:rFonts w:hint="eastAsia" w:eastAsia="宋体"/>
                <w:lang w:eastAsia="zh-CN"/>
              </w:rPr>
            </w:pPr>
            <w:r>
              <w:rPr>
                <w:rFonts w:hint="eastAsia" w:eastAsia="宋体"/>
                <w:lang w:eastAsia="zh-CN"/>
              </w:rPr>
              <w:drawing>
                <wp:inline distT="0" distB="0" distL="114300" distR="114300">
                  <wp:extent cx="2373630" cy="3165475"/>
                  <wp:effectExtent l="0" t="0" r="7620" b="15875"/>
                  <wp:docPr id="30" name="图片 13" descr="b7f6e69becb7affefef373acccab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b7f6e69becb7affefef373acccab968"/>
                          <pic:cNvPicPr>
                            <a:picLocks noChangeAspect="1"/>
                          </pic:cNvPicPr>
                        </pic:nvPicPr>
                        <pic:blipFill>
                          <a:blip r:embed="rId34"/>
                          <a:stretch>
                            <a:fillRect/>
                          </a:stretch>
                        </pic:blipFill>
                        <pic:spPr>
                          <a:xfrm>
                            <a:off x="0" y="0"/>
                            <a:ext cx="2373630" cy="3165475"/>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b/>
                <w:sz w:val="24"/>
                <w:lang w:eastAsia="zh-CN"/>
              </w:rPr>
            </w:pPr>
            <w:r>
              <w:rPr>
                <w:rFonts w:hint="eastAsia" w:ascii="宋体" w:hAnsi="宋体" w:eastAsia="宋体" w:cs="宋体"/>
                <w:b/>
                <w:sz w:val="24"/>
                <w:lang w:eastAsia="zh-CN"/>
              </w:rPr>
              <w:drawing>
                <wp:inline distT="0" distB="0" distL="114300" distR="114300">
                  <wp:extent cx="2375535" cy="3168015"/>
                  <wp:effectExtent l="0" t="0" r="5715" b="13335"/>
                  <wp:docPr id="29" name="图片 14" descr="c58e147d03793020838ac3456d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c58e147d03793020838ac3456d55518"/>
                          <pic:cNvPicPr>
                            <a:picLocks noChangeAspect="1"/>
                          </pic:cNvPicPr>
                        </pic:nvPicPr>
                        <pic:blipFill>
                          <a:blip r:embed="rId35"/>
                          <a:stretch>
                            <a:fillRect/>
                          </a:stretch>
                        </pic:blipFill>
                        <pic:spPr>
                          <a:xfrm>
                            <a:off x="0" y="0"/>
                            <a:ext cx="2375535" cy="3168015"/>
                          </a:xfrm>
                          <a:prstGeom prst="rect">
                            <a:avLst/>
                          </a:prstGeom>
                          <a:noFill/>
                          <a:ln>
                            <a:noFill/>
                          </a:ln>
                        </pic:spPr>
                      </pic:pic>
                    </a:graphicData>
                  </a:graphic>
                </wp:inline>
              </w:drawing>
            </w:r>
          </w:p>
        </w:tc>
        <w:tc>
          <w:tcPr>
            <w:tcW w:w="4758" w:type="dxa"/>
            <w:noWrap w:val="0"/>
            <w:vAlign w:val="center"/>
          </w:tcPr>
          <w:p>
            <w:pPr>
              <w:spacing w:line="360" w:lineRule="auto"/>
              <w:ind w:left="240" w:hanging="240" w:hangingChars="100"/>
              <w:jc w:val="left"/>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桶体</w:t>
            </w:r>
          </w:p>
          <w:p>
            <w:pPr>
              <w:adjustRightInd w:val="0"/>
              <w:snapToGrid w:val="0"/>
              <w:spacing w:line="360" w:lineRule="auto"/>
              <w:jc w:val="left"/>
              <w:rPr>
                <w:rFonts w:hint="eastAsia" w:ascii="宋体" w:hAnsi="宋体" w:cs="宋体"/>
                <w:color w:val="000000"/>
                <w:sz w:val="24"/>
              </w:rPr>
            </w:pPr>
            <w:r>
              <w:rPr>
                <w:rFonts w:hint="eastAsia" w:ascii="宋体" w:hAnsi="宋体" w:cs="宋体"/>
                <w:color w:val="000000"/>
                <w:kern w:val="0"/>
                <w:sz w:val="24"/>
              </w:rPr>
              <w:t>采用</w:t>
            </w:r>
            <w:r>
              <w:rPr>
                <w:rFonts w:hint="eastAsia" w:ascii="宋体" w:hAnsi="宋体" w:cs="宋体"/>
                <w:color w:val="000000"/>
                <w:sz w:val="24"/>
              </w:rPr>
              <w:t>100%高密度聚乙稀全新料为原料</w:t>
            </w:r>
            <w:r>
              <w:rPr>
                <w:rFonts w:hint="eastAsia" w:ascii="宋体" w:hAnsi="宋体" w:cs="宋体"/>
                <w:color w:val="000000"/>
                <w:kern w:val="0"/>
                <w:sz w:val="24"/>
              </w:rPr>
              <w:t>一次性注塑成型，</w:t>
            </w:r>
            <w:r>
              <w:rPr>
                <w:rFonts w:hint="eastAsia" w:ascii="宋体" w:hAnsi="宋体" w:cs="宋体"/>
                <w:color w:val="000000"/>
                <w:sz w:val="24"/>
              </w:rPr>
              <w:t>外表光滑，易清洗，桶体性能根据</w:t>
            </w:r>
            <w:r>
              <w:rPr>
                <w:rFonts w:hint="eastAsia" w:ascii="宋体" w:hAnsi="宋体" w:cs="宋体"/>
                <w:b/>
                <w:color w:val="000000"/>
                <w:sz w:val="24"/>
              </w:rPr>
              <w:t>EN840-5</w:t>
            </w:r>
            <w:r>
              <w:rPr>
                <w:rFonts w:hint="eastAsia" w:ascii="宋体" w:hAnsi="宋体" w:cs="宋体"/>
                <w:color w:val="000000"/>
                <w:sz w:val="24"/>
              </w:rPr>
              <w:t>的标准生产。</w:t>
            </w:r>
          </w:p>
          <w:p>
            <w:pPr>
              <w:adjustRightInd w:val="0"/>
              <w:snapToGrid w:val="0"/>
              <w:spacing w:line="360" w:lineRule="auto"/>
              <w:jc w:val="left"/>
              <w:rPr>
                <w:rFonts w:hint="eastAsia" w:ascii="宋体" w:hAnsi="宋体" w:cs="宋体"/>
                <w:color w:val="000000"/>
                <w:sz w:val="24"/>
              </w:rPr>
            </w:pPr>
          </w:p>
          <w:p>
            <w:pPr>
              <w:adjustRightInd w:val="0"/>
              <w:snapToGrid w:val="0"/>
              <w:spacing w:line="360" w:lineRule="auto"/>
              <w:jc w:val="left"/>
              <w:rPr>
                <w:rFonts w:hint="eastAsia" w:ascii="宋体" w:hAnsi="宋体" w:cs="宋体"/>
                <w:color w:val="000000"/>
                <w:sz w:val="24"/>
              </w:rPr>
            </w:pPr>
          </w:p>
          <w:p>
            <w:pPr>
              <w:adjustRightInd w:val="0"/>
              <w:snapToGrid w:val="0"/>
              <w:spacing w:line="360" w:lineRule="auto"/>
              <w:jc w:val="left"/>
              <w:rPr>
                <w:rFonts w:hint="eastAsia" w:ascii="宋体" w:hAnsi="宋体" w:cs="宋体"/>
                <w:color w:val="000000"/>
                <w:sz w:val="24"/>
              </w:rPr>
            </w:pPr>
          </w:p>
          <w:p>
            <w:pPr>
              <w:adjustRightInd w:val="0"/>
              <w:snapToGrid w:val="0"/>
              <w:spacing w:line="360" w:lineRule="auto"/>
              <w:jc w:val="left"/>
              <w:rPr>
                <w:rFonts w:hint="eastAsia" w:ascii="宋体" w:hAnsi="宋体" w:cs="宋体"/>
                <w:color w:val="000000"/>
                <w:sz w:val="24"/>
              </w:rPr>
            </w:pPr>
          </w:p>
          <w:p>
            <w:pPr>
              <w:adjustRightInd w:val="0"/>
              <w:snapToGrid w:val="0"/>
              <w:spacing w:line="360" w:lineRule="auto"/>
              <w:jc w:val="left"/>
              <w:rPr>
                <w:rFonts w:hint="eastAsia" w:ascii="宋体" w:hAnsi="宋体" w:cs="宋体"/>
                <w:color w:val="000000"/>
                <w:sz w:val="24"/>
              </w:rPr>
            </w:pPr>
          </w:p>
          <w:p>
            <w:pPr>
              <w:adjustRightInd w:val="0"/>
              <w:snapToGrid w:val="0"/>
              <w:spacing w:line="360" w:lineRule="auto"/>
              <w:jc w:val="left"/>
              <w:rPr>
                <w:rFonts w:hint="eastAsia" w:ascii="宋体" w:hAnsi="宋体" w:cs="宋体"/>
                <w:sz w:val="24"/>
              </w:rPr>
            </w:pPr>
          </w:p>
          <w:p>
            <w:pPr>
              <w:adjustRightInd w:val="0"/>
              <w:snapToGrid w:val="0"/>
              <w:spacing w:line="360" w:lineRule="auto"/>
              <w:jc w:val="left"/>
              <w:rPr>
                <w:rFonts w:hint="eastAsia" w:ascii="宋体" w:hAnsi="宋体" w:cs="宋体"/>
                <w:sz w:val="24"/>
              </w:rPr>
            </w:pPr>
          </w:p>
          <w:p>
            <w:pPr>
              <w:adjustRightInd w:val="0"/>
              <w:snapToGrid w:val="0"/>
              <w:spacing w:line="360" w:lineRule="auto"/>
              <w:jc w:val="left"/>
              <w:rPr>
                <w:rFonts w:hint="eastAsia" w:ascii="宋体" w:hAnsi="宋体" w:cs="宋体"/>
                <w:sz w:val="24"/>
              </w:rPr>
            </w:pPr>
          </w:p>
          <w:p>
            <w:pPr>
              <w:adjustRightInd w:val="0"/>
              <w:snapToGrid w:val="0"/>
              <w:spacing w:line="360" w:lineRule="auto"/>
              <w:jc w:val="left"/>
              <w:rPr>
                <w:rFonts w:hint="eastAsia" w:ascii="宋体" w:hAnsi="宋体" w:cs="宋体"/>
                <w:sz w:val="24"/>
              </w:rPr>
            </w:pPr>
            <w:r>
              <w:rPr>
                <w:rFonts w:hint="eastAsia" w:ascii="宋体" w:hAnsi="宋体" w:cs="宋体"/>
                <w:sz w:val="24"/>
              </w:rPr>
              <w:t>■ 国内首创，在桶体正面和背面独特设计新添置拥有专利技术的加强肋骨，使桶的四周能承受足够的机械强度和更大的冲击力。</w:t>
            </w:r>
          </w:p>
          <w:p>
            <w:pPr>
              <w:adjustRightInd w:val="0"/>
              <w:snapToGrid w:val="0"/>
              <w:spacing w:line="360" w:lineRule="auto"/>
              <w:jc w:val="center"/>
              <w:rPr>
                <w:rFonts w:hint="eastAsia" w:ascii="宋体" w:hAnsi="宋体" w:cs="宋体"/>
                <w:b/>
                <w:sz w:val="24"/>
              </w:rPr>
            </w:pPr>
          </w:p>
          <w:p>
            <w:pPr>
              <w:adjustRightInd w:val="0"/>
              <w:snapToGrid w:val="0"/>
              <w:spacing w:line="360" w:lineRule="auto"/>
              <w:jc w:val="left"/>
              <w:rPr>
                <w:rFonts w:hint="eastAsia" w:ascii="宋体" w:hAnsi="宋体" w:cs="宋体"/>
                <w:b/>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02" w:type="dxa"/>
            <w:noWrap w:val="0"/>
            <w:vAlign w:val="center"/>
          </w:tcPr>
          <w:p>
            <w:pPr>
              <w:adjustRightInd w:val="0"/>
              <w:snapToGrid w:val="0"/>
              <w:spacing w:line="360" w:lineRule="auto"/>
              <w:jc w:val="center"/>
              <w:rPr>
                <w:rFonts w:hint="eastAsia" w:ascii="宋体" w:hAnsi="宋体" w:eastAsia="宋体" w:cs="宋体"/>
                <w:b/>
                <w:sz w:val="24"/>
                <w:lang w:eastAsia="zh-CN"/>
              </w:rPr>
            </w:pPr>
            <w:r>
              <w:rPr>
                <w:rFonts w:hint="eastAsia" w:ascii="宋体" w:hAnsi="宋体" w:eastAsia="宋体" w:cs="宋体"/>
                <w:b/>
                <w:sz w:val="24"/>
                <w:lang w:eastAsia="zh-CN"/>
              </w:rPr>
              <w:drawing>
                <wp:inline distT="0" distB="0" distL="114300" distR="114300">
                  <wp:extent cx="2268855" cy="1702435"/>
                  <wp:effectExtent l="0" t="0" r="17145" b="12065"/>
                  <wp:docPr id="26" name="图片 15" descr="2c5977ad29243872b50ba540f1ce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2c5977ad29243872b50ba540f1ce886"/>
                          <pic:cNvPicPr>
                            <a:picLocks noChangeAspect="1"/>
                          </pic:cNvPicPr>
                        </pic:nvPicPr>
                        <pic:blipFill>
                          <a:blip r:embed="rId36"/>
                          <a:stretch>
                            <a:fillRect/>
                          </a:stretch>
                        </pic:blipFill>
                        <pic:spPr>
                          <a:xfrm>
                            <a:off x="0" y="0"/>
                            <a:ext cx="2268855" cy="1702435"/>
                          </a:xfrm>
                          <a:prstGeom prst="rect">
                            <a:avLst/>
                          </a:prstGeom>
                          <a:noFill/>
                          <a:ln>
                            <a:noFill/>
                          </a:ln>
                        </pic:spPr>
                      </pic:pic>
                    </a:graphicData>
                  </a:graphic>
                </wp:inline>
              </w:drawing>
            </w:r>
          </w:p>
        </w:tc>
        <w:tc>
          <w:tcPr>
            <w:tcW w:w="4758" w:type="dxa"/>
            <w:noWrap w:val="0"/>
            <w:vAlign w:val="center"/>
          </w:tcPr>
          <w:p>
            <w:pPr>
              <w:numPr>
                <w:ilvl w:val="0"/>
                <w:numId w:val="10"/>
              </w:numPr>
              <w:adjustRightInd w:val="0"/>
              <w:snapToGrid w:val="0"/>
              <w:spacing w:line="360" w:lineRule="auto"/>
              <w:jc w:val="left"/>
              <w:rPr>
                <w:rFonts w:hint="eastAsia" w:ascii="宋体" w:hAnsi="宋体" w:cs="宋体"/>
                <w:b/>
                <w:sz w:val="24"/>
              </w:rPr>
            </w:pPr>
            <w:r>
              <w:rPr>
                <w:rFonts w:hint="eastAsia" w:ascii="宋体" w:hAnsi="宋体" w:cs="宋体"/>
                <w:b/>
                <w:sz w:val="24"/>
              </w:rPr>
              <w:t>侧面加强筋肋骨</w:t>
            </w:r>
          </w:p>
          <w:p>
            <w:pPr>
              <w:adjustRightInd w:val="0"/>
              <w:snapToGrid w:val="0"/>
              <w:spacing w:line="360" w:lineRule="auto"/>
              <w:jc w:val="left"/>
              <w:rPr>
                <w:rFonts w:hint="eastAsia" w:ascii="宋体" w:hAnsi="宋体" w:cs="宋体"/>
                <w:b/>
                <w:color w:val="0000FF"/>
                <w:sz w:val="24"/>
              </w:rPr>
            </w:pPr>
            <w:r>
              <w:rPr>
                <w:rFonts w:hint="eastAsia" w:ascii="宋体" w:hAnsi="宋体" w:cs="宋体"/>
                <w:sz w:val="24"/>
              </w:rPr>
              <w:t>在桶体侧面新添置的加强肋骨，防止运输过程中的垃圾桶破损和方便运输周转。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2" w:hRule="atLeast"/>
        </w:trPr>
        <w:tc>
          <w:tcPr>
            <w:tcW w:w="4902" w:type="dxa"/>
            <w:noWrap w:val="0"/>
            <w:vAlign w:val="center"/>
          </w:tcPr>
          <w:p>
            <w:pPr>
              <w:adjustRightInd w:val="0"/>
              <w:snapToGrid w:val="0"/>
              <w:spacing w:line="360" w:lineRule="auto"/>
              <w:jc w:val="center"/>
              <w:rPr>
                <w:rFonts w:hint="eastAsia" w:ascii="宋体" w:hAnsi="宋体" w:eastAsia="宋体" w:cs="宋体"/>
                <w:b/>
                <w:sz w:val="24"/>
                <w:lang w:eastAsia="zh-CN"/>
              </w:rPr>
            </w:pPr>
          </w:p>
          <w:p>
            <w:pPr>
              <w:adjustRightInd w:val="0"/>
              <w:snapToGrid w:val="0"/>
              <w:spacing w:line="360" w:lineRule="auto"/>
              <w:jc w:val="center"/>
              <w:rPr>
                <w:rFonts w:hint="eastAsia" w:ascii="宋体" w:hAnsi="宋体" w:cs="宋体"/>
                <w:sz w:val="24"/>
              </w:rPr>
            </w:pPr>
            <w:r>
              <w:rPr>
                <w:rFonts w:hint="eastAsia" w:ascii="宋体" w:hAnsi="宋体" w:eastAsia="宋体" w:cs="宋体"/>
                <w:b/>
                <w:sz w:val="24"/>
                <w:lang w:eastAsia="zh-CN"/>
              </w:rPr>
              <w:drawing>
                <wp:inline distT="0" distB="0" distL="114300" distR="114300">
                  <wp:extent cx="2276475" cy="3037205"/>
                  <wp:effectExtent l="0" t="0" r="9525" b="10795"/>
                  <wp:docPr id="28" name="图片 16" descr="4d4cddae942aa0ca1849c6a83985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4d4cddae942aa0ca1849c6a83985ff6"/>
                          <pic:cNvPicPr>
                            <a:picLocks noChangeAspect="1"/>
                          </pic:cNvPicPr>
                        </pic:nvPicPr>
                        <pic:blipFill>
                          <a:blip r:embed="rId37"/>
                          <a:stretch>
                            <a:fillRect/>
                          </a:stretch>
                        </pic:blipFill>
                        <pic:spPr>
                          <a:xfrm>
                            <a:off x="0" y="0"/>
                            <a:ext cx="2276475" cy="3037205"/>
                          </a:xfrm>
                          <a:prstGeom prst="rect">
                            <a:avLst/>
                          </a:prstGeom>
                          <a:noFill/>
                          <a:ln>
                            <a:noFill/>
                          </a:ln>
                        </pic:spPr>
                      </pic:pic>
                    </a:graphicData>
                  </a:graphic>
                </wp:inline>
              </w:drawing>
            </w:r>
          </w:p>
        </w:tc>
        <w:tc>
          <w:tcPr>
            <w:tcW w:w="4758" w:type="dxa"/>
            <w:noWrap w:val="0"/>
            <w:vAlign w:val="center"/>
          </w:tcPr>
          <w:p>
            <w:pPr>
              <w:adjustRightInd w:val="0"/>
              <w:snapToGrid w:val="0"/>
              <w:spacing w:line="360" w:lineRule="auto"/>
              <w:ind w:left="240" w:hanging="240" w:hangingChars="100"/>
              <w:rPr>
                <w:rFonts w:hint="eastAsia" w:ascii="宋体" w:hAnsi="宋体" w:cs="宋体"/>
                <w:sz w:val="24"/>
              </w:rPr>
            </w:pPr>
          </w:p>
          <w:p>
            <w:pPr>
              <w:adjustRightInd w:val="0"/>
              <w:snapToGrid w:val="0"/>
              <w:spacing w:line="360" w:lineRule="auto"/>
              <w:jc w:val="left"/>
              <w:rPr>
                <w:rFonts w:hint="eastAsia" w:ascii="宋体" w:hAnsi="宋体" w:cs="宋体"/>
                <w:sz w:val="24"/>
              </w:rPr>
            </w:pPr>
            <w:r>
              <w:rPr>
                <w:rFonts w:hint="eastAsia" w:ascii="宋体" w:hAnsi="宋体" w:cs="宋体"/>
                <w:sz w:val="24"/>
              </w:rPr>
              <w:t>■ 桶盖两侧拉手在原有的设计上又增加了加强筋，增强桶盖部位受力强度，增加提手的耐用性；延长了桶盖的使用寿命。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2" w:hRule="atLeast"/>
        </w:trPr>
        <w:tc>
          <w:tcPr>
            <w:tcW w:w="4902" w:type="dxa"/>
            <w:noWrap w:val="0"/>
            <w:vAlign w:val="center"/>
          </w:tcPr>
          <w:p>
            <w:pPr>
              <w:adjustRightInd w:val="0"/>
              <w:snapToGrid w:val="0"/>
              <w:spacing w:line="360" w:lineRule="auto"/>
              <w:jc w:val="center"/>
              <w:rPr>
                <w:rFonts w:hint="eastAsia" w:ascii="宋体" w:hAnsi="宋体" w:eastAsia="宋体" w:cs="宋体"/>
                <w:b/>
                <w:sz w:val="24"/>
                <w:lang w:eastAsia="zh-CN"/>
              </w:rPr>
            </w:pPr>
          </w:p>
          <w:p>
            <w:pPr>
              <w:adjustRightInd w:val="0"/>
              <w:snapToGrid w:val="0"/>
              <w:spacing w:line="360" w:lineRule="auto"/>
              <w:jc w:val="center"/>
              <w:rPr>
                <w:rFonts w:hint="eastAsia" w:ascii="宋体" w:hAnsi="宋体" w:eastAsia="宋体" w:cs="宋体"/>
                <w:b/>
                <w:sz w:val="24"/>
                <w:lang w:eastAsia="zh-CN"/>
              </w:rPr>
            </w:pPr>
            <w:r>
              <w:rPr>
                <w:rFonts w:hint="eastAsia" w:ascii="宋体" w:hAnsi="宋体" w:eastAsia="宋体" w:cs="宋体"/>
                <w:b/>
                <w:sz w:val="24"/>
                <w:lang w:eastAsia="zh-CN"/>
              </w:rPr>
              <w:drawing>
                <wp:inline distT="0" distB="0" distL="114300" distR="114300">
                  <wp:extent cx="2315845" cy="1737360"/>
                  <wp:effectExtent l="0" t="0" r="8255" b="15240"/>
                  <wp:docPr id="27" name="图片 17" descr="36bc4f2fe1fbf15d6295c272d586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36bc4f2fe1fbf15d6295c272d586d04"/>
                          <pic:cNvPicPr>
                            <a:picLocks noChangeAspect="1"/>
                          </pic:cNvPicPr>
                        </pic:nvPicPr>
                        <pic:blipFill>
                          <a:blip r:embed="rId38"/>
                          <a:stretch>
                            <a:fillRect/>
                          </a:stretch>
                        </pic:blipFill>
                        <pic:spPr>
                          <a:xfrm>
                            <a:off x="0" y="0"/>
                            <a:ext cx="2315845" cy="1737360"/>
                          </a:xfrm>
                          <a:prstGeom prst="rect">
                            <a:avLst/>
                          </a:prstGeom>
                          <a:noFill/>
                          <a:ln>
                            <a:noFill/>
                          </a:ln>
                        </pic:spPr>
                      </pic:pic>
                    </a:graphicData>
                  </a:graphic>
                </wp:inline>
              </w:drawing>
            </w:r>
          </w:p>
          <w:p>
            <w:pPr>
              <w:adjustRightInd w:val="0"/>
              <w:snapToGrid w:val="0"/>
              <w:spacing w:line="360" w:lineRule="auto"/>
              <w:jc w:val="center"/>
              <w:rPr>
                <w:rFonts w:hint="eastAsia" w:ascii="宋体" w:hAnsi="宋体" w:cs="宋体"/>
                <w:sz w:val="24"/>
              </w:rPr>
            </w:pPr>
          </w:p>
        </w:tc>
        <w:tc>
          <w:tcPr>
            <w:tcW w:w="4758" w:type="dxa"/>
            <w:noWrap w:val="0"/>
            <w:vAlign w:val="center"/>
          </w:tcPr>
          <w:p>
            <w:pPr>
              <w:adjustRightInd w:val="0"/>
              <w:snapToGrid w:val="0"/>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桶体把手</w:t>
            </w:r>
          </w:p>
          <w:p>
            <w:pPr>
              <w:adjustRightInd w:val="0"/>
              <w:snapToGrid w:val="0"/>
              <w:spacing w:line="360" w:lineRule="auto"/>
              <w:rPr>
                <w:rFonts w:hint="eastAsia" w:ascii="宋体" w:hAnsi="宋体" w:cs="宋体"/>
                <w:b/>
                <w:sz w:val="24"/>
              </w:rPr>
            </w:pPr>
            <w:r>
              <w:rPr>
                <w:rFonts w:hint="eastAsia" w:ascii="宋体" w:hAnsi="宋体" w:cs="宋体"/>
                <w:sz w:val="24"/>
              </w:rPr>
              <w:t>桶的把手位置设有8条加强筋连接桶体，连接处牢固，增加桶体把手的抗冲击能力，提高了对把手的保护程度，延长了使用寿命。手柄</w:t>
            </w:r>
            <w:r>
              <w:rPr>
                <w:rFonts w:hint="eastAsia" w:ascii="宋体" w:hAnsi="宋体"/>
                <w:sz w:val="24"/>
                <w:szCs w:val="22"/>
              </w:rPr>
              <w:t>上方带有圆点防滑颗粒，下方设有符合人体工程学有手指凹凸握感</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4" w:hRule="atLeast"/>
        </w:trPr>
        <w:tc>
          <w:tcPr>
            <w:tcW w:w="4902" w:type="dxa"/>
            <w:noWrap w:val="0"/>
            <w:vAlign w:val="center"/>
          </w:tcPr>
          <w:p>
            <w:pPr>
              <w:adjustRightInd w:val="0"/>
              <w:snapToGrid w:val="0"/>
              <w:spacing w:line="360" w:lineRule="auto"/>
              <w:jc w:val="center"/>
              <w:rPr>
                <w:rFonts w:hint="eastAsia" w:ascii="宋体" w:hAnsi="宋体"/>
              </w:rPr>
            </w:pPr>
          </w:p>
          <w:p>
            <w:pPr>
              <w:adjustRightInd w:val="0"/>
              <w:snapToGrid w:val="0"/>
              <w:spacing w:line="360" w:lineRule="auto"/>
              <w:jc w:val="center"/>
              <w:rPr>
                <w:rFonts w:hint="eastAsia" w:ascii="宋体" w:hAnsi="宋体" w:cs="宋体"/>
                <w:sz w:val="24"/>
              </w:rPr>
            </w:pPr>
            <w:r>
              <w:rPr>
                <w:rFonts w:hint="eastAsia" w:ascii="宋体" w:hAnsi="宋体"/>
              </w:rPr>
              <w:drawing>
                <wp:inline distT="0" distB="0" distL="114300" distR="114300">
                  <wp:extent cx="1220470" cy="1238250"/>
                  <wp:effectExtent l="0" t="0" r="17780" b="0"/>
                  <wp:docPr id="31" name="图片 18" descr="56054920275923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560549202759237672"/>
                          <pic:cNvPicPr>
                            <a:picLocks noChangeAspect="1"/>
                          </pic:cNvPicPr>
                        </pic:nvPicPr>
                        <pic:blipFill>
                          <a:blip r:embed="rId39"/>
                          <a:stretch>
                            <a:fillRect/>
                          </a:stretch>
                        </pic:blipFill>
                        <pic:spPr>
                          <a:xfrm>
                            <a:off x="0" y="0"/>
                            <a:ext cx="1220470" cy="1238250"/>
                          </a:xfrm>
                          <a:prstGeom prst="rect">
                            <a:avLst/>
                          </a:prstGeom>
                          <a:noFill/>
                          <a:ln>
                            <a:noFill/>
                          </a:ln>
                        </pic:spPr>
                      </pic:pic>
                    </a:graphicData>
                  </a:graphic>
                </wp:inline>
              </w:drawing>
            </w:r>
          </w:p>
          <w:p>
            <w:pPr>
              <w:adjustRightInd w:val="0"/>
              <w:snapToGrid w:val="0"/>
              <w:spacing w:line="360" w:lineRule="auto"/>
              <w:jc w:val="center"/>
              <w:rPr>
                <w:rFonts w:ascii="Arial" w:hAnsi="Arial" w:cs="Arial"/>
              </w:rPr>
            </w:pPr>
          </w:p>
          <w:p>
            <w:pPr>
              <w:adjustRightInd w:val="0"/>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390775" cy="1793240"/>
                  <wp:effectExtent l="0" t="0" r="9525" b="16510"/>
                  <wp:docPr id="24" name="图片 19" descr="1c1e2cb2d8dca460fa66493c53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1c1e2cb2d8dca460fa66493c53c0008"/>
                          <pic:cNvPicPr>
                            <a:picLocks noChangeAspect="1"/>
                          </pic:cNvPicPr>
                        </pic:nvPicPr>
                        <pic:blipFill>
                          <a:blip r:embed="rId40"/>
                          <a:stretch>
                            <a:fillRect/>
                          </a:stretch>
                        </pic:blipFill>
                        <pic:spPr>
                          <a:xfrm>
                            <a:off x="0" y="0"/>
                            <a:ext cx="2390775" cy="1793240"/>
                          </a:xfrm>
                          <a:prstGeom prst="rect">
                            <a:avLst/>
                          </a:prstGeom>
                          <a:noFill/>
                          <a:ln>
                            <a:noFill/>
                          </a:ln>
                        </pic:spPr>
                      </pic:pic>
                    </a:graphicData>
                  </a:graphic>
                </wp:inline>
              </w:drawing>
            </w:r>
          </w:p>
        </w:tc>
        <w:tc>
          <w:tcPr>
            <w:tcW w:w="4758" w:type="dxa"/>
            <w:noWrap w:val="0"/>
            <w:vAlign w:val="top"/>
          </w:tcPr>
          <w:p>
            <w:pPr>
              <w:numPr>
                <w:ilvl w:val="0"/>
                <w:numId w:val="11"/>
              </w:numPr>
              <w:spacing w:line="360" w:lineRule="auto"/>
              <w:jc w:val="left"/>
              <w:rPr>
                <w:rFonts w:hint="eastAsia" w:ascii="宋体" w:hAnsi="宋体" w:cs="宋体"/>
                <w:b/>
                <w:sz w:val="24"/>
              </w:rPr>
            </w:pPr>
            <w:r>
              <w:rPr>
                <w:rFonts w:hint="eastAsia" w:ascii="宋体" w:hAnsi="宋体" w:cs="宋体"/>
                <w:b/>
                <w:sz w:val="24"/>
              </w:rPr>
              <w:t>销子</w:t>
            </w:r>
          </w:p>
          <w:p>
            <w:pPr>
              <w:adjustRightInd w:val="0"/>
              <w:snapToGrid w:val="0"/>
              <w:spacing w:line="360" w:lineRule="auto"/>
              <w:jc w:val="left"/>
              <w:rPr>
                <w:rFonts w:hint="eastAsia" w:ascii="宋体" w:hAnsi="宋体" w:cs="宋体"/>
                <w:sz w:val="24"/>
              </w:rPr>
            </w:pPr>
            <w:r>
              <w:rPr>
                <w:rFonts w:hint="eastAsia" w:ascii="宋体" w:hAnsi="宋体" w:cs="宋体"/>
                <w:sz w:val="24"/>
              </w:rPr>
              <w:t>销子采用ABS材质，一次性注塑成型，高强度、坚固耐用，使桶身与桶盖紧密相连，不会脱落，可反复开关达百万次以上，并具有防盗功能。</w:t>
            </w:r>
          </w:p>
          <w:p>
            <w:pPr>
              <w:adjustRightInd w:val="0"/>
              <w:snapToGrid w:val="0"/>
              <w:spacing w:line="360" w:lineRule="auto"/>
              <w:jc w:val="left"/>
              <w:rPr>
                <w:rFonts w:hint="eastAsia" w:ascii="宋体" w:hAnsi="宋体" w:cs="宋体"/>
                <w:sz w:val="24"/>
              </w:rPr>
            </w:pPr>
          </w:p>
          <w:p>
            <w:pPr>
              <w:adjustRightInd w:val="0"/>
              <w:snapToGrid w:val="0"/>
              <w:spacing w:line="360" w:lineRule="auto"/>
              <w:jc w:val="left"/>
              <w:rPr>
                <w:rFonts w:hint="eastAsia" w:ascii="宋体" w:hAnsi="宋体" w:cs="宋体"/>
                <w:sz w:val="24"/>
              </w:rPr>
            </w:pPr>
          </w:p>
          <w:p>
            <w:pPr>
              <w:adjustRightInd w:val="0"/>
              <w:snapToGrid w:val="0"/>
              <w:spacing w:line="360" w:lineRule="auto"/>
              <w:jc w:val="left"/>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桶沿口</w:t>
            </w:r>
          </w:p>
          <w:p>
            <w:pPr>
              <w:adjustRightInd w:val="0"/>
              <w:snapToGrid w:val="0"/>
              <w:spacing w:line="360" w:lineRule="auto"/>
              <w:jc w:val="left"/>
              <w:rPr>
                <w:rFonts w:hint="eastAsia" w:ascii="宋体" w:hAnsi="宋体" w:cs="宋体"/>
                <w:b/>
                <w:sz w:val="24"/>
              </w:rPr>
            </w:pPr>
            <w:r>
              <w:rPr>
                <w:rFonts w:hint="eastAsia" w:ascii="宋体" w:hAnsi="宋体" w:cs="宋体"/>
                <w:sz w:val="24"/>
              </w:rPr>
              <w:t>垃圾桶沿口选用最新的</w:t>
            </w:r>
            <w:r>
              <w:rPr>
                <w:rFonts w:hint="eastAsia" w:ascii="宋体" w:hAnsi="宋体" w:cs="宋体"/>
                <w:b/>
                <w:sz w:val="24"/>
              </w:rPr>
              <w:t>双裙边设计</w:t>
            </w:r>
            <w:r>
              <w:rPr>
                <w:rFonts w:hint="eastAsia" w:ascii="宋体" w:hAnsi="宋体" w:cs="宋体"/>
                <w:sz w:val="24"/>
              </w:rPr>
              <w:t>，设有网状加强筋，加强桶沿口在提升架时有足够的机械强度同时也使用户可选择在预留的位置上安装</w:t>
            </w:r>
            <w:r>
              <w:rPr>
                <w:rFonts w:hint="eastAsia" w:ascii="宋体" w:hAnsi="宋体" w:cs="宋体"/>
                <w:b/>
                <w:sz w:val="24"/>
              </w:rPr>
              <w:t>智能身份识别卡进行电子化管理</w:t>
            </w:r>
            <w:r>
              <w:rPr>
                <w:rFonts w:hint="eastAsia" w:ascii="宋体" w:hAnsi="宋体" w:cs="宋体"/>
                <w:sz w:val="24"/>
              </w:rPr>
              <w:t>从而提高管理化的程度。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4" w:hRule="atLeast"/>
        </w:trPr>
        <w:tc>
          <w:tcPr>
            <w:tcW w:w="4902" w:type="dxa"/>
            <w:noWrap w:val="0"/>
            <w:vAlign w:val="center"/>
          </w:tcPr>
          <w:p>
            <w:pPr>
              <w:spacing w:line="360" w:lineRule="auto"/>
              <w:jc w:val="center"/>
              <w:rPr>
                <w:rFonts w:hint="eastAsia" w:ascii="宋体" w:hAnsi="宋体" w:eastAsia="宋体" w:cs="宋体"/>
                <w:b/>
                <w:color w:val="0033CC"/>
                <w:sz w:val="24"/>
                <w:lang w:eastAsia="zh-CN"/>
              </w:rPr>
            </w:pPr>
            <w:r>
              <w:drawing>
                <wp:inline distT="0" distB="0" distL="114300" distR="114300">
                  <wp:extent cx="2411730" cy="1795780"/>
                  <wp:effectExtent l="0" t="0" r="7620" b="1397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41"/>
                          <a:stretch>
                            <a:fillRect/>
                          </a:stretch>
                        </pic:blipFill>
                        <pic:spPr>
                          <a:xfrm>
                            <a:off x="0" y="0"/>
                            <a:ext cx="2411730" cy="1795780"/>
                          </a:xfrm>
                          <a:prstGeom prst="rect">
                            <a:avLst/>
                          </a:prstGeom>
                          <a:noFill/>
                          <a:ln>
                            <a:noFill/>
                          </a:ln>
                        </pic:spPr>
                      </pic:pic>
                    </a:graphicData>
                  </a:graphic>
                </wp:inline>
              </w:drawing>
            </w:r>
          </w:p>
        </w:tc>
        <w:tc>
          <w:tcPr>
            <w:tcW w:w="4758" w:type="dxa"/>
            <w:noWrap w:val="0"/>
            <w:vAlign w:val="center"/>
          </w:tcPr>
          <w:p>
            <w:pPr>
              <w:spacing w:line="360" w:lineRule="auto"/>
              <w:ind w:left="210" w:leftChars="100"/>
              <w:jc w:val="left"/>
              <w:rPr>
                <w:rFonts w:hint="eastAsia" w:ascii="宋体" w:hAnsi="宋体" w:cs="宋体"/>
                <w:sz w:val="24"/>
              </w:rPr>
            </w:pPr>
            <w:r>
              <w:rPr>
                <w:rFonts w:hint="eastAsia" w:ascii="宋体" w:hAnsi="宋体" w:cs="宋体"/>
                <w:sz w:val="24"/>
              </w:rPr>
              <w:t>■</w:t>
            </w:r>
            <w:r>
              <w:rPr>
                <w:rFonts w:hint="eastAsia" w:ascii="宋体" w:hAnsi="宋体"/>
                <w:sz w:val="24"/>
                <w:szCs w:val="22"/>
                <w:lang w:val="zh-CN"/>
              </w:rPr>
              <w:t>桶体</w:t>
            </w:r>
            <w:r>
              <w:rPr>
                <w:rFonts w:hint="eastAsia" w:ascii="宋体" w:hAnsi="宋体"/>
                <w:color w:val="000000"/>
                <w:sz w:val="24"/>
                <w:szCs w:val="22"/>
                <w:lang w:val="zh-CN"/>
              </w:rPr>
              <w:t>底部中间部位采用</w:t>
            </w:r>
            <w:r>
              <w:rPr>
                <w:rFonts w:hint="eastAsia" w:ascii="宋体" w:hAnsi="宋体"/>
                <w:color w:val="000000"/>
                <w:sz w:val="24"/>
              </w:rPr>
              <w:t>≥</w:t>
            </w:r>
            <w:r>
              <w:rPr>
                <w:rFonts w:hint="eastAsia" w:ascii="宋体" w:hAnsi="宋体"/>
                <w:color w:val="000000"/>
                <w:sz w:val="24"/>
                <w:szCs w:val="22"/>
              </w:rPr>
              <w:t>14</w:t>
            </w:r>
            <w:r>
              <w:rPr>
                <w:rFonts w:hint="eastAsia" w:ascii="宋体" w:hAnsi="宋体" w:cs="宋体"/>
                <w:color w:val="000000"/>
                <w:sz w:val="24"/>
                <w:szCs w:val="22"/>
              </w:rPr>
              <w:t>×</w:t>
            </w:r>
            <w:r>
              <w:rPr>
                <w:rFonts w:hint="eastAsia" w:ascii="宋体" w:hAnsi="宋体"/>
                <w:color w:val="000000"/>
                <w:sz w:val="24"/>
                <w:szCs w:val="22"/>
              </w:rPr>
              <w:t>15cm的</w:t>
            </w:r>
            <w:r>
              <w:rPr>
                <w:rFonts w:hint="eastAsia" w:ascii="宋体" w:hAnsi="宋体"/>
                <w:color w:val="000000"/>
                <w:sz w:val="24"/>
                <w:szCs w:val="22"/>
                <w:lang w:val="zh-CN"/>
              </w:rPr>
              <w:t>放射状的加强筋设计，放射状四周采用六边形的蜂窝状加强</w:t>
            </w:r>
            <w:r>
              <w:rPr>
                <w:rFonts w:hint="eastAsia" w:ascii="宋体" w:hAnsi="宋体"/>
                <w:color w:val="000000"/>
                <w:sz w:val="24"/>
                <w:szCs w:val="22"/>
              </w:rPr>
              <w:t>筋</w:t>
            </w:r>
            <w:r>
              <w:rPr>
                <w:rFonts w:hint="eastAsia" w:ascii="宋体" w:hAnsi="宋体"/>
                <w:color w:val="000000"/>
                <w:sz w:val="24"/>
                <w:szCs w:val="22"/>
                <w:lang w:val="zh-CN"/>
              </w:rPr>
              <w:t>，其中蜂窝状的注塑高度</w:t>
            </w:r>
            <w:r>
              <w:rPr>
                <w:rFonts w:hint="eastAsia" w:ascii="宋体" w:hAnsi="宋体"/>
                <w:color w:val="000000"/>
                <w:sz w:val="24"/>
              </w:rPr>
              <w:t>≥</w:t>
            </w:r>
            <w:r>
              <w:rPr>
                <w:rFonts w:hint="eastAsia" w:ascii="宋体" w:hAnsi="宋体"/>
                <w:color w:val="000000"/>
                <w:sz w:val="24"/>
                <w:szCs w:val="22"/>
              </w:rPr>
              <w:t>2mm，</w:t>
            </w:r>
            <w:r>
              <w:rPr>
                <w:rFonts w:hint="eastAsia" w:ascii="宋体" w:hAnsi="宋体"/>
                <w:color w:val="000000"/>
                <w:sz w:val="24"/>
                <w:szCs w:val="22"/>
                <w:lang w:val="zh-CN"/>
              </w:rPr>
              <w:t>减少垃圾对桶底部的冲击力；桶底与地面间距≥</w:t>
            </w:r>
            <w:r>
              <w:rPr>
                <w:rFonts w:hint="eastAsia" w:ascii="宋体" w:hAnsi="宋体"/>
                <w:color w:val="000000"/>
                <w:sz w:val="24"/>
                <w:szCs w:val="22"/>
              </w:rPr>
              <w:t>1.5cm</w:t>
            </w:r>
            <w:r>
              <w:rPr>
                <w:rFonts w:hint="eastAsia" w:ascii="宋体" w:hAnsi="宋体"/>
                <w:color w:val="000000"/>
                <w:sz w:val="24"/>
                <w:szCs w:val="22"/>
                <w:lang w:val="zh-CN"/>
              </w:rPr>
              <w:t>，使垃圾桶放置更平稳，配有</w:t>
            </w:r>
            <w:r>
              <w:rPr>
                <w:rFonts w:hint="eastAsia" w:ascii="宋体" w:hAnsi="宋体"/>
                <w:color w:val="000000"/>
                <w:sz w:val="24"/>
              </w:rPr>
              <w:t>≥</w:t>
            </w:r>
            <w:r>
              <w:rPr>
                <w:rFonts w:hint="eastAsia" w:ascii="宋体" w:hAnsi="宋体"/>
                <w:color w:val="000000"/>
                <w:sz w:val="24"/>
                <w:szCs w:val="22"/>
                <w:lang w:val="en-US" w:eastAsia="zh-CN"/>
              </w:rPr>
              <w:t>2</w:t>
            </w:r>
            <w:r>
              <w:rPr>
                <w:rFonts w:hint="eastAsia" w:ascii="宋体" w:hAnsi="宋体"/>
                <w:color w:val="000000"/>
                <w:sz w:val="24"/>
                <w:szCs w:val="22"/>
              </w:rPr>
              <w:t>0</w:t>
            </w:r>
            <w:r>
              <w:rPr>
                <w:rFonts w:hint="eastAsia" w:ascii="宋体" w:hAnsi="宋体"/>
                <w:color w:val="000000"/>
                <w:sz w:val="24"/>
                <w:szCs w:val="22"/>
                <w:lang w:val="zh-CN"/>
              </w:rPr>
              <w:t>颗</w:t>
            </w:r>
            <w:r>
              <w:rPr>
                <w:rFonts w:hint="eastAsia" w:ascii="宋体" w:hAnsi="宋体"/>
                <w:color w:val="000000"/>
                <w:sz w:val="24"/>
                <w:szCs w:val="22"/>
              </w:rPr>
              <w:t>ABS材质的</w:t>
            </w:r>
            <w:r>
              <w:rPr>
                <w:rFonts w:hint="eastAsia" w:ascii="宋体" w:hAnsi="宋体"/>
                <w:color w:val="000000"/>
                <w:sz w:val="24"/>
                <w:szCs w:val="22"/>
                <w:lang w:val="zh-CN"/>
              </w:rPr>
              <w:t>耐磨钉</w:t>
            </w:r>
            <w:r>
              <w:rPr>
                <w:rFonts w:hint="eastAsia" w:ascii="宋体" w:hAnsi="宋体"/>
                <w:sz w:val="24"/>
                <w:szCs w:val="22"/>
                <w:lang w:val="zh-CN"/>
              </w:rPr>
              <w:t>，桶底安装橡胶材质一次性成型的</w:t>
            </w:r>
            <w:r>
              <w:rPr>
                <w:rFonts w:ascii="宋体" w:hAnsi="宋体"/>
                <w:sz w:val="24"/>
                <w:szCs w:val="22"/>
              </w:rPr>
              <w:t>U</w:t>
            </w:r>
            <w:r>
              <w:rPr>
                <w:rFonts w:hint="eastAsia" w:ascii="宋体" w:hAnsi="宋体"/>
                <w:sz w:val="24"/>
                <w:szCs w:val="22"/>
              </w:rPr>
              <w:t>型</w:t>
            </w:r>
            <w:r>
              <w:rPr>
                <w:rFonts w:hint="eastAsia" w:ascii="宋体" w:hAnsi="宋体"/>
                <w:sz w:val="24"/>
                <w:szCs w:val="22"/>
                <w:lang w:val="zh-CN"/>
              </w:rPr>
              <w:t>耐磨条的，与地面接触过程中减少磨损。</w:t>
            </w:r>
            <w:r>
              <w:rPr>
                <w:rFonts w:hint="eastAsia" w:ascii="宋体" w:hAnsi="宋体"/>
                <w:sz w:val="24"/>
                <w:szCs w:val="22"/>
              </w:rPr>
              <w:t>桶底底部预留</w:t>
            </w:r>
            <w:r>
              <w:rPr>
                <w:rFonts w:hint="eastAsia" w:ascii="宋体" w:hAnsi="宋体" w:cs="宋体"/>
                <w:sz w:val="24"/>
                <w:szCs w:val="22"/>
              </w:rPr>
              <w:t>≥</w:t>
            </w:r>
            <w:r>
              <w:rPr>
                <w:rFonts w:hint="eastAsia" w:ascii="宋体" w:hAnsi="宋体"/>
                <w:sz w:val="24"/>
                <w:szCs w:val="22"/>
              </w:rPr>
              <w:t>10</w:t>
            </w:r>
            <w:r>
              <w:rPr>
                <w:rFonts w:hint="eastAsia" w:ascii="宋体" w:hAnsi="宋体" w:cs="宋体"/>
                <w:sz w:val="24"/>
                <w:szCs w:val="22"/>
              </w:rPr>
              <w:t>×</w:t>
            </w:r>
            <w:r>
              <w:rPr>
                <w:rFonts w:hint="eastAsia" w:ascii="宋体" w:hAnsi="宋体"/>
                <w:sz w:val="24"/>
                <w:szCs w:val="22"/>
              </w:rPr>
              <w:t>3.5cm的长方形凹槽，必要时可以添加生产企业名称、电话和出厂年月；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1" w:hRule="atLeast"/>
        </w:trPr>
        <w:tc>
          <w:tcPr>
            <w:tcW w:w="4902" w:type="dxa"/>
            <w:noWrap w:val="0"/>
            <w:vAlign w:val="center"/>
          </w:tcPr>
          <w:p>
            <w:pPr>
              <w:adjustRightInd w:val="0"/>
              <w:snapToGrid w:val="0"/>
              <w:spacing w:line="360" w:lineRule="auto"/>
              <w:jc w:val="center"/>
              <w:rPr>
                <w:rFonts w:hint="eastAsia" w:ascii="宋体" w:hAnsi="宋体" w:eastAsia="宋体" w:cs="宋体"/>
                <w:b/>
                <w:color w:val="0033CC"/>
                <w:sz w:val="24"/>
                <w:lang w:eastAsia="zh-CN"/>
              </w:rPr>
            </w:pPr>
            <w:r>
              <w:rPr>
                <w:rFonts w:hint="eastAsia" w:ascii="宋体" w:hAnsi="宋体" w:eastAsia="宋体" w:cs="宋体"/>
                <w:b/>
                <w:color w:val="0033CC"/>
                <w:sz w:val="24"/>
                <w:lang w:eastAsia="zh-CN"/>
              </w:rPr>
              <w:drawing>
                <wp:inline distT="0" distB="0" distL="114300" distR="114300">
                  <wp:extent cx="2421890" cy="1816735"/>
                  <wp:effectExtent l="0" t="0" r="16510" b="12065"/>
                  <wp:docPr id="25" name="图片 21" descr="08ea5c492a643e00672be8a7799b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08ea5c492a643e00672be8a7799b4f6"/>
                          <pic:cNvPicPr>
                            <a:picLocks noChangeAspect="1"/>
                          </pic:cNvPicPr>
                        </pic:nvPicPr>
                        <pic:blipFill>
                          <a:blip r:embed="rId42"/>
                          <a:stretch>
                            <a:fillRect/>
                          </a:stretch>
                        </pic:blipFill>
                        <pic:spPr>
                          <a:xfrm>
                            <a:off x="0" y="0"/>
                            <a:ext cx="2421890" cy="1816735"/>
                          </a:xfrm>
                          <a:prstGeom prst="rect">
                            <a:avLst/>
                          </a:prstGeom>
                          <a:noFill/>
                          <a:ln>
                            <a:noFill/>
                          </a:ln>
                        </pic:spPr>
                      </pic:pic>
                    </a:graphicData>
                  </a:graphic>
                </wp:inline>
              </w:drawing>
            </w:r>
          </w:p>
        </w:tc>
        <w:tc>
          <w:tcPr>
            <w:tcW w:w="4758" w:type="dxa"/>
            <w:noWrap w:val="0"/>
            <w:vAlign w:val="center"/>
          </w:tcPr>
          <w:p>
            <w:pPr>
              <w:adjustRightInd w:val="0"/>
              <w:snapToGrid w:val="0"/>
              <w:spacing w:line="360" w:lineRule="auto"/>
              <w:jc w:val="center"/>
              <w:rPr>
                <w:rFonts w:hint="eastAsia" w:ascii="宋体" w:hAnsi="宋体" w:cs="宋体"/>
                <w:b/>
                <w:sz w:val="24"/>
              </w:rPr>
            </w:pPr>
          </w:p>
          <w:p>
            <w:pPr>
              <w:spacing w:line="360" w:lineRule="auto"/>
              <w:jc w:val="left"/>
              <w:rPr>
                <w:rFonts w:ascii="宋体" w:hAnsi="宋体" w:cs="宋体"/>
                <w:b/>
                <w:sz w:val="24"/>
              </w:rPr>
            </w:pPr>
            <w:r>
              <w:rPr>
                <w:rFonts w:hint="eastAsia" w:ascii="宋体" w:hAnsi="宋体" w:cs="宋体"/>
                <w:b/>
                <w:sz w:val="24"/>
                <w:szCs w:val="24"/>
              </w:rPr>
              <w:t xml:space="preserve">■ </w:t>
            </w:r>
            <w:r>
              <w:rPr>
                <w:rFonts w:hint="eastAsia" w:ascii="宋体" w:hAnsi="宋体"/>
                <w:sz w:val="24"/>
                <w:szCs w:val="24"/>
              </w:rPr>
              <w:t>垃圾桶把手边缘设有专门的垃圾袋收纳结构，方便垃圾袋固定；</w:t>
            </w:r>
          </w:p>
          <w:p>
            <w:pPr>
              <w:snapToGrid w:val="0"/>
              <w:spacing w:line="360" w:lineRule="auto"/>
              <w:jc w:val="left"/>
              <w:rPr>
                <w:rFonts w:ascii="宋体" w:hAnsi="宋体" w:cs="宋体"/>
                <w:sz w:val="24"/>
              </w:rPr>
            </w:pPr>
          </w:p>
          <w:p>
            <w:pPr>
              <w:adjustRightInd w:val="0"/>
              <w:snapToGrid w:val="0"/>
              <w:spacing w:line="360" w:lineRule="auto"/>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8" w:hRule="atLeast"/>
        </w:trPr>
        <w:tc>
          <w:tcPr>
            <w:tcW w:w="4902" w:type="dxa"/>
            <w:noWrap w:val="0"/>
            <w:vAlign w:val="center"/>
          </w:tcPr>
          <w:p>
            <w:pPr>
              <w:adjustRightInd w:val="0"/>
              <w:snapToGrid w:val="0"/>
              <w:spacing w:line="360" w:lineRule="auto"/>
              <w:jc w:val="center"/>
              <w:rPr>
                <w:rFonts w:hint="eastAsia" w:ascii="宋体" w:hAnsi="宋体" w:cs="宋体"/>
                <w:b/>
                <w:sz w:val="24"/>
              </w:rPr>
            </w:pPr>
            <w:r>
              <w:rPr>
                <w:rFonts w:hint="eastAsia" w:ascii="宋体" w:hAnsi="宋体"/>
                <w:b/>
                <w:sz w:val="24"/>
              </w:rPr>
              <w:drawing>
                <wp:inline distT="0" distB="0" distL="114300" distR="114300">
                  <wp:extent cx="1549400" cy="2465705"/>
                  <wp:effectExtent l="0" t="0" r="10795" b="12700"/>
                  <wp:docPr id="32" name="图片 22" descr="微信图片_201805221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微信图片_20180522125636"/>
                          <pic:cNvPicPr>
                            <a:picLocks noChangeAspect="1"/>
                          </pic:cNvPicPr>
                        </pic:nvPicPr>
                        <pic:blipFill>
                          <a:blip r:embed="rId43"/>
                          <a:stretch>
                            <a:fillRect/>
                          </a:stretch>
                        </pic:blipFill>
                        <pic:spPr>
                          <a:xfrm rot="5400000">
                            <a:off x="0" y="0"/>
                            <a:ext cx="1549400" cy="2465705"/>
                          </a:xfrm>
                          <a:prstGeom prst="rect">
                            <a:avLst/>
                          </a:prstGeom>
                          <a:noFill/>
                          <a:ln>
                            <a:noFill/>
                          </a:ln>
                        </pic:spPr>
                      </pic:pic>
                    </a:graphicData>
                  </a:graphic>
                </wp:inline>
              </w:drawing>
            </w:r>
          </w:p>
        </w:tc>
        <w:tc>
          <w:tcPr>
            <w:tcW w:w="4758" w:type="dxa"/>
            <w:noWrap w:val="0"/>
            <w:vAlign w:val="center"/>
          </w:tcPr>
          <w:p>
            <w:pPr>
              <w:spacing w:line="360" w:lineRule="auto"/>
              <w:jc w:val="left"/>
              <w:rPr>
                <w:rFonts w:hint="eastAsia" w:ascii="宋体" w:hAnsi="宋体" w:cs="宋体"/>
                <w:b/>
                <w:sz w:val="24"/>
              </w:rPr>
            </w:pPr>
          </w:p>
          <w:p>
            <w:pPr>
              <w:spacing w:line="360" w:lineRule="auto"/>
              <w:jc w:val="left"/>
              <w:rPr>
                <w:rFonts w:hint="eastAsia" w:ascii="宋体" w:hAnsi="宋体" w:cs="宋体"/>
                <w:b/>
                <w:sz w:val="24"/>
              </w:rPr>
            </w:pPr>
            <w:r>
              <w:rPr>
                <w:rFonts w:hint="eastAsia" w:ascii="宋体" w:hAnsi="宋体" w:cs="宋体"/>
                <w:b/>
                <w:sz w:val="24"/>
              </w:rPr>
              <w:t>■ 底轴</w:t>
            </w:r>
          </w:p>
          <w:p>
            <w:pPr>
              <w:snapToGrid w:val="0"/>
              <w:spacing w:line="360" w:lineRule="auto"/>
              <w:jc w:val="left"/>
              <w:rPr>
                <w:rFonts w:hint="eastAsia" w:ascii="宋体" w:hAnsi="宋体" w:cs="宋体"/>
                <w:sz w:val="24"/>
              </w:rPr>
            </w:pPr>
            <w:r>
              <w:rPr>
                <w:rFonts w:hint="eastAsia" w:ascii="宋体" w:hAnsi="宋体" w:cs="宋体"/>
                <w:sz w:val="24"/>
              </w:rPr>
              <w:t>本轮轴</w:t>
            </w:r>
            <w:r>
              <w:rPr>
                <w:rFonts w:hint="eastAsia" w:ascii="宋体" w:hAnsi="宋体"/>
                <w:sz w:val="24"/>
              </w:rPr>
              <w:t>采用</w:t>
            </w:r>
            <w:r>
              <w:rPr>
                <w:rFonts w:hint="eastAsia" w:ascii="宋体" w:hAnsi="宋体" w:cs="宋体"/>
                <w:sz w:val="24"/>
              </w:rPr>
              <w:t>钢材料</w:t>
            </w:r>
            <w:r>
              <w:rPr>
                <w:rFonts w:hint="eastAsia" w:ascii="宋体" w:hAnsi="宋体"/>
                <w:sz w:val="24"/>
              </w:rPr>
              <w:t>，三次酸洗彻底清除氧化面，经过电镀锌特殊工艺制成的钢轮轴。</w:t>
            </w:r>
            <w:r>
              <w:rPr>
                <w:rFonts w:hint="eastAsia" w:ascii="宋体" w:hAnsi="宋体" w:cs="Arial"/>
                <w:color w:val="000000"/>
                <w:sz w:val="24"/>
              </w:rPr>
              <w:t>表面电镀锌12μ的厚度</w:t>
            </w:r>
            <w:r>
              <w:rPr>
                <w:rFonts w:hint="eastAsia" w:ascii="宋体" w:hAnsi="宋体"/>
                <w:color w:val="000000"/>
                <w:sz w:val="24"/>
              </w:rPr>
              <w:t>；</w:t>
            </w:r>
            <w:r>
              <w:rPr>
                <w:rFonts w:hint="eastAsia" w:ascii="宋体" w:hAnsi="宋体" w:cs="宋体"/>
                <w:sz w:val="24"/>
              </w:rPr>
              <w:t>坚固耐用、抗氧化，防锈时间为不少于10年，两轮可前后移动。具有较好的气密性。</w:t>
            </w:r>
          </w:p>
          <w:p>
            <w:pPr>
              <w:snapToGrid w:val="0"/>
              <w:spacing w:line="360" w:lineRule="auto"/>
              <w:jc w:val="left"/>
              <w:rPr>
                <w:rFonts w:hint="eastAsia" w:ascii="宋体" w:hAnsi="宋体" w:cs="宋体"/>
                <w:sz w:val="24"/>
              </w:rPr>
            </w:pPr>
            <w:r>
              <w:rPr>
                <w:rFonts w:hint="eastAsia" w:ascii="宋体" w:hAnsi="宋体" w:cs="宋体"/>
                <w:sz w:val="24"/>
              </w:rPr>
              <w:t>橡胶轮与底轴为固定连接的方式，防盗窃。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8" w:hRule="atLeast"/>
        </w:trPr>
        <w:tc>
          <w:tcPr>
            <w:tcW w:w="4902" w:type="dxa"/>
            <w:noWrap w:val="0"/>
            <w:vAlign w:val="center"/>
          </w:tcPr>
          <w:p>
            <w:pPr>
              <w:adjustRightInd w:val="0"/>
              <w:snapToGrid w:val="0"/>
              <w:spacing w:line="360" w:lineRule="auto"/>
              <w:jc w:val="center"/>
              <w:rPr>
                <w:rFonts w:hint="eastAsia" w:ascii="宋体" w:hAnsi="宋体" w:cs="宋体"/>
                <w:b/>
                <w:sz w:val="24"/>
              </w:rPr>
            </w:pPr>
            <w:r>
              <w:rPr>
                <w:rFonts w:hint="eastAsia" w:ascii="宋体" w:hAnsi="宋体" w:cs="Arial"/>
                <w:b/>
                <w:sz w:val="24"/>
              </w:rPr>
              <w:drawing>
                <wp:inline distT="0" distB="0" distL="114300" distR="114300">
                  <wp:extent cx="2196465" cy="2131060"/>
                  <wp:effectExtent l="0" t="0" r="13335" b="2540"/>
                  <wp:docPr id="33" name="图片 23"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图片1_副本"/>
                          <pic:cNvPicPr>
                            <a:picLocks noChangeAspect="1"/>
                          </pic:cNvPicPr>
                        </pic:nvPicPr>
                        <pic:blipFill>
                          <a:blip r:embed="rId44"/>
                          <a:stretch>
                            <a:fillRect/>
                          </a:stretch>
                        </pic:blipFill>
                        <pic:spPr>
                          <a:xfrm>
                            <a:off x="0" y="0"/>
                            <a:ext cx="2196465" cy="2131060"/>
                          </a:xfrm>
                          <a:prstGeom prst="rect">
                            <a:avLst/>
                          </a:prstGeom>
                          <a:noFill/>
                          <a:ln>
                            <a:noFill/>
                          </a:ln>
                        </pic:spPr>
                      </pic:pic>
                    </a:graphicData>
                  </a:graphic>
                </wp:inline>
              </w:drawing>
            </w:r>
          </w:p>
        </w:tc>
        <w:tc>
          <w:tcPr>
            <w:tcW w:w="4758" w:type="dxa"/>
            <w:noWrap w:val="0"/>
            <w:vAlign w:val="center"/>
          </w:tcPr>
          <w:p>
            <w:pPr>
              <w:spacing w:line="360" w:lineRule="auto"/>
              <w:jc w:val="left"/>
              <w:rPr>
                <w:rFonts w:hint="eastAsia" w:ascii="宋体" w:hAnsi="宋体" w:cs="宋体"/>
                <w:b/>
                <w:sz w:val="24"/>
              </w:rPr>
            </w:pPr>
            <w:r>
              <w:rPr>
                <w:rFonts w:hint="eastAsia" w:ascii="宋体" w:hAnsi="宋体" w:cs="宋体"/>
                <w:b/>
                <w:sz w:val="24"/>
              </w:rPr>
              <w:t>■ 橡胶轮</w:t>
            </w:r>
          </w:p>
          <w:p>
            <w:pPr>
              <w:adjustRightInd w:val="0"/>
              <w:snapToGrid w:val="0"/>
              <w:spacing w:line="360" w:lineRule="auto"/>
              <w:jc w:val="left"/>
              <w:rPr>
                <w:rFonts w:hint="eastAsia" w:ascii="宋体" w:hAnsi="宋体" w:cs="宋体"/>
                <w:sz w:val="24"/>
              </w:rPr>
            </w:pPr>
            <w:r>
              <w:rPr>
                <w:rFonts w:hint="eastAsia" w:ascii="宋体" w:hAnsi="宋体" w:cs="宋体"/>
                <w:sz w:val="24"/>
              </w:rPr>
              <w:t>轮胎采用优质的天然橡胶，按照相当于生产汽车轮胎的技术标准制造而成的橡胶实心轮胎。轮盘采用高密度聚乙烯原料，利用独特的工艺，一次注塑成型，是其他同类产品所不能比拟的。移动轮采用专利技术固定，不会被盗卸，橡胶硬度测试达到65±5以确保清运过程动作平稳，便于清洗。</w:t>
            </w:r>
          </w:p>
          <w:p>
            <w:pPr>
              <w:snapToGrid w:val="0"/>
              <w:spacing w:line="360" w:lineRule="auto"/>
              <w:jc w:val="left"/>
              <w:rPr>
                <w:rFonts w:hint="eastAsia" w:ascii="宋体" w:hAnsi="宋体" w:cs="宋体"/>
                <w:sz w:val="24"/>
              </w:rPr>
            </w:pPr>
          </w:p>
        </w:tc>
      </w:tr>
    </w:tbl>
    <w:p>
      <w:pPr>
        <w:rPr>
          <w:rFonts w:hint="eastAsia" w:eastAsia="宋体"/>
          <w:lang w:eastAsia="zh-CN"/>
        </w:rPr>
      </w:pPr>
      <w:r>
        <w:rPr>
          <w:rFonts w:hint="eastAsia" w:ascii="宋体" w:hAnsi="宋体" w:eastAsia="宋体" w:cs="宋体"/>
        </w:rPr>
        <w:t>＊</w:t>
      </w:r>
      <w:r>
        <w:rPr>
          <w:rFonts w:hint="eastAsia" w:eastAsia="宋体"/>
          <w:lang w:eastAsia="zh-CN"/>
        </w:rPr>
        <w:t>投标样品请携带本色垃圾桶一只，不提供样品或提供不符合要求的做废标处理。</w:t>
      </w:r>
    </w:p>
    <w:p>
      <w:pPr>
        <w:spacing w:line="400" w:lineRule="exact"/>
        <w:rPr>
          <w:rFonts w:hint="eastAsia"/>
          <w:b/>
          <w:sz w:val="24"/>
          <w:szCs w:val="24"/>
        </w:rPr>
      </w:pPr>
    </w:p>
    <w:p>
      <w:pPr>
        <w:pStyle w:val="15"/>
        <w:ind w:firstLine="0" w:firstLineChars="0"/>
        <w:jc w:val="center"/>
        <w:rPr>
          <w:rFonts w:hint="eastAsia" w:ascii="宋体" w:hAnsi="宋体" w:eastAsia="宋体" w:cs="黑体"/>
          <w:b/>
          <w:color w:val="000000"/>
          <w:kern w:val="2"/>
          <w:sz w:val="44"/>
          <w:szCs w:val="44"/>
          <w:lang w:val="en-US" w:eastAsia="zh-CN" w:bidi="ar-SA"/>
        </w:rPr>
      </w:pPr>
    </w:p>
    <w:p>
      <w:pPr>
        <w:pStyle w:val="15"/>
        <w:ind w:firstLine="0" w:firstLineChars="0"/>
        <w:jc w:val="center"/>
        <w:rPr>
          <w:rFonts w:hint="eastAsia" w:ascii="宋体" w:hAnsi="宋体" w:eastAsia="宋体" w:cs="黑体"/>
          <w:b/>
          <w:color w:val="000000"/>
          <w:kern w:val="2"/>
          <w:sz w:val="44"/>
          <w:szCs w:val="44"/>
          <w:lang w:val="en-US" w:eastAsia="zh-CN" w:bidi="ar-SA"/>
        </w:rPr>
      </w:pPr>
    </w:p>
    <w:p>
      <w:pPr>
        <w:pStyle w:val="15"/>
        <w:ind w:firstLine="0" w:firstLineChars="0"/>
        <w:jc w:val="center"/>
      </w:pPr>
      <w:r>
        <w:rPr>
          <w:rFonts w:hint="eastAsia" w:ascii="宋体" w:hAnsi="宋体" w:eastAsia="宋体" w:cs="黑体"/>
          <w:b/>
          <w:color w:val="000000"/>
          <w:kern w:val="2"/>
          <w:sz w:val="44"/>
          <w:szCs w:val="44"/>
          <w:lang w:val="en-US" w:eastAsia="zh-CN" w:bidi="ar-SA"/>
        </w:rPr>
        <w:t>5L垃圾桶</w:t>
      </w:r>
      <w:r>
        <w:rPr>
          <w:rFonts w:hint="eastAsia"/>
          <w:lang w:val="en-US" w:eastAsia="zh-CN"/>
        </w:rPr>
        <w:t xml:space="preserve"> </w:t>
      </w:r>
    </w:p>
    <w:p>
      <w:pPr>
        <w:pStyle w:val="15"/>
        <w:ind w:firstLine="0" w:firstLineChars="0"/>
        <w:jc w:val="center"/>
        <w:rPr>
          <w:rFonts w:hint="eastAsia" w:ascii="宋体" w:hAnsi="宋体" w:eastAsia="宋体" w:cs="黑体"/>
          <w:b/>
          <w:color w:val="000000"/>
          <w:kern w:val="2"/>
          <w:sz w:val="44"/>
          <w:szCs w:val="44"/>
          <w:lang w:val="en-US" w:eastAsia="zh-CN" w:bidi="ar-SA"/>
        </w:rPr>
      </w:pPr>
    </w:p>
    <w:p>
      <w:pPr>
        <w:pStyle w:val="15"/>
        <w:ind w:firstLine="0" w:firstLineChars="0"/>
        <w:jc w:val="center"/>
        <w:rPr>
          <w:rFonts w:hint="eastAsia" w:ascii="宋体" w:hAnsi="宋体" w:eastAsia="宋体" w:cs="黑体"/>
          <w:b/>
          <w:color w:val="000000"/>
          <w:kern w:val="2"/>
          <w:sz w:val="44"/>
          <w:szCs w:val="44"/>
          <w:lang w:val="en-US" w:eastAsia="zh-CN" w:bidi="ar-SA"/>
        </w:rPr>
      </w:pPr>
      <w:r>
        <w:rPr>
          <w:rFonts w:hint="eastAsia"/>
          <w:lang w:val="en-US" w:eastAsia="zh-CN"/>
        </w:rPr>
        <w:drawing>
          <wp:anchor distT="0" distB="0" distL="114935" distR="114935" simplePos="0" relativeHeight="251659264" behindDoc="0" locked="0" layoutInCell="1" allowOverlap="1">
            <wp:simplePos x="0" y="0"/>
            <wp:positionH relativeFrom="column">
              <wp:posOffset>1572895</wp:posOffset>
            </wp:positionH>
            <wp:positionV relativeFrom="paragraph">
              <wp:posOffset>6350</wp:posOffset>
            </wp:positionV>
            <wp:extent cx="3092450" cy="3355975"/>
            <wp:effectExtent l="0" t="0" r="12700" b="15875"/>
            <wp:wrapNone/>
            <wp:docPr id="34" name="图片 24" descr="209A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209A5326-"/>
                    <pic:cNvPicPr>
                      <a:picLocks noChangeAspect="1"/>
                    </pic:cNvPicPr>
                  </pic:nvPicPr>
                  <pic:blipFill>
                    <a:blip r:embed="rId45"/>
                    <a:stretch>
                      <a:fillRect/>
                    </a:stretch>
                  </pic:blipFill>
                  <pic:spPr>
                    <a:xfrm>
                      <a:off x="0" y="0"/>
                      <a:ext cx="3092450" cy="3355975"/>
                    </a:xfrm>
                    <a:prstGeom prst="rect">
                      <a:avLst/>
                    </a:prstGeom>
                    <a:noFill/>
                    <a:ln>
                      <a:noFill/>
                    </a:ln>
                  </pic:spPr>
                </pic:pic>
              </a:graphicData>
            </a:graphic>
          </wp:anchor>
        </w:drawing>
      </w:r>
    </w:p>
    <w:p>
      <w:pPr>
        <w:pStyle w:val="15"/>
        <w:ind w:firstLine="0" w:firstLineChars="0"/>
        <w:jc w:val="center"/>
        <w:rPr>
          <w:rFonts w:hint="eastAsia" w:ascii="宋体" w:hAnsi="宋体" w:eastAsia="宋体" w:cs="黑体"/>
          <w:b/>
          <w:color w:val="000000"/>
          <w:kern w:val="2"/>
          <w:sz w:val="44"/>
          <w:szCs w:val="44"/>
          <w:lang w:val="en-US" w:eastAsia="zh-CN" w:bidi="ar-SA"/>
        </w:rPr>
      </w:pPr>
    </w:p>
    <w:p>
      <w:pPr>
        <w:pStyle w:val="15"/>
        <w:ind w:firstLine="0" w:firstLineChars="0"/>
        <w:jc w:val="center"/>
        <w:rPr>
          <w:rFonts w:hint="eastAsia" w:ascii="宋体" w:hAnsi="宋体" w:eastAsia="宋体" w:cs="黑体"/>
          <w:b/>
          <w:color w:val="000000"/>
          <w:kern w:val="2"/>
          <w:sz w:val="44"/>
          <w:szCs w:val="44"/>
          <w:lang w:val="en-US" w:eastAsia="zh-CN" w:bidi="ar-SA"/>
        </w:rPr>
      </w:pPr>
    </w:p>
    <w:p>
      <w:pPr>
        <w:pStyle w:val="15"/>
        <w:ind w:firstLine="0" w:firstLineChars="0"/>
        <w:jc w:val="center"/>
        <w:rPr>
          <w:rFonts w:hint="eastAsia" w:ascii="宋体" w:hAnsi="宋体" w:eastAsia="宋体" w:cs="黑体"/>
          <w:b/>
          <w:color w:val="000000"/>
          <w:kern w:val="2"/>
          <w:sz w:val="44"/>
          <w:szCs w:val="44"/>
          <w:lang w:val="en-US" w:eastAsia="zh-CN" w:bidi="ar-SA"/>
        </w:rPr>
      </w:pPr>
    </w:p>
    <w:p>
      <w:pPr>
        <w:pStyle w:val="15"/>
        <w:ind w:firstLine="0" w:firstLineChars="0"/>
        <w:jc w:val="center"/>
        <w:rPr>
          <w:rFonts w:hint="eastAsia" w:ascii="宋体" w:hAnsi="宋体" w:eastAsia="宋体" w:cs="黑体"/>
          <w:b/>
          <w:color w:val="000000"/>
          <w:kern w:val="2"/>
          <w:sz w:val="44"/>
          <w:szCs w:val="44"/>
          <w:lang w:val="en-US" w:eastAsia="zh-CN" w:bidi="ar-SA"/>
        </w:rPr>
      </w:pPr>
    </w:p>
    <w:p>
      <w:pPr>
        <w:pStyle w:val="15"/>
        <w:ind w:firstLine="0" w:firstLineChars="0"/>
        <w:jc w:val="center"/>
        <w:rPr>
          <w:rFonts w:hint="eastAsia" w:cs="黑体"/>
          <w:b/>
          <w:color w:val="000000"/>
          <w:kern w:val="2"/>
          <w:sz w:val="44"/>
          <w:szCs w:val="44"/>
          <w:lang w:val="en-US" w:eastAsia="zh-CN" w:bidi="ar-SA"/>
        </w:rPr>
      </w:pPr>
      <w:r>
        <w:rPr>
          <w:rFonts w:hint="eastAsia" w:cs="黑体"/>
          <w:b/>
          <w:color w:val="000000"/>
          <w:kern w:val="2"/>
          <w:sz w:val="44"/>
          <w:szCs w:val="44"/>
          <w:lang w:val="en-US" w:eastAsia="zh-CN" w:bidi="ar-SA"/>
        </w:rPr>
        <w:t>3</w:t>
      </w:r>
    </w:p>
    <w:p>
      <w:pPr>
        <w:pStyle w:val="15"/>
        <w:ind w:firstLine="0" w:firstLineChars="0"/>
        <w:jc w:val="center"/>
        <w:rPr>
          <w:rFonts w:hint="eastAsia" w:cs="黑体"/>
          <w:b/>
          <w:color w:val="000000"/>
          <w:kern w:val="2"/>
          <w:sz w:val="44"/>
          <w:szCs w:val="44"/>
          <w:lang w:val="en-US" w:eastAsia="zh-CN" w:bidi="ar-SA"/>
        </w:rPr>
      </w:pPr>
    </w:p>
    <w:p>
      <w:pPr>
        <w:pStyle w:val="15"/>
        <w:ind w:firstLine="0" w:firstLineChars="0"/>
        <w:jc w:val="center"/>
        <w:rPr>
          <w:rFonts w:hint="eastAsia" w:cs="黑体"/>
          <w:b/>
          <w:color w:val="000000"/>
          <w:kern w:val="2"/>
          <w:sz w:val="44"/>
          <w:szCs w:val="44"/>
          <w:lang w:val="en-US" w:eastAsia="zh-CN" w:bidi="ar-SA"/>
        </w:rPr>
      </w:pPr>
    </w:p>
    <w:p>
      <w:pPr>
        <w:pStyle w:val="15"/>
        <w:ind w:firstLine="0" w:firstLineChars="0"/>
        <w:jc w:val="center"/>
        <w:rPr>
          <w:rFonts w:hint="eastAsia" w:cs="黑体"/>
          <w:b/>
          <w:color w:val="000000"/>
          <w:kern w:val="2"/>
          <w:sz w:val="44"/>
          <w:szCs w:val="44"/>
          <w:lang w:val="en-US" w:eastAsia="zh-CN" w:bidi="ar-SA"/>
        </w:rPr>
      </w:pPr>
    </w:p>
    <w:p>
      <w:pPr>
        <w:pStyle w:val="15"/>
        <w:ind w:firstLine="0" w:firstLineChars="0"/>
        <w:jc w:val="center"/>
        <w:rPr>
          <w:rFonts w:hint="default" w:cs="黑体"/>
          <w:b/>
          <w:color w:val="000000"/>
          <w:kern w:val="2"/>
          <w:sz w:val="44"/>
          <w:szCs w:val="44"/>
          <w:lang w:val="en-US" w:eastAsia="zh-CN" w:bidi="ar-SA"/>
        </w:rPr>
      </w:pPr>
    </w:p>
    <w:p>
      <w:pPr>
        <w:spacing w:line="360" w:lineRule="auto"/>
        <w:jc w:val="both"/>
        <w:rPr>
          <w:rFonts w:hint="eastAsia"/>
          <w:sz w:val="24"/>
          <w:szCs w:val="24"/>
          <w:lang w:val="en-US" w:eastAsia="zh-CN"/>
        </w:rPr>
      </w:pPr>
      <w:r>
        <w:rPr>
          <w:rFonts w:hint="eastAsia"/>
          <w:sz w:val="24"/>
          <w:szCs w:val="24"/>
          <w:lang w:val="en-US" w:eastAsia="zh-CN"/>
        </w:rPr>
        <w:t>1、容积：5-8L（±5%）</w:t>
      </w:r>
    </w:p>
    <w:p>
      <w:pPr>
        <w:spacing w:line="360" w:lineRule="auto"/>
        <w:jc w:val="both"/>
        <w:rPr>
          <w:rFonts w:hint="eastAsia"/>
          <w:sz w:val="24"/>
          <w:szCs w:val="24"/>
          <w:lang w:val="en-US" w:eastAsia="zh-CN"/>
        </w:rPr>
      </w:pPr>
      <w:r>
        <w:rPr>
          <w:rFonts w:hint="eastAsia"/>
          <w:sz w:val="24"/>
          <w:szCs w:val="24"/>
          <w:lang w:val="en-US" w:eastAsia="zh-CN"/>
        </w:rPr>
        <w:t>2、长*宽*高（mm）：255×255×260（±5mm）</w:t>
      </w:r>
    </w:p>
    <w:p>
      <w:pPr>
        <w:spacing w:line="360" w:lineRule="auto"/>
        <w:jc w:val="both"/>
        <w:rPr>
          <w:rFonts w:hint="eastAsia"/>
          <w:sz w:val="24"/>
          <w:szCs w:val="24"/>
          <w:lang w:val="en-US" w:eastAsia="zh-CN"/>
        </w:rPr>
      </w:pPr>
      <w:r>
        <w:rPr>
          <w:rFonts w:hint="eastAsia"/>
          <w:sz w:val="24"/>
          <w:szCs w:val="24"/>
          <w:lang w:val="en-US" w:eastAsia="zh-CN"/>
        </w:rPr>
        <w:t>3、整体重量：610g（因注塑工艺原因重量偏差正负5%属正常范围）</w:t>
      </w:r>
    </w:p>
    <w:p>
      <w:pPr>
        <w:spacing w:line="360" w:lineRule="auto"/>
        <w:jc w:val="both"/>
        <w:rPr>
          <w:rFonts w:hint="eastAsia"/>
          <w:sz w:val="24"/>
          <w:szCs w:val="24"/>
          <w:lang w:val="en-US" w:eastAsia="zh-CN"/>
        </w:rPr>
      </w:pPr>
      <w:r>
        <w:rPr>
          <w:rFonts w:hint="eastAsia"/>
          <w:sz w:val="24"/>
          <w:szCs w:val="24"/>
          <w:lang w:val="en-US" w:eastAsia="zh-CN"/>
        </w:rPr>
        <w:t>4、桶体平均壁厚1.8mm，桶盖厚1.5mm。材料：全新聚丙烯（PP）。高温65℃、低温-30℃的气温下，不变形，不开裂。</w:t>
      </w:r>
    </w:p>
    <w:p>
      <w:pPr>
        <w:spacing w:line="360" w:lineRule="auto"/>
        <w:jc w:val="both"/>
        <w:rPr>
          <w:rFonts w:hint="eastAsia"/>
          <w:sz w:val="24"/>
          <w:szCs w:val="24"/>
          <w:lang w:val="en-US" w:eastAsia="zh-CN"/>
        </w:rPr>
      </w:pPr>
      <w:r>
        <w:rPr>
          <w:rFonts w:hint="eastAsia"/>
          <w:sz w:val="24"/>
          <w:szCs w:val="24"/>
          <w:lang w:val="en-US" w:eastAsia="zh-CN"/>
        </w:rPr>
        <w:t>5、垃圾桶桶体沿口选用双裙边设计，底部设有内凹加强提高承重力，底部预留的位置上可安装智能身份识别卡进行电子化管理从而提高管理化的程度。</w:t>
      </w:r>
    </w:p>
    <w:p>
      <w:pPr>
        <w:spacing w:line="360" w:lineRule="auto"/>
        <w:jc w:val="both"/>
        <w:rPr>
          <w:rFonts w:hint="eastAsia"/>
          <w:sz w:val="24"/>
          <w:szCs w:val="24"/>
          <w:lang w:val="en-US" w:eastAsia="zh-CN"/>
        </w:rPr>
      </w:pPr>
      <w:r>
        <w:rPr>
          <w:rFonts w:hint="eastAsia"/>
          <w:sz w:val="24"/>
          <w:szCs w:val="24"/>
          <w:lang w:val="en-US" w:eastAsia="zh-CN"/>
        </w:rPr>
        <w:t>6、桶体和桶盖连接卡扣采用滑动倒扣设计，打开和密闭简单便捷并且可达到密闭效果，桶盖内设有密封条有效防止异味和垃圾外撒。</w:t>
      </w:r>
    </w:p>
    <w:p>
      <w:pPr>
        <w:spacing w:line="360" w:lineRule="auto"/>
        <w:jc w:val="both"/>
        <w:rPr>
          <w:rFonts w:hint="eastAsia"/>
          <w:sz w:val="24"/>
          <w:szCs w:val="24"/>
          <w:lang w:val="en-US" w:eastAsia="zh-CN"/>
        </w:rPr>
      </w:pPr>
      <w:r>
        <w:rPr>
          <w:rFonts w:hint="eastAsia"/>
          <w:sz w:val="24"/>
          <w:szCs w:val="24"/>
          <w:lang w:val="en-US" w:eastAsia="zh-CN"/>
        </w:rPr>
        <w:t>7、桶体与桶盖两点链接，桶盖外延两条耳朵与桶体把手通过反扣设计，使桶身与桶盖紧密相连，不会脱落，防止桶盖左右摇摆、脱落等情况发生，可反复开关达百万次以上。桶盖安装简单便捷，减少工人工作量。</w:t>
      </w:r>
    </w:p>
    <w:p>
      <w:pPr>
        <w:spacing w:line="360" w:lineRule="auto"/>
        <w:jc w:val="both"/>
        <w:rPr>
          <w:rFonts w:hint="eastAsia"/>
          <w:sz w:val="24"/>
          <w:szCs w:val="24"/>
          <w:lang w:val="en-US" w:eastAsia="zh-CN"/>
        </w:rPr>
      </w:pPr>
      <w:r>
        <w:rPr>
          <w:rFonts w:hint="eastAsia"/>
          <w:sz w:val="24"/>
          <w:szCs w:val="24"/>
          <w:lang w:val="en-US" w:eastAsia="zh-CN"/>
        </w:rPr>
        <w:t>8、垃圾桶要求：色彩鲜艳，两年不褪色，正面标识采用热转印印刷工艺。</w:t>
      </w:r>
    </w:p>
    <w:p>
      <w:pPr>
        <w:spacing w:line="360" w:lineRule="auto"/>
        <w:jc w:val="both"/>
        <w:rPr>
          <w:rFonts w:hint="eastAsia"/>
          <w:sz w:val="24"/>
          <w:szCs w:val="24"/>
          <w:lang w:val="en-US" w:eastAsia="zh-CN"/>
        </w:rPr>
      </w:pPr>
      <w:r>
        <w:rPr>
          <w:rFonts w:hint="eastAsia"/>
          <w:sz w:val="24"/>
          <w:szCs w:val="24"/>
          <w:lang w:val="en-US" w:eastAsia="zh-CN"/>
        </w:rPr>
        <w:t>9、符合中华人民共和国城镇建设行业标准《塑料垃圾桶通用技术条件》CJ/T 280-2008标准。</w:t>
      </w:r>
    </w:p>
    <w:p>
      <w:pPr>
        <w:spacing w:line="360" w:lineRule="auto"/>
        <w:jc w:val="both"/>
        <w:rPr>
          <w:rFonts w:hint="eastAsia"/>
          <w:sz w:val="24"/>
          <w:szCs w:val="24"/>
          <w:lang w:val="en-US" w:eastAsia="zh-CN"/>
        </w:rPr>
      </w:pPr>
    </w:p>
    <w:p>
      <w:pPr>
        <w:spacing w:line="360" w:lineRule="auto"/>
        <w:jc w:val="both"/>
        <w:rPr>
          <w:rFonts w:hint="eastAsia"/>
          <w:sz w:val="24"/>
          <w:szCs w:val="24"/>
          <w:lang w:val="en-US" w:eastAsia="zh-CN"/>
        </w:rPr>
      </w:pPr>
    </w:p>
    <w:p>
      <w:pPr>
        <w:spacing w:line="360" w:lineRule="auto"/>
        <w:jc w:val="both"/>
        <w:rPr>
          <w:rFonts w:hint="eastAsia"/>
          <w:sz w:val="24"/>
          <w:szCs w:val="24"/>
          <w:lang w:val="en-US" w:eastAsia="zh-CN"/>
        </w:rPr>
      </w:pPr>
    </w:p>
    <w:p>
      <w:pPr>
        <w:spacing w:line="360" w:lineRule="auto"/>
        <w:jc w:val="both"/>
        <w:rPr>
          <w:rFonts w:hint="eastAsia"/>
          <w:sz w:val="24"/>
          <w:szCs w:val="24"/>
          <w:lang w:val="en-US" w:eastAsia="zh-CN"/>
        </w:rPr>
      </w:pPr>
    </w:p>
    <w:p>
      <w:pPr>
        <w:spacing w:line="360" w:lineRule="auto"/>
        <w:jc w:val="both"/>
        <w:rPr>
          <w:rFonts w:hint="eastAsia"/>
          <w:sz w:val="24"/>
          <w:szCs w:val="24"/>
          <w:lang w:val="en-US" w:eastAsia="zh-CN"/>
        </w:rPr>
      </w:pPr>
    </w:p>
    <w:tbl>
      <w:tblPr>
        <w:tblStyle w:val="11"/>
        <w:tblpPr w:leftFromText="180" w:rightFromText="180" w:vertAnchor="text" w:horzAnchor="margin" w:tblpY="1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2"/>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3" w:hRule="atLeast"/>
        </w:trPr>
        <w:tc>
          <w:tcPr>
            <w:tcW w:w="5022" w:type="dxa"/>
            <w:noWrap w:val="0"/>
            <w:vAlign w:val="center"/>
          </w:tcPr>
          <w:p>
            <w:pPr>
              <w:spacing w:line="360" w:lineRule="auto"/>
              <w:jc w:val="center"/>
              <w:rPr>
                <w:rFonts w:hint="eastAsia" w:ascii="宋体" w:hAnsi="宋体" w:eastAsia="宋体"/>
                <w:b/>
                <w:sz w:val="30"/>
                <w:szCs w:val="30"/>
                <w:lang w:eastAsia="zh-CN"/>
              </w:rPr>
            </w:pPr>
            <w:r>
              <w:rPr>
                <w:rFonts w:hint="eastAsia" w:ascii="宋体" w:hAnsi="宋体" w:eastAsia="宋体"/>
                <w:b/>
                <w:sz w:val="30"/>
                <w:szCs w:val="30"/>
                <w:lang w:eastAsia="zh-CN"/>
              </w:rPr>
              <w:drawing>
                <wp:inline distT="0" distB="0" distL="114300" distR="114300">
                  <wp:extent cx="2884170" cy="3129915"/>
                  <wp:effectExtent l="0" t="0" r="11430" b="13335"/>
                  <wp:docPr id="36" name="图片 25" descr="209A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209A5326-"/>
                          <pic:cNvPicPr>
                            <a:picLocks noChangeAspect="1"/>
                          </pic:cNvPicPr>
                        </pic:nvPicPr>
                        <pic:blipFill>
                          <a:blip r:embed="rId45"/>
                          <a:stretch>
                            <a:fillRect/>
                          </a:stretch>
                        </pic:blipFill>
                        <pic:spPr>
                          <a:xfrm>
                            <a:off x="0" y="0"/>
                            <a:ext cx="2884170" cy="3129915"/>
                          </a:xfrm>
                          <a:prstGeom prst="rect">
                            <a:avLst/>
                          </a:prstGeom>
                          <a:noFill/>
                          <a:ln>
                            <a:noFill/>
                          </a:ln>
                        </pic:spPr>
                      </pic:pic>
                    </a:graphicData>
                  </a:graphic>
                </wp:inline>
              </w:drawing>
            </w:r>
          </w:p>
        </w:tc>
        <w:tc>
          <w:tcPr>
            <w:tcW w:w="3337" w:type="dxa"/>
            <w:noWrap w:val="0"/>
            <w:vAlign w:val="center"/>
          </w:tcPr>
          <w:p>
            <w:pPr>
              <w:spacing w:line="360" w:lineRule="auto"/>
              <w:ind w:firstLine="480" w:firstLineChars="200"/>
              <w:rPr>
                <w:rFonts w:hint="eastAsia" w:ascii="宋体" w:hAnsi="宋体"/>
                <w:b/>
                <w:bCs/>
                <w:sz w:val="24"/>
                <w:lang w:val="en-US" w:eastAsia="zh-CN"/>
              </w:rPr>
            </w:pPr>
            <w:r>
              <w:rPr>
                <w:rFonts w:hint="eastAsia" w:ascii="仿宋" w:hAnsi="仿宋" w:eastAsia="仿宋" w:cs="仿宋"/>
                <w:sz w:val="24"/>
                <w:lang w:eastAsia="zh-CN"/>
              </w:rPr>
              <w:t>▇</w:t>
            </w:r>
            <w:r>
              <w:rPr>
                <w:rFonts w:hint="eastAsia" w:ascii="宋体" w:hAnsi="宋体"/>
                <w:b/>
                <w:bCs/>
                <w:sz w:val="24"/>
                <w:lang w:eastAsia="zh-CN"/>
              </w:rPr>
              <w:t>全新料</w:t>
            </w:r>
            <w:r>
              <w:rPr>
                <w:rFonts w:hint="eastAsia" w:ascii="宋体" w:hAnsi="宋体"/>
                <w:b/>
                <w:bCs/>
                <w:sz w:val="24"/>
                <w:lang w:val="en-US" w:eastAsia="zh-CN"/>
              </w:rPr>
              <w:t>PP材质</w:t>
            </w:r>
          </w:p>
          <w:p>
            <w:pPr>
              <w:spacing w:line="360" w:lineRule="auto"/>
              <w:ind w:firstLine="480" w:firstLineChars="200"/>
              <w:rPr>
                <w:rFonts w:hint="eastAsia" w:ascii="宋体" w:hAnsi="宋体" w:eastAsia="宋体"/>
                <w:sz w:val="24"/>
                <w:lang w:eastAsia="zh-CN"/>
              </w:rPr>
            </w:pPr>
            <w:r>
              <w:rPr>
                <w:rFonts w:hint="eastAsia" w:ascii="宋体" w:hAnsi="宋体"/>
                <w:sz w:val="24"/>
                <w:lang w:eastAsia="zh-CN"/>
              </w:rPr>
              <w:t>桶身</w:t>
            </w:r>
            <w:r>
              <w:rPr>
                <w:rFonts w:hint="eastAsia" w:ascii="宋体" w:hAnsi="宋体"/>
                <w:sz w:val="24"/>
              </w:rPr>
              <w:t>采用100﹪</w:t>
            </w:r>
            <w:r>
              <w:rPr>
                <w:rFonts w:ascii="宋体" w:hAnsi="宋体"/>
                <w:sz w:val="24"/>
              </w:rPr>
              <w:t>聚丙</w:t>
            </w:r>
            <w:r>
              <w:rPr>
                <w:rFonts w:hint="eastAsia" w:ascii="宋体" w:hAnsi="宋体"/>
                <w:sz w:val="24"/>
              </w:rPr>
              <w:t>烯原生料一次注塑而成</w:t>
            </w:r>
            <w:r>
              <w:rPr>
                <w:rFonts w:hint="eastAsia" w:ascii="宋体" w:hAnsi="宋体"/>
                <w:sz w:val="24"/>
                <w:lang w:eastAsia="zh-CN"/>
              </w:rPr>
              <w:t>，加料加厚，经久耐用。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2" w:hRule="atLeast"/>
        </w:trPr>
        <w:tc>
          <w:tcPr>
            <w:tcW w:w="5022" w:type="dxa"/>
            <w:noWrap w:val="0"/>
            <w:vAlign w:val="center"/>
          </w:tcPr>
          <w:p>
            <w:pPr>
              <w:spacing w:line="360" w:lineRule="auto"/>
              <w:jc w:val="center"/>
              <w:rPr>
                <w:rFonts w:hint="eastAsia" w:ascii="宋体" w:hAnsi="宋体" w:eastAsia="宋体"/>
                <w:b/>
                <w:sz w:val="30"/>
                <w:szCs w:val="30"/>
                <w:lang w:eastAsia="zh-CN"/>
              </w:rPr>
            </w:pPr>
            <w:r>
              <w:drawing>
                <wp:inline distT="0" distB="0" distL="114300" distR="114300">
                  <wp:extent cx="635" cy="0"/>
                  <wp:effectExtent l="0" t="0" r="0" b="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46"/>
                          <a:stretch>
                            <a:fillRect/>
                          </a:stretch>
                        </pic:blipFill>
                        <pic:spPr>
                          <a:xfrm>
                            <a:off x="0" y="0"/>
                            <a:ext cx="635" cy="0"/>
                          </a:xfrm>
                          <a:prstGeom prst="rect">
                            <a:avLst/>
                          </a:prstGeom>
                          <a:noFill/>
                          <a:ln>
                            <a:noFill/>
                          </a:ln>
                        </pic:spPr>
                      </pic:pic>
                    </a:graphicData>
                  </a:graphic>
                </wp:inline>
              </w:drawing>
            </w:r>
            <w:r>
              <w:drawing>
                <wp:inline distT="0" distB="0" distL="114300" distR="114300">
                  <wp:extent cx="2513330" cy="2258695"/>
                  <wp:effectExtent l="0" t="0" r="1270" b="825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47"/>
                          <a:stretch>
                            <a:fillRect/>
                          </a:stretch>
                        </pic:blipFill>
                        <pic:spPr>
                          <a:xfrm>
                            <a:off x="0" y="0"/>
                            <a:ext cx="2513330" cy="2258695"/>
                          </a:xfrm>
                          <a:prstGeom prst="rect">
                            <a:avLst/>
                          </a:prstGeom>
                          <a:noFill/>
                          <a:ln>
                            <a:noFill/>
                          </a:ln>
                        </pic:spPr>
                      </pic:pic>
                    </a:graphicData>
                  </a:graphic>
                </wp:inline>
              </w:drawing>
            </w:r>
          </w:p>
        </w:tc>
        <w:tc>
          <w:tcPr>
            <w:tcW w:w="3337" w:type="dxa"/>
            <w:noWrap w:val="0"/>
            <w:vAlign w:val="center"/>
          </w:tcPr>
          <w:p>
            <w:pPr>
              <w:spacing w:line="360" w:lineRule="auto"/>
              <w:ind w:firstLine="480" w:firstLineChars="200"/>
              <w:rPr>
                <w:rFonts w:hint="eastAsia" w:ascii="宋体" w:hAnsi="宋体"/>
                <w:sz w:val="24"/>
                <w:lang w:eastAsia="zh-CN"/>
              </w:rPr>
            </w:pPr>
          </w:p>
          <w:p>
            <w:pPr>
              <w:spacing w:line="360" w:lineRule="auto"/>
              <w:ind w:firstLine="480" w:firstLineChars="200"/>
              <w:rPr>
                <w:rFonts w:hint="eastAsia" w:ascii="宋体" w:hAnsi="宋体"/>
                <w:sz w:val="24"/>
                <w:lang w:eastAsia="zh-CN"/>
              </w:rPr>
            </w:pPr>
            <w:r>
              <w:rPr>
                <w:rFonts w:hint="eastAsia" w:ascii="仿宋" w:hAnsi="仿宋" w:eastAsia="仿宋" w:cs="仿宋"/>
                <w:sz w:val="24"/>
                <w:lang w:eastAsia="zh-CN"/>
              </w:rPr>
              <w:t>▇卡</w:t>
            </w:r>
            <w:r>
              <w:rPr>
                <w:rFonts w:hint="eastAsia" w:ascii="宋体" w:hAnsi="宋体"/>
                <w:sz w:val="24"/>
                <w:lang w:eastAsia="zh-CN"/>
              </w:rPr>
              <w:t>扣设计</w:t>
            </w:r>
          </w:p>
          <w:p>
            <w:pPr>
              <w:spacing w:line="360" w:lineRule="auto"/>
              <w:ind w:firstLine="480" w:firstLineChars="200"/>
              <w:rPr>
                <w:rFonts w:hint="default" w:ascii="宋体" w:hAnsi="宋体" w:eastAsia="宋体"/>
                <w:sz w:val="24"/>
                <w:lang w:val="en-US" w:eastAsia="zh-CN"/>
              </w:rPr>
            </w:pPr>
            <w:r>
              <w:rPr>
                <w:rFonts w:hint="eastAsia" w:ascii="宋体" w:hAnsi="宋体"/>
                <w:sz w:val="24"/>
                <w:lang w:eastAsia="zh-CN"/>
              </w:rPr>
              <w:t>桶盖卡扣开合设计，使用方便。</w:t>
            </w:r>
            <w:r>
              <w:rPr>
                <w:rFonts w:hint="eastAsia" w:ascii="宋体" w:hAnsi="宋体"/>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6" w:hRule="atLeast"/>
        </w:trPr>
        <w:tc>
          <w:tcPr>
            <w:tcW w:w="5022" w:type="dxa"/>
            <w:noWrap w:val="0"/>
            <w:vAlign w:val="center"/>
          </w:tcPr>
          <w:p>
            <w:pPr>
              <w:spacing w:line="360" w:lineRule="auto"/>
              <w:jc w:val="center"/>
              <w:rPr>
                <w:rFonts w:hint="eastAsia" w:eastAsia="宋体"/>
                <w:kern w:val="2"/>
                <w:sz w:val="21"/>
                <w:lang w:val="en-US" w:eastAsia="zh-CN" w:bidi="ar-SA"/>
              </w:rPr>
            </w:pPr>
            <w:r>
              <w:drawing>
                <wp:inline distT="0" distB="0" distL="114300" distR="114300">
                  <wp:extent cx="2447290" cy="2304415"/>
                  <wp:effectExtent l="0" t="0" r="10160" b="63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48"/>
                          <a:stretch>
                            <a:fillRect/>
                          </a:stretch>
                        </pic:blipFill>
                        <pic:spPr>
                          <a:xfrm>
                            <a:off x="0" y="0"/>
                            <a:ext cx="2447290" cy="2304415"/>
                          </a:xfrm>
                          <a:prstGeom prst="rect">
                            <a:avLst/>
                          </a:prstGeom>
                          <a:noFill/>
                          <a:ln>
                            <a:noFill/>
                          </a:ln>
                        </pic:spPr>
                      </pic:pic>
                    </a:graphicData>
                  </a:graphic>
                </wp:inline>
              </w:drawing>
            </w:r>
          </w:p>
        </w:tc>
        <w:tc>
          <w:tcPr>
            <w:tcW w:w="3337" w:type="dxa"/>
            <w:noWrap w:val="0"/>
            <w:vAlign w:val="center"/>
          </w:tcPr>
          <w:p>
            <w:pPr>
              <w:spacing w:line="360" w:lineRule="auto"/>
              <w:ind w:firstLine="480" w:firstLineChars="200"/>
              <w:rPr>
                <w:rFonts w:hint="eastAsia" w:ascii="宋体" w:hAnsi="宋体"/>
                <w:sz w:val="24"/>
                <w:lang w:val="en-US" w:eastAsia="zh-CN"/>
              </w:rPr>
            </w:pPr>
            <w:r>
              <w:rPr>
                <w:rFonts w:hint="eastAsia" w:ascii="仿宋" w:hAnsi="仿宋" w:eastAsia="仿宋" w:cs="仿宋"/>
                <w:sz w:val="24"/>
                <w:lang w:eastAsia="zh-CN"/>
              </w:rPr>
              <w:t>▇</w:t>
            </w:r>
            <w:r>
              <w:rPr>
                <w:rFonts w:hint="eastAsia" w:ascii="宋体" w:hAnsi="宋体"/>
                <w:sz w:val="24"/>
                <w:lang w:val="en-US" w:eastAsia="zh-CN"/>
              </w:rPr>
              <w:t xml:space="preserve"> 桶沿口密封条设计</w:t>
            </w:r>
          </w:p>
          <w:p>
            <w:pPr>
              <w:spacing w:line="360" w:lineRule="auto"/>
              <w:ind w:firstLine="480" w:firstLineChars="200"/>
              <w:rPr>
                <w:rFonts w:hint="eastAsia" w:ascii="宋体" w:hAnsi="宋体"/>
                <w:kern w:val="2"/>
                <w:sz w:val="24"/>
                <w:lang w:val="en-US" w:eastAsia="zh-CN" w:bidi="ar-SA"/>
              </w:rPr>
            </w:pPr>
            <w:r>
              <w:rPr>
                <w:rFonts w:hint="eastAsia" w:ascii="宋体" w:hAnsi="宋体"/>
                <w:sz w:val="24"/>
                <w:lang w:val="en-US" w:eastAsia="zh-CN"/>
              </w:rPr>
              <w:t>*</w:t>
            </w:r>
            <w:r>
              <w:rPr>
                <w:rFonts w:hint="eastAsia" w:ascii="宋体" w:hAnsi="宋体"/>
                <w:sz w:val="24"/>
                <w:lang w:eastAsia="zh-CN"/>
              </w:rPr>
              <w:t>桶盖紧密贴合，垃圾异味不外漏，防止恶臭散发。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6" w:hRule="atLeast"/>
        </w:trPr>
        <w:tc>
          <w:tcPr>
            <w:tcW w:w="5022" w:type="dxa"/>
            <w:noWrap w:val="0"/>
            <w:vAlign w:val="center"/>
          </w:tcPr>
          <w:p>
            <w:pPr>
              <w:spacing w:line="360" w:lineRule="auto"/>
              <w:jc w:val="center"/>
              <w:rPr>
                <w:rFonts w:hint="eastAsia" w:eastAsia="宋体"/>
                <w:kern w:val="2"/>
                <w:sz w:val="21"/>
                <w:lang w:val="en-US" w:eastAsia="zh-CN" w:bidi="ar-SA"/>
              </w:rPr>
            </w:pPr>
            <w:r>
              <w:drawing>
                <wp:inline distT="0" distB="0" distL="114300" distR="114300">
                  <wp:extent cx="2216785" cy="3205480"/>
                  <wp:effectExtent l="0" t="0" r="12065" b="13970"/>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49"/>
                          <a:stretch>
                            <a:fillRect/>
                          </a:stretch>
                        </pic:blipFill>
                        <pic:spPr>
                          <a:xfrm>
                            <a:off x="0" y="0"/>
                            <a:ext cx="2216785" cy="3205480"/>
                          </a:xfrm>
                          <a:prstGeom prst="rect">
                            <a:avLst/>
                          </a:prstGeom>
                          <a:noFill/>
                          <a:ln>
                            <a:noFill/>
                          </a:ln>
                        </pic:spPr>
                      </pic:pic>
                    </a:graphicData>
                  </a:graphic>
                </wp:inline>
              </w:drawing>
            </w:r>
          </w:p>
        </w:tc>
        <w:tc>
          <w:tcPr>
            <w:tcW w:w="3337" w:type="dxa"/>
            <w:noWrap w:val="0"/>
            <w:vAlign w:val="center"/>
          </w:tcPr>
          <w:p>
            <w:pPr>
              <w:spacing w:line="360" w:lineRule="auto"/>
              <w:ind w:firstLine="480" w:firstLineChars="200"/>
              <w:rPr>
                <w:rFonts w:hint="eastAsia" w:ascii="宋体" w:hAnsi="宋体"/>
                <w:sz w:val="24"/>
                <w:lang w:val="en-US" w:eastAsia="zh-CN"/>
              </w:rPr>
            </w:pPr>
            <w:r>
              <w:rPr>
                <w:rFonts w:hint="eastAsia" w:ascii="仿宋" w:hAnsi="仿宋" w:eastAsia="仿宋" w:cs="仿宋"/>
                <w:sz w:val="24"/>
                <w:lang w:eastAsia="zh-CN"/>
              </w:rPr>
              <w:t>▇</w:t>
            </w:r>
            <w:r>
              <w:rPr>
                <w:rFonts w:hint="eastAsia" w:ascii="宋体" w:hAnsi="宋体"/>
                <w:sz w:val="24"/>
                <w:lang w:val="en-US" w:eastAsia="zh-CN"/>
              </w:rPr>
              <w:t xml:space="preserve"> </w:t>
            </w:r>
            <w:r>
              <w:rPr>
                <w:rFonts w:hint="eastAsia" w:ascii="宋体" w:hAnsi="宋体"/>
                <w:sz w:val="24"/>
                <w:lang w:eastAsia="zh-CN"/>
              </w:rPr>
              <w:t>提手设计</w:t>
            </w:r>
          </w:p>
          <w:p>
            <w:pPr>
              <w:spacing w:line="360" w:lineRule="auto"/>
              <w:ind w:firstLine="480" w:firstLineChars="200"/>
              <w:rPr>
                <w:rFonts w:hint="eastAsia" w:ascii="宋体" w:hAnsi="宋体"/>
                <w:kern w:val="2"/>
                <w:sz w:val="24"/>
                <w:lang w:val="en-US" w:eastAsia="zh-CN" w:bidi="ar-SA"/>
              </w:rPr>
            </w:pPr>
            <w:r>
              <w:rPr>
                <w:rFonts w:hint="eastAsia" w:ascii="宋体" w:hAnsi="宋体"/>
                <w:sz w:val="24"/>
                <w:lang w:val="en-US" w:eastAsia="zh-CN"/>
              </w:rPr>
              <w:t>提拎方便，可随时移动，倾倒垃圾。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6" w:hRule="atLeast"/>
        </w:trPr>
        <w:tc>
          <w:tcPr>
            <w:tcW w:w="5022" w:type="dxa"/>
            <w:noWrap w:val="0"/>
            <w:vAlign w:val="center"/>
          </w:tcPr>
          <w:p>
            <w:pPr>
              <w:spacing w:line="360" w:lineRule="auto"/>
              <w:jc w:val="center"/>
            </w:pPr>
            <w:r>
              <w:drawing>
                <wp:inline distT="0" distB="0" distL="114300" distR="114300">
                  <wp:extent cx="2629535" cy="1845310"/>
                  <wp:effectExtent l="0" t="0" r="18415" b="254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50"/>
                          <a:stretch>
                            <a:fillRect/>
                          </a:stretch>
                        </pic:blipFill>
                        <pic:spPr>
                          <a:xfrm>
                            <a:off x="0" y="0"/>
                            <a:ext cx="2629535" cy="1845310"/>
                          </a:xfrm>
                          <a:prstGeom prst="rect">
                            <a:avLst/>
                          </a:prstGeom>
                          <a:noFill/>
                          <a:ln>
                            <a:noFill/>
                          </a:ln>
                        </pic:spPr>
                      </pic:pic>
                    </a:graphicData>
                  </a:graphic>
                </wp:inline>
              </w:drawing>
            </w:r>
          </w:p>
        </w:tc>
        <w:tc>
          <w:tcPr>
            <w:tcW w:w="3337" w:type="dxa"/>
            <w:noWrap w:val="0"/>
            <w:vAlign w:val="center"/>
          </w:tcPr>
          <w:p>
            <w:pPr>
              <w:spacing w:line="360" w:lineRule="auto"/>
              <w:ind w:firstLine="480" w:firstLineChars="200"/>
              <w:rPr>
                <w:rFonts w:hint="eastAsia" w:ascii="宋体" w:hAnsi="宋体"/>
                <w:sz w:val="24"/>
                <w:lang w:val="en-US" w:eastAsia="zh-CN"/>
              </w:rPr>
            </w:pPr>
            <w:r>
              <w:rPr>
                <w:rFonts w:hint="eastAsia" w:ascii="仿宋" w:hAnsi="仿宋" w:eastAsia="仿宋" w:cs="仿宋"/>
                <w:sz w:val="24"/>
                <w:lang w:eastAsia="zh-CN"/>
              </w:rPr>
              <w:t>▇</w:t>
            </w:r>
            <w:r>
              <w:rPr>
                <w:rFonts w:hint="eastAsia" w:ascii="宋体" w:hAnsi="宋体"/>
                <w:sz w:val="24"/>
                <w:lang w:val="en-US" w:eastAsia="zh-CN"/>
              </w:rPr>
              <w:t xml:space="preserve"> </w:t>
            </w:r>
            <w:r>
              <w:rPr>
                <w:rFonts w:hint="eastAsia" w:ascii="宋体" w:hAnsi="宋体"/>
                <w:sz w:val="24"/>
                <w:lang w:eastAsia="zh-CN"/>
              </w:rPr>
              <w:t>桶壁光滑</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桶壁光滑，方便清洗，耐脏，易清洁。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1" w:hRule="atLeast"/>
        </w:trPr>
        <w:tc>
          <w:tcPr>
            <w:tcW w:w="5022" w:type="dxa"/>
            <w:noWrap w:val="0"/>
            <w:vAlign w:val="center"/>
          </w:tcPr>
          <w:p>
            <w:pPr>
              <w:spacing w:line="360" w:lineRule="auto"/>
              <w:jc w:val="center"/>
            </w:pPr>
            <w:r>
              <w:drawing>
                <wp:inline distT="0" distB="0" distL="114300" distR="114300">
                  <wp:extent cx="2630170" cy="2625725"/>
                  <wp:effectExtent l="0" t="0" r="17780" b="3175"/>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51"/>
                          <a:stretch>
                            <a:fillRect/>
                          </a:stretch>
                        </pic:blipFill>
                        <pic:spPr>
                          <a:xfrm flipH="1">
                            <a:off x="0" y="0"/>
                            <a:ext cx="2630170" cy="2625725"/>
                          </a:xfrm>
                          <a:prstGeom prst="rect">
                            <a:avLst/>
                          </a:prstGeom>
                          <a:noFill/>
                          <a:ln>
                            <a:noFill/>
                          </a:ln>
                        </pic:spPr>
                      </pic:pic>
                    </a:graphicData>
                  </a:graphic>
                </wp:inline>
              </w:drawing>
            </w:r>
          </w:p>
        </w:tc>
        <w:tc>
          <w:tcPr>
            <w:tcW w:w="3337" w:type="dxa"/>
            <w:noWrap w:val="0"/>
            <w:vAlign w:val="center"/>
          </w:tcPr>
          <w:p>
            <w:pPr>
              <w:spacing w:line="360" w:lineRule="auto"/>
              <w:ind w:firstLine="480" w:firstLineChars="200"/>
              <w:rPr>
                <w:rFonts w:hint="eastAsia" w:ascii="宋体" w:hAnsi="宋体"/>
                <w:sz w:val="24"/>
                <w:lang w:val="en-US" w:eastAsia="zh-CN"/>
              </w:rPr>
            </w:pPr>
            <w:r>
              <w:rPr>
                <w:rFonts w:hint="eastAsia" w:ascii="仿宋" w:hAnsi="仿宋" w:eastAsia="仿宋" w:cs="仿宋"/>
                <w:sz w:val="24"/>
                <w:lang w:eastAsia="zh-CN"/>
              </w:rPr>
              <w:t>▇</w:t>
            </w:r>
            <w:r>
              <w:rPr>
                <w:rFonts w:hint="eastAsia" w:ascii="宋体" w:hAnsi="宋体"/>
                <w:sz w:val="24"/>
                <w:lang w:val="en-US" w:eastAsia="zh-CN"/>
              </w:rPr>
              <w:t xml:space="preserve"> </w:t>
            </w:r>
            <w:r>
              <w:rPr>
                <w:rFonts w:hint="eastAsia" w:ascii="宋体" w:hAnsi="宋体"/>
                <w:sz w:val="24"/>
                <w:lang w:eastAsia="zh-CN"/>
              </w:rPr>
              <w:t>桶底加厚</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桶底加高，耐磨防滑。</w:t>
            </w:r>
          </w:p>
        </w:tc>
      </w:tr>
    </w:tbl>
    <w:p>
      <w:pPr>
        <w:widowControl/>
        <w:jc w:val="center"/>
        <w:rPr>
          <w:rFonts w:hint="eastAsia" w:ascii="宋体" w:hAnsi="宋体" w:cs="黑体"/>
          <w:b/>
          <w:color w:val="000000"/>
          <w:kern w:val="2"/>
          <w:sz w:val="44"/>
          <w:szCs w:val="44"/>
          <w:lang w:val="en-US" w:eastAsia="zh-CN" w:bidi="ar-SA"/>
        </w:rPr>
      </w:pPr>
    </w:p>
    <w:p>
      <w:pPr>
        <w:widowControl/>
        <w:jc w:val="center"/>
        <w:rPr>
          <w:rFonts w:ascii="Times New Roman" w:hAnsi="Times New Roman" w:cs="Times New Roman"/>
          <w:sz w:val="32"/>
          <w:szCs w:val="32"/>
        </w:rPr>
      </w:pPr>
      <w:r>
        <w:rPr>
          <w:rFonts w:hint="eastAsia" w:ascii="宋体" w:hAnsi="宋体" w:cs="黑体"/>
          <w:b/>
          <w:color w:val="000000"/>
          <w:kern w:val="2"/>
          <w:sz w:val="44"/>
          <w:szCs w:val="44"/>
          <w:lang w:val="en-US" w:eastAsia="zh-CN" w:bidi="ar-SA"/>
        </w:rPr>
        <w:t>智能</w:t>
      </w:r>
      <w:r>
        <w:rPr>
          <w:rFonts w:hint="eastAsia" w:ascii="宋体" w:hAnsi="宋体" w:eastAsia="宋体" w:cs="黑体"/>
          <w:b/>
          <w:color w:val="000000"/>
          <w:kern w:val="2"/>
          <w:sz w:val="44"/>
          <w:szCs w:val="44"/>
          <w:lang w:val="en-US" w:eastAsia="zh-CN" w:bidi="ar-SA"/>
        </w:rPr>
        <w:t>垃圾桶</w:t>
      </w:r>
    </w:p>
    <w:p>
      <w:pPr>
        <w:pStyle w:val="3"/>
        <w:numPr>
          <w:ilvl w:val="0"/>
          <w:numId w:val="12"/>
        </w:numPr>
        <w:tabs>
          <w:tab w:val="left" w:pos="426"/>
        </w:tabs>
      </w:pPr>
      <w:r>
        <w:rPr>
          <w:rFonts w:hint="eastAsia"/>
        </w:rPr>
        <w:t>可回收智能设备</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尺寸：外形≥3000*1500*750mm</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投口：430*380mm</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容量：960L</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材质：不锈钢喷塑灰色</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重量：240kg</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通讯方式：3G/4G联网模式、以太网联网模式、WIFI联网模式</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电源规格：AC220V/50Hz or AC110V/60Hz</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其他参数：</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1、显示屏尺寸：（1）尺寸大小：10.1寸（2）横屏屏幕分辨率：1280*800</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 xml:space="preserve">2、二维码扫描：尺寸：90mm*54mm*34mm 电源：DC 5V 接口：串口 RS232 </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触发方式：感应/数据/光电 扫描速度：30帧/秒 扫描宽度：30cm</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3、刷卡：ID/IC 卡</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刷卡间隔：0.5 秒</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刷卡距离：＜5cm</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4、满溢指示灯：绿灯：正常；黄灯：轻微满溢，红灯：严重满溢</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5、满溢检测：检测传感器：超声传感器</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6、投递照明灯：尺寸：150cm*2cm</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电源：12V</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7、称重模块：量程：5Kg~300Kg</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分度值：50g</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检测距离：3cm~200cm</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8、环境条件：高温 38℃，低温 2℃ (室内)</w:t>
      </w:r>
    </w:p>
    <w:p>
      <w:pPr>
        <w:spacing w:line="360" w:lineRule="auto"/>
        <w:ind w:firstLine="480" w:firstLineChars="200"/>
        <w:rPr>
          <w:rFonts w:cs="宋体" w:asciiTheme="minorEastAsia" w:hAnsiTheme="minorEastAsia"/>
          <w:color w:val="000000"/>
          <w:sz w:val="24"/>
          <w:szCs w:val="24"/>
        </w:rPr>
      </w:pPr>
      <w:r>
        <w:rPr>
          <w:rFonts w:hint="eastAsia" w:cs="宋体" w:asciiTheme="minorEastAsia" w:hAnsiTheme="minorEastAsia"/>
          <w:color w:val="000000"/>
          <w:sz w:val="24"/>
          <w:szCs w:val="24"/>
        </w:rPr>
        <w:t>9、安装环境：室外(建议安装遮雨棚)</w:t>
      </w:r>
    </w:p>
    <w:p>
      <w:pPr>
        <w:pStyle w:val="3"/>
        <w:numPr>
          <w:ilvl w:val="0"/>
          <w:numId w:val="12"/>
        </w:numPr>
        <w:tabs>
          <w:tab w:val="left" w:pos="426"/>
        </w:tabs>
      </w:pPr>
      <w:r>
        <w:rPr>
          <w:rFonts w:hint="eastAsia"/>
        </w:rPr>
        <w:t>积分兑换机</w:t>
      </w:r>
    </w:p>
    <w:p>
      <w:pPr>
        <w:spacing w:line="360" w:lineRule="auto"/>
        <w:ind w:firstLine="480" w:firstLineChars="200"/>
        <w:jc w:val="left"/>
        <w:rPr>
          <w:rFonts w:cs="宋体" w:asciiTheme="minorEastAsia" w:hAnsiTheme="minorEastAsia"/>
          <w:b/>
          <w:color w:val="000000"/>
          <w:sz w:val="24"/>
          <w:szCs w:val="24"/>
        </w:rPr>
      </w:pPr>
      <w:r>
        <w:rPr>
          <w:rFonts w:hint="eastAsia" w:cs="宋体" w:asciiTheme="minorEastAsia" w:hAnsiTheme="minorEastAsia"/>
          <w:b/>
          <w:color w:val="000000"/>
          <w:sz w:val="24"/>
          <w:szCs w:val="24"/>
        </w:rPr>
        <w:t>参数：</w:t>
      </w:r>
    </w:p>
    <w:p>
      <w:pPr>
        <w:spacing w:line="360" w:lineRule="auto"/>
        <w:ind w:firstLine="480" w:firstLineChars="200"/>
        <w:jc w:val="left"/>
        <w:rPr>
          <w:rFonts w:cs="宋体" w:asciiTheme="minorEastAsia" w:hAnsiTheme="minorEastAsia"/>
          <w:color w:val="000000"/>
          <w:sz w:val="24"/>
          <w:szCs w:val="24"/>
        </w:rPr>
      </w:pPr>
      <w:r>
        <w:rPr>
          <w:rFonts w:hint="eastAsia" w:cs="宋体" w:asciiTheme="minorEastAsia" w:hAnsiTheme="minorEastAsia"/>
          <w:color w:val="000000"/>
          <w:sz w:val="24"/>
          <w:szCs w:val="24"/>
        </w:rPr>
        <w:t>外形尺寸：≥1850*1500*750mm</w:t>
      </w:r>
    </w:p>
    <w:p>
      <w:pPr>
        <w:spacing w:line="360" w:lineRule="auto"/>
        <w:ind w:firstLine="480" w:firstLineChars="200"/>
        <w:jc w:val="left"/>
        <w:rPr>
          <w:rFonts w:cs="宋体" w:asciiTheme="minorEastAsia" w:hAnsiTheme="minorEastAsia"/>
          <w:color w:val="000000"/>
          <w:sz w:val="24"/>
          <w:szCs w:val="24"/>
        </w:rPr>
      </w:pPr>
      <w:r>
        <w:rPr>
          <w:rFonts w:hint="eastAsia" w:cs="宋体" w:asciiTheme="minorEastAsia" w:hAnsiTheme="minorEastAsia"/>
          <w:color w:val="000000"/>
          <w:sz w:val="24"/>
          <w:szCs w:val="24"/>
        </w:rPr>
        <w:t>材质：箱体结构：箱体采用加厚镀锌板、前门使用铝合金型材，更大气、更结实；装配工业级万向轮移动更方便。</w:t>
      </w:r>
    </w:p>
    <w:p>
      <w:pPr>
        <w:spacing w:line="360" w:lineRule="auto"/>
        <w:ind w:firstLine="480" w:firstLineChars="200"/>
        <w:jc w:val="left"/>
        <w:rPr>
          <w:rFonts w:cs="宋体" w:asciiTheme="minorEastAsia" w:hAnsiTheme="minorEastAsia"/>
          <w:color w:val="000000"/>
          <w:sz w:val="24"/>
          <w:szCs w:val="24"/>
        </w:rPr>
      </w:pPr>
      <w:r>
        <w:rPr>
          <w:rFonts w:hint="eastAsia" w:cs="宋体" w:asciiTheme="minorEastAsia" w:hAnsiTheme="minorEastAsia"/>
          <w:color w:val="000000"/>
          <w:sz w:val="24"/>
          <w:szCs w:val="24"/>
        </w:rPr>
        <w:t>通讯方式：支持 3G/4G 联网模式，可远程查询设备的实时销售数据及工作状态是否正常, 提升设备服务范畴，实现更多互联网+功能</w:t>
      </w:r>
    </w:p>
    <w:p>
      <w:pPr>
        <w:spacing w:line="360" w:lineRule="auto"/>
        <w:ind w:firstLine="480" w:firstLineChars="200"/>
        <w:jc w:val="left"/>
        <w:rPr>
          <w:rFonts w:cs="宋体" w:asciiTheme="minorEastAsia" w:hAnsiTheme="minorEastAsia"/>
          <w:color w:val="000000"/>
          <w:sz w:val="24"/>
          <w:szCs w:val="24"/>
        </w:rPr>
      </w:pPr>
      <w:r>
        <w:rPr>
          <w:rFonts w:hint="eastAsia" w:cs="宋体" w:asciiTheme="minorEastAsia" w:hAnsiTheme="minorEastAsia"/>
          <w:color w:val="000000"/>
          <w:sz w:val="24"/>
          <w:szCs w:val="24"/>
        </w:rPr>
        <w:t>电源规格：AC220V/50Hz or AC110V/60Hz</w:t>
      </w:r>
    </w:p>
    <w:p>
      <w:pPr>
        <w:spacing w:line="360" w:lineRule="auto"/>
        <w:ind w:firstLine="480" w:firstLineChars="200"/>
        <w:jc w:val="left"/>
        <w:rPr>
          <w:rFonts w:cs="宋体" w:asciiTheme="minorEastAsia" w:hAnsiTheme="minorEastAsia"/>
          <w:color w:val="000000"/>
          <w:sz w:val="24"/>
          <w:szCs w:val="24"/>
        </w:rPr>
      </w:pPr>
      <w:r>
        <w:rPr>
          <w:rFonts w:hint="eastAsia" w:cs="宋体" w:asciiTheme="minorEastAsia" w:hAnsiTheme="minorEastAsia"/>
          <w:color w:val="000000"/>
          <w:sz w:val="24"/>
          <w:szCs w:val="24"/>
        </w:rPr>
        <w:t>其他参数：</w:t>
      </w:r>
    </w:p>
    <w:p>
      <w:pPr>
        <w:spacing w:line="360" w:lineRule="auto"/>
        <w:ind w:firstLine="480" w:firstLineChars="200"/>
        <w:jc w:val="left"/>
        <w:rPr>
          <w:rFonts w:cs="宋体" w:asciiTheme="minorEastAsia" w:hAnsiTheme="minorEastAsia"/>
          <w:color w:val="000000"/>
          <w:sz w:val="24"/>
          <w:szCs w:val="24"/>
        </w:rPr>
      </w:pPr>
      <w:r>
        <w:rPr>
          <w:rFonts w:cs="宋体" w:asciiTheme="minorEastAsia" w:hAnsiTheme="minorEastAsia"/>
          <w:color w:val="000000"/>
          <w:sz w:val="24"/>
          <w:szCs w:val="24"/>
        </w:rPr>
        <w:t>1</w:t>
      </w:r>
      <w:r>
        <w:rPr>
          <w:rFonts w:hint="eastAsia" w:cs="宋体" w:asciiTheme="minorEastAsia" w:hAnsiTheme="minorEastAsia"/>
          <w:color w:val="000000"/>
          <w:sz w:val="24"/>
          <w:szCs w:val="24"/>
        </w:rPr>
        <w:t>、出货方式：抽屉式可调货盘、弹簧传送货道、推入式取货口</w:t>
      </w:r>
    </w:p>
    <w:p>
      <w:pPr>
        <w:spacing w:line="360" w:lineRule="auto"/>
        <w:ind w:firstLine="480" w:firstLineChars="200"/>
        <w:jc w:val="left"/>
        <w:rPr>
          <w:rFonts w:cs="宋体" w:asciiTheme="minorEastAsia" w:hAnsiTheme="minorEastAsia"/>
          <w:color w:val="000000"/>
          <w:sz w:val="24"/>
          <w:szCs w:val="24"/>
        </w:rPr>
      </w:pPr>
      <w:r>
        <w:rPr>
          <w:rFonts w:cs="宋体" w:asciiTheme="minorEastAsia" w:hAnsiTheme="minorEastAsia"/>
          <w:color w:val="000000"/>
          <w:sz w:val="24"/>
          <w:szCs w:val="24"/>
        </w:rPr>
        <w:t>2</w:t>
      </w:r>
      <w:r>
        <w:rPr>
          <w:rFonts w:hint="eastAsia" w:cs="宋体" w:asciiTheme="minorEastAsia" w:hAnsiTheme="minorEastAsia"/>
          <w:color w:val="000000"/>
          <w:sz w:val="24"/>
          <w:szCs w:val="24"/>
        </w:rPr>
        <w:t>、存货数量：6 层货盘 x 5-10 道/层 x 3-15 件/道</w:t>
      </w:r>
    </w:p>
    <w:p>
      <w:pPr>
        <w:spacing w:line="360" w:lineRule="auto"/>
        <w:ind w:firstLine="480" w:firstLineChars="200"/>
        <w:jc w:val="left"/>
        <w:rPr>
          <w:rFonts w:cs="宋体" w:asciiTheme="minorEastAsia" w:hAnsiTheme="minorEastAsia"/>
          <w:color w:val="000000"/>
          <w:sz w:val="24"/>
          <w:szCs w:val="24"/>
        </w:rPr>
      </w:pPr>
      <w:r>
        <w:rPr>
          <w:rFonts w:cs="宋体" w:asciiTheme="minorEastAsia" w:hAnsiTheme="minorEastAsia"/>
          <w:color w:val="000000"/>
          <w:sz w:val="24"/>
          <w:szCs w:val="24"/>
        </w:rPr>
        <w:t>3</w:t>
      </w:r>
      <w:r>
        <w:rPr>
          <w:rFonts w:hint="eastAsia" w:cs="宋体" w:asciiTheme="minorEastAsia" w:hAnsiTheme="minorEastAsia"/>
          <w:color w:val="000000"/>
          <w:sz w:val="24"/>
          <w:szCs w:val="24"/>
        </w:rPr>
        <w:t>、支付方式：手机扫码支付（微信、支付宝、其它）等等</w:t>
      </w:r>
    </w:p>
    <w:p>
      <w:pPr>
        <w:spacing w:line="360" w:lineRule="auto"/>
        <w:ind w:firstLine="480" w:firstLineChars="200"/>
        <w:jc w:val="left"/>
        <w:rPr>
          <w:rFonts w:cs="宋体" w:asciiTheme="minorEastAsia" w:hAnsiTheme="minorEastAsia"/>
          <w:color w:val="000000"/>
          <w:sz w:val="24"/>
          <w:szCs w:val="24"/>
        </w:rPr>
      </w:pPr>
      <w:r>
        <w:rPr>
          <w:rFonts w:cs="宋体" w:asciiTheme="minorEastAsia" w:hAnsiTheme="minorEastAsia"/>
          <w:color w:val="000000"/>
          <w:sz w:val="24"/>
          <w:szCs w:val="24"/>
        </w:rPr>
        <w:t>4</w:t>
      </w:r>
      <w:r>
        <w:rPr>
          <w:rFonts w:hint="eastAsia" w:cs="宋体" w:asciiTheme="minorEastAsia" w:hAnsiTheme="minorEastAsia"/>
          <w:color w:val="000000"/>
          <w:sz w:val="24"/>
          <w:szCs w:val="24"/>
        </w:rPr>
        <w:t>、选单操作：32 寸 LED 液晶触摸屏；</w:t>
      </w:r>
    </w:p>
    <w:p>
      <w:pPr>
        <w:spacing w:line="360" w:lineRule="auto"/>
        <w:ind w:firstLine="480" w:firstLineChars="200"/>
        <w:jc w:val="left"/>
        <w:rPr>
          <w:rFonts w:cs="宋体" w:asciiTheme="minorEastAsia" w:hAnsiTheme="minorEastAsia"/>
          <w:color w:val="000000"/>
          <w:sz w:val="24"/>
          <w:szCs w:val="24"/>
        </w:rPr>
      </w:pPr>
      <w:r>
        <w:rPr>
          <w:rFonts w:cs="宋体" w:asciiTheme="minorEastAsia" w:hAnsiTheme="minorEastAsia"/>
          <w:color w:val="000000"/>
          <w:sz w:val="24"/>
          <w:szCs w:val="24"/>
        </w:rPr>
        <w:t>5</w:t>
      </w:r>
      <w:r>
        <w:rPr>
          <w:rFonts w:hint="eastAsia" w:cs="宋体" w:asciiTheme="minorEastAsia" w:hAnsiTheme="minorEastAsia"/>
          <w:color w:val="000000"/>
          <w:sz w:val="24"/>
          <w:szCs w:val="24"/>
        </w:rPr>
        <w:t>、环境条件：高温 38℃，低温 2℃ (室内)</w:t>
      </w:r>
    </w:p>
    <w:p>
      <w:pPr>
        <w:spacing w:line="360" w:lineRule="auto"/>
        <w:ind w:firstLine="480" w:firstLineChars="200"/>
        <w:rPr>
          <w:rFonts w:cs="宋体" w:asciiTheme="minorEastAsia" w:hAnsiTheme="minorEastAsia"/>
          <w:b/>
          <w:color w:val="000000"/>
          <w:sz w:val="24"/>
          <w:szCs w:val="24"/>
        </w:rPr>
      </w:pPr>
      <w:r>
        <w:rPr>
          <w:rFonts w:hint="eastAsia" w:cs="宋体" w:asciiTheme="minorEastAsia" w:hAnsiTheme="minorEastAsia"/>
          <w:b/>
          <w:color w:val="000000"/>
          <w:sz w:val="24"/>
          <w:szCs w:val="24"/>
        </w:rPr>
        <w:t>功能：</w:t>
      </w:r>
    </w:p>
    <w:p>
      <w:pPr>
        <w:spacing w:line="360" w:lineRule="auto"/>
        <w:ind w:firstLine="480" w:firstLineChars="200"/>
        <w:jc w:val="left"/>
        <w:rPr>
          <w:rFonts w:cs="宋体" w:asciiTheme="minorEastAsia" w:hAnsiTheme="minorEastAsia"/>
          <w:color w:val="000000"/>
          <w:sz w:val="24"/>
          <w:szCs w:val="24"/>
        </w:rPr>
      </w:pPr>
      <w:r>
        <w:rPr>
          <w:rFonts w:hint="eastAsia" w:cs="宋体" w:asciiTheme="minorEastAsia" w:hAnsiTheme="minorEastAsia"/>
          <w:color w:val="000000"/>
          <w:sz w:val="24"/>
          <w:szCs w:val="24"/>
        </w:rPr>
        <w:t>1）实现二维码、IC卡兑换物品；</w:t>
      </w:r>
    </w:p>
    <w:p>
      <w:pPr>
        <w:spacing w:line="360" w:lineRule="auto"/>
        <w:ind w:firstLine="480" w:firstLineChars="200"/>
        <w:jc w:val="left"/>
        <w:rPr>
          <w:rFonts w:cs="宋体" w:asciiTheme="minorEastAsia" w:hAnsiTheme="minorEastAsia"/>
          <w:color w:val="000000"/>
          <w:sz w:val="24"/>
          <w:szCs w:val="24"/>
        </w:rPr>
      </w:pPr>
      <w:r>
        <w:rPr>
          <w:rFonts w:hint="eastAsia" w:cs="宋体" w:asciiTheme="minorEastAsia" w:hAnsiTheme="minorEastAsia"/>
          <w:color w:val="000000"/>
          <w:sz w:val="24"/>
          <w:szCs w:val="24"/>
        </w:rPr>
        <w:t>2）带户外级多媒体液晶屏；</w:t>
      </w:r>
    </w:p>
    <w:p>
      <w:pPr>
        <w:adjustRightInd w:val="0"/>
        <w:snapToGrid w:val="0"/>
        <w:spacing w:line="440" w:lineRule="exact"/>
        <w:jc w:val="center"/>
        <w:outlineLvl w:val="0"/>
        <w:rPr>
          <w:rFonts w:ascii="Times New Roman" w:hAnsi="Times New Roman" w:cs="Times New Roman"/>
          <w:b/>
          <w:sz w:val="36"/>
          <w:szCs w:val="36"/>
        </w:rPr>
      </w:pPr>
    </w:p>
    <w:p>
      <w:pPr>
        <w:adjustRightInd w:val="0"/>
        <w:snapToGrid w:val="0"/>
        <w:spacing w:line="440" w:lineRule="exact"/>
        <w:jc w:val="center"/>
        <w:outlineLvl w:val="0"/>
        <w:rPr>
          <w:rFonts w:ascii="Times New Roman" w:hAnsi="Times New Roman" w:cs="Times New Roman"/>
          <w:b/>
          <w:sz w:val="36"/>
          <w:szCs w:val="36"/>
        </w:rPr>
      </w:pPr>
    </w:p>
    <w:p>
      <w:pPr>
        <w:adjustRightInd w:val="0"/>
        <w:snapToGrid w:val="0"/>
        <w:spacing w:line="440" w:lineRule="exact"/>
        <w:jc w:val="center"/>
        <w:outlineLvl w:val="0"/>
        <w:rPr>
          <w:rFonts w:ascii="Times New Roman" w:hAnsi="Times New Roman" w:cs="Times New Roman"/>
          <w:b/>
          <w:sz w:val="36"/>
          <w:szCs w:val="36"/>
        </w:rPr>
      </w:pPr>
    </w:p>
    <w:p>
      <w:pPr>
        <w:spacing w:line="400" w:lineRule="exact"/>
        <w:rPr>
          <w:b/>
          <w:sz w:val="28"/>
          <w:szCs w:val="28"/>
        </w:rPr>
      </w:pPr>
      <w:r>
        <w:rPr>
          <w:rFonts w:hint="eastAsia"/>
          <w:b/>
          <w:sz w:val="28"/>
          <w:szCs w:val="28"/>
        </w:rPr>
        <w:t>商务要求</w:t>
      </w:r>
      <w:r>
        <w:rPr>
          <w:b/>
          <w:sz w:val="28"/>
          <w:szCs w:val="28"/>
        </w:rPr>
        <w:t>:</w:t>
      </w:r>
    </w:p>
    <w:p>
      <w:pPr>
        <w:spacing w:line="400" w:lineRule="exact"/>
        <w:rPr>
          <w:rFonts w:ascii="Times New Roman" w:hAnsi="Times New Roman" w:cs="Times New Roman"/>
          <w:bCs/>
          <w:sz w:val="28"/>
          <w:szCs w:val="28"/>
        </w:rPr>
      </w:pPr>
      <w:r>
        <w:rPr>
          <w:sz w:val="28"/>
          <w:szCs w:val="28"/>
          <w:highlight w:val="none"/>
        </w:rPr>
        <w:t>1.</w:t>
      </w:r>
      <w:r>
        <w:rPr>
          <w:rFonts w:hint="eastAsia"/>
          <w:sz w:val="28"/>
          <w:szCs w:val="28"/>
          <w:highlight w:val="none"/>
          <w:lang w:eastAsia="zh-CN"/>
        </w:rPr>
        <w:t>服务期限</w:t>
      </w:r>
      <w:r>
        <w:rPr>
          <w:rFonts w:hint="eastAsia"/>
          <w:sz w:val="28"/>
          <w:szCs w:val="28"/>
          <w:highlight w:val="none"/>
        </w:rPr>
        <w:t>：</w:t>
      </w:r>
      <w:r>
        <w:rPr>
          <w:rFonts w:hint="eastAsia"/>
          <w:sz w:val="28"/>
          <w:szCs w:val="28"/>
          <w:highlight w:val="none"/>
          <w:lang w:eastAsia="zh-CN"/>
        </w:rPr>
        <w:t>一</w:t>
      </w:r>
      <w:r>
        <w:rPr>
          <w:rFonts w:hint="eastAsia" w:ascii="Times New Roman" w:hAnsi="Times New Roman" w:cs="Times New Roman"/>
          <w:bCs/>
          <w:sz w:val="28"/>
          <w:szCs w:val="28"/>
          <w:lang w:eastAsia="zh-CN"/>
        </w:rPr>
        <w:t>年</w:t>
      </w:r>
      <w:r>
        <w:rPr>
          <w:rFonts w:hint="eastAsia" w:ascii="Times New Roman" w:hAnsi="Times New Roman" w:cs="Times New Roman"/>
          <w:bCs/>
          <w:sz w:val="28"/>
          <w:szCs w:val="28"/>
        </w:rPr>
        <w:t>。</w:t>
      </w:r>
    </w:p>
    <w:p>
      <w:pPr>
        <w:spacing w:line="400" w:lineRule="exact"/>
        <w:rPr>
          <w:rFonts w:ascii="Times New Roman" w:hAnsi="Times New Roman" w:cs="Times New Roman"/>
          <w:bCs/>
          <w:sz w:val="28"/>
          <w:szCs w:val="28"/>
        </w:rPr>
      </w:pPr>
      <w:r>
        <w:rPr>
          <w:rFonts w:ascii="Times New Roman" w:hAnsi="Times New Roman" w:cs="Times New Roman"/>
          <w:bCs/>
          <w:sz w:val="28"/>
          <w:szCs w:val="28"/>
        </w:rPr>
        <w:t>2.</w:t>
      </w:r>
      <w:r>
        <w:rPr>
          <w:rFonts w:hint="eastAsia" w:ascii="Times New Roman" w:hAnsi="Times New Roman" w:cs="Times New Roman"/>
          <w:bCs/>
          <w:sz w:val="28"/>
          <w:szCs w:val="28"/>
        </w:rPr>
        <w:t>付款方式：</w:t>
      </w:r>
      <w:r>
        <w:rPr>
          <w:rFonts w:ascii="Times New Roman" w:hAnsi="Times New Roman" w:cs="Times New Roman"/>
          <w:bCs/>
          <w:sz w:val="28"/>
          <w:szCs w:val="28"/>
        </w:rPr>
        <w:t>货物（服务）交付验收合格后，</w:t>
      </w:r>
      <w:r>
        <w:rPr>
          <w:rFonts w:hint="eastAsia" w:ascii="Times New Roman" w:hAnsi="Times New Roman" w:cs="Times New Roman"/>
          <w:bCs/>
          <w:sz w:val="28"/>
          <w:szCs w:val="28"/>
          <w:lang w:eastAsia="zh-CN"/>
        </w:rPr>
        <w:t>一次性付清</w:t>
      </w:r>
      <w:r>
        <w:rPr>
          <w:rFonts w:hint="eastAsia" w:ascii="Times New Roman" w:hAnsi="Times New Roman" w:cs="Times New Roman"/>
          <w:bCs/>
          <w:sz w:val="28"/>
          <w:szCs w:val="28"/>
        </w:rPr>
        <w:t>。</w:t>
      </w:r>
    </w:p>
    <w:p>
      <w:pPr>
        <w:spacing w:line="400" w:lineRule="exact"/>
        <w:rPr>
          <w:rFonts w:hint="eastAsia" w:ascii="Times New Roman" w:hAnsi="Times New Roman" w:cs="Times New Roman"/>
          <w:bCs/>
          <w:sz w:val="28"/>
          <w:szCs w:val="28"/>
          <w:lang w:val="en-US" w:eastAsia="zh-CN"/>
        </w:rPr>
      </w:pPr>
      <w:r>
        <w:rPr>
          <w:rFonts w:hint="eastAsia"/>
          <w:sz w:val="28"/>
          <w:szCs w:val="28"/>
          <w:highlight w:val="none"/>
          <w:lang w:val="en-US" w:eastAsia="zh-CN"/>
        </w:rPr>
        <w:t>3交货期：</w:t>
      </w:r>
      <w:r>
        <w:rPr>
          <w:rFonts w:hint="eastAsia" w:ascii="Times New Roman" w:hAnsi="Times New Roman" w:cs="Times New Roman"/>
          <w:bCs/>
          <w:sz w:val="28"/>
          <w:szCs w:val="28"/>
          <w:lang w:val="en-US" w:eastAsia="zh-CN"/>
        </w:rPr>
        <w:t>合同签订后10个工作日</w:t>
      </w:r>
    </w:p>
    <w:p>
      <w:pPr>
        <w:spacing w:line="400" w:lineRule="exact"/>
        <w:rPr>
          <w:rFonts w:hint="default"/>
          <w:sz w:val="28"/>
          <w:szCs w:val="28"/>
          <w:highlight w:val="none"/>
          <w:lang w:val="en-US" w:eastAsia="zh-CN"/>
        </w:rPr>
      </w:pPr>
      <w:r>
        <w:rPr>
          <w:rFonts w:hint="eastAsia"/>
          <w:sz w:val="28"/>
          <w:szCs w:val="28"/>
          <w:highlight w:val="none"/>
          <w:lang w:val="en-US" w:eastAsia="zh-CN"/>
        </w:rPr>
        <w:t>4.交货地点：甲方指定地点</w:t>
      </w:r>
    </w:p>
    <w:p>
      <w:pPr>
        <w:adjustRightInd w:val="0"/>
        <w:snapToGrid w:val="0"/>
        <w:spacing w:line="440" w:lineRule="exact"/>
        <w:jc w:val="center"/>
        <w:outlineLvl w:val="0"/>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pStyle w:val="2"/>
        <w:rPr>
          <w:rFonts w:ascii="Times New Roman" w:hAnsi="Times New Roman" w:cs="Times New Roman"/>
          <w:b/>
          <w:sz w:val="36"/>
          <w:szCs w:val="36"/>
        </w:rPr>
      </w:pPr>
    </w:p>
    <w:p>
      <w:pPr>
        <w:rPr>
          <w:rFonts w:ascii="Times New Roman" w:hAnsi="Times New Roman" w:cs="Times New Roman"/>
          <w:b/>
          <w:sz w:val="36"/>
          <w:szCs w:val="36"/>
        </w:rPr>
      </w:pPr>
    </w:p>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第四章  评审办法及评分标准</w:t>
      </w:r>
    </w:p>
    <w:tbl>
      <w:tblPr>
        <w:tblStyle w:val="11"/>
        <w:tblpPr w:leftFromText="180" w:rightFromText="180" w:vertAnchor="text" w:horzAnchor="page" w:tblpX="515" w:tblpY="444"/>
        <w:tblOverlap w:val="never"/>
        <w:tblW w:w="9967"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7"/>
        <w:gridCol w:w="1358"/>
        <w:gridCol w:w="1024"/>
        <w:gridCol w:w="65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81" w:hRule="atLeast"/>
        </w:trPr>
        <w:tc>
          <w:tcPr>
            <w:tcW w:w="987" w:type="dxa"/>
            <w:tcBorders>
              <w:bottom w:val="single" w:color="000000" w:sz="8" w:space="0"/>
              <w:right w:val="single" w:color="000000" w:sz="8" w:space="0"/>
            </w:tcBorders>
          </w:tcPr>
          <w:p>
            <w:pPr>
              <w:pStyle w:val="19"/>
              <w:spacing w:before="153"/>
              <w:ind w:left="205"/>
              <w:rPr>
                <w:sz w:val="24"/>
              </w:rPr>
            </w:pPr>
            <w:r>
              <w:rPr>
                <w:sz w:val="24"/>
              </w:rPr>
              <w:t>项目</w:t>
            </w:r>
          </w:p>
        </w:tc>
        <w:tc>
          <w:tcPr>
            <w:tcW w:w="1358" w:type="dxa"/>
            <w:tcBorders>
              <w:left w:val="single" w:color="000000" w:sz="8" w:space="0"/>
              <w:bottom w:val="single" w:color="000000" w:sz="8" w:space="0"/>
              <w:right w:val="single" w:color="000000" w:sz="8" w:space="0"/>
            </w:tcBorders>
          </w:tcPr>
          <w:p>
            <w:pPr>
              <w:pStyle w:val="19"/>
              <w:spacing w:line="302" w:lineRule="exact"/>
              <w:ind w:left="407"/>
              <w:rPr>
                <w:sz w:val="24"/>
              </w:rPr>
            </w:pPr>
            <w:r>
              <w:rPr>
                <w:sz w:val="24"/>
              </w:rPr>
              <w:t>评审</w:t>
            </w:r>
          </w:p>
          <w:p>
            <w:pPr>
              <w:pStyle w:val="19"/>
              <w:spacing w:before="5" w:line="296" w:lineRule="exact"/>
              <w:ind w:left="407"/>
              <w:rPr>
                <w:sz w:val="24"/>
              </w:rPr>
            </w:pPr>
            <w:r>
              <w:rPr>
                <w:sz w:val="24"/>
              </w:rPr>
              <w:t>分项</w:t>
            </w:r>
          </w:p>
        </w:tc>
        <w:tc>
          <w:tcPr>
            <w:tcW w:w="1024" w:type="dxa"/>
            <w:tcBorders>
              <w:left w:val="single" w:color="000000" w:sz="8" w:space="0"/>
              <w:bottom w:val="single" w:color="000000" w:sz="8" w:space="0"/>
              <w:right w:val="single" w:color="000000" w:sz="8" w:space="0"/>
            </w:tcBorders>
          </w:tcPr>
          <w:p>
            <w:pPr>
              <w:pStyle w:val="19"/>
              <w:spacing w:before="153"/>
              <w:ind w:left="258"/>
              <w:rPr>
                <w:sz w:val="24"/>
              </w:rPr>
            </w:pPr>
            <w:r>
              <w:rPr>
                <w:sz w:val="24"/>
              </w:rPr>
              <w:t>满分</w:t>
            </w:r>
          </w:p>
        </w:tc>
        <w:tc>
          <w:tcPr>
            <w:tcW w:w="6598" w:type="dxa"/>
            <w:tcBorders>
              <w:left w:val="single" w:color="000000" w:sz="8" w:space="0"/>
              <w:bottom w:val="single" w:color="000000" w:sz="8" w:space="0"/>
            </w:tcBorders>
          </w:tcPr>
          <w:p>
            <w:pPr>
              <w:pStyle w:val="19"/>
              <w:spacing w:before="153"/>
              <w:ind w:left="2528" w:right="1150" w:rightChars="0"/>
              <w:jc w:val="center"/>
              <w:rPr>
                <w:sz w:val="24"/>
              </w:rPr>
            </w:pPr>
            <w:r>
              <w:rPr>
                <w:sz w:val="24"/>
              </w:rPr>
              <w:t>评审内容及分值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121" w:hRule="atLeast"/>
        </w:trPr>
        <w:tc>
          <w:tcPr>
            <w:tcW w:w="987" w:type="dxa"/>
            <w:tcBorders>
              <w:top w:val="single" w:color="000000" w:sz="8" w:space="0"/>
              <w:bottom w:val="single" w:color="000000" w:sz="8" w:space="0"/>
              <w:right w:val="single" w:color="000000" w:sz="8" w:space="0"/>
            </w:tcBorders>
            <w:vAlign w:val="center"/>
          </w:tcPr>
          <w:p>
            <w:pPr>
              <w:pStyle w:val="19"/>
              <w:spacing w:before="210" w:line="242" w:lineRule="auto"/>
              <w:ind w:left="172" w:right="161" w:firstLine="33"/>
              <w:jc w:val="center"/>
              <w:rPr>
                <w:sz w:val="24"/>
              </w:rPr>
            </w:pPr>
            <w:r>
              <w:rPr>
                <w:sz w:val="24"/>
              </w:rPr>
              <w:t>价格总分</w:t>
            </w:r>
            <w:r>
              <w:rPr>
                <w:rFonts w:ascii="Calibri" w:eastAsia="Calibri"/>
                <w:sz w:val="24"/>
              </w:rPr>
              <w:t xml:space="preserve">30 </w:t>
            </w:r>
            <w:r>
              <w:rPr>
                <w:sz w:val="24"/>
              </w:rPr>
              <w:t>分</w:t>
            </w:r>
          </w:p>
        </w:tc>
        <w:tc>
          <w:tcPr>
            <w:tcW w:w="1358" w:type="dxa"/>
            <w:tcBorders>
              <w:top w:val="single" w:color="000000" w:sz="8" w:space="0"/>
              <w:left w:val="single" w:color="000000" w:sz="8" w:space="0"/>
              <w:bottom w:val="single" w:color="000000" w:sz="8" w:space="0"/>
              <w:right w:val="single" w:color="000000" w:sz="8" w:space="0"/>
            </w:tcBorders>
            <w:vAlign w:val="center"/>
          </w:tcPr>
          <w:p>
            <w:pPr>
              <w:pStyle w:val="19"/>
              <w:spacing w:line="242" w:lineRule="auto"/>
              <w:ind w:right="262"/>
              <w:jc w:val="center"/>
              <w:rPr>
                <w:sz w:val="24"/>
              </w:rPr>
            </w:pPr>
            <w:r>
              <w:rPr>
                <w:rFonts w:hint="eastAsia"/>
                <w:sz w:val="24"/>
                <w:lang w:val="en-US" w:eastAsia="zh-CN"/>
              </w:rPr>
              <w:t xml:space="preserve"> </w:t>
            </w:r>
            <w:r>
              <w:rPr>
                <w:sz w:val="24"/>
              </w:rPr>
              <w:t>投标总报价</w:t>
            </w:r>
          </w:p>
        </w:tc>
        <w:tc>
          <w:tcPr>
            <w:tcW w:w="1024" w:type="dxa"/>
            <w:tcBorders>
              <w:top w:val="single" w:color="000000" w:sz="8" w:space="0"/>
              <w:left w:val="single" w:color="000000" w:sz="8" w:space="0"/>
              <w:bottom w:val="single" w:color="000000" w:sz="8" w:space="0"/>
              <w:right w:val="single" w:color="000000" w:sz="8" w:space="0"/>
            </w:tcBorders>
            <w:vAlign w:val="center"/>
          </w:tcPr>
          <w:p>
            <w:pPr>
              <w:pStyle w:val="19"/>
              <w:spacing w:before="189"/>
              <w:jc w:val="center"/>
              <w:rPr>
                <w:sz w:val="24"/>
              </w:rPr>
            </w:pPr>
            <w:r>
              <w:rPr>
                <w:rFonts w:ascii="Calibri" w:eastAsia="Calibri"/>
                <w:sz w:val="24"/>
              </w:rPr>
              <w:t xml:space="preserve">30 </w:t>
            </w:r>
            <w:r>
              <w:rPr>
                <w:sz w:val="24"/>
              </w:rPr>
              <w:t>分</w:t>
            </w:r>
          </w:p>
        </w:tc>
        <w:tc>
          <w:tcPr>
            <w:tcW w:w="6598" w:type="dxa"/>
            <w:tcBorders>
              <w:top w:val="single" w:color="000000" w:sz="8" w:space="0"/>
              <w:left w:val="single" w:color="000000" w:sz="8" w:space="0"/>
              <w:bottom w:val="single" w:color="000000" w:sz="8" w:space="0"/>
            </w:tcBorders>
          </w:tcPr>
          <w:p>
            <w:pPr>
              <w:pStyle w:val="19"/>
              <w:spacing w:before="57"/>
              <w:ind w:left="109" w:right="84"/>
              <w:rPr>
                <w:sz w:val="24"/>
              </w:rPr>
            </w:pPr>
            <w:r>
              <w:rPr>
                <w:rFonts w:ascii="Calibri" w:eastAsia="Calibri"/>
                <w:sz w:val="24"/>
              </w:rPr>
              <w:t>1</w:t>
            </w:r>
            <w:r>
              <w:rPr>
                <w:sz w:val="24"/>
              </w:rPr>
              <w:t>、满足采购文件要求且投标价格最低的投标报价为评标基准价，其价格分为满分；</w:t>
            </w:r>
          </w:p>
          <w:p>
            <w:pPr>
              <w:pStyle w:val="19"/>
              <w:spacing w:before="4" w:line="242" w:lineRule="auto"/>
              <w:ind w:left="109" w:right="270" w:rightChars="0"/>
              <w:rPr>
                <w:sz w:val="24"/>
              </w:rPr>
            </w:pPr>
            <w:r>
              <w:rPr>
                <w:rFonts w:ascii="Calibri" w:hAnsi="Calibri" w:eastAsia="Calibri"/>
                <w:sz w:val="24"/>
              </w:rPr>
              <w:t>2</w:t>
            </w:r>
            <w:r>
              <w:rPr>
                <w:sz w:val="24"/>
              </w:rPr>
              <w:t>、其他合格供应商的投标报价得分按如下公式计算： 投标报价得分</w:t>
            </w:r>
            <w:r>
              <w:rPr>
                <w:rFonts w:ascii="Calibri" w:hAnsi="Calibri" w:eastAsia="Calibri"/>
                <w:sz w:val="24"/>
              </w:rPr>
              <w:t>=</w:t>
            </w:r>
            <w:r>
              <w:rPr>
                <w:sz w:val="24"/>
              </w:rPr>
              <w:t>（评标基准价</w:t>
            </w:r>
            <w:r>
              <w:rPr>
                <w:rFonts w:ascii="Calibri" w:hAnsi="Calibri" w:eastAsia="Calibri"/>
                <w:sz w:val="24"/>
              </w:rPr>
              <w:t>/</w:t>
            </w:r>
            <w:r>
              <w:rPr>
                <w:sz w:val="24"/>
              </w:rPr>
              <w:t>投标报价）</w:t>
            </w:r>
            <w:r>
              <w:rPr>
                <w:rFonts w:ascii="Calibri" w:hAnsi="Calibri" w:eastAsia="Calibri"/>
                <w:sz w:val="24"/>
              </w:rPr>
              <w:t>×30</w:t>
            </w:r>
            <w:r>
              <w:rPr>
                <w:sz w:val="24"/>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51" w:hRule="atLeast"/>
        </w:trPr>
        <w:tc>
          <w:tcPr>
            <w:tcW w:w="987" w:type="dxa"/>
            <w:vMerge w:val="restart"/>
            <w:tcBorders>
              <w:top w:val="single" w:color="000000" w:sz="8" w:space="0"/>
              <w:right w:val="single" w:color="000000" w:sz="8" w:space="0"/>
            </w:tcBorders>
            <w:vAlign w:val="center"/>
          </w:tcPr>
          <w:p>
            <w:pPr>
              <w:pStyle w:val="19"/>
              <w:spacing w:before="81" w:line="244" w:lineRule="auto"/>
              <w:ind w:left="205" w:right="185"/>
              <w:jc w:val="center"/>
              <w:rPr>
                <w:sz w:val="24"/>
              </w:rPr>
            </w:pPr>
            <w:r>
              <w:rPr>
                <w:spacing w:val="-9"/>
                <w:sz w:val="24"/>
              </w:rPr>
              <w:t>商务总分</w:t>
            </w:r>
          </w:p>
          <w:p>
            <w:pPr>
              <w:pStyle w:val="19"/>
              <w:spacing w:line="305" w:lineRule="exact"/>
              <w:ind w:left="200"/>
              <w:jc w:val="center"/>
              <w:rPr>
                <w:rFonts w:ascii="Calibri" w:eastAsia="Calibri"/>
                <w:sz w:val="24"/>
              </w:rPr>
            </w:pPr>
            <w:r>
              <w:rPr>
                <w:sz w:val="24"/>
              </w:rPr>
              <w:t>（</w:t>
            </w:r>
            <w:r>
              <w:rPr>
                <w:rFonts w:ascii="Calibri" w:eastAsia="Calibri"/>
                <w:sz w:val="24"/>
              </w:rPr>
              <w:t>42</w:t>
            </w:r>
          </w:p>
          <w:p>
            <w:pPr>
              <w:pStyle w:val="19"/>
              <w:spacing w:before="4" w:line="266" w:lineRule="exact"/>
              <w:ind w:left="205"/>
              <w:jc w:val="center"/>
              <w:rPr>
                <w:sz w:val="24"/>
              </w:rPr>
            </w:pPr>
            <w:r>
              <w:rPr>
                <w:sz w:val="24"/>
              </w:rPr>
              <w:t>分）</w:t>
            </w:r>
          </w:p>
        </w:tc>
        <w:tc>
          <w:tcPr>
            <w:tcW w:w="1358" w:type="dxa"/>
            <w:vMerge w:val="restart"/>
            <w:tcBorders>
              <w:top w:val="single" w:color="000000" w:sz="8" w:space="0"/>
              <w:left w:val="single" w:color="000000" w:sz="8" w:space="0"/>
              <w:right w:val="single" w:color="000000" w:sz="8" w:space="0"/>
            </w:tcBorders>
            <w:vAlign w:val="center"/>
          </w:tcPr>
          <w:p>
            <w:pPr>
              <w:pStyle w:val="19"/>
              <w:spacing w:before="2"/>
              <w:jc w:val="center"/>
              <w:rPr>
                <w:b/>
                <w:sz w:val="33"/>
              </w:rPr>
            </w:pPr>
          </w:p>
          <w:p>
            <w:pPr>
              <w:pStyle w:val="19"/>
              <w:spacing w:line="310" w:lineRule="atLeast"/>
              <w:ind w:left="407" w:right="262" w:hanging="120"/>
              <w:jc w:val="center"/>
              <w:rPr>
                <w:sz w:val="24"/>
              </w:rPr>
            </w:pPr>
            <w:r>
              <w:rPr>
                <w:sz w:val="24"/>
              </w:rPr>
              <w:t>供应商实力</w:t>
            </w:r>
          </w:p>
        </w:tc>
        <w:tc>
          <w:tcPr>
            <w:tcW w:w="1024" w:type="dxa"/>
            <w:vMerge w:val="restart"/>
            <w:tcBorders>
              <w:top w:val="single" w:color="000000" w:sz="8" w:space="0"/>
              <w:left w:val="single" w:color="000000" w:sz="8" w:space="0"/>
              <w:right w:val="single" w:color="000000" w:sz="8" w:space="0"/>
            </w:tcBorders>
            <w:vAlign w:val="center"/>
          </w:tcPr>
          <w:p>
            <w:pPr>
              <w:pStyle w:val="19"/>
              <w:jc w:val="center"/>
              <w:rPr>
                <w:b/>
                <w:sz w:val="26"/>
              </w:rPr>
            </w:pPr>
          </w:p>
          <w:p>
            <w:pPr>
              <w:pStyle w:val="19"/>
              <w:spacing w:before="9"/>
              <w:jc w:val="center"/>
              <w:rPr>
                <w:b/>
                <w:sz w:val="19"/>
              </w:rPr>
            </w:pPr>
          </w:p>
          <w:p>
            <w:pPr>
              <w:pStyle w:val="19"/>
              <w:ind w:left="229"/>
              <w:jc w:val="center"/>
              <w:rPr>
                <w:sz w:val="24"/>
              </w:rPr>
            </w:pPr>
            <w:r>
              <w:rPr>
                <w:rFonts w:ascii="Calibri" w:eastAsia="Calibri"/>
                <w:sz w:val="24"/>
              </w:rPr>
              <w:t xml:space="preserve">22 </w:t>
            </w:r>
            <w:r>
              <w:rPr>
                <w:sz w:val="24"/>
              </w:rPr>
              <w:t>分</w:t>
            </w:r>
          </w:p>
        </w:tc>
        <w:tc>
          <w:tcPr>
            <w:tcW w:w="6598" w:type="dxa"/>
            <w:tcBorders>
              <w:top w:val="single" w:color="000000" w:sz="8" w:space="0"/>
              <w:left w:val="single" w:color="000000" w:sz="8" w:space="0"/>
              <w:bottom w:val="single" w:color="000000" w:sz="8" w:space="0"/>
            </w:tcBorders>
          </w:tcPr>
          <w:p>
            <w:pPr>
              <w:pStyle w:val="19"/>
              <w:spacing w:before="62"/>
              <w:ind w:left="109"/>
              <w:rPr>
                <w:sz w:val="24"/>
              </w:rPr>
            </w:pPr>
            <w:r>
              <w:rPr>
                <w:rFonts w:ascii="Calibri" w:eastAsia="Calibri"/>
                <w:sz w:val="24"/>
              </w:rPr>
              <w:t>1</w:t>
            </w:r>
            <w:r>
              <w:rPr>
                <w:sz w:val="24"/>
              </w:rPr>
              <w:t>、</w:t>
            </w:r>
            <w:r>
              <w:rPr>
                <w:rFonts w:ascii="Calibri" w:eastAsia="Calibri"/>
                <w:sz w:val="24"/>
              </w:rPr>
              <w:t xml:space="preserve">ISO9001 </w:t>
            </w:r>
            <w:r>
              <w:rPr>
                <w:sz w:val="24"/>
              </w:rPr>
              <w:t>系列质量管理体系认证证书，</w:t>
            </w:r>
          </w:p>
          <w:p>
            <w:pPr>
              <w:pStyle w:val="19"/>
              <w:spacing w:before="5"/>
              <w:ind w:left="109"/>
              <w:rPr>
                <w:sz w:val="24"/>
              </w:rPr>
            </w:pPr>
            <w:r>
              <w:rPr>
                <w:rFonts w:ascii="Calibri" w:eastAsia="Calibri"/>
                <w:sz w:val="24"/>
              </w:rPr>
              <w:t>2</w:t>
            </w:r>
            <w:r>
              <w:rPr>
                <w:sz w:val="24"/>
              </w:rPr>
              <w:t>、</w:t>
            </w:r>
            <w:r>
              <w:rPr>
                <w:rFonts w:ascii="Calibri" w:eastAsia="Calibri"/>
                <w:sz w:val="24"/>
              </w:rPr>
              <w:t xml:space="preserve">ISO14001 </w:t>
            </w:r>
            <w:r>
              <w:rPr>
                <w:sz w:val="24"/>
              </w:rPr>
              <w:t>系列环境管理体系认证证书，</w:t>
            </w:r>
          </w:p>
          <w:p>
            <w:pPr>
              <w:pStyle w:val="19"/>
              <w:spacing w:before="4"/>
              <w:ind w:left="109"/>
              <w:rPr>
                <w:sz w:val="24"/>
              </w:rPr>
            </w:pPr>
            <w:r>
              <w:rPr>
                <w:rFonts w:ascii="Calibri" w:eastAsia="Calibri"/>
                <w:sz w:val="24"/>
              </w:rPr>
              <w:t>3</w:t>
            </w:r>
            <w:r>
              <w:rPr>
                <w:sz w:val="24"/>
              </w:rPr>
              <w:t>、职业健康安全管理体系认证证书。</w:t>
            </w:r>
          </w:p>
          <w:p>
            <w:pPr>
              <w:pStyle w:val="19"/>
              <w:spacing w:before="5"/>
              <w:ind w:left="109"/>
              <w:rPr>
                <w:sz w:val="24"/>
              </w:rPr>
            </w:pPr>
            <w:r>
              <w:rPr>
                <w:sz w:val="24"/>
              </w:rPr>
              <w:t xml:space="preserve">（全部有得 </w:t>
            </w:r>
            <w:r>
              <w:rPr>
                <w:rFonts w:ascii="Calibri" w:eastAsia="Calibri"/>
                <w:sz w:val="24"/>
              </w:rPr>
              <w:t xml:space="preserve">3 </w:t>
            </w:r>
            <w:r>
              <w:rPr>
                <w:sz w:val="24"/>
              </w:rPr>
              <w:t xml:space="preserve">分，每缺一项扣 </w:t>
            </w:r>
            <w:r>
              <w:rPr>
                <w:rFonts w:ascii="Calibri" w:eastAsia="Calibri"/>
                <w:sz w:val="24"/>
              </w:rPr>
              <w:t xml:space="preserve">1 </w:t>
            </w:r>
            <w:r>
              <w:rPr>
                <w:sz w:val="24"/>
              </w:rPr>
              <w:t>分，提供相关证明材料）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52" w:hRule="atLeast"/>
        </w:trPr>
        <w:tc>
          <w:tcPr>
            <w:tcW w:w="987" w:type="dxa"/>
            <w:vMerge w:val="continue"/>
            <w:tcBorders>
              <w:right w:val="single" w:color="000000" w:sz="8" w:space="0"/>
            </w:tcBorders>
            <w:vAlign w:val="center"/>
          </w:tcPr>
          <w:p>
            <w:pPr>
              <w:pStyle w:val="19"/>
              <w:jc w:val="center"/>
              <w:rPr>
                <w:rFonts w:ascii="Times New Roman"/>
                <w:sz w:val="24"/>
              </w:rPr>
            </w:pPr>
          </w:p>
        </w:tc>
        <w:tc>
          <w:tcPr>
            <w:tcW w:w="1358" w:type="dxa"/>
            <w:vMerge w:val="continue"/>
            <w:tcBorders>
              <w:left w:val="single" w:color="000000" w:sz="8" w:space="0"/>
              <w:right w:val="single" w:color="000000" w:sz="8" w:space="0"/>
            </w:tcBorders>
            <w:vAlign w:val="center"/>
          </w:tcPr>
          <w:p>
            <w:pPr>
              <w:pStyle w:val="19"/>
              <w:spacing w:line="310" w:lineRule="atLeast"/>
              <w:ind w:left="407" w:right="262" w:hanging="120"/>
              <w:jc w:val="center"/>
              <w:rPr>
                <w:sz w:val="24"/>
              </w:rPr>
            </w:pPr>
          </w:p>
        </w:tc>
        <w:tc>
          <w:tcPr>
            <w:tcW w:w="1024" w:type="dxa"/>
            <w:vMerge w:val="continue"/>
            <w:tcBorders>
              <w:left w:val="single" w:color="000000" w:sz="8" w:space="0"/>
              <w:right w:val="single" w:color="000000" w:sz="8" w:space="0"/>
            </w:tcBorders>
            <w:vAlign w:val="center"/>
          </w:tcPr>
          <w:p>
            <w:pPr>
              <w:pStyle w:val="19"/>
              <w:ind w:left="229"/>
              <w:jc w:val="center"/>
              <w:rPr>
                <w:sz w:val="24"/>
              </w:rPr>
            </w:pPr>
          </w:p>
        </w:tc>
        <w:tc>
          <w:tcPr>
            <w:tcW w:w="6598" w:type="dxa"/>
            <w:tcBorders>
              <w:top w:val="single" w:color="000000" w:sz="8" w:space="0"/>
              <w:left w:val="single" w:color="000000" w:sz="8" w:space="0"/>
              <w:bottom w:val="single" w:color="000000" w:sz="8" w:space="0"/>
            </w:tcBorders>
          </w:tcPr>
          <w:p>
            <w:pPr>
              <w:pStyle w:val="19"/>
              <w:spacing w:before="5"/>
              <w:rPr>
                <w:rFonts w:hint="eastAsia"/>
                <w:spacing w:val="-4"/>
                <w:sz w:val="24"/>
              </w:rPr>
            </w:pPr>
            <w:r>
              <w:rPr>
                <w:rFonts w:hint="eastAsia"/>
                <w:spacing w:val="-4"/>
                <w:sz w:val="24"/>
              </w:rPr>
              <w:t>投标供应商提供 2017 年 10 月 1 日以来具有同类项目业绩或销售合同，每提供一份业绩合同得 2 分，满分 8 分。（需提供中标或成交通知书和合同或销售合同和验收报告的复印件或扫描</w:t>
            </w:r>
          </w:p>
          <w:p>
            <w:pPr>
              <w:pStyle w:val="19"/>
              <w:spacing w:before="5"/>
              <w:rPr>
                <w:sz w:val="24"/>
              </w:rPr>
            </w:pPr>
            <w:r>
              <w:rPr>
                <w:rFonts w:hint="eastAsia"/>
                <w:spacing w:val="-4"/>
                <w:sz w:val="24"/>
              </w:rPr>
              <w:t>件，未提供者不得分）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12" w:hRule="atLeast"/>
        </w:trPr>
        <w:tc>
          <w:tcPr>
            <w:tcW w:w="987" w:type="dxa"/>
            <w:vMerge w:val="continue"/>
            <w:tcBorders>
              <w:right w:val="single" w:color="000000" w:sz="8" w:space="0"/>
            </w:tcBorders>
            <w:vAlign w:val="center"/>
          </w:tcPr>
          <w:p>
            <w:pPr>
              <w:jc w:val="center"/>
              <w:rPr>
                <w:sz w:val="2"/>
                <w:szCs w:val="2"/>
              </w:rPr>
            </w:pPr>
          </w:p>
        </w:tc>
        <w:tc>
          <w:tcPr>
            <w:tcW w:w="1358" w:type="dxa"/>
            <w:vMerge w:val="continue"/>
            <w:tcBorders>
              <w:left w:val="single" w:color="000000" w:sz="8" w:space="0"/>
              <w:right w:val="single" w:color="000000" w:sz="8" w:space="0"/>
            </w:tcBorders>
            <w:vAlign w:val="center"/>
          </w:tcPr>
          <w:p>
            <w:pPr>
              <w:jc w:val="center"/>
              <w:rPr>
                <w:sz w:val="2"/>
                <w:szCs w:val="2"/>
              </w:rPr>
            </w:pPr>
          </w:p>
        </w:tc>
        <w:tc>
          <w:tcPr>
            <w:tcW w:w="1024" w:type="dxa"/>
            <w:vMerge w:val="continue"/>
            <w:tcBorders>
              <w:left w:val="single" w:color="000000" w:sz="8" w:space="0"/>
              <w:right w:val="single" w:color="000000" w:sz="8" w:space="0"/>
            </w:tcBorders>
            <w:vAlign w:val="center"/>
          </w:tcPr>
          <w:p>
            <w:pPr>
              <w:jc w:val="center"/>
              <w:rPr>
                <w:sz w:val="2"/>
                <w:szCs w:val="2"/>
              </w:rPr>
            </w:pPr>
          </w:p>
        </w:tc>
        <w:tc>
          <w:tcPr>
            <w:tcW w:w="6598" w:type="dxa"/>
            <w:tcBorders>
              <w:top w:val="single" w:color="000000" w:sz="8" w:space="0"/>
              <w:left w:val="single" w:color="000000" w:sz="8" w:space="0"/>
            </w:tcBorders>
          </w:tcPr>
          <w:p>
            <w:pPr>
              <w:pStyle w:val="19"/>
              <w:spacing w:before="2" w:line="240" w:lineRule="auto"/>
              <w:rPr>
                <w:sz w:val="24"/>
              </w:rPr>
            </w:pPr>
            <w:r>
              <w:rPr>
                <w:sz w:val="24"/>
              </w:rPr>
              <w:t xml:space="preserve">供应商获得与相关的国家专利证书并在有效期内的，每个得 </w:t>
            </w:r>
            <w:r>
              <w:rPr>
                <w:rFonts w:ascii="Calibri" w:eastAsia="Calibri"/>
                <w:sz w:val="24"/>
              </w:rPr>
              <w:t xml:space="preserve">1 </w:t>
            </w:r>
            <w:r>
              <w:rPr>
                <w:sz w:val="24"/>
              </w:rPr>
              <w:t xml:space="preserve">分，最多得 </w:t>
            </w:r>
            <w:r>
              <w:rPr>
                <w:rFonts w:ascii="Calibri" w:eastAsia="Calibri"/>
                <w:sz w:val="24"/>
              </w:rPr>
              <w:t xml:space="preserve">5 </w:t>
            </w:r>
            <w:r>
              <w:rPr>
                <w:sz w:val="24"/>
              </w:rPr>
              <w:t>分。</w:t>
            </w:r>
          </w:p>
          <w:p>
            <w:pPr>
              <w:pStyle w:val="19"/>
              <w:spacing w:line="240" w:lineRule="auto"/>
              <w:ind w:left="109"/>
              <w:rPr>
                <w:sz w:val="24"/>
              </w:rPr>
            </w:pPr>
            <w:r>
              <w:rPr>
                <w:sz w:val="24"/>
              </w:rPr>
              <w:t>（提供相关证明材料，没有提供不得分）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130" w:hRule="atLeast"/>
        </w:trPr>
        <w:tc>
          <w:tcPr>
            <w:tcW w:w="987" w:type="dxa"/>
            <w:vMerge w:val="continue"/>
            <w:tcBorders>
              <w:right w:val="single" w:color="000000" w:sz="8" w:space="0"/>
            </w:tcBorders>
            <w:vAlign w:val="center"/>
          </w:tcPr>
          <w:p>
            <w:pPr>
              <w:pStyle w:val="19"/>
              <w:spacing w:before="4" w:line="266" w:lineRule="exact"/>
              <w:ind w:left="205"/>
              <w:jc w:val="center"/>
              <w:rPr>
                <w:sz w:val="24"/>
              </w:rPr>
            </w:pPr>
          </w:p>
        </w:tc>
        <w:tc>
          <w:tcPr>
            <w:tcW w:w="1358" w:type="dxa"/>
            <w:vMerge w:val="continue"/>
            <w:tcBorders>
              <w:left w:val="single" w:color="000000" w:sz="8" w:space="0"/>
              <w:bottom w:val="single" w:color="000000" w:sz="8" w:space="0"/>
              <w:right w:val="single" w:color="000000" w:sz="8" w:space="0"/>
            </w:tcBorders>
            <w:vAlign w:val="center"/>
          </w:tcPr>
          <w:p>
            <w:pPr>
              <w:pStyle w:val="19"/>
              <w:jc w:val="center"/>
              <w:rPr>
                <w:rFonts w:ascii="Times New Roman"/>
                <w:sz w:val="24"/>
              </w:rPr>
            </w:pPr>
          </w:p>
        </w:tc>
        <w:tc>
          <w:tcPr>
            <w:tcW w:w="1024" w:type="dxa"/>
            <w:vMerge w:val="continue"/>
            <w:tcBorders>
              <w:left w:val="single" w:color="000000" w:sz="8" w:space="0"/>
              <w:bottom w:val="single" w:color="000000" w:sz="8" w:space="0"/>
              <w:right w:val="single" w:color="000000" w:sz="8" w:space="0"/>
            </w:tcBorders>
            <w:vAlign w:val="center"/>
          </w:tcPr>
          <w:p>
            <w:pPr>
              <w:pStyle w:val="19"/>
              <w:jc w:val="center"/>
              <w:rPr>
                <w:rFonts w:ascii="Times New Roman"/>
                <w:sz w:val="24"/>
              </w:rPr>
            </w:pPr>
          </w:p>
        </w:tc>
        <w:tc>
          <w:tcPr>
            <w:tcW w:w="6598" w:type="dxa"/>
            <w:tcBorders>
              <w:top w:val="single" w:color="000000" w:sz="8" w:space="0"/>
              <w:left w:val="single" w:color="000000" w:sz="8" w:space="0"/>
              <w:bottom w:val="single" w:color="000000" w:sz="8" w:space="0"/>
            </w:tcBorders>
          </w:tcPr>
          <w:p>
            <w:pPr>
              <w:pStyle w:val="19"/>
              <w:spacing w:line="244" w:lineRule="auto"/>
              <w:ind w:left="109" w:right="193" w:rightChars="0"/>
              <w:rPr>
                <w:sz w:val="24"/>
              </w:rPr>
            </w:pPr>
            <w:r>
              <w:rPr>
                <w:sz w:val="24"/>
              </w:rPr>
              <w:t>供应商具有企业信用评级</w:t>
            </w:r>
            <w:r>
              <w:rPr>
                <w:rFonts w:ascii="Calibri" w:eastAsia="Calibri"/>
                <w:sz w:val="24"/>
              </w:rPr>
              <w:t xml:space="preserve">AAA </w:t>
            </w:r>
            <w:r>
              <w:rPr>
                <w:sz w:val="24"/>
              </w:rPr>
              <w:t xml:space="preserve">级或以上企业证书得 </w:t>
            </w:r>
            <w:r>
              <w:rPr>
                <w:rFonts w:ascii="Calibri" w:eastAsia="Calibri"/>
                <w:sz w:val="24"/>
              </w:rPr>
              <w:t xml:space="preserve">2 </w:t>
            </w:r>
            <w:r>
              <w:rPr>
                <w:sz w:val="24"/>
              </w:rPr>
              <w:t xml:space="preserve">分； 供应商具有守合同重信用企业证书得 </w:t>
            </w:r>
            <w:r>
              <w:rPr>
                <w:rFonts w:ascii="Calibri" w:eastAsia="Calibri"/>
                <w:sz w:val="24"/>
              </w:rPr>
              <w:t xml:space="preserve">2 </w:t>
            </w:r>
            <w:r>
              <w:rPr>
                <w:sz w:val="24"/>
              </w:rPr>
              <w:t>分；</w:t>
            </w:r>
          </w:p>
          <w:p>
            <w:pPr>
              <w:pStyle w:val="19"/>
              <w:spacing w:line="305" w:lineRule="exact"/>
              <w:ind w:left="109"/>
              <w:rPr>
                <w:sz w:val="24"/>
              </w:rPr>
            </w:pPr>
            <w:r>
              <w:rPr>
                <w:sz w:val="24"/>
              </w:rPr>
              <w:t xml:space="preserve">供应商具有中国中小企业诚信示范单位证书得 </w:t>
            </w:r>
            <w:r>
              <w:rPr>
                <w:rFonts w:ascii="Calibri" w:eastAsia="Calibri"/>
                <w:sz w:val="24"/>
              </w:rPr>
              <w:t xml:space="preserve">2 </w:t>
            </w:r>
            <w:r>
              <w:rPr>
                <w:sz w:val="24"/>
              </w:rPr>
              <w:t>分。</w:t>
            </w:r>
          </w:p>
          <w:p>
            <w:pPr>
              <w:pStyle w:val="19"/>
              <w:spacing w:line="296" w:lineRule="exact"/>
              <w:ind w:left="109"/>
              <w:rPr>
                <w:sz w:val="24"/>
              </w:rPr>
            </w:pPr>
            <w:r>
              <w:rPr>
                <w:sz w:val="24"/>
              </w:rPr>
              <w:t>（提供相关证明材料，没有提供不得分）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889" w:hRule="atLeast"/>
        </w:trPr>
        <w:tc>
          <w:tcPr>
            <w:tcW w:w="987" w:type="dxa"/>
            <w:vMerge w:val="continue"/>
            <w:tcBorders>
              <w:right w:val="single" w:color="000000" w:sz="8" w:space="0"/>
            </w:tcBorders>
            <w:vAlign w:val="center"/>
          </w:tcPr>
          <w:p>
            <w:pPr>
              <w:jc w:val="center"/>
              <w:rPr>
                <w:sz w:val="2"/>
                <w:szCs w:val="2"/>
              </w:rPr>
            </w:pPr>
          </w:p>
        </w:tc>
        <w:tc>
          <w:tcPr>
            <w:tcW w:w="1358" w:type="dxa"/>
            <w:tcBorders>
              <w:top w:val="single" w:color="000000" w:sz="8" w:space="0"/>
              <w:left w:val="single" w:color="000000" w:sz="8" w:space="0"/>
              <w:right w:val="single" w:color="000000" w:sz="8" w:space="0"/>
            </w:tcBorders>
            <w:vAlign w:val="center"/>
          </w:tcPr>
          <w:p>
            <w:pPr>
              <w:pStyle w:val="19"/>
              <w:spacing w:before="2" w:line="244" w:lineRule="auto"/>
              <w:ind w:left="407" w:right="382"/>
              <w:jc w:val="center"/>
              <w:rPr>
                <w:sz w:val="24"/>
              </w:rPr>
            </w:pPr>
            <w:r>
              <w:rPr>
                <w:sz w:val="24"/>
              </w:rPr>
              <w:t>实施方案</w:t>
            </w:r>
          </w:p>
        </w:tc>
        <w:tc>
          <w:tcPr>
            <w:tcW w:w="1024" w:type="dxa"/>
            <w:tcBorders>
              <w:top w:val="single" w:color="000000" w:sz="8" w:space="0"/>
              <w:left w:val="single" w:color="000000" w:sz="8" w:space="0"/>
              <w:right w:val="single" w:color="000000" w:sz="8" w:space="0"/>
            </w:tcBorders>
            <w:vAlign w:val="center"/>
          </w:tcPr>
          <w:p>
            <w:pPr>
              <w:pStyle w:val="19"/>
              <w:spacing w:before="156"/>
              <w:ind w:left="229"/>
              <w:jc w:val="center"/>
              <w:rPr>
                <w:sz w:val="24"/>
              </w:rPr>
            </w:pPr>
            <w:r>
              <w:rPr>
                <w:rFonts w:ascii="Calibri" w:eastAsia="Calibri"/>
                <w:sz w:val="24"/>
              </w:rPr>
              <w:t xml:space="preserve">10 </w:t>
            </w:r>
            <w:r>
              <w:rPr>
                <w:sz w:val="24"/>
              </w:rPr>
              <w:t>分</w:t>
            </w:r>
          </w:p>
        </w:tc>
        <w:tc>
          <w:tcPr>
            <w:tcW w:w="6598" w:type="dxa"/>
            <w:tcBorders>
              <w:top w:val="single" w:color="000000" w:sz="8" w:space="0"/>
              <w:left w:val="single" w:color="000000" w:sz="8" w:space="0"/>
              <w:bottom w:val="single" w:color="000000" w:sz="8" w:space="0"/>
            </w:tcBorders>
          </w:tcPr>
          <w:p>
            <w:pPr>
              <w:pStyle w:val="19"/>
              <w:spacing w:line="268" w:lineRule="exact"/>
              <w:ind w:left="109"/>
              <w:rPr>
                <w:sz w:val="24"/>
              </w:rPr>
            </w:pPr>
            <w:r>
              <w:rPr>
                <w:sz w:val="24"/>
              </w:rPr>
              <w:t>根据本项目的特点和要求，制定出本项目实施方案，包括但不</w:t>
            </w:r>
          </w:p>
          <w:p>
            <w:pPr>
              <w:pStyle w:val="19"/>
              <w:spacing w:before="2" w:line="290" w:lineRule="exact"/>
              <w:ind w:left="109"/>
              <w:rPr>
                <w:sz w:val="24"/>
              </w:rPr>
            </w:pPr>
            <w:r>
              <w:rPr>
                <w:sz w:val="24"/>
              </w:rPr>
              <w:t>限于以下内容：供货方案、供货时间、交货验收、质量保证、</w:t>
            </w:r>
          </w:p>
          <w:p>
            <w:pPr>
              <w:pStyle w:val="19"/>
              <w:spacing w:before="2"/>
              <w:ind w:left="109"/>
              <w:rPr>
                <w:sz w:val="24"/>
              </w:rPr>
            </w:pPr>
            <w:r>
              <w:rPr>
                <w:sz w:val="24"/>
              </w:rPr>
              <w:t>售后服务等。</w:t>
            </w:r>
          </w:p>
          <w:p>
            <w:pPr>
              <w:pStyle w:val="19"/>
              <w:spacing w:before="5"/>
              <w:ind w:left="109"/>
              <w:rPr>
                <w:sz w:val="24"/>
              </w:rPr>
            </w:pPr>
            <w:r>
              <w:rPr>
                <w:spacing w:val="-18"/>
                <w:sz w:val="24"/>
              </w:rPr>
              <w:t xml:space="preserve">实施方案科学合理、内容详细完整齐全、针对性强的得 </w:t>
            </w:r>
            <w:r>
              <w:rPr>
                <w:rFonts w:ascii="Calibri" w:eastAsia="Calibri"/>
                <w:spacing w:val="-6"/>
                <w:sz w:val="24"/>
              </w:rPr>
              <w:t xml:space="preserve">8.1-10 </w:t>
            </w:r>
            <w:r>
              <w:rPr>
                <w:spacing w:val="-10"/>
                <w:sz w:val="24"/>
              </w:rPr>
              <w:t>分；</w:t>
            </w:r>
          </w:p>
          <w:p>
            <w:pPr>
              <w:pStyle w:val="19"/>
              <w:spacing w:before="4"/>
              <w:ind w:left="109"/>
              <w:rPr>
                <w:sz w:val="24"/>
              </w:rPr>
            </w:pPr>
            <w:r>
              <w:rPr>
                <w:sz w:val="24"/>
              </w:rPr>
              <w:t xml:space="preserve">实施方案基本合理、内容基本齐全、有针对性的得 </w:t>
            </w:r>
            <w:r>
              <w:rPr>
                <w:rFonts w:ascii="Calibri" w:eastAsia="Calibri"/>
                <w:sz w:val="24"/>
              </w:rPr>
              <w:t xml:space="preserve">4.1-8 </w:t>
            </w:r>
            <w:r>
              <w:rPr>
                <w:sz w:val="24"/>
              </w:rPr>
              <w:t>分；</w:t>
            </w:r>
          </w:p>
          <w:p>
            <w:pPr>
              <w:pStyle w:val="19"/>
              <w:spacing w:before="5"/>
              <w:ind w:left="109"/>
              <w:rPr>
                <w:sz w:val="24"/>
              </w:rPr>
            </w:pPr>
            <w:r>
              <w:rPr>
                <w:sz w:val="24"/>
              </w:rPr>
              <w:t xml:space="preserve">实施方案不合理、内容不详细、无针对性的得 </w:t>
            </w:r>
            <w:r>
              <w:rPr>
                <w:rFonts w:ascii="Calibri" w:eastAsia="Calibri"/>
                <w:sz w:val="24"/>
              </w:rPr>
              <w:t xml:space="preserve">1-4 </w:t>
            </w:r>
            <w:r>
              <w:rPr>
                <w:sz w:val="24"/>
              </w:rPr>
              <w:t>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37" w:hRule="atLeast"/>
        </w:trPr>
        <w:tc>
          <w:tcPr>
            <w:tcW w:w="987" w:type="dxa"/>
            <w:vMerge w:val="continue"/>
            <w:tcBorders>
              <w:right w:val="single" w:color="000000" w:sz="8" w:space="0"/>
            </w:tcBorders>
            <w:vAlign w:val="center"/>
          </w:tcPr>
          <w:p>
            <w:pPr>
              <w:pStyle w:val="19"/>
              <w:jc w:val="center"/>
              <w:rPr>
                <w:rFonts w:ascii="Times New Roman"/>
                <w:sz w:val="22"/>
              </w:rPr>
            </w:pPr>
          </w:p>
        </w:tc>
        <w:tc>
          <w:tcPr>
            <w:tcW w:w="1358" w:type="dxa"/>
            <w:tcBorders>
              <w:top w:val="single" w:color="000000" w:sz="8" w:space="0"/>
              <w:left w:val="single" w:color="000000" w:sz="8" w:space="0"/>
              <w:right w:val="single" w:color="000000" w:sz="8" w:space="0"/>
            </w:tcBorders>
            <w:vAlign w:val="center"/>
          </w:tcPr>
          <w:p>
            <w:pPr>
              <w:pStyle w:val="19"/>
              <w:spacing w:before="156" w:line="244" w:lineRule="auto"/>
              <w:ind w:left="407" w:right="382"/>
              <w:jc w:val="center"/>
              <w:rPr>
                <w:sz w:val="24"/>
              </w:rPr>
            </w:pPr>
            <w:r>
              <w:rPr>
                <w:sz w:val="24"/>
              </w:rPr>
              <w:t>售后服务</w:t>
            </w:r>
          </w:p>
        </w:tc>
        <w:tc>
          <w:tcPr>
            <w:tcW w:w="1024" w:type="dxa"/>
            <w:tcBorders>
              <w:top w:val="single" w:color="000000" w:sz="8" w:space="0"/>
              <w:left w:val="single" w:color="000000" w:sz="8" w:space="0"/>
              <w:right w:val="single" w:color="000000" w:sz="8" w:space="0"/>
            </w:tcBorders>
            <w:vAlign w:val="center"/>
          </w:tcPr>
          <w:p>
            <w:pPr>
              <w:pStyle w:val="19"/>
              <w:spacing w:before="7"/>
              <w:jc w:val="center"/>
              <w:rPr>
                <w:b/>
                <w:sz w:val="24"/>
              </w:rPr>
            </w:pPr>
          </w:p>
          <w:p>
            <w:pPr>
              <w:pStyle w:val="19"/>
              <w:ind w:left="229"/>
              <w:jc w:val="center"/>
              <w:rPr>
                <w:sz w:val="24"/>
              </w:rPr>
            </w:pPr>
            <w:r>
              <w:rPr>
                <w:rFonts w:ascii="Calibri" w:eastAsia="Calibri"/>
                <w:sz w:val="24"/>
              </w:rPr>
              <w:t xml:space="preserve">10 </w:t>
            </w:r>
            <w:r>
              <w:rPr>
                <w:sz w:val="24"/>
              </w:rPr>
              <w:t>分</w:t>
            </w:r>
          </w:p>
        </w:tc>
        <w:tc>
          <w:tcPr>
            <w:tcW w:w="6598" w:type="dxa"/>
            <w:tcBorders>
              <w:top w:val="single" w:color="000000" w:sz="8" w:space="0"/>
              <w:left w:val="single" w:color="000000" w:sz="8" w:space="0"/>
            </w:tcBorders>
          </w:tcPr>
          <w:p>
            <w:pPr>
              <w:pStyle w:val="19"/>
              <w:spacing w:line="285" w:lineRule="exact"/>
              <w:ind w:left="109"/>
              <w:rPr>
                <w:sz w:val="24"/>
              </w:rPr>
            </w:pPr>
            <w:r>
              <w:rPr>
                <w:sz w:val="24"/>
              </w:rPr>
              <w:t>根据供应商对本项售后人员配置、响应时间和质量保证范围等</w:t>
            </w:r>
          </w:p>
          <w:p>
            <w:pPr>
              <w:pStyle w:val="19"/>
              <w:spacing w:before="2"/>
              <w:ind w:left="109"/>
              <w:rPr>
                <w:sz w:val="24"/>
              </w:rPr>
            </w:pPr>
            <w:r>
              <w:rPr>
                <w:sz w:val="24"/>
              </w:rPr>
              <w:t>售后内容进行综合评价：</w:t>
            </w:r>
          </w:p>
          <w:p>
            <w:pPr>
              <w:pStyle w:val="19"/>
              <w:spacing w:before="5"/>
              <w:ind w:left="109"/>
              <w:rPr>
                <w:sz w:val="24"/>
              </w:rPr>
            </w:pPr>
            <w:r>
              <w:rPr>
                <w:sz w:val="24"/>
              </w:rPr>
              <w:t xml:space="preserve">售后服务针对性强且详细合理的得 </w:t>
            </w:r>
            <w:r>
              <w:rPr>
                <w:rFonts w:ascii="Calibri" w:eastAsia="Calibri"/>
                <w:sz w:val="24"/>
              </w:rPr>
              <w:t xml:space="preserve">8.1-10 </w:t>
            </w:r>
            <w:r>
              <w:rPr>
                <w:sz w:val="24"/>
              </w:rPr>
              <w:t>分，</w:t>
            </w:r>
          </w:p>
          <w:p>
            <w:pPr>
              <w:pStyle w:val="19"/>
              <w:spacing w:before="5" w:line="307" w:lineRule="exact"/>
              <w:ind w:left="109"/>
              <w:rPr>
                <w:sz w:val="24"/>
              </w:rPr>
            </w:pPr>
            <w:r>
              <w:rPr>
                <w:sz w:val="24"/>
              </w:rPr>
              <w:t xml:space="preserve">售后服务内容基本合理的得 </w:t>
            </w:r>
            <w:r>
              <w:rPr>
                <w:rFonts w:ascii="Calibri" w:eastAsia="Calibri"/>
                <w:sz w:val="24"/>
              </w:rPr>
              <w:t xml:space="preserve">4.1-8 </w:t>
            </w:r>
            <w:r>
              <w:rPr>
                <w:sz w:val="24"/>
              </w:rPr>
              <w:t>分，</w:t>
            </w:r>
          </w:p>
          <w:p>
            <w:pPr>
              <w:pStyle w:val="19"/>
              <w:spacing w:line="296" w:lineRule="exact"/>
              <w:ind w:left="109"/>
              <w:rPr>
                <w:sz w:val="24"/>
              </w:rPr>
            </w:pPr>
            <w:r>
              <w:rPr>
                <w:sz w:val="24"/>
              </w:rPr>
              <w:t xml:space="preserve">售后服务内容不完整不合理的得 </w:t>
            </w:r>
            <w:r>
              <w:rPr>
                <w:rFonts w:ascii="Calibri" w:eastAsia="Calibri"/>
                <w:sz w:val="24"/>
              </w:rPr>
              <w:t xml:space="preserve">1-4 </w:t>
            </w:r>
            <w:r>
              <w:rPr>
                <w:sz w:val="24"/>
              </w:rPr>
              <w:t>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17" w:hRule="atLeast"/>
        </w:trPr>
        <w:tc>
          <w:tcPr>
            <w:tcW w:w="987" w:type="dxa"/>
            <w:vMerge w:val="restart"/>
            <w:tcBorders>
              <w:top w:val="single" w:color="000000" w:sz="8" w:space="0"/>
              <w:right w:val="single" w:color="000000" w:sz="8" w:space="0"/>
            </w:tcBorders>
            <w:vAlign w:val="center"/>
          </w:tcPr>
          <w:p>
            <w:pPr>
              <w:pStyle w:val="19"/>
              <w:spacing w:before="2" w:line="244" w:lineRule="auto"/>
              <w:ind w:left="205" w:right="185"/>
              <w:jc w:val="center"/>
              <w:rPr>
                <w:sz w:val="24"/>
              </w:rPr>
            </w:pPr>
            <w:r>
              <w:rPr>
                <w:spacing w:val="-9"/>
                <w:sz w:val="24"/>
              </w:rPr>
              <w:t>技术总分</w:t>
            </w:r>
          </w:p>
          <w:p>
            <w:pPr>
              <w:pStyle w:val="19"/>
              <w:spacing w:line="305" w:lineRule="exact"/>
              <w:ind w:left="200"/>
              <w:jc w:val="center"/>
              <w:rPr>
                <w:rFonts w:ascii="Calibri" w:eastAsia="Calibri"/>
                <w:sz w:val="24"/>
              </w:rPr>
            </w:pPr>
            <w:r>
              <w:rPr>
                <w:sz w:val="24"/>
              </w:rPr>
              <w:t>（</w:t>
            </w:r>
            <w:r>
              <w:rPr>
                <w:rFonts w:ascii="Calibri" w:eastAsia="Calibri"/>
                <w:sz w:val="24"/>
              </w:rPr>
              <w:t>28</w:t>
            </w:r>
          </w:p>
          <w:p>
            <w:pPr>
              <w:pStyle w:val="19"/>
              <w:spacing w:before="4" w:line="287" w:lineRule="exact"/>
              <w:ind w:left="205"/>
              <w:jc w:val="center"/>
              <w:rPr>
                <w:sz w:val="24"/>
              </w:rPr>
            </w:pPr>
            <w:r>
              <w:rPr>
                <w:sz w:val="24"/>
              </w:rPr>
              <w:t>分）</w:t>
            </w:r>
          </w:p>
        </w:tc>
        <w:tc>
          <w:tcPr>
            <w:tcW w:w="1358" w:type="dxa"/>
            <w:tcBorders>
              <w:top w:val="single" w:color="000000" w:sz="8" w:space="0"/>
              <w:left w:val="single" w:color="000000" w:sz="8" w:space="0"/>
              <w:right w:val="single" w:color="000000" w:sz="8" w:space="0"/>
            </w:tcBorders>
            <w:vAlign w:val="center"/>
          </w:tcPr>
          <w:p>
            <w:pPr>
              <w:pStyle w:val="19"/>
              <w:spacing w:before="7"/>
              <w:jc w:val="center"/>
              <w:rPr>
                <w:b/>
                <w:sz w:val="24"/>
              </w:rPr>
            </w:pPr>
          </w:p>
          <w:p>
            <w:pPr>
              <w:pStyle w:val="19"/>
              <w:spacing w:line="242" w:lineRule="auto"/>
              <w:ind w:left="407" w:right="142" w:hanging="240"/>
              <w:jc w:val="center"/>
              <w:rPr>
                <w:sz w:val="24"/>
              </w:rPr>
            </w:pPr>
            <w:r>
              <w:rPr>
                <w:sz w:val="24"/>
              </w:rPr>
              <w:t>技术规格响应</w:t>
            </w:r>
          </w:p>
        </w:tc>
        <w:tc>
          <w:tcPr>
            <w:tcW w:w="1024" w:type="dxa"/>
            <w:tcBorders>
              <w:top w:val="single" w:color="000000" w:sz="8" w:space="0"/>
              <w:left w:val="single" w:color="000000" w:sz="8" w:space="0"/>
              <w:right w:val="single" w:color="000000" w:sz="8" w:space="0"/>
            </w:tcBorders>
            <w:vAlign w:val="center"/>
          </w:tcPr>
          <w:p>
            <w:pPr>
              <w:pStyle w:val="19"/>
              <w:spacing w:before="7"/>
              <w:jc w:val="center"/>
              <w:rPr>
                <w:b/>
                <w:sz w:val="36"/>
              </w:rPr>
            </w:pPr>
          </w:p>
          <w:p>
            <w:pPr>
              <w:pStyle w:val="19"/>
              <w:ind w:left="229"/>
              <w:jc w:val="center"/>
              <w:rPr>
                <w:sz w:val="24"/>
              </w:rPr>
            </w:pPr>
            <w:r>
              <w:rPr>
                <w:rFonts w:ascii="Calibri" w:eastAsia="Calibri"/>
                <w:sz w:val="24"/>
              </w:rPr>
              <w:t xml:space="preserve">16 </w:t>
            </w:r>
            <w:r>
              <w:rPr>
                <w:sz w:val="24"/>
              </w:rPr>
              <w:t>分</w:t>
            </w:r>
          </w:p>
        </w:tc>
        <w:tc>
          <w:tcPr>
            <w:tcW w:w="6598" w:type="dxa"/>
            <w:vMerge w:val="restart"/>
            <w:tcBorders>
              <w:top w:val="single" w:color="000000" w:sz="8" w:space="0"/>
              <w:left w:val="single" w:color="000000" w:sz="8" w:space="0"/>
            </w:tcBorders>
          </w:tcPr>
          <w:p>
            <w:pPr>
              <w:pStyle w:val="19"/>
              <w:spacing w:before="2" w:line="290" w:lineRule="exact"/>
              <w:rPr>
                <w:sz w:val="24"/>
              </w:rPr>
            </w:pPr>
            <w:r>
              <w:rPr>
                <w:sz w:val="24"/>
              </w:rPr>
              <w:t>对投标产品的功能及技术参数响应情况进行综合评分：</w:t>
            </w:r>
          </w:p>
          <w:p>
            <w:pPr>
              <w:pStyle w:val="19"/>
              <w:spacing w:before="2"/>
              <w:ind w:left="109"/>
              <w:rPr>
                <w:sz w:val="24"/>
              </w:rPr>
            </w:pPr>
            <w:r>
              <w:rPr>
                <w:rFonts w:ascii="Calibri" w:eastAsia="Calibri"/>
                <w:sz w:val="24"/>
              </w:rPr>
              <w:t>1</w:t>
            </w:r>
            <w:r>
              <w:rPr>
                <w:sz w:val="24"/>
              </w:rPr>
              <w:t xml:space="preserve">、全部响应磋商文件技术要求的得满分 </w:t>
            </w:r>
            <w:r>
              <w:rPr>
                <w:rFonts w:ascii="Calibri" w:eastAsia="Calibri"/>
                <w:sz w:val="24"/>
              </w:rPr>
              <w:t xml:space="preserve">16 </w:t>
            </w:r>
            <w:r>
              <w:rPr>
                <w:sz w:val="24"/>
              </w:rPr>
              <w:t>分 ；</w:t>
            </w:r>
          </w:p>
          <w:p>
            <w:pPr>
              <w:pStyle w:val="19"/>
              <w:spacing w:before="5" w:line="242" w:lineRule="auto"/>
              <w:ind w:left="109" w:right="26"/>
              <w:rPr>
                <w:sz w:val="24"/>
              </w:rPr>
            </w:pPr>
            <w:r>
              <w:rPr>
                <w:rFonts w:ascii="Calibri" w:eastAsia="Calibri"/>
                <w:sz w:val="24"/>
              </w:rPr>
              <w:t>2</w:t>
            </w:r>
            <w:r>
              <w:rPr>
                <w:sz w:val="24"/>
              </w:rPr>
              <w:t xml:space="preserve">、投标产品技术指标与磋商文件要求在实质性或功能性上有不满足或负偏离的，每一项扣 </w:t>
            </w:r>
            <w:r>
              <w:rPr>
                <w:rFonts w:ascii="Calibri" w:eastAsia="Calibri"/>
                <w:sz w:val="24"/>
              </w:rPr>
              <w:t xml:space="preserve">3 </w:t>
            </w:r>
            <w:r>
              <w:rPr>
                <w:sz w:val="24"/>
              </w:rPr>
              <w:t>分，扣完本项得分为止。</w:t>
            </w:r>
          </w:p>
          <w:p>
            <w:pPr>
              <w:pStyle w:val="19"/>
              <w:spacing w:before="3" w:line="287" w:lineRule="exact"/>
              <w:ind w:left="109"/>
              <w:rPr>
                <w:sz w:val="24"/>
              </w:rPr>
            </w:pPr>
            <w:r>
              <w:rPr>
                <w:sz w:val="24"/>
              </w:rPr>
              <w:t>需提供制造商的彩色宣传页（扫描件）或官网查询截图（同时</w:t>
            </w:r>
          </w:p>
          <w:p>
            <w:pPr>
              <w:pStyle w:val="19"/>
              <w:spacing w:line="290" w:lineRule="exact"/>
              <w:ind w:left="109"/>
              <w:rPr>
                <w:sz w:val="24"/>
              </w:rPr>
            </w:pPr>
            <w:r>
              <w:rPr>
                <w:sz w:val="24"/>
              </w:rPr>
              <w:t>截图网址）或制造商和供应商均对此部分的书面承诺书，仅仅</w:t>
            </w:r>
          </w:p>
          <w:p>
            <w:pPr>
              <w:pStyle w:val="19"/>
              <w:spacing w:before="2" w:line="296" w:lineRule="exact"/>
              <w:ind w:left="109"/>
              <w:rPr>
                <w:sz w:val="24"/>
              </w:rPr>
            </w:pPr>
            <w:r>
              <w:rPr>
                <w:sz w:val="24"/>
              </w:rPr>
              <w:t>提供符合（满足）或正偏离（优于）的，将不被认可。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098" w:hRule="atLeast"/>
        </w:trPr>
        <w:tc>
          <w:tcPr>
            <w:tcW w:w="987" w:type="dxa"/>
            <w:vMerge w:val="continue"/>
            <w:tcBorders>
              <w:right w:val="single" w:color="000000" w:sz="8" w:space="0"/>
            </w:tcBorders>
            <w:vAlign w:val="center"/>
          </w:tcPr>
          <w:p>
            <w:pPr>
              <w:pStyle w:val="19"/>
              <w:jc w:val="center"/>
              <w:rPr>
                <w:rFonts w:ascii="Times New Roman"/>
                <w:sz w:val="24"/>
              </w:rPr>
            </w:pPr>
          </w:p>
        </w:tc>
        <w:tc>
          <w:tcPr>
            <w:tcW w:w="1358" w:type="dxa"/>
            <w:tcBorders>
              <w:left w:val="single" w:color="000000" w:sz="8" w:space="0"/>
              <w:bottom w:val="single" w:color="000000" w:sz="8" w:space="0"/>
              <w:right w:val="single" w:color="000000" w:sz="8" w:space="0"/>
            </w:tcBorders>
            <w:vAlign w:val="center"/>
          </w:tcPr>
          <w:p>
            <w:pPr>
              <w:pStyle w:val="19"/>
              <w:spacing w:before="9"/>
              <w:jc w:val="center"/>
              <w:rPr>
                <w:b/>
                <w:sz w:val="23"/>
              </w:rPr>
            </w:pPr>
          </w:p>
          <w:p>
            <w:pPr>
              <w:pStyle w:val="19"/>
              <w:spacing w:line="310" w:lineRule="atLeast"/>
              <w:ind w:left="407" w:right="142" w:hanging="240"/>
              <w:jc w:val="center"/>
              <w:rPr>
                <w:sz w:val="24"/>
              </w:rPr>
            </w:pPr>
            <w:r>
              <w:rPr>
                <w:sz w:val="24"/>
              </w:rPr>
              <w:t>产品检验报告</w:t>
            </w:r>
          </w:p>
        </w:tc>
        <w:tc>
          <w:tcPr>
            <w:tcW w:w="1024" w:type="dxa"/>
            <w:tcBorders>
              <w:left w:val="single" w:color="000000" w:sz="8" w:space="0"/>
              <w:right w:val="single" w:color="000000" w:sz="8" w:space="0"/>
            </w:tcBorders>
            <w:vAlign w:val="center"/>
          </w:tcPr>
          <w:p>
            <w:pPr>
              <w:pStyle w:val="19"/>
              <w:ind w:right="-56" w:rightChars="0"/>
              <w:jc w:val="center"/>
              <w:rPr>
                <w:sz w:val="24"/>
              </w:rPr>
            </w:pPr>
            <w:r>
              <w:rPr>
                <w:rFonts w:ascii="Calibri" w:eastAsia="Calibri"/>
                <w:sz w:val="24"/>
              </w:rPr>
              <w:t xml:space="preserve">6 </w:t>
            </w:r>
            <w:r>
              <w:rPr>
                <w:sz w:val="24"/>
              </w:rPr>
              <w:t>分</w:t>
            </w:r>
          </w:p>
        </w:tc>
        <w:tc>
          <w:tcPr>
            <w:tcW w:w="6598" w:type="dxa"/>
            <w:vMerge w:val="restart"/>
            <w:tcBorders>
              <w:left w:val="single" w:color="000000" w:sz="8" w:space="0"/>
            </w:tcBorders>
          </w:tcPr>
          <w:p>
            <w:pPr>
              <w:pStyle w:val="19"/>
              <w:spacing w:line="307" w:lineRule="exact"/>
              <w:ind w:left="109"/>
              <w:rPr>
                <w:sz w:val="24"/>
              </w:rPr>
            </w:pPr>
            <w:r>
              <w:rPr>
                <w:sz w:val="24"/>
              </w:rPr>
              <w:t xml:space="preserve">所投产品获得国家级相关部门出具的检测报告的，得 </w:t>
            </w:r>
            <w:r>
              <w:rPr>
                <w:rFonts w:ascii="Calibri" w:eastAsia="Calibri"/>
                <w:sz w:val="24"/>
              </w:rPr>
              <w:t xml:space="preserve">6 </w:t>
            </w:r>
            <w:r>
              <w:rPr>
                <w:sz w:val="24"/>
              </w:rPr>
              <w:t xml:space="preserve">分；省级的得 </w:t>
            </w:r>
            <w:r>
              <w:rPr>
                <w:rFonts w:ascii="Calibri" w:eastAsia="Calibri"/>
                <w:sz w:val="24"/>
              </w:rPr>
              <w:t xml:space="preserve">3 </w:t>
            </w:r>
            <w:r>
              <w:rPr>
                <w:sz w:val="24"/>
              </w:rPr>
              <w:t>分。</w:t>
            </w:r>
          </w:p>
          <w:p>
            <w:pPr>
              <w:pStyle w:val="19"/>
              <w:spacing w:before="4" w:line="280" w:lineRule="exact"/>
              <w:ind w:left="109"/>
              <w:rPr>
                <w:sz w:val="24"/>
              </w:rPr>
            </w:pPr>
            <w:r>
              <w:rPr>
                <w:sz w:val="24"/>
              </w:rPr>
              <w:t>（提供相关证明材料，不重复计分，以高分计，没有提供不得</w:t>
            </w:r>
          </w:p>
          <w:p>
            <w:pPr>
              <w:pStyle w:val="19"/>
              <w:spacing w:line="284" w:lineRule="exact"/>
              <w:ind w:left="109"/>
              <w:rPr>
                <w:sz w:val="24"/>
              </w:rPr>
            </w:pPr>
            <w:r>
              <w:rPr>
                <w:sz w:val="24"/>
              </w:rPr>
              <w:t>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95" w:hRule="atLeast"/>
        </w:trPr>
        <w:tc>
          <w:tcPr>
            <w:tcW w:w="987" w:type="dxa"/>
            <w:vMerge w:val="continue"/>
            <w:tcBorders>
              <w:bottom w:val="single" w:color="000000" w:sz="8" w:space="0"/>
              <w:right w:val="single" w:color="000000" w:sz="8" w:space="0"/>
            </w:tcBorders>
          </w:tcPr>
          <w:p>
            <w:pPr>
              <w:rPr>
                <w:sz w:val="2"/>
                <w:szCs w:val="2"/>
              </w:rPr>
            </w:pPr>
          </w:p>
        </w:tc>
        <w:tc>
          <w:tcPr>
            <w:tcW w:w="1358" w:type="dxa"/>
            <w:tcBorders>
              <w:top w:val="single" w:color="000000" w:sz="8" w:space="0"/>
              <w:left w:val="single" w:color="000000" w:sz="8" w:space="0"/>
              <w:bottom w:val="single" w:color="000000" w:sz="8" w:space="0"/>
              <w:right w:val="single" w:color="000000" w:sz="8" w:space="0"/>
            </w:tcBorders>
          </w:tcPr>
          <w:p>
            <w:pPr>
              <w:pStyle w:val="19"/>
              <w:spacing w:before="9" w:line="280" w:lineRule="exact"/>
              <w:ind w:left="147" w:right="124"/>
              <w:jc w:val="center"/>
              <w:rPr>
                <w:sz w:val="24"/>
              </w:rPr>
            </w:pPr>
            <w:r>
              <w:rPr>
                <w:sz w:val="24"/>
              </w:rPr>
              <w:t>质量承诺</w:t>
            </w:r>
          </w:p>
          <w:p>
            <w:pPr>
              <w:pStyle w:val="19"/>
              <w:spacing w:line="285" w:lineRule="exact"/>
              <w:ind w:left="147" w:right="124"/>
              <w:jc w:val="center"/>
              <w:rPr>
                <w:sz w:val="24"/>
              </w:rPr>
            </w:pPr>
            <w:r>
              <w:rPr>
                <w:sz w:val="24"/>
              </w:rPr>
              <w:t>及保证措</w:t>
            </w:r>
          </w:p>
          <w:p>
            <w:pPr>
              <w:pStyle w:val="19"/>
              <w:spacing w:line="287" w:lineRule="exact"/>
              <w:ind w:left="23"/>
              <w:jc w:val="center"/>
              <w:rPr>
                <w:sz w:val="24"/>
              </w:rPr>
            </w:pPr>
            <w:r>
              <w:rPr>
                <w:sz w:val="24"/>
              </w:rPr>
              <w:t>施</w:t>
            </w:r>
          </w:p>
        </w:tc>
        <w:tc>
          <w:tcPr>
            <w:tcW w:w="1024" w:type="dxa"/>
            <w:tcBorders>
              <w:top w:val="single" w:color="000000" w:sz="8" w:space="0"/>
              <w:left w:val="single" w:color="000000" w:sz="8" w:space="0"/>
              <w:right w:val="single" w:color="000000" w:sz="8" w:space="0"/>
            </w:tcBorders>
            <w:vAlign w:val="center"/>
          </w:tcPr>
          <w:p>
            <w:pPr>
              <w:pStyle w:val="19"/>
              <w:spacing w:line="285" w:lineRule="exact"/>
              <w:ind w:right="-56" w:rightChars="0"/>
              <w:jc w:val="center"/>
              <w:rPr>
                <w:sz w:val="24"/>
              </w:rPr>
            </w:pPr>
            <w:r>
              <w:rPr>
                <w:rFonts w:ascii="Calibri" w:eastAsia="Calibri"/>
                <w:sz w:val="24"/>
              </w:rPr>
              <w:t xml:space="preserve">6 </w:t>
            </w:r>
            <w:r>
              <w:rPr>
                <w:sz w:val="24"/>
              </w:rPr>
              <w:t>分</w:t>
            </w:r>
          </w:p>
        </w:tc>
        <w:tc>
          <w:tcPr>
            <w:tcW w:w="6598" w:type="dxa"/>
            <w:tcBorders>
              <w:top w:val="single" w:color="000000" w:sz="8" w:space="0"/>
              <w:left w:val="single" w:color="000000" w:sz="8" w:space="0"/>
              <w:bottom w:val="single" w:color="000000" w:sz="8" w:space="0"/>
            </w:tcBorders>
          </w:tcPr>
          <w:p>
            <w:pPr>
              <w:pStyle w:val="19"/>
              <w:spacing w:before="167" w:line="307" w:lineRule="exact"/>
              <w:ind w:left="109"/>
              <w:rPr>
                <w:sz w:val="24"/>
              </w:rPr>
            </w:pPr>
            <w:r>
              <w:rPr>
                <w:spacing w:val="-6"/>
                <w:sz w:val="24"/>
              </w:rPr>
              <w:t xml:space="preserve">提供产品质量保证承诺及措施：方案切实可行的 </w:t>
            </w:r>
            <w:r>
              <w:rPr>
                <w:rFonts w:ascii="Calibri" w:eastAsia="Calibri"/>
                <w:sz w:val="24"/>
              </w:rPr>
              <w:t xml:space="preserve">3.1-6 </w:t>
            </w:r>
            <w:r>
              <w:rPr>
                <w:spacing w:val="-9"/>
                <w:sz w:val="24"/>
              </w:rPr>
              <w:t>分，方案</w:t>
            </w:r>
          </w:p>
          <w:p>
            <w:pPr>
              <w:pStyle w:val="19"/>
              <w:ind w:left="109"/>
              <w:rPr>
                <w:sz w:val="24"/>
              </w:rPr>
            </w:pPr>
            <w:r>
              <w:rPr>
                <w:sz w:val="24"/>
              </w:rPr>
              <w:t xml:space="preserve">一般的 </w:t>
            </w:r>
            <w:r>
              <w:rPr>
                <w:rFonts w:ascii="Calibri" w:eastAsia="Calibri"/>
                <w:sz w:val="24"/>
              </w:rPr>
              <w:t xml:space="preserve">1.1-3 </w:t>
            </w:r>
            <w:r>
              <w:rPr>
                <w:sz w:val="24"/>
              </w:rPr>
              <w:t xml:space="preserve">分，方案较差的 </w:t>
            </w:r>
            <w:r>
              <w:rPr>
                <w:rFonts w:ascii="Calibri" w:eastAsia="Calibri"/>
                <w:sz w:val="24"/>
              </w:rPr>
              <w:t xml:space="preserve">0.1-1 </w:t>
            </w:r>
            <w:r>
              <w:rPr>
                <w:sz w:val="24"/>
              </w:rPr>
              <w:t>分</w:t>
            </w:r>
            <w:r>
              <w:rPr>
                <w:rFonts w:ascii="Calibri" w:eastAsia="Calibri"/>
                <w:sz w:val="24"/>
              </w:rPr>
              <w:t>,</w:t>
            </w:r>
            <w:r>
              <w:rPr>
                <w:sz w:val="24"/>
              </w:rPr>
              <w:t>没有提供不得分。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2" w:hRule="atLeast"/>
        </w:trPr>
        <w:tc>
          <w:tcPr>
            <w:tcW w:w="2345" w:type="dxa"/>
            <w:gridSpan w:val="2"/>
            <w:tcBorders>
              <w:top w:val="single" w:color="000000" w:sz="8" w:space="0"/>
              <w:right w:val="single" w:color="000000" w:sz="8" w:space="0"/>
            </w:tcBorders>
          </w:tcPr>
          <w:p>
            <w:pPr>
              <w:pStyle w:val="19"/>
              <w:spacing w:before="110"/>
              <w:ind w:left="105"/>
              <w:rPr>
                <w:sz w:val="24"/>
              </w:rPr>
            </w:pPr>
            <w:r>
              <w:rPr>
                <w:sz w:val="24"/>
              </w:rPr>
              <w:t>总分</w:t>
            </w:r>
          </w:p>
        </w:tc>
        <w:tc>
          <w:tcPr>
            <w:tcW w:w="1024" w:type="dxa"/>
            <w:tcBorders>
              <w:top w:val="single" w:color="000000" w:sz="8" w:space="0"/>
              <w:left w:val="single" w:color="000000" w:sz="8" w:space="0"/>
              <w:right w:val="single" w:color="000000" w:sz="8" w:space="0"/>
            </w:tcBorders>
          </w:tcPr>
          <w:p>
            <w:pPr>
              <w:pStyle w:val="19"/>
              <w:spacing w:before="110"/>
              <w:ind w:right="-56" w:rightChars="0"/>
              <w:jc w:val="center"/>
              <w:rPr>
                <w:sz w:val="24"/>
              </w:rPr>
            </w:pPr>
            <w:r>
              <w:rPr>
                <w:rFonts w:ascii="Calibri" w:eastAsia="Calibri"/>
                <w:sz w:val="24"/>
              </w:rPr>
              <w:t xml:space="preserve">100 </w:t>
            </w:r>
            <w:r>
              <w:rPr>
                <w:sz w:val="24"/>
              </w:rPr>
              <w:t>分</w:t>
            </w:r>
          </w:p>
        </w:tc>
        <w:tc>
          <w:tcPr>
            <w:tcW w:w="6598" w:type="dxa"/>
            <w:tcBorders>
              <w:top w:val="single" w:color="000000" w:sz="8" w:space="0"/>
              <w:left w:val="single" w:color="000000" w:sz="8" w:space="0"/>
            </w:tcBorders>
          </w:tcPr>
          <w:p>
            <w:pPr>
              <w:pStyle w:val="19"/>
              <w:rPr>
                <w:rFonts w:ascii="Times New Roman"/>
                <w:sz w:val="24"/>
              </w:rPr>
            </w:pPr>
          </w:p>
        </w:tc>
      </w:tr>
    </w:tbl>
    <w:p>
      <w:pPr>
        <w:spacing w:line="360" w:lineRule="auto"/>
        <w:ind w:firstLine="405"/>
        <w:rPr>
          <w:rFonts w:ascii="仿宋_GB2312" w:hAnsi="新宋体" w:eastAsia="仿宋_GB2312"/>
          <w:b/>
          <w:bCs/>
          <w:sz w:val="22"/>
          <w:szCs w:val="22"/>
        </w:rPr>
      </w:pPr>
      <w:r>
        <w:rPr>
          <w:rFonts w:hint="eastAsia" w:ascii="仿宋_GB2312" w:hAnsi="新宋体" w:eastAsia="仿宋_GB2312"/>
          <w:b/>
          <w:bCs/>
          <w:sz w:val="22"/>
          <w:szCs w:val="22"/>
        </w:rPr>
        <w:t>备注：</w:t>
      </w:r>
    </w:p>
    <w:p>
      <w:pPr>
        <w:pStyle w:val="15"/>
        <w:ind w:firstLine="402"/>
        <w:rPr>
          <w:rFonts w:ascii="仿宋_GB2312" w:hAnsi="新宋体" w:eastAsia="仿宋_GB2312"/>
          <w:b/>
          <w:bCs/>
          <w:sz w:val="22"/>
          <w:szCs w:val="22"/>
        </w:rPr>
      </w:pPr>
      <w:r>
        <w:rPr>
          <w:rFonts w:hint="eastAsia" w:ascii="仿宋_GB2312" w:hAnsi="新宋体" w:eastAsia="仿宋_GB2312"/>
          <w:b/>
          <w:bCs/>
          <w:sz w:val="22"/>
          <w:szCs w:val="22"/>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60" w:lineRule="auto"/>
        <w:ind w:firstLine="442" w:firstLineChars="200"/>
        <w:rPr>
          <w:rFonts w:ascii="Times New Roman" w:hAnsi="Times New Roman" w:eastAsia="方正姚体" w:cs="Times New Roman"/>
          <w:bCs/>
          <w:sz w:val="32"/>
          <w:szCs w:val="32"/>
        </w:rPr>
      </w:pPr>
      <w:r>
        <w:rPr>
          <w:rFonts w:hint="eastAsia" w:ascii="仿宋_GB2312" w:hAnsi="新宋体" w:eastAsia="仿宋_GB2312"/>
          <w:b/>
          <w:bCs/>
          <w:sz w:val="22"/>
          <w:szCs w:val="22"/>
        </w:rPr>
        <w:t>2.商务标计算按报价人最终报价计算。</w:t>
      </w:r>
      <w:r>
        <w:rPr>
          <w:rFonts w:hint="eastAsia" w:ascii="仿宋_GB2312" w:hAnsi="新宋体" w:eastAsia="仿宋_GB2312"/>
          <w:b/>
          <w:bCs/>
          <w:color w:val="000000"/>
          <w:sz w:val="22"/>
          <w:szCs w:val="28"/>
        </w:rPr>
        <w:t>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w:t>
      </w:r>
    </w:p>
    <w:p>
      <w:pPr>
        <w:widowControl/>
        <w:jc w:val="center"/>
        <w:rPr>
          <w:rFonts w:ascii="Times New Roman" w:hAnsi="Times New Roman" w:cs="Times New Roman"/>
          <w:bCs/>
          <w:sz w:val="32"/>
          <w:szCs w:val="32"/>
        </w:rPr>
      </w:pPr>
      <w:r>
        <w:rPr>
          <w:rFonts w:ascii="Times New Roman" w:hAnsi="Times New Roman" w:cs="Times New Roman"/>
          <w:b/>
          <w:sz w:val="24"/>
          <w:szCs w:val="24"/>
        </w:rPr>
        <w:br w:type="page"/>
      </w:r>
      <w:r>
        <w:rPr>
          <w:rFonts w:ascii="Times New Roman" w:hAnsi="Times New Roman" w:cs="Times New Roman"/>
          <w:b/>
          <w:sz w:val="32"/>
          <w:szCs w:val="32"/>
        </w:rPr>
        <w:t>第五章 合同书（参考格式）</w:t>
      </w:r>
    </w:p>
    <w:p>
      <w:pPr>
        <w:spacing w:line="300" w:lineRule="auto"/>
        <w:ind w:firstLine="480" w:firstLineChars="200"/>
        <w:rPr>
          <w:rFonts w:ascii="Times New Roman" w:hAnsi="Times New Roman" w:cs="Times New Roman"/>
          <w:sz w:val="24"/>
          <w:szCs w:val="24"/>
        </w:rPr>
      </w:pPr>
    </w:p>
    <w:p>
      <w:pPr>
        <w:spacing w:line="30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ascii="Times New Roman" w:hAnsi="Times New Roman" w:cs="Times New Roman"/>
          <w:b/>
          <w:kern w:val="0"/>
          <w:sz w:val="24"/>
          <w:szCs w:val="24"/>
        </w:rPr>
      </w:pPr>
    </w:p>
    <w:p>
      <w:pPr>
        <w:spacing w:line="500" w:lineRule="exact"/>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500" w:lineRule="exact"/>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（采购代理公司名称）</w:t>
      </w:r>
      <w:r>
        <w:rPr>
          <w:rFonts w:ascii="Times New Roman" w:hAnsi="Times New Roman" w:cs="Times New Roman"/>
          <w:kern w:val="0"/>
          <w:sz w:val="24"/>
          <w:szCs w:val="24"/>
        </w:rPr>
        <w:t>发出的成交通知书；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kern w:val="0"/>
          <w:sz w:val="24"/>
          <w:szCs w:val="24"/>
        </w:rPr>
        <w:t>供　　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kern w:val="0"/>
          <w:sz w:val="24"/>
          <w:szCs w:val="24"/>
        </w:rPr>
        <w:t>帐　　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kern w:val="0"/>
          <w:sz w:val="24"/>
          <w:szCs w:val="24"/>
        </w:rPr>
        <w:t>税　　号：</w:t>
      </w:r>
    </w:p>
    <w:p>
      <w:pPr>
        <w:widowControl/>
        <w:jc w:val="left"/>
        <w:rPr>
          <w:rFonts w:ascii="Times New Roman" w:hAnsi="Times New Roman" w:cs="Times New Roman"/>
          <w:b/>
          <w:sz w:val="24"/>
          <w:szCs w:val="24"/>
        </w:rPr>
      </w:pP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jc w:val="center"/>
        <w:outlineLvl w:val="0"/>
        <w:rPr>
          <w:rFonts w:ascii="Times New Roman" w:hAnsi="Times New Roman" w:cs="Times New Roman"/>
          <w:b/>
          <w:sz w:val="18"/>
          <w:szCs w:val="18"/>
        </w:rPr>
      </w:pPr>
    </w:p>
    <w:p>
      <w:pPr>
        <w:adjustRightInd w:val="0"/>
        <w:snapToGrid w:val="0"/>
        <w:outlineLvl w:val="0"/>
        <w:rPr>
          <w:rFonts w:ascii="Times New Roman" w:hAnsi="Times New Roman" w:cs="Times New Roman"/>
          <w:szCs w:val="28"/>
        </w:rPr>
      </w:pPr>
      <w:r>
        <w:rPr>
          <w:rFonts w:ascii="Times New Roman" w:hAnsi="Times New Roman" w:cs="Times New Roman"/>
          <w:szCs w:val="28"/>
        </w:rPr>
        <w:t>封面：</w:t>
      </w:r>
    </w:p>
    <w:p>
      <w:pPr>
        <w:tabs>
          <w:tab w:val="left" w:pos="1260"/>
        </w:tabs>
        <w:jc w:val="center"/>
        <w:rPr>
          <w:rFonts w:ascii="Times New Roman" w:hAnsi="Times New Roman" w:eastAsia="宋体" w:cs="Times New Roman"/>
          <w:b/>
          <w:bCs/>
          <w:spacing w:val="100"/>
          <w:w w:val="110"/>
          <w:sz w:val="36"/>
          <w:szCs w:val="36"/>
        </w:rPr>
      </w:pPr>
    </w:p>
    <w:p>
      <w:pPr>
        <w:tabs>
          <w:tab w:val="left" w:pos="1260"/>
        </w:tabs>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jc w:val="center"/>
        <w:rPr>
          <w:rFonts w:ascii="Times New Roman" w:hAnsi="Times New Roman" w:eastAsia="宋体" w:cs="Times New Roman"/>
          <w:bCs/>
          <w:spacing w:val="100"/>
          <w:w w:val="110"/>
          <w:sz w:val="52"/>
          <w:szCs w:val="52"/>
        </w:rPr>
      </w:pPr>
    </w:p>
    <w:p>
      <w:pPr>
        <w:tabs>
          <w:tab w:val="left" w:pos="1260"/>
        </w:tabs>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u w:val="single"/>
        </w:rPr>
      </w:pPr>
      <w:r>
        <w:rPr>
          <w:rFonts w:ascii="Times New Roman" w:hAnsi="Times New Roman" w:eastAsia="宋体" w:cs="Times New Roman"/>
          <w:sz w:val="32"/>
          <w:szCs w:val="32"/>
        </w:rPr>
        <w:t>磋商内容：</w:t>
      </w:r>
    </w:p>
    <w:p>
      <w:pPr>
        <w:ind w:firstLine="1320" w:firstLineChars="300"/>
        <w:rPr>
          <w:rFonts w:ascii="Times New Roman" w:hAnsi="Times New Roman" w:eastAsia="宋体" w:cs="Times New Roman"/>
          <w:sz w:val="44"/>
          <w:szCs w:val="21"/>
        </w:rPr>
      </w:pPr>
    </w:p>
    <w:p>
      <w:pPr>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outlineLvl w:val="0"/>
        <w:rPr>
          <w:rFonts w:ascii="Times New Roman" w:hAnsi="Times New Roman" w:cs="Times New Roman"/>
          <w:bCs/>
          <w:sz w:val="24"/>
          <w:szCs w:val="24"/>
        </w:rPr>
      </w:pPr>
      <w:r>
        <w:rPr>
          <w:rFonts w:ascii="Times New Roman" w:hAnsi="Times New Roman" w:cs="Times New Roman"/>
          <w:b/>
          <w:sz w:val="24"/>
          <w:szCs w:val="24"/>
        </w:rPr>
        <w:br w:type="page"/>
      </w:r>
      <w:r>
        <w:rPr>
          <w:rFonts w:ascii="Times New Roman" w:hAnsi="Times New Roman" w:cs="Times New Roman"/>
          <w:bCs/>
          <w:sz w:val="24"/>
          <w:szCs w:val="24"/>
        </w:rPr>
        <w:t>附件1</w:t>
      </w:r>
    </w:p>
    <w:p>
      <w:pPr>
        <w:jc w:val="center"/>
        <w:rPr>
          <w:rFonts w:ascii="Times New Roman" w:hAnsi="Times New Roman" w:cs="Times New Roman"/>
          <w:sz w:val="32"/>
          <w:szCs w:val="32"/>
        </w:rPr>
      </w:pPr>
      <w:r>
        <w:rPr>
          <w:rFonts w:ascii="Times New Roman" w:hAnsi="Times New Roman" w:cs="Times New Roman"/>
          <w:sz w:val="32"/>
          <w:szCs w:val="32"/>
        </w:rPr>
        <w:t>磋 商 书</w:t>
      </w:r>
    </w:p>
    <w:p>
      <w:pPr>
        <w:spacing w:line="500" w:lineRule="exact"/>
        <w:ind w:left="-88" w:leftChars="-42"/>
        <w:rPr>
          <w:rFonts w:ascii="Times New Roman" w:hAnsi="Times New Roman" w:eastAsia="仿宋_GB2312" w:cs="Times New Roman"/>
          <w:sz w:val="24"/>
          <w:szCs w:val="24"/>
        </w:rPr>
      </w:pPr>
    </w:p>
    <w:p>
      <w:pPr>
        <w:spacing w:line="440" w:lineRule="exact"/>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w:t>
      </w:r>
      <w:r>
        <w:rPr>
          <w:rFonts w:hint="eastAsia" w:ascii="Times New Roman" w:hAnsi="Times New Roman" w:cs="Times New Roman"/>
          <w:sz w:val="24"/>
          <w:szCs w:val="24"/>
          <w:lang w:eastAsia="zh-CN"/>
        </w:rPr>
        <w:t>肆</w:t>
      </w:r>
      <w:r>
        <w:rPr>
          <w:rFonts w:ascii="Times New Roman" w:hAnsi="Times New Roman" w:eastAsia="宋体" w:cs="Times New Roman"/>
          <w:sz w:val="24"/>
          <w:szCs w:val="24"/>
        </w:rPr>
        <w:t>份、电子文件一份。</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1）磋商书 (附件1) ；</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2）报价组成情况表(附件2) ；</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3）货物（服务）清单(附件3)；</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4）资格性符合性检查对照表(附件4)；</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5）技术响应、偏离情况说明表(附件5)；</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6）合同草案条款响应、偏离情况说明表（附件6）；</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7）法人（负责人）代表授权书（附件7）；</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8）法人或者其他组织的营业执照等证明文件，自然人的身份证明(附件8)；</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9）财务状况报告，依法缴纳税收和社会保障资金的相关材料(附件9)；</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10）具备履行合同所必需的设备和专业技术能力的证明材料(附件10)；</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11）参加政府采购活动前3年内在经营活动中没有重大违法记录的书面声明(附件11)；</w:t>
      </w:r>
    </w:p>
    <w:p>
      <w:pPr>
        <w:spacing w:line="360" w:lineRule="auto"/>
        <w:ind w:firstLine="480"/>
        <w:rPr>
          <w:rFonts w:ascii="Times New Roman" w:hAnsi="Times New Roman" w:eastAsia="宋体" w:cs="Times New Roman"/>
          <w:sz w:val="24"/>
          <w:szCs w:val="24"/>
        </w:rPr>
      </w:pPr>
      <w:r>
        <w:rPr>
          <w:rFonts w:hint="eastAsia"/>
          <w:bCs/>
          <w:color w:val="000000" w:themeColor="text1"/>
          <w:sz w:val="24"/>
        </w:rPr>
        <w:t>12）未被列入“信用中国”网站(www.creditchina. gov.cn)失信被执行人、重大税收违法案件当事人名单、政府采购严重违法失信行为记录名单的网页打印件(附件12)。</w:t>
      </w:r>
    </w:p>
    <w:p>
      <w:pPr>
        <w:spacing w:line="360" w:lineRule="auto"/>
        <w:ind w:firstLine="480"/>
        <w:rPr>
          <w:rFonts w:ascii="Times New Roman" w:hAnsi="Times New Roman" w:eastAsia="宋体" w:cs="Times New Roman"/>
          <w:sz w:val="24"/>
          <w:szCs w:val="24"/>
        </w:rPr>
      </w:pPr>
      <w:r>
        <w:rPr>
          <w:rFonts w:hint="eastAsia"/>
          <w:bCs/>
          <w:color w:val="000000" w:themeColor="text1"/>
          <w:sz w:val="24"/>
        </w:rPr>
        <w:t>1</w:t>
      </w:r>
      <w:r>
        <w:rPr>
          <w:rFonts w:hint="eastAsia"/>
          <w:bCs/>
          <w:color w:val="000000" w:themeColor="text1"/>
          <w:sz w:val="24"/>
          <w:lang w:val="en-US" w:eastAsia="zh-CN"/>
        </w:rPr>
        <w:t>3</w:t>
      </w:r>
      <w:r>
        <w:rPr>
          <w:rFonts w:hint="eastAsia"/>
          <w:bCs/>
          <w:color w:val="000000" w:themeColor="text1"/>
          <w:sz w:val="24"/>
        </w:rPr>
        <w:t>）《中小企业声明函》、《残疾人福利性单位声明函》、属于监狱企业的证明文件等(附件13)。</w:t>
      </w:r>
    </w:p>
    <w:p>
      <w:pPr>
        <w:spacing w:line="440" w:lineRule="exact"/>
        <w:ind w:firstLine="480"/>
        <w:rPr>
          <w:rFonts w:ascii="Times New Roman" w:hAnsi="Times New Roman" w:eastAsia="宋体" w:cs="Times New Roman"/>
          <w:sz w:val="24"/>
          <w:szCs w:val="24"/>
        </w:rPr>
      </w:pPr>
      <w:r>
        <w:rPr>
          <w:rFonts w:hint="eastAsia"/>
          <w:b/>
          <w:bCs/>
          <w:color w:val="000000"/>
          <w:sz w:val="24"/>
        </w:rPr>
        <w:t>本文件要求提供的其他资格证明文件及资料。</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本响应文件有效期为自磋商之日起个日历日；</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spacing w:line="360" w:lineRule="auto"/>
        <w:ind w:left="480" w:hanging="480"/>
        <w:rPr>
          <w:rFonts w:ascii="Times New Roman" w:hAnsi="Times New Roman" w:eastAsia="宋体" w:cs="Times New Roman"/>
          <w:bCs/>
          <w:sz w:val="24"/>
          <w:szCs w:val="24"/>
        </w:rPr>
      </w:pPr>
      <w:r>
        <w:rPr>
          <w:rFonts w:ascii="Times New Roman" w:hAnsi="Times New Roman" w:cs="Times New Roman"/>
          <w:bCs/>
          <w:sz w:val="24"/>
          <w:szCs w:val="24"/>
        </w:rPr>
        <w:t>附件2</w:t>
      </w:r>
    </w:p>
    <w:p>
      <w:pPr>
        <w:spacing w:line="360" w:lineRule="auto"/>
        <w:jc w:val="center"/>
        <w:rPr>
          <w:rFonts w:ascii="Times New Roman" w:hAnsi="Times New Roman" w:cs="Times New Roman"/>
          <w:sz w:val="32"/>
          <w:szCs w:val="32"/>
        </w:rPr>
      </w:pPr>
      <w:r>
        <w:rPr>
          <w:rFonts w:ascii="Times New Roman" w:hAnsi="Times New Roman" w:cs="Times New Roman"/>
          <w:sz w:val="32"/>
          <w:szCs w:val="32"/>
        </w:rPr>
        <w:t>报价组成情况表</w:t>
      </w:r>
    </w:p>
    <w:p>
      <w:pPr>
        <w:spacing w:line="360" w:lineRule="auto"/>
        <w:rPr>
          <w:rFonts w:ascii="Times New Roman" w:hAnsi="Times New Roman" w:cs="Times New Roman"/>
          <w:color w:val="000000"/>
          <w:sz w:val="24"/>
          <w:u w:val="single"/>
        </w:rPr>
      </w:pPr>
      <w:r>
        <w:rPr>
          <w:rFonts w:ascii="Times New Roman" w:hAnsi="Times New Roman" w:cs="Times New Roman"/>
          <w:color w:val="000000"/>
          <w:sz w:val="24"/>
        </w:rPr>
        <w:t>项目编号（包号）：</w:t>
      </w:r>
    </w:p>
    <w:p>
      <w:pPr>
        <w:spacing w:line="360" w:lineRule="auto"/>
        <w:rPr>
          <w:rFonts w:ascii="Times New Roman" w:hAnsi="Times New Roman" w:eastAsia="仿宋_GB2312" w:cs="Times New Roman"/>
          <w:color w:val="000000"/>
          <w:sz w:val="24"/>
          <w:u w:val="single"/>
        </w:rPr>
      </w:pPr>
      <w:r>
        <w:rPr>
          <w:rFonts w:ascii="Times New Roman" w:hAnsi="Times New Roman" w:cs="Times New Roman"/>
          <w:color w:val="000000"/>
          <w:sz w:val="24"/>
        </w:rPr>
        <w:t>项目名称：</w:t>
      </w:r>
    </w:p>
    <w:tbl>
      <w:tblPr>
        <w:tblStyle w:val="11"/>
        <w:tblW w:w="82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869"/>
        <w:gridCol w:w="1237"/>
        <w:gridCol w:w="805"/>
        <w:gridCol w:w="1654"/>
        <w:gridCol w:w="913"/>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序号</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名称（服务）</w:t>
            </w:r>
          </w:p>
        </w:tc>
        <w:tc>
          <w:tcPr>
            <w:tcW w:w="1237"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规格型号</w:t>
            </w:r>
          </w:p>
        </w:tc>
        <w:tc>
          <w:tcPr>
            <w:tcW w:w="805"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数量</w:t>
            </w:r>
          </w:p>
        </w:tc>
        <w:tc>
          <w:tcPr>
            <w:tcW w:w="165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制造商名称</w:t>
            </w:r>
          </w:p>
        </w:tc>
        <w:tc>
          <w:tcPr>
            <w:tcW w:w="913"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单价</w:t>
            </w:r>
          </w:p>
        </w:tc>
        <w:tc>
          <w:tcPr>
            <w:tcW w:w="1136"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tcBorders>
              <w:bottom w:val="single" w:color="auto" w:sz="4" w:space="0"/>
            </w:tcBorders>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1</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p>
        </w:tc>
        <w:tc>
          <w:tcPr>
            <w:tcW w:w="1237" w:type="dxa"/>
            <w:vAlign w:val="center"/>
          </w:tcPr>
          <w:p>
            <w:pPr>
              <w:adjustRightInd w:val="0"/>
              <w:snapToGrid w:val="0"/>
              <w:spacing w:line="360" w:lineRule="auto"/>
              <w:jc w:val="center"/>
              <w:rPr>
                <w:rFonts w:ascii="Times New Roman" w:hAnsi="Times New Roman" w:cs="Times New Roman"/>
                <w:sz w:val="24"/>
              </w:rPr>
            </w:pPr>
          </w:p>
        </w:tc>
        <w:tc>
          <w:tcPr>
            <w:tcW w:w="805" w:type="dxa"/>
            <w:vAlign w:val="center"/>
          </w:tcPr>
          <w:p>
            <w:pPr>
              <w:adjustRightInd w:val="0"/>
              <w:snapToGrid w:val="0"/>
              <w:spacing w:line="360" w:lineRule="auto"/>
              <w:jc w:val="center"/>
              <w:rPr>
                <w:rFonts w:ascii="Times New Roman" w:hAnsi="Times New Roman" w:cs="Times New Roman"/>
                <w:sz w:val="24"/>
              </w:rPr>
            </w:pPr>
          </w:p>
        </w:tc>
        <w:tc>
          <w:tcPr>
            <w:tcW w:w="1654" w:type="dxa"/>
            <w:vAlign w:val="center"/>
          </w:tcPr>
          <w:p>
            <w:pPr>
              <w:adjustRightInd w:val="0"/>
              <w:snapToGrid w:val="0"/>
              <w:spacing w:line="360" w:lineRule="auto"/>
              <w:jc w:val="center"/>
              <w:rPr>
                <w:rFonts w:ascii="Times New Roman" w:hAnsi="Times New Roman" w:cs="Times New Roman"/>
                <w:sz w:val="24"/>
              </w:rPr>
            </w:pPr>
          </w:p>
        </w:tc>
        <w:tc>
          <w:tcPr>
            <w:tcW w:w="913" w:type="dxa"/>
            <w:vAlign w:val="center"/>
          </w:tcPr>
          <w:p>
            <w:pPr>
              <w:adjustRightInd w:val="0"/>
              <w:snapToGrid w:val="0"/>
              <w:spacing w:line="360" w:lineRule="auto"/>
              <w:jc w:val="center"/>
              <w:rPr>
                <w:rFonts w:ascii="Times New Roman" w:hAnsi="Times New Roman" w:cs="Times New Roman"/>
                <w:sz w:val="24"/>
              </w:rPr>
            </w:pPr>
          </w:p>
        </w:tc>
        <w:tc>
          <w:tcPr>
            <w:tcW w:w="1136"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tcBorders>
              <w:top w:val="single" w:color="auto" w:sz="4" w:space="0"/>
            </w:tcBorders>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2</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w:t>
            </w:r>
          </w:p>
        </w:tc>
        <w:tc>
          <w:tcPr>
            <w:tcW w:w="1237" w:type="dxa"/>
            <w:vAlign w:val="center"/>
          </w:tcPr>
          <w:p>
            <w:pPr>
              <w:adjustRightInd w:val="0"/>
              <w:snapToGrid w:val="0"/>
              <w:spacing w:line="360" w:lineRule="auto"/>
              <w:jc w:val="center"/>
              <w:rPr>
                <w:rFonts w:ascii="Times New Roman" w:hAnsi="Times New Roman" w:cs="Times New Roman"/>
                <w:sz w:val="24"/>
              </w:rPr>
            </w:pPr>
          </w:p>
        </w:tc>
        <w:tc>
          <w:tcPr>
            <w:tcW w:w="805" w:type="dxa"/>
            <w:vAlign w:val="center"/>
          </w:tcPr>
          <w:p>
            <w:pPr>
              <w:adjustRightInd w:val="0"/>
              <w:snapToGrid w:val="0"/>
              <w:spacing w:line="360" w:lineRule="auto"/>
              <w:jc w:val="center"/>
              <w:rPr>
                <w:rFonts w:ascii="Times New Roman" w:hAnsi="Times New Roman" w:cs="Times New Roman"/>
                <w:sz w:val="24"/>
              </w:rPr>
            </w:pPr>
          </w:p>
        </w:tc>
        <w:tc>
          <w:tcPr>
            <w:tcW w:w="1654" w:type="dxa"/>
            <w:vAlign w:val="center"/>
          </w:tcPr>
          <w:p>
            <w:pPr>
              <w:adjustRightInd w:val="0"/>
              <w:snapToGrid w:val="0"/>
              <w:spacing w:line="360" w:lineRule="auto"/>
              <w:jc w:val="center"/>
              <w:rPr>
                <w:rFonts w:ascii="Times New Roman" w:hAnsi="Times New Roman" w:cs="Times New Roman"/>
                <w:sz w:val="24"/>
              </w:rPr>
            </w:pPr>
          </w:p>
        </w:tc>
        <w:tc>
          <w:tcPr>
            <w:tcW w:w="913" w:type="dxa"/>
            <w:vAlign w:val="center"/>
          </w:tcPr>
          <w:p>
            <w:pPr>
              <w:adjustRightInd w:val="0"/>
              <w:snapToGrid w:val="0"/>
              <w:spacing w:line="360" w:lineRule="auto"/>
              <w:jc w:val="center"/>
              <w:rPr>
                <w:rFonts w:ascii="Times New Roman" w:hAnsi="Times New Roman" w:cs="Times New Roman"/>
                <w:sz w:val="24"/>
              </w:rPr>
            </w:pPr>
          </w:p>
        </w:tc>
        <w:tc>
          <w:tcPr>
            <w:tcW w:w="1136"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3</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p>
        </w:tc>
        <w:tc>
          <w:tcPr>
            <w:tcW w:w="1237" w:type="dxa"/>
            <w:vAlign w:val="center"/>
          </w:tcPr>
          <w:p>
            <w:pPr>
              <w:adjustRightInd w:val="0"/>
              <w:snapToGrid w:val="0"/>
              <w:spacing w:line="360" w:lineRule="auto"/>
              <w:jc w:val="center"/>
              <w:rPr>
                <w:rFonts w:ascii="Times New Roman" w:hAnsi="Times New Roman" w:cs="Times New Roman"/>
                <w:sz w:val="24"/>
              </w:rPr>
            </w:pPr>
          </w:p>
        </w:tc>
        <w:tc>
          <w:tcPr>
            <w:tcW w:w="805" w:type="dxa"/>
            <w:vAlign w:val="center"/>
          </w:tcPr>
          <w:p>
            <w:pPr>
              <w:adjustRightInd w:val="0"/>
              <w:snapToGrid w:val="0"/>
              <w:spacing w:line="360" w:lineRule="auto"/>
              <w:jc w:val="center"/>
              <w:rPr>
                <w:rFonts w:ascii="Times New Roman" w:hAnsi="Times New Roman" w:cs="Times New Roman"/>
                <w:sz w:val="24"/>
              </w:rPr>
            </w:pPr>
          </w:p>
        </w:tc>
        <w:tc>
          <w:tcPr>
            <w:tcW w:w="1654" w:type="dxa"/>
            <w:vAlign w:val="center"/>
          </w:tcPr>
          <w:p>
            <w:pPr>
              <w:adjustRightInd w:val="0"/>
              <w:snapToGrid w:val="0"/>
              <w:spacing w:line="360" w:lineRule="auto"/>
              <w:jc w:val="center"/>
              <w:rPr>
                <w:rFonts w:ascii="Times New Roman" w:hAnsi="Times New Roman" w:cs="Times New Roman"/>
                <w:sz w:val="24"/>
              </w:rPr>
            </w:pPr>
          </w:p>
        </w:tc>
        <w:tc>
          <w:tcPr>
            <w:tcW w:w="913" w:type="dxa"/>
            <w:vAlign w:val="center"/>
          </w:tcPr>
          <w:p>
            <w:pPr>
              <w:adjustRightInd w:val="0"/>
              <w:snapToGrid w:val="0"/>
              <w:spacing w:line="360" w:lineRule="auto"/>
              <w:jc w:val="center"/>
              <w:rPr>
                <w:rFonts w:ascii="Times New Roman" w:hAnsi="Times New Roman" w:cs="Times New Roman"/>
                <w:sz w:val="24"/>
              </w:rPr>
            </w:pPr>
          </w:p>
        </w:tc>
        <w:tc>
          <w:tcPr>
            <w:tcW w:w="1136"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4</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p>
        </w:tc>
        <w:tc>
          <w:tcPr>
            <w:tcW w:w="1237" w:type="dxa"/>
            <w:vAlign w:val="center"/>
          </w:tcPr>
          <w:p>
            <w:pPr>
              <w:adjustRightInd w:val="0"/>
              <w:snapToGrid w:val="0"/>
              <w:spacing w:line="360" w:lineRule="auto"/>
              <w:jc w:val="center"/>
              <w:rPr>
                <w:rFonts w:ascii="Times New Roman" w:hAnsi="Times New Roman" w:cs="Times New Roman"/>
                <w:sz w:val="24"/>
              </w:rPr>
            </w:pPr>
          </w:p>
        </w:tc>
        <w:tc>
          <w:tcPr>
            <w:tcW w:w="805" w:type="dxa"/>
            <w:vAlign w:val="center"/>
          </w:tcPr>
          <w:p>
            <w:pPr>
              <w:adjustRightInd w:val="0"/>
              <w:snapToGrid w:val="0"/>
              <w:spacing w:line="360" w:lineRule="auto"/>
              <w:jc w:val="center"/>
              <w:rPr>
                <w:rFonts w:ascii="Times New Roman" w:hAnsi="Times New Roman" w:cs="Times New Roman"/>
                <w:sz w:val="24"/>
              </w:rPr>
            </w:pPr>
          </w:p>
        </w:tc>
        <w:tc>
          <w:tcPr>
            <w:tcW w:w="1654" w:type="dxa"/>
            <w:vAlign w:val="center"/>
          </w:tcPr>
          <w:p>
            <w:pPr>
              <w:adjustRightInd w:val="0"/>
              <w:snapToGrid w:val="0"/>
              <w:spacing w:line="360" w:lineRule="auto"/>
              <w:jc w:val="center"/>
              <w:rPr>
                <w:rFonts w:ascii="Times New Roman" w:hAnsi="Times New Roman" w:cs="Times New Roman"/>
                <w:sz w:val="24"/>
              </w:rPr>
            </w:pPr>
          </w:p>
        </w:tc>
        <w:tc>
          <w:tcPr>
            <w:tcW w:w="913" w:type="dxa"/>
            <w:vAlign w:val="center"/>
          </w:tcPr>
          <w:p>
            <w:pPr>
              <w:adjustRightInd w:val="0"/>
              <w:snapToGrid w:val="0"/>
              <w:spacing w:line="360" w:lineRule="auto"/>
              <w:jc w:val="center"/>
              <w:rPr>
                <w:rFonts w:ascii="Times New Roman" w:hAnsi="Times New Roman" w:cs="Times New Roman"/>
                <w:sz w:val="24"/>
              </w:rPr>
            </w:pPr>
          </w:p>
        </w:tc>
        <w:tc>
          <w:tcPr>
            <w:tcW w:w="1136"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5</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w:t>
            </w:r>
          </w:p>
        </w:tc>
        <w:tc>
          <w:tcPr>
            <w:tcW w:w="1237" w:type="dxa"/>
            <w:vAlign w:val="center"/>
          </w:tcPr>
          <w:p>
            <w:pPr>
              <w:adjustRightInd w:val="0"/>
              <w:snapToGrid w:val="0"/>
              <w:spacing w:line="360" w:lineRule="auto"/>
              <w:jc w:val="center"/>
              <w:rPr>
                <w:rFonts w:ascii="Times New Roman" w:hAnsi="Times New Roman" w:cs="Times New Roman"/>
                <w:sz w:val="24"/>
              </w:rPr>
            </w:pPr>
          </w:p>
        </w:tc>
        <w:tc>
          <w:tcPr>
            <w:tcW w:w="805" w:type="dxa"/>
            <w:vAlign w:val="center"/>
          </w:tcPr>
          <w:p>
            <w:pPr>
              <w:adjustRightInd w:val="0"/>
              <w:snapToGrid w:val="0"/>
              <w:spacing w:line="360" w:lineRule="auto"/>
              <w:jc w:val="center"/>
              <w:rPr>
                <w:rFonts w:ascii="Times New Roman" w:hAnsi="Times New Roman" w:cs="Times New Roman"/>
                <w:sz w:val="24"/>
              </w:rPr>
            </w:pPr>
          </w:p>
        </w:tc>
        <w:tc>
          <w:tcPr>
            <w:tcW w:w="1654" w:type="dxa"/>
            <w:vAlign w:val="center"/>
          </w:tcPr>
          <w:p>
            <w:pPr>
              <w:adjustRightInd w:val="0"/>
              <w:snapToGrid w:val="0"/>
              <w:spacing w:line="360" w:lineRule="auto"/>
              <w:jc w:val="center"/>
              <w:rPr>
                <w:rFonts w:ascii="Times New Roman" w:hAnsi="Times New Roman" w:cs="Times New Roman"/>
                <w:sz w:val="24"/>
              </w:rPr>
            </w:pPr>
          </w:p>
        </w:tc>
        <w:tc>
          <w:tcPr>
            <w:tcW w:w="913" w:type="dxa"/>
            <w:vAlign w:val="center"/>
          </w:tcPr>
          <w:p>
            <w:pPr>
              <w:adjustRightInd w:val="0"/>
              <w:snapToGrid w:val="0"/>
              <w:spacing w:line="360" w:lineRule="auto"/>
              <w:jc w:val="center"/>
              <w:rPr>
                <w:rFonts w:ascii="Times New Roman" w:hAnsi="Times New Roman" w:cs="Times New Roman"/>
                <w:sz w:val="24"/>
              </w:rPr>
            </w:pPr>
          </w:p>
        </w:tc>
        <w:tc>
          <w:tcPr>
            <w:tcW w:w="1136"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vAlign w:val="center"/>
          </w:tcPr>
          <w:p>
            <w:pPr>
              <w:adjustRightInd w:val="0"/>
              <w:snapToGrid w:val="0"/>
              <w:spacing w:line="360" w:lineRule="auto"/>
              <w:ind w:left="-88" w:leftChars="-42"/>
              <w:jc w:val="center"/>
              <w:rPr>
                <w:rFonts w:ascii="Times New Roman" w:hAnsi="Times New Roman" w:cs="Times New Roman"/>
                <w:sz w:val="24"/>
              </w:rPr>
            </w:pPr>
            <w:r>
              <w:rPr>
                <w:rFonts w:hint="eastAsia" w:ascii="Times New Roman" w:hAnsi="Times New Roman" w:cs="Times New Roman"/>
                <w:sz w:val="24"/>
              </w:rPr>
              <w:t>6</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其它</w:t>
            </w:r>
          </w:p>
        </w:tc>
        <w:tc>
          <w:tcPr>
            <w:tcW w:w="1237" w:type="dxa"/>
            <w:vAlign w:val="center"/>
          </w:tcPr>
          <w:p>
            <w:pPr>
              <w:adjustRightInd w:val="0"/>
              <w:snapToGrid w:val="0"/>
              <w:spacing w:line="360" w:lineRule="auto"/>
              <w:jc w:val="center"/>
              <w:rPr>
                <w:rFonts w:ascii="Times New Roman" w:hAnsi="Times New Roman" w:cs="Times New Roman"/>
                <w:sz w:val="24"/>
              </w:rPr>
            </w:pPr>
          </w:p>
        </w:tc>
        <w:tc>
          <w:tcPr>
            <w:tcW w:w="805" w:type="dxa"/>
            <w:vAlign w:val="center"/>
          </w:tcPr>
          <w:p>
            <w:pPr>
              <w:adjustRightInd w:val="0"/>
              <w:snapToGrid w:val="0"/>
              <w:spacing w:line="360" w:lineRule="auto"/>
              <w:jc w:val="center"/>
              <w:rPr>
                <w:rFonts w:ascii="Times New Roman" w:hAnsi="Times New Roman" w:cs="Times New Roman"/>
                <w:sz w:val="24"/>
              </w:rPr>
            </w:pPr>
          </w:p>
        </w:tc>
        <w:tc>
          <w:tcPr>
            <w:tcW w:w="1654" w:type="dxa"/>
            <w:vAlign w:val="center"/>
          </w:tcPr>
          <w:p>
            <w:pPr>
              <w:adjustRightInd w:val="0"/>
              <w:snapToGrid w:val="0"/>
              <w:spacing w:line="360" w:lineRule="auto"/>
              <w:jc w:val="center"/>
              <w:rPr>
                <w:rFonts w:ascii="Times New Roman" w:hAnsi="Times New Roman" w:cs="Times New Roman"/>
                <w:sz w:val="24"/>
              </w:rPr>
            </w:pPr>
          </w:p>
        </w:tc>
        <w:tc>
          <w:tcPr>
            <w:tcW w:w="913" w:type="dxa"/>
            <w:vAlign w:val="center"/>
          </w:tcPr>
          <w:p>
            <w:pPr>
              <w:adjustRightInd w:val="0"/>
              <w:snapToGrid w:val="0"/>
              <w:spacing w:line="360" w:lineRule="auto"/>
              <w:jc w:val="center"/>
              <w:rPr>
                <w:rFonts w:ascii="Times New Roman" w:hAnsi="Times New Roman" w:cs="Times New Roman"/>
                <w:sz w:val="24"/>
              </w:rPr>
            </w:pPr>
          </w:p>
        </w:tc>
        <w:tc>
          <w:tcPr>
            <w:tcW w:w="1136"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1" w:hRule="atLeast"/>
          <w:jc w:val="center"/>
        </w:trPr>
        <w:tc>
          <w:tcPr>
            <w:tcW w:w="656" w:type="dxa"/>
            <w:vAlign w:val="center"/>
          </w:tcPr>
          <w:p>
            <w:pPr>
              <w:adjustRightInd w:val="0"/>
              <w:snapToGrid w:val="0"/>
              <w:spacing w:line="360" w:lineRule="auto"/>
              <w:ind w:left="-88" w:leftChars="-42"/>
              <w:jc w:val="center"/>
              <w:rPr>
                <w:rFonts w:ascii="Times New Roman" w:hAnsi="Times New Roman" w:cs="Times New Roman"/>
                <w:sz w:val="24"/>
              </w:rPr>
            </w:pPr>
            <w:r>
              <w:rPr>
                <w:rFonts w:hint="eastAsia" w:ascii="Times New Roman" w:hAnsi="Times New Roman" w:cs="Times New Roman"/>
                <w:sz w:val="24"/>
              </w:rPr>
              <w:t>7</w:t>
            </w:r>
          </w:p>
        </w:tc>
        <w:tc>
          <w:tcPr>
            <w:tcW w:w="1869"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w:t>
            </w:r>
          </w:p>
        </w:tc>
        <w:tc>
          <w:tcPr>
            <w:tcW w:w="1237" w:type="dxa"/>
            <w:vAlign w:val="center"/>
          </w:tcPr>
          <w:p>
            <w:pPr>
              <w:adjustRightInd w:val="0"/>
              <w:snapToGrid w:val="0"/>
              <w:spacing w:line="360" w:lineRule="auto"/>
              <w:jc w:val="center"/>
              <w:rPr>
                <w:rFonts w:ascii="Times New Roman" w:hAnsi="Times New Roman" w:cs="Times New Roman"/>
                <w:sz w:val="24"/>
              </w:rPr>
            </w:pPr>
          </w:p>
        </w:tc>
        <w:tc>
          <w:tcPr>
            <w:tcW w:w="805" w:type="dxa"/>
            <w:vAlign w:val="center"/>
          </w:tcPr>
          <w:p>
            <w:pPr>
              <w:adjustRightInd w:val="0"/>
              <w:snapToGrid w:val="0"/>
              <w:spacing w:line="360" w:lineRule="auto"/>
              <w:jc w:val="center"/>
              <w:rPr>
                <w:rFonts w:ascii="Times New Roman" w:hAnsi="Times New Roman" w:cs="Times New Roman"/>
                <w:sz w:val="24"/>
              </w:rPr>
            </w:pPr>
          </w:p>
        </w:tc>
        <w:tc>
          <w:tcPr>
            <w:tcW w:w="1654" w:type="dxa"/>
            <w:vAlign w:val="center"/>
          </w:tcPr>
          <w:p>
            <w:pPr>
              <w:adjustRightInd w:val="0"/>
              <w:snapToGrid w:val="0"/>
              <w:spacing w:line="360" w:lineRule="auto"/>
              <w:jc w:val="center"/>
              <w:rPr>
                <w:rFonts w:ascii="Times New Roman" w:hAnsi="Times New Roman" w:cs="Times New Roman"/>
                <w:sz w:val="24"/>
              </w:rPr>
            </w:pPr>
          </w:p>
        </w:tc>
        <w:tc>
          <w:tcPr>
            <w:tcW w:w="913" w:type="dxa"/>
            <w:vAlign w:val="center"/>
          </w:tcPr>
          <w:p>
            <w:pPr>
              <w:adjustRightInd w:val="0"/>
              <w:snapToGrid w:val="0"/>
              <w:spacing w:line="360" w:lineRule="auto"/>
              <w:jc w:val="center"/>
              <w:rPr>
                <w:rFonts w:ascii="Times New Roman" w:hAnsi="Times New Roman" w:cs="Times New Roman"/>
                <w:sz w:val="24"/>
              </w:rPr>
            </w:pPr>
          </w:p>
        </w:tc>
        <w:tc>
          <w:tcPr>
            <w:tcW w:w="1136"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12" w:hRule="atLeast"/>
          <w:jc w:val="center"/>
        </w:trPr>
        <w:tc>
          <w:tcPr>
            <w:tcW w:w="6221" w:type="dxa"/>
            <w:gridSpan w:val="5"/>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总计</w:t>
            </w:r>
          </w:p>
        </w:tc>
        <w:tc>
          <w:tcPr>
            <w:tcW w:w="2049" w:type="dxa"/>
            <w:gridSpan w:val="2"/>
            <w:vAlign w:val="center"/>
          </w:tcPr>
          <w:p>
            <w:pPr>
              <w:adjustRightInd w:val="0"/>
              <w:snapToGrid w:val="0"/>
              <w:spacing w:line="360" w:lineRule="auto"/>
              <w:jc w:val="center"/>
              <w:rPr>
                <w:rFonts w:ascii="Times New Roman" w:hAnsi="Times New Roman" w:cs="Times New Roman"/>
                <w:sz w:val="24"/>
              </w:rPr>
            </w:pPr>
          </w:p>
        </w:tc>
      </w:tr>
    </w:tbl>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注：</w:t>
      </w:r>
      <w:r>
        <w:rPr>
          <w:rFonts w:ascii="Times New Roman" w:hAnsi="Times New Roman" w:cs="Times New Roman"/>
          <w:color w:val="FF0000"/>
          <w:sz w:val="24"/>
          <w:szCs w:val="24"/>
        </w:rPr>
        <w:t>本表仅作为磋商小组了解报价组成情况，不作为最终成交价</w:t>
      </w:r>
      <w:r>
        <w:rPr>
          <w:rFonts w:ascii="Times New Roman" w:hAnsi="Times New Roman" w:cs="Times New Roman"/>
          <w:sz w:val="24"/>
          <w:szCs w:val="24"/>
        </w:rPr>
        <w:t>。</w:t>
      </w: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rPr>
          <w:rFonts w:ascii="Times New Roman" w:hAnsi="Times New Roman" w:cs="Times New Roman"/>
          <w:sz w:val="24"/>
          <w:szCs w:val="24"/>
        </w:rPr>
      </w:pPr>
      <w:r>
        <w:rPr>
          <w:rFonts w:ascii="Times New Roman" w:hAnsi="Times New Roman" w:cs="Times New Roman"/>
          <w:sz w:val="24"/>
          <w:szCs w:val="24"/>
        </w:rPr>
        <w:t>时间：</w:t>
      </w: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t>附件3</w:t>
      </w:r>
    </w:p>
    <w:p>
      <w:pPr>
        <w:widowControl/>
        <w:spacing w:line="360" w:lineRule="auto"/>
        <w:jc w:val="center"/>
        <w:rPr>
          <w:rFonts w:ascii="Times New Roman" w:hAnsi="Times New Roman" w:cs="Times New Roman"/>
          <w:sz w:val="32"/>
          <w:szCs w:val="32"/>
        </w:rPr>
      </w:pPr>
      <w:r>
        <w:rPr>
          <w:rFonts w:ascii="Times New Roman" w:hAnsi="Times New Roman" w:cs="Times New Roman"/>
          <w:sz w:val="32"/>
          <w:szCs w:val="32"/>
        </w:rPr>
        <w:t>货物（服务）清单</w:t>
      </w:r>
    </w:p>
    <w:p>
      <w:pPr>
        <w:spacing w:line="360" w:lineRule="auto"/>
        <w:rPr>
          <w:rFonts w:ascii="Times New Roman" w:hAnsi="Times New Roman" w:cs="Times New Roman"/>
          <w:color w:val="000000"/>
          <w:sz w:val="24"/>
        </w:rPr>
      </w:pPr>
    </w:p>
    <w:p>
      <w:pPr>
        <w:spacing w:line="360" w:lineRule="auto"/>
        <w:rPr>
          <w:rFonts w:ascii="Times New Roman" w:hAnsi="Times New Roman" w:cs="Times New Roman"/>
          <w:color w:val="000000"/>
          <w:sz w:val="24"/>
        </w:rPr>
      </w:pPr>
      <w:r>
        <w:rPr>
          <w:rFonts w:ascii="Times New Roman" w:hAnsi="Times New Roman" w:cs="Times New Roman"/>
          <w:color w:val="000000"/>
          <w:sz w:val="24"/>
        </w:rPr>
        <w:t>项目编号（包号）：</w:t>
      </w:r>
    </w:p>
    <w:p>
      <w:pPr>
        <w:spacing w:line="360" w:lineRule="auto"/>
        <w:rPr>
          <w:rFonts w:ascii="Times New Roman" w:hAnsi="Times New Roman" w:cs="Times New Roman"/>
          <w:b/>
          <w:bCs/>
          <w:color w:val="000000"/>
          <w:sz w:val="32"/>
          <w:szCs w:val="32"/>
        </w:rPr>
      </w:pPr>
      <w:r>
        <w:rPr>
          <w:rFonts w:ascii="Times New Roman" w:hAnsi="Times New Roman" w:cs="Times New Roman"/>
          <w:color w:val="000000"/>
          <w:sz w:val="24"/>
        </w:rPr>
        <w:t>项目名称：</w:t>
      </w:r>
    </w:p>
    <w:tbl>
      <w:tblPr>
        <w:tblStyle w:val="11"/>
        <w:tblW w:w="86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序号</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货物（服务）名称</w:t>
            </w: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制造商名称</w:t>
            </w: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生产地</w:t>
            </w:r>
          </w:p>
        </w:tc>
        <w:tc>
          <w:tcPr>
            <w:tcW w:w="1701"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规格型号</w:t>
            </w:r>
          </w:p>
        </w:tc>
        <w:tc>
          <w:tcPr>
            <w:tcW w:w="1134" w:type="dxa"/>
            <w:vAlign w:val="center"/>
          </w:tcPr>
          <w:p>
            <w:pPr>
              <w:adjustRightInd w:val="0"/>
              <w:snapToGrid w:val="0"/>
              <w:spacing w:line="360" w:lineRule="auto"/>
              <w:jc w:val="center"/>
              <w:rPr>
                <w:rFonts w:ascii="Times New Roman" w:hAnsi="Times New Roman" w:cs="Times New Roman"/>
                <w:sz w:val="24"/>
              </w:rPr>
            </w:pPr>
            <w:r>
              <w:rPr>
                <w:rFonts w:ascii="Times New Roman" w:hAnsi="Times New Roman" w:cs="Times New Roman"/>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1</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2</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3</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4</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5</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6</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7</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8</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80" w:hRule="atLeast"/>
          <w:jc w:val="center"/>
        </w:trPr>
        <w:tc>
          <w:tcPr>
            <w:tcW w:w="521" w:type="dxa"/>
            <w:vAlign w:val="center"/>
          </w:tcPr>
          <w:p>
            <w:pPr>
              <w:adjustRightInd w:val="0"/>
              <w:snapToGrid w:val="0"/>
              <w:spacing w:line="360" w:lineRule="auto"/>
              <w:ind w:left="-88" w:leftChars="-42"/>
              <w:jc w:val="center"/>
              <w:rPr>
                <w:rFonts w:ascii="Times New Roman" w:hAnsi="Times New Roman" w:cs="Times New Roman"/>
                <w:sz w:val="24"/>
              </w:rPr>
            </w:pPr>
            <w:r>
              <w:rPr>
                <w:rFonts w:ascii="Times New Roman" w:hAnsi="Times New Roman" w:cs="Times New Roman"/>
                <w:sz w:val="24"/>
              </w:rPr>
              <w:t>…</w:t>
            </w:r>
          </w:p>
        </w:tc>
        <w:tc>
          <w:tcPr>
            <w:tcW w:w="2187" w:type="dxa"/>
            <w:vAlign w:val="center"/>
          </w:tcPr>
          <w:p>
            <w:pPr>
              <w:adjustRightInd w:val="0"/>
              <w:snapToGrid w:val="0"/>
              <w:spacing w:line="360" w:lineRule="auto"/>
              <w:ind w:left="-88" w:leftChars="-42"/>
              <w:jc w:val="center"/>
              <w:rPr>
                <w:rFonts w:ascii="Times New Roman" w:hAnsi="Times New Roman" w:cs="Times New Roman"/>
                <w:sz w:val="24"/>
              </w:rPr>
            </w:pPr>
          </w:p>
        </w:tc>
        <w:tc>
          <w:tcPr>
            <w:tcW w:w="1559" w:type="dxa"/>
            <w:tcBorders>
              <w:righ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560" w:type="dxa"/>
            <w:tcBorders>
              <w:left w:val="single" w:color="auto" w:sz="4" w:space="0"/>
            </w:tcBorders>
            <w:vAlign w:val="center"/>
          </w:tcPr>
          <w:p>
            <w:pPr>
              <w:adjustRightInd w:val="0"/>
              <w:snapToGrid w:val="0"/>
              <w:spacing w:line="360" w:lineRule="auto"/>
              <w:jc w:val="center"/>
              <w:rPr>
                <w:rFonts w:ascii="Times New Roman" w:hAnsi="Times New Roman" w:cs="Times New Roman"/>
                <w:sz w:val="24"/>
              </w:rPr>
            </w:pPr>
          </w:p>
        </w:tc>
        <w:tc>
          <w:tcPr>
            <w:tcW w:w="1701" w:type="dxa"/>
            <w:vAlign w:val="center"/>
          </w:tcPr>
          <w:p>
            <w:pPr>
              <w:adjustRightInd w:val="0"/>
              <w:snapToGrid w:val="0"/>
              <w:spacing w:line="360" w:lineRule="auto"/>
              <w:jc w:val="center"/>
              <w:rPr>
                <w:rFonts w:ascii="Times New Roman" w:hAnsi="Times New Roman" w:cs="Times New Roman"/>
                <w:sz w:val="24"/>
              </w:rPr>
            </w:pPr>
          </w:p>
        </w:tc>
        <w:tc>
          <w:tcPr>
            <w:tcW w:w="1134" w:type="dxa"/>
            <w:vAlign w:val="center"/>
          </w:tcPr>
          <w:p>
            <w:pPr>
              <w:adjustRightInd w:val="0"/>
              <w:snapToGrid w:val="0"/>
              <w:spacing w:line="360" w:lineRule="auto"/>
              <w:jc w:val="center"/>
              <w:rPr>
                <w:rFonts w:ascii="Times New Roman" w:hAnsi="Times New Roman" w:cs="Times New Roman"/>
                <w:sz w:val="24"/>
              </w:rPr>
            </w:pPr>
          </w:p>
        </w:tc>
      </w:tr>
    </w:tbl>
    <w:p>
      <w:pPr>
        <w:spacing w:line="360" w:lineRule="auto"/>
        <w:ind w:firstLine="480" w:firstLineChars="200"/>
        <w:rPr>
          <w:rFonts w:ascii="Times New Roman" w:hAnsi="Times New Roman" w:cs="Times New Roman"/>
          <w:color w:val="000000"/>
        </w:rPr>
      </w:pPr>
      <w:r>
        <w:rPr>
          <w:rFonts w:ascii="Times New Roman" w:hAnsi="Times New Roman" w:cs="Times New Roman"/>
          <w:sz w:val="24"/>
        </w:rPr>
        <w:t>说明：提供详细的货物和服务范围，包括货物和服务类别及制造（开发）商、备品备件等。</w:t>
      </w:r>
    </w:p>
    <w:p>
      <w:pPr>
        <w:spacing w:line="360" w:lineRule="auto"/>
        <w:rPr>
          <w:rFonts w:ascii="Times New Roman" w:hAnsi="Times New Roman" w:eastAsia="仿宋_GB2312" w:cs="Times New Roman"/>
          <w:color w:val="000000"/>
          <w:sz w:val="24"/>
        </w:rPr>
      </w:pPr>
    </w:p>
    <w:p>
      <w:pPr>
        <w:pStyle w:val="6"/>
        <w:spacing w:line="36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供应商名称（公章）：</w:t>
      </w:r>
    </w:p>
    <w:p>
      <w:pPr>
        <w:pStyle w:val="6"/>
        <w:spacing w:line="36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授权代表（签字）：</w:t>
      </w:r>
    </w:p>
    <w:p>
      <w:pPr>
        <w:pStyle w:val="6"/>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时间：</w:t>
      </w:r>
    </w:p>
    <w:p>
      <w:pPr>
        <w:widowControl/>
        <w:spacing w:line="360" w:lineRule="auto"/>
        <w:jc w:val="left"/>
        <w:rPr>
          <w:rFonts w:ascii="Times New Roman" w:hAnsi="Times New Roman" w:cs="Times New Roman"/>
          <w:sz w:val="32"/>
          <w:szCs w:val="32"/>
        </w:rPr>
      </w:pPr>
    </w:p>
    <w:p>
      <w:pPr>
        <w:widowControl/>
        <w:spacing w:line="360" w:lineRule="auto"/>
        <w:jc w:val="left"/>
        <w:rPr>
          <w:rFonts w:ascii="Times New Roman" w:hAnsi="Times New Roman" w:cs="Times New Roman"/>
          <w:sz w:val="32"/>
          <w:szCs w:val="32"/>
        </w:rPr>
      </w:pPr>
      <w:r>
        <w:rPr>
          <w:rFonts w:ascii="Times New Roman" w:hAnsi="Times New Roman" w:cs="Times New Roman"/>
          <w:sz w:val="32"/>
          <w:szCs w:val="32"/>
        </w:rPr>
        <w:br w:type="page"/>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附件4</w:t>
      </w:r>
    </w:p>
    <w:p>
      <w:pPr>
        <w:spacing w:line="360" w:lineRule="auto"/>
        <w:jc w:val="center"/>
        <w:rPr>
          <w:rFonts w:ascii="Times New Roman" w:hAnsi="Times New Roman" w:cs="Times New Roman"/>
          <w:sz w:val="32"/>
          <w:szCs w:val="32"/>
        </w:rPr>
      </w:pPr>
      <w:r>
        <w:rPr>
          <w:rFonts w:ascii="Times New Roman" w:hAnsi="Times New Roman" w:cs="Times New Roman"/>
          <w:sz w:val="32"/>
          <w:szCs w:val="32"/>
        </w:rPr>
        <w:t>资格性符合性检查对照表</w:t>
      </w:r>
    </w:p>
    <w:p>
      <w:pPr>
        <w:spacing w:line="360" w:lineRule="auto"/>
        <w:rPr>
          <w:rFonts w:ascii="Times New Roman" w:hAnsi="Times New Roman" w:cs="Times New Roman"/>
          <w:sz w:val="24"/>
          <w:szCs w:val="24"/>
          <w:u w:val="single"/>
        </w:rPr>
      </w:pPr>
      <w:r>
        <w:rPr>
          <w:rFonts w:ascii="Times New Roman" w:hAnsi="Times New Roman" w:cs="Times New Roman"/>
          <w:color w:val="000000"/>
          <w:sz w:val="24"/>
        </w:rPr>
        <w:t>项目编号（包号）</w:t>
      </w:r>
      <w:r>
        <w:rPr>
          <w:rFonts w:ascii="Times New Roman" w:hAnsi="Times New Roman" w:cs="Times New Roman"/>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5"/>
        <w:gridCol w:w="1274"/>
        <w:gridCol w:w="1104"/>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序号</w:t>
            </w:r>
          </w:p>
        </w:tc>
        <w:tc>
          <w:tcPr>
            <w:tcW w:w="4175"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资格性符合性检查内容</w:t>
            </w:r>
          </w:p>
        </w:tc>
        <w:tc>
          <w:tcPr>
            <w:tcW w:w="127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响应文件响应情况</w:t>
            </w:r>
          </w:p>
        </w:tc>
        <w:tc>
          <w:tcPr>
            <w:tcW w:w="110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偏离情况说明</w:t>
            </w:r>
          </w:p>
        </w:tc>
        <w:tc>
          <w:tcPr>
            <w:tcW w:w="1549"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ind w:leftChars="-50" w:hanging="105" w:hangingChars="5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01" w:type="dxa"/>
            <w:gridSpan w:val="2"/>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szCs w:val="21"/>
        </w:rPr>
      </w:pPr>
      <w:r>
        <w:rPr>
          <w:rFonts w:ascii="Times New Roman" w:hAnsi="Times New Roman" w:eastAsia="宋体" w:cs="Times New Roman"/>
          <w:szCs w:val="21"/>
        </w:rPr>
        <w:t>说明：</w:t>
      </w:r>
      <w:r>
        <w:rPr>
          <w:rFonts w:ascii="Times New Roman" w:hAnsi="Times New Roman" w:cs="Times New Roman"/>
          <w:szCs w:val="21"/>
        </w:rPr>
        <w:t>1. 备注栏中应提供相关内容在响应文件中的页码。</w:t>
      </w:r>
    </w:p>
    <w:p>
      <w:pPr>
        <w:spacing w:line="360" w:lineRule="auto"/>
        <w:ind w:left="945" w:leftChars="300" w:hanging="315" w:hangingChars="150"/>
        <w:rPr>
          <w:rFonts w:ascii="Times New Roman" w:hAnsi="Times New Roman" w:cs="Times New Roman"/>
          <w:color w:val="FF0000"/>
          <w:szCs w:val="21"/>
        </w:rPr>
      </w:pPr>
      <w:r>
        <w:rPr>
          <w:rFonts w:ascii="Times New Roman" w:hAnsi="Times New Roman" w:cs="Times New Roman"/>
          <w:szCs w:val="21"/>
        </w:rPr>
        <w:t xml:space="preserve">2. </w:t>
      </w:r>
      <w:r>
        <w:rPr>
          <w:rFonts w:ascii="Times New Roman" w:hAnsi="Times New Roman" w:cs="Times New Roman"/>
          <w:color w:val="FF0000"/>
          <w:szCs w:val="21"/>
        </w:rPr>
        <w:t>应对照磋商文件的要求，逐条说明所提供服务已对磋商文件的服务要求做出了实质性的响应，</w:t>
      </w:r>
      <w:r>
        <w:rPr>
          <w:rFonts w:ascii="Times New Roman" w:hAnsi="Times New Roman" w:cs="Times New Roman"/>
          <w:color w:val="FF0000"/>
          <w:sz w:val="24"/>
          <w:szCs w:val="24"/>
        </w:rPr>
        <w:t>并</w:t>
      </w:r>
      <w:r>
        <w:rPr>
          <w:rFonts w:ascii="Times New Roman" w:hAnsi="Times New Roman" w:cs="Times New Roman"/>
          <w:color w:val="FF0000"/>
          <w:sz w:val="24"/>
        </w:rPr>
        <w:t>说明</w:t>
      </w:r>
      <w:r>
        <w:rPr>
          <w:rFonts w:ascii="Times New Roman" w:hAnsi="Times New Roman" w:cs="Times New Roman"/>
          <w:color w:val="FF0000"/>
          <w:sz w:val="24"/>
          <w:szCs w:val="24"/>
        </w:rPr>
        <w:t>响应</w:t>
      </w:r>
      <w:r>
        <w:rPr>
          <w:rFonts w:ascii="Times New Roman" w:hAnsi="Times New Roman" w:cs="Times New Roman"/>
          <w:color w:val="FF0000"/>
          <w:sz w:val="24"/>
        </w:rPr>
        <w:t>情况</w:t>
      </w:r>
      <w:r>
        <w:rPr>
          <w:rFonts w:ascii="Times New Roman" w:hAnsi="Times New Roman" w:cs="Times New Roman"/>
          <w:color w:val="FF0000"/>
          <w:szCs w:val="21"/>
        </w:rPr>
        <w:t>。如果仅注明“符合”、“满足”或简单复制磋商文件要求，将导致响应文件无效。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rPr>
          <w:rFonts w:ascii="Times New Roman" w:hAnsi="Times New Roman" w:cs="Times New Roman"/>
          <w:sz w:val="24"/>
          <w:szCs w:val="24"/>
        </w:rPr>
      </w:pPr>
      <w:r>
        <w:rPr>
          <w:rFonts w:ascii="Times New Roman" w:hAnsi="Times New Roman" w:cs="Times New Roman"/>
          <w:sz w:val="24"/>
          <w:szCs w:val="24"/>
        </w:rPr>
        <w:t>时间：</w:t>
      </w: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t>附件5</w:t>
      </w:r>
    </w:p>
    <w:p>
      <w:pPr>
        <w:spacing w:line="360" w:lineRule="auto"/>
        <w:jc w:val="center"/>
        <w:rPr>
          <w:rFonts w:ascii="Times New Roman" w:hAnsi="Times New Roman" w:cs="Times New Roman"/>
          <w:sz w:val="32"/>
          <w:szCs w:val="32"/>
        </w:rPr>
      </w:pPr>
      <w:r>
        <w:rPr>
          <w:rFonts w:ascii="Times New Roman" w:hAnsi="Times New Roman" w:cs="Times New Roman"/>
          <w:sz w:val="32"/>
          <w:szCs w:val="32"/>
        </w:rPr>
        <w:t>技术响应、偏离情况说明表</w:t>
      </w:r>
    </w:p>
    <w:p>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pPr>
        <w:spacing w:line="360" w:lineRule="auto"/>
        <w:rPr>
          <w:rFonts w:ascii="Times New Roman" w:hAnsi="Times New Roman" w:cs="Times New Roman"/>
          <w:bCs/>
          <w:sz w:val="24"/>
          <w:szCs w:val="24"/>
        </w:rPr>
      </w:pPr>
      <w:r>
        <w:rPr>
          <w:rFonts w:ascii="Times New Roman" w:hAnsi="Times New Roman" w:cs="Times New Roman"/>
          <w:sz w:val="24"/>
          <w:szCs w:val="24"/>
        </w:rPr>
        <w:t>项目名称：</w:t>
      </w: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磋商文件要求</w:t>
            </w:r>
          </w:p>
        </w:tc>
        <w:tc>
          <w:tcPr>
            <w:tcW w:w="1281" w:type="dxa"/>
            <w:vAlign w:val="center"/>
          </w:tcPr>
          <w:p>
            <w:pPr>
              <w:spacing w:line="360" w:lineRule="auto"/>
              <w:ind w:left="-109" w:leftChars="-52" w:right="-107" w:rightChars="-51"/>
              <w:jc w:val="center"/>
              <w:rPr>
                <w:rFonts w:ascii="Times New Roman" w:hAnsi="Times New Roman" w:cs="Times New Roman"/>
                <w:sz w:val="24"/>
                <w:szCs w:val="24"/>
              </w:rPr>
            </w:pPr>
            <w:r>
              <w:rPr>
                <w:rFonts w:ascii="Times New Roman" w:hAnsi="Times New Roman" w:cs="Times New Roman"/>
                <w:sz w:val="24"/>
                <w:szCs w:val="24"/>
              </w:rPr>
              <w:t>响应文件响应情况</w:t>
            </w:r>
          </w:p>
        </w:tc>
        <w:tc>
          <w:tcPr>
            <w:tcW w:w="85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偏离说明</w:t>
            </w:r>
          </w:p>
        </w:tc>
        <w:tc>
          <w:tcPr>
            <w:tcW w:w="163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bl>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spacing w:line="360" w:lineRule="auto"/>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rPr>
          <w:rFonts w:ascii="Times New Roman" w:hAnsi="Times New Roman" w:cs="Times New Roman"/>
          <w:sz w:val="24"/>
          <w:szCs w:val="24"/>
        </w:rPr>
      </w:pPr>
      <w:r>
        <w:rPr>
          <w:rFonts w:ascii="Times New Roman" w:hAnsi="Times New Roman" w:cs="Times New Roman"/>
          <w:sz w:val="24"/>
          <w:szCs w:val="24"/>
        </w:rPr>
        <w:t>时间：</w:t>
      </w:r>
    </w:p>
    <w:p>
      <w:pPr>
        <w:spacing w:line="360" w:lineRule="auto"/>
        <w:rPr>
          <w:rFonts w:ascii="Times New Roman" w:hAnsi="Times New Roman" w:eastAsia="宋体" w:cs="Times New Roman"/>
          <w:sz w:val="24"/>
          <w:szCs w:val="24"/>
        </w:rPr>
      </w:pP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pPr>
        <w:adjustRightInd w:val="0"/>
        <w:snapToGrid w:val="0"/>
        <w:spacing w:line="360" w:lineRule="auto"/>
        <w:rPr>
          <w:rFonts w:ascii="Times New Roman" w:hAnsi="Times New Roman" w:cs="Times New Roman"/>
          <w:b/>
          <w:bCs/>
          <w:sz w:val="24"/>
          <w:szCs w:val="24"/>
        </w:rPr>
      </w:pPr>
      <w:r>
        <w:rPr>
          <w:rFonts w:ascii="Times New Roman" w:hAnsi="Times New Roman" w:cs="Times New Roman"/>
          <w:bCs/>
          <w:sz w:val="24"/>
          <w:szCs w:val="24"/>
        </w:rPr>
        <w:t>附件6</w:t>
      </w: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合同草案条款响应、偏离情况说明表</w:t>
      </w:r>
    </w:p>
    <w:p>
      <w:pPr>
        <w:adjustRightInd w:val="0"/>
        <w:snapToGrid w:val="0"/>
        <w:spacing w:line="360" w:lineRule="auto"/>
        <w:jc w:val="center"/>
        <w:outlineLvl w:val="0"/>
        <w:rPr>
          <w:rFonts w:ascii="Times New Roman" w:hAnsi="Times New Roman" w:cs="Times New Roman"/>
          <w:sz w:val="32"/>
          <w:szCs w:val="32"/>
        </w:rPr>
      </w:pPr>
    </w:p>
    <w:p>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1"/>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2103"/>
        <w:gridCol w:w="2315"/>
        <w:gridCol w:w="1302"/>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3"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序号</w:t>
            </w:r>
          </w:p>
        </w:tc>
        <w:tc>
          <w:tcPr>
            <w:tcW w:w="2103" w:type="dxa"/>
            <w:vAlign w:val="center"/>
          </w:tcPr>
          <w:p>
            <w:pPr>
              <w:spacing w:line="360" w:lineRule="auto"/>
              <w:ind w:right="-80" w:rightChars="-38"/>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磋商文件要求部分</w:t>
            </w:r>
          </w:p>
        </w:tc>
        <w:tc>
          <w:tcPr>
            <w:tcW w:w="2315" w:type="dxa"/>
            <w:vAlign w:val="center"/>
          </w:tcPr>
          <w:p>
            <w:pPr>
              <w:spacing w:line="360" w:lineRule="auto"/>
              <w:ind w:left="28" w:leftChars="-38" w:right="-80" w:rightChars="-38" w:hanging="108" w:hangingChars="45"/>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响应文件的响应部分</w:t>
            </w:r>
          </w:p>
        </w:tc>
        <w:tc>
          <w:tcPr>
            <w:tcW w:w="1302" w:type="dxa"/>
            <w:vAlign w:val="center"/>
          </w:tcPr>
          <w:p>
            <w:pPr>
              <w:spacing w:line="360" w:lineRule="auto"/>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偏离说明</w:t>
            </w:r>
          </w:p>
        </w:tc>
        <w:tc>
          <w:tcPr>
            <w:tcW w:w="2508" w:type="dxa"/>
            <w:vAlign w:val="center"/>
          </w:tcPr>
          <w:p>
            <w:pPr>
              <w:spacing w:line="360" w:lineRule="auto"/>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1</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2</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3</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4</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5</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6</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7</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5" w:hRule="atLeast"/>
        </w:trPr>
        <w:tc>
          <w:tcPr>
            <w:tcW w:w="469"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p>
        </w:tc>
        <w:tc>
          <w:tcPr>
            <w:tcW w:w="2103" w:type="dxa"/>
            <w:vAlign w:val="center"/>
          </w:tcPr>
          <w:p>
            <w:pPr>
              <w:spacing w:line="360" w:lineRule="auto"/>
              <w:rPr>
                <w:rFonts w:ascii="Times New Roman" w:hAnsi="Times New Roman" w:cs="Times New Roman"/>
                <w:bCs/>
                <w:color w:val="000000" w:themeColor="text1"/>
                <w:sz w:val="24"/>
              </w:rPr>
            </w:pPr>
          </w:p>
        </w:tc>
        <w:tc>
          <w:tcPr>
            <w:tcW w:w="2315" w:type="dxa"/>
            <w:vAlign w:val="center"/>
          </w:tcPr>
          <w:p>
            <w:pPr>
              <w:spacing w:line="360" w:lineRule="auto"/>
              <w:rPr>
                <w:rFonts w:ascii="Times New Roman" w:hAnsi="Times New Roman" w:cs="Times New Roman"/>
                <w:bCs/>
                <w:color w:val="000000" w:themeColor="text1"/>
                <w:sz w:val="24"/>
              </w:rPr>
            </w:pPr>
          </w:p>
        </w:tc>
        <w:tc>
          <w:tcPr>
            <w:tcW w:w="1302" w:type="dxa"/>
            <w:vAlign w:val="center"/>
          </w:tcPr>
          <w:p>
            <w:pPr>
              <w:spacing w:line="360" w:lineRule="auto"/>
              <w:rPr>
                <w:rFonts w:ascii="Times New Roman" w:hAnsi="Times New Roman" w:cs="Times New Roman"/>
                <w:bCs/>
                <w:color w:val="000000" w:themeColor="text1"/>
                <w:sz w:val="24"/>
              </w:rPr>
            </w:pPr>
          </w:p>
        </w:tc>
        <w:tc>
          <w:tcPr>
            <w:tcW w:w="2508" w:type="dxa"/>
            <w:vAlign w:val="center"/>
          </w:tcPr>
          <w:p>
            <w:pPr>
              <w:spacing w:line="360" w:lineRule="auto"/>
              <w:jc w:val="center"/>
              <w:rPr>
                <w:rFonts w:ascii="Times New Roman" w:hAnsi="Times New Roman" w:cs="Times New Roman"/>
                <w:bCs/>
                <w:color w:val="000000" w:themeColor="text1"/>
                <w:sz w:val="24"/>
              </w:rPr>
            </w:pPr>
          </w:p>
        </w:tc>
      </w:tr>
    </w:tbl>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spacing w:line="360" w:lineRule="auto"/>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rPr>
          <w:rFonts w:ascii="Times New Roman" w:hAnsi="Times New Roman" w:cs="Times New Roman"/>
          <w:sz w:val="24"/>
          <w:szCs w:val="24"/>
        </w:rPr>
      </w:pPr>
      <w:r>
        <w:rPr>
          <w:rFonts w:ascii="Times New Roman" w:hAnsi="Times New Roman" w:cs="Times New Roman"/>
          <w:sz w:val="24"/>
          <w:szCs w:val="24"/>
        </w:rPr>
        <w:t>时间：</w:t>
      </w: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widowControl/>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附件7</w:t>
      </w:r>
    </w:p>
    <w:p>
      <w:pPr>
        <w:adjustRightInd w:val="0"/>
        <w:snapToGrid w:val="0"/>
        <w:spacing w:line="360" w:lineRule="auto"/>
        <w:jc w:val="center"/>
        <w:outlineLvl w:val="0"/>
        <w:rPr>
          <w:rFonts w:ascii="Times New Roman" w:hAnsi="Times New Roman" w:cs="Times New Roman"/>
          <w:sz w:val="32"/>
          <w:szCs w:val="32"/>
        </w:rPr>
      </w:pPr>
      <w:r>
        <w:rPr>
          <w:rFonts w:ascii="Times New Roman" w:hAnsi="Times New Roman" w:cs="Times New Roman"/>
          <w:sz w:val="32"/>
          <w:szCs w:val="32"/>
        </w:rPr>
        <w:t>法人（负责人）代表授权书</w:t>
      </w:r>
    </w:p>
    <w:p>
      <w:pPr>
        <w:spacing w:beforeLines="50" w:afterLines="100" w:line="360" w:lineRule="auto"/>
        <w:rPr>
          <w:rFonts w:ascii="Times New Roman" w:hAnsi="Times New Roman" w:cs="Times New Roman"/>
          <w:sz w:val="24"/>
          <w:szCs w:val="24"/>
        </w:rPr>
      </w:pPr>
    </w:p>
    <w:p>
      <w:pPr>
        <w:spacing w:line="360" w:lineRule="auto"/>
        <w:rPr>
          <w:rFonts w:ascii="Times New Roman" w:hAnsi="Times New Roman" w:cs="Times New Roman"/>
          <w:bCs/>
          <w:sz w:val="24"/>
          <w:szCs w:val="24"/>
        </w:rPr>
      </w:pP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r>
        <w:rPr>
          <w:rFonts w:ascii="Times New Roman" w:hAnsi="Times New Roman" w:cs="Times New Roman"/>
          <w:bCs/>
          <w:sz w:val="24"/>
          <w:szCs w:val="24"/>
        </w:rPr>
        <w:t>：</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u w:val="single"/>
        </w:rPr>
        <w:t>（供应商名称）</w:t>
      </w:r>
      <w:r>
        <w:rPr>
          <w:rFonts w:ascii="Times New Roman" w:hAnsi="Times New Roman" w:cs="Times New Roman"/>
          <w:bCs/>
          <w:sz w:val="24"/>
          <w:szCs w:val="24"/>
        </w:rPr>
        <w:t>在下面签字的（</w:t>
      </w:r>
      <w:r>
        <w:rPr>
          <w:rFonts w:ascii="Times New Roman" w:hAnsi="Times New Roman" w:cs="Times New Roman"/>
          <w:bCs/>
          <w:sz w:val="24"/>
          <w:szCs w:val="24"/>
          <w:u w:val="single"/>
        </w:rPr>
        <w:t>法定代表人姓名、职务</w:t>
      </w:r>
      <w:r>
        <w:rPr>
          <w:rFonts w:ascii="Times New Roman" w:hAnsi="Times New Roman" w:cs="Times New Roman"/>
          <w:bCs/>
          <w:sz w:val="24"/>
          <w:szCs w:val="24"/>
        </w:rPr>
        <w:t>）代表本公司授权（供应商名称）的下面签字的</w:t>
      </w:r>
      <w:r>
        <w:rPr>
          <w:rFonts w:ascii="Times New Roman" w:hAnsi="Times New Roman" w:cs="Times New Roman"/>
          <w:bCs/>
          <w:sz w:val="24"/>
          <w:szCs w:val="24"/>
          <w:u w:val="single"/>
        </w:rPr>
        <w:t>（被授权代表的姓名、职务）</w:t>
      </w:r>
      <w:r>
        <w:rPr>
          <w:rFonts w:ascii="Times New Roman" w:hAnsi="Times New Roman" w:cs="Times New Roman"/>
          <w:bCs/>
          <w:sz w:val="24"/>
          <w:szCs w:val="24"/>
        </w:rPr>
        <w:t>为本公司的合法代理人，就（</w:t>
      </w:r>
      <w:r>
        <w:rPr>
          <w:rFonts w:ascii="Times New Roman" w:hAnsi="Times New Roman" w:cs="Times New Roman"/>
          <w:bCs/>
          <w:sz w:val="24"/>
          <w:szCs w:val="24"/>
          <w:u w:val="single"/>
        </w:rPr>
        <w:t>项目名称、项目编号</w:t>
      </w:r>
      <w:r>
        <w:rPr>
          <w:rFonts w:ascii="Times New Roman" w:hAnsi="Times New Roman" w:cs="Times New Roman"/>
          <w:bCs/>
          <w:sz w:val="24"/>
          <w:szCs w:val="24"/>
        </w:rPr>
        <w:t>）的竞争性磋商，以本公司的名义处理一切与之有关的事务。</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本授权书自    年    月    日至    年    月    日止签字有效。</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特此声明。</w:t>
      </w:r>
    </w:p>
    <w:p>
      <w:pPr>
        <w:spacing w:beforeLines="100" w:after="100" w:afterAutospacing="1"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委托人名称（公章）：                被授权人（签章）：</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法定（负责人）代表人（签章）：      身份证号码：</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电话：                               电话（手机）：</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传真：办公                           电话/传真：</w:t>
      </w:r>
    </w:p>
    <w:p>
      <w:pPr>
        <w:spacing w:beforeLines="50" w:afterLines="100" w:line="360" w:lineRule="auto"/>
        <w:rPr>
          <w:rFonts w:ascii="Times New Roman" w:hAnsi="Times New Roman" w:cs="Times New Roman"/>
          <w:bCs/>
          <w:sz w:val="24"/>
          <w:szCs w:val="24"/>
          <w:u w:val="single"/>
        </w:rPr>
      </w:pP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8" w:hRule="atLeast"/>
        </w:trPr>
        <w:tc>
          <w:tcPr>
            <w:tcW w:w="8528" w:type="dxa"/>
          </w:tcPr>
          <w:p>
            <w:pPr>
              <w:spacing w:beforeLines="50" w:afterLines="100" w:line="360" w:lineRule="auto"/>
              <w:rPr>
                <w:rFonts w:ascii="Times New Roman" w:hAnsi="Times New Roman" w:cs="Times New Roman"/>
                <w:bCs/>
                <w:sz w:val="24"/>
                <w:szCs w:val="24"/>
              </w:rPr>
            </w:pPr>
            <w:r>
              <w:rPr>
                <w:rFonts w:ascii="Times New Roman" w:hAnsi="Times New Roman" w:cs="Times New Roman"/>
                <w:bCs/>
                <w:sz w:val="24"/>
                <w:szCs w:val="24"/>
              </w:rPr>
              <w:t>粘贴被授权人身份证（复印件）</w:t>
            </w:r>
          </w:p>
        </w:tc>
      </w:tr>
    </w:tbl>
    <w:p>
      <w:pPr>
        <w:spacing w:line="360" w:lineRule="auto"/>
        <w:rPr>
          <w:rFonts w:ascii="Times New Roman" w:hAnsi="Times New Roman" w:cs="Times New Roman"/>
          <w:bCs/>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spacing w:beforeLines="50" w:afterLines="100"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附件8</w:t>
      </w: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法人或者其他组织的营业执照等证明文件，自然人的</w:t>
      </w: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身份证明等证明材料</w:t>
      </w:r>
    </w:p>
    <w:p>
      <w:pPr>
        <w:spacing w:line="360" w:lineRule="auto"/>
        <w:rPr>
          <w:rFonts w:ascii="Times New Roman" w:hAnsi="Times New Roman" w:eastAsia="仿宋_GB2312" w:cs="Times New Roman"/>
          <w:bCs/>
          <w:color w:val="000000"/>
          <w:szCs w:val="28"/>
        </w:rPr>
      </w:pPr>
    </w:p>
    <w:p>
      <w:pPr>
        <w:widowControl/>
        <w:spacing w:line="360" w:lineRule="auto"/>
        <w:jc w:val="left"/>
        <w:rPr>
          <w:rFonts w:ascii="Times New Roman" w:hAnsi="Times New Roman" w:cs="Times New Roman"/>
          <w:bCs/>
          <w:color w:val="000000"/>
          <w:sz w:val="24"/>
        </w:rPr>
      </w:pPr>
      <w:r>
        <w:rPr>
          <w:rFonts w:ascii="Times New Roman" w:hAnsi="Times New Roman" w:cs="Times New Roman"/>
          <w:bCs/>
          <w:color w:val="000000"/>
          <w:sz w:val="24"/>
        </w:rPr>
        <w:t>（企业法人营业执照、税务登记证，供应商是自然人的身份证明材料等）</w:t>
      </w:r>
    </w:p>
    <w:p>
      <w:pPr>
        <w:widowControl/>
        <w:spacing w:line="360" w:lineRule="auto"/>
        <w:jc w:val="left"/>
        <w:rPr>
          <w:rFonts w:ascii="Times New Roman" w:hAnsi="Times New Roman" w:cs="Times New Roman"/>
          <w:bCs/>
          <w:color w:val="000000"/>
          <w:sz w:val="24"/>
        </w:rPr>
      </w:pPr>
      <w:r>
        <w:rPr>
          <w:rFonts w:ascii="Times New Roman" w:hAnsi="Times New Roman" w:cs="Times New Roman"/>
          <w:bCs/>
          <w:color w:val="000000"/>
          <w:sz w:val="24"/>
        </w:rPr>
        <w:br w:type="page"/>
      </w:r>
    </w:p>
    <w:p>
      <w:pPr>
        <w:spacing w:line="360" w:lineRule="auto"/>
        <w:ind w:left="360" w:hanging="360" w:hangingChars="15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附件9</w:t>
      </w:r>
    </w:p>
    <w:p>
      <w:pPr>
        <w:spacing w:line="360" w:lineRule="auto"/>
        <w:ind w:left="360" w:hanging="360" w:hangingChars="150"/>
        <w:rPr>
          <w:rFonts w:ascii="Times New Roman" w:hAnsi="Times New Roman" w:cs="Times New Roman"/>
          <w:bCs/>
          <w:color w:val="000000" w:themeColor="text1"/>
          <w:sz w:val="24"/>
        </w:rPr>
      </w:pP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财务状况报告，依法缴纳税收和社会保障资金的相关材料</w:t>
      </w:r>
    </w:p>
    <w:p>
      <w:pPr>
        <w:spacing w:line="360" w:lineRule="auto"/>
        <w:rPr>
          <w:rFonts w:ascii="Times New Roman" w:hAnsi="Times New Roman" w:eastAsia="仿宋_GB2312" w:cs="Times New Roman"/>
          <w:bCs/>
          <w:color w:val="000000"/>
          <w:szCs w:val="28"/>
        </w:rPr>
      </w:pPr>
    </w:p>
    <w:p>
      <w:pPr>
        <w:spacing w:line="360" w:lineRule="auto"/>
        <w:ind w:firstLine="480" w:firstLineChars="200"/>
        <w:rPr>
          <w:rFonts w:ascii="Times New Roman" w:hAnsi="Times New Roman" w:cs="Times New Roman"/>
          <w:bCs/>
          <w:color w:val="000000"/>
          <w:sz w:val="24"/>
        </w:rPr>
      </w:pPr>
      <w:r>
        <w:rPr>
          <w:rFonts w:ascii="Times New Roman" w:hAnsi="Times New Roman" w:cs="Times New Roman"/>
          <w:bCs/>
          <w:color w:val="000000"/>
          <w:sz w:val="24"/>
        </w:rPr>
        <w:t>一、参加本采购项目前一年度的财务报表（企业成立时间不足一年不适用），或其他证明具备实施本项目的财务状况证明材料；</w:t>
      </w:r>
    </w:p>
    <w:p>
      <w:pPr>
        <w:spacing w:line="360" w:lineRule="auto"/>
        <w:ind w:firstLine="480" w:firstLineChars="200"/>
        <w:rPr>
          <w:rFonts w:ascii="Times New Roman" w:hAnsi="Times New Roman" w:cs="Times New Roman"/>
          <w:bCs/>
          <w:color w:val="000000"/>
          <w:sz w:val="24"/>
        </w:rPr>
      </w:pPr>
      <w:r>
        <w:rPr>
          <w:rFonts w:ascii="Times New Roman" w:hAnsi="Times New Roman" w:cs="Times New Roman"/>
          <w:bCs/>
          <w:color w:val="000000"/>
          <w:sz w:val="24"/>
        </w:rPr>
        <w:t>二、参加本采购项目前，近期的纳税证明；</w:t>
      </w:r>
    </w:p>
    <w:p>
      <w:pPr>
        <w:spacing w:line="360" w:lineRule="auto"/>
        <w:ind w:left="2" w:leftChars="1" w:firstLine="480" w:firstLineChars="200"/>
        <w:rPr>
          <w:rFonts w:ascii="Times New Roman" w:hAnsi="Times New Roman" w:cs="Times New Roman"/>
          <w:bCs/>
          <w:color w:val="000000" w:themeColor="text1"/>
          <w:sz w:val="24"/>
        </w:rPr>
      </w:pPr>
      <w:r>
        <w:rPr>
          <w:rFonts w:ascii="Times New Roman" w:hAnsi="Times New Roman" w:cs="Times New Roman"/>
          <w:bCs/>
          <w:color w:val="000000"/>
          <w:sz w:val="24"/>
        </w:rPr>
        <w:t>三、参加本采购项目前，近期缴纳社会保障资金证明等。</w:t>
      </w:r>
      <w:r>
        <w:rPr>
          <w:rFonts w:ascii="Times New Roman" w:hAnsi="Times New Roman" w:cs="Times New Roman"/>
          <w:color w:val="000000" w:themeColor="text1"/>
          <w:szCs w:val="28"/>
        </w:rPr>
        <w:br w:type="page"/>
      </w:r>
      <w:r>
        <w:rPr>
          <w:rFonts w:ascii="Times New Roman" w:hAnsi="Times New Roman" w:cs="Times New Roman"/>
          <w:bCs/>
          <w:color w:val="000000" w:themeColor="text1"/>
          <w:sz w:val="24"/>
        </w:rPr>
        <w:t>附件10</w:t>
      </w:r>
    </w:p>
    <w:p>
      <w:pPr>
        <w:widowControl/>
        <w:spacing w:line="360" w:lineRule="auto"/>
        <w:jc w:val="left"/>
        <w:rPr>
          <w:rFonts w:ascii="Times New Roman" w:hAnsi="Times New Roman" w:cs="Times New Roman"/>
          <w:bCs/>
          <w:color w:val="000000" w:themeColor="text1"/>
          <w:sz w:val="24"/>
        </w:rPr>
      </w:pP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具备履行合同所必需的设备和专业技术能力的</w:t>
      </w: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证明材料</w:t>
      </w:r>
    </w:p>
    <w:p>
      <w:pPr>
        <w:spacing w:line="360" w:lineRule="auto"/>
        <w:jc w:val="center"/>
        <w:rPr>
          <w:rFonts w:ascii="Times New Roman" w:hAnsi="Times New Roman" w:cs="Times New Roman"/>
          <w:bCs/>
          <w:color w:val="000000"/>
          <w:sz w:val="32"/>
          <w:szCs w:val="32"/>
        </w:rPr>
      </w:pPr>
    </w:p>
    <w:p>
      <w:pPr>
        <w:spacing w:line="360" w:lineRule="auto"/>
        <w:jc w:val="center"/>
        <w:rPr>
          <w:rFonts w:ascii="Times New Roman" w:hAnsi="Times New Roman" w:cs="Times New Roman" w:eastAsiaTheme="majorEastAsia"/>
          <w:bCs/>
          <w:color w:val="000000" w:themeColor="text1"/>
          <w:sz w:val="24"/>
        </w:rPr>
      </w:pPr>
      <w:r>
        <w:rPr>
          <w:rFonts w:ascii="Times New Roman" w:hAnsi="Times New Roman" w:cs="Times New Roman"/>
          <w:bCs/>
          <w:color w:val="000000"/>
          <w:sz w:val="24"/>
        </w:rPr>
        <w:t>（提供履行合同所必需的设备和专业技术能力的相关文件）</w:t>
      </w:r>
    </w:p>
    <w:p>
      <w:pPr>
        <w:widowControl/>
        <w:spacing w:line="360"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pPr>
        <w:spacing w:beforeLines="50" w:afterLines="100"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附件11</w:t>
      </w: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参加政府采购活动前3年内在经营活动中</w:t>
      </w: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没有重大违法记录的书面声明</w:t>
      </w:r>
    </w:p>
    <w:p>
      <w:pPr>
        <w:spacing w:line="360" w:lineRule="auto"/>
        <w:jc w:val="center"/>
        <w:rPr>
          <w:rFonts w:ascii="Times New Roman" w:hAnsi="Times New Roman" w:eastAsia="仿宋_GB2312" w:cs="Times New Roman"/>
          <w:sz w:val="24"/>
        </w:rPr>
      </w:pPr>
    </w:p>
    <w:p>
      <w:pPr>
        <w:spacing w:line="360" w:lineRule="auto"/>
        <w:jc w:val="center"/>
        <w:rPr>
          <w:rFonts w:ascii="Times New Roman" w:hAnsi="Times New Roman" w:cs="Times New Roman" w:eastAsiaTheme="majorEastAsia"/>
          <w:bCs/>
          <w:color w:val="000000" w:themeColor="text1"/>
          <w:sz w:val="32"/>
          <w:szCs w:val="32"/>
        </w:rPr>
      </w:pPr>
      <w:r>
        <w:rPr>
          <w:rFonts w:ascii="Times New Roman" w:hAnsi="Times New Roman" w:cs="Times New Roman"/>
          <w:sz w:val="24"/>
        </w:rPr>
        <w:t>（供应商自行编写）</w:t>
      </w:r>
    </w:p>
    <w:p>
      <w:pPr>
        <w:widowControl/>
        <w:spacing w:line="360" w:lineRule="auto"/>
        <w:jc w:val="left"/>
        <w:rPr>
          <w:rFonts w:ascii="Times New Roman" w:hAnsi="Times New Roman" w:cs="Times New Roman" w:eastAsiaTheme="majorEastAsia"/>
          <w:bCs/>
          <w:color w:val="000000" w:themeColor="text1"/>
          <w:sz w:val="32"/>
          <w:szCs w:val="32"/>
        </w:rPr>
      </w:pPr>
      <w:r>
        <w:rPr>
          <w:rFonts w:ascii="Times New Roman" w:hAnsi="Times New Roman" w:cs="Times New Roman" w:eastAsiaTheme="majorEastAsia"/>
          <w:bCs/>
          <w:color w:val="000000" w:themeColor="text1"/>
          <w:sz w:val="32"/>
          <w:szCs w:val="32"/>
        </w:rPr>
        <w:br w:type="page"/>
      </w:r>
    </w:p>
    <w:p>
      <w:pPr>
        <w:widowControl/>
        <w:spacing w:line="360" w:lineRule="auto"/>
        <w:jc w:val="left"/>
        <w:rPr>
          <w:rFonts w:ascii="Times New Roman" w:hAnsi="Times New Roman" w:cs="Times New Roman"/>
          <w:color w:val="000000" w:themeColor="text1"/>
          <w:sz w:val="32"/>
          <w:szCs w:val="32"/>
        </w:rPr>
      </w:pPr>
      <w:r>
        <w:rPr>
          <w:rFonts w:ascii="Times New Roman" w:hAnsi="Times New Roman" w:cs="Times New Roman"/>
          <w:bCs/>
          <w:color w:val="000000" w:themeColor="text1"/>
          <w:sz w:val="24"/>
        </w:rPr>
        <w:t>附件12</w:t>
      </w:r>
    </w:p>
    <w:p>
      <w:pPr>
        <w:adjustRightInd w:val="0"/>
        <w:snapToGrid w:val="0"/>
        <w:spacing w:line="360" w:lineRule="auto"/>
        <w:jc w:val="center"/>
        <w:outlineLvl w:val="0"/>
        <w:rPr>
          <w:rFonts w:ascii="Times New Roman" w:hAnsi="Times New Roman" w:cs="Times New Roman"/>
          <w:color w:val="000000" w:themeColor="text1"/>
          <w:sz w:val="32"/>
          <w:szCs w:val="32"/>
        </w:rPr>
      </w:pP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未被列入“信用中国”网站失信被执行人、重大税收违法案件当事人名单、政府采购严重违法失信行为</w:t>
      </w:r>
    </w:p>
    <w:p>
      <w:pPr>
        <w:spacing w:line="360" w:lineRule="auto"/>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记录名单的网页打印件</w:t>
      </w:r>
    </w:p>
    <w:p>
      <w:pPr>
        <w:spacing w:line="360" w:lineRule="auto"/>
        <w:jc w:val="center"/>
        <w:rPr>
          <w:rFonts w:ascii="Times New Roman" w:hAnsi="Times New Roman" w:cs="Times New Roman"/>
          <w:sz w:val="24"/>
        </w:rPr>
      </w:pPr>
    </w:p>
    <w:p>
      <w:pPr>
        <w:spacing w:line="360" w:lineRule="auto"/>
        <w:jc w:val="center"/>
        <w:rPr>
          <w:rFonts w:ascii="Times New Roman" w:hAnsi="Times New Roman" w:cs="Times New Roman"/>
          <w:color w:val="000000" w:themeColor="text1"/>
        </w:rPr>
      </w:pPr>
      <w:r>
        <w:rPr>
          <w:rFonts w:ascii="Times New Roman" w:hAnsi="Times New Roman" w:cs="Times New Roman"/>
          <w:sz w:val="24"/>
        </w:rPr>
        <w:t>（供应商自行打印）</w:t>
      </w:r>
    </w:p>
    <w:p>
      <w:pPr>
        <w:spacing w:line="360" w:lineRule="auto"/>
        <w:rPr>
          <w:rFonts w:ascii="Times New Roman" w:hAnsi="Times New Roman" w:cs="Times New Roman"/>
          <w:color w:val="000000" w:themeColor="text1"/>
        </w:rPr>
      </w:pPr>
    </w:p>
    <w:p>
      <w:pPr>
        <w:widowControl/>
        <w:spacing w:line="360" w:lineRule="auto"/>
        <w:jc w:val="left"/>
        <w:rPr>
          <w:sz w:val="24"/>
        </w:rPr>
      </w:pPr>
      <w:r>
        <w:rPr>
          <w:rFonts w:ascii="Times New Roman" w:hAnsi="Times New Roman" w:cs="Times New Roman"/>
          <w:bCs/>
          <w:color w:val="000000"/>
          <w:sz w:val="24"/>
        </w:rPr>
        <w:br w:type="page"/>
      </w:r>
    </w:p>
    <w:p>
      <w:pPr>
        <w:widowControl/>
        <w:spacing w:line="360" w:lineRule="auto"/>
        <w:jc w:val="left"/>
        <w:rPr>
          <w:rFonts w:hint="eastAsia" w:ascii="Times New Roman" w:hAnsi="Times New Roman" w:eastAsia="宋体" w:cs="Times New Roman"/>
          <w:color w:val="000000" w:themeColor="text1"/>
          <w:sz w:val="32"/>
          <w:szCs w:val="32"/>
          <w:lang w:eastAsia="zh-CN"/>
        </w:rPr>
      </w:pPr>
      <w:r>
        <w:rPr>
          <w:rFonts w:ascii="Times New Roman" w:hAnsi="Times New Roman" w:cs="Times New Roman"/>
          <w:bCs/>
          <w:color w:val="000000" w:themeColor="text1"/>
          <w:sz w:val="24"/>
        </w:rPr>
        <w:t>附件1</w:t>
      </w:r>
      <w:r>
        <w:rPr>
          <w:rFonts w:hint="eastAsia" w:ascii="Times New Roman" w:hAnsi="Times New Roman" w:cs="Times New Roman"/>
          <w:bCs/>
          <w:color w:val="000000" w:themeColor="text1"/>
          <w:sz w:val="24"/>
          <w:lang w:val="en-US" w:eastAsia="zh-CN"/>
        </w:rPr>
        <w:t>3</w:t>
      </w:r>
    </w:p>
    <w:p>
      <w:pPr>
        <w:spacing w:line="360" w:lineRule="auto"/>
        <w:rPr>
          <w:sz w:val="24"/>
        </w:rPr>
      </w:pPr>
      <w:r>
        <w:rPr>
          <w:rFonts w:hint="eastAsia"/>
          <w:bCs/>
          <w:color w:val="000000" w:themeColor="text1"/>
          <w:sz w:val="24"/>
        </w:rPr>
        <w:t>《中小企业声明函》、《残疾人福利性单位声明函》、属于监狱企业的证明文件等（如果有的话）(附件13)</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sz w:val="24"/>
        </w:rPr>
        <w:t>附件1</w:t>
      </w:r>
      <w:r>
        <w:rPr>
          <w:rFonts w:hint="eastAsia"/>
          <w:sz w:val="24"/>
          <w:lang w:val="en-US" w:eastAsia="zh-CN"/>
        </w:rPr>
        <w:t>3</w:t>
      </w:r>
      <w:r>
        <w:rPr>
          <w:rFonts w:hint="eastAsia"/>
          <w:sz w:val="24"/>
        </w:rPr>
        <w:t>-1</w:t>
      </w:r>
    </w:p>
    <w:p>
      <w:pPr>
        <w:spacing w:line="360" w:lineRule="auto"/>
        <w:rPr>
          <w:sz w:val="24"/>
        </w:rPr>
      </w:pPr>
    </w:p>
    <w:p>
      <w:pPr>
        <w:spacing w:line="360" w:lineRule="auto"/>
        <w:jc w:val="center"/>
        <w:rPr>
          <w:sz w:val="32"/>
          <w:szCs w:val="32"/>
        </w:rPr>
      </w:pPr>
      <w:r>
        <w:rPr>
          <w:rFonts w:hint="eastAsia"/>
          <w:sz w:val="32"/>
          <w:szCs w:val="32"/>
        </w:rPr>
        <w:t>中小企业声明函</w:t>
      </w:r>
    </w:p>
    <w:p>
      <w:pPr>
        <w:spacing w:line="360" w:lineRule="auto"/>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本公司对上述声明的真实性负责。如有虚假，将依法承担相应责任。</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360" w:lineRule="auto"/>
        <w:ind w:firstLine="480" w:firstLineChars="200"/>
        <w:rPr>
          <w:rFonts w:asciiTheme="majorEastAsia" w:hAnsiTheme="majorEastAsia" w:eastAsiaTheme="majorEastAsia"/>
          <w:sz w:val="24"/>
        </w:rPr>
        <w:sectPr>
          <w:footerReference r:id="rId9" w:type="default"/>
          <w:pgSz w:w="11906" w:h="16838"/>
          <w:pgMar w:top="1440" w:right="1797" w:bottom="1440" w:left="1797" w:header="851" w:footer="992" w:gutter="0"/>
          <w:pgNumType w:fmt="decimal"/>
          <w:cols w:space="425" w:num="1"/>
          <w:docGrid w:linePitch="312" w:charSpace="0"/>
        </w:sectPr>
      </w:pPr>
      <w:r>
        <w:rPr>
          <w:rFonts w:hint="eastAsia" w:asciiTheme="majorEastAsia" w:hAnsiTheme="majorEastAsia" w:eastAsiaTheme="majorEastAsia"/>
          <w:sz w:val="24"/>
        </w:rPr>
        <w:t>企业法人（负责人）签字（签章）：</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Pr>
        <w:spacing w:line="360" w:lineRule="auto"/>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1"/>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微型企业</w:t>
            </w:r>
          </w:p>
        </w:tc>
      </w:tr>
      <w:tr>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1" w:leftChars="-40" w:right="-57" w:rightChars="-27" w:hanging="165" w:hangingChars="79"/>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r>
      <w:tr>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Cs w:val="21"/>
              </w:rPr>
            </w:pPr>
            <w:r>
              <w:rPr>
                <w:rFonts w:hint="eastAsia" w:ascii="宋体" w:hAnsi="宋体" w:cs="宋体"/>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27" w:leftChars="-40" w:right="-57" w:rightChars="-27" w:hanging="111" w:hangingChars="53"/>
              <w:jc w:val="center"/>
              <w:rPr>
                <w:rFonts w:ascii="宋体" w:hAnsi="宋体" w:cs="宋体"/>
                <w:kern w:val="0"/>
                <w:szCs w:val="21"/>
              </w:rPr>
            </w:pPr>
            <w:r>
              <w:rPr>
                <w:rFonts w:hint="eastAsia" w:ascii="宋体" w:hAnsi="宋体" w:cs="宋体"/>
                <w:kern w:val="0"/>
                <w:szCs w:val="21"/>
              </w:rPr>
              <w:t>或,＜2000</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或,＜100</w:t>
            </w:r>
          </w:p>
        </w:tc>
      </w:tr>
      <w:tr>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Cs w:val="21"/>
              </w:rPr>
            </w:pPr>
            <w:r>
              <w:rPr>
                <w:rFonts w:hint="eastAsia" w:ascii="宋体" w:hAnsi="宋体" w:cs="宋体"/>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bl>
    <w:p>
      <w:pPr>
        <w:spacing w:line="360" w:lineRule="auto"/>
        <w:rPr>
          <w:rFonts w:asciiTheme="majorEastAsia" w:hAnsiTheme="majorEastAsia" w:eastAsiaTheme="majorEastAsia"/>
          <w:sz w:val="24"/>
        </w:rPr>
        <w:sectPr>
          <w:pgSz w:w="16838" w:h="11906" w:orient="landscape"/>
          <w:pgMar w:top="1797" w:right="1440" w:bottom="1797" w:left="1440" w:header="851" w:footer="992" w:gutter="0"/>
          <w:pgNumType w:fmt="decimal"/>
          <w:cols w:space="425" w:num="1"/>
          <w:docGrid w:linePitch="312" w:charSpace="0"/>
        </w:sectPr>
      </w:pPr>
    </w:p>
    <w:p>
      <w:pPr>
        <w:spacing w:line="360" w:lineRule="auto"/>
        <w:rPr>
          <w:sz w:val="24"/>
        </w:rPr>
      </w:pPr>
      <w:r>
        <w:rPr>
          <w:rFonts w:hint="eastAsia"/>
          <w:sz w:val="24"/>
        </w:rPr>
        <w:t>附件1</w:t>
      </w:r>
      <w:r>
        <w:rPr>
          <w:rFonts w:hint="eastAsia"/>
          <w:sz w:val="24"/>
          <w:lang w:val="en-US" w:eastAsia="zh-CN"/>
        </w:rPr>
        <w:t>3</w:t>
      </w:r>
      <w:r>
        <w:rPr>
          <w:rFonts w:hint="eastAsia"/>
          <w:sz w:val="24"/>
        </w:rPr>
        <w:t>-2</w:t>
      </w:r>
    </w:p>
    <w:p>
      <w:pPr>
        <w:spacing w:line="360" w:lineRule="auto"/>
        <w:ind w:firstLine="667"/>
        <w:jc w:val="center"/>
        <w:rPr>
          <w:rFonts w:asciiTheme="majorEastAsia" w:hAnsiTheme="majorEastAsia" w:eastAsiaTheme="majorEastAsia"/>
          <w:b/>
          <w:spacing w:val="6"/>
          <w:sz w:val="32"/>
          <w:szCs w:val="32"/>
        </w:rPr>
      </w:pPr>
      <w:bookmarkStart w:id="22" w:name="OLE_LINK14"/>
      <w:bookmarkStart w:id="23" w:name="OLE_LINK13"/>
      <w:r>
        <w:rPr>
          <w:rFonts w:asciiTheme="majorEastAsia" w:hAnsiTheme="majorEastAsia" w:eastAsiaTheme="majorEastAsia"/>
          <w:b/>
          <w:spacing w:val="6"/>
          <w:sz w:val="32"/>
          <w:szCs w:val="32"/>
        </w:rPr>
        <w:t>残疾人福利性单位声明函</w:t>
      </w:r>
    </w:p>
    <w:bookmarkEnd w:id="22"/>
    <w:bookmarkEnd w:id="23"/>
    <w:p>
      <w:pPr>
        <w:spacing w:line="360" w:lineRule="auto"/>
        <w:ind w:firstLine="626"/>
        <w:rPr>
          <w:rFonts w:eastAsia="仿宋_GB2312"/>
          <w:b/>
          <w:spacing w:val="6"/>
          <w:sz w:val="30"/>
          <w:szCs w:val="30"/>
        </w:rPr>
      </w:pPr>
    </w:p>
    <w:p>
      <w:pPr>
        <w:spacing w:line="360" w:lineRule="auto"/>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360" w:lineRule="auto"/>
        <w:ind w:firstLine="624"/>
        <w:rPr>
          <w:rFonts w:eastAsia="仿宋_GB2312"/>
          <w:spacing w:val="6"/>
          <w:sz w:val="30"/>
          <w:szCs w:val="30"/>
        </w:rPr>
      </w:pPr>
    </w:p>
    <w:p>
      <w:pPr>
        <w:spacing w:line="360" w:lineRule="auto"/>
        <w:ind w:firstLine="624"/>
        <w:rPr>
          <w:rFonts w:eastAsia="仿宋_GB2312"/>
          <w:spacing w:val="6"/>
          <w:sz w:val="30"/>
          <w:szCs w:val="30"/>
        </w:rPr>
      </w:pP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单位名称（盖章）：</w:t>
      </w: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日  期：</w:t>
      </w:r>
    </w:p>
    <w:p>
      <w:pPr>
        <w:widowControl/>
        <w:spacing w:line="360" w:lineRule="auto"/>
        <w:jc w:val="left"/>
        <w:rPr>
          <w:rFonts w:ascii="宋体" w:hAnsi="宋体"/>
          <w:bCs/>
          <w:color w:val="000000"/>
          <w:sz w:val="32"/>
          <w:szCs w:val="32"/>
        </w:rPr>
      </w:pPr>
      <w:r>
        <w:rPr>
          <w:rFonts w:ascii="宋体" w:hAnsi="宋体"/>
          <w:bCs/>
          <w:color w:val="000000"/>
          <w:sz w:val="32"/>
          <w:szCs w:val="32"/>
        </w:rPr>
        <w:br w:type="page"/>
      </w:r>
    </w:p>
    <w:p>
      <w:pPr>
        <w:spacing w:line="360" w:lineRule="auto"/>
        <w:rPr>
          <w:sz w:val="24"/>
        </w:rPr>
      </w:pPr>
      <w:r>
        <w:rPr>
          <w:rFonts w:hint="eastAsia"/>
          <w:sz w:val="24"/>
        </w:rPr>
        <w:t>附件1</w:t>
      </w:r>
      <w:r>
        <w:rPr>
          <w:rFonts w:hint="eastAsia"/>
          <w:sz w:val="24"/>
          <w:lang w:val="en-US" w:eastAsia="zh-CN"/>
        </w:rPr>
        <w:t>3</w:t>
      </w:r>
      <w:r>
        <w:rPr>
          <w:rFonts w:hint="eastAsia"/>
          <w:sz w:val="24"/>
        </w:rPr>
        <w:t>-3</w:t>
      </w:r>
    </w:p>
    <w:p>
      <w:pPr>
        <w:spacing w:line="360" w:lineRule="auto"/>
        <w:rPr>
          <w:sz w:val="24"/>
        </w:rPr>
      </w:pPr>
    </w:p>
    <w:p>
      <w:pPr>
        <w:tabs>
          <w:tab w:val="left" w:pos="7665"/>
        </w:tabs>
        <w:spacing w:line="360" w:lineRule="auto"/>
        <w:jc w:val="center"/>
        <w:outlineLvl w:val="1"/>
        <w:rPr>
          <w:rFonts w:ascii="宋体" w:hAnsi="宋体"/>
          <w:bCs/>
          <w:color w:val="000000"/>
          <w:sz w:val="32"/>
          <w:szCs w:val="32"/>
        </w:rPr>
      </w:pPr>
      <w:r>
        <w:rPr>
          <w:rFonts w:hint="eastAsia" w:ascii="宋体" w:hAnsi="宋体"/>
          <w:bCs/>
          <w:color w:val="000000"/>
          <w:sz w:val="32"/>
          <w:szCs w:val="32"/>
        </w:rPr>
        <w:t>省级以上监狱管理局、戒毒管理局（含新疆生产建设兵团）出具的属于监狱企业的证明文件</w:t>
      </w:r>
      <w:r>
        <w:rPr>
          <w:rFonts w:hint="eastAsia" w:ascii="宋体" w:hAnsi="宋体"/>
          <w:bCs/>
          <w:color w:val="000000"/>
          <w:sz w:val="32"/>
          <w:szCs w:val="32"/>
        </w:rPr>
        <w:br w:type="textWrapping"/>
      </w:r>
      <w:r>
        <w:rPr>
          <w:rFonts w:ascii="宋体" w:hAnsi="宋体"/>
          <w:bCs/>
          <w:color w:val="000000"/>
          <w:sz w:val="32"/>
          <w:szCs w:val="32"/>
        </w:rPr>
        <w:br w:type="textWrapping"/>
      </w:r>
    </w:p>
    <w:p>
      <w:pPr>
        <w:widowControl/>
        <w:spacing w:line="360" w:lineRule="auto"/>
        <w:jc w:val="left"/>
        <w:rPr>
          <w:rFonts w:ascii="宋体" w:hAnsi="宋体"/>
          <w:bCs/>
          <w:color w:val="000000"/>
          <w:sz w:val="32"/>
          <w:szCs w:val="32"/>
        </w:rPr>
      </w:pPr>
      <w:r>
        <w:rPr>
          <w:rFonts w:ascii="宋体" w:hAnsi="宋体"/>
          <w:bCs/>
          <w:color w:val="000000"/>
          <w:sz w:val="32"/>
          <w:szCs w:val="32"/>
        </w:rPr>
        <w:br w:type="page"/>
      </w:r>
    </w:p>
    <w:p>
      <w:pPr>
        <w:tabs>
          <w:tab w:val="left" w:pos="7665"/>
        </w:tabs>
        <w:spacing w:line="360" w:lineRule="auto"/>
        <w:jc w:val="center"/>
        <w:outlineLvl w:val="1"/>
        <w:rPr>
          <w:color w:val="000000" w:themeColor="text1"/>
        </w:rPr>
      </w:pPr>
      <w:r>
        <w:rPr>
          <w:rFonts w:ascii="宋体" w:hAnsi="宋体"/>
          <w:bCs/>
          <w:color w:val="000000"/>
          <w:sz w:val="32"/>
          <w:szCs w:val="32"/>
        </w:rPr>
        <w:t>其他</w:t>
      </w:r>
      <w:r>
        <w:rPr>
          <w:rFonts w:hint="eastAsia" w:ascii="宋体" w:hAnsi="宋体"/>
          <w:bCs/>
          <w:color w:val="000000"/>
          <w:sz w:val="32"/>
          <w:szCs w:val="32"/>
        </w:rPr>
        <w:t>资格证明文件及</w:t>
      </w:r>
      <w:r>
        <w:rPr>
          <w:rFonts w:ascii="宋体" w:hAnsi="宋体"/>
          <w:bCs/>
          <w:color w:val="000000"/>
          <w:sz w:val="32"/>
          <w:szCs w:val="32"/>
        </w:rPr>
        <w:t>资料</w:t>
      </w:r>
    </w:p>
    <w:p>
      <w:pPr>
        <w:spacing w:line="360" w:lineRule="auto"/>
        <w:rPr>
          <w:rFonts w:asciiTheme="majorEastAsia" w:hAnsiTheme="majorEastAsia" w:eastAsiaTheme="majorEastAsia"/>
          <w:sz w:val="24"/>
        </w:rPr>
      </w:pPr>
    </w:p>
    <w:p>
      <w:pPr>
        <w:widowControl/>
        <w:spacing w:line="360" w:lineRule="auto"/>
        <w:jc w:val="left"/>
        <w:rPr>
          <w:rFonts w:ascii="Times New Roman" w:hAnsi="Times New Roman" w:cs="Times New Roman"/>
          <w:bCs/>
          <w:color w:val="000000"/>
          <w:sz w:val="24"/>
        </w:rPr>
      </w:pPr>
    </w:p>
    <w:p>
      <w:pPr>
        <w:widowControl/>
        <w:jc w:val="left"/>
        <w:rPr>
          <w:rFonts w:ascii="Times New Roman" w:hAnsi="Times New Roman" w:cs="Times New Roman"/>
          <w:bCs/>
          <w:color w:val="000000"/>
          <w:sz w:val="24"/>
        </w:rPr>
      </w:pPr>
    </w:p>
    <w:sectPr>
      <w:footerReference r:id="rId10" w:type="default"/>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auto"/>
    <w:pitch w:val="default"/>
    <w:sig w:usb0="00000000" w:usb1="00000000" w:usb2="00000010" w:usb3="00000000" w:csb0="00040000" w:csb1="00000000"/>
  </w:font>
  <w:font w:name="Helvetica">
    <w:panose1 w:val="00000000000000000000"/>
    <w:charset w:val="00"/>
    <w:family w:val="auto"/>
    <w:pitch w:val="default"/>
    <w:sig w:usb0="E00002FF" w:usb1="5000785B" w:usb2="00000000" w:usb3="00000000" w:csb0="2000019F" w:csb1="4F010000"/>
  </w:font>
  <w:font w:name="仿宋">
    <w:altName w:val="方正仿宋_GBK"/>
    <w:panose1 w:val="02010609060101010101"/>
    <w:charset w:val="86"/>
    <w:family w:val="auto"/>
    <w:pitch w:val="default"/>
    <w:sig w:usb0="00000000" w:usb1="00000000" w:usb2="00000016" w:usb3="00000000" w:csb0="00040001" w:csb1="00000000"/>
  </w:font>
  <w:font w:name="新宋体">
    <w:altName w:val="方正书宋_GBK"/>
    <w:panose1 w:val="02010609030101010101"/>
    <w:charset w:val="86"/>
    <w:family w:val="auto"/>
    <w:pitch w:val="default"/>
    <w:sig w:usb0="00000000" w:usb1="00000000" w:usb2="00000006" w:usb3="00000000" w:csb0="00040001" w:csb1="00000000"/>
  </w:font>
  <w:font w:name="方正姚体">
    <w:altName w:val="宋体-简"/>
    <w:panose1 w:val="02010601030101010101"/>
    <w:charset w:val="86"/>
    <w:family w:val="auto"/>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t>2</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jc w:val="right"/>
      <w:rPr>
        <w:sz w:val="24"/>
      </w:rPr>
    </w:pPr>
    <w:r>
      <w:rPr>
        <w:sz w:val="24"/>
      </w:rP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v:imagedata o:title=""/>
          <o:lock v:ext="edit" aspectratio="f"/>
          <v:textbox inset="0mm,0mm,0mm,0mm" style="mso-fit-shape-to-text:t;">
            <w:txbxContent>
              <w:sdt>
                <w:sdtPr>
                  <w:id w:val="1980028021"/>
                </w:sdtPr>
                <w:sdtContent>
                  <w:p>
                    <w:pPr>
                      <w:pStyle w:val="8"/>
                      <w:jc w:val="center"/>
                    </w:pPr>
                    <w:r>
                      <w:fldChar w:fldCharType="begin"/>
                    </w:r>
                    <w:r>
                      <w:instrText xml:space="preserve">PAGE   \* MERGEFORMAT</w:instrText>
                    </w:r>
                    <w:r>
                      <w:fldChar w:fldCharType="separate"/>
                    </w:r>
                    <w:r>
                      <w:rPr>
                        <w:lang w:val="zh-CN"/>
                      </w:rPr>
                      <w:t>17</w:t>
                    </w:r>
                    <w:r>
                      <w:rPr>
                        <w:lang w:val="zh-CN"/>
                      </w:rPr>
                      <w:fldChar w:fldCharType="end"/>
                    </w:r>
                  </w:p>
                </w:sdtContent>
              </w:sdt>
              <w:p>
                <w:pPr>
                  <w:pStyle w:val="2"/>
                </w:pPr>
              </w:p>
            </w:txbxContent>
          </v:textbox>
        </v:shape>
      </w:pict>
    </w: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1.25pt"/>
          <v:imagedata o:title=""/>
          <o:lock v:ext="edit" aspectratio="f"/>
          <v:textbox inset="0mm,0mm,0mm,0mm" style="mso-fit-shape-to-text:t;">
            <w:txbxContent>
              <w:p>
                <w:pPr>
                  <w:pStyle w:val="8"/>
                  <w:jc w:val="center"/>
                </w:pPr>
                <w:r>
                  <w:fldChar w:fldCharType="begin"/>
                </w:r>
                <w:r>
                  <w:instrText xml:space="preserve">PAGE   \* MERGEFORMAT</w:instrText>
                </w:r>
                <w:r>
                  <w:fldChar w:fldCharType="separate"/>
                </w:r>
                <w:r>
                  <w:t>26</w:t>
                </w:r>
                <w:r>
                  <w:rPr>
                    <w:lang w:val="zh-CN"/>
                  </w:rPr>
                  <w:fldChar w:fldCharType="end"/>
                </w:r>
              </w:p>
            </w:txbxContent>
          </v:textbox>
        </v:shape>
      </w:pic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FF48"/>
    <w:multiLevelType w:val="singleLevel"/>
    <w:tmpl w:val="B12CFF48"/>
    <w:lvl w:ilvl="0" w:tentative="0">
      <w:start w:val="3"/>
      <w:numFmt w:val="chineseCounting"/>
      <w:suff w:val="space"/>
      <w:lvlText w:val="第%1章"/>
      <w:lvlJc w:val="left"/>
      <w:rPr>
        <w:rFonts w:hint="eastAsia"/>
      </w:rPr>
    </w:lvl>
  </w:abstractNum>
  <w:abstractNum w:abstractNumId="1">
    <w:nsid w:val="B5E306ED"/>
    <w:multiLevelType w:val="singleLevel"/>
    <w:tmpl w:val="B5E306ED"/>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8"/>
        <w:szCs w:val="28"/>
        <w:u w:val="none"/>
        <w:shd w:val="clear" w:color="auto" w:fill="auto"/>
        <w:lang w:val="en-US" w:eastAsia="en-US" w:bidi="en-US"/>
      </w:rPr>
    </w:lvl>
  </w:abstractNum>
  <w:abstractNum w:abstractNumId="2">
    <w:nsid w:val="BF205925"/>
    <w:multiLevelType w:val="singleLevel"/>
    <w:tmpl w:val="BF20592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8"/>
        <w:szCs w:val="28"/>
        <w:u w:val="none"/>
        <w:shd w:val="clear" w:color="auto" w:fill="auto"/>
        <w:lang w:val="en-US" w:eastAsia="en-US" w:bidi="en-US"/>
      </w:rPr>
    </w:lvl>
  </w:abstractNum>
  <w:abstractNum w:abstractNumId="3">
    <w:nsid w:val="D511FC4D"/>
    <w:multiLevelType w:val="singleLevel"/>
    <w:tmpl w:val="D511FC4D"/>
    <w:lvl w:ilvl="0" w:tentative="0">
      <w:start w:val="1"/>
      <w:numFmt w:val="chineseCounting"/>
      <w:suff w:val="nothing"/>
      <w:lvlText w:val="%1、"/>
      <w:lvlJc w:val="left"/>
      <w:rPr>
        <w:rFonts w:hint="eastAsia"/>
      </w:rPr>
    </w:lvl>
  </w:abstractNum>
  <w:abstractNum w:abstractNumId="4">
    <w:nsid w:val="F673431F"/>
    <w:multiLevelType w:val="singleLevel"/>
    <w:tmpl w:val="F673431F"/>
    <w:lvl w:ilvl="0" w:tentative="0">
      <w:start w:val="4"/>
      <w:numFmt w:val="chineseCounting"/>
      <w:suff w:val="nothing"/>
      <w:lvlText w:val="%1、"/>
      <w:lvlJc w:val="left"/>
      <w:rPr>
        <w:rFonts w:hint="eastAsia"/>
      </w:rPr>
    </w:lvl>
  </w:abstractNum>
  <w:abstractNum w:abstractNumId="5">
    <w:nsid w:val="0053208E"/>
    <w:multiLevelType w:val="singleLevel"/>
    <w:tmpl w:val="0053208E"/>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8"/>
        <w:szCs w:val="28"/>
        <w:u w:val="none"/>
        <w:shd w:val="clear" w:color="auto" w:fill="FFFFFF"/>
        <w:lang w:val="en-US" w:eastAsia="en-US" w:bidi="en-US"/>
      </w:rPr>
    </w:lvl>
  </w:abstractNum>
  <w:abstractNum w:abstractNumId="6">
    <w:nsid w:val="56A07FAE"/>
    <w:multiLevelType w:val="singleLevel"/>
    <w:tmpl w:val="56A07FAE"/>
    <w:lvl w:ilvl="0" w:tentative="0">
      <w:start w:val="1"/>
      <w:numFmt w:val="decimalEnclosedCircleChinese"/>
      <w:suff w:val="nothing"/>
      <w:lvlText w:val="%1　"/>
      <w:lvlJc w:val="left"/>
      <w:pPr>
        <w:ind w:left="0" w:firstLine="400"/>
      </w:pPr>
      <w:rPr>
        <w:rFonts w:hint="eastAsia"/>
      </w:rPr>
    </w:lvl>
  </w:abstractNum>
  <w:abstractNum w:abstractNumId="7">
    <w:nsid w:val="56A09778"/>
    <w:multiLevelType w:val="singleLevel"/>
    <w:tmpl w:val="56A09778"/>
    <w:lvl w:ilvl="0" w:tentative="0">
      <w:start w:val="1"/>
      <w:numFmt w:val="decimal"/>
      <w:suff w:val="nothing"/>
      <w:lvlText w:val="%1）"/>
      <w:lvlJc w:val="left"/>
    </w:lvl>
  </w:abstractNum>
  <w:abstractNum w:abstractNumId="8">
    <w:nsid w:val="59ADCABA"/>
    <w:multiLevelType w:val="singleLevel"/>
    <w:tmpl w:val="59ADCABA"/>
    <w:lvl w:ilvl="0" w:tentative="0">
      <w:start w:val="3"/>
      <w:numFmt w:val="decimal"/>
      <w:lvlText w:val="%1."/>
      <w:lvlJc w:val="left"/>
      <w:rPr>
        <w:rFonts w:ascii="宋体" w:hAnsi="宋体" w:eastAsia="宋体" w:cs="宋体"/>
        <w:b w:val="0"/>
        <w:bCs w:val="0"/>
        <w:i w:val="0"/>
        <w:iCs w:val="0"/>
        <w:smallCaps w:val="0"/>
        <w:strike w:val="0"/>
        <w:color w:val="000000"/>
        <w:spacing w:val="0"/>
        <w:w w:val="100"/>
        <w:position w:val="0"/>
        <w:sz w:val="28"/>
        <w:szCs w:val="28"/>
        <w:u w:val="none"/>
        <w:shd w:val="clear" w:color="auto" w:fill="FFFFFF"/>
        <w:lang w:val="en-US" w:eastAsia="en-US" w:bidi="en-US"/>
      </w:rPr>
    </w:lvl>
  </w:abstractNum>
  <w:abstractNum w:abstractNumId="9">
    <w:nsid w:val="5C573ECB"/>
    <w:multiLevelType w:val="multilevel"/>
    <w:tmpl w:val="5C573ECB"/>
    <w:lvl w:ilvl="0" w:tentative="0">
      <w:start w:val="2"/>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65F11C9D"/>
    <w:multiLevelType w:val="multilevel"/>
    <w:tmpl w:val="65F11C9D"/>
    <w:lvl w:ilvl="0" w:tentative="0">
      <w:start w:val="7"/>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5E36511"/>
    <w:multiLevelType w:val="multilevel"/>
    <w:tmpl w:val="75E36511"/>
    <w:lvl w:ilvl="0" w:tentative="0">
      <w:start w:val="1"/>
      <w:numFmt w:val="decimal"/>
      <w:lvlText w:val="%1、"/>
      <w:lvlJc w:val="left"/>
      <w:pPr>
        <w:ind w:left="420" w:hanging="420"/>
      </w:pPr>
      <w:rPr>
        <w:rFonts w:hint="eastAsia" w:asciiTheme="minorEastAsia" w:hAnsiTheme="minorEastAsia" w:eastAsiaTheme="minorEastAsia"/>
        <w:spacing w:val="0"/>
        <w:w w:val="100"/>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8"/>
  </w:num>
  <w:num w:numId="6">
    <w:abstractNumId w:val="2"/>
  </w:num>
  <w:num w:numId="7">
    <w:abstractNumId w:val="1"/>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C914AB"/>
    <w:rsid w:val="00000FBD"/>
    <w:rsid w:val="00003D5F"/>
    <w:rsid w:val="00004E16"/>
    <w:rsid w:val="00006AB3"/>
    <w:rsid w:val="000200C7"/>
    <w:rsid w:val="00020A54"/>
    <w:rsid w:val="00025685"/>
    <w:rsid w:val="00025EE6"/>
    <w:rsid w:val="00030E97"/>
    <w:rsid w:val="00032974"/>
    <w:rsid w:val="00035860"/>
    <w:rsid w:val="00035EC7"/>
    <w:rsid w:val="00040017"/>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83261"/>
    <w:rsid w:val="00192EAC"/>
    <w:rsid w:val="001A6184"/>
    <w:rsid w:val="001B6EA3"/>
    <w:rsid w:val="001C03B0"/>
    <w:rsid w:val="001C78C9"/>
    <w:rsid w:val="001D18D5"/>
    <w:rsid w:val="001D1983"/>
    <w:rsid w:val="001E1558"/>
    <w:rsid w:val="001E530C"/>
    <w:rsid w:val="001F3B6E"/>
    <w:rsid w:val="001F42EE"/>
    <w:rsid w:val="00202F63"/>
    <w:rsid w:val="0021394C"/>
    <w:rsid w:val="002228A8"/>
    <w:rsid w:val="0022499F"/>
    <w:rsid w:val="00231898"/>
    <w:rsid w:val="00247DAB"/>
    <w:rsid w:val="00254D6A"/>
    <w:rsid w:val="002563E6"/>
    <w:rsid w:val="0025720C"/>
    <w:rsid w:val="00273E5A"/>
    <w:rsid w:val="00274B51"/>
    <w:rsid w:val="00283219"/>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7368B"/>
    <w:rsid w:val="00375118"/>
    <w:rsid w:val="0037753D"/>
    <w:rsid w:val="003800B9"/>
    <w:rsid w:val="003874D4"/>
    <w:rsid w:val="003A5280"/>
    <w:rsid w:val="003B221E"/>
    <w:rsid w:val="003B2797"/>
    <w:rsid w:val="003C754C"/>
    <w:rsid w:val="003D1BFB"/>
    <w:rsid w:val="003E4AF6"/>
    <w:rsid w:val="003E4F78"/>
    <w:rsid w:val="003F14C4"/>
    <w:rsid w:val="003F1CA4"/>
    <w:rsid w:val="003F3C98"/>
    <w:rsid w:val="00407B3A"/>
    <w:rsid w:val="00414509"/>
    <w:rsid w:val="00416B19"/>
    <w:rsid w:val="00423555"/>
    <w:rsid w:val="00423B1D"/>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75F3"/>
    <w:rsid w:val="006100DE"/>
    <w:rsid w:val="006108C4"/>
    <w:rsid w:val="00612616"/>
    <w:rsid w:val="00616FCF"/>
    <w:rsid w:val="00622D73"/>
    <w:rsid w:val="00632920"/>
    <w:rsid w:val="00634543"/>
    <w:rsid w:val="00637129"/>
    <w:rsid w:val="00642FD5"/>
    <w:rsid w:val="00646607"/>
    <w:rsid w:val="00647336"/>
    <w:rsid w:val="006608EB"/>
    <w:rsid w:val="00666CB0"/>
    <w:rsid w:val="0067461F"/>
    <w:rsid w:val="00677F08"/>
    <w:rsid w:val="006B4913"/>
    <w:rsid w:val="006C18C8"/>
    <w:rsid w:val="006D18B2"/>
    <w:rsid w:val="006D40A6"/>
    <w:rsid w:val="006E1A25"/>
    <w:rsid w:val="006E30B2"/>
    <w:rsid w:val="006F0658"/>
    <w:rsid w:val="006F16B4"/>
    <w:rsid w:val="006F6EA1"/>
    <w:rsid w:val="00701B57"/>
    <w:rsid w:val="00705D12"/>
    <w:rsid w:val="0070731E"/>
    <w:rsid w:val="00712E7D"/>
    <w:rsid w:val="00725053"/>
    <w:rsid w:val="00726173"/>
    <w:rsid w:val="00731C0F"/>
    <w:rsid w:val="00733A4E"/>
    <w:rsid w:val="0073728E"/>
    <w:rsid w:val="00745BEC"/>
    <w:rsid w:val="00745FCF"/>
    <w:rsid w:val="00747FF3"/>
    <w:rsid w:val="007507EE"/>
    <w:rsid w:val="00763910"/>
    <w:rsid w:val="00763CC9"/>
    <w:rsid w:val="0076544A"/>
    <w:rsid w:val="00766354"/>
    <w:rsid w:val="00767D2B"/>
    <w:rsid w:val="00767F5C"/>
    <w:rsid w:val="00772D83"/>
    <w:rsid w:val="00790CE5"/>
    <w:rsid w:val="00791121"/>
    <w:rsid w:val="0079136D"/>
    <w:rsid w:val="007929B6"/>
    <w:rsid w:val="007971C9"/>
    <w:rsid w:val="00797D03"/>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862"/>
    <w:rsid w:val="008A25D2"/>
    <w:rsid w:val="008A2612"/>
    <w:rsid w:val="008A47D4"/>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46AD"/>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6CA3"/>
    <w:rsid w:val="00B1794F"/>
    <w:rsid w:val="00B314B3"/>
    <w:rsid w:val="00B31C93"/>
    <w:rsid w:val="00B32063"/>
    <w:rsid w:val="00B615A0"/>
    <w:rsid w:val="00B61792"/>
    <w:rsid w:val="00B6747D"/>
    <w:rsid w:val="00B71ED9"/>
    <w:rsid w:val="00B8498C"/>
    <w:rsid w:val="00B91D14"/>
    <w:rsid w:val="00B939CB"/>
    <w:rsid w:val="00B94C24"/>
    <w:rsid w:val="00B95809"/>
    <w:rsid w:val="00B95945"/>
    <w:rsid w:val="00BA248B"/>
    <w:rsid w:val="00BA2681"/>
    <w:rsid w:val="00BA2938"/>
    <w:rsid w:val="00BB68D2"/>
    <w:rsid w:val="00BB7B05"/>
    <w:rsid w:val="00BC245F"/>
    <w:rsid w:val="00BD249D"/>
    <w:rsid w:val="00BD39D8"/>
    <w:rsid w:val="00BD6B25"/>
    <w:rsid w:val="00BD735B"/>
    <w:rsid w:val="00BE25AE"/>
    <w:rsid w:val="00C020AB"/>
    <w:rsid w:val="00C04E2F"/>
    <w:rsid w:val="00C167DC"/>
    <w:rsid w:val="00C25808"/>
    <w:rsid w:val="00C466D8"/>
    <w:rsid w:val="00C55D11"/>
    <w:rsid w:val="00C63C0B"/>
    <w:rsid w:val="00C65DE8"/>
    <w:rsid w:val="00C72223"/>
    <w:rsid w:val="00C77309"/>
    <w:rsid w:val="00C90535"/>
    <w:rsid w:val="00C914AB"/>
    <w:rsid w:val="00C938EA"/>
    <w:rsid w:val="00CA5B6E"/>
    <w:rsid w:val="00CB0AED"/>
    <w:rsid w:val="00CC037C"/>
    <w:rsid w:val="00CC1812"/>
    <w:rsid w:val="00CC38AE"/>
    <w:rsid w:val="00CC5B4E"/>
    <w:rsid w:val="00CD1DD5"/>
    <w:rsid w:val="00CD3D99"/>
    <w:rsid w:val="00CE42C6"/>
    <w:rsid w:val="00CE6772"/>
    <w:rsid w:val="00CE74B1"/>
    <w:rsid w:val="00CE7CE2"/>
    <w:rsid w:val="00CF4E82"/>
    <w:rsid w:val="00D03497"/>
    <w:rsid w:val="00D05443"/>
    <w:rsid w:val="00D066AF"/>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351F"/>
    <w:rsid w:val="00E97962"/>
    <w:rsid w:val="00EA0B5A"/>
    <w:rsid w:val="00EA30DF"/>
    <w:rsid w:val="00ED689F"/>
    <w:rsid w:val="00EF5B76"/>
    <w:rsid w:val="00F07814"/>
    <w:rsid w:val="00F1043B"/>
    <w:rsid w:val="00F11F71"/>
    <w:rsid w:val="00F1495F"/>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6460FD"/>
    <w:rsid w:val="01D860CF"/>
    <w:rsid w:val="02463DB4"/>
    <w:rsid w:val="026C7337"/>
    <w:rsid w:val="029E1B02"/>
    <w:rsid w:val="02C15A0B"/>
    <w:rsid w:val="04100178"/>
    <w:rsid w:val="047D30CB"/>
    <w:rsid w:val="065404EC"/>
    <w:rsid w:val="065B1760"/>
    <w:rsid w:val="0662749B"/>
    <w:rsid w:val="08146B78"/>
    <w:rsid w:val="081943C7"/>
    <w:rsid w:val="083267A3"/>
    <w:rsid w:val="086B1796"/>
    <w:rsid w:val="098C2E4D"/>
    <w:rsid w:val="09DE41DA"/>
    <w:rsid w:val="0A136CF8"/>
    <w:rsid w:val="0A1F5575"/>
    <w:rsid w:val="0A21680E"/>
    <w:rsid w:val="0A4F1E2F"/>
    <w:rsid w:val="0AC431A9"/>
    <w:rsid w:val="0C15377F"/>
    <w:rsid w:val="0CA45F00"/>
    <w:rsid w:val="0CD47820"/>
    <w:rsid w:val="0E480D92"/>
    <w:rsid w:val="0E6468B8"/>
    <w:rsid w:val="101A23EB"/>
    <w:rsid w:val="10DD46B8"/>
    <w:rsid w:val="110751F7"/>
    <w:rsid w:val="11616119"/>
    <w:rsid w:val="117803E3"/>
    <w:rsid w:val="11A93BE2"/>
    <w:rsid w:val="121E2588"/>
    <w:rsid w:val="1279795D"/>
    <w:rsid w:val="129A747E"/>
    <w:rsid w:val="12CF4CAA"/>
    <w:rsid w:val="13DE0814"/>
    <w:rsid w:val="14122C5D"/>
    <w:rsid w:val="14D26981"/>
    <w:rsid w:val="15696E17"/>
    <w:rsid w:val="15981831"/>
    <w:rsid w:val="168D0FD8"/>
    <w:rsid w:val="16C27342"/>
    <w:rsid w:val="16C849EF"/>
    <w:rsid w:val="16DC54B3"/>
    <w:rsid w:val="176C60F7"/>
    <w:rsid w:val="17917018"/>
    <w:rsid w:val="17AD397B"/>
    <w:rsid w:val="187640D4"/>
    <w:rsid w:val="18971201"/>
    <w:rsid w:val="18A707BD"/>
    <w:rsid w:val="18A866EA"/>
    <w:rsid w:val="18DB27F2"/>
    <w:rsid w:val="1A7347D5"/>
    <w:rsid w:val="1A7A2EE9"/>
    <w:rsid w:val="1ADB79C7"/>
    <w:rsid w:val="1B4D70AB"/>
    <w:rsid w:val="1B644CC5"/>
    <w:rsid w:val="1C021544"/>
    <w:rsid w:val="1C6D3F93"/>
    <w:rsid w:val="1CA460E1"/>
    <w:rsid w:val="1F673757"/>
    <w:rsid w:val="1FA53C11"/>
    <w:rsid w:val="20F44289"/>
    <w:rsid w:val="2181389B"/>
    <w:rsid w:val="21E73A51"/>
    <w:rsid w:val="22574032"/>
    <w:rsid w:val="22801BE7"/>
    <w:rsid w:val="23E63666"/>
    <w:rsid w:val="24282086"/>
    <w:rsid w:val="24440611"/>
    <w:rsid w:val="246E1DA9"/>
    <w:rsid w:val="24B2110B"/>
    <w:rsid w:val="24E70801"/>
    <w:rsid w:val="25BB2704"/>
    <w:rsid w:val="265F40BE"/>
    <w:rsid w:val="26832D08"/>
    <w:rsid w:val="27541198"/>
    <w:rsid w:val="27DA45A2"/>
    <w:rsid w:val="284B7C78"/>
    <w:rsid w:val="28CB3D05"/>
    <w:rsid w:val="29896F04"/>
    <w:rsid w:val="29CB6C21"/>
    <w:rsid w:val="2B870FC9"/>
    <w:rsid w:val="2C951613"/>
    <w:rsid w:val="2CC04292"/>
    <w:rsid w:val="2D15146A"/>
    <w:rsid w:val="2E0E6C2E"/>
    <w:rsid w:val="2E770135"/>
    <w:rsid w:val="2F0C444A"/>
    <w:rsid w:val="2F1803D1"/>
    <w:rsid w:val="300A351D"/>
    <w:rsid w:val="30474C3C"/>
    <w:rsid w:val="315577F7"/>
    <w:rsid w:val="31A20710"/>
    <w:rsid w:val="3237499E"/>
    <w:rsid w:val="32973E03"/>
    <w:rsid w:val="32C20DF8"/>
    <w:rsid w:val="335602C3"/>
    <w:rsid w:val="33595D66"/>
    <w:rsid w:val="33E5735E"/>
    <w:rsid w:val="3437464D"/>
    <w:rsid w:val="348F333A"/>
    <w:rsid w:val="34E35488"/>
    <w:rsid w:val="35222285"/>
    <w:rsid w:val="36177F1D"/>
    <w:rsid w:val="36A16E72"/>
    <w:rsid w:val="373C7A4F"/>
    <w:rsid w:val="37407354"/>
    <w:rsid w:val="38AC56FE"/>
    <w:rsid w:val="3ADA546B"/>
    <w:rsid w:val="3BFB73DA"/>
    <w:rsid w:val="3C812218"/>
    <w:rsid w:val="3CCD5CB8"/>
    <w:rsid w:val="3CFE217A"/>
    <w:rsid w:val="3D205459"/>
    <w:rsid w:val="3D41222D"/>
    <w:rsid w:val="3D84662A"/>
    <w:rsid w:val="3DF47F14"/>
    <w:rsid w:val="3E0F72E7"/>
    <w:rsid w:val="3EAA38B0"/>
    <w:rsid w:val="3F3B4525"/>
    <w:rsid w:val="3F67232C"/>
    <w:rsid w:val="3F801926"/>
    <w:rsid w:val="402727F9"/>
    <w:rsid w:val="405F786F"/>
    <w:rsid w:val="4062290B"/>
    <w:rsid w:val="410C571B"/>
    <w:rsid w:val="43181AC4"/>
    <w:rsid w:val="431D2711"/>
    <w:rsid w:val="433E401D"/>
    <w:rsid w:val="43E10E72"/>
    <w:rsid w:val="44DE53E6"/>
    <w:rsid w:val="452500D9"/>
    <w:rsid w:val="459E1A5C"/>
    <w:rsid w:val="46471F97"/>
    <w:rsid w:val="46786512"/>
    <w:rsid w:val="47E1347D"/>
    <w:rsid w:val="48336552"/>
    <w:rsid w:val="484D617B"/>
    <w:rsid w:val="48D9671A"/>
    <w:rsid w:val="49B87952"/>
    <w:rsid w:val="4A7B42DD"/>
    <w:rsid w:val="4A8A220F"/>
    <w:rsid w:val="4B0805DB"/>
    <w:rsid w:val="4B22678E"/>
    <w:rsid w:val="4B2B2B2B"/>
    <w:rsid w:val="4B44694C"/>
    <w:rsid w:val="4BAC0DC1"/>
    <w:rsid w:val="4BC15AA5"/>
    <w:rsid w:val="4BE2478D"/>
    <w:rsid w:val="4C0D2254"/>
    <w:rsid w:val="4C156F6E"/>
    <w:rsid w:val="4C975461"/>
    <w:rsid w:val="4D1661BB"/>
    <w:rsid w:val="4E191B97"/>
    <w:rsid w:val="4E1A424B"/>
    <w:rsid w:val="4E286B25"/>
    <w:rsid w:val="4EA41ECD"/>
    <w:rsid w:val="4F2F7295"/>
    <w:rsid w:val="4F777556"/>
    <w:rsid w:val="50105E33"/>
    <w:rsid w:val="50617644"/>
    <w:rsid w:val="516D3763"/>
    <w:rsid w:val="51A01356"/>
    <w:rsid w:val="52042A8A"/>
    <w:rsid w:val="52325B41"/>
    <w:rsid w:val="523B73B6"/>
    <w:rsid w:val="527106CB"/>
    <w:rsid w:val="530017A7"/>
    <w:rsid w:val="530A50A3"/>
    <w:rsid w:val="54777261"/>
    <w:rsid w:val="54DD11CB"/>
    <w:rsid w:val="55262911"/>
    <w:rsid w:val="559B6B22"/>
    <w:rsid w:val="55A87004"/>
    <w:rsid w:val="55E47727"/>
    <w:rsid w:val="55F369F5"/>
    <w:rsid w:val="56067C8E"/>
    <w:rsid w:val="564748A2"/>
    <w:rsid w:val="57521016"/>
    <w:rsid w:val="576E6625"/>
    <w:rsid w:val="5A53700B"/>
    <w:rsid w:val="5A8E197F"/>
    <w:rsid w:val="5B5824DD"/>
    <w:rsid w:val="5BC85DD5"/>
    <w:rsid w:val="5C2305B4"/>
    <w:rsid w:val="5CF460FA"/>
    <w:rsid w:val="5D6606BE"/>
    <w:rsid w:val="5D6B3E61"/>
    <w:rsid w:val="5FC4211C"/>
    <w:rsid w:val="636A648C"/>
    <w:rsid w:val="63F941F5"/>
    <w:rsid w:val="640D7504"/>
    <w:rsid w:val="65225A03"/>
    <w:rsid w:val="653E3A27"/>
    <w:rsid w:val="65FC053D"/>
    <w:rsid w:val="667E025A"/>
    <w:rsid w:val="67525724"/>
    <w:rsid w:val="68344B76"/>
    <w:rsid w:val="68A74247"/>
    <w:rsid w:val="68B83EDD"/>
    <w:rsid w:val="68BC6818"/>
    <w:rsid w:val="69D8444E"/>
    <w:rsid w:val="6A475748"/>
    <w:rsid w:val="6AB27D3C"/>
    <w:rsid w:val="6AE0707B"/>
    <w:rsid w:val="6CA227F5"/>
    <w:rsid w:val="6CBA6B4B"/>
    <w:rsid w:val="6D777178"/>
    <w:rsid w:val="6DB10900"/>
    <w:rsid w:val="6DCA710D"/>
    <w:rsid w:val="6F20647E"/>
    <w:rsid w:val="6FDD2A04"/>
    <w:rsid w:val="70BB10FC"/>
    <w:rsid w:val="711B5D69"/>
    <w:rsid w:val="71C50140"/>
    <w:rsid w:val="72990724"/>
    <w:rsid w:val="72DB26FC"/>
    <w:rsid w:val="77615BF6"/>
    <w:rsid w:val="77AB698E"/>
    <w:rsid w:val="77AD7C0E"/>
    <w:rsid w:val="790C23E0"/>
    <w:rsid w:val="79243C90"/>
    <w:rsid w:val="799F6128"/>
    <w:rsid w:val="79AD6F25"/>
    <w:rsid w:val="79CD384C"/>
    <w:rsid w:val="7BDA46C1"/>
    <w:rsid w:val="7C7A79B2"/>
    <w:rsid w:val="7CC5739E"/>
    <w:rsid w:val="7E705854"/>
    <w:rsid w:val="7F1F3A3C"/>
    <w:rsid w:val="EEFC11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spacing w:after="100" w:line="276" w:lineRule="auto"/>
      <w:jc w:val="left"/>
    </w:pPr>
    <w:rPr>
      <w:rFonts w:ascii="Calibri" w:hAnsi="Calibri" w:eastAsia="宋体" w:cs="Times New Roman"/>
      <w:kern w:val="0"/>
      <w:sz w:val="22"/>
    </w:rPr>
  </w:style>
  <w:style w:type="paragraph" w:styleId="5">
    <w:name w:val="Body Text Indent"/>
    <w:basedOn w:val="1"/>
    <w:qFormat/>
    <w:uiPriority w:val="0"/>
    <w:pPr>
      <w:ind w:firstLine="830" w:firstLineChars="352"/>
    </w:pPr>
    <w:rPr>
      <w:rFonts w:ascii="仿宋_GB2312" w:eastAsia="仿宋_GB2312"/>
      <w:sz w:val="32"/>
      <w:szCs w:val="20"/>
    </w:rPr>
  </w:style>
  <w:style w:type="paragraph" w:styleId="6">
    <w:name w:val="Plain Text"/>
    <w:basedOn w:val="1"/>
    <w:link w:val="35"/>
    <w:qFormat/>
    <w:uiPriority w:val="0"/>
    <w:rPr>
      <w:rFonts w:ascii="宋体" w:hAnsi="Courier New" w:eastAsia="宋体" w:cs="Courier New"/>
      <w:szCs w:val="21"/>
    </w:rPr>
  </w:style>
  <w:style w:type="paragraph" w:styleId="7">
    <w:name w:val="Balloon Text"/>
    <w:basedOn w:val="1"/>
    <w:link w:val="23"/>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jc w:val="left"/>
    </w:pPr>
    <w:rPr>
      <w:rFonts w:ascii="宋体" w:hAnsi="宋体" w:cs="宋体"/>
      <w:kern w:val="0"/>
      <w:sz w:val="18"/>
      <w:szCs w:val="1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16">
    <w:name w:val="列出段落1"/>
    <w:basedOn w:val="1"/>
    <w:qFormat/>
    <w:uiPriority w:val="34"/>
    <w:pPr>
      <w:ind w:firstLine="420" w:firstLineChars="200"/>
    </w:pPr>
  </w:style>
  <w:style w:type="paragraph" w:customStyle="1" w:styleId="17">
    <w:name w:val="List Paragraph"/>
    <w:basedOn w:val="1"/>
    <w:qFormat/>
    <w:uiPriority w:val="99"/>
    <w:pPr>
      <w:ind w:firstLine="420" w:firstLineChars="200"/>
    </w:pPr>
    <w:rPr>
      <w:rFonts w:ascii="Calibri" w:hAnsi="Calibri" w:eastAsia="宋体" w:cs="Times New Roman"/>
      <w:szCs w:val="21"/>
    </w:rPr>
  </w:style>
  <w:style w:type="paragraph" w:customStyle="1" w:styleId="1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Table Paragraph"/>
    <w:basedOn w:val="1"/>
    <w:qFormat/>
    <w:uiPriority w:val="1"/>
    <w:rPr>
      <w:rFonts w:ascii="宋体" w:hAnsi="宋体" w:eastAsia="宋体" w:cs="宋体"/>
      <w:lang w:val="zh-CN" w:bidi="zh-CN"/>
    </w:rPr>
  </w:style>
  <w:style w:type="paragraph" w:customStyle="1" w:styleId="2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1">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character" w:customStyle="1" w:styleId="22">
    <w:name w:val="页脚 字符"/>
    <w:basedOn w:val="13"/>
    <w:link w:val="8"/>
    <w:qFormat/>
    <w:uiPriority w:val="99"/>
    <w:rPr>
      <w:sz w:val="18"/>
      <w:szCs w:val="18"/>
    </w:rPr>
  </w:style>
  <w:style w:type="character" w:customStyle="1" w:styleId="23">
    <w:name w:val="批注框文本 字符"/>
    <w:basedOn w:val="13"/>
    <w:link w:val="7"/>
    <w:semiHidden/>
    <w:qFormat/>
    <w:uiPriority w:val="99"/>
    <w:rPr>
      <w:sz w:val="18"/>
      <w:szCs w:val="18"/>
    </w:rPr>
  </w:style>
  <w:style w:type="character" w:customStyle="1" w:styleId="24">
    <w:name w:val="页眉 字符"/>
    <w:basedOn w:val="13"/>
    <w:link w:val="9"/>
    <w:qFormat/>
    <w:uiPriority w:val="99"/>
    <w:rPr>
      <w:sz w:val="18"/>
      <w:szCs w:val="18"/>
    </w:rPr>
  </w:style>
  <w:style w:type="character" w:customStyle="1" w:styleId="25">
    <w:name w:val="font01"/>
    <w:basedOn w:val="13"/>
    <w:qFormat/>
    <w:uiPriority w:val="0"/>
    <w:rPr>
      <w:rFonts w:ascii="Helvetica" w:hAnsi="Helvetica" w:eastAsia="Helvetica" w:cs="Helvetica"/>
      <w:color w:val="000000"/>
      <w:sz w:val="16"/>
      <w:szCs w:val="16"/>
      <w:u w:val="none"/>
    </w:rPr>
  </w:style>
  <w:style w:type="character" w:customStyle="1" w:styleId="26">
    <w:name w:val="font41"/>
    <w:basedOn w:val="13"/>
    <w:qFormat/>
    <w:uiPriority w:val="0"/>
    <w:rPr>
      <w:rFonts w:hint="eastAsia" w:ascii="宋体" w:hAnsi="宋体" w:eastAsia="宋体" w:cs="宋体"/>
      <w:color w:val="000000"/>
      <w:sz w:val="16"/>
      <w:szCs w:val="16"/>
      <w:u w:val="none"/>
    </w:rPr>
  </w:style>
  <w:style w:type="character" w:customStyle="1" w:styleId="27">
    <w:name w:val="font11"/>
    <w:basedOn w:val="13"/>
    <w:qFormat/>
    <w:uiPriority w:val="0"/>
    <w:rPr>
      <w:rFonts w:hint="default" w:ascii="Times New Roman" w:hAnsi="Times New Roman" w:cs="Times New Roman"/>
      <w:color w:val="000000"/>
      <w:sz w:val="16"/>
      <w:szCs w:val="16"/>
      <w:u w:val="none"/>
    </w:rPr>
  </w:style>
  <w:style w:type="character" w:customStyle="1" w:styleId="28">
    <w:name w:val="font21"/>
    <w:basedOn w:val="13"/>
    <w:qFormat/>
    <w:uiPriority w:val="0"/>
    <w:rPr>
      <w:rFonts w:ascii="Helvetica" w:hAnsi="Helvetica" w:eastAsia="Helvetica" w:cs="Helvetica"/>
      <w:color w:val="000000"/>
      <w:sz w:val="16"/>
      <w:szCs w:val="16"/>
      <w:u w:val="none"/>
    </w:rPr>
  </w:style>
  <w:style w:type="character" w:customStyle="1" w:styleId="29">
    <w:name w:val="font51"/>
    <w:basedOn w:val="13"/>
    <w:qFormat/>
    <w:uiPriority w:val="0"/>
    <w:rPr>
      <w:rFonts w:hint="eastAsia" w:ascii="宋体" w:hAnsi="宋体" w:eastAsia="宋体" w:cs="宋体"/>
      <w:color w:val="000000"/>
      <w:sz w:val="16"/>
      <w:szCs w:val="16"/>
      <w:u w:val="none"/>
    </w:rPr>
  </w:style>
  <w:style w:type="character" w:customStyle="1" w:styleId="30">
    <w:name w:val="font31"/>
    <w:basedOn w:val="13"/>
    <w:qFormat/>
    <w:uiPriority w:val="0"/>
    <w:rPr>
      <w:rFonts w:hint="eastAsia" w:ascii="宋体" w:hAnsi="宋体" w:eastAsia="宋体" w:cs="宋体"/>
      <w:color w:val="000000"/>
      <w:sz w:val="16"/>
      <w:szCs w:val="16"/>
      <w:u w:val="none"/>
    </w:rPr>
  </w:style>
  <w:style w:type="character" w:customStyle="1" w:styleId="31">
    <w:name w:val="font61"/>
    <w:basedOn w:val="13"/>
    <w:qFormat/>
    <w:uiPriority w:val="0"/>
    <w:rPr>
      <w:rFonts w:hint="eastAsia" w:ascii="宋体" w:hAnsi="宋体" w:eastAsia="宋体" w:cs="宋体"/>
      <w:color w:val="000000"/>
      <w:sz w:val="16"/>
      <w:szCs w:val="16"/>
      <w:u w:val="none"/>
    </w:rPr>
  </w:style>
  <w:style w:type="character" w:customStyle="1" w:styleId="32">
    <w:name w:val="font71"/>
    <w:basedOn w:val="13"/>
    <w:qFormat/>
    <w:uiPriority w:val="0"/>
    <w:rPr>
      <w:rFonts w:ascii="Helvetica" w:hAnsi="Helvetica" w:eastAsia="Helvetica" w:cs="Helvetica"/>
      <w:color w:val="000000"/>
      <w:sz w:val="16"/>
      <w:szCs w:val="16"/>
      <w:u w:val="none"/>
    </w:rPr>
  </w:style>
  <w:style w:type="character" w:customStyle="1" w:styleId="33">
    <w:name w:val="font91"/>
    <w:basedOn w:val="13"/>
    <w:qFormat/>
    <w:uiPriority w:val="0"/>
    <w:rPr>
      <w:rFonts w:hint="default" w:ascii="Times New Roman" w:hAnsi="Times New Roman" w:cs="Times New Roman"/>
      <w:color w:val="000000"/>
      <w:sz w:val="16"/>
      <w:szCs w:val="16"/>
      <w:u w:val="none"/>
    </w:rPr>
  </w:style>
  <w:style w:type="character" w:customStyle="1" w:styleId="34">
    <w:name w:val="font81"/>
    <w:basedOn w:val="13"/>
    <w:qFormat/>
    <w:uiPriority w:val="0"/>
    <w:rPr>
      <w:rFonts w:hint="eastAsia" w:ascii="宋体" w:hAnsi="宋体" w:eastAsia="宋体" w:cs="宋体"/>
      <w:color w:val="000000"/>
      <w:sz w:val="16"/>
      <w:szCs w:val="16"/>
      <w:u w:val="none"/>
    </w:rPr>
  </w:style>
  <w:style w:type="character" w:customStyle="1" w:styleId="35">
    <w:name w:val="纯文本 字符"/>
    <w:basedOn w:val="13"/>
    <w:link w:val="6"/>
    <w:qFormat/>
    <w:uiPriority w:val="0"/>
    <w:rPr>
      <w:rFonts w:ascii="宋体" w:hAnsi="Courier New" w:cs="Courier New"/>
      <w:kern w:val="2"/>
      <w:sz w:val="21"/>
      <w:szCs w:val="21"/>
    </w:rPr>
  </w:style>
  <w:style w:type="paragraph" w:customStyle="1" w:styleId="36">
    <w:name w:val="Body text|1"/>
    <w:basedOn w:val="1"/>
    <w:qFormat/>
    <w:uiPriority w:val="0"/>
    <w:pPr>
      <w:widowControl w:val="0"/>
      <w:shd w:val="clear" w:color="auto" w:fill="auto"/>
      <w:spacing w:after="280" w:line="396" w:lineRule="auto"/>
      <w:ind w:firstLine="20"/>
    </w:pPr>
    <w:rPr>
      <w:rFonts w:ascii="宋体" w:hAnsi="宋体" w:eastAsia="宋体" w:cs="宋体"/>
      <w:sz w:val="26"/>
      <w:szCs w:val="26"/>
      <w:u w:val="none"/>
      <w:shd w:val="clear" w:color="auto" w:fill="auto"/>
      <w:lang w:val="zh-TW" w:eastAsia="zh-TW" w:bidi="zh-TW"/>
    </w:rPr>
  </w:style>
  <w:style w:type="paragraph" w:customStyle="1" w:styleId="37">
    <w:name w:val="Picture caption|1"/>
    <w:basedOn w:val="1"/>
    <w:qFormat/>
    <w:uiPriority w:val="0"/>
    <w:pPr>
      <w:widowControl w:val="0"/>
      <w:shd w:val="clear" w:color="auto" w:fill="auto"/>
      <w:jc w:val="center"/>
    </w:pPr>
    <w:rPr>
      <w:b/>
      <w:bCs/>
      <w:sz w:val="26"/>
      <w:szCs w:val="26"/>
      <w:u w:val="none"/>
      <w:shd w:val="clear" w:color="auto" w:fill="auto"/>
    </w:rPr>
  </w:style>
  <w:style w:type="paragraph" w:customStyle="1" w:styleId="38">
    <w:name w:val="Body text|3"/>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39">
    <w:name w:val="Heading #2|1"/>
    <w:basedOn w:val="1"/>
    <w:qFormat/>
    <w:uiPriority w:val="0"/>
    <w:pPr>
      <w:widowControl w:val="0"/>
      <w:shd w:val="clear" w:color="auto" w:fill="auto"/>
      <w:ind w:left="60"/>
      <w:jc w:val="center"/>
      <w:outlineLvl w:val="1"/>
    </w:pPr>
    <w:rPr>
      <w:rFonts w:ascii="宋体" w:hAnsi="宋体" w:eastAsia="宋体" w:cs="宋体"/>
      <w:sz w:val="44"/>
      <w:szCs w:val="44"/>
      <w:u w:val="none"/>
      <w:shd w:val="clear" w:color="auto" w:fill="auto"/>
      <w:lang w:val="zh-TW" w:eastAsia="zh-TW" w:bidi="zh-TW"/>
    </w:rPr>
  </w:style>
  <w:style w:type="paragraph" w:customStyle="1" w:styleId="40">
    <w:name w:val="Body text|4"/>
    <w:basedOn w:val="1"/>
    <w:qFormat/>
    <w:uiPriority w:val="0"/>
    <w:pPr>
      <w:widowControl w:val="0"/>
      <w:shd w:val="clear" w:color="auto" w:fill="auto"/>
      <w:spacing w:line="223" w:lineRule="auto"/>
      <w:ind w:left="60"/>
      <w:jc w:val="center"/>
    </w:pPr>
    <w:rPr>
      <w:b/>
      <w:bCs/>
      <w:sz w:val="28"/>
      <w:szCs w:val="28"/>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Info spid="_x0000_s2051" textRotate="1"/>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Pages>
  <Words>2962</Words>
  <Characters>16886</Characters>
  <Lines>140</Lines>
  <Paragraphs>39</Paragraphs>
  <TotalTime>16</TotalTime>
  <ScaleCrop>false</ScaleCrop>
  <LinksUpToDate>false</LinksUpToDate>
  <CharactersWithSpaces>0</CharactersWithSpaces>
  <Application>WPS Office_6.1.0.8274_F1E327BC-269C-435d-A152-05C5408002CA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2017-05-31T19:04:00Z</dcterms:created>
  <dc:creator>lenovo</dc:creator>
  <cp:lastModifiedBy>周玉洁</cp:lastModifiedBy>
  <cp:lastPrinted>2021-04-27T14:48:00Z</cp:lastPrinted>
  <dcterms:modified xsi:type="dcterms:W3CDTF">2024-07-22T16:57:04Z</dcterms:modified>
  <dc:title>阳新县县级政府采购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2052-6.1.0.8274</vt:lpwstr>
  </property>
  <property fmtid="{D5CDD505-2E9C-101B-9397-08002B2CF9AE}" pid="3" name="ICV">
    <vt:lpwstr>7CD12FE781C1476197A13938879C01B6</vt:lpwstr>
  </property>
</Properties>
</file>