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bCs/>
          <w:color w:val="000000"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Cs/>
          <w:color w:val="000000"/>
          <w:spacing w:val="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  <w:t>燃气工程申报工程质量</w:t>
      </w: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  <w:lang w:eastAsia="zh-CN"/>
        </w:rPr>
        <w:t>安全</w:t>
      </w:r>
      <w:r>
        <w:rPr>
          <w:rFonts w:hint="eastAsia" w:ascii="黑体" w:hAnsi="黑体" w:eastAsia="黑体" w:cs="黑体"/>
          <w:bCs/>
          <w:color w:val="000000"/>
          <w:spacing w:val="2"/>
          <w:kern w:val="0"/>
          <w:sz w:val="44"/>
          <w:szCs w:val="44"/>
        </w:rPr>
        <w:t>监督须知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jc w:val="both"/>
        <w:textAlignment w:val="auto"/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建设单位办理建设工程质量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安全</w:t>
      </w: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监督登记手续时，填写《燃气工程质量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安全</w:t>
      </w: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监督登记表》，同时向当地建设工程质量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安全</w:t>
      </w: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监督检测站提交以下有关资料：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阳新县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燃气工程质量安全监督登记表；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2、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阳新县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燃气工程开工安全核验表；</w:t>
      </w: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3、设计、建设、施工、监理人员登记表；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、施工组织设计方案；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、施工图设计及图审文件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</w:rPr>
        <w:t>、各项委托与承诺。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pacing w:val="2"/>
          <w:kern w:val="0"/>
          <w:sz w:val="32"/>
          <w:szCs w:val="32"/>
          <w:lang w:eastAsia="zh-CN"/>
        </w:rPr>
        <w:t>县燃气市场管理所</w:t>
      </w: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在7个工作日内审核完建设单位提交的全部文件资料，对符合要求的，发给《工程质量监督通知书》。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2"/>
          <w:kern w:val="0"/>
          <w:sz w:val="32"/>
          <w:szCs w:val="32"/>
        </w:rPr>
        <w:t>建设单位办理工程质量监督手续后，应当向当地燃气主管部门申领施工许可证。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mIxZTUzZTY2YTdhMjMzNmNmMmE5MTU1ZDg5ZGUifQ=="/>
  </w:docVars>
  <w:rsids>
    <w:rsidRoot w:val="4FF32B33"/>
    <w:rsid w:val="3D4E4E8A"/>
    <w:rsid w:val="4FF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2023-05-30T01:23:00Z</dcterms:created>
  <dc:creator>Sx。</dc:creator>
  <cp:lastModifiedBy>Sx。</cp:lastModifiedBy>
  <dcterms:modified xsi:type="dcterms:W3CDTF">2023-05-30T01:23:07Z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5DBC16D25DBF4D7DBD4FA9D5722647E1_11</vt:lpwstr>
  </property>
</Properties>
</file>