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CC"/>
  <w:body>
    <w:p>
      <w:pPr>
        <w:widowControl/>
        <w:spacing w:line="62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1"/>
          <w:szCs w:val="31"/>
        </w:rPr>
      </w:pPr>
      <w:r>
        <w:rPr>
          <w:rFonts w:hint="eastAsia" w:ascii="仿宋_GB2312" w:hAnsi="仿宋" w:eastAsia="仿宋_GB2312" w:cs="仿宋"/>
          <w:color w:val="000000"/>
          <w:kern w:val="0"/>
          <w:sz w:val="31"/>
          <w:szCs w:val="31"/>
        </w:rPr>
        <w:t>附件</w:t>
      </w:r>
      <w:r>
        <w:rPr>
          <w:rFonts w:ascii="仿宋_GB2312" w:hAnsi="仿宋" w:eastAsia="仿宋_GB2312" w:cs="仿宋"/>
          <w:color w:val="000000"/>
          <w:kern w:val="0"/>
          <w:sz w:val="31"/>
          <w:szCs w:val="31"/>
        </w:rPr>
        <w:t>1</w:t>
      </w:r>
    </w:p>
    <w:p>
      <w:pPr>
        <w:spacing w:line="66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阳新县</w:t>
      </w:r>
      <w:r>
        <w:rPr>
          <w:rFonts w:ascii="方正大标宋简体" w:eastAsia="方正大标宋简体"/>
          <w:sz w:val="44"/>
          <w:szCs w:val="44"/>
        </w:rPr>
        <w:t>2023</w:t>
      </w:r>
      <w:r>
        <w:rPr>
          <w:rFonts w:hint="eastAsia" w:ascii="方正大标宋简体" w:eastAsia="方正大标宋简体"/>
          <w:sz w:val="44"/>
          <w:szCs w:val="44"/>
        </w:rPr>
        <w:t>年经济指标导向性计划表</w:t>
      </w:r>
      <w:r>
        <w:rPr>
          <w:rFonts w:ascii="方正大标宋简体" w:eastAsia="方正大标宋简体"/>
          <w:sz w:val="44"/>
          <w:szCs w:val="44"/>
        </w:rPr>
        <w:t xml:space="preserve"> </w:t>
      </w:r>
    </w:p>
    <w:tbl>
      <w:tblPr>
        <w:tblStyle w:val="6"/>
        <w:tblW w:w="148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64"/>
        <w:gridCol w:w="952"/>
        <w:gridCol w:w="966"/>
        <w:gridCol w:w="728"/>
        <w:gridCol w:w="952"/>
        <w:gridCol w:w="725"/>
        <w:gridCol w:w="965"/>
        <w:gridCol w:w="896"/>
        <w:gridCol w:w="854"/>
        <w:gridCol w:w="854"/>
        <w:gridCol w:w="966"/>
        <w:gridCol w:w="742"/>
        <w:gridCol w:w="699"/>
        <w:gridCol w:w="696"/>
        <w:gridCol w:w="873"/>
        <w:gridCol w:w="826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tblHeader/>
          <w:jc w:val="center"/>
        </w:trPr>
        <w:tc>
          <w:tcPr>
            <w:tcW w:w="43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4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镇区</w:t>
            </w:r>
          </w:p>
        </w:tc>
        <w:tc>
          <w:tcPr>
            <w:tcW w:w="6184" w:type="dxa"/>
            <w:gridSpan w:val="7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七大主要经济指标</w:t>
            </w:r>
          </w:p>
        </w:tc>
        <w:tc>
          <w:tcPr>
            <w:tcW w:w="7363" w:type="dxa"/>
            <w:gridSpan w:val="9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单项经济指标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tblHeader/>
          <w:jc w:val="center"/>
        </w:trPr>
        <w:tc>
          <w:tcPr>
            <w:tcW w:w="43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GDP</w:t>
            </w: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固定资产投资导向性计划数（亿元）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工业增加值增速（%）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社会消费品零售总额增速（%）</w:t>
            </w: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外贸出口总额增速（%）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地方公共财政预算收入导向性计划数（亿元）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服务业增加值导向性计划数（亿元）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亿元以下项目入库导向性计划数（个）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亿元以上项目入库导向性计划数（个）</w:t>
            </w:r>
          </w:p>
        </w:tc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工业总产值导向性计划数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（亿元）</w:t>
            </w:r>
          </w:p>
        </w:tc>
        <w:tc>
          <w:tcPr>
            <w:tcW w:w="742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新增进规工业企业（家）</w:t>
            </w:r>
          </w:p>
        </w:tc>
        <w:tc>
          <w:tcPr>
            <w:tcW w:w="699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新增进规服务业（家）</w:t>
            </w:r>
          </w:p>
        </w:tc>
        <w:tc>
          <w:tcPr>
            <w:tcW w:w="695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新增进限服务业（家）</w:t>
            </w:r>
          </w:p>
        </w:tc>
        <w:tc>
          <w:tcPr>
            <w:tcW w:w="873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限额以上消费品零售额导向性计划数(亿元）</w:t>
            </w:r>
          </w:p>
        </w:tc>
        <w:tc>
          <w:tcPr>
            <w:tcW w:w="82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入库增值税导向性计划数（亿元）</w:t>
            </w:r>
          </w:p>
        </w:tc>
        <w:tc>
          <w:tcPr>
            <w:tcW w:w="854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入库企业所得税导向性计划数（亿元）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tblHeader/>
          <w:jc w:val="center"/>
        </w:trPr>
        <w:tc>
          <w:tcPr>
            <w:tcW w:w="43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left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>合计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 xml:space="preserve">430.41 </w:t>
            </w:r>
          </w:p>
        </w:tc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450（增速20%以上）</w:t>
            </w:r>
          </w:p>
        </w:tc>
        <w:tc>
          <w:tcPr>
            <w:tcW w:w="728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18%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以上</w:t>
            </w:r>
          </w:p>
        </w:tc>
        <w:tc>
          <w:tcPr>
            <w:tcW w:w="952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12.5%</w:t>
            </w:r>
          </w:p>
        </w:tc>
        <w:tc>
          <w:tcPr>
            <w:tcW w:w="725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35%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以上</w:t>
            </w:r>
          </w:p>
        </w:tc>
        <w:tc>
          <w:tcPr>
            <w:tcW w:w="965" w:type="dxa"/>
            <w:shd w:val="clear" w:color="auto" w:fill="auto"/>
            <w:noWrap w:val="0"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41亿元（增速16%）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 xml:space="preserve">200.17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 xml:space="preserve">112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 xml:space="preserve">137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 xml:space="preserve">539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color w:val="000000"/>
                <w:w w:val="80"/>
                <w:kern w:val="0"/>
                <w:sz w:val="20"/>
                <w:szCs w:val="20"/>
              </w:rPr>
              <w:t xml:space="preserve">52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 xml:space="preserve">14.032 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13.3581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bCs/>
                <w:w w:val="80"/>
                <w:kern w:val="0"/>
                <w:sz w:val="20"/>
                <w:szCs w:val="20"/>
              </w:rPr>
              <w:t>5.8667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经济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开发区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46.30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23.63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1.2326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0.1403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兴国镇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48.89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40.73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6.7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3.2753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0.3662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富池镇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57.95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42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13.03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120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0.17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4.9279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3.6268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黄颡口镇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8.38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2.59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1.4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0.021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0.0625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陶港镇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14.17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2.79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0.021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0.0359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白沙镇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18.28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6.5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0.53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0.1845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0.1097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浮屠镇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18.78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6.23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0.27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0.2244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0.2402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三溪镇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7.69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2.58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0.7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0.17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0.0293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龙港镇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16.10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6.29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0.32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0.0879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洋港镇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7.31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0.0305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11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排市镇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7.87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2.66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0.8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0.12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0.0134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12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木港镇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8.48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3.15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0.07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0.2262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13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枫林镇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20.93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10.16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0.43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0.0588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王英镇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11.50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7.35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0.09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0.0408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15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城东新区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29.30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21.63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2.8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0.72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2.8773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1.3457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16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率洲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管理区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10.64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3.45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1.5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0.08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0.0367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17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半壁山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管理区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4.38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2.14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0.3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0.0135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18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荆头山</w:t>
            </w:r>
          </w:p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管理区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3.46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0.81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0.9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0.0008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19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相关部门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0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20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新港园区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90.00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118 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41.85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37 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 xml:space="preserve">320 </w:t>
            </w:r>
          </w:p>
        </w:tc>
        <w:tc>
          <w:tcPr>
            <w:tcW w:w="742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695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color w:val="000000"/>
                <w:w w:val="80"/>
                <w:kern w:val="0"/>
                <w:sz w:val="20"/>
                <w:szCs w:val="20"/>
              </w:rPr>
              <w:t>0.32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方正书宋_GBK" w:hAnsi="宋体" w:eastAsia="方正书宋_GBK" w:cs="宋体"/>
                <w:w w:val="8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spacing w:line="620" w:lineRule="exact"/>
        <w:jc w:val="left"/>
        <w:rPr>
          <w:rFonts w:ascii="仿宋_GB2312" w:hAnsi="仿宋" w:eastAsia="仿宋_GB2312" w:cs="仿宋"/>
          <w:color w:val="000000"/>
          <w:kern w:val="0"/>
          <w:sz w:val="31"/>
          <w:szCs w:val="31"/>
        </w:rPr>
        <w:sectPr>
          <w:headerReference r:id="rId3" w:type="default"/>
          <w:footerReference r:id="rId4" w:type="default"/>
          <w:pgSz w:w="16838" w:h="11906" w:orient="landscape"/>
          <w:pgMar w:top="1588" w:right="1814" w:bottom="1588" w:left="1758" w:header="851" w:footer="1134" w:gutter="0"/>
          <w:cols w:space="425" w:num="1"/>
          <w:docGrid w:type="linesAndChars" w:linePitch="312" w:charSpace="0"/>
        </w:sectPr>
      </w:pPr>
      <w:r>
        <w:rPr>
          <w:rFonts w:hint="eastAsia" w:ascii="方正书宋_GBK" w:hAnsi="宋体" w:eastAsia="方正书宋_GBK" w:cs="宋体"/>
          <w:kern w:val="0"/>
          <w:sz w:val="24"/>
        </w:rPr>
        <w:t>备注：固定资产投资、工业增加值增速指标市级对新港园区单独考核排名。</w:t>
      </w:r>
      <w:bookmarkStart w:id="0" w:name="_GoBack"/>
      <w:bookmarkEnd w:id="0"/>
    </w:p>
    <w:p>
      <w:pPr>
        <w:shd w:val="clear" w:color="auto" w:fill="FFFFFF"/>
        <w:spacing w:line="260" w:lineRule="exact"/>
        <w:contextualSpacing/>
        <w:rPr>
          <w:rFonts w:hint="eastAsia" w:ascii="仿宋_GB2312" w:hAnsi="仿宋" w:eastAsia="仿宋_GB2312"/>
          <w:color w:val="212121"/>
          <w:sz w:val="32"/>
          <w:szCs w:val="32"/>
        </w:rPr>
      </w:pPr>
    </w:p>
    <w:sectPr>
      <w:pgSz w:w="11906" w:h="16838"/>
      <w:pgMar w:top="1814" w:right="1588" w:bottom="175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8"/>
        <w:rFonts w:hint="eastAsia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MzNmMWM2MzI4MjcxOGMyYjQyNGM2ZDJmM2M5NzIifQ=="/>
  </w:docVars>
  <w:rsids>
    <w:rsidRoot w:val="00B1309C"/>
    <w:rsid w:val="00021F0A"/>
    <w:rsid w:val="0002221B"/>
    <w:rsid w:val="00044C31"/>
    <w:rsid w:val="00055CBC"/>
    <w:rsid w:val="00056952"/>
    <w:rsid w:val="00064938"/>
    <w:rsid w:val="000910C2"/>
    <w:rsid w:val="000B0991"/>
    <w:rsid w:val="000D2EB0"/>
    <w:rsid w:val="000E516E"/>
    <w:rsid w:val="000F3B66"/>
    <w:rsid w:val="000F4D36"/>
    <w:rsid w:val="000F7805"/>
    <w:rsid w:val="00101DBB"/>
    <w:rsid w:val="001304E5"/>
    <w:rsid w:val="00161636"/>
    <w:rsid w:val="001676D9"/>
    <w:rsid w:val="00181924"/>
    <w:rsid w:val="001C5081"/>
    <w:rsid w:val="001E5047"/>
    <w:rsid w:val="001E52D2"/>
    <w:rsid w:val="001F15E0"/>
    <w:rsid w:val="00214E6E"/>
    <w:rsid w:val="002367C3"/>
    <w:rsid w:val="00251435"/>
    <w:rsid w:val="00262279"/>
    <w:rsid w:val="002A2133"/>
    <w:rsid w:val="002B2F66"/>
    <w:rsid w:val="002B46E1"/>
    <w:rsid w:val="002B504C"/>
    <w:rsid w:val="002C0C1D"/>
    <w:rsid w:val="002C6911"/>
    <w:rsid w:val="0031264C"/>
    <w:rsid w:val="003254B4"/>
    <w:rsid w:val="0032693A"/>
    <w:rsid w:val="003275F7"/>
    <w:rsid w:val="00341576"/>
    <w:rsid w:val="003523A5"/>
    <w:rsid w:val="00366606"/>
    <w:rsid w:val="00371265"/>
    <w:rsid w:val="00375B3E"/>
    <w:rsid w:val="003941BC"/>
    <w:rsid w:val="003B69EA"/>
    <w:rsid w:val="003E139C"/>
    <w:rsid w:val="00410433"/>
    <w:rsid w:val="00413AE6"/>
    <w:rsid w:val="00417F8A"/>
    <w:rsid w:val="004377A9"/>
    <w:rsid w:val="004601C3"/>
    <w:rsid w:val="00475B04"/>
    <w:rsid w:val="00490D73"/>
    <w:rsid w:val="00492109"/>
    <w:rsid w:val="00496130"/>
    <w:rsid w:val="004A37DD"/>
    <w:rsid w:val="004A44FD"/>
    <w:rsid w:val="004A712D"/>
    <w:rsid w:val="004F2AB3"/>
    <w:rsid w:val="004F53AD"/>
    <w:rsid w:val="005117D1"/>
    <w:rsid w:val="00517BBC"/>
    <w:rsid w:val="005214FB"/>
    <w:rsid w:val="005363BA"/>
    <w:rsid w:val="005456D0"/>
    <w:rsid w:val="00547BE0"/>
    <w:rsid w:val="005646B1"/>
    <w:rsid w:val="005A40C1"/>
    <w:rsid w:val="005B6AEA"/>
    <w:rsid w:val="005C10B7"/>
    <w:rsid w:val="005D2B3E"/>
    <w:rsid w:val="005D5CFD"/>
    <w:rsid w:val="005F091A"/>
    <w:rsid w:val="005F5813"/>
    <w:rsid w:val="00627125"/>
    <w:rsid w:val="00640CEB"/>
    <w:rsid w:val="00643453"/>
    <w:rsid w:val="006508D6"/>
    <w:rsid w:val="00651127"/>
    <w:rsid w:val="00675340"/>
    <w:rsid w:val="00677D8B"/>
    <w:rsid w:val="00696ACB"/>
    <w:rsid w:val="006C303D"/>
    <w:rsid w:val="006F0811"/>
    <w:rsid w:val="006F55A3"/>
    <w:rsid w:val="00706B0F"/>
    <w:rsid w:val="00762E16"/>
    <w:rsid w:val="0077533F"/>
    <w:rsid w:val="00775D33"/>
    <w:rsid w:val="00786D1F"/>
    <w:rsid w:val="007A1567"/>
    <w:rsid w:val="007A7D81"/>
    <w:rsid w:val="007B4474"/>
    <w:rsid w:val="007F1C60"/>
    <w:rsid w:val="00800483"/>
    <w:rsid w:val="00815D2A"/>
    <w:rsid w:val="00852DBB"/>
    <w:rsid w:val="0085607D"/>
    <w:rsid w:val="00880F58"/>
    <w:rsid w:val="00882123"/>
    <w:rsid w:val="0088792C"/>
    <w:rsid w:val="00925E14"/>
    <w:rsid w:val="009326B8"/>
    <w:rsid w:val="0093723E"/>
    <w:rsid w:val="00973264"/>
    <w:rsid w:val="00986DC9"/>
    <w:rsid w:val="009A1097"/>
    <w:rsid w:val="009A34CA"/>
    <w:rsid w:val="009E2C59"/>
    <w:rsid w:val="009E4079"/>
    <w:rsid w:val="009E45FE"/>
    <w:rsid w:val="009F44E0"/>
    <w:rsid w:val="00A036D5"/>
    <w:rsid w:val="00A25F5D"/>
    <w:rsid w:val="00A37DF6"/>
    <w:rsid w:val="00A45EEF"/>
    <w:rsid w:val="00A463AB"/>
    <w:rsid w:val="00A86596"/>
    <w:rsid w:val="00AB4EEB"/>
    <w:rsid w:val="00AC72AA"/>
    <w:rsid w:val="00AD4AD3"/>
    <w:rsid w:val="00AF033B"/>
    <w:rsid w:val="00B06451"/>
    <w:rsid w:val="00B1309C"/>
    <w:rsid w:val="00B263D0"/>
    <w:rsid w:val="00B64279"/>
    <w:rsid w:val="00B65E4D"/>
    <w:rsid w:val="00B806AC"/>
    <w:rsid w:val="00B90828"/>
    <w:rsid w:val="00B924D1"/>
    <w:rsid w:val="00BA4322"/>
    <w:rsid w:val="00BA7C12"/>
    <w:rsid w:val="00BC7531"/>
    <w:rsid w:val="00BD6909"/>
    <w:rsid w:val="00BE0827"/>
    <w:rsid w:val="00C07386"/>
    <w:rsid w:val="00C16C6A"/>
    <w:rsid w:val="00C44A04"/>
    <w:rsid w:val="00D01195"/>
    <w:rsid w:val="00D15C90"/>
    <w:rsid w:val="00D16080"/>
    <w:rsid w:val="00D364B6"/>
    <w:rsid w:val="00D40FC0"/>
    <w:rsid w:val="00D43BF4"/>
    <w:rsid w:val="00D56132"/>
    <w:rsid w:val="00D82663"/>
    <w:rsid w:val="00D9017C"/>
    <w:rsid w:val="00D91324"/>
    <w:rsid w:val="00D95A10"/>
    <w:rsid w:val="00D97890"/>
    <w:rsid w:val="00DA409F"/>
    <w:rsid w:val="00DB69A4"/>
    <w:rsid w:val="00DC1983"/>
    <w:rsid w:val="00DC3C90"/>
    <w:rsid w:val="00DD0D29"/>
    <w:rsid w:val="00DF6955"/>
    <w:rsid w:val="00E00D34"/>
    <w:rsid w:val="00E213DD"/>
    <w:rsid w:val="00E3005C"/>
    <w:rsid w:val="00E34C03"/>
    <w:rsid w:val="00E36FE2"/>
    <w:rsid w:val="00E567F9"/>
    <w:rsid w:val="00E66986"/>
    <w:rsid w:val="00E71BD6"/>
    <w:rsid w:val="00EA480C"/>
    <w:rsid w:val="00EA59BC"/>
    <w:rsid w:val="00EB28BD"/>
    <w:rsid w:val="00EB633D"/>
    <w:rsid w:val="00EB64A2"/>
    <w:rsid w:val="00EC6EB2"/>
    <w:rsid w:val="00F01605"/>
    <w:rsid w:val="00F05BFC"/>
    <w:rsid w:val="00F101BB"/>
    <w:rsid w:val="00F121C7"/>
    <w:rsid w:val="00F45E3E"/>
    <w:rsid w:val="00F9120C"/>
    <w:rsid w:val="00FD7C67"/>
    <w:rsid w:val="00FF0019"/>
    <w:rsid w:val="00FF5433"/>
    <w:rsid w:val="212E7C66"/>
    <w:rsid w:val="773E1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qFormat/>
    <w:uiPriority w:val="0"/>
    <w:rPr>
      <w:rFonts w:eastAsia="黑体"/>
      <w:sz w:val="32"/>
    </w:rPr>
  </w:style>
  <w:style w:type="paragraph" w:styleId="5">
    <w:name w:val="toc 2"/>
    <w:basedOn w:val="1"/>
    <w:next w:val="1"/>
    <w:semiHidden/>
    <w:qFormat/>
    <w:uiPriority w:val="0"/>
    <w:pPr>
      <w:ind w:left="420" w:leftChars="200"/>
    </w:pPr>
    <w:rPr>
      <w:rFonts w:eastAsia="仿宋_GB2312"/>
      <w:sz w:val="32"/>
    </w:rPr>
  </w:style>
  <w:style w:type="character" w:styleId="8">
    <w:name w:val="page number"/>
    <w:basedOn w:val="7"/>
    <w:uiPriority w:val="0"/>
  </w:style>
  <w:style w:type="paragraph" w:customStyle="1" w:styleId="9">
    <w:name w:val="Char1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lang w:eastAsia="en-US"/>
    </w:rPr>
  </w:style>
  <w:style w:type="paragraph" w:customStyle="1" w:styleId="10">
    <w:name w:val="中然  正文"/>
    <w:basedOn w:val="1"/>
    <w:uiPriority w:val="0"/>
    <w:pPr>
      <w:spacing w:line="500" w:lineRule="exact"/>
      <w:ind w:firstLine="200" w:firstLineChars="200"/>
    </w:pPr>
    <w:rPr>
      <w:rFonts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4</Pages>
  <Words>1101</Words>
  <Characters>1691</Characters>
  <Lines>21</Lines>
  <Paragraphs>6</Paragraphs>
  <TotalTime>2</TotalTime>
  <ScaleCrop>false</ScaleCrop>
  <LinksUpToDate>false</LinksUpToDate>
  <CharactersWithSpaces>1967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2023-03-21T07:14:00Z</dcterms:created>
  <dc:creator>微软用户</dc:creator>
  <cp:lastModifiedBy>阿伍珂</cp:lastModifiedBy>
  <cp:lastPrinted>2023-03-21T07:31:00Z</cp:lastPrinted>
  <dcterms:modified xsi:type="dcterms:W3CDTF">2023-04-06T05:40:22Z</dcterms:modified>
  <dc:title>二○一二年元月十八日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BFBE515DF2184CDA9C1864122D6EF6A1_13</vt:lpwstr>
  </property>
</Properties>
</file>