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sz w:val="24"/>
          <w:szCs w:val="24"/>
        </w:rPr>
      </w:pPr>
      <w:bookmarkStart w:id="8" w:name="_GoBack"/>
      <w:bookmarkEnd w:id="8"/>
      <w:r>
        <w:rPr>
          <w:sz w:val="24"/>
          <w:szCs w:val="24"/>
        </w:rPr>
        <w:t>附件</w:t>
      </w:r>
      <w:r>
        <w:rPr>
          <w:rFonts w:hint="eastAsia"/>
          <w:sz w:val="24"/>
          <w:szCs w:val="24"/>
        </w:rPr>
        <w:t>一</w:t>
      </w:r>
      <w:r>
        <w:rPr>
          <w:sz w:val="24"/>
          <w:szCs w:val="24"/>
        </w:rPr>
        <w:t>：项目采购需求：</w:t>
      </w:r>
    </w:p>
    <w:p>
      <w:pPr>
        <w:adjustRightInd w:val="0"/>
        <w:snapToGrid w:val="0"/>
        <w:spacing w:line="360" w:lineRule="auto"/>
        <w:jc w:val="left"/>
        <w:rPr>
          <w:sz w:val="24"/>
          <w:szCs w:val="24"/>
        </w:rPr>
      </w:pPr>
    </w:p>
    <w:p>
      <w:pPr>
        <w:pStyle w:val="8"/>
        <w:rPr>
          <w:sz w:val="44"/>
          <w:szCs w:val="44"/>
        </w:rPr>
      </w:pPr>
      <w:r>
        <w:rPr>
          <w:rFonts w:hint="eastAsia"/>
          <w:sz w:val="44"/>
          <w:szCs w:val="44"/>
        </w:rPr>
        <w:t>黄石新港（物流）工业园区区域节能评估报告</w:t>
      </w:r>
    </w:p>
    <w:p>
      <w:pPr>
        <w:pStyle w:val="8"/>
        <w:rPr>
          <w:sz w:val="44"/>
          <w:szCs w:val="44"/>
        </w:rPr>
      </w:pPr>
      <w:r>
        <w:rPr>
          <w:rFonts w:hint="eastAsia"/>
          <w:sz w:val="44"/>
          <w:szCs w:val="44"/>
        </w:rPr>
        <w:t>采购需求</w:t>
      </w:r>
    </w:p>
    <w:p>
      <w:pPr>
        <w:shd w:val="clear" w:color="auto" w:fill="FFFFFF"/>
        <w:spacing w:afterLines="100"/>
        <w:ind w:left="1134" w:leftChars="540"/>
        <w:rPr>
          <w:rFonts w:ascii="黑体" w:eastAsia="黑体"/>
          <w:szCs w:val="32"/>
        </w:rPr>
      </w:pPr>
    </w:p>
    <w:p>
      <w:pPr>
        <w:shd w:val="clear" w:color="auto" w:fill="FFFFFF"/>
        <w:spacing w:afterLines="100"/>
        <w:ind w:left="1134" w:leftChars="540"/>
        <w:rPr>
          <w:rFonts w:ascii="黑体" w:eastAsia="黑体"/>
          <w:sz w:val="44"/>
          <w:szCs w:val="44"/>
        </w:rPr>
      </w:pPr>
    </w:p>
    <w:p>
      <w:pPr>
        <w:shd w:val="clear" w:color="auto" w:fill="FFFFFF"/>
        <w:spacing w:line="560" w:lineRule="exact"/>
        <w:ind w:left="1134" w:leftChars="540"/>
        <w:rPr>
          <w:rFonts w:ascii="黑体" w:eastAsia="黑体"/>
          <w:sz w:val="28"/>
          <w:szCs w:val="28"/>
          <w:lang w:val="hr-HR"/>
        </w:rPr>
      </w:pPr>
      <w:r>
        <w:rPr>
          <w:rFonts w:hint="eastAsia" w:ascii="黑体" w:eastAsia="黑体"/>
          <w:sz w:val="28"/>
          <w:szCs w:val="28"/>
          <w:lang w:val="hr-HR"/>
        </w:rPr>
        <w:t>招 标 人：黄石新港（物流）工业园区经济发展局</w:t>
      </w:r>
    </w:p>
    <w:p>
      <w:pPr>
        <w:shd w:val="clear" w:color="auto" w:fill="FFFFFF"/>
        <w:spacing w:line="560" w:lineRule="exact"/>
        <w:ind w:left="1134" w:leftChars="540"/>
        <w:rPr>
          <w:rFonts w:ascii="黑体" w:eastAsia="黑体"/>
          <w:sz w:val="28"/>
          <w:szCs w:val="28"/>
          <w:lang w:val="hr-HR"/>
        </w:rPr>
      </w:pPr>
      <w:r>
        <w:rPr>
          <w:rFonts w:hint="eastAsia" w:ascii="黑体" w:eastAsia="黑体"/>
          <w:sz w:val="28"/>
          <w:szCs w:val="28"/>
          <w:lang w:val="hr-HR"/>
        </w:rPr>
        <w:t>联 系 人：冯曼玲</w:t>
      </w:r>
    </w:p>
    <w:p>
      <w:pPr>
        <w:shd w:val="clear" w:color="auto" w:fill="FFFFFF"/>
        <w:spacing w:line="560" w:lineRule="exact"/>
        <w:ind w:left="1134" w:leftChars="540"/>
        <w:rPr>
          <w:rFonts w:ascii="黑体" w:eastAsia="黑体"/>
          <w:sz w:val="28"/>
          <w:szCs w:val="28"/>
          <w:lang w:val="hr-HR"/>
        </w:rPr>
      </w:pPr>
      <w:r>
        <w:rPr>
          <w:rFonts w:hint="eastAsia" w:ascii="黑体" w:eastAsia="黑体"/>
          <w:sz w:val="28"/>
          <w:szCs w:val="28"/>
          <w:lang w:val="hr-HR"/>
        </w:rPr>
        <w:t>联系电话：15727140511</w:t>
      </w:r>
    </w:p>
    <w:p>
      <w:pPr>
        <w:shd w:val="clear" w:color="auto" w:fill="FFFFFF"/>
        <w:spacing w:line="560" w:lineRule="exact"/>
        <w:ind w:left="1134" w:leftChars="540"/>
        <w:rPr>
          <w:rFonts w:ascii="黑体" w:eastAsia="黑体"/>
          <w:sz w:val="28"/>
          <w:szCs w:val="28"/>
        </w:rPr>
      </w:pPr>
      <w:r>
        <w:rPr>
          <w:rFonts w:hint="eastAsia" w:ascii="黑体" w:eastAsia="黑体"/>
          <w:sz w:val="28"/>
          <w:szCs w:val="28"/>
        </w:rPr>
        <w:t>采购</w:t>
      </w:r>
      <w:r>
        <w:rPr>
          <w:rFonts w:ascii="黑体" w:eastAsia="黑体"/>
          <w:sz w:val="28"/>
          <w:szCs w:val="28"/>
        </w:rPr>
        <w:t>方式：</w:t>
      </w:r>
      <w:r>
        <w:rPr>
          <w:rFonts w:hint="eastAsia" w:ascii="仿宋_GB2312" w:eastAsia="仿宋_GB2312"/>
          <w:b/>
          <w:sz w:val="28"/>
          <w:szCs w:val="28"/>
        </w:rPr>
        <w:t>竞争性磋商</w:t>
      </w:r>
    </w:p>
    <w:p>
      <w:pPr>
        <w:keepNext/>
        <w:keepLines/>
        <w:adjustRightInd w:val="0"/>
        <w:snapToGrid w:val="0"/>
        <w:jc w:val="center"/>
        <w:outlineLvl w:val="1"/>
        <w:rPr>
          <w:rFonts w:ascii="宋体" w:hAnsi="宋体"/>
          <w:b/>
          <w:bCs/>
          <w:sz w:val="32"/>
          <w:szCs w:val="32"/>
        </w:rPr>
        <w:sectPr>
          <w:footerReference r:id="rId3" w:type="default"/>
          <w:pgSz w:w="11906" w:h="16838"/>
          <w:pgMar w:top="1440" w:right="1080" w:bottom="1440" w:left="1080" w:header="851" w:footer="992" w:gutter="0"/>
          <w:cols w:space="0" w:num="1"/>
          <w:docGrid w:type="lines" w:linePitch="321" w:charSpace="0"/>
        </w:sectPr>
      </w:pPr>
    </w:p>
    <w:p>
      <w:pPr>
        <w:jc w:val="center"/>
        <w:rPr>
          <w:sz w:val="28"/>
        </w:rPr>
      </w:pPr>
      <w:r>
        <w:rPr>
          <w:rFonts w:hint="eastAsia"/>
          <w:b/>
          <w:bCs/>
          <w:sz w:val="28"/>
        </w:rPr>
        <w:t>采购需求</w:t>
      </w:r>
    </w:p>
    <w:p>
      <w:pPr>
        <w:rPr>
          <w:rFonts w:ascii="宋体" w:hAnsi="宋体"/>
          <w:sz w:val="24"/>
        </w:rPr>
      </w:pPr>
    </w:p>
    <w:p>
      <w:pPr>
        <w:rPr>
          <w:rFonts w:ascii="宋体" w:hAnsi="宋体" w:cs="宋体"/>
          <w:b/>
          <w:bCs/>
          <w:kern w:val="0"/>
          <w:sz w:val="24"/>
          <w:szCs w:val="24"/>
        </w:rPr>
      </w:pPr>
      <w:bookmarkStart w:id="0" w:name="_Toc277054844"/>
      <w:bookmarkStart w:id="1" w:name="_Toc277055000"/>
      <w:bookmarkStart w:id="2" w:name="_Toc277054411"/>
      <w:bookmarkStart w:id="3" w:name="_Toc203539740"/>
      <w:bookmarkStart w:id="4" w:name="_Toc203539887"/>
      <w:bookmarkStart w:id="5" w:name="_Toc202773070"/>
      <w:bookmarkStart w:id="6" w:name="_Toc202773071"/>
      <w:bookmarkStart w:id="7" w:name="_Toc203904188"/>
      <w:r>
        <w:rPr>
          <w:rFonts w:hint="eastAsia" w:ascii="宋体" w:hAnsi="宋体" w:cs="宋体"/>
          <w:b/>
          <w:bCs/>
          <w:kern w:val="0"/>
          <w:sz w:val="24"/>
          <w:szCs w:val="24"/>
        </w:rPr>
        <w:t>一、项目情况:</w:t>
      </w:r>
    </w:p>
    <w:p>
      <w:pPr>
        <w:rPr>
          <w:rFonts w:ascii="宋体" w:hAnsi="宋体" w:cs="宋体"/>
          <w:bCs/>
          <w:kern w:val="0"/>
          <w:sz w:val="24"/>
          <w:szCs w:val="24"/>
        </w:rPr>
      </w:pPr>
      <w:r>
        <w:rPr>
          <w:rFonts w:hint="eastAsia" w:ascii="宋体" w:hAnsi="宋体" w:cs="宋体"/>
          <w:bCs/>
          <w:kern w:val="0"/>
          <w:sz w:val="24"/>
          <w:szCs w:val="24"/>
        </w:rPr>
        <w:t>1、建设地点：阳新县韦源口镇</w:t>
      </w:r>
    </w:p>
    <w:p>
      <w:pPr>
        <w:rPr>
          <w:rFonts w:ascii="宋体" w:hAnsi="宋体" w:cs="宋体"/>
          <w:bCs/>
          <w:kern w:val="0"/>
          <w:sz w:val="24"/>
          <w:szCs w:val="24"/>
        </w:rPr>
      </w:pPr>
      <w:r>
        <w:rPr>
          <w:rFonts w:hint="eastAsia" w:ascii="宋体" w:hAnsi="宋体" w:cs="宋体"/>
          <w:bCs/>
          <w:kern w:val="0"/>
          <w:sz w:val="24"/>
          <w:szCs w:val="24"/>
        </w:rPr>
        <w:t>2、建设性质及规模：黄石新港（物流）工业园区区域节能评估报告编制；</w:t>
      </w:r>
    </w:p>
    <w:p>
      <w:pPr>
        <w:rPr>
          <w:rFonts w:ascii="宋体" w:hAnsi="宋体" w:cs="宋体"/>
          <w:bCs/>
          <w:kern w:val="0"/>
          <w:sz w:val="24"/>
          <w:szCs w:val="24"/>
        </w:rPr>
      </w:pPr>
      <w:r>
        <w:rPr>
          <w:rFonts w:hint="eastAsia" w:ascii="宋体" w:hAnsi="宋体" w:cs="宋体"/>
          <w:bCs/>
          <w:kern w:val="0"/>
          <w:sz w:val="24"/>
          <w:szCs w:val="24"/>
        </w:rPr>
        <w:t>3、计划工期： 120日历天</w:t>
      </w:r>
    </w:p>
    <w:p>
      <w:pPr>
        <w:rPr>
          <w:rFonts w:ascii="宋体" w:hAnsi="宋体" w:cs="宋体"/>
          <w:bCs/>
          <w:kern w:val="0"/>
          <w:sz w:val="24"/>
          <w:szCs w:val="24"/>
        </w:rPr>
      </w:pPr>
      <w:r>
        <w:rPr>
          <w:rFonts w:hint="eastAsia" w:ascii="宋体" w:hAnsi="宋体" w:cs="宋体"/>
          <w:bCs/>
          <w:kern w:val="0"/>
          <w:sz w:val="24"/>
          <w:szCs w:val="24"/>
        </w:rPr>
        <w:t>4、招标范围：编制黄石新港（物流）工业园区区域能源消费状况、能源消费总量和强 度“双控”目标、主要节能措施等内容。</w:t>
      </w:r>
    </w:p>
    <w:p>
      <w:pPr>
        <w:rPr>
          <w:rFonts w:ascii="宋体" w:hAnsi="宋体" w:cs="宋体"/>
          <w:bCs/>
          <w:kern w:val="0"/>
          <w:sz w:val="24"/>
          <w:szCs w:val="24"/>
        </w:rPr>
      </w:pPr>
      <w:r>
        <w:rPr>
          <w:rFonts w:hint="eastAsia" w:ascii="宋体" w:hAnsi="宋体" w:cs="宋体"/>
          <w:bCs/>
          <w:kern w:val="0"/>
          <w:sz w:val="24"/>
          <w:szCs w:val="24"/>
        </w:rPr>
        <w:t>5、本项目最高限价为人民币75万元</w:t>
      </w:r>
    </w:p>
    <w:p>
      <w:pPr>
        <w:rPr>
          <w:rFonts w:ascii="宋体" w:hAnsi="宋体"/>
          <w:bCs/>
          <w:sz w:val="24"/>
          <w:szCs w:val="24"/>
        </w:rPr>
      </w:pPr>
    </w:p>
    <w:p>
      <w:pPr>
        <w:rPr>
          <w:rFonts w:ascii="宋体" w:hAnsi="宋体" w:cs="宋体"/>
          <w:b/>
          <w:bCs/>
          <w:kern w:val="0"/>
          <w:sz w:val="24"/>
          <w:szCs w:val="24"/>
        </w:rPr>
      </w:pPr>
      <w:r>
        <w:rPr>
          <w:rFonts w:hint="eastAsia" w:ascii="宋体" w:hAnsi="宋体" w:cs="宋体"/>
          <w:b/>
          <w:bCs/>
          <w:kern w:val="0"/>
          <w:sz w:val="24"/>
          <w:szCs w:val="24"/>
        </w:rPr>
        <w:t>二、技术要求：</w:t>
      </w:r>
    </w:p>
    <w:bookmarkEnd w:id="0"/>
    <w:bookmarkEnd w:id="1"/>
    <w:bookmarkEnd w:id="2"/>
    <w:bookmarkEnd w:id="3"/>
    <w:bookmarkEnd w:id="4"/>
    <w:bookmarkEnd w:id="5"/>
    <w:bookmarkEnd w:id="6"/>
    <w:bookmarkEnd w:id="7"/>
    <w:p>
      <w:pPr>
        <w:adjustRightInd w:val="0"/>
        <w:snapToGrid w:val="0"/>
        <w:spacing w:line="300" w:lineRule="auto"/>
        <w:ind w:left="283" w:hanging="283" w:hangingChars="118"/>
        <w:rPr>
          <w:rFonts w:ascii="宋体" w:hAnsi="宋体"/>
          <w:bCs/>
          <w:sz w:val="24"/>
          <w:szCs w:val="24"/>
        </w:rPr>
      </w:pPr>
      <w:r>
        <w:rPr>
          <w:rFonts w:hint="eastAsia" w:ascii="宋体" w:hAnsi="宋体"/>
          <w:bCs/>
          <w:sz w:val="24"/>
          <w:szCs w:val="24"/>
        </w:rPr>
        <w:t>1.编制依据：</w:t>
      </w:r>
    </w:p>
    <w:p>
      <w:pPr>
        <w:adjustRightInd w:val="0"/>
        <w:snapToGrid w:val="0"/>
        <w:spacing w:line="300" w:lineRule="auto"/>
        <w:ind w:left="283" w:hanging="283" w:hangingChars="118"/>
        <w:rPr>
          <w:rFonts w:ascii="宋体" w:hAnsi="宋体"/>
          <w:bCs/>
          <w:sz w:val="24"/>
          <w:szCs w:val="24"/>
        </w:rPr>
      </w:pPr>
      <w:r>
        <w:rPr>
          <w:rFonts w:hint="eastAsia" w:ascii="宋体" w:hAnsi="宋体"/>
          <w:bCs/>
          <w:sz w:val="24"/>
          <w:szCs w:val="24"/>
        </w:rPr>
        <w:t>符合国家、湖北省和黄石市有关法律、法规、规程、规范及标准的要求。</w:t>
      </w:r>
    </w:p>
    <w:p>
      <w:pPr>
        <w:adjustRightInd w:val="0"/>
        <w:snapToGrid w:val="0"/>
        <w:spacing w:line="300" w:lineRule="auto"/>
        <w:ind w:left="283" w:hanging="283" w:hangingChars="118"/>
        <w:rPr>
          <w:rFonts w:ascii="宋体" w:hAnsi="宋体"/>
          <w:bCs/>
          <w:sz w:val="24"/>
          <w:szCs w:val="24"/>
        </w:rPr>
      </w:pPr>
      <w:r>
        <w:rPr>
          <w:rFonts w:hint="eastAsia" w:ascii="宋体" w:hAnsi="宋体"/>
          <w:bCs/>
          <w:sz w:val="24"/>
          <w:szCs w:val="24"/>
        </w:rPr>
        <w:t>2.编制内容包括：</w:t>
      </w:r>
    </w:p>
    <w:p>
      <w:pPr>
        <w:adjustRightInd w:val="0"/>
        <w:snapToGrid w:val="0"/>
        <w:spacing w:line="300" w:lineRule="auto"/>
        <w:ind w:left="2" w:firstLine="1"/>
        <w:rPr>
          <w:rFonts w:ascii="宋体" w:hAnsi="宋体"/>
          <w:bCs/>
          <w:sz w:val="24"/>
          <w:szCs w:val="24"/>
        </w:rPr>
      </w:pPr>
      <w:r>
        <w:rPr>
          <w:rFonts w:hint="eastAsia" w:ascii="宋体" w:hAnsi="宋体"/>
          <w:bCs/>
          <w:sz w:val="24"/>
          <w:szCs w:val="24"/>
        </w:rPr>
        <w:t>评价节能评估区域界定、节能评估评价依据、节能评估评价依据、节能评估原则和目的评价内容和重点、节能评估内容和重点评价原则和目的、 区域产业和能源概况及发展规划、区域能源“双控”目标及用能情况预测、区域能效指标、区域内行业类型及节用能管控、区域节能措施、结论与建议等内容。</w:t>
      </w:r>
    </w:p>
    <w:p>
      <w:pPr>
        <w:adjustRightInd w:val="0"/>
        <w:snapToGrid w:val="0"/>
        <w:spacing w:line="300" w:lineRule="auto"/>
        <w:ind w:left="284" w:hanging="284" w:hangingChars="118"/>
        <w:rPr>
          <w:rFonts w:ascii="宋体" w:hAnsi="宋体"/>
          <w:b/>
          <w:bCs/>
          <w:sz w:val="24"/>
          <w:szCs w:val="24"/>
        </w:rPr>
      </w:pPr>
      <w:r>
        <w:rPr>
          <w:rFonts w:hint="eastAsia" w:ascii="宋体" w:hAnsi="宋体"/>
          <w:b/>
          <w:bCs/>
          <w:sz w:val="24"/>
          <w:szCs w:val="24"/>
        </w:rPr>
        <w:t>三、商务服务要求：</w:t>
      </w:r>
    </w:p>
    <w:p>
      <w:pPr>
        <w:rPr>
          <w:rFonts w:ascii="宋体" w:hAnsi="宋体"/>
          <w:bCs/>
          <w:sz w:val="24"/>
          <w:szCs w:val="24"/>
        </w:rPr>
      </w:pPr>
      <w:r>
        <w:rPr>
          <w:rFonts w:hint="eastAsia" w:ascii="宋体" w:hAnsi="宋体"/>
          <w:bCs/>
          <w:sz w:val="24"/>
          <w:szCs w:val="24"/>
        </w:rPr>
        <w:t>1、计划工期：120日历天</w:t>
      </w:r>
    </w:p>
    <w:p>
      <w:pPr>
        <w:rPr>
          <w:rFonts w:ascii="宋体" w:hAnsi="宋体"/>
          <w:bCs/>
          <w:sz w:val="24"/>
          <w:szCs w:val="24"/>
        </w:rPr>
      </w:pPr>
      <w:r>
        <w:rPr>
          <w:rFonts w:hint="eastAsia" w:ascii="宋体" w:hAnsi="宋体"/>
          <w:bCs/>
          <w:sz w:val="24"/>
          <w:szCs w:val="24"/>
        </w:rPr>
        <w:t>2、付款方式：</w:t>
      </w:r>
      <w:r>
        <w:rPr>
          <w:rFonts w:hint="eastAsia" w:ascii="宋体" w:hAnsi="宋体"/>
          <w:bCs/>
          <w:color w:val="000000" w:themeColor="text1"/>
          <w:sz w:val="24"/>
          <w:szCs w:val="24"/>
        </w:rPr>
        <w:t>按报告进度进行支付。</w:t>
      </w:r>
    </w:p>
    <w:p>
      <w:pPr>
        <w:widowControl/>
        <w:jc w:val="left"/>
        <w:rPr>
          <w:rFonts w:ascii="宋体" w:hAnsi="宋体" w:cs="宋体"/>
          <w:bCs/>
          <w:kern w:val="0"/>
          <w:sz w:val="24"/>
        </w:rPr>
      </w:pPr>
    </w:p>
    <w:p>
      <w:pPr>
        <w:widowControl/>
        <w:jc w:val="left"/>
        <w:rPr>
          <w:rFonts w:ascii="宋体" w:hAnsi="宋体" w:cs="宋体"/>
          <w:bCs/>
          <w:kern w:val="0"/>
          <w:sz w:val="24"/>
        </w:rPr>
      </w:pPr>
    </w:p>
    <w:p>
      <w:pPr>
        <w:widowControl/>
        <w:jc w:val="left"/>
        <w:rPr>
          <w:rFonts w:ascii="宋体" w:hAnsi="宋体" w:cs="宋体"/>
          <w:bCs/>
          <w:kern w:val="0"/>
          <w:sz w:val="24"/>
        </w:rPr>
      </w:pPr>
    </w:p>
    <w:p>
      <w:pPr>
        <w:widowControl/>
        <w:jc w:val="left"/>
        <w:rPr>
          <w:rFonts w:ascii="宋体" w:hAnsi="宋体" w:cs="宋体"/>
          <w:bCs/>
          <w:kern w:val="0"/>
          <w:sz w:val="24"/>
        </w:rPr>
      </w:pPr>
    </w:p>
    <w:p>
      <w:pPr>
        <w:widowControl/>
        <w:jc w:val="left"/>
        <w:rPr>
          <w:rFonts w:ascii="宋体" w:hAnsi="宋体" w:cs="宋体"/>
          <w:bCs/>
          <w:kern w:val="0"/>
          <w:sz w:val="24"/>
        </w:rPr>
      </w:pPr>
    </w:p>
    <w:p>
      <w:pPr>
        <w:widowControl/>
        <w:jc w:val="left"/>
        <w:rPr>
          <w:rFonts w:ascii="宋体" w:hAnsi="宋体" w:cs="宋体"/>
          <w:bCs/>
          <w:kern w:val="0"/>
          <w:sz w:val="24"/>
        </w:rPr>
      </w:pPr>
    </w:p>
    <w:p>
      <w:pPr>
        <w:widowControl/>
        <w:jc w:val="left"/>
        <w:rPr>
          <w:rFonts w:ascii="宋体" w:hAnsi="宋体" w:cs="宋体"/>
          <w:bCs/>
          <w:kern w:val="0"/>
          <w:sz w:val="24"/>
        </w:rPr>
      </w:pPr>
    </w:p>
    <w:p>
      <w:pPr>
        <w:widowControl/>
        <w:jc w:val="left"/>
        <w:rPr>
          <w:rFonts w:ascii="宋体" w:hAnsi="宋体" w:cs="宋体"/>
          <w:bCs/>
          <w:kern w:val="0"/>
          <w:sz w:val="24"/>
        </w:rPr>
      </w:pPr>
    </w:p>
    <w:p>
      <w:pPr>
        <w:widowControl/>
        <w:jc w:val="left"/>
        <w:rPr>
          <w:rFonts w:ascii="宋体" w:hAnsi="宋体" w:cs="宋体"/>
          <w:bCs/>
          <w:kern w:val="0"/>
          <w:sz w:val="24"/>
        </w:rPr>
      </w:pPr>
    </w:p>
    <w:p>
      <w:pPr>
        <w:widowControl/>
        <w:jc w:val="left"/>
        <w:rPr>
          <w:rFonts w:ascii="宋体" w:hAnsi="宋体" w:cs="宋体"/>
          <w:bCs/>
          <w:kern w:val="0"/>
          <w:sz w:val="24"/>
        </w:rPr>
      </w:pPr>
    </w:p>
    <w:p>
      <w:pPr>
        <w:widowControl/>
        <w:jc w:val="left"/>
        <w:rPr>
          <w:rFonts w:ascii="宋体" w:hAnsi="宋体" w:cs="宋体"/>
          <w:bCs/>
          <w:kern w:val="0"/>
          <w:sz w:val="24"/>
        </w:rPr>
      </w:pPr>
    </w:p>
    <w:p>
      <w:pPr>
        <w:widowControl/>
        <w:jc w:val="left"/>
        <w:rPr>
          <w:rFonts w:ascii="宋体" w:hAnsi="宋体" w:cs="宋体"/>
          <w:bCs/>
          <w:kern w:val="0"/>
          <w:sz w:val="24"/>
        </w:rPr>
      </w:pPr>
    </w:p>
    <w:p>
      <w:pPr>
        <w:widowControl/>
        <w:jc w:val="left"/>
        <w:rPr>
          <w:rFonts w:ascii="宋体" w:hAnsi="宋体" w:cs="宋体"/>
          <w:bCs/>
          <w:kern w:val="0"/>
          <w:sz w:val="24"/>
        </w:rPr>
      </w:pPr>
    </w:p>
    <w:p>
      <w:pPr>
        <w:widowControl/>
        <w:jc w:val="left"/>
        <w:rPr>
          <w:rFonts w:ascii="宋体" w:hAnsi="宋体" w:cs="宋体"/>
          <w:bCs/>
          <w:kern w:val="0"/>
          <w:sz w:val="24"/>
        </w:rPr>
      </w:pPr>
    </w:p>
    <w:p>
      <w:pPr>
        <w:widowControl/>
        <w:jc w:val="left"/>
        <w:rPr>
          <w:rFonts w:ascii="宋体" w:hAnsi="宋体" w:cs="宋体"/>
          <w:bCs/>
          <w:kern w:val="0"/>
          <w:sz w:val="24"/>
        </w:rPr>
      </w:pPr>
    </w:p>
    <w:p>
      <w:pPr>
        <w:widowControl/>
        <w:jc w:val="left"/>
        <w:rPr>
          <w:rFonts w:ascii="宋体" w:hAnsi="宋体" w:cs="宋体"/>
          <w:bCs/>
          <w:kern w:val="0"/>
          <w:sz w:val="24"/>
        </w:rPr>
      </w:pPr>
    </w:p>
    <w:p>
      <w:pPr>
        <w:widowControl/>
        <w:jc w:val="left"/>
        <w:rPr>
          <w:rFonts w:ascii="宋体" w:hAnsi="宋体" w:cs="宋体"/>
          <w:bCs/>
          <w:kern w:val="0"/>
          <w:sz w:val="24"/>
        </w:rPr>
      </w:pPr>
    </w:p>
    <w:p>
      <w:pPr>
        <w:widowControl/>
        <w:jc w:val="left"/>
        <w:rPr>
          <w:rFonts w:ascii="宋体" w:hAnsi="宋体" w:cs="宋体"/>
          <w:bCs/>
          <w:kern w:val="0"/>
          <w:sz w:val="24"/>
        </w:rPr>
      </w:pPr>
    </w:p>
    <w:p>
      <w:pPr>
        <w:widowControl/>
        <w:jc w:val="left"/>
        <w:rPr>
          <w:rFonts w:ascii="宋体" w:hAnsi="宋体" w:cs="宋体"/>
          <w:bCs/>
          <w:kern w:val="0"/>
          <w:sz w:val="24"/>
        </w:rPr>
      </w:pPr>
    </w:p>
    <w:p>
      <w:pPr>
        <w:spacing w:line="360" w:lineRule="auto"/>
        <w:rPr>
          <w:rFonts w:ascii="宋体" w:hAnsi="宋体" w:cs="宋体"/>
          <w:bCs/>
          <w:kern w:val="0"/>
          <w:sz w:val="24"/>
        </w:rPr>
      </w:pPr>
    </w:p>
    <w:p>
      <w:pPr>
        <w:spacing w:line="360" w:lineRule="auto"/>
        <w:ind w:right="-34" w:rightChars="-16"/>
        <w:jc w:val="center"/>
        <w:rPr>
          <w:rFonts w:ascii="宋体" w:hAnsi="宋体" w:cs="宋体"/>
          <w:b/>
          <w:bCs/>
          <w:kern w:val="0"/>
          <w:sz w:val="36"/>
        </w:rPr>
      </w:pPr>
      <w:r>
        <w:rPr>
          <w:rFonts w:ascii="宋体" w:hAnsi="宋体" w:cs="宋体"/>
          <w:b/>
          <w:bCs/>
          <w:kern w:val="0"/>
          <w:sz w:val="36"/>
        </w:rPr>
        <w:t>评审办法及评分标准</w:t>
      </w:r>
    </w:p>
    <w:tbl>
      <w:tblPr>
        <w:tblStyle w:val="9"/>
        <w:tblpPr w:leftFromText="180" w:rightFromText="180" w:vertAnchor="text" w:horzAnchor="page" w:tblpX="1157" w:tblpY="75"/>
        <w:tblOverlap w:val="never"/>
        <w:tblW w:w="100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5"/>
        <w:gridCol w:w="1425"/>
        <w:gridCol w:w="765"/>
        <w:gridCol w:w="6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155" w:type="dxa"/>
            <w:shd w:val="clear" w:color="auto" w:fill="C7C7C7"/>
            <w:vAlign w:val="center"/>
          </w:tcPr>
          <w:p>
            <w:pPr>
              <w:spacing w:line="360" w:lineRule="auto"/>
              <w:rPr>
                <w:rFonts w:ascii="宋体" w:hAnsi="宋体" w:cs="宋体"/>
                <w:b/>
                <w:bCs/>
                <w:kern w:val="0"/>
                <w:sz w:val="24"/>
                <w:lang w:bidi="zh-CN"/>
              </w:rPr>
            </w:pPr>
            <w:r>
              <w:rPr>
                <w:rFonts w:ascii="宋体" w:hAnsi="宋体" w:cs="宋体"/>
                <w:b/>
                <w:bCs/>
                <w:kern w:val="0"/>
                <w:sz w:val="24"/>
                <w:lang w:bidi="zh-CN"/>
              </w:rPr>
              <w:t>评标分项</w:t>
            </w:r>
          </w:p>
        </w:tc>
        <w:tc>
          <w:tcPr>
            <w:tcW w:w="1425" w:type="dxa"/>
            <w:shd w:val="clear" w:color="auto" w:fill="C7C7C7"/>
            <w:vAlign w:val="center"/>
          </w:tcPr>
          <w:p>
            <w:pPr>
              <w:spacing w:line="360" w:lineRule="auto"/>
              <w:rPr>
                <w:rFonts w:ascii="宋体" w:hAnsi="宋体" w:cs="宋体"/>
                <w:b/>
                <w:bCs/>
                <w:kern w:val="0"/>
                <w:sz w:val="24"/>
                <w:lang w:bidi="zh-CN"/>
              </w:rPr>
            </w:pPr>
            <w:r>
              <w:rPr>
                <w:rFonts w:ascii="宋体" w:hAnsi="宋体" w:cs="宋体"/>
                <w:b/>
                <w:bCs/>
                <w:kern w:val="0"/>
                <w:sz w:val="24"/>
                <w:lang w:bidi="zh-CN"/>
              </w:rPr>
              <w:t>评分项目</w:t>
            </w:r>
          </w:p>
        </w:tc>
        <w:tc>
          <w:tcPr>
            <w:tcW w:w="765" w:type="dxa"/>
            <w:shd w:val="clear" w:color="auto" w:fill="C7C7C7"/>
            <w:vAlign w:val="center"/>
          </w:tcPr>
          <w:p>
            <w:pPr>
              <w:spacing w:line="360" w:lineRule="auto"/>
              <w:rPr>
                <w:rFonts w:ascii="宋体" w:hAnsi="宋体" w:cs="宋体"/>
                <w:b/>
                <w:bCs/>
                <w:kern w:val="0"/>
                <w:sz w:val="24"/>
                <w:lang w:bidi="zh-CN"/>
              </w:rPr>
            </w:pPr>
            <w:r>
              <w:rPr>
                <w:rFonts w:ascii="宋体" w:hAnsi="宋体" w:cs="宋体"/>
                <w:b/>
                <w:bCs/>
                <w:kern w:val="0"/>
                <w:sz w:val="24"/>
                <w:lang w:bidi="zh-CN"/>
              </w:rPr>
              <w:t>分值</w:t>
            </w:r>
          </w:p>
        </w:tc>
        <w:tc>
          <w:tcPr>
            <w:tcW w:w="6705" w:type="dxa"/>
            <w:shd w:val="clear" w:color="auto" w:fill="C7C7C7"/>
            <w:vAlign w:val="center"/>
          </w:tcPr>
          <w:p>
            <w:pPr>
              <w:spacing w:line="360" w:lineRule="auto"/>
              <w:rPr>
                <w:rFonts w:ascii="宋体" w:hAnsi="宋体" w:cs="宋体"/>
                <w:b/>
                <w:bCs/>
                <w:kern w:val="0"/>
                <w:sz w:val="24"/>
                <w:lang w:bidi="zh-CN"/>
              </w:rPr>
            </w:pPr>
            <w:r>
              <w:rPr>
                <w:rFonts w:ascii="宋体" w:hAnsi="宋体" w:cs="宋体"/>
                <w:b/>
                <w:bCs/>
                <w:kern w:val="0"/>
                <w:sz w:val="24"/>
                <w:lang w:bidi="zh-CN"/>
              </w:rPr>
              <w:t>评分内容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155" w:type="dxa"/>
            <w:shd w:val="clear" w:color="auto" w:fill="auto"/>
            <w:vAlign w:val="center"/>
          </w:tcPr>
          <w:p>
            <w:pPr>
              <w:spacing w:line="360" w:lineRule="auto"/>
              <w:rPr>
                <w:rFonts w:ascii="宋体" w:hAnsi="宋体" w:cs="宋体"/>
                <w:bCs/>
                <w:kern w:val="0"/>
                <w:sz w:val="24"/>
                <w:lang w:bidi="zh-CN"/>
              </w:rPr>
            </w:pPr>
            <w:r>
              <w:rPr>
                <w:rFonts w:hint="eastAsia" w:ascii="宋体" w:hAnsi="宋体" w:cs="宋体"/>
                <w:b/>
                <w:bCs/>
                <w:kern w:val="0"/>
                <w:sz w:val="24"/>
                <w:lang w:bidi="zh-CN"/>
              </w:rPr>
              <w:t>价格评分</w:t>
            </w:r>
            <w:r>
              <w:rPr>
                <w:rFonts w:hint="eastAsia" w:ascii="宋体" w:hAnsi="宋体" w:cs="宋体"/>
                <w:b/>
                <w:bCs/>
                <w:kern w:val="0"/>
                <w:sz w:val="24"/>
              </w:rPr>
              <w:t>1</w:t>
            </w:r>
            <w:r>
              <w:rPr>
                <w:rFonts w:hint="eastAsia" w:ascii="宋体" w:hAnsi="宋体" w:cs="宋体"/>
                <w:b/>
                <w:bCs/>
                <w:kern w:val="0"/>
                <w:sz w:val="24"/>
                <w:lang w:bidi="zh-CN"/>
              </w:rPr>
              <w:t>0 分</w:t>
            </w:r>
          </w:p>
        </w:tc>
        <w:tc>
          <w:tcPr>
            <w:tcW w:w="1425" w:type="dxa"/>
            <w:shd w:val="clear" w:color="auto" w:fill="auto"/>
            <w:vAlign w:val="center"/>
          </w:tcPr>
          <w:p>
            <w:pPr>
              <w:spacing w:line="360" w:lineRule="auto"/>
              <w:rPr>
                <w:rFonts w:ascii="宋体" w:hAnsi="宋体" w:cs="宋体"/>
                <w:bCs/>
                <w:kern w:val="0"/>
                <w:sz w:val="24"/>
              </w:rPr>
            </w:pPr>
            <w:r>
              <w:rPr>
                <w:rFonts w:hint="eastAsia" w:ascii="宋体" w:hAnsi="宋体" w:cs="宋体"/>
                <w:bCs/>
                <w:kern w:val="0"/>
                <w:sz w:val="24"/>
              </w:rPr>
              <w:t>投标报价</w:t>
            </w:r>
          </w:p>
        </w:tc>
        <w:tc>
          <w:tcPr>
            <w:tcW w:w="765" w:type="dxa"/>
            <w:shd w:val="clear" w:color="auto" w:fill="auto"/>
            <w:vAlign w:val="center"/>
          </w:tcPr>
          <w:p>
            <w:pPr>
              <w:spacing w:line="360" w:lineRule="auto"/>
              <w:rPr>
                <w:rFonts w:ascii="宋体" w:hAnsi="宋体" w:cs="宋体"/>
                <w:bCs/>
                <w:kern w:val="0"/>
                <w:sz w:val="24"/>
              </w:rPr>
            </w:pPr>
            <w:r>
              <w:rPr>
                <w:rFonts w:hint="eastAsia" w:ascii="宋体" w:hAnsi="宋体" w:cs="宋体"/>
                <w:bCs/>
                <w:kern w:val="0"/>
                <w:sz w:val="24"/>
              </w:rPr>
              <w:t>10 分</w:t>
            </w:r>
          </w:p>
        </w:tc>
        <w:tc>
          <w:tcPr>
            <w:tcW w:w="6705" w:type="dxa"/>
            <w:shd w:val="clear" w:color="auto" w:fill="auto"/>
            <w:vAlign w:val="center"/>
          </w:tcPr>
          <w:p>
            <w:pPr>
              <w:spacing w:line="360" w:lineRule="auto"/>
              <w:ind w:right="122" w:rightChars="58"/>
              <w:rPr>
                <w:rFonts w:ascii="宋体" w:hAnsi="宋体" w:cs="宋体"/>
                <w:bCs/>
                <w:kern w:val="0"/>
                <w:sz w:val="24"/>
                <w:lang w:bidi="zh-CN"/>
              </w:rPr>
            </w:pPr>
            <w:r>
              <w:rPr>
                <w:rFonts w:hint="eastAsia" w:ascii="宋体" w:hAnsi="宋体" w:cs="宋体"/>
                <w:bCs/>
                <w:kern w:val="0"/>
                <w:sz w:val="24"/>
                <w:lang w:bidi="zh-CN"/>
              </w:rPr>
              <w:t xml:space="preserve">评标基准价为通过资格性审查和初步审查合格的供应商的投标报价中价格最低的投标报价为评标基准价， 其价格为 </w:t>
            </w:r>
            <w:r>
              <w:rPr>
                <w:rFonts w:hint="eastAsia" w:ascii="宋体" w:hAnsi="宋体" w:cs="宋体"/>
                <w:bCs/>
                <w:kern w:val="0"/>
                <w:sz w:val="24"/>
              </w:rPr>
              <w:t>1</w:t>
            </w:r>
            <w:r>
              <w:rPr>
                <w:rFonts w:hint="eastAsia" w:ascii="宋体" w:hAnsi="宋体" w:cs="宋体"/>
                <w:bCs/>
                <w:kern w:val="0"/>
                <w:sz w:val="24"/>
                <w:lang w:bidi="zh-CN"/>
              </w:rPr>
              <w:t>0 分。其他供应商的价格分按照下列公式计算：投标报价得分＝（评标基准价/投标报价）×</w:t>
            </w:r>
            <w:r>
              <w:rPr>
                <w:rFonts w:hint="eastAsia" w:ascii="宋体" w:hAnsi="宋体" w:cs="宋体"/>
                <w:bCs/>
                <w:kern w:val="0"/>
                <w:sz w:val="24"/>
              </w:rPr>
              <w:t>1</w:t>
            </w:r>
            <w:r>
              <w:rPr>
                <w:rFonts w:hint="eastAsia" w:ascii="宋体" w:hAnsi="宋体" w:cs="宋体"/>
                <w:bCs/>
                <w:kern w:val="0"/>
                <w:sz w:val="24"/>
                <w:lang w:bidi="zh-CN"/>
              </w:rPr>
              <w:t>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1155" w:type="dxa"/>
            <w:vMerge w:val="restart"/>
            <w:vAlign w:val="center"/>
          </w:tcPr>
          <w:p>
            <w:pPr>
              <w:spacing w:line="360" w:lineRule="auto"/>
              <w:rPr>
                <w:rFonts w:ascii="宋体" w:hAnsi="宋体" w:cs="宋体"/>
                <w:b/>
                <w:bCs/>
                <w:kern w:val="0"/>
                <w:sz w:val="24"/>
                <w:lang w:bidi="zh-CN"/>
              </w:rPr>
            </w:pPr>
          </w:p>
          <w:p>
            <w:pPr>
              <w:spacing w:line="360" w:lineRule="auto"/>
              <w:rPr>
                <w:rFonts w:ascii="宋体" w:hAnsi="宋体" w:cs="宋体"/>
                <w:b/>
                <w:bCs/>
                <w:kern w:val="0"/>
                <w:sz w:val="24"/>
                <w:lang w:bidi="zh-CN"/>
              </w:rPr>
            </w:pPr>
            <w:r>
              <w:rPr>
                <w:rFonts w:hint="eastAsia" w:ascii="宋体" w:hAnsi="宋体" w:cs="宋体"/>
                <w:b/>
                <w:bCs/>
                <w:kern w:val="0"/>
                <w:sz w:val="24"/>
                <w:lang w:bidi="zh-CN"/>
              </w:rPr>
              <w:t>商务评分</w:t>
            </w:r>
            <w:r>
              <w:rPr>
                <w:rFonts w:hint="eastAsia" w:ascii="宋体" w:hAnsi="宋体" w:cs="宋体"/>
                <w:b/>
                <w:bCs/>
                <w:kern w:val="0"/>
                <w:sz w:val="24"/>
              </w:rPr>
              <w:t>30</w:t>
            </w:r>
            <w:r>
              <w:rPr>
                <w:rFonts w:hint="eastAsia" w:ascii="宋体" w:hAnsi="宋体" w:cs="宋体"/>
                <w:b/>
                <w:bCs/>
                <w:kern w:val="0"/>
                <w:sz w:val="24"/>
                <w:lang w:bidi="zh-CN"/>
              </w:rPr>
              <w:t xml:space="preserve"> 分</w:t>
            </w:r>
          </w:p>
        </w:tc>
        <w:tc>
          <w:tcPr>
            <w:tcW w:w="1425" w:type="dxa"/>
            <w:vAlign w:val="center"/>
          </w:tcPr>
          <w:p>
            <w:pPr>
              <w:spacing w:line="360" w:lineRule="auto"/>
              <w:rPr>
                <w:rFonts w:ascii="宋体" w:hAnsi="宋体" w:cs="宋体"/>
                <w:bCs/>
                <w:kern w:val="0"/>
                <w:sz w:val="24"/>
              </w:rPr>
            </w:pPr>
            <w:r>
              <w:rPr>
                <w:rFonts w:hint="eastAsia" w:ascii="宋体" w:hAnsi="宋体" w:cs="宋体"/>
                <w:bCs/>
                <w:kern w:val="0"/>
                <w:sz w:val="24"/>
              </w:rPr>
              <w:t>项目负责人</w:t>
            </w:r>
          </w:p>
        </w:tc>
        <w:tc>
          <w:tcPr>
            <w:tcW w:w="765" w:type="dxa"/>
            <w:vAlign w:val="center"/>
          </w:tcPr>
          <w:p>
            <w:pPr>
              <w:spacing w:line="360" w:lineRule="auto"/>
              <w:rPr>
                <w:rFonts w:ascii="宋体" w:hAnsi="宋体" w:cs="宋体"/>
                <w:bCs/>
                <w:kern w:val="0"/>
                <w:sz w:val="24"/>
              </w:rPr>
            </w:pPr>
            <w:r>
              <w:rPr>
                <w:rFonts w:hint="eastAsia" w:ascii="宋体" w:hAnsi="宋体" w:cs="宋体"/>
                <w:bCs/>
                <w:kern w:val="0"/>
                <w:sz w:val="24"/>
              </w:rPr>
              <w:t>12分</w:t>
            </w:r>
          </w:p>
        </w:tc>
        <w:tc>
          <w:tcPr>
            <w:tcW w:w="6705" w:type="dxa"/>
            <w:vAlign w:val="center"/>
          </w:tcPr>
          <w:p>
            <w:pPr>
              <w:spacing w:line="360" w:lineRule="auto"/>
              <w:ind w:right="122" w:rightChars="58"/>
              <w:rPr>
                <w:rFonts w:ascii="宋体" w:hAnsi="宋体" w:cs="宋体"/>
                <w:bCs/>
                <w:kern w:val="0"/>
                <w:sz w:val="24"/>
                <w:lang w:bidi="zh-CN"/>
              </w:rPr>
            </w:pPr>
            <w:r>
              <w:rPr>
                <w:rFonts w:hint="eastAsia" w:ascii="宋体" w:hAnsi="宋体" w:cs="宋体"/>
                <w:bCs/>
                <w:kern w:val="0"/>
                <w:sz w:val="24"/>
                <w:lang w:bidi="zh-CN"/>
              </w:rPr>
              <w:t>拟派本项目负责人具有全日制本科及以上得</w:t>
            </w:r>
            <w:r>
              <w:rPr>
                <w:rFonts w:hint="eastAsia" w:ascii="宋体" w:hAnsi="宋体" w:cs="宋体"/>
                <w:bCs/>
                <w:kern w:val="0"/>
                <w:sz w:val="24"/>
              </w:rPr>
              <w:t>6</w:t>
            </w:r>
            <w:r>
              <w:rPr>
                <w:rFonts w:hint="eastAsia" w:ascii="宋体" w:hAnsi="宋体" w:cs="宋体"/>
                <w:bCs/>
                <w:kern w:val="0"/>
                <w:sz w:val="24"/>
                <w:lang w:bidi="zh-CN"/>
              </w:rPr>
              <w:t>分，具有高级职称证的得</w:t>
            </w:r>
            <w:r>
              <w:rPr>
                <w:rFonts w:hint="eastAsia" w:ascii="宋体" w:hAnsi="宋体" w:cs="宋体"/>
                <w:bCs/>
                <w:kern w:val="0"/>
                <w:sz w:val="24"/>
              </w:rPr>
              <w:t>6</w:t>
            </w:r>
            <w:r>
              <w:rPr>
                <w:rFonts w:hint="eastAsia" w:ascii="宋体" w:hAnsi="宋体" w:cs="宋体"/>
                <w:bCs/>
                <w:kern w:val="0"/>
                <w:sz w:val="24"/>
                <w:lang w:bidi="zh-CN"/>
              </w:rPr>
              <w:t>分，满分</w:t>
            </w:r>
            <w:r>
              <w:rPr>
                <w:rFonts w:hint="eastAsia" w:ascii="宋体" w:hAnsi="宋体" w:cs="宋体"/>
                <w:bCs/>
                <w:kern w:val="0"/>
                <w:sz w:val="24"/>
              </w:rPr>
              <w:t>12分。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155" w:type="dxa"/>
            <w:vMerge w:val="continue"/>
            <w:tcBorders>
              <w:top w:val="nil"/>
            </w:tcBorders>
            <w:vAlign w:val="center"/>
          </w:tcPr>
          <w:p>
            <w:pPr>
              <w:spacing w:line="360" w:lineRule="auto"/>
              <w:rPr>
                <w:rFonts w:ascii="宋体" w:hAnsi="宋体" w:cs="宋体"/>
                <w:bCs/>
                <w:kern w:val="0"/>
                <w:sz w:val="24"/>
              </w:rPr>
            </w:pPr>
          </w:p>
        </w:tc>
        <w:tc>
          <w:tcPr>
            <w:tcW w:w="1425" w:type="dxa"/>
            <w:vAlign w:val="center"/>
          </w:tcPr>
          <w:p>
            <w:pPr>
              <w:spacing w:line="360" w:lineRule="auto"/>
              <w:rPr>
                <w:rFonts w:ascii="宋体" w:hAnsi="宋体" w:cs="宋体"/>
                <w:bCs/>
                <w:kern w:val="0"/>
                <w:sz w:val="24"/>
              </w:rPr>
            </w:pPr>
            <w:r>
              <w:rPr>
                <w:rFonts w:hint="eastAsia" w:ascii="宋体" w:hAnsi="宋体" w:cs="宋体"/>
                <w:bCs/>
                <w:kern w:val="0"/>
                <w:sz w:val="24"/>
              </w:rPr>
              <w:t>技术负责人</w:t>
            </w:r>
          </w:p>
        </w:tc>
        <w:tc>
          <w:tcPr>
            <w:tcW w:w="765" w:type="dxa"/>
            <w:vAlign w:val="center"/>
          </w:tcPr>
          <w:p>
            <w:pPr>
              <w:spacing w:line="360" w:lineRule="auto"/>
              <w:rPr>
                <w:rFonts w:ascii="宋体" w:hAnsi="宋体" w:cs="宋体"/>
                <w:bCs/>
                <w:kern w:val="0"/>
                <w:sz w:val="24"/>
              </w:rPr>
            </w:pPr>
            <w:r>
              <w:rPr>
                <w:rFonts w:hint="eastAsia" w:ascii="宋体" w:hAnsi="宋体" w:cs="宋体"/>
                <w:bCs/>
                <w:kern w:val="0"/>
                <w:sz w:val="24"/>
              </w:rPr>
              <w:t>6分</w:t>
            </w:r>
          </w:p>
        </w:tc>
        <w:tc>
          <w:tcPr>
            <w:tcW w:w="6705" w:type="dxa"/>
            <w:vAlign w:val="center"/>
          </w:tcPr>
          <w:p>
            <w:pPr>
              <w:spacing w:line="360" w:lineRule="auto"/>
              <w:ind w:right="263" w:rightChars="125"/>
              <w:rPr>
                <w:rFonts w:ascii="宋体" w:hAnsi="宋体" w:cs="宋体"/>
                <w:bCs/>
                <w:kern w:val="0"/>
                <w:sz w:val="24"/>
              </w:rPr>
            </w:pPr>
            <w:r>
              <w:rPr>
                <w:rFonts w:hint="eastAsia" w:ascii="宋体" w:hAnsi="宋体" w:cs="宋体"/>
                <w:bCs/>
                <w:kern w:val="0"/>
                <w:sz w:val="24"/>
                <w:lang w:bidi="zh-CN"/>
              </w:rPr>
              <w:t>拟派技术负责人具有高级职称证的得</w:t>
            </w:r>
            <w:r>
              <w:rPr>
                <w:rFonts w:hint="eastAsia" w:ascii="宋体" w:hAnsi="宋体" w:cs="宋体"/>
                <w:bCs/>
                <w:kern w:val="0"/>
                <w:sz w:val="24"/>
              </w:rPr>
              <w:t>6</w:t>
            </w:r>
            <w:r>
              <w:rPr>
                <w:rFonts w:hint="eastAsia" w:ascii="宋体" w:hAnsi="宋体" w:cs="宋体"/>
                <w:bCs/>
                <w:kern w:val="0"/>
                <w:sz w:val="24"/>
                <w:lang w:bidi="zh-CN"/>
              </w:rPr>
              <w:t>分，满分</w:t>
            </w:r>
            <w:r>
              <w:rPr>
                <w:rFonts w:hint="eastAsia" w:ascii="宋体" w:hAnsi="宋体" w:cs="宋体"/>
                <w:bCs/>
                <w:kern w:val="0"/>
                <w:sz w:val="24"/>
              </w:rPr>
              <w:t>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155" w:type="dxa"/>
            <w:vMerge w:val="continue"/>
            <w:tcBorders>
              <w:top w:val="nil"/>
            </w:tcBorders>
            <w:vAlign w:val="center"/>
          </w:tcPr>
          <w:p>
            <w:pPr>
              <w:spacing w:line="360" w:lineRule="auto"/>
              <w:rPr>
                <w:rFonts w:ascii="宋体" w:hAnsi="宋体" w:cs="宋体"/>
                <w:bCs/>
                <w:kern w:val="0"/>
                <w:sz w:val="24"/>
              </w:rPr>
            </w:pPr>
          </w:p>
        </w:tc>
        <w:tc>
          <w:tcPr>
            <w:tcW w:w="1425" w:type="dxa"/>
            <w:vAlign w:val="center"/>
          </w:tcPr>
          <w:p>
            <w:pPr>
              <w:spacing w:line="360" w:lineRule="auto"/>
              <w:rPr>
                <w:rFonts w:ascii="宋体" w:hAnsi="宋体" w:cs="宋体"/>
                <w:bCs/>
                <w:kern w:val="0"/>
                <w:sz w:val="24"/>
              </w:rPr>
            </w:pPr>
            <w:r>
              <w:rPr>
                <w:rFonts w:hint="eastAsia" w:ascii="宋体" w:hAnsi="宋体" w:cs="宋体"/>
                <w:bCs/>
                <w:kern w:val="0"/>
                <w:sz w:val="24"/>
              </w:rPr>
              <w:t>项目组成员</w:t>
            </w:r>
          </w:p>
        </w:tc>
        <w:tc>
          <w:tcPr>
            <w:tcW w:w="765" w:type="dxa"/>
            <w:vAlign w:val="center"/>
          </w:tcPr>
          <w:p>
            <w:pPr>
              <w:spacing w:line="360" w:lineRule="auto"/>
              <w:rPr>
                <w:rFonts w:ascii="宋体" w:hAnsi="宋体" w:cs="宋体"/>
                <w:bCs/>
                <w:kern w:val="0"/>
                <w:sz w:val="24"/>
              </w:rPr>
            </w:pPr>
            <w:r>
              <w:rPr>
                <w:rFonts w:hint="eastAsia" w:ascii="宋体" w:hAnsi="宋体" w:cs="宋体"/>
                <w:bCs/>
                <w:kern w:val="0"/>
                <w:sz w:val="24"/>
              </w:rPr>
              <w:t>12分</w:t>
            </w:r>
          </w:p>
        </w:tc>
        <w:tc>
          <w:tcPr>
            <w:tcW w:w="6705" w:type="dxa"/>
            <w:vAlign w:val="center"/>
          </w:tcPr>
          <w:p>
            <w:pPr>
              <w:spacing w:line="360" w:lineRule="auto"/>
              <w:ind w:right="122" w:rightChars="58"/>
              <w:rPr>
                <w:rFonts w:ascii="宋体" w:hAnsi="宋体" w:cs="宋体"/>
                <w:bCs/>
                <w:kern w:val="0"/>
                <w:sz w:val="24"/>
                <w:lang w:bidi="zh-CN"/>
              </w:rPr>
            </w:pPr>
            <w:r>
              <w:rPr>
                <w:rFonts w:hint="eastAsia" w:ascii="宋体" w:hAnsi="宋体" w:cs="宋体"/>
                <w:bCs/>
                <w:kern w:val="0"/>
                <w:sz w:val="24"/>
                <w:lang w:bidi="zh-CN"/>
              </w:rPr>
              <w:t>拟派</w:t>
            </w:r>
            <w:r>
              <w:rPr>
                <w:rFonts w:hint="eastAsia" w:ascii="宋体" w:hAnsi="宋体" w:cs="宋体"/>
                <w:bCs/>
                <w:kern w:val="0"/>
                <w:sz w:val="24"/>
              </w:rPr>
              <w:t>项目组</w:t>
            </w:r>
            <w:r>
              <w:rPr>
                <w:rFonts w:hint="eastAsia" w:ascii="宋体" w:hAnsi="宋体" w:cs="宋体"/>
                <w:bCs/>
                <w:kern w:val="0"/>
                <w:sz w:val="24"/>
                <w:lang w:bidi="zh-CN"/>
              </w:rPr>
              <w:t>成员中具有相关专业中级职称及以上的，每人得</w:t>
            </w:r>
            <w:r>
              <w:rPr>
                <w:rFonts w:hint="eastAsia" w:ascii="宋体" w:hAnsi="宋体" w:cs="宋体"/>
                <w:bCs/>
                <w:kern w:val="0"/>
                <w:sz w:val="24"/>
              </w:rPr>
              <w:t>4分，最多得12分。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1155" w:type="dxa"/>
            <w:vMerge w:val="restart"/>
            <w:vAlign w:val="center"/>
          </w:tcPr>
          <w:p>
            <w:pPr>
              <w:spacing w:line="360" w:lineRule="auto"/>
              <w:rPr>
                <w:rFonts w:ascii="宋体" w:hAnsi="宋体" w:cs="宋体"/>
                <w:b/>
                <w:bCs/>
                <w:kern w:val="0"/>
                <w:sz w:val="24"/>
                <w:lang w:bidi="zh-CN"/>
              </w:rPr>
            </w:pPr>
            <w:r>
              <w:rPr>
                <w:rFonts w:hint="eastAsia" w:ascii="宋体" w:hAnsi="宋体" w:cs="宋体"/>
                <w:b/>
                <w:bCs/>
                <w:kern w:val="0"/>
                <w:sz w:val="24"/>
                <w:lang w:bidi="zh-CN"/>
              </w:rPr>
              <w:t>技术评分</w:t>
            </w:r>
            <w:r>
              <w:rPr>
                <w:rFonts w:hint="eastAsia" w:ascii="宋体" w:hAnsi="宋体" w:cs="宋体"/>
                <w:b/>
                <w:bCs/>
                <w:kern w:val="0"/>
                <w:sz w:val="24"/>
              </w:rPr>
              <w:t>60</w:t>
            </w:r>
            <w:r>
              <w:rPr>
                <w:rFonts w:hint="eastAsia" w:ascii="宋体" w:hAnsi="宋体" w:cs="宋体"/>
                <w:b/>
                <w:bCs/>
                <w:kern w:val="0"/>
                <w:sz w:val="24"/>
                <w:lang w:bidi="zh-CN"/>
              </w:rPr>
              <w:t xml:space="preserve"> 分</w:t>
            </w:r>
          </w:p>
        </w:tc>
        <w:tc>
          <w:tcPr>
            <w:tcW w:w="1425" w:type="dxa"/>
            <w:vAlign w:val="center"/>
          </w:tcPr>
          <w:p>
            <w:pPr>
              <w:spacing w:line="360" w:lineRule="auto"/>
              <w:rPr>
                <w:rFonts w:ascii="宋体" w:hAnsi="宋体" w:cs="宋体"/>
                <w:bCs/>
                <w:kern w:val="0"/>
                <w:sz w:val="24"/>
              </w:rPr>
            </w:pPr>
            <w:r>
              <w:rPr>
                <w:rFonts w:hint="eastAsia" w:ascii="宋体" w:hAnsi="宋体" w:cs="宋体"/>
                <w:bCs/>
                <w:kern w:val="0"/>
                <w:sz w:val="24"/>
              </w:rPr>
              <w:t>技术方案</w:t>
            </w:r>
          </w:p>
        </w:tc>
        <w:tc>
          <w:tcPr>
            <w:tcW w:w="765" w:type="dxa"/>
            <w:vAlign w:val="center"/>
          </w:tcPr>
          <w:p>
            <w:pPr>
              <w:spacing w:line="360" w:lineRule="auto"/>
              <w:rPr>
                <w:rFonts w:ascii="宋体" w:hAnsi="宋体" w:cs="宋体"/>
                <w:bCs/>
                <w:kern w:val="0"/>
                <w:sz w:val="24"/>
              </w:rPr>
            </w:pPr>
            <w:r>
              <w:rPr>
                <w:rFonts w:hint="eastAsia" w:ascii="宋体" w:hAnsi="宋体" w:cs="宋体"/>
                <w:bCs/>
                <w:kern w:val="0"/>
                <w:sz w:val="24"/>
              </w:rPr>
              <w:t>20分</w:t>
            </w:r>
          </w:p>
        </w:tc>
        <w:tc>
          <w:tcPr>
            <w:tcW w:w="6705" w:type="dxa"/>
            <w:vAlign w:val="center"/>
          </w:tcPr>
          <w:p>
            <w:pPr>
              <w:spacing w:line="360" w:lineRule="auto"/>
              <w:ind w:right="263" w:rightChars="125"/>
              <w:rPr>
                <w:rFonts w:ascii="宋体" w:hAnsi="宋体" w:cs="宋体"/>
                <w:bCs/>
                <w:kern w:val="0"/>
                <w:sz w:val="24"/>
                <w:lang w:bidi="zh-CN"/>
              </w:rPr>
            </w:pPr>
            <w:r>
              <w:rPr>
                <w:rFonts w:hint="eastAsia" w:ascii="宋体" w:hAnsi="宋体" w:cs="宋体"/>
                <w:bCs/>
                <w:kern w:val="0"/>
                <w:sz w:val="24"/>
                <w:lang w:bidi="zh-CN"/>
              </w:rPr>
              <w:t xml:space="preserve">总体概述，对本项目的认识、理解和总体把握是否准确、到位，提供的方案内容与工作深度是否全面、合理、深入，论述完整清晰，总体计划合理，综合措施科学，进行综合评审，分析准确、全面、合理的技术方案得 </w:t>
            </w:r>
            <w:r>
              <w:rPr>
                <w:rFonts w:hint="eastAsia" w:ascii="宋体" w:hAnsi="宋体" w:cs="宋体"/>
                <w:bCs/>
                <w:kern w:val="0"/>
                <w:sz w:val="24"/>
              </w:rPr>
              <w:t>20</w:t>
            </w:r>
            <w:r>
              <w:rPr>
                <w:rFonts w:hint="eastAsia" w:ascii="宋体" w:hAnsi="宋体" w:cs="宋体"/>
                <w:bCs/>
                <w:kern w:val="0"/>
                <w:sz w:val="24"/>
                <w:lang w:bidi="zh-CN"/>
              </w:rPr>
              <w:t>-1</w:t>
            </w:r>
            <w:r>
              <w:rPr>
                <w:rFonts w:hint="eastAsia" w:ascii="宋体" w:hAnsi="宋体" w:cs="宋体"/>
                <w:bCs/>
                <w:kern w:val="0"/>
                <w:sz w:val="24"/>
              </w:rPr>
              <w:t>5</w:t>
            </w:r>
            <w:r>
              <w:rPr>
                <w:rFonts w:hint="eastAsia" w:ascii="宋体" w:hAnsi="宋体" w:cs="宋体"/>
                <w:bCs/>
                <w:kern w:val="0"/>
                <w:sz w:val="24"/>
                <w:lang w:bidi="zh-CN"/>
              </w:rPr>
              <w:t xml:space="preserve"> 分；分析较为准确、 合理，内容欠缺，可操作性一般的得 1</w:t>
            </w:r>
            <w:r>
              <w:rPr>
                <w:rFonts w:hint="eastAsia" w:ascii="宋体" w:hAnsi="宋体" w:cs="宋体"/>
                <w:bCs/>
                <w:kern w:val="0"/>
                <w:sz w:val="24"/>
              </w:rPr>
              <w:t>4</w:t>
            </w:r>
            <w:r>
              <w:rPr>
                <w:rFonts w:hint="eastAsia" w:ascii="宋体" w:hAnsi="宋体" w:cs="宋体"/>
                <w:bCs/>
                <w:kern w:val="0"/>
                <w:sz w:val="24"/>
                <w:lang w:bidi="zh-CN"/>
              </w:rPr>
              <w:t>-</w:t>
            </w:r>
            <w:r>
              <w:rPr>
                <w:rFonts w:hint="eastAsia" w:ascii="宋体" w:hAnsi="宋体" w:cs="宋体"/>
                <w:bCs/>
                <w:kern w:val="0"/>
                <w:sz w:val="24"/>
              </w:rPr>
              <w:t>10</w:t>
            </w:r>
            <w:r>
              <w:rPr>
                <w:rFonts w:hint="eastAsia" w:ascii="宋体" w:hAnsi="宋体" w:cs="宋体"/>
                <w:bCs/>
                <w:kern w:val="0"/>
                <w:sz w:val="24"/>
                <w:lang w:bidi="zh-CN"/>
              </w:rPr>
              <w:t>分；分析较少、方案分析不完整、操作性一般的得</w:t>
            </w:r>
            <w:r>
              <w:rPr>
                <w:rFonts w:hint="eastAsia" w:ascii="宋体" w:hAnsi="宋体" w:cs="宋体"/>
                <w:bCs/>
                <w:kern w:val="0"/>
                <w:sz w:val="24"/>
              </w:rPr>
              <w:t>9-</w:t>
            </w:r>
            <w:r>
              <w:rPr>
                <w:rFonts w:hint="eastAsia" w:ascii="宋体" w:hAnsi="宋体" w:cs="宋体"/>
                <w:bCs/>
                <w:kern w:val="0"/>
                <w:sz w:val="24"/>
                <w:lang w:bidi="zh-CN"/>
              </w:rPr>
              <w:t>1分；分析内容欠缺、方案分析不完整、操作性差的或不提供技术方案不得分。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1155" w:type="dxa"/>
            <w:vMerge w:val="continue"/>
            <w:tcBorders>
              <w:top w:val="nil"/>
            </w:tcBorders>
            <w:vAlign w:val="center"/>
          </w:tcPr>
          <w:p>
            <w:pPr>
              <w:spacing w:line="360" w:lineRule="auto"/>
              <w:rPr>
                <w:rFonts w:ascii="宋体" w:hAnsi="宋体" w:cs="宋体"/>
                <w:bCs/>
                <w:kern w:val="0"/>
                <w:sz w:val="24"/>
              </w:rPr>
            </w:pPr>
          </w:p>
        </w:tc>
        <w:tc>
          <w:tcPr>
            <w:tcW w:w="1425" w:type="dxa"/>
            <w:vAlign w:val="center"/>
          </w:tcPr>
          <w:p>
            <w:pPr>
              <w:spacing w:line="360" w:lineRule="auto"/>
              <w:rPr>
                <w:rFonts w:ascii="宋体" w:hAnsi="宋体" w:cs="宋体"/>
                <w:bCs/>
                <w:kern w:val="0"/>
                <w:sz w:val="24"/>
              </w:rPr>
            </w:pPr>
            <w:r>
              <w:rPr>
                <w:rFonts w:hint="eastAsia" w:ascii="宋体" w:hAnsi="宋体" w:cs="宋体"/>
                <w:bCs/>
                <w:kern w:val="0"/>
                <w:sz w:val="24"/>
                <w:lang w:bidi="zh-CN"/>
              </w:rPr>
              <w:t>服务质量保证措施</w:t>
            </w:r>
          </w:p>
        </w:tc>
        <w:tc>
          <w:tcPr>
            <w:tcW w:w="765" w:type="dxa"/>
            <w:vAlign w:val="center"/>
          </w:tcPr>
          <w:p>
            <w:pPr>
              <w:spacing w:line="360" w:lineRule="auto"/>
              <w:rPr>
                <w:rFonts w:ascii="宋体" w:hAnsi="宋体" w:cs="宋体"/>
                <w:bCs/>
                <w:kern w:val="0"/>
                <w:sz w:val="24"/>
              </w:rPr>
            </w:pPr>
            <w:r>
              <w:rPr>
                <w:rFonts w:hint="eastAsia" w:ascii="宋体" w:hAnsi="宋体" w:cs="宋体"/>
                <w:bCs/>
                <w:kern w:val="0"/>
                <w:sz w:val="24"/>
              </w:rPr>
              <w:t>15 分</w:t>
            </w:r>
          </w:p>
        </w:tc>
        <w:tc>
          <w:tcPr>
            <w:tcW w:w="6705" w:type="dxa"/>
            <w:vAlign w:val="center"/>
          </w:tcPr>
          <w:p>
            <w:pPr>
              <w:spacing w:line="360" w:lineRule="auto"/>
              <w:ind w:right="263" w:rightChars="125"/>
              <w:rPr>
                <w:rFonts w:ascii="宋体" w:hAnsi="宋体" w:cs="宋体"/>
                <w:bCs/>
                <w:kern w:val="0"/>
                <w:sz w:val="24"/>
              </w:rPr>
            </w:pPr>
            <w:r>
              <w:rPr>
                <w:rFonts w:hint="eastAsia" w:ascii="宋体" w:hAnsi="宋体" w:cs="宋体"/>
                <w:bCs/>
                <w:kern w:val="0"/>
                <w:sz w:val="24"/>
              </w:rPr>
              <w:t>内部管理制度健全、服务质量保证措施得力得15-10分，有内部管理制度、保证措施可行得9-1分；缺内部管理制度、保证措施存在较大缺陷不得分。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5" w:hRule="atLeast"/>
        </w:trPr>
        <w:tc>
          <w:tcPr>
            <w:tcW w:w="1155" w:type="dxa"/>
            <w:vMerge w:val="continue"/>
            <w:tcBorders>
              <w:top w:val="nil"/>
            </w:tcBorders>
            <w:vAlign w:val="center"/>
          </w:tcPr>
          <w:p>
            <w:pPr>
              <w:spacing w:line="360" w:lineRule="auto"/>
              <w:rPr>
                <w:rFonts w:ascii="宋体" w:hAnsi="宋体" w:cs="宋体"/>
                <w:bCs/>
                <w:kern w:val="0"/>
                <w:sz w:val="24"/>
              </w:rPr>
            </w:pPr>
          </w:p>
        </w:tc>
        <w:tc>
          <w:tcPr>
            <w:tcW w:w="1425" w:type="dxa"/>
            <w:vAlign w:val="center"/>
          </w:tcPr>
          <w:p>
            <w:pPr>
              <w:spacing w:line="360" w:lineRule="auto"/>
              <w:rPr>
                <w:rFonts w:ascii="宋体" w:hAnsi="宋体" w:cs="宋体"/>
                <w:bCs/>
                <w:kern w:val="0"/>
                <w:sz w:val="24"/>
              </w:rPr>
            </w:pPr>
            <w:r>
              <w:rPr>
                <w:rFonts w:hint="eastAsia" w:ascii="宋体" w:hAnsi="宋体" w:cs="宋体"/>
                <w:bCs/>
                <w:kern w:val="0"/>
                <w:sz w:val="24"/>
              </w:rPr>
              <w:t>进度控制措施</w:t>
            </w:r>
          </w:p>
        </w:tc>
        <w:tc>
          <w:tcPr>
            <w:tcW w:w="765" w:type="dxa"/>
            <w:vAlign w:val="center"/>
          </w:tcPr>
          <w:p>
            <w:pPr>
              <w:spacing w:line="360" w:lineRule="auto"/>
              <w:rPr>
                <w:rFonts w:ascii="宋体" w:hAnsi="宋体" w:cs="宋体"/>
                <w:bCs/>
                <w:kern w:val="0"/>
                <w:sz w:val="24"/>
              </w:rPr>
            </w:pPr>
            <w:r>
              <w:rPr>
                <w:rFonts w:hint="eastAsia" w:ascii="宋体" w:hAnsi="宋体" w:cs="宋体"/>
                <w:bCs/>
                <w:kern w:val="0"/>
                <w:sz w:val="24"/>
              </w:rPr>
              <w:t>15 分</w:t>
            </w:r>
          </w:p>
        </w:tc>
        <w:tc>
          <w:tcPr>
            <w:tcW w:w="6705" w:type="dxa"/>
            <w:vAlign w:val="center"/>
          </w:tcPr>
          <w:p>
            <w:pPr>
              <w:spacing w:line="360" w:lineRule="auto"/>
              <w:ind w:right="122" w:rightChars="58"/>
              <w:rPr>
                <w:rFonts w:ascii="宋体" w:hAnsi="宋体" w:cs="宋体"/>
                <w:bCs/>
                <w:kern w:val="0"/>
                <w:sz w:val="24"/>
                <w:lang w:bidi="zh-CN"/>
              </w:rPr>
            </w:pPr>
            <w:r>
              <w:rPr>
                <w:rFonts w:hint="eastAsia" w:ascii="宋体" w:hAnsi="宋体" w:cs="宋体"/>
                <w:bCs/>
                <w:kern w:val="0"/>
                <w:sz w:val="24"/>
                <w:lang w:bidi="zh-CN"/>
              </w:rPr>
              <w:t xml:space="preserve">供应商有明确的任务工期安排与合理的实施周期步骤，对时间节点满足工作方案进度安排，有进度计划目标承诺及处罚措施，且进度计划的保证措施具体详细，可行性强的得 </w:t>
            </w:r>
            <w:r>
              <w:rPr>
                <w:rFonts w:hint="eastAsia" w:ascii="宋体" w:hAnsi="宋体" w:cs="宋体"/>
                <w:bCs/>
                <w:kern w:val="0"/>
                <w:sz w:val="24"/>
              </w:rPr>
              <w:t>15</w:t>
            </w:r>
            <w:r>
              <w:rPr>
                <w:rFonts w:hint="eastAsia" w:ascii="宋体" w:hAnsi="宋体" w:cs="宋体"/>
                <w:bCs/>
                <w:kern w:val="0"/>
                <w:sz w:val="24"/>
                <w:lang w:bidi="zh-CN"/>
              </w:rPr>
              <w:t>-</w:t>
            </w:r>
            <w:r>
              <w:rPr>
                <w:rFonts w:hint="eastAsia" w:ascii="宋体" w:hAnsi="宋体" w:cs="宋体"/>
                <w:bCs/>
                <w:kern w:val="0"/>
                <w:sz w:val="24"/>
              </w:rPr>
              <w:t>10</w:t>
            </w:r>
            <w:r>
              <w:rPr>
                <w:rFonts w:hint="eastAsia" w:ascii="宋体" w:hAnsi="宋体" w:cs="宋体"/>
                <w:bCs/>
                <w:kern w:val="0"/>
                <w:sz w:val="24"/>
                <w:lang w:bidi="zh-CN"/>
              </w:rPr>
              <w:t xml:space="preserve"> 分，进度计划保证措施不够详细且可行性一般得 </w:t>
            </w:r>
            <w:r>
              <w:rPr>
                <w:rFonts w:hint="eastAsia" w:ascii="宋体" w:hAnsi="宋体" w:cs="宋体"/>
                <w:bCs/>
                <w:kern w:val="0"/>
                <w:sz w:val="24"/>
              </w:rPr>
              <w:t>9</w:t>
            </w:r>
            <w:r>
              <w:rPr>
                <w:rFonts w:hint="eastAsia" w:ascii="宋体" w:hAnsi="宋体" w:cs="宋体"/>
                <w:bCs/>
                <w:kern w:val="0"/>
                <w:sz w:val="24"/>
                <w:lang w:bidi="zh-CN"/>
              </w:rPr>
              <w:t>-1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1155" w:type="dxa"/>
            <w:vMerge w:val="continue"/>
            <w:tcBorders>
              <w:top w:val="nil"/>
            </w:tcBorders>
            <w:vAlign w:val="center"/>
          </w:tcPr>
          <w:p>
            <w:pPr>
              <w:spacing w:line="360" w:lineRule="auto"/>
              <w:rPr>
                <w:rFonts w:ascii="宋体" w:hAnsi="宋体" w:cs="宋体"/>
                <w:bCs/>
                <w:kern w:val="0"/>
                <w:sz w:val="24"/>
              </w:rPr>
            </w:pPr>
          </w:p>
        </w:tc>
        <w:tc>
          <w:tcPr>
            <w:tcW w:w="1425" w:type="dxa"/>
            <w:vAlign w:val="center"/>
          </w:tcPr>
          <w:p>
            <w:pPr>
              <w:spacing w:line="360" w:lineRule="auto"/>
              <w:rPr>
                <w:rFonts w:ascii="宋体" w:hAnsi="宋体" w:cs="宋体"/>
                <w:bCs/>
                <w:kern w:val="0"/>
                <w:sz w:val="24"/>
              </w:rPr>
            </w:pPr>
            <w:r>
              <w:rPr>
                <w:rFonts w:hint="eastAsia" w:ascii="宋体" w:hAnsi="宋体" w:cs="宋体"/>
                <w:bCs/>
                <w:kern w:val="0"/>
                <w:sz w:val="24"/>
              </w:rPr>
              <w:t>后续服务的安排及保证措施</w:t>
            </w:r>
          </w:p>
        </w:tc>
        <w:tc>
          <w:tcPr>
            <w:tcW w:w="765" w:type="dxa"/>
            <w:vAlign w:val="center"/>
          </w:tcPr>
          <w:p>
            <w:pPr>
              <w:spacing w:line="360" w:lineRule="auto"/>
              <w:rPr>
                <w:rFonts w:ascii="宋体" w:hAnsi="宋体" w:cs="宋体"/>
                <w:bCs/>
                <w:kern w:val="0"/>
                <w:sz w:val="24"/>
              </w:rPr>
            </w:pPr>
            <w:r>
              <w:rPr>
                <w:rFonts w:hint="eastAsia" w:ascii="宋体" w:hAnsi="宋体" w:cs="宋体"/>
                <w:bCs/>
                <w:kern w:val="0"/>
                <w:sz w:val="24"/>
              </w:rPr>
              <w:t>10分</w:t>
            </w:r>
          </w:p>
        </w:tc>
        <w:tc>
          <w:tcPr>
            <w:tcW w:w="6705" w:type="dxa"/>
            <w:vAlign w:val="center"/>
          </w:tcPr>
          <w:p>
            <w:pPr>
              <w:spacing w:line="360" w:lineRule="auto"/>
              <w:ind w:right="122" w:rightChars="58"/>
              <w:rPr>
                <w:rFonts w:ascii="宋体" w:hAnsi="宋体" w:cs="宋体"/>
                <w:bCs/>
                <w:kern w:val="0"/>
                <w:sz w:val="24"/>
                <w:lang w:bidi="zh-CN"/>
              </w:rPr>
            </w:pPr>
            <w:r>
              <w:rPr>
                <w:rFonts w:hint="eastAsia" w:ascii="宋体" w:hAnsi="宋体" w:cs="宋体"/>
                <w:bCs/>
                <w:kern w:val="0"/>
                <w:sz w:val="24"/>
                <w:lang w:bidi="zh-CN"/>
              </w:rPr>
              <w:t xml:space="preserve">有完善后续服务安排及保证措施的得 </w:t>
            </w:r>
            <w:r>
              <w:rPr>
                <w:rFonts w:hint="eastAsia" w:ascii="宋体" w:hAnsi="宋体" w:cs="宋体"/>
                <w:bCs/>
                <w:kern w:val="0"/>
                <w:sz w:val="24"/>
              </w:rPr>
              <w:t>10-7</w:t>
            </w:r>
            <w:r>
              <w:rPr>
                <w:rFonts w:hint="eastAsia" w:ascii="宋体" w:hAnsi="宋体" w:cs="宋体"/>
                <w:bCs/>
                <w:kern w:val="0"/>
                <w:sz w:val="24"/>
                <w:lang w:bidi="zh-CN"/>
              </w:rPr>
              <w:t xml:space="preserve">分，基本可行、后续服务安排及保证措施可操作性一般的得 </w:t>
            </w:r>
            <w:r>
              <w:rPr>
                <w:rFonts w:hint="eastAsia" w:ascii="宋体" w:hAnsi="宋体" w:cs="宋体"/>
                <w:bCs/>
                <w:kern w:val="0"/>
                <w:sz w:val="24"/>
              </w:rPr>
              <w:t>6</w:t>
            </w:r>
            <w:r>
              <w:rPr>
                <w:rFonts w:hint="eastAsia" w:ascii="宋体" w:hAnsi="宋体" w:cs="宋体"/>
                <w:bCs/>
                <w:kern w:val="0"/>
                <w:sz w:val="24"/>
                <w:lang w:bidi="zh-CN"/>
              </w:rPr>
              <w:t>-4分，后续服务安排及保证措施操作性不强的得 3-1 分。</w:t>
            </w:r>
          </w:p>
        </w:tc>
      </w:tr>
    </w:tbl>
    <w:p>
      <w:pPr>
        <w:spacing w:line="360" w:lineRule="auto"/>
        <w:rPr>
          <w:rFonts w:ascii="宋体" w:hAnsi="宋体" w:cs="宋体"/>
          <w:bCs/>
          <w:kern w:val="0"/>
          <w:sz w:val="24"/>
        </w:rPr>
      </w:pPr>
    </w:p>
    <w:p>
      <w:pPr>
        <w:spacing w:line="360" w:lineRule="auto"/>
        <w:rPr>
          <w:rFonts w:ascii="宋体" w:hAnsi="宋体" w:cs="宋体"/>
          <w:bCs/>
          <w:kern w:val="0"/>
          <w:sz w:val="24"/>
        </w:rPr>
      </w:pPr>
      <w:r>
        <w:rPr>
          <w:rFonts w:hint="eastAsia" w:ascii="宋体" w:hAnsi="宋体" w:cs="宋体"/>
          <w:bCs/>
          <w:kern w:val="0"/>
          <w:sz w:val="24"/>
        </w:rPr>
        <w:t>备注：以上所有须提供的证件、证书、有关资料必须真实有效，提供扫描件并加盖公章。投标人投标时须认真对待，凡提供虚假材料谋取中标的，一经查实，根据《政府采购法》第七十七条之规定，将对供应商处以罚款、列入不良行为记录名单、依法追究刑事责任等。</w:t>
      </w:r>
    </w:p>
    <w:p>
      <w:pPr>
        <w:spacing w:line="360" w:lineRule="auto"/>
        <w:rPr>
          <w:rFonts w:ascii="Times New Roman" w:hAnsi="Times New Roman" w:eastAsia="方正姚体" w:cs="Times New Roman"/>
          <w:bCs/>
          <w:sz w:val="22"/>
          <w:szCs w:val="24"/>
        </w:rPr>
      </w:pPr>
    </w:p>
    <w:p>
      <w:pPr>
        <w:spacing w:line="360" w:lineRule="auto"/>
        <w:rPr>
          <w:rFonts w:ascii="Times New Roman" w:hAnsi="Times New Roman" w:eastAsia="方正姚体" w:cs="Times New Roman"/>
          <w:bCs/>
          <w:sz w:val="22"/>
          <w:szCs w:val="24"/>
        </w:rPr>
      </w:pPr>
    </w:p>
    <w:p>
      <w:pPr>
        <w:spacing w:line="500" w:lineRule="exact"/>
        <w:ind w:left="105" w:leftChars="50" w:firstLine="540" w:firstLineChars="225"/>
        <w:rPr>
          <w:rFonts w:ascii="宋体" w:hAnsi="宋体" w:cs="宋体"/>
          <w:bCs/>
          <w:kern w:val="0"/>
          <w:sz w:val="24"/>
        </w:rPr>
      </w:pPr>
      <w:r>
        <w:rPr>
          <w:rFonts w:ascii="宋体" w:hAnsi="宋体" w:cs="宋体"/>
          <w:bCs/>
          <w:kern w:val="0"/>
          <w:sz w:val="24"/>
        </w:rPr>
        <w:br w:type="page"/>
      </w:r>
    </w:p>
    <w:p>
      <w:pPr>
        <w:adjustRightInd w:val="0"/>
        <w:snapToGrid w:val="0"/>
        <w:spacing w:line="360" w:lineRule="auto"/>
        <w:jc w:val="left"/>
        <w:rPr>
          <w:sz w:val="24"/>
          <w:szCs w:val="24"/>
        </w:rPr>
      </w:pPr>
      <w:r>
        <w:rPr>
          <w:sz w:val="24"/>
          <w:szCs w:val="24"/>
        </w:rPr>
        <w:t>附件</w:t>
      </w:r>
      <w:r>
        <w:rPr>
          <w:rFonts w:hint="eastAsia"/>
          <w:sz w:val="24"/>
          <w:szCs w:val="24"/>
        </w:rPr>
        <w:t>二</w:t>
      </w:r>
      <w:r>
        <w:rPr>
          <w:sz w:val="24"/>
          <w:szCs w:val="24"/>
        </w:rPr>
        <w:t>：供应商报名表：</w:t>
      </w:r>
    </w:p>
    <w:p>
      <w:pPr>
        <w:jc w:val="center"/>
        <w:rPr>
          <w:sz w:val="32"/>
          <w:szCs w:val="32"/>
        </w:rPr>
      </w:pPr>
      <w:r>
        <w:rPr>
          <w:rFonts w:hint="eastAsia"/>
          <w:sz w:val="32"/>
          <w:szCs w:val="32"/>
        </w:rPr>
        <w:t>供应商报名表</w:t>
      </w:r>
    </w:p>
    <w:p>
      <w:pPr>
        <w:rPr>
          <w:sz w:val="24"/>
        </w:rPr>
      </w:pPr>
      <w:r>
        <w:rPr>
          <w:rFonts w:hint="eastAsia"/>
          <w:sz w:val="24"/>
        </w:rPr>
        <w:t>项目编号：</w:t>
      </w:r>
      <w:r>
        <w:rPr>
          <w:rFonts w:hint="eastAsia"/>
          <w:sz w:val="24"/>
          <w:u w:val="single"/>
        </w:rPr>
        <w:t xml:space="preserve">                </w:t>
      </w:r>
    </w:p>
    <w:p>
      <w:pPr>
        <w:rPr>
          <w:sz w:val="24"/>
        </w:rPr>
      </w:pPr>
      <w:r>
        <w:rPr>
          <w:rFonts w:hint="eastAsia"/>
          <w:sz w:val="24"/>
        </w:rPr>
        <w:t xml:space="preserve">项目名称：  </w:t>
      </w:r>
      <w:r>
        <w:rPr>
          <w:rFonts w:hint="eastAsia"/>
          <w:sz w:val="24"/>
          <w:u w:val="single"/>
        </w:rPr>
        <w:t xml:space="preserve">                </w:t>
      </w:r>
      <w:r>
        <w:rPr>
          <w:rFonts w:hint="eastAsia"/>
          <w:sz w:val="24"/>
        </w:rPr>
        <w:t xml:space="preserve">                       </w:t>
      </w:r>
    </w:p>
    <w:tbl>
      <w:tblPr>
        <w:tblStyle w:val="9"/>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供应商名称（盖章）</w:t>
            </w:r>
          </w:p>
        </w:tc>
        <w:tc>
          <w:tcPr>
            <w:tcW w:w="727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联系人姓名</w:t>
            </w:r>
          </w:p>
        </w:tc>
        <w:tc>
          <w:tcPr>
            <w:tcW w:w="727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联系人电话（办公电话和手机）</w:t>
            </w:r>
          </w:p>
        </w:tc>
        <w:tc>
          <w:tcPr>
            <w:tcW w:w="727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联系人邮箱</w:t>
            </w:r>
          </w:p>
        </w:tc>
        <w:tc>
          <w:tcPr>
            <w:tcW w:w="727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69"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jc w:val="left"/>
              <w:rPr>
                <w:rFonts w:cs="宋体" w:asciiTheme="minorEastAsia" w:hAnsiTheme="minorEastAsia"/>
                <w:kern w:val="0"/>
                <w:sz w:val="24"/>
              </w:rPr>
            </w:pPr>
            <w:r>
              <w:rPr>
                <w:rFonts w:hint="eastAsia" w:cs="宋体" w:asciiTheme="minorEastAsia" w:hAnsiTheme="minorEastAsia"/>
                <w:kern w:val="0"/>
                <w:sz w:val="24"/>
              </w:rPr>
              <w:t>供应商提供的</w:t>
            </w:r>
          </w:p>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报名资料</w:t>
            </w:r>
          </w:p>
        </w:tc>
        <w:tc>
          <w:tcPr>
            <w:tcW w:w="7272"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69" w:type="dxa"/>
            <w:vMerge w:val="continue"/>
            <w:tcBorders>
              <w:left w:val="single" w:color="auto" w:sz="4" w:space="0"/>
              <w:right w:val="single" w:color="auto" w:sz="4" w:space="0"/>
            </w:tcBorders>
            <w:vAlign w:val="center"/>
          </w:tcPr>
          <w:p>
            <w:pPr>
              <w:widowControl/>
              <w:jc w:val="left"/>
              <w:rPr>
                <w:rFonts w:ascii="宋体" w:hAnsi="宋体" w:cs="宋体"/>
                <w:kern w:val="0"/>
                <w:sz w:val="24"/>
              </w:rPr>
            </w:pPr>
          </w:p>
        </w:tc>
        <w:tc>
          <w:tcPr>
            <w:tcW w:w="7272"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2.财务状况报告，依法缴纳税收和社会保障资金的相关材料。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69" w:type="dxa"/>
            <w:vMerge w:val="continue"/>
            <w:tcBorders>
              <w:left w:val="single" w:color="auto" w:sz="4" w:space="0"/>
              <w:right w:val="single" w:color="auto" w:sz="4" w:space="0"/>
            </w:tcBorders>
            <w:vAlign w:val="center"/>
          </w:tcPr>
          <w:p>
            <w:pPr>
              <w:widowControl/>
              <w:jc w:val="left"/>
              <w:rPr>
                <w:rFonts w:ascii="宋体" w:hAnsi="宋体" w:cs="宋体"/>
                <w:kern w:val="0"/>
                <w:sz w:val="24"/>
              </w:rPr>
            </w:pPr>
          </w:p>
        </w:tc>
        <w:tc>
          <w:tcPr>
            <w:tcW w:w="7272"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69" w:type="dxa"/>
            <w:vMerge w:val="continue"/>
            <w:tcBorders>
              <w:left w:val="single" w:color="auto" w:sz="4" w:space="0"/>
              <w:right w:val="single" w:color="auto" w:sz="4" w:space="0"/>
            </w:tcBorders>
            <w:vAlign w:val="center"/>
          </w:tcPr>
          <w:p>
            <w:pPr>
              <w:widowControl/>
              <w:jc w:val="left"/>
              <w:rPr>
                <w:rFonts w:ascii="宋体" w:hAnsi="宋体" w:cs="宋体"/>
                <w:kern w:val="0"/>
                <w:sz w:val="24"/>
              </w:rPr>
            </w:pPr>
          </w:p>
        </w:tc>
        <w:tc>
          <w:tcPr>
            <w:tcW w:w="7272"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4.参加政府采购活动前3年内在经营活动中没有重大违法记录的书面声明。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69" w:type="dxa"/>
            <w:vMerge w:val="continue"/>
            <w:tcBorders>
              <w:left w:val="single" w:color="auto" w:sz="4" w:space="0"/>
              <w:right w:val="single" w:color="auto" w:sz="4" w:space="0"/>
            </w:tcBorders>
            <w:vAlign w:val="center"/>
          </w:tcPr>
          <w:p>
            <w:pPr>
              <w:widowControl/>
              <w:jc w:val="left"/>
              <w:rPr>
                <w:rFonts w:ascii="宋体" w:hAnsi="宋体" w:cs="宋体"/>
                <w:kern w:val="0"/>
                <w:sz w:val="24"/>
              </w:rPr>
            </w:pPr>
          </w:p>
        </w:tc>
        <w:tc>
          <w:tcPr>
            <w:tcW w:w="7272"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69" w:type="dxa"/>
            <w:vMerge w:val="continue"/>
            <w:tcBorders>
              <w:left w:val="single" w:color="auto" w:sz="4" w:space="0"/>
              <w:right w:val="single" w:color="auto" w:sz="4" w:space="0"/>
            </w:tcBorders>
            <w:vAlign w:val="center"/>
          </w:tcPr>
          <w:p>
            <w:pPr>
              <w:widowControl/>
              <w:jc w:val="left"/>
              <w:rPr>
                <w:rFonts w:ascii="宋体" w:hAnsi="宋体" w:cs="宋体"/>
                <w:kern w:val="0"/>
                <w:sz w:val="24"/>
              </w:rPr>
            </w:pPr>
          </w:p>
        </w:tc>
        <w:tc>
          <w:tcPr>
            <w:tcW w:w="7272"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6.未被列入"信用中国"网站(www.creditchina.gov.cn)失信被执行人（须提供网站截图）、重大税收违法案件当事人、"中国政府采购网"（www.ccgp.gov.cn）政府采购严重违法失信行为记录名单的网页打印件（查询日期以本公告发布后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69" w:type="dxa"/>
            <w:vMerge w:val="continue"/>
            <w:tcBorders>
              <w:left w:val="single" w:color="auto" w:sz="4" w:space="0"/>
              <w:right w:val="single" w:color="auto" w:sz="4" w:space="0"/>
            </w:tcBorders>
            <w:vAlign w:val="center"/>
          </w:tcPr>
          <w:p>
            <w:pPr>
              <w:widowControl/>
              <w:jc w:val="left"/>
              <w:rPr>
                <w:rFonts w:ascii="宋体" w:hAnsi="宋体" w:cs="宋体"/>
                <w:kern w:val="0"/>
                <w:sz w:val="24"/>
              </w:rPr>
            </w:pPr>
          </w:p>
        </w:tc>
        <w:tc>
          <w:tcPr>
            <w:tcW w:w="7272"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7.特定条件：</w:t>
            </w:r>
          </w:p>
          <w:p>
            <w:pPr>
              <w:adjustRightInd w:val="0"/>
              <w:snapToGrid w:val="0"/>
              <w:spacing w:line="360" w:lineRule="auto"/>
              <w:ind w:right="-101" w:rightChars="-48" w:firstLine="480"/>
              <w:outlineLvl w:val="0"/>
              <w:rPr>
                <w:rFonts w:ascii="Times New Roman" w:hAnsi="Times New Roman"/>
                <w:bCs/>
                <w:sz w:val="24"/>
                <w:lang w:bidi="ar-EG"/>
              </w:rPr>
            </w:pPr>
            <w:r>
              <w:rPr>
                <w:rFonts w:hint="eastAsia" w:ascii="Times New Roman" w:hAnsi="Times New Roman"/>
                <w:bCs/>
                <w:sz w:val="24"/>
                <w:lang w:bidi="ar-EG"/>
              </w:rPr>
              <w:t>供应商须具备《政府采购法》第二十二条之规定的基本条件外，还须满足以下要求：投标人有开展区域节能评估项目报告编制工作的业绩，并能提供合同扫描件作为业绩证明。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69" w:type="dxa"/>
            <w:tcBorders>
              <w:left w:val="single" w:color="auto" w:sz="4" w:space="0"/>
              <w:bottom w:val="single" w:color="auto" w:sz="4" w:space="0"/>
              <w:right w:val="single" w:color="auto" w:sz="4" w:space="0"/>
            </w:tcBorders>
            <w:vAlign w:val="center"/>
          </w:tcPr>
          <w:p>
            <w:pPr>
              <w:widowControl/>
              <w:jc w:val="left"/>
              <w:rPr>
                <w:rFonts w:ascii="宋体" w:hAnsi="宋体" w:cs="宋体"/>
                <w:b/>
                <w:kern w:val="0"/>
                <w:sz w:val="24"/>
              </w:rPr>
            </w:pPr>
            <w:r>
              <w:rPr>
                <w:rFonts w:hint="eastAsia" w:ascii="宋体" w:hAnsi="宋体" w:cs="宋体"/>
                <w:b/>
                <w:kern w:val="0"/>
                <w:sz w:val="24"/>
              </w:rPr>
              <w:t>供应商意见</w:t>
            </w:r>
          </w:p>
        </w:tc>
        <w:tc>
          <w:tcPr>
            <w:tcW w:w="7272" w:type="dxa"/>
            <w:tcBorders>
              <w:top w:val="single" w:color="auto" w:sz="4" w:space="0"/>
              <w:left w:val="single" w:color="auto" w:sz="4" w:space="0"/>
              <w:bottom w:val="single" w:color="auto" w:sz="4" w:space="0"/>
              <w:right w:val="single" w:color="auto" w:sz="4" w:space="0"/>
            </w:tcBorders>
          </w:tcPr>
          <w:p>
            <w:pPr>
              <w:rPr>
                <w:b/>
                <w:sz w:val="24"/>
              </w:rPr>
            </w:pPr>
            <w:r>
              <w:rPr>
                <w:rFonts w:hint="eastAsia"/>
                <w:b/>
                <w:sz w:val="24"/>
              </w:rPr>
              <w:t>供应商可对本项目采购需求的公正性、专业性、合理性等提出自己正确的意见、建议等（可另页详细表述）。</w:t>
            </w:r>
          </w:p>
        </w:tc>
      </w:tr>
    </w:tbl>
    <w:p>
      <w:pPr>
        <w:pStyle w:val="7"/>
        <w:shd w:val="clear" w:color="auto" w:fill="FFFFFF"/>
        <w:spacing w:before="150" w:beforeAutospacing="0" w:after="150" w:afterAutospacing="0" w:line="360" w:lineRule="atLeast"/>
        <w:rPr>
          <w:rStyle w:val="12"/>
        </w:rPr>
      </w:pPr>
      <w:r>
        <w:rPr>
          <w:rStyle w:val="12"/>
          <w:rFonts w:hint="eastAsia"/>
        </w:rPr>
        <w:t>注意事项：</w:t>
      </w:r>
    </w:p>
    <w:p>
      <w:pPr>
        <w:pStyle w:val="7"/>
        <w:shd w:val="clear" w:color="auto" w:fill="FFFFFF"/>
        <w:spacing w:before="150" w:after="150"/>
        <w:ind w:firstLine="480" w:firstLineChars="200"/>
      </w:pPr>
      <w:r>
        <w:rPr>
          <w:rFonts w:hint="eastAsia"/>
        </w:rPr>
        <w:t>1.供应商必须严格按照公告的内容和要求，完整递交有关资料，逾期递交的将予以拒收。</w:t>
      </w:r>
    </w:p>
    <w:p>
      <w:pPr>
        <w:pStyle w:val="7"/>
        <w:shd w:val="clear" w:color="auto" w:fill="FFFFFF"/>
        <w:spacing w:before="100" w:after="100"/>
        <w:ind w:firstLine="480" w:firstLineChars="200"/>
      </w:pPr>
      <w:r>
        <w:rPr>
          <w:rFonts w:hint="eastAsia"/>
        </w:rPr>
        <w:t xml:space="preserve">2.★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p>
    <w:p>
      <w:pPr>
        <w:pStyle w:val="7"/>
        <w:shd w:val="clear" w:color="auto" w:fill="FFFFFF"/>
        <w:spacing w:before="150" w:beforeAutospacing="0" w:after="150" w:afterAutospacing="0"/>
        <w:ind w:firstLine="480" w:firstLineChars="200"/>
        <w:rPr>
          <w:rFonts w:ascii="宋体" w:hAnsi="宋体"/>
        </w:rPr>
      </w:pPr>
      <w:r>
        <w:rPr>
          <w:rFonts w:hint="eastAsia"/>
        </w:rPr>
        <w:t>3.须在邮件（附件文件名注明公司全称）注明公司全称、项目名称及项目编号（不注明我单位将拒收报名邮件）。</w:t>
      </w:r>
    </w:p>
    <w:p/>
    <w:sectPr>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&#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KzEUSfXAQAAsAMAAA4AAAAAAAAAAQAgAAAA&#10;HgEAAGRycy9lMm9Eb2MueG1sUEsFBgAAAAAGAAYAWQEAAGc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&#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CBQfdDXAQAAsAMAAA4AAAAAAAAAAQAgAAAA&#10;HgEAAGRycy9lMm9Eb2MueG1sUEsFBgAAAAAGAAYAWQEAAGc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E9"/>
    <w:rsid w:val="00006FC9"/>
    <w:rsid w:val="00016BFD"/>
    <w:rsid w:val="00023CBA"/>
    <w:rsid w:val="0002546C"/>
    <w:rsid w:val="00033152"/>
    <w:rsid w:val="00033E96"/>
    <w:rsid w:val="00040735"/>
    <w:rsid w:val="0004429A"/>
    <w:rsid w:val="000527BB"/>
    <w:rsid w:val="00056AED"/>
    <w:rsid w:val="00064C78"/>
    <w:rsid w:val="000674CB"/>
    <w:rsid w:val="0008654C"/>
    <w:rsid w:val="00087E3A"/>
    <w:rsid w:val="00093387"/>
    <w:rsid w:val="0009726D"/>
    <w:rsid w:val="000A6872"/>
    <w:rsid w:val="000A6C1F"/>
    <w:rsid w:val="000B577B"/>
    <w:rsid w:val="000C3399"/>
    <w:rsid w:val="000C6BBE"/>
    <w:rsid w:val="000C7A81"/>
    <w:rsid w:val="000E4050"/>
    <w:rsid w:val="00100670"/>
    <w:rsid w:val="00101CA6"/>
    <w:rsid w:val="001039CA"/>
    <w:rsid w:val="00104393"/>
    <w:rsid w:val="00120CEA"/>
    <w:rsid w:val="00121217"/>
    <w:rsid w:val="00122B5C"/>
    <w:rsid w:val="00127B67"/>
    <w:rsid w:val="00137DCA"/>
    <w:rsid w:val="00167F38"/>
    <w:rsid w:val="00182E20"/>
    <w:rsid w:val="0019680B"/>
    <w:rsid w:val="001A2453"/>
    <w:rsid w:val="001A4545"/>
    <w:rsid w:val="001C3EA3"/>
    <w:rsid w:val="001C3F98"/>
    <w:rsid w:val="001D00A2"/>
    <w:rsid w:val="001E5494"/>
    <w:rsid w:val="001F0CB8"/>
    <w:rsid w:val="001F7783"/>
    <w:rsid w:val="0020318D"/>
    <w:rsid w:val="002253D4"/>
    <w:rsid w:val="00227C74"/>
    <w:rsid w:val="0023592C"/>
    <w:rsid w:val="00241BE3"/>
    <w:rsid w:val="00241FC1"/>
    <w:rsid w:val="00247E29"/>
    <w:rsid w:val="00250BFB"/>
    <w:rsid w:val="00251305"/>
    <w:rsid w:val="00251DA2"/>
    <w:rsid w:val="00263F11"/>
    <w:rsid w:val="0027306D"/>
    <w:rsid w:val="00286F91"/>
    <w:rsid w:val="002912E3"/>
    <w:rsid w:val="002C0DCE"/>
    <w:rsid w:val="002C5369"/>
    <w:rsid w:val="002C55AE"/>
    <w:rsid w:val="002C7CB7"/>
    <w:rsid w:val="002E3FA6"/>
    <w:rsid w:val="002F48B3"/>
    <w:rsid w:val="002F4AFA"/>
    <w:rsid w:val="002F7250"/>
    <w:rsid w:val="003064E6"/>
    <w:rsid w:val="003241BB"/>
    <w:rsid w:val="003254EF"/>
    <w:rsid w:val="00335DA3"/>
    <w:rsid w:val="00340104"/>
    <w:rsid w:val="00354132"/>
    <w:rsid w:val="00371F9A"/>
    <w:rsid w:val="0038354E"/>
    <w:rsid w:val="00384F78"/>
    <w:rsid w:val="003A033C"/>
    <w:rsid w:val="003A040F"/>
    <w:rsid w:val="003A3307"/>
    <w:rsid w:val="003B565C"/>
    <w:rsid w:val="00407960"/>
    <w:rsid w:val="0042465C"/>
    <w:rsid w:val="004357AA"/>
    <w:rsid w:val="004451C8"/>
    <w:rsid w:val="004465E5"/>
    <w:rsid w:val="0045317F"/>
    <w:rsid w:val="00462B04"/>
    <w:rsid w:val="00465FFA"/>
    <w:rsid w:val="0048653B"/>
    <w:rsid w:val="00487186"/>
    <w:rsid w:val="00495293"/>
    <w:rsid w:val="004B5D9E"/>
    <w:rsid w:val="004C21DE"/>
    <w:rsid w:val="004C2FBC"/>
    <w:rsid w:val="004E1CB9"/>
    <w:rsid w:val="004E3EF5"/>
    <w:rsid w:val="00501094"/>
    <w:rsid w:val="00504DF6"/>
    <w:rsid w:val="0051315F"/>
    <w:rsid w:val="0051396C"/>
    <w:rsid w:val="005165F4"/>
    <w:rsid w:val="00526415"/>
    <w:rsid w:val="0053078F"/>
    <w:rsid w:val="0053126C"/>
    <w:rsid w:val="00532D66"/>
    <w:rsid w:val="005363F4"/>
    <w:rsid w:val="00536C51"/>
    <w:rsid w:val="005517D8"/>
    <w:rsid w:val="00557E5B"/>
    <w:rsid w:val="0056029B"/>
    <w:rsid w:val="00570250"/>
    <w:rsid w:val="00577CD8"/>
    <w:rsid w:val="00587588"/>
    <w:rsid w:val="00587B63"/>
    <w:rsid w:val="005967B6"/>
    <w:rsid w:val="00597933"/>
    <w:rsid w:val="005B335A"/>
    <w:rsid w:val="005C7953"/>
    <w:rsid w:val="005D231E"/>
    <w:rsid w:val="005E47BA"/>
    <w:rsid w:val="0060427B"/>
    <w:rsid w:val="00604A95"/>
    <w:rsid w:val="006101C6"/>
    <w:rsid w:val="006166B8"/>
    <w:rsid w:val="00680095"/>
    <w:rsid w:val="00681F25"/>
    <w:rsid w:val="006B1667"/>
    <w:rsid w:val="006B393A"/>
    <w:rsid w:val="006B566D"/>
    <w:rsid w:val="006B5F1F"/>
    <w:rsid w:val="006C22D5"/>
    <w:rsid w:val="006D5ED3"/>
    <w:rsid w:val="006F4BA8"/>
    <w:rsid w:val="00710283"/>
    <w:rsid w:val="00714951"/>
    <w:rsid w:val="00715492"/>
    <w:rsid w:val="00716D59"/>
    <w:rsid w:val="00731C4C"/>
    <w:rsid w:val="00737F1A"/>
    <w:rsid w:val="00754B48"/>
    <w:rsid w:val="0076745E"/>
    <w:rsid w:val="00770BDF"/>
    <w:rsid w:val="00785A5A"/>
    <w:rsid w:val="007A1F2A"/>
    <w:rsid w:val="007C5280"/>
    <w:rsid w:val="007F31AC"/>
    <w:rsid w:val="008017BC"/>
    <w:rsid w:val="00801C3E"/>
    <w:rsid w:val="00806578"/>
    <w:rsid w:val="00841971"/>
    <w:rsid w:val="00842F5C"/>
    <w:rsid w:val="00843EA0"/>
    <w:rsid w:val="00855B79"/>
    <w:rsid w:val="0085685E"/>
    <w:rsid w:val="00862199"/>
    <w:rsid w:val="00877547"/>
    <w:rsid w:val="008A03E3"/>
    <w:rsid w:val="008B1839"/>
    <w:rsid w:val="008C1343"/>
    <w:rsid w:val="008C1458"/>
    <w:rsid w:val="008D3473"/>
    <w:rsid w:val="008D594A"/>
    <w:rsid w:val="008D5B51"/>
    <w:rsid w:val="008E6E78"/>
    <w:rsid w:val="00901DA9"/>
    <w:rsid w:val="009111CF"/>
    <w:rsid w:val="00912E34"/>
    <w:rsid w:val="0091679A"/>
    <w:rsid w:val="00917353"/>
    <w:rsid w:val="00922A57"/>
    <w:rsid w:val="0092386A"/>
    <w:rsid w:val="00923DAF"/>
    <w:rsid w:val="0093628A"/>
    <w:rsid w:val="00960937"/>
    <w:rsid w:val="00965878"/>
    <w:rsid w:val="00972423"/>
    <w:rsid w:val="00984E78"/>
    <w:rsid w:val="00985AAC"/>
    <w:rsid w:val="009A3A72"/>
    <w:rsid w:val="009A662A"/>
    <w:rsid w:val="009B48B8"/>
    <w:rsid w:val="009C5E16"/>
    <w:rsid w:val="009D463C"/>
    <w:rsid w:val="009D546E"/>
    <w:rsid w:val="009D6071"/>
    <w:rsid w:val="009D6CBD"/>
    <w:rsid w:val="009E1E21"/>
    <w:rsid w:val="009E22C1"/>
    <w:rsid w:val="009E3C59"/>
    <w:rsid w:val="009F57B7"/>
    <w:rsid w:val="00A03438"/>
    <w:rsid w:val="00A03FCC"/>
    <w:rsid w:val="00A1157D"/>
    <w:rsid w:val="00A228F8"/>
    <w:rsid w:val="00A33A6F"/>
    <w:rsid w:val="00A40CB2"/>
    <w:rsid w:val="00A74797"/>
    <w:rsid w:val="00A77B29"/>
    <w:rsid w:val="00A80F76"/>
    <w:rsid w:val="00AA0343"/>
    <w:rsid w:val="00AA16B1"/>
    <w:rsid w:val="00AB4623"/>
    <w:rsid w:val="00AC4743"/>
    <w:rsid w:val="00AC4FF6"/>
    <w:rsid w:val="00AC6171"/>
    <w:rsid w:val="00AC7064"/>
    <w:rsid w:val="00AD4497"/>
    <w:rsid w:val="00AD466D"/>
    <w:rsid w:val="00AD57E9"/>
    <w:rsid w:val="00AD724F"/>
    <w:rsid w:val="00AE0050"/>
    <w:rsid w:val="00AE2C55"/>
    <w:rsid w:val="00AE565A"/>
    <w:rsid w:val="00AF42F0"/>
    <w:rsid w:val="00B04E1D"/>
    <w:rsid w:val="00B22325"/>
    <w:rsid w:val="00B2763F"/>
    <w:rsid w:val="00B37BE7"/>
    <w:rsid w:val="00B37D97"/>
    <w:rsid w:val="00B422CC"/>
    <w:rsid w:val="00B54577"/>
    <w:rsid w:val="00B54BA9"/>
    <w:rsid w:val="00B86792"/>
    <w:rsid w:val="00B87DB2"/>
    <w:rsid w:val="00BA5BE2"/>
    <w:rsid w:val="00BC0370"/>
    <w:rsid w:val="00BD0E7D"/>
    <w:rsid w:val="00BD15BE"/>
    <w:rsid w:val="00BE341B"/>
    <w:rsid w:val="00C00883"/>
    <w:rsid w:val="00C045C9"/>
    <w:rsid w:val="00C11B83"/>
    <w:rsid w:val="00C13102"/>
    <w:rsid w:val="00C41FC1"/>
    <w:rsid w:val="00C4672B"/>
    <w:rsid w:val="00C554DF"/>
    <w:rsid w:val="00C57794"/>
    <w:rsid w:val="00C65810"/>
    <w:rsid w:val="00C704DC"/>
    <w:rsid w:val="00C7583C"/>
    <w:rsid w:val="00C77263"/>
    <w:rsid w:val="00C8060B"/>
    <w:rsid w:val="00C862D3"/>
    <w:rsid w:val="00C94576"/>
    <w:rsid w:val="00CA2ADF"/>
    <w:rsid w:val="00CB1F38"/>
    <w:rsid w:val="00CD3343"/>
    <w:rsid w:val="00CE7D0E"/>
    <w:rsid w:val="00CF664F"/>
    <w:rsid w:val="00D03CA3"/>
    <w:rsid w:val="00D049F5"/>
    <w:rsid w:val="00D12C9E"/>
    <w:rsid w:val="00D239DE"/>
    <w:rsid w:val="00D30C01"/>
    <w:rsid w:val="00D34002"/>
    <w:rsid w:val="00D354CC"/>
    <w:rsid w:val="00D538BD"/>
    <w:rsid w:val="00D63126"/>
    <w:rsid w:val="00D64C90"/>
    <w:rsid w:val="00D665CD"/>
    <w:rsid w:val="00D76028"/>
    <w:rsid w:val="00D85A87"/>
    <w:rsid w:val="00D9157E"/>
    <w:rsid w:val="00D975DD"/>
    <w:rsid w:val="00DA12FB"/>
    <w:rsid w:val="00DA3AC3"/>
    <w:rsid w:val="00DB495A"/>
    <w:rsid w:val="00DB7FCC"/>
    <w:rsid w:val="00DC19C2"/>
    <w:rsid w:val="00DC47E0"/>
    <w:rsid w:val="00DD1CAF"/>
    <w:rsid w:val="00DE75E6"/>
    <w:rsid w:val="00DF4031"/>
    <w:rsid w:val="00DF750C"/>
    <w:rsid w:val="00E14B01"/>
    <w:rsid w:val="00E401E6"/>
    <w:rsid w:val="00E40ED1"/>
    <w:rsid w:val="00E61009"/>
    <w:rsid w:val="00E6320A"/>
    <w:rsid w:val="00E643E2"/>
    <w:rsid w:val="00E652DF"/>
    <w:rsid w:val="00E662EC"/>
    <w:rsid w:val="00E721AB"/>
    <w:rsid w:val="00E74F99"/>
    <w:rsid w:val="00E76551"/>
    <w:rsid w:val="00E85276"/>
    <w:rsid w:val="00E855ED"/>
    <w:rsid w:val="00E901E4"/>
    <w:rsid w:val="00E94B33"/>
    <w:rsid w:val="00EA5552"/>
    <w:rsid w:val="00EA67BD"/>
    <w:rsid w:val="00EB5D3C"/>
    <w:rsid w:val="00EC16F5"/>
    <w:rsid w:val="00ED3F8E"/>
    <w:rsid w:val="00EF6F42"/>
    <w:rsid w:val="00F015B2"/>
    <w:rsid w:val="00F10D7E"/>
    <w:rsid w:val="00F20A70"/>
    <w:rsid w:val="00F27BC7"/>
    <w:rsid w:val="00F33A46"/>
    <w:rsid w:val="00F4763A"/>
    <w:rsid w:val="00F5132F"/>
    <w:rsid w:val="00F52DE9"/>
    <w:rsid w:val="00F630B4"/>
    <w:rsid w:val="00F67B38"/>
    <w:rsid w:val="00F75C3B"/>
    <w:rsid w:val="00F75C7B"/>
    <w:rsid w:val="00F7772A"/>
    <w:rsid w:val="00F83087"/>
    <w:rsid w:val="00FA7FE1"/>
    <w:rsid w:val="00FB6F4C"/>
    <w:rsid w:val="00FD4208"/>
    <w:rsid w:val="00FE7F1F"/>
    <w:rsid w:val="00FF19EE"/>
    <w:rsid w:val="00FF427F"/>
    <w:rsid w:val="0E1331EC"/>
    <w:rsid w:val="141B7793"/>
    <w:rsid w:val="1D3A4920"/>
    <w:rsid w:val="202042A9"/>
    <w:rsid w:val="4021663B"/>
    <w:rsid w:val="570C6CFC"/>
    <w:rsid w:val="5A452253"/>
    <w:rsid w:val="5DB549BD"/>
    <w:rsid w:val="5F4B73FF"/>
    <w:rsid w:val="62071CAF"/>
    <w:rsid w:val="6B2E3BA7"/>
    <w:rsid w:val="77471B72"/>
    <w:rsid w:val="7F894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3"/>
    <w:qFormat/>
    <w:uiPriority w:val="9"/>
    <w:pPr>
      <w:keepNext/>
      <w:keepLines/>
      <w:spacing w:before="340" w:after="330" w:line="576"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unhideWhenUsed/>
    <w:qFormat/>
    <w:uiPriority w:val="99"/>
    <w:rPr>
      <w:rFonts w:ascii="宋体" w:hAnsiTheme="minorHAnsi" w:eastAsiaTheme="minorEastAsia" w:cstheme="minorBidi"/>
      <w:sz w:val="24"/>
    </w:rPr>
  </w:style>
  <w:style w:type="paragraph" w:styleId="4">
    <w:name w:val="Balloon Text"/>
    <w:basedOn w:val="1"/>
    <w:link w:val="16"/>
    <w:unhideWhenUsed/>
    <w:uiPriority w:val="99"/>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0"/>
    <w:pPr>
      <w:spacing w:beforeAutospacing="1" w:afterAutospacing="1"/>
      <w:jc w:val="left"/>
    </w:pPr>
    <w:rPr>
      <w:rFonts w:cs="Times New Roman"/>
      <w:kern w:val="0"/>
      <w:sz w:val="24"/>
    </w:rPr>
  </w:style>
  <w:style w:type="paragraph" w:styleId="8">
    <w:name w:val="Title"/>
    <w:basedOn w:val="1"/>
    <w:next w:val="1"/>
    <w:link w:val="17"/>
    <w:qFormat/>
    <w:uiPriority w:val="0"/>
    <w:pPr>
      <w:spacing w:before="240" w:after="60"/>
      <w:jc w:val="center"/>
      <w:outlineLvl w:val="0"/>
    </w:pPr>
    <w:rPr>
      <w:rFonts w:ascii="Cambria" w:hAnsi="Cambria" w:eastAsia="方正小标宋简体" w:cs="Times New Roman"/>
      <w:b/>
      <w:bCs/>
      <w:sz w:val="32"/>
      <w:szCs w:val="3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customStyle="1" w:styleId="13">
    <w:name w:val="标题 1 Char"/>
    <w:basedOn w:val="11"/>
    <w:link w:val="2"/>
    <w:qFormat/>
    <w:uiPriority w:val="9"/>
    <w:rPr>
      <w:rFonts w:eastAsia="宋体"/>
      <w:b/>
      <w:bCs/>
      <w:kern w:val="44"/>
      <w:sz w:val="44"/>
      <w:szCs w:val="44"/>
    </w:rPr>
  </w:style>
  <w:style w:type="character" w:customStyle="1" w:styleId="14">
    <w:name w:val="页眉 Char"/>
    <w:basedOn w:val="11"/>
    <w:link w:val="6"/>
    <w:qFormat/>
    <w:uiPriority w:val="99"/>
    <w:rPr>
      <w:sz w:val="18"/>
      <w:szCs w:val="18"/>
    </w:rPr>
  </w:style>
  <w:style w:type="character" w:customStyle="1" w:styleId="15">
    <w:name w:val="页脚 Char"/>
    <w:basedOn w:val="11"/>
    <w:link w:val="5"/>
    <w:qFormat/>
    <w:uiPriority w:val="99"/>
    <w:rPr>
      <w:sz w:val="18"/>
      <w:szCs w:val="18"/>
    </w:rPr>
  </w:style>
  <w:style w:type="character" w:customStyle="1" w:styleId="16">
    <w:name w:val="批注框文本 Char"/>
    <w:basedOn w:val="11"/>
    <w:link w:val="4"/>
    <w:semiHidden/>
    <w:qFormat/>
    <w:uiPriority w:val="99"/>
    <w:rPr>
      <w:sz w:val="18"/>
      <w:szCs w:val="18"/>
    </w:rPr>
  </w:style>
  <w:style w:type="character" w:customStyle="1" w:styleId="17">
    <w:name w:val="标题 Char"/>
    <w:basedOn w:val="11"/>
    <w:link w:val="8"/>
    <w:qFormat/>
    <w:uiPriority w:val="0"/>
    <w:rPr>
      <w:rFonts w:ascii="Cambria" w:hAnsi="Cambria" w:eastAsia="方正小标宋简体"/>
      <w:b/>
      <w:bCs/>
      <w:kern w:val="2"/>
      <w:sz w:val="32"/>
      <w:szCs w:val="32"/>
    </w:rPr>
  </w:style>
  <w:style w:type="character" w:customStyle="1" w:styleId="18">
    <w:name w:val="正文文本 Char"/>
    <w:basedOn w:val="11"/>
    <w:link w:val="3"/>
    <w:qFormat/>
    <w:uiPriority w:val="99"/>
    <w:rPr>
      <w:rFonts w:ascii="宋体" w:hAnsiTheme="minorHAnsi" w:eastAsiaTheme="minorEastAsia" w:cstheme="minorBidi"/>
      <w:kern w:val="2"/>
      <w:sz w:val="24"/>
      <w:szCs w:val="22"/>
    </w:rPr>
  </w:style>
  <w:style w:type="paragraph" w:customStyle="1" w:styleId="19">
    <w:name w:val="List Paragraph1"/>
    <w:basedOn w:val="1"/>
    <w:qFormat/>
    <w:uiPriority w:val="0"/>
    <w:pPr>
      <w:widowControl/>
      <w:spacing w:line="360" w:lineRule="atLeast"/>
      <w:ind w:firstLine="420" w:firstLineChars="200"/>
      <w:jc w:val="left"/>
      <w:textAlignment w:val="baseline"/>
    </w:pPr>
    <w:rPr>
      <w:rFonts w:cs="宋体"/>
      <w:kern w:val="0"/>
      <w:sz w:val="22"/>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8F36EC-1945-4314-A630-EE80C1EBEAE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344</Words>
  <Characters>1962</Characters>
  <Lines>16</Lines>
  <Paragraphs>4</Paragraphs>
  <TotalTime>10</TotalTime>
  <ScaleCrop>false</ScaleCrop>
  <LinksUpToDate>false</LinksUpToDate>
  <CharactersWithSpaces>2302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2020-11-02T08:09:00Z</dcterms:created>
  <dc:creator>wangh</dc:creator>
  <cp:lastModifiedBy>Administrator</cp:lastModifiedBy>
  <cp:lastPrinted>2020-11-12T01:27:00Z</cp:lastPrinted>
  <dcterms:modified xsi:type="dcterms:W3CDTF">2020-11-13T03:34:16Z</dcterms:modified>
  <dc:title>湖北省省级政府采购需求公示</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