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bookmarkStart w:id="2" w:name="_GoBack"/>
      <w:bookmarkEnd w:id="2"/>
    </w:p>
    <w:p>
      <w:pPr>
        <w:spacing w:line="360" w:lineRule="auto"/>
        <w:jc w:val="left"/>
        <w:rPr>
          <w:sz w:val="24"/>
          <w:szCs w:val="24"/>
        </w:rPr>
      </w:pPr>
      <w:r>
        <w:rPr>
          <w:rFonts w:hint="eastAsia"/>
          <w:sz w:val="24"/>
          <w:szCs w:val="24"/>
        </w:rPr>
        <w:t>附件：</w:t>
      </w:r>
    </w:p>
    <w:p>
      <w:pPr>
        <w:spacing w:line="360" w:lineRule="auto"/>
        <w:jc w:val="center"/>
        <w:rPr>
          <w:rFonts w:hint="eastAsia"/>
          <w:sz w:val="32"/>
          <w:szCs w:val="32"/>
          <w:lang w:val="en-US" w:eastAsia="zh-CN"/>
        </w:rPr>
      </w:pPr>
      <w:r>
        <w:rPr>
          <w:rFonts w:hint="eastAsia"/>
          <w:sz w:val="32"/>
          <w:szCs w:val="32"/>
        </w:rPr>
        <w:t>阳新县人民医院</w:t>
      </w:r>
      <w:r>
        <w:rPr>
          <w:rFonts w:hint="eastAsia"/>
          <w:sz w:val="32"/>
          <w:szCs w:val="32"/>
          <w:lang w:eastAsia="zh-CN"/>
        </w:rPr>
        <w:t>放射科CT、MR设备维保</w:t>
      </w:r>
      <w:r>
        <w:rPr>
          <w:rFonts w:hint="eastAsia"/>
          <w:sz w:val="32"/>
          <w:szCs w:val="32"/>
        </w:rPr>
        <w:t>项目采购需求</w:t>
      </w:r>
      <w:r>
        <w:rPr>
          <w:rFonts w:hint="eastAsia"/>
          <w:sz w:val="32"/>
          <w:szCs w:val="32"/>
          <w:lang w:val="en-US" w:eastAsia="zh-CN"/>
        </w:rPr>
        <w:t>及供应商报名表</w:t>
      </w:r>
    </w:p>
    <w:p>
      <w:pPr>
        <w:numPr>
          <w:ilvl w:val="0"/>
          <w:numId w:val="2"/>
        </w:numPr>
        <w:spacing w:line="500" w:lineRule="exact"/>
        <w:rPr>
          <w:rFonts w:ascii="Times New Roman" w:hAnsi="Times New Roman" w:cs="Times New Roman"/>
          <w:b/>
          <w:color w:val="000000"/>
          <w:sz w:val="28"/>
          <w:szCs w:val="28"/>
        </w:rPr>
      </w:pPr>
      <w:bookmarkStart w:id="0" w:name="_Toc244580128"/>
      <w:bookmarkStart w:id="1" w:name="_Toc118467468"/>
      <w:r>
        <w:rPr>
          <w:rFonts w:hint="eastAsia" w:ascii="Times New Roman" w:hAnsi="Times New Roman" w:cs="Times New Roman"/>
          <w:b/>
          <w:color w:val="000000"/>
          <w:sz w:val="28"/>
          <w:szCs w:val="28"/>
        </w:rPr>
        <w:t>采购清单</w:t>
      </w:r>
    </w:p>
    <w:p>
      <w:pPr>
        <w:spacing w:line="360" w:lineRule="auto"/>
        <w:ind w:firstLine="560" w:firstLineChars="200"/>
        <w:rPr>
          <w:rFonts w:hint="eastAsia" w:ascii="Times New Roman" w:hAnsi="Times New Roman" w:cs="Times New Roman"/>
          <w:color w:val="000000"/>
          <w:sz w:val="28"/>
          <w:szCs w:val="28"/>
          <w:lang w:val="zh-TW"/>
        </w:rPr>
      </w:pPr>
      <w:r>
        <w:rPr>
          <w:rFonts w:hint="eastAsia" w:ascii="Times New Roman" w:hAnsi="Times New Roman" w:cs="Times New Roman"/>
          <w:color w:val="000000"/>
          <w:sz w:val="28"/>
          <w:szCs w:val="28"/>
          <w:lang w:val="en-US" w:eastAsia="zh-CN"/>
        </w:rPr>
        <w:t>GE64排CT：除球管、探测器外的全保服务；GE16排CT：除球管外的全保服务；日立0.3T磁共振：含人工费用的技术保服务</w:t>
      </w:r>
      <w:r>
        <w:rPr>
          <w:rFonts w:hint="eastAsia" w:ascii="Times New Roman" w:hAnsi="Times New Roman" w:cs="Times New Roman"/>
          <w:color w:val="000000"/>
          <w:sz w:val="28"/>
          <w:szCs w:val="28"/>
          <w:lang w:val="zh-TW"/>
        </w:rPr>
        <w:t>。</w:t>
      </w:r>
    </w:p>
    <w:p>
      <w:pPr>
        <w:spacing w:line="360" w:lineRule="auto"/>
        <w:ind w:firstLine="560" w:firstLineChars="200"/>
        <w:rPr>
          <w:rFonts w:hint="eastAsia" w:ascii="Times New Roman" w:hAnsi="Times New Roman" w:cs="Times New Roman"/>
          <w:color w:val="000000"/>
          <w:sz w:val="28"/>
          <w:szCs w:val="28"/>
          <w:lang w:val="zh-TW"/>
        </w:rPr>
      </w:pPr>
      <w:r>
        <w:rPr>
          <w:rFonts w:hint="eastAsia" w:ascii="Times New Roman" w:hAnsi="Times New Roman" w:cs="Times New Roman"/>
          <w:color w:val="000000"/>
          <w:sz w:val="28"/>
          <w:szCs w:val="28"/>
          <w:lang w:val="zh-TW" w:eastAsia="zh-TW"/>
        </w:rPr>
        <w:t>本项目是对</w:t>
      </w:r>
      <w:r>
        <w:rPr>
          <w:rFonts w:hint="eastAsia" w:ascii="Times New Roman" w:hAnsi="Times New Roman" w:cs="Times New Roman"/>
          <w:color w:val="000000"/>
          <w:sz w:val="28"/>
          <w:szCs w:val="28"/>
          <w:lang w:val="zh-TW" w:eastAsia="zh-CN"/>
        </w:rPr>
        <w:t>CT、MR</w:t>
      </w:r>
      <w:r>
        <w:rPr>
          <w:rFonts w:hint="eastAsia" w:ascii="Times New Roman" w:hAnsi="Times New Roman" w:cs="Times New Roman"/>
          <w:color w:val="000000"/>
          <w:sz w:val="28"/>
          <w:szCs w:val="28"/>
          <w:lang w:val="zh-TW" w:eastAsia="zh-TW"/>
        </w:rPr>
        <w:t>全周期、全方位维修与保养服务，在此期间所有风险（如材料、人工、意外伤害等）及费用均由</w:t>
      </w:r>
      <w:r>
        <w:rPr>
          <w:rFonts w:hint="eastAsia" w:ascii="Times New Roman" w:hAnsi="Times New Roman" w:cs="Times New Roman"/>
          <w:color w:val="000000"/>
          <w:sz w:val="28"/>
          <w:szCs w:val="28"/>
          <w:lang w:val="en-US" w:eastAsia="zh-CN"/>
        </w:rPr>
        <w:t>供应商</w:t>
      </w:r>
      <w:r>
        <w:rPr>
          <w:rFonts w:hint="eastAsia" w:ascii="Times New Roman" w:hAnsi="Times New Roman" w:cs="Times New Roman"/>
          <w:color w:val="000000"/>
          <w:sz w:val="28"/>
          <w:szCs w:val="28"/>
          <w:lang w:val="zh-TW" w:eastAsia="zh-TW"/>
        </w:rPr>
        <w:t>承但，与</w:t>
      </w:r>
      <w:r>
        <w:rPr>
          <w:rFonts w:hint="eastAsia" w:ascii="Times New Roman" w:hAnsi="Times New Roman" w:cs="Times New Roman"/>
          <w:color w:val="000000"/>
          <w:sz w:val="28"/>
          <w:szCs w:val="28"/>
          <w:lang w:val="en-US" w:eastAsia="zh-CN"/>
        </w:rPr>
        <w:t>采购人</w:t>
      </w:r>
      <w:r>
        <w:rPr>
          <w:rFonts w:hint="eastAsia" w:ascii="Times New Roman" w:hAnsi="Times New Roman" w:cs="Times New Roman"/>
          <w:color w:val="000000"/>
          <w:sz w:val="28"/>
          <w:szCs w:val="28"/>
          <w:lang w:val="zh-TW" w:eastAsia="zh-TW"/>
        </w:rPr>
        <w:t>无关</w:t>
      </w:r>
      <w:r>
        <w:rPr>
          <w:rFonts w:hint="eastAsia" w:ascii="Times New Roman" w:hAnsi="Times New Roman" w:cs="Times New Roman"/>
          <w:color w:val="000000"/>
          <w:sz w:val="28"/>
          <w:szCs w:val="28"/>
          <w:lang w:val="zh-TW" w:eastAsia="zh-CN"/>
        </w:rPr>
        <w:t>。</w:t>
      </w:r>
    </w:p>
    <w:p>
      <w:pPr>
        <w:spacing w:line="500" w:lineRule="exact"/>
        <w:rPr>
          <w:rFonts w:ascii="Times New Roman" w:hAnsi="Times New Roman" w:cs="Times New Roman"/>
          <w:color w:val="000000"/>
          <w:sz w:val="28"/>
          <w:szCs w:val="28"/>
        </w:rPr>
      </w:pPr>
    </w:p>
    <w:p>
      <w:pPr>
        <w:numPr>
          <w:ilvl w:val="0"/>
          <w:numId w:val="2"/>
        </w:numPr>
        <w:spacing w:line="500" w:lineRule="exact"/>
        <w:rPr>
          <w:rFonts w:ascii="Times New Roman" w:hAnsi="Times New Roman" w:cs="Times New Roman"/>
          <w:b/>
          <w:color w:val="000000"/>
          <w:sz w:val="28"/>
          <w:szCs w:val="28"/>
        </w:rPr>
      </w:pPr>
      <w:r>
        <w:rPr>
          <w:rFonts w:hint="eastAsia" w:ascii="Times New Roman" w:hAnsi="Times New Roman" w:cs="Times New Roman"/>
          <w:b/>
          <w:color w:val="000000"/>
          <w:sz w:val="28"/>
          <w:szCs w:val="28"/>
        </w:rPr>
        <w:t>技术、服务等要求</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rPr>
      </w:pPr>
      <w:r>
        <w:rPr>
          <w:rFonts w:hint="eastAsia" w:asciiTheme="minorEastAsia" w:hAnsiTheme="minorEastAsia" w:eastAsiaTheme="minorEastAsia" w:cstheme="minorEastAsia"/>
          <w:b w:val="0"/>
          <w:bCs/>
          <w:color w:val="000000"/>
          <w:sz w:val="28"/>
          <w:szCs w:val="28"/>
          <w:lang w:val="zh-TW" w:eastAsia="zh-TW"/>
        </w:rPr>
        <w:t>每年提供不限次数的人工上门维修服务；不限数量更换所需更换的备件；提供一年至少</w:t>
      </w:r>
      <w:r>
        <w:rPr>
          <w:rFonts w:hint="eastAsia" w:asciiTheme="minorEastAsia" w:hAnsiTheme="minorEastAsia" w:eastAsiaTheme="minorEastAsia" w:cstheme="minorEastAsia"/>
          <w:b w:val="0"/>
          <w:bCs/>
          <w:color w:val="000000"/>
          <w:sz w:val="28"/>
          <w:szCs w:val="28"/>
        </w:rPr>
        <w:t>4</w:t>
      </w:r>
      <w:r>
        <w:rPr>
          <w:rFonts w:hint="eastAsia" w:asciiTheme="minorEastAsia" w:hAnsiTheme="minorEastAsia" w:eastAsiaTheme="minorEastAsia" w:cstheme="minorEastAsia"/>
          <w:b w:val="0"/>
          <w:bCs/>
          <w:color w:val="000000"/>
          <w:sz w:val="28"/>
          <w:szCs w:val="28"/>
          <w:lang w:val="zh-TW" w:eastAsia="zh-TW"/>
        </w:rPr>
        <w:t>次／台设备的定期维护与保养，并提供维修、保养报告单及质控报告等。</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lang w:val="zh-TW" w:eastAsia="zh-TW"/>
        </w:rPr>
      </w:pPr>
      <w:r>
        <w:rPr>
          <w:rFonts w:hint="eastAsia" w:asciiTheme="minorEastAsia" w:hAnsiTheme="minorEastAsia" w:eastAsiaTheme="minorEastAsia" w:cstheme="minorEastAsia"/>
          <w:b w:val="0"/>
          <w:bCs/>
          <w:color w:val="000000"/>
          <w:sz w:val="28"/>
          <w:szCs w:val="28"/>
          <w:lang w:val="zh-TW" w:eastAsia="zh-TW"/>
        </w:rPr>
        <w:t>具体服务时间：周一至周日；初次电话响应时间：1小时；工程师</w:t>
      </w:r>
      <w:r>
        <w:rPr>
          <w:rFonts w:hint="eastAsia" w:asciiTheme="minorEastAsia" w:hAnsiTheme="minorEastAsia" w:eastAsiaTheme="minorEastAsia" w:cstheme="minorEastAsia"/>
          <w:b w:val="0"/>
          <w:bCs/>
          <w:color w:val="000000"/>
          <w:sz w:val="28"/>
          <w:szCs w:val="28"/>
          <w:lang w:val="en-US" w:eastAsia="zh-CN"/>
        </w:rPr>
        <w:t>6</w:t>
      </w:r>
      <w:r>
        <w:rPr>
          <w:rFonts w:hint="eastAsia" w:asciiTheme="minorEastAsia" w:hAnsiTheme="minorEastAsia" w:eastAsiaTheme="minorEastAsia" w:cstheme="minorEastAsia"/>
          <w:b w:val="0"/>
          <w:bCs/>
          <w:color w:val="000000"/>
          <w:sz w:val="28"/>
          <w:szCs w:val="28"/>
          <w:lang w:val="zh-TW" w:eastAsia="zh-TW"/>
        </w:rPr>
        <w:t>小时内现场响应、最迟不超过</w:t>
      </w:r>
      <w:r>
        <w:rPr>
          <w:rFonts w:hint="eastAsia" w:asciiTheme="minorEastAsia" w:hAnsiTheme="minorEastAsia" w:eastAsiaTheme="minorEastAsia" w:cstheme="minorEastAsia"/>
          <w:b w:val="0"/>
          <w:bCs/>
          <w:color w:val="000000"/>
          <w:sz w:val="28"/>
          <w:szCs w:val="28"/>
          <w:lang w:val="en-US" w:eastAsia="zh-CN"/>
        </w:rPr>
        <w:t>12</w:t>
      </w:r>
      <w:r>
        <w:rPr>
          <w:rFonts w:hint="eastAsia" w:asciiTheme="minorEastAsia" w:hAnsiTheme="minorEastAsia" w:eastAsiaTheme="minorEastAsia" w:cstheme="minorEastAsia"/>
          <w:b w:val="0"/>
          <w:bCs/>
          <w:color w:val="000000"/>
          <w:sz w:val="28"/>
          <w:szCs w:val="28"/>
          <w:lang w:val="zh-TW" w:eastAsia="zh-TW"/>
        </w:rPr>
        <w:t>小时。</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lang w:val="zh-TW" w:eastAsia="zh-CN"/>
        </w:rPr>
      </w:pPr>
      <w:r>
        <w:rPr>
          <w:rFonts w:hint="eastAsia" w:asciiTheme="minorEastAsia" w:hAnsiTheme="minorEastAsia" w:eastAsiaTheme="minorEastAsia" w:cstheme="minorEastAsia"/>
          <w:b w:val="0"/>
          <w:bCs/>
          <w:color w:val="000000"/>
          <w:sz w:val="28"/>
          <w:szCs w:val="28"/>
          <w:lang w:val="zh-TW" w:eastAsia="zh-TW"/>
        </w:rPr>
        <w:t>更换的备件必须与原设备型号一致，安装完毕后达到设备运行标准。普通配件到场时间不得超过</w:t>
      </w:r>
      <w:r>
        <w:rPr>
          <w:rFonts w:hint="eastAsia" w:asciiTheme="minorEastAsia" w:hAnsiTheme="minorEastAsia" w:eastAsiaTheme="minorEastAsia" w:cstheme="minorEastAsia"/>
          <w:b w:val="0"/>
          <w:bCs/>
          <w:color w:val="000000"/>
          <w:sz w:val="28"/>
          <w:szCs w:val="28"/>
          <w:lang w:val="en-US" w:eastAsia="zh-CN"/>
        </w:rPr>
        <w:t>24</w:t>
      </w:r>
      <w:r>
        <w:rPr>
          <w:rFonts w:hint="eastAsia" w:asciiTheme="minorEastAsia" w:hAnsiTheme="minorEastAsia" w:eastAsiaTheme="minorEastAsia" w:cstheme="minorEastAsia"/>
          <w:b w:val="0"/>
          <w:bCs/>
          <w:color w:val="000000"/>
          <w:sz w:val="28"/>
          <w:szCs w:val="28"/>
          <w:lang w:val="zh-TW" w:eastAsia="zh-TW"/>
        </w:rPr>
        <w:t>小时</w:t>
      </w:r>
      <w:r>
        <w:rPr>
          <w:rFonts w:hint="eastAsia" w:asciiTheme="minorEastAsia" w:hAnsiTheme="minorEastAsia" w:eastAsiaTheme="minorEastAsia" w:cstheme="minorEastAsia"/>
          <w:b w:val="0"/>
          <w:bCs/>
          <w:color w:val="000000"/>
          <w:sz w:val="28"/>
          <w:szCs w:val="28"/>
          <w:lang w:val="zh-TW" w:eastAsia="zh-CN"/>
        </w:rPr>
        <w:t>。</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highlight w:val="none"/>
          <w:lang w:val="zh-TW" w:eastAsia="zh-TW"/>
        </w:rPr>
      </w:pPr>
      <w:r>
        <w:rPr>
          <w:rFonts w:hint="eastAsia" w:asciiTheme="minorEastAsia" w:hAnsiTheme="minorEastAsia" w:eastAsiaTheme="minorEastAsia" w:cstheme="minorEastAsia"/>
          <w:b w:val="0"/>
          <w:bCs/>
          <w:color w:val="000000"/>
          <w:sz w:val="28"/>
          <w:szCs w:val="28"/>
          <w:highlight w:val="none"/>
          <w:lang w:val="zh-TW" w:eastAsia="zh-TW"/>
        </w:rPr>
        <w:t>须有相应的零部件供应能力，在国内设有专门的零备件仓库；</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lang w:val="zh-TW" w:eastAsia="zh-TW"/>
        </w:rPr>
      </w:pPr>
      <w:r>
        <w:rPr>
          <w:rFonts w:hint="eastAsia" w:asciiTheme="minorEastAsia" w:hAnsiTheme="minorEastAsia" w:eastAsiaTheme="minorEastAsia" w:cstheme="minorEastAsia"/>
          <w:b w:val="0"/>
          <w:bCs/>
          <w:color w:val="000000"/>
          <w:sz w:val="28"/>
          <w:szCs w:val="28"/>
          <w:lang w:val="zh-TW" w:eastAsia="zh-TW"/>
        </w:rPr>
        <w:t>须确保设备开机率≥95%，按一年365天，每天24小时计算。若单台设备开机率低于95%，停机时间每超过一天顺延两天维保期，并罚款1万元每天，单次停机时间不得超过5个工作日。</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lang w:val="zh-TW" w:eastAsia="zh-CN"/>
        </w:rPr>
      </w:pPr>
      <w:r>
        <w:rPr>
          <w:rFonts w:hint="eastAsia" w:asciiTheme="minorEastAsia" w:hAnsiTheme="minorEastAsia" w:eastAsiaTheme="minorEastAsia" w:cstheme="minorEastAsia"/>
          <w:b w:val="0"/>
          <w:bCs/>
          <w:color w:val="000000"/>
          <w:sz w:val="28"/>
          <w:szCs w:val="28"/>
          <w:lang w:val="zh-TW" w:eastAsia="zh-TW"/>
        </w:rPr>
        <w:t>所派设备维修工程师</w:t>
      </w:r>
      <w:r>
        <w:rPr>
          <w:rFonts w:hint="eastAsia" w:asciiTheme="minorEastAsia" w:hAnsiTheme="minorEastAsia" w:cstheme="minorEastAsia"/>
          <w:b w:val="0"/>
          <w:bCs/>
          <w:color w:val="000000"/>
          <w:sz w:val="28"/>
          <w:szCs w:val="28"/>
          <w:lang w:val="zh-TW" w:eastAsia="zh-CN"/>
        </w:rPr>
        <w:t>：</w:t>
      </w:r>
      <w:r>
        <w:rPr>
          <w:rFonts w:hint="eastAsia" w:asciiTheme="minorEastAsia" w:hAnsiTheme="minorEastAsia" w:eastAsiaTheme="minorEastAsia" w:cstheme="minorEastAsia"/>
          <w:b w:val="0"/>
          <w:bCs/>
          <w:color w:val="000000"/>
          <w:sz w:val="28"/>
          <w:szCs w:val="28"/>
          <w:lang w:val="zh-TW" w:eastAsia="zh-TW"/>
        </w:rPr>
        <w:t>至少</w:t>
      </w:r>
      <w:r>
        <w:rPr>
          <w:rFonts w:hint="eastAsia" w:asciiTheme="minorEastAsia" w:hAnsiTheme="minorEastAsia" w:eastAsiaTheme="minorEastAsia" w:cstheme="minorEastAsia"/>
          <w:b w:val="0"/>
          <w:bCs/>
          <w:color w:val="000000"/>
          <w:sz w:val="28"/>
          <w:szCs w:val="28"/>
          <w:lang w:val="en-US" w:eastAsia="zh-CN"/>
        </w:rPr>
        <w:t>2</w:t>
      </w:r>
      <w:r>
        <w:rPr>
          <w:rFonts w:hint="eastAsia" w:asciiTheme="minorEastAsia" w:hAnsiTheme="minorEastAsia" w:eastAsiaTheme="minorEastAsia" w:cstheme="minorEastAsia"/>
          <w:b w:val="0"/>
          <w:bCs/>
          <w:color w:val="000000"/>
          <w:sz w:val="28"/>
          <w:szCs w:val="28"/>
          <w:lang w:val="zh-TW" w:eastAsia="zh-TW"/>
        </w:rPr>
        <w:t>名</w:t>
      </w:r>
      <w:r>
        <w:rPr>
          <w:rFonts w:hint="eastAsia" w:asciiTheme="minorEastAsia" w:hAnsiTheme="minorEastAsia" w:eastAsiaTheme="minorEastAsia" w:cstheme="minorEastAsia"/>
          <w:b w:val="0"/>
          <w:bCs/>
          <w:color w:val="000000"/>
          <w:sz w:val="28"/>
          <w:szCs w:val="28"/>
          <w:lang w:val="en-US" w:eastAsia="zh-CN"/>
        </w:rPr>
        <w:t>CT</w:t>
      </w:r>
      <w:r>
        <w:rPr>
          <w:rFonts w:hint="eastAsia" w:asciiTheme="minorEastAsia" w:hAnsiTheme="minorEastAsia" w:eastAsiaTheme="minorEastAsia" w:cstheme="minorEastAsia"/>
          <w:b w:val="0"/>
          <w:bCs/>
          <w:color w:val="000000"/>
          <w:sz w:val="28"/>
          <w:szCs w:val="28"/>
          <w:lang w:val="zh-TW" w:eastAsia="zh-TW"/>
        </w:rPr>
        <w:t>专业维修工程师名单，</w:t>
      </w:r>
      <w:r>
        <w:rPr>
          <w:rFonts w:hint="eastAsia" w:asciiTheme="minorEastAsia" w:hAnsiTheme="minorEastAsia" w:eastAsiaTheme="minorEastAsia" w:cstheme="minorEastAsia"/>
          <w:b w:val="0"/>
          <w:bCs/>
          <w:color w:val="000000"/>
          <w:sz w:val="28"/>
          <w:szCs w:val="28"/>
          <w:lang w:val="en-US" w:eastAsia="zh-CN"/>
        </w:rPr>
        <w:t>1名MR维修工程师名单</w:t>
      </w:r>
      <w:r>
        <w:rPr>
          <w:rFonts w:hint="eastAsia" w:asciiTheme="minorEastAsia" w:hAnsiTheme="minorEastAsia" w:eastAsiaTheme="minorEastAsia" w:cstheme="minorEastAsia"/>
          <w:b w:val="0"/>
          <w:bCs/>
          <w:color w:val="000000"/>
          <w:sz w:val="28"/>
          <w:szCs w:val="28"/>
          <w:lang w:val="zh-TW" w:eastAsia="zh-CN"/>
        </w:rPr>
        <w:t>；（</w:t>
      </w:r>
      <w:r>
        <w:rPr>
          <w:rFonts w:hint="eastAsia" w:asciiTheme="minorEastAsia" w:hAnsiTheme="minorEastAsia" w:eastAsiaTheme="minorEastAsia" w:cstheme="minorEastAsia"/>
          <w:b w:val="0"/>
          <w:bCs/>
          <w:color w:val="000000"/>
          <w:sz w:val="28"/>
          <w:szCs w:val="28"/>
          <w:lang w:val="en-US" w:eastAsia="zh-CN"/>
        </w:rPr>
        <w:t>提供本单位为其缴纳的社保证明</w:t>
      </w:r>
      <w:r>
        <w:rPr>
          <w:rFonts w:hint="eastAsia" w:asciiTheme="minorEastAsia" w:hAnsiTheme="minorEastAsia" w:eastAsiaTheme="minorEastAsia" w:cstheme="minorEastAsia"/>
          <w:b w:val="0"/>
          <w:bCs/>
          <w:color w:val="000000"/>
          <w:sz w:val="28"/>
          <w:szCs w:val="28"/>
          <w:lang w:val="zh-TW" w:eastAsia="zh-CN"/>
        </w:rPr>
        <w:t>）</w:t>
      </w:r>
    </w:p>
    <w:p>
      <w:pPr>
        <w:numPr>
          <w:ilvl w:val="0"/>
          <w:numId w:val="3"/>
        </w:numPr>
        <w:tabs>
          <w:tab w:val="left" w:pos="640"/>
        </w:tabs>
        <w:spacing w:line="500" w:lineRule="exact"/>
        <w:ind w:left="625" w:leftChars="0" w:hanging="625" w:firstLineChars="0"/>
        <w:rPr>
          <w:rFonts w:hint="eastAsia" w:asciiTheme="minorEastAsia" w:hAnsiTheme="minorEastAsia" w:eastAsiaTheme="minorEastAsia" w:cstheme="minorEastAsia"/>
          <w:b w:val="0"/>
          <w:bCs/>
          <w:color w:val="000000"/>
          <w:sz w:val="28"/>
          <w:szCs w:val="28"/>
          <w:lang w:val="zh-TW" w:eastAsia="zh-TW"/>
        </w:rPr>
      </w:pPr>
      <w:r>
        <w:rPr>
          <w:rFonts w:hint="eastAsia" w:asciiTheme="minorEastAsia" w:hAnsiTheme="minorEastAsia" w:eastAsiaTheme="minorEastAsia" w:cstheme="minorEastAsia"/>
          <w:b w:val="0"/>
          <w:bCs/>
          <w:color w:val="000000"/>
          <w:sz w:val="28"/>
          <w:szCs w:val="28"/>
          <w:lang w:val="zh-TW" w:eastAsia="zh-TW"/>
        </w:rPr>
        <w:t>年检时，负责并保证全部监测指标达标，通过相关部门检测，取得合格证。</w:t>
      </w:r>
    </w:p>
    <w:p>
      <w:pPr>
        <w:spacing w:line="500" w:lineRule="exact"/>
        <w:rPr>
          <w:rFonts w:ascii="Times New Roman" w:hAnsi="Times New Roman" w:cs="Times New Roman"/>
          <w:color w:val="000000"/>
          <w:sz w:val="28"/>
          <w:szCs w:val="28"/>
        </w:rPr>
      </w:pPr>
    </w:p>
    <w:p>
      <w:pPr>
        <w:spacing w:line="500" w:lineRule="exact"/>
        <w:rPr>
          <w:rFonts w:ascii="Times New Roman" w:hAnsi="Times New Roman" w:cs="Times New Roman"/>
          <w:b/>
          <w:color w:val="000000"/>
          <w:sz w:val="28"/>
          <w:szCs w:val="28"/>
        </w:rPr>
      </w:pPr>
      <w:r>
        <w:rPr>
          <w:rFonts w:hint="eastAsia" w:ascii="Times New Roman" w:hAnsi="Times New Roman" w:cs="Times New Roman"/>
          <w:b/>
          <w:color w:val="000000"/>
          <w:sz w:val="28"/>
          <w:szCs w:val="28"/>
        </w:rPr>
        <w:t>三、商务要求</w:t>
      </w:r>
    </w:p>
    <w:p>
      <w:pPr>
        <w:spacing w:line="500" w:lineRule="exact"/>
        <w:ind w:firstLine="548" w:firstLineChars="196"/>
        <w:rPr>
          <w:rFonts w:ascii="Times New Roman" w:hAnsi="Times New Roman" w:cs="Times New Roman"/>
          <w:color w:val="000000"/>
          <w:sz w:val="28"/>
          <w:szCs w:val="28"/>
        </w:rPr>
      </w:pPr>
      <w:r>
        <w:rPr>
          <w:rFonts w:hint="eastAsia" w:ascii="Times New Roman" w:hAnsi="Times New Roman" w:cs="Times New Roman"/>
          <w:color w:val="000000"/>
          <w:sz w:val="28"/>
          <w:szCs w:val="28"/>
        </w:rPr>
        <w:t>说明：供应商在磋商响应文件《商务要求响应、偏离说明表》中应对以下逐条商务要求进行响应描述或偏离说明。不满足以下要求的，其投标按照无效投标处理。</w:t>
      </w:r>
    </w:p>
    <w:p>
      <w:pPr>
        <w:pStyle w:val="17"/>
        <w:numPr>
          <w:ilvl w:val="0"/>
          <w:numId w:val="4"/>
        </w:numPr>
        <w:tabs>
          <w:tab w:val="left" w:pos="567"/>
        </w:tabs>
        <w:spacing w:line="500" w:lineRule="exact"/>
        <w:ind w:left="567" w:hanging="567" w:firstLineChars="0"/>
        <w:rPr>
          <w:rFonts w:ascii="Times New Roman" w:hAnsi="Times New Roman"/>
          <w:color w:val="000000"/>
          <w:sz w:val="28"/>
          <w:szCs w:val="28"/>
        </w:rPr>
      </w:pPr>
      <w:r>
        <w:rPr>
          <w:rFonts w:hint="eastAsia" w:ascii="Times New Roman" w:hAnsi="Times New Roman"/>
          <w:b/>
          <w:color w:val="000000"/>
          <w:sz w:val="28"/>
          <w:szCs w:val="28"/>
        </w:rPr>
        <w:t>服务期限：</w:t>
      </w:r>
      <w:r>
        <w:rPr>
          <w:rFonts w:hint="eastAsia" w:ascii="Times New Roman" w:hAnsi="Times New Roman"/>
          <w:color w:val="000000"/>
          <w:sz w:val="28"/>
          <w:szCs w:val="28"/>
        </w:rPr>
        <w:t>1年；</w:t>
      </w:r>
    </w:p>
    <w:p>
      <w:pPr>
        <w:pStyle w:val="17"/>
        <w:numPr>
          <w:ilvl w:val="0"/>
          <w:numId w:val="4"/>
        </w:numPr>
        <w:tabs>
          <w:tab w:val="left" w:pos="567"/>
        </w:tabs>
        <w:spacing w:line="500" w:lineRule="exact"/>
        <w:ind w:left="567" w:hanging="567" w:firstLineChars="0"/>
        <w:rPr>
          <w:rFonts w:ascii="Times New Roman" w:hAnsi="Times New Roman"/>
          <w:color w:val="000000"/>
          <w:sz w:val="28"/>
          <w:szCs w:val="28"/>
        </w:rPr>
      </w:pPr>
      <w:r>
        <w:rPr>
          <w:rFonts w:hint="eastAsia" w:ascii="Times New Roman" w:hAnsi="Times New Roman"/>
          <w:b/>
          <w:color w:val="000000"/>
          <w:sz w:val="28"/>
          <w:szCs w:val="28"/>
        </w:rPr>
        <w:t>服务地点：</w:t>
      </w:r>
      <w:r>
        <w:rPr>
          <w:rFonts w:hint="eastAsia" w:ascii="Times New Roman" w:hAnsi="Times New Roman"/>
          <w:color w:val="000000"/>
          <w:sz w:val="28"/>
          <w:szCs w:val="28"/>
        </w:rPr>
        <w:t>阳新县人民医院</w:t>
      </w:r>
      <w:r>
        <w:rPr>
          <w:rFonts w:hint="eastAsia" w:ascii="Times New Roman" w:hAnsi="Times New Roman"/>
          <w:color w:val="000000"/>
          <w:sz w:val="28"/>
          <w:szCs w:val="28"/>
          <w:lang w:val="en-US" w:eastAsia="zh-CN"/>
        </w:rPr>
        <w:t>放射科指定地点；</w:t>
      </w:r>
    </w:p>
    <w:p>
      <w:pPr>
        <w:pStyle w:val="17"/>
        <w:numPr>
          <w:ilvl w:val="0"/>
          <w:numId w:val="4"/>
        </w:numPr>
        <w:tabs>
          <w:tab w:val="left" w:pos="567"/>
        </w:tabs>
        <w:spacing w:line="500" w:lineRule="exact"/>
        <w:ind w:left="567" w:hanging="567" w:firstLineChars="0"/>
        <w:rPr>
          <w:rFonts w:ascii="Times New Roman" w:hAnsi="Times New Roman"/>
          <w:color w:val="000000"/>
          <w:sz w:val="28"/>
          <w:szCs w:val="28"/>
        </w:rPr>
      </w:pPr>
      <w:r>
        <w:rPr>
          <w:rFonts w:hint="eastAsia" w:ascii="Times New Roman" w:hAnsi="Times New Roman"/>
          <w:b/>
          <w:color w:val="000000"/>
          <w:sz w:val="28"/>
          <w:szCs w:val="28"/>
          <w:highlight w:val="none"/>
        </w:rPr>
        <w:t>付款方式：</w:t>
      </w:r>
      <w:r>
        <w:rPr>
          <w:rFonts w:hint="eastAsia" w:ascii="Times New Roman" w:hAnsi="Times New Roman"/>
          <w:color w:val="000000"/>
          <w:sz w:val="28"/>
          <w:szCs w:val="28"/>
          <w:highlight w:val="none"/>
          <w:lang w:val="en-US" w:eastAsia="zh-CN"/>
        </w:rPr>
        <w:t>每</w:t>
      </w:r>
      <w:r>
        <w:rPr>
          <w:rFonts w:hint="eastAsia" w:ascii="Times New Roman" w:hAnsi="Times New Roman"/>
          <w:color w:val="000000"/>
          <w:sz w:val="28"/>
          <w:szCs w:val="28"/>
          <w:lang w:val="en-US" w:eastAsia="zh-CN"/>
        </w:rPr>
        <w:t>个季度付25%；</w:t>
      </w:r>
    </w:p>
    <w:p>
      <w:pPr>
        <w:pStyle w:val="17"/>
        <w:numPr>
          <w:ilvl w:val="0"/>
          <w:numId w:val="4"/>
        </w:numPr>
        <w:tabs>
          <w:tab w:val="left" w:pos="567"/>
        </w:tabs>
        <w:spacing w:line="500" w:lineRule="exact"/>
        <w:ind w:left="567" w:hanging="567" w:firstLineChars="0"/>
        <w:rPr>
          <w:rFonts w:ascii="Times New Roman" w:hAnsi="Times New Roman"/>
          <w:color w:val="000000"/>
          <w:sz w:val="28"/>
          <w:szCs w:val="28"/>
        </w:rPr>
      </w:pPr>
      <w:r>
        <w:rPr>
          <w:rFonts w:hint="eastAsia" w:ascii="Times New Roman" w:hAnsi="Times New Roman"/>
          <w:b/>
          <w:color w:val="000000"/>
          <w:sz w:val="28"/>
          <w:szCs w:val="28"/>
        </w:rPr>
        <w:t>售后服务：</w:t>
      </w:r>
      <w:r>
        <w:rPr>
          <w:rFonts w:hint="eastAsia" w:ascii="Times New Roman" w:hAnsi="Times New Roman"/>
          <w:b w:val="0"/>
          <w:bCs/>
          <w:color w:val="000000"/>
          <w:sz w:val="28"/>
          <w:szCs w:val="28"/>
        </w:rPr>
        <w:t>合同期内，医院将对成交</w:t>
      </w:r>
      <w:r>
        <w:rPr>
          <w:rFonts w:hint="eastAsia" w:ascii="Times New Roman" w:hAnsi="Times New Roman"/>
          <w:b w:val="0"/>
          <w:bCs/>
          <w:color w:val="000000"/>
          <w:sz w:val="28"/>
          <w:szCs w:val="28"/>
          <w:lang w:val="en-US" w:eastAsia="zh-CN"/>
        </w:rPr>
        <w:t>人</w:t>
      </w:r>
      <w:r>
        <w:rPr>
          <w:rFonts w:hint="eastAsia" w:ascii="Times New Roman" w:hAnsi="Times New Roman"/>
          <w:b w:val="0"/>
          <w:bCs/>
          <w:color w:val="000000"/>
          <w:sz w:val="28"/>
          <w:szCs w:val="28"/>
        </w:rPr>
        <w:t>的服务质量进行考核（包括：软件安装升级、开机率、故障响应时间、故障排除时间及维保服务条款履行情况等），若考核不合格，医院可解除合同并有权要求</w:t>
      </w:r>
      <w:r>
        <w:rPr>
          <w:rFonts w:hint="eastAsia" w:ascii="Times New Roman" w:hAnsi="Times New Roman"/>
          <w:b w:val="0"/>
          <w:bCs/>
          <w:color w:val="000000"/>
          <w:sz w:val="28"/>
          <w:szCs w:val="28"/>
          <w:lang w:val="en-US" w:eastAsia="zh-CN"/>
        </w:rPr>
        <w:t>成交人</w:t>
      </w:r>
      <w:r>
        <w:rPr>
          <w:rFonts w:hint="eastAsia" w:ascii="Times New Roman" w:hAnsi="Times New Roman"/>
          <w:b w:val="0"/>
          <w:bCs/>
          <w:color w:val="000000"/>
          <w:sz w:val="28"/>
          <w:szCs w:val="28"/>
        </w:rPr>
        <w:t>赔偿由于设备停机造成的直接和间接损失。每半年为一个考核周期。</w:t>
      </w:r>
    </w:p>
    <w:p>
      <w:pPr>
        <w:pStyle w:val="17"/>
        <w:numPr>
          <w:ilvl w:val="0"/>
          <w:numId w:val="4"/>
        </w:numPr>
        <w:tabs>
          <w:tab w:val="left" w:pos="567"/>
        </w:tabs>
        <w:spacing w:line="500" w:lineRule="exact"/>
        <w:ind w:left="567" w:hanging="567" w:firstLineChars="0"/>
        <w:rPr>
          <w:rFonts w:ascii="Times New Roman" w:hAnsi="Times New Roman"/>
          <w:color w:val="000000"/>
          <w:sz w:val="28"/>
          <w:szCs w:val="28"/>
        </w:rPr>
      </w:pPr>
      <w:r>
        <w:rPr>
          <w:rFonts w:hint="eastAsia" w:ascii="Times New Roman" w:hAnsi="Times New Roman"/>
          <w:b/>
          <w:color w:val="000000"/>
          <w:sz w:val="28"/>
          <w:szCs w:val="28"/>
        </w:rPr>
        <w:t>最高限价：</w:t>
      </w:r>
      <w:r>
        <w:rPr>
          <w:rFonts w:hint="eastAsia" w:ascii="Times New Roman" w:hAnsi="Times New Roman"/>
          <w:color w:val="000000"/>
          <w:sz w:val="28"/>
          <w:szCs w:val="28"/>
        </w:rPr>
        <w:t>本项目采购预算控制金额为</w:t>
      </w:r>
      <w:r>
        <w:rPr>
          <w:rFonts w:hint="eastAsia" w:ascii="Times New Roman" w:hAnsi="Times New Roman"/>
          <w:color w:val="000000"/>
          <w:sz w:val="28"/>
          <w:szCs w:val="28"/>
          <w:lang w:val="en-US" w:eastAsia="zh-CN"/>
        </w:rPr>
        <w:t>59</w:t>
      </w:r>
      <w:r>
        <w:rPr>
          <w:rFonts w:hint="eastAsia" w:ascii="Times New Roman" w:hAnsi="Times New Roman"/>
          <w:color w:val="000000"/>
          <w:sz w:val="28"/>
          <w:szCs w:val="28"/>
        </w:rPr>
        <w:t>万元，</w:t>
      </w:r>
      <w:r>
        <w:rPr>
          <w:rFonts w:hint="eastAsia" w:ascii="Times New Roman" w:hAnsi="Times New Roman"/>
          <w:color w:val="000000"/>
          <w:sz w:val="28"/>
          <w:szCs w:val="28"/>
          <w:lang w:val="en-US" w:eastAsia="zh-CN"/>
        </w:rPr>
        <w:t>超过此金额视为无效投标</w:t>
      </w:r>
      <w:r>
        <w:rPr>
          <w:rFonts w:hint="eastAsia" w:ascii="Times New Roman" w:hAnsi="Times New Roman"/>
          <w:color w:val="000000"/>
          <w:sz w:val="28"/>
          <w:szCs w:val="28"/>
          <w:lang w:eastAsia="zh-CN"/>
        </w:rPr>
        <w:t>。</w:t>
      </w:r>
    </w:p>
    <w:p>
      <w:pPr>
        <w:spacing w:line="440" w:lineRule="exact"/>
        <w:ind w:firstLine="480" w:firstLineChars="200"/>
        <w:jc w:val="left"/>
        <w:rPr>
          <w:sz w:val="24"/>
        </w:rPr>
      </w:pPr>
    </w:p>
    <w:bookmarkEnd w:id="0"/>
    <w:bookmarkEnd w:id="1"/>
    <w:p>
      <w:pPr>
        <w:adjustRightInd w:val="0"/>
        <w:snapToGrid w:val="0"/>
        <w:spacing w:line="360" w:lineRule="auto"/>
        <w:jc w:val="center"/>
        <w:outlineLvl w:val="0"/>
        <w:rPr>
          <w:rFonts w:ascii="Times New Roman" w:hAnsi="Times New Roman" w:cs="Times New Roman"/>
          <w:b/>
          <w:sz w:val="36"/>
          <w:szCs w:val="36"/>
        </w:rPr>
      </w:pPr>
    </w:p>
    <w:p>
      <w:pPr>
        <w:adjustRightInd w:val="0"/>
        <w:snapToGrid w:val="0"/>
        <w:spacing w:line="360" w:lineRule="auto"/>
        <w:jc w:val="center"/>
        <w:outlineLvl w:val="0"/>
        <w:rPr>
          <w:rFonts w:ascii="Times New Roman" w:hAnsi="Times New Roman" w:cs="Times New Roman"/>
          <w:b/>
          <w:sz w:val="36"/>
          <w:szCs w:val="36"/>
        </w:rPr>
      </w:pPr>
    </w:p>
    <w:p>
      <w:pPr>
        <w:adjustRightInd w:val="0"/>
        <w:snapToGrid w:val="0"/>
        <w:spacing w:line="360" w:lineRule="auto"/>
        <w:jc w:val="center"/>
        <w:outlineLvl w:val="0"/>
        <w:rPr>
          <w:rFonts w:ascii="Times New Roman" w:hAnsi="Times New Roman" w:cs="Times New Roman"/>
          <w:b/>
          <w:sz w:val="36"/>
          <w:szCs w:val="36"/>
          <w:highlight w:val="none"/>
        </w:rPr>
      </w:pPr>
      <w:r>
        <w:rPr>
          <w:rFonts w:ascii="Times New Roman" w:hAnsi="Times New Roman" w:cs="Times New Roman"/>
          <w:b/>
          <w:sz w:val="36"/>
          <w:szCs w:val="36"/>
          <w:highlight w:val="none"/>
        </w:rPr>
        <w:br w:type="page"/>
      </w:r>
      <w:r>
        <w:rPr>
          <w:rFonts w:ascii="Times New Roman" w:hAnsi="Times New Roman" w:cs="Times New Roman"/>
          <w:b/>
          <w:sz w:val="36"/>
          <w:szCs w:val="36"/>
          <w:highlight w:val="none"/>
        </w:rPr>
        <w:t xml:space="preserve"> 评审办法及评分标准</w:t>
      </w:r>
    </w:p>
    <w:tbl>
      <w:tblPr>
        <w:tblStyle w:val="9"/>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59"/>
        <w:gridCol w:w="767"/>
        <w:gridCol w:w="614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27" w:type="dxa"/>
            <w:vMerge w:val="restart"/>
            <w:shd w:val="pct10" w:color="auto" w:fill="auto"/>
            <w:vAlign w:val="center"/>
          </w:tcPr>
          <w:p>
            <w:pPr>
              <w:spacing w:line="360" w:lineRule="auto"/>
              <w:ind w:left="-78" w:leftChars="-37" w:right="-86" w:rightChars="-41"/>
              <w:jc w:val="center"/>
              <w:rPr>
                <w:rFonts w:ascii="宋体" w:hAnsi="宋体" w:cs="Times New Roman"/>
                <w:b/>
                <w:color w:val="000000" w:themeColor="text1"/>
                <w:sz w:val="24"/>
                <w:szCs w:val="24"/>
                <w:highlight w:val="none"/>
              </w:rPr>
            </w:pPr>
            <w:r>
              <w:rPr>
                <w:rFonts w:hint="eastAsia" w:ascii="宋体" w:hAnsi="宋体" w:cs="Times New Roman"/>
                <w:b/>
                <w:bCs/>
                <w:color w:val="000000" w:themeColor="text1"/>
                <w:sz w:val="28"/>
                <w:szCs w:val="28"/>
                <w:highlight w:val="none"/>
              </w:rPr>
              <w:t>商务评议</w:t>
            </w:r>
          </w:p>
        </w:tc>
        <w:tc>
          <w:tcPr>
            <w:tcW w:w="1059" w:type="dxa"/>
            <w:shd w:val="pct10" w:color="auto" w:fill="auto"/>
            <w:vAlign w:val="center"/>
          </w:tcPr>
          <w:p>
            <w:pPr>
              <w:spacing w:line="276" w:lineRule="auto"/>
              <w:jc w:val="center"/>
              <w:rPr>
                <w:rFonts w:ascii="宋体" w:hAnsi="宋体" w:cs="Times New Roman"/>
                <w:b/>
                <w:color w:val="000000" w:themeColor="text1"/>
                <w:sz w:val="24"/>
                <w:szCs w:val="24"/>
                <w:highlight w:val="none"/>
              </w:rPr>
            </w:pPr>
            <w:r>
              <w:rPr>
                <w:rFonts w:hint="eastAsia" w:ascii="宋体" w:hAnsi="宋体" w:cs="Times New Roman"/>
                <w:b/>
                <w:color w:val="000000" w:themeColor="text1"/>
                <w:sz w:val="24"/>
                <w:szCs w:val="24"/>
                <w:highlight w:val="none"/>
              </w:rPr>
              <w:t>评审因素</w:t>
            </w:r>
          </w:p>
        </w:tc>
        <w:tc>
          <w:tcPr>
            <w:tcW w:w="767" w:type="dxa"/>
            <w:shd w:val="pct10" w:color="auto" w:fill="auto"/>
            <w:vAlign w:val="center"/>
          </w:tcPr>
          <w:p>
            <w:pPr>
              <w:spacing w:line="276" w:lineRule="auto"/>
              <w:ind w:left="-73" w:leftChars="-35" w:right="-80" w:rightChars="-38"/>
              <w:jc w:val="center"/>
              <w:rPr>
                <w:rFonts w:ascii="宋体" w:hAnsi="宋体" w:cs="Times New Roman"/>
                <w:b/>
                <w:color w:val="000000" w:themeColor="text1"/>
                <w:sz w:val="24"/>
                <w:szCs w:val="24"/>
                <w:highlight w:val="none"/>
              </w:rPr>
            </w:pPr>
            <w:r>
              <w:rPr>
                <w:rFonts w:hint="eastAsia" w:ascii="宋体" w:hAnsi="宋体" w:cs="Times New Roman"/>
                <w:b/>
                <w:color w:val="000000" w:themeColor="text1"/>
                <w:sz w:val="24"/>
                <w:szCs w:val="24"/>
                <w:highlight w:val="none"/>
              </w:rPr>
              <w:t>分值</w:t>
            </w:r>
          </w:p>
        </w:tc>
        <w:tc>
          <w:tcPr>
            <w:tcW w:w="6144" w:type="dxa"/>
            <w:shd w:val="pct10" w:color="auto" w:fill="auto"/>
            <w:vAlign w:val="center"/>
          </w:tcPr>
          <w:p>
            <w:pPr>
              <w:spacing w:line="276" w:lineRule="auto"/>
              <w:jc w:val="center"/>
              <w:rPr>
                <w:rFonts w:ascii="宋体" w:hAnsi="宋体" w:cs="Times New Roman"/>
                <w:b/>
                <w:color w:val="000000" w:themeColor="text1"/>
                <w:sz w:val="24"/>
                <w:szCs w:val="24"/>
                <w:highlight w:val="none"/>
              </w:rPr>
            </w:pPr>
            <w:r>
              <w:rPr>
                <w:rFonts w:hint="eastAsia" w:ascii="宋体" w:hAnsi="宋体" w:cs="Times New Roman"/>
                <w:b/>
                <w:color w:val="000000" w:themeColor="text1"/>
                <w:sz w:val="24"/>
                <w:szCs w:val="24"/>
                <w:highlight w:val="none"/>
              </w:rPr>
              <w:t>评分标准</w:t>
            </w:r>
          </w:p>
        </w:tc>
        <w:tc>
          <w:tcPr>
            <w:tcW w:w="885" w:type="dxa"/>
            <w:shd w:val="pct10" w:color="auto" w:fill="auto"/>
            <w:vAlign w:val="center"/>
          </w:tcPr>
          <w:p>
            <w:pPr>
              <w:spacing w:line="276" w:lineRule="auto"/>
              <w:jc w:val="center"/>
              <w:rPr>
                <w:rFonts w:ascii="宋体" w:hAnsi="宋体" w:cs="Times New Roman"/>
                <w:b/>
                <w:color w:val="000000" w:themeColor="text1"/>
                <w:sz w:val="24"/>
                <w:szCs w:val="24"/>
                <w:highlight w:val="none"/>
              </w:rPr>
            </w:pPr>
            <w:r>
              <w:rPr>
                <w:rFonts w:hint="eastAsia" w:ascii="宋体" w:hAnsi="宋体" w:cs="Times New Roman"/>
                <w:b/>
                <w:color w:val="000000" w:themeColor="text1"/>
                <w:sz w:val="24"/>
                <w:szCs w:val="24"/>
                <w:highlight w:val="none"/>
              </w:rPr>
              <w:t>因素</w:t>
            </w:r>
          </w:p>
          <w:p>
            <w:pPr>
              <w:spacing w:line="276" w:lineRule="auto"/>
              <w:jc w:val="center"/>
              <w:rPr>
                <w:rFonts w:ascii="宋体" w:hAnsi="宋体" w:cs="Times New Roman"/>
                <w:b/>
                <w:color w:val="000000" w:themeColor="text1"/>
                <w:sz w:val="24"/>
                <w:szCs w:val="24"/>
                <w:highlight w:val="none"/>
              </w:rPr>
            </w:pPr>
            <w:r>
              <w:rPr>
                <w:rFonts w:hint="eastAsia" w:ascii="宋体" w:hAnsi="宋体" w:cs="Times New Roman"/>
                <w:b/>
                <w:color w:val="000000" w:themeColor="text1"/>
                <w:sz w:val="24"/>
                <w:szCs w:val="24"/>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8"/>
              <w:snapToGrid/>
              <w:spacing w:before="0" w:line="240" w:lineRule="auto"/>
              <w:jc w:val="center"/>
              <w:rPr>
                <w:rFonts w:ascii="宋体" w:hAnsi="宋体" w:cs="Times New Roman"/>
                <w:b/>
                <w:color w:val="000000" w:themeColor="text1"/>
                <w:sz w:val="24"/>
                <w:szCs w:val="24"/>
                <w:highlight w:val="none"/>
              </w:rPr>
            </w:pPr>
            <w:r>
              <w:rPr>
                <w:rFonts w:hint="eastAsia" w:ascii="宋体" w:hAnsi="宋体" w:cs="仿宋"/>
                <w:color w:val="000000"/>
                <w:kern w:val="0"/>
                <w:sz w:val="21"/>
                <w:szCs w:val="21"/>
                <w:highlight w:val="none"/>
              </w:rPr>
              <w:t>人员配置</w:t>
            </w:r>
          </w:p>
        </w:tc>
        <w:tc>
          <w:tcPr>
            <w:tcW w:w="767" w:type="dxa"/>
            <w:vAlign w:val="center"/>
          </w:tcPr>
          <w:p>
            <w:pPr>
              <w:pStyle w:val="18"/>
              <w:snapToGrid/>
              <w:spacing w:before="0" w:line="240" w:lineRule="auto"/>
              <w:jc w:val="center"/>
              <w:rPr>
                <w:rFonts w:ascii="宋体" w:hAnsi="宋体" w:cs="Times New Roman"/>
                <w:b/>
                <w:color w:val="000000" w:themeColor="text1"/>
                <w:sz w:val="24"/>
                <w:highlight w:val="none"/>
              </w:rPr>
            </w:pPr>
            <w:r>
              <w:rPr>
                <w:rFonts w:hint="eastAsia" w:ascii="宋体" w:hAnsi="宋体" w:cs="仿宋"/>
                <w:color w:val="000000"/>
                <w:kern w:val="0"/>
                <w:sz w:val="21"/>
                <w:szCs w:val="21"/>
                <w:highlight w:val="none"/>
                <w:lang w:val="en-US" w:eastAsia="zh-CN"/>
              </w:rPr>
              <w:t>8</w:t>
            </w:r>
          </w:p>
        </w:tc>
        <w:tc>
          <w:tcPr>
            <w:tcW w:w="6144" w:type="dxa"/>
            <w:vAlign w:val="center"/>
          </w:tcPr>
          <w:p>
            <w:pPr>
              <w:pStyle w:val="18"/>
              <w:snapToGrid/>
              <w:spacing w:before="0" w:line="240" w:lineRule="auto"/>
              <w:rPr>
                <w:rFonts w:hint="eastAsia" w:ascii="宋体" w:hAnsi="宋体" w:cs="仿宋"/>
                <w:color w:val="000000"/>
                <w:kern w:val="0"/>
                <w:sz w:val="21"/>
                <w:szCs w:val="21"/>
                <w:highlight w:val="none"/>
                <w:lang w:val="en-US" w:eastAsia="zh-CN"/>
              </w:rPr>
            </w:pPr>
            <w:r>
              <w:rPr>
                <w:rFonts w:hint="eastAsia" w:ascii="宋体" w:hAnsi="宋体" w:cs="仿宋"/>
                <w:color w:val="000000"/>
                <w:kern w:val="0"/>
                <w:sz w:val="21"/>
                <w:szCs w:val="21"/>
                <w:highlight w:val="none"/>
                <w:lang w:val="en-US" w:eastAsia="zh-CN"/>
              </w:rPr>
              <w:t>1.供应商</w:t>
            </w:r>
            <w:r>
              <w:rPr>
                <w:rFonts w:hint="eastAsia" w:ascii="宋体" w:hAnsi="宋体" w:cs="仿宋"/>
                <w:color w:val="000000"/>
                <w:kern w:val="0"/>
                <w:sz w:val="21"/>
                <w:szCs w:val="21"/>
                <w:highlight w:val="none"/>
              </w:rPr>
              <w:t>拟派的</w:t>
            </w:r>
            <w:r>
              <w:rPr>
                <w:rFonts w:hint="eastAsia" w:ascii="宋体" w:hAnsi="宋体" w:cs="仿宋"/>
                <w:color w:val="000000"/>
                <w:kern w:val="0"/>
                <w:sz w:val="21"/>
                <w:szCs w:val="21"/>
                <w:highlight w:val="none"/>
                <w:lang w:val="en-US" w:eastAsia="zh-CN"/>
              </w:rPr>
              <w:t>服务人员具备本项目设备相关的培训证书或相关工程师的上岗证，2名CT维修服务人员的基础上，每增加一名具备本项目相同品牌设备工作经验的人员得1分，最高得5分；</w:t>
            </w:r>
          </w:p>
          <w:p>
            <w:pPr>
              <w:pStyle w:val="18"/>
              <w:snapToGrid/>
              <w:spacing w:before="0" w:line="240" w:lineRule="auto"/>
              <w:rPr>
                <w:rFonts w:hint="eastAsia" w:ascii="宋体" w:hAnsi="宋体" w:eastAsia="宋体" w:cs="仿宋"/>
                <w:color w:val="000000"/>
                <w:kern w:val="0"/>
                <w:sz w:val="21"/>
                <w:szCs w:val="21"/>
                <w:highlight w:val="none"/>
                <w:lang w:eastAsia="zh-CN"/>
              </w:rPr>
            </w:pPr>
            <w:r>
              <w:rPr>
                <w:rFonts w:hint="eastAsia" w:ascii="宋体" w:hAnsi="宋体" w:cs="仿宋"/>
                <w:color w:val="000000"/>
                <w:kern w:val="0"/>
                <w:sz w:val="21"/>
                <w:szCs w:val="21"/>
                <w:highlight w:val="none"/>
                <w:lang w:val="en-US" w:eastAsia="zh-CN"/>
              </w:rPr>
              <w:t>2.供应商</w:t>
            </w:r>
            <w:r>
              <w:rPr>
                <w:rFonts w:hint="eastAsia" w:ascii="宋体" w:hAnsi="宋体" w:cs="仿宋"/>
                <w:color w:val="000000"/>
                <w:kern w:val="0"/>
                <w:sz w:val="21"/>
                <w:szCs w:val="21"/>
                <w:highlight w:val="none"/>
              </w:rPr>
              <w:t>拟派的</w:t>
            </w:r>
            <w:r>
              <w:rPr>
                <w:rFonts w:hint="eastAsia" w:ascii="宋体" w:hAnsi="宋体" w:cs="仿宋"/>
                <w:color w:val="000000"/>
                <w:kern w:val="0"/>
                <w:sz w:val="21"/>
                <w:szCs w:val="21"/>
                <w:highlight w:val="none"/>
                <w:lang w:val="en-US" w:eastAsia="zh-CN"/>
              </w:rPr>
              <w:t>服务人员具备本项目设备相关的培训证书或相关工程师的上岗证，1名MR维修服务人员的基础上</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lang w:val="en-US" w:eastAsia="zh-CN"/>
              </w:rPr>
              <w:t>每增加一名具备本项目相同品牌设备工作经验的人员得1分</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rPr>
              <w:t>最高得</w:t>
            </w:r>
            <w:r>
              <w:rPr>
                <w:rFonts w:hint="eastAsia" w:ascii="宋体" w:hAnsi="宋体" w:cs="仿宋"/>
                <w:color w:val="000000"/>
                <w:kern w:val="0"/>
                <w:sz w:val="21"/>
                <w:szCs w:val="21"/>
                <w:highlight w:val="none"/>
                <w:lang w:val="en-US" w:eastAsia="zh-CN"/>
              </w:rPr>
              <w:t>3</w:t>
            </w:r>
            <w:r>
              <w:rPr>
                <w:rFonts w:hint="eastAsia" w:ascii="宋体" w:hAnsi="宋体" w:cs="仿宋"/>
                <w:color w:val="000000"/>
                <w:kern w:val="0"/>
                <w:sz w:val="21"/>
                <w:szCs w:val="21"/>
                <w:highlight w:val="none"/>
              </w:rPr>
              <w:t>分</w:t>
            </w:r>
            <w:r>
              <w:rPr>
                <w:rFonts w:hint="eastAsia" w:ascii="宋体" w:hAnsi="宋体" w:cs="仿宋"/>
                <w:color w:val="000000"/>
                <w:kern w:val="0"/>
                <w:sz w:val="21"/>
                <w:szCs w:val="21"/>
                <w:highlight w:val="none"/>
                <w:lang w:eastAsia="zh-CN"/>
              </w:rPr>
              <w:t>；</w:t>
            </w:r>
          </w:p>
          <w:p>
            <w:pPr>
              <w:pStyle w:val="18"/>
              <w:snapToGrid/>
              <w:spacing w:before="0" w:line="240" w:lineRule="auto"/>
              <w:rPr>
                <w:rFonts w:ascii="宋体" w:hAnsi="宋体" w:cs="Times New Roman"/>
                <w:color w:val="000000" w:themeColor="text1"/>
                <w:sz w:val="24"/>
                <w:highlight w:val="none"/>
              </w:rPr>
            </w:pPr>
            <w:r>
              <w:rPr>
                <w:rFonts w:hint="eastAsia" w:ascii="宋体" w:hAnsi="宋体" w:cs="仿宋"/>
                <w:color w:val="000000"/>
                <w:kern w:val="0"/>
                <w:sz w:val="21"/>
                <w:szCs w:val="21"/>
                <w:highlight w:val="none"/>
              </w:rPr>
              <w:t>（提供</w:t>
            </w:r>
            <w:r>
              <w:rPr>
                <w:rFonts w:hint="eastAsia" w:ascii="宋体" w:hAnsi="宋体" w:cs="仿宋"/>
                <w:color w:val="000000"/>
                <w:kern w:val="0"/>
                <w:sz w:val="21"/>
                <w:szCs w:val="21"/>
                <w:highlight w:val="none"/>
                <w:lang w:val="en-US" w:eastAsia="zh-CN"/>
              </w:rPr>
              <w:t>相关证书及本单位为其缴纳近三个月</w:t>
            </w:r>
            <w:r>
              <w:rPr>
                <w:rFonts w:hint="eastAsia" w:ascii="宋体" w:hAnsi="宋体" w:cs="仿宋"/>
                <w:color w:val="000000"/>
                <w:kern w:val="0"/>
                <w:sz w:val="21"/>
                <w:szCs w:val="21"/>
                <w:highlight w:val="none"/>
              </w:rPr>
              <w:t>的社保证明</w:t>
            </w:r>
            <w:r>
              <w:rPr>
                <w:rFonts w:hint="eastAsia" w:ascii="宋体" w:hAnsi="宋体" w:cs="仿宋"/>
                <w:color w:val="000000"/>
                <w:kern w:val="0"/>
                <w:sz w:val="21"/>
                <w:szCs w:val="21"/>
                <w:highlight w:val="none"/>
                <w:lang w:val="en-US" w:eastAsia="zh-CN"/>
              </w:rPr>
              <w:t>文件</w:t>
            </w:r>
            <w:r>
              <w:rPr>
                <w:rFonts w:hint="eastAsia" w:ascii="宋体" w:hAnsi="宋体" w:cs="仿宋"/>
                <w:color w:val="000000"/>
                <w:kern w:val="0"/>
                <w:sz w:val="21"/>
                <w:szCs w:val="21"/>
                <w:highlight w:val="none"/>
              </w:rPr>
              <w:t>，未提供不得分。）</w:t>
            </w:r>
          </w:p>
        </w:tc>
        <w:tc>
          <w:tcPr>
            <w:tcW w:w="885" w:type="dxa"/>
            <w:vAlign w:val="center"/>
          </w:tcPr>
          <w:p>
            <w:pPr>
              <w:spacing w:line="360" w:lineRule="auto"/>
              <w:ind w:left="-65" w:leftChars="-31" w:right="-36" w:rightChars="-17"/>
              <w:jc w:val="right"/>
              <w:rPr>
                <w:rFonts w:ascii="宋体" w:hAnsi="宋体" w:cs="Times New Roman"/>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8"/>
              <w:snapToGrid/>
              <w:spacing w:before="0" w:line="240" w:lineRule="auto"/>
              <w:jc w:val="center"/>
              <w:rPr>
                <w:rFonts w:hint="default" w:cs="宋体" w:asciiTheme="minorEastAsia" w:hAnsiTheme="minorEastAsia" w:eastAsiaTheme="minorEastAsia"/>
                <w:color w:val="000000"/>
                <w:kern w:val="0"/>
                <w:szCs w:val="21"/>
                <w:highlight w:val="none"/>
                <w:lang w:val="en-US" w:eastAsia="zh-CN"/>
              </w:rPr>
            </w:pPr>
            <w:r>
              <w:rPr>
                <w:rFonts w:hint="eastAsia" w:ascii="宋体" w:hAnsi="宋体" w:cs="宋体"/>
                <w:sz w:val="21"/>
                <w:szCs w:val="21"/>
                <w:highlight w:val="none"/>
                <w:lang w:val="en-US" w:eastAsia="zh-CN"/>
              </w:rPr>
              <w:t>综合实力</w:t>
            </w:r>
          </w:p>
        </w:tc>
        <w:tc>
          <w:tcPr>
            <w:tcW w:w="767" w:type="dxa"/>
            <w:vAlign w:val="center"/>
          </w:tcPr>
          <w:p>
            <w:pPr>
              <w:pStyle w:val="18"/>
              <w:snapToGrid/>
              <w:spacing w:before="0" w:line="240" w:lineRule="auto"/>
              <w:jc w:val="center"/>
              <w:rPr>
                <w:rFonts w:hint="default" w:cs="宋体" w:asciiTheme="minorEastAsia" w:hAnsiTheme="minorEastAsia" w:eastAsiaTheme="minorEastAsia"/>
                <w:color w:val="000000"/>
                <w:kern w:val="0"/>
                <w:szCs w:val="21"/>
                <w:highlight w:val="none"/>
                <w:lang w:val="en-US" w:eastAsia="zh-CN"/>
              </w:rPr>
            </w:pPr>
            <w:r>
              <w:rPr>
                <w:rFonts w:hint="eastAsia" w:ascii="宋体" w:hAnsi="宋体" w:cs="仿宋"/>
                <w:color w:val="000000"/>
                <w:kern w:val="0"/>
                <w:sz w:val="21"/>
                <w:szCs w:val="21"/>
                <w:highlight w:val="none"/>
                <w:lang w:val="en-US" w:eastAsia="zh-CN"/>
              </w:rPr>
              <w:t>10</w:t>
            </w:r>
          </w:p>
        </w:tc>
        <w:tc>
          <w:tcPr>
            <w:tcW w:w="6144" w:type="dxa"/>
            <w:vAlign w:val="center"/>
          </w:tcPr>
          <w:p>
            <w:pPr>
              <w:pStyle w:val="19"/>
              <w:numPr>
                <w:ilvl w:val="0"/>
                <w:numId w:val="0"/>
              </w:numPr>
              <w:spacing w:line="240" w:lineRule="auto"/>
              <w:rPr>
                <w:rFonts w:hint="default" w:ascii="宋体" w:hAnsi="宋体" w:eastAsia="宋体" w:cs="宋体"/>
                <w:sz w:val="21"/>
                <w:szCs w:val="21"/>
                <w:highlight w:val="none"/>
                <w:lang w:val="en-US"/>
              </w:rPr>
            </w:pPr>
            <w:r>
              <w:rPr>
                <w:rFonts w:hint="eastAsia" w:ascii="宋体" w:hAnsi="宋体" w:eastAsia="宋体" w:cs="宋体"/>
                <w:sz w:val="21"/>
                <w:szCs w:val="21"/>
                <w:highlight w:val="none"/>
                <w:lang w:val="en-US" w:eastAsia="zh-CN"/>
              </w:rPr>
              <w:t>1.供应商具备</w:t>
            </w:r>
            <w:r>
              <w:rPr>
                <w:rFonts w:hint="eastAsia" w:ascii="宋体" w:hAnsi="宋体" w:eastAsia="宋体" w:cs="宋体"/>
                <w:sz w:val="21"/>
                <w:szCs w:val="21"/>
                <w:highlight w:val="none"/>
              </w:rPr>
              <w:t>ISO9001认证证书 、ISO13485认证证书</w:t>
            </w:r>
            <w:r>
              <w:rPr>
                <w:rFonts w:hint="eastAsia" w:ascii="宋体" w:hAnsi="宋体" w:eastAsia="宋体" w:cs="宋体"/>
                <w:sz w:val="21"/>
                <w:szCs w:val="21"/>
                <w:highlight w:val="none"/>
                <w:lang w:val="en-US" w:eastAsia="zh-CN"/>
              </w:rPr>
              <w:t>的，每提供一份得2分；本项最高得4分；</w:t>
            </w:r>
          </w:p>
          <w:p>
            <w:pPr>
              <w:pStyle w:val="19"/>
              <w:numPr>
                <w:ilvl w:val="0"/>
                <w:numId w:val="0"/>
              </w:numPr>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2.供应商具备</w:t>
            </w:r>
            <w:r>
              <w:rPr>
                <w:rFonts w:hint="eastAsia" w:ascii="宋体" w:hAnsi="宋体" w:eastAsia="宋体" w:cs="宋体"/>
                <w:sz w:val="21"/>
                <w:szCs w:val="21"/>
                <w:highlight w:val="none"/>
              </w:rPr>
              <w:t>自主报关资质，</w:t>
            </w:r>
            <w:r>
              <w:rPr>
                <w:rFonts w:hint="eastAsia" w:ascii="宋体" w:hAnsi="宋体" w:eastAsia="宋体" w:cs="宋体"/>
                <w:sz w:val="21"/>
                <w:szCs w:val="21"/>
                <w:highlight w:val="none"/>
                <w:lang w:val="en-US" w:eastAsia="zh-CN"/>
              </w:rPr>
              <w:t>能</w:t>
            </w:r>
            <w:r>
              <w:rPr>
                <w:rFonts w:hint="eastAsia" w:ascii="宋体" w:hAnsi="宋体" w:eastAsia="宋体" w:cs="宋体"/>
                <w:sz w:val="21"/>
                <w:szCs w:val="21"/>
                <w:highlight w:val="none"/>
              </w:rPr>
              <w:t>提供海关颁发的海关报关单位注册登记证书</w:t>
            </w:r>
            <w:r>
              <w:rPr>
                <w:rFonts w:hint="eastAsia" w:ascii="宋体" w:hAnsi="宋体" w:eastAsia="宋体" w:cs="宋体"/>
                <w:sz w:val="21"/>
                <w:szCs w:val="21"/>
                <w:highlight w:val="none"/>
                <w:lang w:val="en-US" w:eastAsia="zh-CN"/>
              </w:rPr>
              <w:t>的得2分；</w:t>
            </w:r>
          </w:p>
          <w:p>
            <w:pPr>
              <w:pStyle w:val="19"/>
              <w:numPr>
                <w:ilvl w:val="0"/>
                <w:numId w:val="0"/>
              </w:numPr>
              <w:spacing w:line="24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3.供应商具备</w:t>
            </w:r>
            <w:r>
              <w:rPr>
                <w:rFonts w:hint="eastAsia" w:ascii="宋体" w:hAnsi="宋体" w:eastAsia="宋体" w:cs="宋体"/>
                <w:sz w:val="21"/>
                <w:szCs w:val="21"/>
                <w:highlight w:val="none"/>
              </w:rPr>
              <w:t>有效期内国家环保机构颁发的辐射安全许可</w:t>
            </w:r>
            <w:r>
              <w:rPr>
                <w:rFonts w:hint="eastAsia" w:ascii="宋体" w:hAnsi="宋体" w:eastAsia="宋体" w:cs="宋体"/>
                <w:sz w:val="21"/>
                <w:szCs w:val="21"/>
                <w:highlight w:val="none"/>
                <w:lang w:val="en-US" w:eastAsia="zh-CN"/>
              </w:rPr>
              <w:t>证的得2分</w:t>
            </w:r>
            <w:r>
              <w:rPr>
                <w:rFonts w:hint="eastAsia" w:ascii="宋体" w:hAnsi="宋体" w:eastAsia="宋体" w:cs="宋体"/>
                <w:sz w:val="21"/>
                <w:szCs w:val="21"/>
                <w:highlight w:val="none"/>
                <w:lang w:eastAsia="zh-CN"/>
              </w:rPr>
              <w:t>；</w:t>
            </w:r>
          </w:p>
          <w:p>
            <w:pPr>
              <w:pStyle w:val="19"/>
              <w:numPr>
                <w:ilvl w:val="0"/>
                <w:numId w:val="0"/>
              </w:numPr>
              <w:spacing w:line="240" w:lineRule="auto"/>
              <w:rPr>
                <w:rFonts w:hint="default" w:cs="宋体" w:asciiTheme="minorEastAsia" w:hAnsiTheme="minorEastAsia" w:eastAsiaTheme="minorEastAsia"/>
                <w:color w:val="000000"/>
                <w:kern w:val="0"/>
                <w:szCs w:val="21"/>
                <w:highlight w:val="none"/>
                <w:lang w:val="en-US" w:eastAsia="zh-CN"/>
              </w:rPr>
            </w:pPr>
            <w:r>
              <w:rPr>
                <w:rFonts w:hint="eastAsia" w:ascii="宋体" w:hAnsi="宋体" w:cs="仿宋"/>
                <w:color w:val="000000"/>
                <w:kern w:val="0"/>
                <w:sz w:val="21"/>
                <w:szCs w:val="21"/>
                <w:highlight w:val="none"/>
                <w:lang w:val="en-US" w:eastAsia="zh-CN"/>
              </w:rPr>
              <w:t>4.供应商具备</w:t>
            </w:r>
            <w:r>
              <w:rPr>
                <w:rFonts w:hint="eastAsia" w:ascii="宋体" w:hAnsi="宋体" w:cs="仿宋"/>
                <w:color w:val="000000"/>
                <w:kern w:val="0"/>
                <w:sz w:val="21"/>
                <w:szCs w:val="21"/>
                <w:highlight w:val="none"/>
              </w:rPr>
              <w:t>“设备维修安装企业能力等级证书”放射类A类1级及以上</w:t>
            </w:r>
            <w:r>
              <w:rPr>
                <w:rFonts w:hint="eastAsia" w:ascii="宋体" w:hAnsi="宋体" w:cs="仿宋"/>
                <w:color w:val="000000"/>
                <w:kern w:val="0"/>
                <w:sz w:val="21"/>
                <w:szCs w:val="21"/>
                <w:highlight w:val="none"/>
                <w:lang w:val="en-US" w:eastAsia="zh-CN"/>
              </w:rPr>
              <w:t>得2分；</w:t>
            </w:r>
            <w:r>
              <w:rPr>
                <w:rFonts w:hint="eastAsia" w:ascii="宋体" w:hAnsi="宋体" w:cs="仿宋"/>
                <w:color w:val="000000"/>
                <w:kern w:val="0"/>
                <w:sz w:val="21"/>
                <w:szCs w:val="21"/>
                <w:highlight w:val="none"/>
              </w:rPr>
              <w:t>A类1级</w:t>
            </w:r>
            <w:r>
              <w:rPr>
                <w:rFonts w:hint="eastAsia" w:ascii="宋体" w:hAnsi="宋体" w:cs="仿宋"/>
                <w:color w:val="000000"/>
                <w:kern w:val="0"/>
                <w:sz w:val="21"/>
                <w:szCs w:val="21"/>
                <w:highlight w:val="none"/>
                <w:lang w:val="en-US" w:eastAsia="zh-CN"/>
              </w:rPr>
              <w:t>以下等级证书得1分；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9"/>
              <w:spacing w:line="240" w:lineRule="auto"/>
              <w:ind w:firstLine="0" w:firstLineChars="0"/>
              <w:jc w:val="center"/>
              <w:rPr>
                <w:rFonts w:hint="default" w:asciiTheme="minorEastAsia" w:hAnsiTheme="minorEastAsia" w:eastAsiaTheme="minorEastAsia"/>
                <w:kern w:val="0"/>
                <w:szCs w:val="21"/>
                <w:highlight w:val="none"/>
                <w:lang w:val="en-US" w:eastAsia="zh-CN"/>
              </w:rPr>
            </w:pPr>
            <w:r>
              <w:rPr>
                <w:rFonts w:hint="eastAsia" w:ascii="宋体" w:hAnsi="宋体" w:eastAsia="宋体" w:cs="宋体"/>
                <w:sz w:val="21"/>
                <w:szCs w:val="21"/>
                <w:highlight w:val="none"/>
              </w:rPr>
              <w:t>人员培训能力</w:t>
            </w:r>
          </w:p>
        </w:tc>
        <w:tc>
          <w:tcPr>
            <w:tcW w:w="767" w:type="dxa"/>
            <w:vAlign w:val="center"/>
          </w:tcPr>
          <w:p>
            <w:pPr>
              <w:spacing w:line="240" w:lineRule="auto"/>
              <w:jc w:val="center"/>
              <w:rPr>
                <w:rFonts w:hint="default" w:asciiTheme="minorEastAsia" w:hAnsiTheme="minorEastAsia" w:eastAsiaTheme="minorEastAsia"/>
                <w:kern w:val="0"/>
                <w:szCs w:val="21"/>
                <w:highlight w:val="none"/>
                <w:lang w:val="en-US" w:eastAsia="zh-CN"/>
              </w:rPr>
            </w:pPr>
            <w:r>
              <w:rPr>
                <w:rFonts w:hint="eastAsia" w:ascii="宋体" w:hAnsi="宋体" w:eastAsia="宋体" w:cs="宋体"/>
                <w:bCs/>
                <w:sz w:val="21"/>
                <w:szCs w:val="21"/>
                <w:highlight w:val="none"/>
                <w:lang w:val="en-US" w:eastAsia="zh-CN"/>
              </w:rPr>
              <w:t>4</w:t>
            </w:r>
          </w:p>
        </w:tc>
        <w:tc>
          <w:tcPr>
            <w:tcW w:w="6144" w:type="dxa"/>
            <w:vAlign w:val="center"/>
          </w:tcPr>
          <w:p>
            <w:pPr>
              <w:pStyle w:val="19"/>
              <w:spacing w:line="240" w:lineRule="auto"/>
              <w:ind w:firstLine="0" w:firstLineChars="0"/>
              <w:rPr>
                <w:rFonts w:hint="default" w:asciiTheme="minorEastAsia" w:hAnsiTheme="minorEastAsia" w:eastAsiaTheme="minorEastAsia"/>
                <w:kern w:val="0"/>
                <w:szCs w:val="21"/>
                <w:highlight w:val="none"/>
                <w:lang w:val="en-US" w:eastAsia="zh-CN"/>
              </w:rPr>
            </w:pP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有人才培训机制，设有医疗设备维修工程师培训基地或与学院共同建立校企合作机制，满足医院医工培训发展需求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每提供一家合作院校计</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分，最多计</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cs="仿宋"/>
                <w:color w:val="000000"/>
                <w:kern w:val="0"/>
                <w:sz w:val="21"/>
                <w:szCs w:val="21"/>
                <w:highlight w:val="none"/>
              </w:rPr>
              <w:t>（</w:t>
            </w:r>
            <w:r>
              <w:rPr>
                <w:rFonts w:hint="eastAsia" w:ascii="宋体" w:hAnsi="宋体" w:eastAsia="宋体" w:cs="宋体"/>
                <w:sz w:val="21"/>
                <w:szCs w:val="21"/>
                <w:highlight w:val="none"/>
              </w:rPr>
              <w:t>提供与学校合作共建的合同或者协议</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lang w:val="en-US" w:eastAsia="zh-CN"/>
              </w:rPr>
              <w:t>未提供不得分</w:t>
            </w:r>
            <w:r>
              <w:rPr>
                <w:rFonts w:hint="eastAsia" w:ascii="宋体" w:hAnsi="宋体" w:cs="仿宋"/>
                <w:color w:val="000000"/>
                <w:kern w:val="0"/>
                <w:sz w:val="21"/>
                <w:szCs w:val="21"/>
                <w:highlight w:val="none"/>
              </w:rPr>
              <w:t>）</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8"/>
              <w:snapToGrid/>
              <w:spacing w:before="0" w:line="240" w:lineRule="auto"/>
              <w:jc w:val="center"/>
              <w:rPr>
                <w:rFonts w:hint="default" w:ascii="宋体" w:hAnsi="宋体" w:eastAsia="宋体" w:cs="宋体"/>
                <w:sz w:val="21"/>
                <w:szCs w:val="21"/>
                <w:highlight w:val="none"/>
                <w:lang w:val="en-US" w:eastAsia="zh-CN"/>
              </w:rPr>
            </w:pPr>
            <w:r>
              <w:rPr>
                <w:rFonts w:hint="eastAsia" w:ascii="宋体" w:hAnsi="宋体" w:cs="仿宋"/>
                <w:color w:val="000000"/>
                <w:kern w:val="0"/>
                <w:sz w:val="21"/>
                <w:szCs w:val="21"/>
                <w:highlight w:val="none"/>
                <w:lang w:val="en-US" w:eastAsia="zh-CN"/>
              </w:rPr>
              <w:t>类似成功案例</w:t>
            </w:r>
          </w:p>
        </w:tc>
        <w:tc>
          <w:tcPr>
            <w:tcW w:w="767" w:type="dxa"/>
            <w:vAlign w:val="center"/>
          </w:tcPr>
          <w:p>
            <w:pPr>
              <w:pStyle w:val="18"/>
              <w:snapToGrid/>
              <w:spacing w:before="0" w:line="240" w:lineRule="auto"/>
              <w:jc w:val="center"/>
              <w:rPr>
                <w:rFonts w:hint="eastAsia" w:ascii="宋体" w:hAnsi="宋体" w:eastAsia="宋体" w:cs="宋体"/>
                <w:bCs/>
                <w:sz w:val="21"/>
                <w:szCs w:val="21"/>
                <w:highlight w:val="none"/>
                <w:lang w:val="en-US" w:eastAsia="zh-CN"/>
              </w:rPr>
            </w:pPr>
            <w:r>
              <w:rPr>
                <w:rFonts w:hint="eastAsia" w:ascii="宋体" w:hAnsi="宋体" w:cs="仿宋"/>
                <w:color w:val="000000"/>
                <w:kern w:val="0"/>
                <w:sz w:val="21"/>
                <w:szCs w:val="21"/>
                <w:highlight w:val="none"/>
              </w:rPr>
              <w:t>10</w:t>
            </w:r>
          </w:p>
        </w:tc>
        <w:tc>
          <w:tcPr>
            <w:tcW w:w="6144" w:type="dxa"/>
            <w:vAlign w:val="center"/>
          </w:tcPr>
          <w:p>
            <w:pPr>
              <w:pStyle w:val="18"/>
              <w:snapToGrid/>
              <w:spacing w:before="0" w:line="240" w:lineRule="auto"/>
              <w:rPr>
                <w:rFonts w:hint="eastAsia" w:ascii="宋体" w:hAnsi="宋体" w:eastAsia="宋体" w:cs="仿宋"/>
                <w:color w:val="000000"/>
                <w:kern w:val="0"/>
                <w:sz w:val="21"/>
                <w:szCs w:val="21"/>
                <w:highlight w:val="none"/>
                <w:lang w:eastAsia="zh-CN"/>
              </w:rPr>
            </w:pPr>
            <w:r>
              <w:rPr>
                <w:rFonts w:hint="eastAsia" w:ascii="宋体" w:hAnsi="宋体" w:cs="仿宋"/>
                <w:color w:val="000000"/>
                <w:kern w:val="0"/>
                <w:sz w:val="21"/>
                <w:szCs w:val="21"/>
                <w:highlight w:val="none"/>
                <w:lang w:val="en-US" w:eastAsia="zh-CN"/>
              </w:rPr>
              <w:t>1.供应商</w:t>
            </w:r>
            <w:r>
              <w:rPr>
                <w:rFonts w:hint="eastAsia" w:ascii="宋体" w:hAnsi="宋体" w:cs="仿宋"/>
                <w:color w:val="000000"/>
                <w:kern w:val="0"/>
                <w:sz w:val="21"/>
                <w:szCs w:val="21"/>
                <w:highlight w:val="none"/>
              </w:rPr>
              <w:t>提供从2018年1月</w:t>
            </w:r>
            <w:r>
              <w:rPr>
                <w:rFonts w:hint="eastAsia" w:ascii="宋体" w:hAnsi="宋体" w:cs="仿宋"/>
                <w:color w:val="000000"/>
                <w:kern w:val="0"/>
                <w:sz w:val="21"/>
                <w:szCs w:val="21"/>
                <w:highlight w:val="none"/>
                <w:lang w:val="en-US" w:eastAsia="zh-CN"/>
              </w:rPr>
              <w:t>至今</w:t>
            </w:r>
            <w:r>
              <w:rPr>
                <w:rFonts w:hint="eastAsia" w:ascii="宋体" w:hAnsi="宋体" w:cs="仿宋"/>
                <w:color w:val="000000"/>
                <w:kern w:val="0"/>
                <w:sz w:val="21"/>
                <w:szCs w:val="21"/>
                <w:highlight w:val="none"/>
              </w:rPr>
              <w:t>承接过</w:t>
            </w:r>
            <w:r>
              <w:rPr>
                <w:rFonts w:hint="eastAsia" w:ascii="宋体" w:hAnsi="宋体" w:cs="仿宋"/>
                <w:color w:val="000000"/>
                <w:kern w:val="0"/>
                <w:sz w:val="21"/>
                <w:szCs w:val="21"/>
                <w:highlight w:val="none"/>
                <w:lang w:val="en-US" w:eastAsia="zh-CN"/>
              </w:rPr>
              <w:t>GE64排CT</w:t>
            </w:r>
            <w:r>
              <w:rPr>
                <w:rFonts w:hint="eastAsia" w:ascii="宋体" w:hAnsi="宋体" w:cs="仿宋"/>
                <w:color w:val="000000"/>
                <w:kern w:val="0"/>
                <w:sz w:val="21"/>
                <w:szCs w:val="21"/>
                <w:highlight w:val="none"/>
              </w:rPr>
              <w:t>类似</w:t>
            </w:r>
            <w:r>
              <w:rPr>
                <w:rFonts w:hint="eastAsia" w:ascii="宋体" w:hAnsi="宋体" w:cs="仿宋"/>
                <w:color w:val="000000"/>
                <w:kern w:val="0"/>
                <w:sz w:val="21"/>
                <w:szCs w:val="21"/>
                <w:highlight w:val="none"/>
                <w:lang w:val="en-US" w:eastAsia="zh-CN"/>
              </w:rPr>
              <w:t>成功案例</w:t>
            </w:r>
            <w:r>
              <w:rPr>
                <w:rFonts w:hint="eastAsia" w:ascii="宋体" w:hAnsi="宋体" w:cs="仿宋"/>
                <w:color w:val="000000"/>
                <w:kern w:val="0"/>
                <w:sz w:val="21"/>
                <w:szCs w:val="21"/>
                <w:highlight w:val="none"/>
              </w:rPr>
              <w:t>每提供一份得</w:t>
            </w:r>
            <w:r>
              <w:rPr>
                <w:rFonts w:hint="eastAsia" w:ascii="宋体" w:hAnsi="宋体" w:cs="仿宋"/>
                <w:color w:val="000000"/>
                <w:kern w:val="0"/>
                <w:sz w:val="21"/>
                <w:szCs w:val="21"/>
                <w:highlight w:val="none"/>
                <w:lang w:val="en-US" w:eastAsia="zh-CN"/>
              </w:rPr>
              <w:t>1</w:t>
            </w:r>
            <w:r>
              <w:rPr>
                <w:rFonts w:hint="eastAsia" w:ascii="宋体" w:hAnsi="宋体" w:cs="仿宋"/>
                <w:color w:val="000000"/>
                <w:kern w:val="0"/>
                <w:sz w:val="21"/>
                <w:szCs w:val="21"/>
                <w:highlight w:val="none"/>
              </w:rPr>
              <w:t>分，最多得</w:t>
            </w:r>
            <w:r>
              <w:rPr>
                <w:rFonts w:hint="eastAsia" w:ascii="宋体" w:hAnsi="宋体" w:cs="仿宋"/>
                <w:color w:val="000000"/>
                <w:kern w:val="0"/>
                <w:sz w:val="21"/>
                <w:szCs w:val="21"/>
                <w:highlight w:val="none"/>
                <w:lang w:val="en-US" w:eastAsia="zh-CN"/>
              </w:rPr>
              <w:t>4</w:t>
            </w:r>
            <w:r>
              <w:rPr>
                <w:rFonts w:hint="eastAsia" w:ascii="宋体" w:hAnsi="宋体" w:cs="仿宋"/>
                <w:color w:val="000000"/>
                <w:kern w:val="0"/>
                <w:sz w:val="21"/>
                <w:szCs w:val="21"/>
                <w:highlight w:val="none"/>
              </w:rPr>
              <w:t>分</w:t>
            </w:r>
            <w:r>
              <w:rPr>
                <w:rFonts w:hint="eastAsia" w:ascii="宋体" w:hAnsi="宋体" w:cs="仿宋"/>
                <w:color w:val="000000"/>
                <w:kern w:val="0"/>
                <w:sz w:val="21"/>
                <w:szCs w:val="21"/>
                <w:highlight w:val="none"/>
                <w:lang w:eastAsia="zh-CN"/>
              </w:rPr>
              <w:t>；</w:t>
            </w:r>
          </w:p>
          <w:p>
            <w:pPr>
              <w:pStyle w:val="18"/>
              <w:snapToGrid/>
              <w:spacing w:before="0" w:line="240" w:lineRule="auto"/>
              <w:rPr>
                <w:rFonts w:hint="eastAsia" w:ascii="宋体" w:hAnsi="宋体" w:cs="仿宋"/>
                <w:color w:val="000000"/>
                <w:kern w:val="0"/>
                <w:sz w:val="21"/>
                <w:szCs w:val="21"/>
                <w:highlight w:val="none"/>
              </w:rPr>
            </w:pPr>
            <w:r>
              <w:rPr>
                <w:rFonts w:hint="eastAsia" w:ascii="宋体" w:hAnsi="宋体" w:cs="仿宋"/>
                <w:color w:val="000000"/>
                <w:kern w:val="0"/>
                <w:sz w:val="21"/>
                <w:szCs w:val="21"/>
                <w:highlight w:val="none"/>
                <w:lang w:val="en-US" w:eastAsia="zh-CN"/>
              </w:rPr>
              <w:t>2.供应商</w:t>
            </w:r>
            <w:r>
              <w:rPr>
                <w:rFonts w:hint="eastAsia" w:ascii="宋体" w:hAnsi="宋体" w:cs="仿宋"/>
                <w:color w:val="000000"/>
                <w:kern w:val="0"/>
                <w:sz w:val="21"/>
                <w:szCs w:val="21"/>
                <w:highlight w:val="none"/>
              </w:rPr>
              <w:t>提供从2018年1月</w:t>
            </w:r>
            <w:r>
              <w:rPr>
                <w:rFonts w:hint="eastAsia" w:ascii="宋体" w:hAnsi="宋体" w:cs="仿宋"/>
                <w:color w:val="000000"/>
                <w:kern w:val="0"/>
                <w:sz w:val="21"/>
                <w:szCs w:val="21"/>
                <w:highlight w:val="none"/>
                <w:lang w:val="en-US" w:eastAsia="zh-CN"/>
              </w:rPr>
              <w:t>至今</w:t>
            </w:r>
            <w:r>
              <w:rPr>
                <w:rFonts w:hint="eastAsia" w:ascii="宋体" w:hAnsi="宋体" w:cs="仿宋"/>
                <w:color w:val="000000"/>
                <w:kern w:val="0"/>
                <w:sz w:val="21"/>
                <w:szCs w:val="21"/>
                <w:highlight w:val="none"/>
              </w:rPr>
              <w:t>承接过</w:t>
            </w:r>
            <w:r>
              <w:rPr>
                <w:rFonts w:hint="eastAsia" w:ascii="宋体" w:hAnsi="宋体" w:cs="仿宋"/>
                <w:color w:val="000000"/>
                <w:kern w:val="0"/>
                <w:sz w:val="21"/>
                <w:szCs w:val="21"/>
                <w:highlight w:val="none"/>
                <w:lang w:val="en-US" w:eastAsia="zh-CN"/>
              </w:rPr>
              <w:t>GE16排CT</w:t>
            </w:r>
            <w:r>
              <w:rPr>
                <w:rFonts w:hint="eastAsia" w:ascii="宋体" w:hAnsi="宋体" w:cs="仿宋"/>
                <w:color w:val="000000"/>
                <w:kern w:val="0"/>
                <w:sz w:val="21"/>
                <w:szCs w:val="21"/>
                <w:highlight w:val="none"/>
              </w:rPr>
              <w:t>类似</w:t>
            </w:r>
            <w:r>
              <w:rPr>
                <w:rFonts w:hint="eastAsia" w:ascii="宋体" w:hAnsi="宋体" w:cs="仿宋"/>
                <w:color w:val="000000"/>
                <w:kern w:val="0"/>
                <w:sz w:val="21"/>
                <w:szCs w:val="21"/>
                <w:highlight w:val="none"/>
                <w:lang w:val="en-US" w:eastAsia="zh-CN"/>
              </w:rPr>
              <w:t>成功案例</w:t>
            </w:r>
            <w:r>
              <w:rPr>
                <w:rFonts w:hint="eastAsia" w:ascii="宋体" w:hAnsi="宋体" w:cs="仿宋"/>
                <w:color w:val="000000"/>
                <w:kern w:val="0"/>
                <w:sz w:val="21"/>
                <w:szCs w:val="21"/>
                <w:highlight w:val="none"/>
              </w:rPr>
              <w:t>每提供一份得</w:t>
            </w:r>
            <w:r>
              <w:rPr>
                <w:rFonts w:hint="eastAsia" w:ascii="宋体" w:hAnsi="宋体" w:cs="仿宋"/>
                <w:color w:val="000000"/>
                <w:kern w:val="0"/>
                <w:sz w:val="21"/>
                <w:szCs w:val="21"/>
                <w:highlight w:val="none"/>
                <w:lang w:val="en-US" w:eastAsia="zh-CN"/>
              </w:rPr>
              <w:t>1</w:t>
            </w:r>
            <w:r>
              <w:rPr>
                <w:rFonts w:hint="eastAsia" w:ascii="宋体" w:hAnsi="宋体" w:cs="仿宋"/>
                <w:color w:val="000000"/>
                <w:kern w:val="0"/>
                <w:sz w:val="21"/>
                <w:szCs w:val="21"/>
                <w:highlight w:val="none"/>
              </w:rPr>
              <w:t>分，最多得</w:t>
            </w:r>
            <w:r>
              <w:rPr>
                <w:rFonts w:hint="eastAsia" w:ascii="宋体" w:hAnsi="宋体" w:cs="仿宋"/>
                <w:color w:val="000000"/>
                <w:kern w:val="0"/>
                <w:sz w:val="21"/>
                <w:szCs w:val="21"/>
                <w:highlight w:val="none"/>
                <w:lang w:val="en-US" w:eastAsia="zh-CN"/>
              </w:rPr>
              <w:t>4</w:t>
            </w:r>
            <w:r>
              <w:rPr>
                <w:rFonts w:hint="eastAsia" w:ascii="宋体" w:hAnsi="宋体" w:cs="仿宋"/>
                <w:color w:val="000000"/>
                <w:kern w:val="0"/>
                <w:sz w:val="21"/>
                <w:szCs w:val="21"/>
                <w:highlight w:val="none"/>
              </w:rPr>
              <w:t>分</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rPr>
              <w:t>。</w:t>
            </w:r>
          </w:p>
          <w:p>
            <w:pPr>
              <w:pStyle w:val="18"/>
              <w:snapToGrid/>
              <w:spacing w:before="0" w:line="240" w:lineRule="auto"/>
              <w:rPr>
                <w:rFonts w:hint="eastAsia" w:ascii="宋体" w:hAnsi="宋体" w:cs="仿宋"/>
                <w:color w:val="000000"/>
                <w:kern w:val="0"/>
                <w:sz w:val="21"/>
                <w:szCs w:val="21"/>
                <w:highlight w:val="none"/>
              </w:rPr>
            </w:pPr>
            <w:r>
              <w:rPr>
                <w:rFonts w:hint="eastAsia" w:ascii="宋体" w:hAnsi="宋体" w:cs="仿宋"/>
                <w:color w:val="000000"/>
                <w:kern w:val="0"/>
                <w:sz w:val="21"/>
                <w:szCs w:val="21"/>
                <w:highlight w:val="none"/>
                <w:lang w:val="en-US" w:eastAsia="zh-CN"/>
              </w:rPr>
              <w:t>3.供应商</w:t>
            </w:r>
            <w:r>
              <w:rPr>
                <w:rFonts w:hint="eastAsia" w:ascii="宋体" w:hAnsi="宋体" w:cs="仿宋"/>
                <w:color w:val="000000"/>
                <w:kern w:val="0"/>
                <w:sz w:val="21"/>
                <w:szCs w:val="21"/>
                <w:highlight w:val="none"/>
              </w:rPr>
              <w:t>提供从2018年1月</w:t>
            </w:r>
            <w:r>
              <w:rPr>
                <w:rFonts w:hint="eastAsia" w:ascii="宋体" w:hAnsi="宋体" w:cs="仿宋"/>
                <w:color w:val="000000"/>
                <w:kern w:val="0"/>
                <w:sz w:val="21"/>
                <w:szCs w:val="21"/>
                <w:highlight w:val="none"/>
                <w:lang w:val="en-US" w:eastAsia="zh-CN"/>
              </w:rPr>
              <w:t>至今</w:t>
            </w:r>
            <w:r>
              <w:rPr>
                <w:rFonts w:hint="eastAsia" w:ascii="宋体" w:hAnsi="宋体" w:cs="仿宋"/>
                <w:color w:val="000000"/>
                <w:kern w:val="0"/>
                <w:sz w:val="21"/>
                <w:szCs w:val="21"/>
                <w:highlight w:val="none"/>
              </w:rPr>
              <w:t>承接过</w:t>
            </w:r>
            <w:r>
              <w:rPr>
                <w:rFonts w:hint="eastAsia" w:ascii="宋体" w:hAnsi="宋体" w:cs="仿宋"/>
                <w:color w:val="000000"/>
                <w:kern w:val="0"/>
                <w:sz w:val="21"/>
                <w:szCs w:val="21"/>
                <w:highlight w:val="none"/>
                <w:lang w:val="en-US" w:eastAsia="zh-CN"/>
              </w:rPr>
              <w:t>0.3T以上MR</w:t>
            </w:r>
            <w:r>
              <w:rPr>
                <w:rFonts w:hint="eastAsia" w:ascii="宋体" w:hAnsi="宋体" w:cs="仿宋"/>
                <w:color w:val="000000"/>
                <w:kern w:val="0"/>
                <w:sz w:val="21"/>
                <w:szCs w:val="21"/>
                <w:highlight w:val="none"/>
              </w:rPr>
              <w:t>类似</w:t>
            </w:r>
            <w:r>
              <w:rPr>
                <w:rFonts w:hint="eastAsia" w:ascii="宋体" w:hAnsi="宋体" w:cs="仿宋"/>
                <w:color w:val="000000"/>
                <w:kern w:val="0"/>
                <w:sz w:val="21"/>
                <w:szCs w:val="21"/>
                <w:highlight w:val="none"/>
                <w:lang w:val="en-US" w:eastAsia="zh-CN"/>
              </w:rPr>
              <w:t>成功案例</w:t>
            </w:r>
            <w:r>
              <w:rPr>
                <w:rFonts w:hint="eastAsia" w:ascii="宋体" w:hAnsi="宋体" w:cs="仿宋"/>
                <w:color w:val="000000"/>
                <w:kern w:val="0"/>
                <w:sz w:val="21"/>
                <w:szCs w:val="21"/>
                <w:highlight w:val="none"/>
              </w:rPr>
              <w:t>每提供一份得</w:t>
            </w:r>
            <w:r>
              <w:rPr>
                <w:rFonts w:hint="eastAsia" w:ascii="宋体" w:hAnsi="宋体" w:cs="仿宋"/>
                <w:color w:val="000000"/>
                <w:kern w:val="0"/>
                <w:sz w:val="21"/>
                <w:szCs w:val="21"/>
                <w:highlight w:val="none"/>
                <w:lang w:val="en-US" w:eastAsia="zh-CN"/>
              </w:rPr>
              <w:t>0.5</w:t>
            </w:r>
            <w:r>
              <w:rPr>
                <w:rFonts w:hint="eastAsia" w:ascii="宋体" w:hAnsi="宋体" w:cs="仿宋"/>
                <w:color w:val="000000"/>
                <w:kern w:val="0"/>
                <w:sz w:val="21"/>
                <w:szCs w:val="21"/>
                <w:highlight w:val="none"/>
              </w:rPr>
              <w:t>分，最多得</w:t>
            </w:r>
            <w:r>
              <w:rPr>
                <w:rFonts w:hint="eastAsia" w:ascii="宋体" w:hAnsi="宋体" w:cs="仿宋"/>
                <w:color w:val="000000"/>
                <w:kern w:val="0"/>
                <w:sz w:val="21"/>
                <w:szCs w:val="21"/>
                <w:highlight w:val="none"/>
                <w:lang w:val="en-US" w:eastAsia="zh-CN"/>
              </w:rPr>
              <w:t>2</w:t>
            </w:r>
            <w:r>
              <w:rPr>
                <w:rFonts w:hint="eastAsia" w:ascii="宋体" w:hAnsi="宋体" w:cs="仿宋"/>
                <w:color w:val="000000"/>
                <w:kern w:val="0"/>
                <w:sz w:val="21"/>
                <w:szCs w:val="21"/>
                <w:highlight w:val="none"/>
              </w:rPr>
              <w:t>分</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rPr>
              <w:t>。</w:t>
            </w:r>
          </w:p>
          <w:p>
            <w:pPr>
              <w:pStyle w:val="18"/>
              <w:snapToGrid/>
              <w:spacing w:before="0" w:line="240" w:lineRule="auto"/>
              <w:rPr>
                <w:rFonts w:hint="eastAsia" w:ascii="宋体" w:hAnsi="宋体" w:cs="仿宋"/>
                <w:color w:val="000000"/>
                <w:kern w:val="0"/>
                <w:sz w:val="21"/>
                <w:szCs w:val="21"/>
                <w:highlight w:val="none"/>
              </w:rPr>
            </w:pPr>
            <w:r>
              <w:rPr>
                <w:rFonts w:hint="eastAsia" w:ascii="宋体" w:hAnsi="宋体" w:cs="仿宋"/>
                <w:color w:val="000000"/>
                <w:kern w:val="0"/>
                <w:sz w:val="21"/>
                <w:szCs w:val="21"/>
                <w:highlight w:val="none"/>
              </w:rPr>
              <w:t>（提供合同或中标通知书，未提供不得分）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9"/>
              <w:spacing w:line="240" w:lineRule="auto"/>
              <w:ind w:firstLine="0" w:firstLineChars="0"/>
              <w:jc w:val="center"/>
              <w:rPr>
                <w:rFonts w:hint="eastAsia" w:ascii="宋体" w:hAnsi="宋体" w:cs="仿宋"/>
                <w:color w:val="000000"/>
                <w:kern w:val="0"/>
                <w:sz w:val="21"/>
                <w:szCs w:val="21"/>
                <w:highlight w:val="none"/>
              </w:rPr>
            </w:pPr>
            <w:r>
              <w:rPr>
                <w:rFonts w:hint="eastAsia" w:ascii="宋体" w:hAnsi="宋体" w:eastAsia="宋体" w:cs="宋体"/>
                <w:sz w:val="21"/>
                <w:szCs w:val="21"/>
                <w:highlight w:val="none"/>
              </w:rPr>
              <w:t>服务管理的便捷性</w:t>
            </w:r>
          </w:p>
        </w:tc>
        <w:tc>
          <w:tcPr>
            <w:tcW w:w="767" w:type="dxa"/>
            <w:vAlign w:val="center"/>
          </w:tcPr>
          <w:p>
            <w:pPr>
              <w:spacing w:line="240" w:lineRule="auto"/>
              <w:jc w:val="center"/>
              <w:rPr>
                <w:rFonts w:hint="eastAsia" w:ascii="宋体" w:hAnsi="宋体" w:cs="仿宋"/>
                <w:color w:val="000000"/>
                <w:kern w:val="0"/>
                <w:sz w:val="21"/>
                <w:szCs w:val="21"/>
                <w:highlight w:val="none"/>
                <w:u w:color="000000"/>
                <w:lang w:val="en-US" w:eastAsia="zh-CN" w:bidi="ar-SA"/>
              </w:rPr>
            </w:pPr>
            <w:r>
              <w:rPr>
                <w:rFonts w:hint="eastAsia" w:ascii="宋体" w:hAnsi="宋体" w:cs="宋体"/>
                <w:bCs/>
                <w:sz w:val="21"/>
                <w:szCs w:val="21"/>
                <w:highlight w:val="none"/>
                <w:lang w:val="en-US" w:eastAsia="zh-CN"/>
              </w:rPr>
              <w:t>5</w:t>
            </w:r>
          </w:p>
        </w:tc>
        <w:tc>
          <w:tcPr>
            <w:tcW w:w="6144" w:type="dxa"/>
            <w:vAlign w:val="center"/>
          </w:tcPr>
          <w:p>
            <w:pPr>
              <w:pStyle w:val="19"/>
              <w:spacing w:line="240" w:lineRule="auto"/>
              <w:ind w:firstLine="0" w:firstLineChars="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供应商能提供</w:t>
            </w:r>
            <w:r>
              <w:rPr>
                <w:rFonts w:hint="eastAsia" w:ascii="宋体" w:hAnsi="宋体" w:eastAsia="宋体" w:cs="宋体"/>
                <w:sz w:val="21"/>
                <w:szCs w:val="21"/>
                <w:highlight w:val="none"/>
              </w:rPr>
              <w:t>免费服务热线：800或者400电话（24小时×356天热线服务）</w:t>
            </w:r>
            <w:r>
              <w:rPr>
                <w:rFonts w:hint="eastAsia" w:ascii="宋体" w:hAnsi="宋体" w:eastAsia="宋体" w:cs="宋体"/>
                <w:sz w:val="21"/>
                <w:szCs w:val="21"/>
                <w:highlight w:val="none"/>
                <w:lang w:val="en-US" w:eastAsia="zh-CN"/>
              </w:rPr>
              <w:t>的得1分，可现场验证</w:t>
            </w:r>
            <w:r>
              <w:rPr>
                <w:rFonts w:hint="eastAsia" w:ascii="宋体" w:hAnsi="宋体" w:eastAsia="宋体" w:cs="宋体"/>
                <w:sz w:val="21"/>
                <w:szCs w:val="21"/>
                <w:highlight w:val="none"/>
                <w:lang w:eastAsia="zh-CN"/>
              </w:rPr>
              <w:t>；</w:t>
            </w:r>
          </w:p>
          <w:p>
            <w:pPr>
              <w:pStyle w:val="19"/>
              <w:spacing w:line="240" w:lineRule="auto"/>
              <w:ind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2.供应商在项目所在地200公里</w:t>
            </w:r>
            <w:r>
              <w:rPr>
                <w:rFonts w:hint="eastAsia" w:ascii="宋体" w:hAnsi="宋体" w:cs="宋体"/>
                <w:kern w:val="0"/>
                <w:sz w:val="21"/>
                <w:szCs w:val="21"/>
                <w:highlight w:val="none"/>
                <w:lang w:val="en-US" w:eastAsia="zh-CN"/>
              </w:rPr>
              <w:t>以</w:t>
            </w:r>
            <w:r>
              <w:rPr>
                <w:rFonts w:hint="eastAsia" w:ascii="宋体" w:hAnsi="宋体" w:eastAsia="宋体" w:cs="宋体"/>
                <w:kern w:val="0"/>
                <w:sz w:val="21"/>
                <w:szCs w:val="21"/>
                <w:highlight w:val="none"/>
                <w:lang w:val="en-US" w:eastAsia="zh-CN"/>
              </w:rPr>
              <w:t>内设有服务中心得</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lang w:val="en-US" w:eastAsia="zh-CN"/>
              </w:rPr>
              <w:t>分；</w:t>
            </w:r>
            <w:r>
              <w:rPr>
                <w:rFonts w:hint="eastAsia" w:ascii="宋体" w:hAnsi="宋体" w:cs="宋体"/>
                <w:kern w:val="0"/>
                <w:sz w:val="21"/>
                <w:szCs w:val="21"/>
                <w:highlight w:val="none"/>
                <w:lang w:val="en-US" w:eastAsia="zh-CN"/>
              </w:rPr>
              <w:t>200（含）~</w:t>
            </w:r>
            <w:r>
              <w:rPr>
                <w:rFonts w:hint="eastAsia" w:ascii="宋体" w:hAnsi="宋体" w:eastAsia="宋体" w:cs="宋体"/>
                <w:kern w:val="0"/>
                <w:sz w:val="21"/>
                <w:szCs w:val="21"/>
                <w:highlight w:val="none"/>
                <w:lang w:val="en-US" w:eastAsia="zh-CN"/>
              </w:rPr>
              <w:t>250公里得</w:t>
            </w:r>
            <w:r>
              <w:rPr>
                <w:rFonts w:hint="eastAsia" w:ascii="宋体" w:hAnsi="宋体" w:cs="宋体"/>
                <w:kern w:val="0"/>
                <w:sz w:val="21"/>
                <w:szCs w:val="21"/>
                <w:highlight w:val="none"/>
                <w:lang w:val="en-US" w:eastAsia="zh-CN"/>
              </w:rPr>
              <w:t>1</w:t>
            </w:r>
            <w:r>
              <w:rPr>
                <w:rFonts w:hint="eastAsia" w:ascii="宋体" w:hAnsi="宋体" w:eastAsia="宋体" w:cs="宋体"/>
                <w:kern w:val="0"/>
                <w:sz w:val="21"/>
                <w:szCs w:val="21"/>
                <w:highlight w:val="none"/>
                <w:lang w:val="en-US" w:eastAsia="zh-CN"/>
              </w:rPr>
              <w:t>分；</w:t>
            </w:r>
            <w:r>
              <w:rPr>
                <w:rFonts w:hint="eastAsia" w:ascii="宋体" w:hAnsi="宋体" w:cs="宋体"/>
                <w:kern w:val="0"/>
                <w:sz w:val="21"/>
                <w:szCs w:val="21"/>
                <w:highlight w:val="none"/>
                <w:lang w:val="en-US" w:eastAsia="zh-CN"/>
              </w:rPr>
              <w:t>250（含）~</w:t>
            </w:r>
            <w:r>
              <w:rPr>
                <w:rFonts w:hint="eastAsia" w:ascii="宋体" w:hAnsi="宋体" w:eastAsia="宋体" w:cs="宋体"/>
                <w:kern w:val="0"/>
                <w:sz w:val="21"/>
                <w:szCs w:val="21"/>
                <w:highlight w:val="none"/>
                <w:lang w:val="en-US" w:eastAsia="zh-CN"/>
              </w:rPr>
              <w:t>300公里内得</w:t>
            </w:r>
            <w:r>
              <w:rPr>
                <w:rFonts w:hint="eastAsia" w:ascii="宋体" w:hAnsi="宋体" w:cs="宋体"/>
                <w:kern w:val="0"/>
                <w:sz w:val="21"/>
                <w:szCs w:val="21"/>
                <w:highlight w:val="none"/>
                <w:lang w:val="en-US" w:eastAsia="zh-CN"/>
              </w:rPr>
              <w:t>0.5</w:t>
            </w:r>
            <w:r>
              <w:rPr>
                <w:rFonts w:hint="eastAsia" w:ascii="宋体" w:hAnsi="宋体" w:eastAsia="宋体" w:cs="宋体"/>
                <w:kern w:val="0"/>
                <w:sz w:val="21"/>
                <w:szCs w:val="21"/>
                <w:highlight w:val="none"/>
                <w:lang w:val="en-US" w:eastAsia="zh-CN"/>
              </w:rPr>
              <w:t>分；（以工商注册登记</w:t>
            </w:r>
            <w:r>
              <w:rPr>
                <w:rFonts w:hint="eastAsia" w:ascii="宋体" w:hAnsi="宋体" w:cs="宋体"/>
                <w:kern w:val="0"/>
                <w:sz w:val="21"/>
                <w:szCs w:val="21"/>
                <w:highlight w:val="none"/>
                <w:lang w:val="en-US" w:eastAsia="zh-CN"/>
              </w:rPr>
              <w:t>地</w:t>
            </w:r>
            <w:r>
              <w:rPr>
                <w:rFonts w:hint="eastAsia" w:ascii="宋体" w:hAnsi="宋体" w:eastAsia="宋体" w:cs="宋体"/>
                <w:kern w:val="0"/>
                <w:sz w:val="21"/>
                <w:szCs w:val="21"/>
                <w:highlight w:val="none"/>
                <w:lang w:val="en-US" w:eastAsia="zh-CN"/>
              </w:rPr>
              <w:t>为准）</w:t>
            </w:r>
          </w:p>
          <w:p>
            <w:pPr>
              <w:pStyle w:val="19"/>
              <w:spacing w:line="240" w:lineRule="auto"/>
              <w:ind w:firstLine="0" w:firstLineChars="0"/>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3.供应商</w:t>
            </w:r>
            <w:r>
              <w:rPr>
                <w:rFonts w:hint="eastAsia" w:ascii="宋体" w:hAnsi="宋体" w:eastAsia="宋体" w:cs="宋体"/>
                <w:kern w:val="0"/>
                <w:sz w:val="21"/>
                <w:szCs w:val="21"/>
                <w:highlight w:val="none"/>
              </w:rPr>
              <w:t>应随时响应，并承诺工程师6小时内到位的计</w:t>
            </w:r>
            <w:r>
              <w:rPr>
                <w:rFonts w:hint="eastAsia" w:ascii="宋体" w:hAnsi="宋体" w:cs="宋体"/>
                <w:kern w:val="0"/>
                <w:sz w:val="21"/>
                <w:szCs w:val="21"/>
                <w:highlight w:val="none"/>
                <w:lang w:val="en-US" w:eastAsia="zh-CN"/>
              </w:rPr>
              <w:t>1</w:t>
            </w:r>
            <w:r>
              <w:rPr>
                <w:rFonts w:hint="eastAsia" w:ascii="宋体" w:hAnsi="宋体" w:eastAsia="宋体" w:cs="宋体"/>
                <w:kern w:val="0"/>
                <w:sz w:val="21"/>
                <w:szCs w:val="21"/>
                <w:highlight w:val="none"/>
              </w:rPr>
              <w:t>分；承诺12小时内到位的计</w:t>
            </w:r>
            <w:r>
              <w:rPr>
                <w:rFonts w:hint="eastAsia" w:ascii="宋体" w:hAnsi="宋体" w:cs="宋体"/>
                <w:kern w:val="0"/>
                <w:sz w:val="21"/>
                <w:szCs w:val="21"/>
                <w:highlight w:val="none"/>
                <w:lang w:val="en-US" w:eastAsia="zh-CN"/>
              </w:rPr>
              <w:t>0.5</w:t>
            </w:r>
            <w:r>
              <w:rPr>
                <w:rFonts w:hint="eastAsia" w:ascii="宋体" w:hAnsi="宋体" w:eastAsia="宋体" w:cs="宋体"/>
                <w:kern w:val="0"/>
                <w:sz w:val="21"/>
                <w:szCs w:val="21"/>
                <w:highlight w:val="none"/>
              </w:rPr>
              <w:t>分；超过12小时计</w:t>
            </w:r>
            <w:r>
              <w:rPr>
                <w:rFonts w:hint="eastAsia" w:ascii="宋体" w:hAnsi="宋体" w:eastAsia="宋体" w:cs="宋体"/>
                <w:kern w:val="0"/>
                <w:sz w:val="21"/>
                <w:szCs w:val="21"/>
                <w:highlight w:val="none"/>
                <w:lang w:val="en-US" w:eastAsia="zh-CN"/>
              </w:rPr>
              <w:t>不得分</w:t>
            </w:r>
            <w:r>
              <w:rPr>
                <w:rFonts w:hint="eastAsia" w:ascii="宋体" w:hAnsi="宋体" w:eastAsia="宋体" w:cs="宋体"/>
                <w:kern w:val="0"/>
                <w:sz w:val="21"/>
                <w:szCs w:val="21"/>
                <w:highlight w:val="none"/>
                <w:lang w:eastAsia="zh-CN"/>
              </w:rPr>
              <w:t>；</w:t>
            </w:r>
          </w:p>
          <w:p>
            <w:pPr>
              <w:pStyle w:val="19"/>
              <w:spacing w:line="240" w:lineRule="auto"/>
              <w:ind w:firstLine="0" w:firstLineChars="0"/>
              <w:rPr>
                <w:rFonts w:hint="eastAsia" w:ascii="宋体" w:hAnsi="宋体" w:cs="仿宋"/>
                <w:color w:val="000000"/>
                <w:kern w:val="0"/>
                <w:sz w:val="21"/>
                <w:szCs w:val="21"/>
                <w:highlight w:val="none"/>
              </w:rPr>
            </w:pPr>
            <w:r>
              <w:rPr>
                <w:rFonts w:hint="eastAsia" w:ascii="宋体" w:hAnsi="宋体" w:eastAsia="宋体" w:cs="宋体"/>
                <w:bCs/>
                <w:sz w:val="21"/>
                <w:szCs w:val="21"/>
                <w:highlight w:val="none"/>
                <w:lang w:val="en-US" w:eastAsia="zh-CN"/>
              </w:rPr>
              <w:t>4.供应商</w:t>
            </w:r>
            <w:r>
              <w:rPr>
                <w:rFonts w:hint="eastAsia" w:ascii="宋体" w:hAnsi="宋体" w:eastAsia="宋体" w:cs="宋体"/>
                <w:bCs/>
                <w:sz w:val="21"/>
                <w:szCs w:val="21"/>
                <w:highlight w:val="none"/>
              </w:rPr>
              <w:t>可进行手机二维码报修服务</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有系统管理软件得</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分</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（需提供相应的著作权证明文件）</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pStyle w:val="19"/>
              <w:spacing w:line="240" w:lineRule="auto"/>
              <w:ind w:firstLine="0" w:firstLineChars="0"/>
              <w:jc w:val="center"/>
              <w:rPr>
                <w:rFonts w:hint="eastAsia" w:ascii="宋体" w:hAnsi="宋体" w:eastAsia="宋体" w:cs="宋体"/>
                <w:sz w:val="21"/>
                <w:szCs w:val="21"/>
                <w:highlight w:val="none"/>
              </w:rPr>
            </w:pPr>
            <w:r>
              <w:rPr>
                <w:rFonts w:hint="eastAsia" w:ascii="宋体" w:hAnsi="宋体" w:cs="仿宋"/>
                <w:color w:val="000000"/>
                <w:kern w:val="0"/>
                <w:sz w:val="21"/>
                <w:szCs w:val="21"/>
                <w:highlight w:val="none"/>
              </w:rPr>
              <w:t>备件能力</w:t>
            </w:r>
          </w:p>
        </w:tc>
        <w:tc>
          <w:tcPr>
            <w:tcW w:w="767" w:type="dxa"/>
            <w:vAlign w:val="center"/>
          </w:tcPr>
          <w:p>
            <w:pPr>
              <w:spacing w:line="240" w:lineRule="auto"/>
              <w:jc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2</w:t>
            </w:r>
          </w:p>
        </w:tc>
        <w:tc>
          <w:tcPr>
            <w:tcW w:w="6144" w:type="dxa"/>
            <w:vAlign w:val="center"/>
          </w:tcPr>
          <w:p>
            <w:pPr>
              <w:pStyle w:val="19"/>
              <w:spacing w:line="240" w:lineRule="auto"/>
              <w:ind w:firstLine="0" w:firstLineChars="0"/>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为确保售后服务能力，供应商具有设备备件仓库，可缩短设备配件更换时需要等待的周期得2分；（提供地址、照片或其他相关证明文件）</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numPr>
                <w:ilvl w:val="0"/>
                <w:numId w:val="5"/>
              </w:numPr>
              <w:tabs>
                <w:tab w:val="left" w:pos="322"/>
              </w:tabs>
              <w:spacing w:line="360" w:lineRule="auto"/>
              <w:ind w:left="-42" w:right="-42" w:rightChars="-20" w:firstLine="0"/>
              <w:jc w:val="right"/>
              <w:rPr>
                <w:rFonts w:ascii="宋体" w:hAnsi="宋体" w:cs="Times New Roman"/>
                <w:b/>
                <w:color w:val="000000" w:themeColor="text1"/>
                <w:sz w:val="24"/>
                <w:highlight w:val="none"/>
              </w:rPr>
            </w:pPr>
          </w:p>
        </w:tc>
        <w:tc>
          <w:tcPr>
            <w:tcW w:w="1059" w:type="dxa"/>
            <w:vAlign w:val="center"/>
          </w:tcPr>
          <w:p>
            <w:pPr>
              <w:widowControl/>
              <w:spacing w:line="276" w:lineRule="auto"/>
              <w:jc w:val="center"/>
              <w:rPr>
                <w:rFonts w:cs="Times New Roman" w:asciiTheme="minorEastAsia" w:hAnsiTheme="minorEastAsia"/>
                <w:b/>
                <w:color w:val="000000" w:themeColor="text1"/>
                <w:szCs w:val="21"/>
                <w:highlight w:val="none"/>
              </w:rPr>
            </w:pPr>
            <w:r>
              <w:rPr>
                <w:rFonts w:hint="eastAsia" w:cs="宋体" w:asciiTheme="minorEastAsia" w:hAnsiTheme="minorEastAsia"/>
                <w:kern w:val="0"/>
                <w:szCs w:val="21"/>
                <w:highlight w:val="none"/>
              </w:rPr>
              <w:t>文件完整性</w:t>
            </w:r>
          </w:p>
        </w:tc>
        <w:tc>
          <w:tcPr>
            <w:tcW w:w="767" w:type="dxa"/>
            <w:vAlign w:val="center"/>
          </w:tcPr>
          <w:p>
            <w:pPr>
              <w:widowControl/>
              <w:spacing w:line="276" w:lineRule="auto"/>
              <w:jc w:val="center"/>
              <w:rPr>
                <w:rFonts w:cs="Times New Roman" w:asciiTheme="minorEastAsia" w:hAnsiTheme="minorEastAsia"/>
                <w:b/>
                <w:color w:val="000000" w:themeColor="text1"/>
                <w:szCs w:val="21"/>
                <w:highlight w:val="none"/>
              </w:rPr>
            </w:pPr>
            <w:r>
              <w:rPr>
                <w:rFonts w:hint="eastAsia" w:cs="宋体" w:asciiTheme="minorEastAsia" w:hAnsiTheme="minorEastAsia"/>
                <w:kern w:val="0"/>
                <w:szCs w:val="21"/>
                <w:highlight w:val="none"/>
                <w:lang w:val="en-US" w:eastAsia="zh-CN"/>
              </w:rPr>
              <w:t>1</w:t>
            </w:r>
          </w:p>
        </w:tc>
        <w:tc>
          <w:tcPr>
            <w:tcW w:w="6144" w:type="dxa"/>
            <w:vAlign w:val="center"/>
          </w:tcPr>
          <w:p>
            <w:pPr>
              <w:autoSpaceDE w:val="0"/>
              <w:autoSpaceDN w:val="0"/>
              <w:adjustRightInd w:val="0"/>
              <w:spacing w:line="276" w:lineRule="auto"/>
              <w:jc w:val="left"/>
              <w:rPr>
                <w:rFonts w:cs="Times New Roman" w:asciiTheme="minorEastAsia" w:hAnsiTheme="minorEastAsia"/>
                <w:color w:val="000000" w:themeColor="text1"/>
                <w:szCs w:val="21"/>
                <w:highlight w:val="none"/>
              </w:rPr>
            </w:pPr>
            <w:r>
              <w:rPr>
                <w:rFonts w:hint="eastAsia" w:cs="宋体" w:asciiTheme="minorEastAsia" w:hAnsiTheme="minorEastAsia"/>
                <w:kern w:val="0"/>
                <w:szCs w:val="21"/>
                <w:highlight w:val="none"/>
              </w:rPr>
              <w:t>磋商响应文件</w:t>
            </w:r>
            <w:r>
              <w:rPr>
                <w:rFonts w:cs="宋体" w:asciiTheme="minorEastAsia" w:hAnsiTheme="minorEastAsia"/>
                <w:kern w:val="0"/>
                <w:szCs w:val="21"/>
                <w:highlight w:val="none"/>
              </w:rPr>
              <w:t>全面</w:t>
            </w:r>
            <w:r>
              <w:rPr>
                <w:rFonts w:hint="eastAsia" w:cs="宋体" w:asciiTheme="minorEastAsia" w:hAnsiTheme="minorEastAsia"/>
                <w:kern w:val="0"/>
                <w:szCs w:val="21"/>
                <w:highlight w:val="none"/>
              </w:rPr>
              <w:t>响应磋商文件</w:t>
            </w:r>
            <w:r>
              <w:rPr>
                <w:rFonts w:cs="宋体" w:asciiTheme="minorEastAsia" w:hAnsiTheme="minorEastAsia"/>
                <w:kern w:val="0"/>
                <w:szCs w:val="21"/>
                <w:highlight w:val="none"/>
              </w:rPr>
              <w:t>要求，编制完整、非活页装订，且有详细目录、连续页码、目录与有关材料装订顺序对应清晰、查阅方便得</w:t>
            </w:r>
            <w:r>
              <w:rPr>
                <w:rFonts w:hint="eastAsia" w:cs="宋体" w:asciiTheme="minorEastAsia" w:hAnsiTheme="minorEastAsia"/>
                <w:kern w:val="0"/>
                <w:szCs w:val="21"/>
                <w:highlight w:val="none"/>
                <w:lang w:val="en-US" w:eastAsia="zh-CN"/>
              </w:rPr>
              <w:t>1</w:t>
            </w:r>
            <w:r>
              <w:rPr>
                <w:rFonts w:cs="宋体" w:asciiTheme="minorEastAsia" w:hAnsiTheme="minorEastAsia"/>
                <w:kern w:val="0"/>
                <w:szCs w:val="21"/>
                <w:highlight w:val="none"/>
              </w:rPr>
              <w:t>分。编排杂乱无章、叙述答非所问、资料残缺不全、资料模糊不清、前后不一致等，每处扣</w:t>
            </w:r>
            <w:r>
              <w:rPr>
                <w:rFonts w:hint="eastAsia" w:cs="宋体" w:asciiTheme="minorEastAsia" w:hAnsiTheme="minorEastAsia"/>
                <w:kern w:val="0"/>
                <w:szCs w:val="21"/>
                <w:highlight w:val="none"/>
                <w:lang w:val="en-US" w:eastAsia="zh-CN"/>
              </w:rPr>
              <w:t>0.5</w:t>
            </w:r>
            <w:r>
              <w:rPr>
                <w:rFonts w:cs="宋体" w:asciiTheme="minorEastAsia" w:hAnsiTheme="minorEastAsia"/>
                <w:kern w:val="0"/>
                <w:szCs w:val="21"/>
                <w:highlight w:val="none"/>
              </w:rPr>
              <w:t>分，扣完为止</w:t>
            </w:r>
            <w:r>
              <w:rPr>
                <w:rFonts w:hint="eastAsia" w:cs="宋体" w:asciiTheme="minorEastAsia" w:hAnsiTheme="minorEastAsia"/>
                <w:kern w:val="0"/>
                <w:szCs w:val="21"/>
                <w:highlight w:val="none"/>
              </w:rPr>
              <w:t>，活页装订不得分。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3" w:type="dxa"/>
            <w:gridSpan w:val="3"/>
            <w:vAlign w:val="center"/>
          </w:tcPr>
          <w:p>
            <w:pPr>
              <w:spacing w:line="276" w:lineRule="auto"/>
              <w:ind w:left="-48" w:leftChars="-23" w:right="-36" w:rightChars="-17"/>
              <w:jc w:val="center"/>
              <w:rPr>
                <w:rFonts w:cs="Times New Roman" w:asciiTheme="minorEastAsia" w:hAnsiTheme="minorEastAsia"/>
                <w:b/>
                <w:color w:val="FF0000"/>
                <w:szCs w:val="21"/>
                <w:highlight w:val="none"/>
              </w:rPr>
            </w:pPr>
            <w:r>
              <w:rPr>
                <w:rFonts w:hint="eastAsia" w:cs="Times New Roman" w:asciiTheme="minorEastAsia" w:hAnsiTheme="minorEastAsia"/>
                <w:b/>
                <w:color w:val="FF0000"/>
                <w:szCs w:val="21"/>
                <w:highlight w:val="none"/>
              </w:rPr>
              <w:t>商务分合计</w:t>
            </w:r>
          </w:p>
        </w:tc>
        <w:tc>
          <w:tcPr>
            <w:tcW w:w="7029" w:type="dxa"/>
            <w:gridSpan w:val="2"/>
            <w:vAlign w:val="center"/>
          </w:tcPr>
          <w:p>
            <w:pPr>
              <w:tabs>
                <w:tab w:val="left" w:pos="1605"/>
              </w:tabs>
              <w:spacing w:line="276" w:lineRule="auto"/>
              <w:ind w:left="-65" w:leftChars="-31" w:right="-36" w:rightChars="-17"/>
              <w:jc w:val="left"/>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ab/>
            </w:r>
            <w:r>
              <w:rPr>
                <w:rFonts w:hint="eastAsia" w:cs="Times New Roman" w:asciiTheme="minorEastAsia" w:hAnsiTheme="minorEastAsia"/>
                <w:b/>
                <w:color w:val="000000" w:themeColor="text1"/>
                <w:szCs w:val="21"/>
                <w:highlight w:val="none"/>
                <w:lang w:val="en-US" w:eastAsia="zh-CN"/>
              </w:rPr>
              <w:t>40</w:t>
            </w:r>
            <w:r>
              <w:rPr>
                <w:rFonts w:hint="eastAsia" w:cs="Times New Roman" w:asciiTheme="minorEastAsia" w:hAnsiTheme="minorEastAsia"/>
                <w:b/>
                <w:color w:val="000000" w:themeColor="text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7" w:type="dxa"/>
            <w:vMerge w:val="restart"/>
            <w:shd w:val="pct10" w:color="auto" w:fill="auto"/>
            <w:vAlign w:val="center"/>
          </w:tcPr>
          <w:p>
            <w:pPr>
              <w:tabs>
                <w:tab w:val="left" w:pos="322"/>
              </w:tabs>
              <w:spacing w:line="360" w:lineRule="auto"/>
              <w:ind w:left="-42" w:right="-42" w:rightChars="-20"/>
              <w:jc w:val="right"/>
              <w:rPr>
                <w:rFonts w:ascii="宋体" w:hAnsi="宋体" w:cs="Times New Roman"/>
                <w:b/>
                <w:color w:val="000000" w:themeColor="text1"/>
                <w:sz w:val="24"/>
                <w:szCs w:val="24"/>
                <w:highlight w:val="none"/>
              </w:rPr>
            </w:pPr>
            <w:r>
              <w:rPr>
                <w:rFonts w:hint="eastAsia" w:ascii="宋体" w:hAnsi="宋体" w:cs="Times New Roman"/>
                <w:b/>
                <w:bCs/>
                <w:color w:val="000000" w:themeColor="text1"/>
                <w:sz w:val="28"/>
                <w:szCs w:val="28"/>
                <w:highlight w:val="none"/>
              </w:rPr>
              <w:t>技术服务评议</w:t>
            </w:r>
          </w:p>
        </w:tc>
        <w:tc>
          <w:tcPr>
            <w:tcW w:w="1059" w:type="dxa"/>
            <w:shd w:val="pct10" w:color="auto" w:fill="auto"/>
            <w:vAlign w:val="center"/>
          </w:tcPr>
          <w:p>
            <w:pPr>
              <w:spacing w:line="276" w:lineRule="auto"/>
              <w:ind w:left="-78" w:leftChars="-37" w:right="-86" w:rightChars="-41"/>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评审因素</w:t>
            </w:r>
          </w:p>
        </w:tc>
        <w:tc>
          <w:tcPr>
            <w:tcW w:w="767" w:type="dxa"/>
            <w:shd w:val="pct10" w:color="auto" w:fill="auto"/>
            <w:vAlign w:val="center"/>
          </w:tcPr>
          <w:p>
            <w:pPr>
              <w:spacing w:line="276" w:lineRule="auto"/>
              <w:ind w:left="-73" w:leftChars="-35" w:right="-80" w:rightChars="-38"/>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分值</w:t>
            </w:r>
          </w:p>
        </w:tc>
        <w:tc>
          <w:tcPr>
            <w:tcW w:w="6144" w:type="dxa"/>
            <w:shd w:val="pct10" w:color="auto" w:fill="auto"/>
            <w:vAlign w:val="center"/>
          </w:tcPr>
          <w:p>
            <w:pPr>
              <w:spacing w:line="276" w:lineRule="auto"/>
              <w:ind w:left="-78" w:leftChars="-37" w:right="-86" w:rightChars="-41"/>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评分标准</w:t>
            </w:r>
          </w:p>
        </w:tc>
        <w:tc>
          <w:tcPr>
            <w:tcW w:w="885" w:type="dxa"/>
            <w:shd w:val="pct10" w:color="auto" w:fill="auto"/>
            <w:vAlign w:val="center"/>
          </w:tcPr>
          <w:p>
            <w:pPr>
              <w:spacing w:line="276" w:lineRule="auto"/>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因素</w:t>
            </w:r>
          </w:p>
          <w:p>
            <w:pPr>
              <w:spacing w:line="276" w:lineRule="auto"/>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tabs>
                <w:tab w:val="left" w:pos="322"/>
              </w:tabs>
              <w:spacing w:line="360" w:lineRule="auto"/>
              <w:ind w:left="-42" w:right="-42" w:rightChars="-20"/>
              <w:jc w:val="right"/>
              <w:rPr>
                <w:rFonts w:ascii="宋体" w:hAnsi="宋体" w:cs="Times New Roman"/>
                <w:b/>
                <w:color w:val="000000" w:themeColor="text1"/>
                <w:sz w:val="24"/>
                <w:highlight w:val="none"/>
              </w:rPr>
            </w:pPr>
          </w:p>
        </w:tc>
        <w:tc>
          <w:tcPr>
            <w:tcW w:w="1059" w:type="dxa"/>
            <w:vAlign w:val="center"/>
          </w:tcPr>
          <w:p>
            <w:pPr>
              <w:spacing w:line="240" w:lineRule="auto"/>
              <w:jc w:val="center"/>
              <w:rPr>
                <w:rFonts w:cs="宋体" w:asciiTheme="minorEastAsia" w:hAnsiTheme="minorEastAsia"/>
                <w:color w:val="000000"/>
                <w:kern w:val="0"/>
                <w:szCs w:val="21"/>
                <w:highlight w:val="none"/>
              </w:rPr>
            </w:pPr>
            <w:r>
              <w:rPr>
                <w:rFonts w:hint="eastAsia" w:ascii="宋体" w:hAnsi="宋体" w:eastAsia="宋体" w:cs="宋体"/>
                <w:sz w:val="21"/>
                <w:szCs w:val="21"/>
                <w:highlight w:val="none"/>
              </w:rPr>
              <w:t>核心零部件</w:t>
            </w:r>
            <w:r>
              <w:rPr>
                <w:rFonts w:hint="eastAsia" w:ascii="宋体" w:hAnsi="宋体" w:eastAsia="宋体" w:cs="宋体"/>
                <w:sz w:val="21"/>
                <w:szCs w:val="21"/>
                <w:highlight w:val="none"/>
                <w:lang w:val="en-US" w:eastAsia="zh-CN"/>
              </w:rPr>
              <w:t>供应能力</w:t>
            </w:r>
          </w:p>
        </w:tc>
        <w:tc>
          <w:tcPr>
            <w:tcW w:w="767" w:type="dxa"/>
            <w:vAlign w:val="center"/>
          </w:tcPr>
          <w:p>
            <w:pPr>
              <w:spacing w:line="240" w:lineRule="auto"/>
              <w:jc w:val="center"/>
              <w:rPr>
                <w:rFonts w:hint="default" w:cs="宋体" w:asciiTheme="minorEastAsia" w:hAnsiTheme="minorEastAsia" w:eastAsiaTheme="minorEastAsia"/>
                <w:color w:val="000000"/>
                <w:kern w:val="0"/>
                <w:szCs w:val="21"/>
                <w:highlight w:val="none"/>
                <w:lang w:val="en-US" w:eastAsia="zh-CN"/>
              </w:rPr>
            </w:pPr>
            <w:r>
              <w:rPr>
                <w:rFonts w:hint="eastAsia" w:ascii="宋体" w:hAnsi="宋体" w:eastAsia="宋体" w:cs="宋体"/>
                <w:sz w:val="21"/>
                <w:szCs w:val="21"/>
                <w:highlight w:val="none"/>
                <w:lang w:val="en-US" w:eastAsia="zh-CN"/>
              </w:rPr>
              <w:t>10</w:t>
            </w:r>
          </w:p>
        </w:tc>
        <w:tc>
          <w:tcPr>
            <w:tcW w:w="6144" w:type="dxa"/>
            <w:vAlign w:val="center"/>
          </w:tcPr>
          <w:p>
            <w:pPr>
              <w:spacing w:line="240" w:lineRule="auto"/>
              <w:rPr>
                <w:rFonts w:cs="宋体" w:asciiTheme="minorEastAsia" w:hAnsiTheme="minorEastAsia"/>
                <w:color w:val="000000"/>
                <w:kern w:val="0"/>
                <w:szCs w:val="21"/>
                <w:highlight w:val="none"/>
              </w:rPr>
            </w:pP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须具备</w:t>
            </w:r>
            <w:r>
              <w:rPr>
                <w:rFonts w:hint="eastAsia" w:ascii="宋体" w:hAnsi="宋体" w:eastAsia="宋体" w:cs="宋体"/>
                <w:sz w:val="21"/>
                <w:szCs w:val="21"/>
                <w:highlight w:val="none"/>
                <w:lang w:val="en-US" w:eastAsia="zh-CN"/>
              </w:rPr>
              <w:t>适配同品牌</w:t>
            </w:r>
            <w:r>
              <w:rPr>
                <w:rFonts w:hint="eastAsia" w:ascii="宋体" w:hAnsi="宋体" w:eastAsia="宋体" w:cs="宋体"/>
                <w:sz w:val="21"/>
                <w:szCs w:val="21"/>
                <w:highlight w:val="none"/>
              </w:rPr>
              <w:t>64排</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16排</w:t>
            </w:r>
            <w:r>
              <w:rPr>
                <w:rFonts w:hint="eastAsia" w:ascii="宋体" w:hAnsi="宋体" w:eastAsia="宋体" w:cs="宋体"/>
                <w:sz w:val="21"/>
                <w:szCs w:val="21"/>
                <w:highlight w:val="none"/>
              </w:rPr>
              <w:t>CT核心零部件球管的供</w:t>
            </w:r>
            <w:r>
              <w:rPr>
                <w:rFonts w:hint="eastAsia" w:ascii="宋体" w:hAnsi="宋体" w:eastAsia="宋体" w:cs="宋体"/>
                <w:sz w:val="21"/>
                <w:szCs w:val="21"/>
                <w:highlight w:val="none"/>
                <w:lang w:val="en-US" w:eastAsia="zh-CN"/>
              </w:rPr>
              <w:t>应</w:t>
            </w:r>
            <w:r>
              <w:rPr>
                <w:rFonts w:hint="eastAsia" w:ascii="宋体" w:hAnsi="宋体" w:eastAsia="宋体" w:cs="宋体"/>
                <w:sz w:val="21"/>
                <w:szCs w:val="21"/>
                <w:highlight w:val="none"/>
              </w:rPr>
              <w:t>能力，并承诺紧急情况下能24小时安装到位，否则医院有权解除合同，并要求赔偿损失；依据</w:t>
            </w:r>
            <w:r>
              <w:rPr>
                <w:rFonts w:hint="eastAsia" w:ascii="宋体" w:hAnsi="宋体" w:eastAsia="宋体" w:cs="宋体"/>
                <w:sz w:val="21"/>
                <w:szCs w:val="21"/>
                <w:highlight w:val="none"/>
                <w:lang w:val="en-US" w:eastAsia="zh-CN"/>
              </w:rPr>
              <w:t>供应商</w:t>
            </w:r>
            <w:r>
              <w:rPr>
                <w:rFonts w:hint="eastAsia" w:ascii="宋体" w:hAnsi="宋体" w:eastAsia="宋体" w:cs="宋体"/>
                <w:sz w:val="21"/>
                <w:szCs w:val="21"/>
                <w:highlight w:val="none"/>
              </w:rPr>
              <w:t>所提供有关资料进行</w:t>
            </w:r>
            <w:r>
              <w:rPr>
                <w:rFonts w:hint="eastAsia" w:ascii="宋体" w:hAnsi="宋体" w:eastAsia="宋体" w:cs="宋体"/>
                <w:sz w:val="21"/>
                <w:szCs w:val="21"/>
                <w:highlight w:val="none"/>
                <w:lang w:val="en-US" w:eastAsia="zh-CN"/>
              </w:rPr>
              <w:t>球管供应能力</w:t>
            </w:r>
            <w:r>
              <w:rPr>
                <w:rFonts w:hint="eastAsia" w:ascii="宋体" w:hAnsi="宋体" w:eastAsia="宋体" w:cs="宋体"/>
                <w:sz w:val="21"/>
                <w:szCs w:val="21"/>
                <w:highlight w:val="none"/>
              </w:rPr>
              <w:t>比较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取得厂家或全国代理资格的代理商</w:t>
            </w:r>
            <w:r>
              <w:rPr>
                <w:rFonts w:hint="eastAsia" w:ascii="宋体" w:hAnsi="宋体" w:eastAsia="宋体" w:cs="宋体"/>
                <w:sz w:val="21"/>
                <w:szCs w:val="21"/>
                <w:highlight w:val="none"/>
              </w:rPr>
              <w:t>得</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取得省级代理资格的</w:t>
            </w:r>
            <w:r>
              <w:rPr>
                <w:rFonts w:hint="eastAsia" w:ascii="宋体" w:hAnsi="宋体" w:eastAsia="宋体" w:cs="宋体"/>
                <w:sz w:val="21"/>
                <w:szCs w:val="21"/>
                <w:highlight w:val="none"/>
              </w:rPr>
              <w:t>得</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取得地市级及以下代理资格的</w:t>
            </w:r>
            <w:r>
              <w:rPr>
                <w:rFonts w:hint="eastAsia" w:ascii="宋体" w:hAnsi="宋体" w:eastAsia="宋体" w:cs="宋体"/>
                <w:sz w:val="21"/>
                <w:szCs w:val="21"/>
                <w:highlight w:val="none"/>
              </w:rPr>
              <w:t>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cs="仿宋"/>
                <w:color w:val="000000"/>
                <w:kern w:val="0"/>
                <w:sz w:val="21"/>
                <w:szCs w:val="21"/>
                <w:highlight w:val="none"/>
              </w:rPr>
              <w:t>（</w:t>
            </w:r>
            <w:r>
              <w:rPr>
                <w:rFonts w:hint="eastAsia" w:ascii="宋体" w:hAnsi="宋体" w:eastAsia="宋体" w:cs="宋体"/>
                <w:sz w:val="21"/>
                <w:szCs w:val="21"/>
                <w:highlight w:val="none"/>
              </w:rPr>
              <w:t>提供</w:t>
            </w:r>
            <w:r>
              <w:rPr>
                <w:rFonts w:hint="eastAsia" w:ascii="宋体" w:hAnsi="宋体" w:eastAsia="宋体" w:cs="宋体"/>
                <w:sz w:val="21"/>
                <w:szCs w:val="21"/>
                <w:highlight w:val="none"/>
                <w:lang w:val="en-US" w:eastAsia="zh-CN"/>
              </w:rPr>
              <w:t>适配</w:t>
            </w:r>
            <w:r>
              <w:rPr>
                <w:rFonts w:hint="eastAsia" w:ascii="宋体" w:hAnsi="宋体" w:eastAsia="宋体" w:cs="宋体"/>
                <w:sz w:val="21"/>
                <w:szCs w:val="21"/>
                <w:highlight w:val="none"/>
              </w:rPr>
              <w:t>球管</w:t>
            </w:r>
            <w:r>
              <w:rPr>
                <w:rFonts w:hint="eastAsia" w:ascii="宋体" w:hAnsi="宋体" w:eastAsia="宋体" w:cs="宋体"/>
                <w:sz w:val="21"/>
                <w:szCs w:val="21"/>
                <w:highlight w:val="none"/>
                <w:lang w:val="en-US" w:eastAsia="zh-CN"/>
              </w:rPr>
              <w:t>生产许可证或</w:t>
            </w:r>
            <w:r>
              <w:rPr>
                <w:rFonts w:hint="eastAsia" w:ascii="宋体" w:hAnsi="宋体" w:eastAsia="宋体" w:cs="宋体"/>
                <w:sz w:val="21"/>
                <w:szCs w:val="21"/>
                <w:highlight w:val="none"/>
              </w:rPr>
              <w:t>厂家授权书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注册证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技术参数、承诺书</w:t>
            </w:r>
            <w:r>
              <w:rPr>
                <w:rFonts w:hint="eastAsia" w:ascii="宋体" w:hAnsi="宋体" w:eastAsia="宋体" w:cs="宋体"/>
                <w:sz w:val="21"/>
                <w:szCs w:val="21"/>
                <w:highlight w:val="none"/>
              </w:rPr>
              <w:t>等证明</w:t>
            </w:r>
            <w:r>
              <w:rPr>
                <w:rFonts w:hint="eastAsia" w:ascii="宋体" w:hAnsi="宋体" w:eastAsia="宋体" w:cs="宋体"/>
                <w:sz w:val="21"/>
                <w:szCs w:val="21"/>
                <w:highlight w:val="none"/>
                <w:lang w:val="en-US" w:eastAsia="zh-CN"/>
              </w:rPr>
              <w:t>材料</w:t>
            </w:r>
            <w:r>
              <w:rPr>
                <w:rFonts w:hint="eastAsia" w:ascii="宋体" w:hAnsi="宋体" w:cs="仿宋"/>
                <w:color w:val="000000"/>
                <w:kern w:val="0"/>
                <w:sz w:val="21"/>
                <w:szCs w:val="21"/>
                <w:highlight w:val="none"/>
              </w:rPr>
              <w:t>，未提供不得分）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tabs>
                <w:tab w:val="left" w:pos="322"/>
              </w:tabs>
              <w:spacing w:line="360" w:lineRule="auto"/>
              <w:ind w:left="-42" w:right="-42" w:rightChars="-20"/>
              <w:jc w:val="right"/>
              <w:rPr>
                <w:rFonts w:ascii="宋体" w:hAnsi="宋体" w:cs="Times New Roman"/>
                <w:b/>
                <w:color w:val="000000" w:themeColor="text1"/>
                <w:sz w:val="24"/>
                <w:highlight w:val="none"/>
              </w:rPr>
            </w:pPr>
          </w:p>
        </w:tc>
        <w:tc>
          <w:tcPr>
            <w:tcW w:w="1059" w:type="dxa"/>
            <w:vAlign w:val="center"/>
          </w:tcPr>
          <w:p>
            <w:pPr>
              <w:spacing w:line="240" w:lineRule="auto"/>
              <w:jc w:val="center"/>
              <w:rPr>
                <w:rFonts w:cs="宋体" w:asciiTheme="minorEastAsia" w:hAnsiTheme="minorEastAsia"/>
                <w:color w:val="000000"/>
                <w:kern w:val="0"/>
                <w:szCs w:val="21"/>
                <w:highlight w:val="none"/>
              </w:rPr>
            </w:pPr>
            <w:r>
              <w:rPr>
                <w:rFonts w:hint="eastAsia" w:ascii="宋体" w:hAnsi="宋体" w:eastAsia="宋体" w:cs="宋体"/>
                <w:bCs/>
                <w:kern w:val="0"/>
                <w:sz w:val="21"/>
                <w:szCs w:val="21"/>
                <w:highlight w:val="none"/>
                <w:lang w:val="en-US" w:eastAsia="zh-CN"/>
              </w:rPr>
              <w:t>维</w:t>
            </w:r>
            <w:r>
              <w:rPr>
                <w:rFonts w:hint="eastAsia" w:ascii="宋体" w:hAnsi="宋体" w:eastAsia="宋体" w:cs="宋体"/>
                <w:bCs/>
                <w:kern w:val="0"/>
                <w:sz w:val="21"/>
                <w:szCs w:val="21"/>
                <w:highlight w:val="none"/>
              </w:rPr>
              <w:t>修服务方案</w:t>
            </w:r>
          </w:p>
        </w:tc>
        <w:tc>
          <w:tcPr>
            <w:tcW w:w="767" w:type="dxa"/>
            <w:vAlign w:val="center"/>
          </w:tcPr>
          <w:p>
            <w:pPr>
              <w:spacing w:line="240" w:lineRule="auto"/>
              <w:jc w:val="center"/>
              <w:rPr>
                <w:rFonts w:cs="宋体" w:asciiTheme="minorEastAsia" w:hAnsiTheme="minorEastAsia"/>
                <w:color w:val="000000"/>
                <w:kern w:val="0"/>
                <w:szCs w:val="21"/>
                <w:highlight w:val="none"/>
              </w:rPr>
            </w:pPr>
            <w:r>
              <w:rPr>
                <w:rFonts w:hint="eastAsia" w:ascii="宋体" w:hAnsi="宋体" w:eastAsia="宋体" w:cs="宋体"/>
                <w:bCs/>
                <w:sz w:val="21"/>
                <w:szCs w:val="21"/>
                <w:highlight w:val="none"/>
                <w:lang w:val="en-US" w:eastAsia="zh-CN"/>
              </w:rPr>
              <w:t>15</w:t>
            </w:r>
          </w:p>
        </w:tc>
        <w:tc>
          <w:tcPr>
            <w:tcW w:w="6144" w:type="dxa"/>
            <w:vAlign w:val="center"/>
          </w:tcPr>
          <w:p>
            <w:pPr>
              <w:keepNext w:val="0"/>
              <w:keepLines w:val="0"/>
              <w:widowControl/>
              <w:suppressLineNumbers w:val="0"/>
              <w:spacing w:line="240" w:lineRule="auto"/>
              <w:jc w:val="left"/>
              <w:rPr>
                <w:rFonts w:hint="default" w:cs="宋体" w:asciiTheme="minorEastAsia" w:hAnsiTheme="minorEastAsia"/>
                <w:color w:val="000000"/>
                <w:kern w:val="0"/>
                <w:szCs w:val="21"/>
                <w:highlight w:val="none"/>
                <w:lang w:val="en-US"/>
              </w:rPr>
            </w:pPr>
            <w:r>
              <w:rPr>
                <w:rFonts w:hint="eastAsia" w:ascii="宋体" w:hAnsi="宋体" w:eastAsia="宋体" w:cs="宋体"/>
                <w:kern w:val="2"/>
                <w:sz w:val="21"/>
                <w:szCs w:val="21"/>
                <w:highlight w:val="none"/>
                <w:lang w:val="en-US" w:eastAsia="zh-CN" w:bidi="ar-SA"/>
              </w:rPr>
              <w:t>供应商提供的维</w:t>
            </w:r>
            <w:r>
              <w:rPr>
                <w:rFonts w:hint="eastAsia" w:ascii="宋体" w:hAnsi="宋体" w:cs="宋体"/>
                <w:kern w:val="2"/>
                <w:sz w:val="21"/>
                <w:szCs w:val="21"/>
                <w:highlight w:val="none"/>
                <w:lang w:val="en-US" w:eastAsia="zh-CN" w:bidi="ar-SA"/>
              </w:rPr>
              <w:t>修</w:t>
            </w:r>
            <w:r>
              <w:rPr>
                <w:rFonts w:hint="eastAsia" w:ascii="宋体" w:hAnsi="宋体" w:eastAsia="宋体" w:cs="宋体"/>
                <w:kern w:val="2"/>
                <w:sz w:val="21"/>
                <w:szCs w:val="21"/>
                <w:highlight w:val="none"/>
                <w:lang w:val="en-US" w:eastAsia="zh-CN" w:bidi="ar-SA"/>
              </w:rPr>
              <w:t>服务方案科学、合理、清晰、全面、完整、操作性强，符合国家相关规定，满足实际需求得10-15 分； 维修服务方案较清晰、全面、合理，方案基本可行，符合国家相关规定，满足实际需求得6-9分； 维修服务方案较全面、方案基本可行，符合国家相关规定，基本满足实际需求得1-5 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tabs>
                <w:tab w:val="left" w:pos="322"/>
              </w:tabs>
              <w:spacing w:line="360" w:lineRule="auto"/>
              <w:ind w:left="-42" w:right="-42" w:rightChars="-20"/>
              <w:jc w:val="right"/>
              <w:rPr>
                <w:rFonts w:ascii="宋体" w:hAnsi="宋体" w:cs="Times New Roman"/>
                <w:b/>
                <w:color w:val="000000" w:themeColor="text1"/>
                <w:sz w:val="24"/>
                <w:highlight w:val="none"/>
              </w:rPr>
            </w:pPr>
          </w:p>
        </w:tc>
        <w:tc>
          <w:tcPr>
            <w:tcW w:w="1059" w:type="dxa"/>
            <w:vAlign w:val="center"/>
          </w:tcPr>
          <w:p>
            <w:pPr>
              <w:pStyle w:val="19"/>
              <w:spacing w:line="240" w:lineRule="auto"/>
              <w:ind w:firstLine="0" w:firstLineChars="0"/>
              <w:jc w:val="center"/>
              <w:rPr>
                <w:rFonts w:cs="宋体" w:asciiTheme="minorEastAsia" w:hAnsiTheme="minorEastAsia"/>
                <w:color w:val="000000"/>
                <w:kern w:val="0"/>
                <w:szCs w:val="21"/>
                <w:highlight w:val="none"/>
              </w:rPr>
            </w:pPr>
            <w:r>
              <w:rPr>
                <w:rFonts w:hint="eastAsia" w:ascii="宋体" w:hAnsi="宋体" w:eastAsia="宋体" w:cs="宋体"/>
                <w:bCs/>
                <w:kern w:val="0"/>
                <w:sz w:val="21"/>
                <w:szCs w:val="21"/>
                <w:highlight w:val="none"/>
                <w:lang w:val="en-US" w:eastAsia="zh-CN"/>
              </w:rPr>
              <w:t>应急预案及响应措施</w:t>
            </w:r>
          </w:p>
        </w:tc>
        <w:tc>
          <w:tcPr>
            <w:tcW w:w="767" w:type="dxa"/>
            <w:vAlign w:val="center"/>
          </w:tcPr>
          <w:p>
            <w:pPr>
              <w:spacing w:line="240" w:lineRule="auto"/>
              <w:jc w:val="center"/>
              <w:rPr>
                <w:rFonts w:cs="宋体" w:asciiTheme="minorEastAsia" w:hAnsiTheme="minorEastAsia"/>
                <w:color w:val="000000"/>
                <w:kern w:val="0"/>
                <w:szCs w:val="21"/>
                <w:highlight w:val="none"/>
              </w:rPr>
            </w:pPr>
            <w:r>
              <w:rPr>
                <w:rFonts w:hint="eastAsia" w:ascii="宋体" w:hAnsi="宋体" w:eastAsia="宋体" w:cs="宋体"/>
                <w:bCs/>
                <w:sz w:val="21"/>
                <w:szCs w:val="21"/>
                <w:highlight w:val="none"/>
                <w:lang w:val="en-US" w:eastAsia="zh-CN"/>
              </w:rPr>
              <w:t>10</w:t>
            </w:r>
          </w:p>
        </w:tc>
        <w:tc>
          <w:tcPr>
            <w:tcW w:w="6144" w:type="dxa"/>
            <w:vAlign w:val="center"/>
          </w:tcPr>
          <w:p>
            <w:pPr>
              <w:keepNext w:val="0"/>
              <w:keepLines w:val="0"/>
              <w:widowControl/>
              <w:suppressLineNumbers w:val="0"/>
              <w:spacing w:line="240" w:lineRule="auto"/>
              <w:jc w:val="left"/>
              <w:rPr>
                <w:rFonts w:hint="default" w:cs="宋体" w:asciiTheme="minorEastAsia" w:hAnsiTheme="minorEastAsia"/>
                <w:color w:val="000000"/>
                <w:kern w:val="0"/>
                <w:szCs w:val="21"/>
                <w:highlight w:val="none"/>
                <w:lang w:val="en-US"/>
              </w:rPr>
            </w:pPr>
            <w:r>
              <w:rPr>
                <w:rFonts w:hint="eastAsia" w:ascii="宋体" w:hAnsi="宋体" w:eastAsia="宋体" w:cs="宋体"/>
                <w:sz w:val="21"/>
                <w:szCs w:val="21"/>
                <w:highlight w:val="none"/>
                <w:lang w:val="en-US" w:eastAsia="zh-CN"/>
              </w:rPr>
              <w:t>供应商提供的应对设备突发故障制定合理</w:t>
            </w:r>
            <w:r>
              <w:rPr>
                <w:rFonts w:hint="eastAsia" w:ascii="宋体" w:hAnsi="宋体" w:eastAsia="宋体" w:cs="宋体"/>
                <w:bCs/>
                <w:kern w:val="0"/>
                <w:sz w:val="21"/>
                <w:szCs w:val="21"/>
                <w:highlight w:val="none"/>
                <w:lang w:val="en-US" w:eastAsia="zh-CN"/>
              </w:rPr>
              <w:t>应急预案，完善、</w:t>
            </w:r>
            <w:r>
              <w:rPr>
                <w:rFonts w:hint="eastAsia" w:ascii="宋体" w:hAnsi="宋体" w:eastAsia="宋体" w:cs="宋体"/>
                <w:kern w:val="2"/>
                <w:sz w:val="21"/>
                <w:szCs w:val="21"/>
                <w:highlight w:val="none"/>
                <w:lang w:val="en-US" w:eastAsia="zh-CN" w:bidi="ar-SA"/>
              </w:rPr>
              <w:t xml:space="preserve">科学、合理、操作性强得7-10分； </w:t>
            </w:r>
            <w:r>
              <w:rPr>
                <w:rFonts w:hint="eastAsia" w:ascii="宋体" w:hAnsi="宋体" w:eastAsia="宋体" w:cs="宋体"/>
                <w:bCs/>
                <w:kern w:val="0"/>
                <w:sz w:val="21"/>
                <w:szCs w:val="21"/>
                <w:highlight w:val="none"/>
                <w:lang w:val="en-US" w:eastAsia="zh-CN"/>
              </w:rPr>
              <w:t>应急预案</w:t>
            </w:r>
            <w:r>
              <w:rPr>
                <w:rFonts w:hint="eastAsia" w:ascii="宋体" w:hAnsi="宋体" w:eastAsia="宋体" w:cs="宋体"/>
                <w:kern w:val="2"/>
                <w:sz w:val="21"/>
                <w:szCs w:val="21"/>
                <w:highlight w:val="none"/>
                <w:lang w:val="en-US" w:eastAsia="zh-CN" w:bidi="ar-SA"/>
              </w:rPr>
              <w:t xml:space="preserve">较清晰、全面、合理，方案基本可行得4-6分； </w:t>
            </w:r>
            <w:r>
              <w:rPr>
                <w:rFonts w:hint="eastAsia" w:ascii="宋体" w:hAnsi="宋体" w:eastAsia="宋体" w:cs="宋体"/>
                <w:bCs/>
                <w:kern w:val="0"/>
                <w:sz w:val="21"/>
                <w:szCs w:val="21"/>
                <w:highlight w:val="none"/>
                <w:lang w:val="en-US" w:eastAsia="zh-CN"/>
              </w:rPr>
              <w:t>应急预案</w:t>
            </w:r>
            <w:r>
              <w:rPr>
                <w:rFonts w:hint="eastAsia" w:ascii="宋体" w:hAnsi="宋体" w:eastAsia="宋体" w:cs="宋体"/>
                <w:kern w:val="2"/>
                <w:sz w:val="21"/>
                <w:szCs w:val="21"/>
                <w:highlight w:val="none"/>
                <w:lang w:val="en-US" w:eastAsia="zh-CN" w:bidi="ar-SA"/>
              </w:rPr>
              <w:t>较全面、方案基本可行得 1-3 分；</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tabs>
                <w:tab w:val="left" w:pos="322"/>
              </w:tabs>
              <w:spacing w:line="360" w:lineRule="auto"/>
              <w:ind w:left="-42" w:right="-42" w:rightChars="-20"/>
              <w:jc w:val="right"/>
              <w:rPr>
                <w:rFonts w:ascii="宋体" w:hAnsi="宋体" w:cs="Times New Roman"/>
                <w:b/>
                <w:color w:val="000000" w:themeColor="text1"/>
                <w:sz w:val="24"/>
                <w:highlight w:val="none"/>
              </w:rPr>
            </w:pPr>
          </w:p>
        </w:tc>
        <w:tc>
          <w:tcPr>
            <w:tcW w:w="1059" w:type="dxa"/>
            <w:vAlign w:val="center"/>
          </w:tcPr>
          <w:p>
            <w:pPr>
              <w:pStyle w:val="18"/>
              <w:snapToGrid/>
              <w:spacing w:before="0" w:line="240" w:lineRule="auto"/>
              <w:jc w:val="center"/>
              <w:rPr>
                <w:rFonts w:cs="宋体" w:asciiTheme="minorEastAsia" w:hAnsiTheme="minorEastAsia"/>
                <w:color w:val="000000"/>
                <w:kern w:val="0"/>
                <w:szCs w:val="21"/>
                <w:highlight w:val="none"/>
              </w:rPr>
            </w:pPr>
            <w:r>
              <w:rPr>
                <w:rFonts w:hint="eastAsia" w:ascii="宋体" w:hAnsi="宋体" w:cs="仿宋"/>
                <w:color w:val="000000"/>
                <w:kern w:val="0"/>
                <w:sz w:val="21"/>
                <w:szCs w:val="21"/>
                <w:highlight w:val="none"/>
              </w:rPr>
              <w:t>优质服务及承诺</w:t>
            </w:r>
          </w:p>
        </w:tc>
        <w:tc>
          <w:tcPr>
            <w:tcW w:w="767" w:type="dxa"/>
            <w:vAlign w:val="center"/>
          </w:tcPr>
          <w:p>
            <w:pPr>
              <w:pStyle w:val="18"/>
              <w:snapToGrid/>
              <w:spacing w:before="0" w:line="240" w:lineRule="auto"/>
              <w:jc w:val="center"/>
              <w:rPr>
                <w:rFonts w:cs="宋体" w:asciiTheme="minorEastAsia" w:hAnsiTheme="minorEastAsia"/>
                <w:color w:val="000000"/>
                <w:kern w:val="0"/>
                <w:szCs w:val="21"/>
                <w:highlight w:val="none"/>
              </w:rPr>
            </w:pPr>
            <w:r>
              <w:rPr>
                <w:rFonts w:hint="eastAsia" w:ascii="宋体" w:hAnsi="宋体" w:cs="仿宋"/>
                <w:color w:val="000000"/>
                <w:kern w:val="0"/>
                <w:sz w:val="21"/>
                <w:szCs w:val="21"/>
                <w:highlight w:val="none"/>
                <w:lang w:val="en-US" w:eastAsia="zh-CN"/>
              </w:rPr>
              <w:t>3</w:t>
            </w:r>
          </w:p>
        </w:tc>
        <w:tc>
          <w:tcPr>
            <w:tcW w:w="6144" w:type="dxa"/>
            <w:vAlign w:val="center"/>
          </w:tcPr>
          <w:p>
            <w:pPr>
              <w:pStyle w:val="18"/>
              <w:snapToGrid/>
              <w:spacing w:before="0" w:line="240" w:lineRule="auto"/>
              <w:rPr>
                <w:rFonts w:ascii="宋体" w:hAnsi="宋体" w:cs="仿宋"/>
                <w:color w:val="000000"/>
                <w:kern w:val="0"/>
                <w:sz w:val="21"/>
                <w:szCs w:val="21"/>
                <w:highlight w:val="none"/>
              </w:rPr>
            </w:pPr>
            <w:r>
              <w:rPr>
                <w:rFonts w:hint="eastAsia" w:ascii="宋体" w:hAnsi="宋体" w:cs="仿宋"/>
                <w:color w:val="000000"/>
                <w:kern w:val="0"/>
                <w:sz w:val="21"/>
                <w:szCs w:val="21"/>
                <w:highlight w:val="none"/>
                <w:lang w:val="en-US" w:eastAsia="zh-CN"/>
              </w:rPr>
              <w:t>1.供应商</w:t>
            </w:r>
            <w:r>
              <w:rPr>
                <w:rFonts w:hint="eastAsia" w:ascii="宋体" w:hAnsi="宋体" w:cs="仿宋"/>
                <w:color w:val="000000"/>
                <w:kern w:val="0"/>
                <w:sz w:val="21"/>
                <w:szCs w:val="21"/>
                <w:highlight w:val="none"/>
              </w:rPr>
              <w:t>承诺到达现场后需在48小时内修复，如未能在规定时间内修复给医院造成损失的，则每延迟24小时，</w:t>
            </w:r>
            <w:r>
              <w:rPr>
                <w:rFonts w:hint="eastAsia" w:ascii="宋体" w:hAnsi="宋体" w:cs="仿宋"/>
                <w:color w:val="000000"/>
                <w:kern w:val="0"/>
                <w:sz w:val="21"/>
                <w:szCs w:val="21"/>
                <w:highlight w:val="none"/>
                <w:lang w:val="en-US" w:eastAsia="zh-CN"/>
              </w:rPr>
              <w:t>维保</w:t>
            </w:r>
            <w:r>
              <w:rPr>
                <w:rFonts w:hint="eastAsia" w:ascii="宋体" w:hAnsi="宋体" w:cs="仿宋"/>
                <w:color w:val="000000"/>
                <w:kern w:val="0"/>
                <w:sz w:val="21"/>
                <w:szCs w:val="21"/>
                <w:highlight w:val="none"/>
              </w:rPr>
              <w:t>顺延5天得</w:t>
            </w:r>
            <w:r>
              <w:rPr>
                <w:rFonts w:hint="eastAsia" w:ascii="宋体" w:hAnsi="宋体" w:cs="仿宋"/>
                <w:color w:val="000000"/>
                <w:kern w:val="0"/>
                <w:sz w:val="21"/>
                <w:szCs w:val="21"/>
                <w:highlight w:val="none"/>
                <w:lang w:val="en-US" w:eastAsia="zh-CN"/>
              </w:rPr>
              <w:t>1</w:t>
            </w:r>
            <w:r>
              <w:rPr>
                <w:rFonts w:hint="eastAsia" w:ascii="宋体" w:hAnsi="宋体" w:cs="仿宋"/>
                <w:color w:val="000000"/>
                <w:kern w:val="0"/>
                <w:sz w:val="21"/>
                <w:szCs w:val="21"/>
                <w:highlight w:val="none"/>
              </w:rPr>
              <w:t>分；</w:t>
            </w:r>
          </w:p>
          <w:p>
            <w:pPr>
              <w:pStyle w:val="18"/>
              <w:snapToGrid/>
              <w:spacing w:before="0" w:line="240" w:lineRule="auto"/>
              <w:rPr>
                <w:rFonts w:ascii="宋体" w:hAnsi="宋体" w:cs="仿宋"/>
                <w:color w:val="000000"/>
                <w:kern w:val="0"/>
                <w:sz w:val="21"/>
                <w:szCs w:val="21"/>
                <w:highlight w:val="none"/>
              </w:rPr>
            </w:pPr>
            <w:r>
              <w:rPr>
                <w:rFonts w:hint="eastAsia" w:ascii="宋体" w:hAnsi="宋体" w:cs="仿宋"/>
                <w:color w:val="000000"/>
                <w:kern w:val="0"/>
                <w:sz w:val="21"/>
                <w:szCs w:val="21"/>
                <w:highlight w:val="none"/>
                <w:lang w:val="en-US" w:eastAsia="zh-CN"/>
              </w:rPr>
              <w:t>2.供应商</w:t>
            </w:r>
            <w:r>
              <w:rPr>
                <w:rFonts w:hint="eastAsia" w:ascii="宋体" w:hAnsi="宋体" w:cs="仿宋"/>
                <w:color w:val="000000"/>
                <w:kern w:val="0"/>
                <w:sz w:val="21"/>
                <w:szCs w:val="21"/>
                <w:highlight w:val="none"/>
              </w:rPr>
              <w:t>承诺在合同期内每年提供4次以上全面定期维护，包括定期校准和保养，定期更换易损耗件，并提供书面保养报告及整机质量评估报告，每少一次标准扣除服务款项2万元</w:t>
            </w:r>
            <w:r>
              <w:rPr>
                <w:rFonts w:hint="eastAsia" w:ascii="宋体" w:hAnsi="宋体" w:cs="仿宋"/>
                <w:color w:val="000000"/>
                <w:kern w:val="0"/>
                <w:sz w:val="21"/>
                <w:szCs w:val="21"/>
                <w:highlight w:val="none"/>
                <w:lang w:eastAsia="zh-CN"/>
              </w:rPr>
              <w:t>；</w:t>
            </w:r>
            <w:r>
              <w:rPr>
                <w:rFonts w:hint="eastAsia" w:ascii="宋体" w:hAnsi="宋体" w:cs="仿宋"/>
                <w:color w:val="000000"/>
                <w:kern w:val="0"/>
                <w:sz w:val="21"/>
                <w:szCs w:val="21"/>
                <w:highlight w:val="none"/>
              </w:rPr>
              <w:t>有记录并需科室负责人签字的得</w:t>
            </w:r>
            <w:r>
              <w:rPr>
                <w:rFonts w:hint="eastAsia" w:ascii="宋体" w:hAnsi="宋体" w:cs="仿宋"/>
                <w:color w:val="000000"/>
                <w:kern w:val="0"/>
                <w:sz w:val="21"/>
                <w:szCs w:val="21"/>
                <w:highlight w:val="none"/>
                <w:lang w:val="en-US" w:eastAsia="zh-CN"/>
              </w:rPr>
              <w:t>1</w:t>
            </w:r>
            <w:r>
              <w:rPr>
                <w:rFonts w:hint="eastAsia" w:ascii="宋体" w:hAnsi="宋体" w:cs="仿宋"/>
                <w:color w:val="000000"/>
                <w:kern w:val="0"/>
                <w:sz w:val="21"/>
                <w:szCs w:val="21"/>
                <w:highlight w:val="none"/>
              </w:rPr>
              <w:t>分；</w:t>
            </w:r>
          </w:p>
          <w:p>
            <w:pPr>
              <w:pStyle w:val="18"/>
              <w:snapToGrid/>
              <w:spacing w:before="0" w:line="240" w:lineRule="auto"/>
              <w:rPr>
                <w:rFonts w:hint="eastAsia" w:eastAsia="宋体" w:cs="宋体" w:asciiTheme="minorEastAsia" w:hAnsiTheme="minorEastAsia"/>
                <w:color w:val="000000"/>
                <w:kern w:val="0"/>
                <w:szCs w:val="21"/>
                <w:highlight w:val="none"/>
                <w:lang w:val="en-US" w:eastAsia="zh-CN"/>
              </w:rPr>
            </w:pPr>
            <w:r>
              <w:rPr>
                <w:rFonts w:hint="eastAsia" w:ascii="宋体" w:hAnsi="宋体" w:cs="仿宋"/>
                <w:color w:val="000000"/>
                <w:kern w:val="0"/>
                <w:sz w:val="21"/>
                <w:szCs w:val="21"/>
                <w:highlight w:val="none"/>
                <w:lang w:val="en-US" w:eastAsia="zh-CN"/>
              </w:rPr>
              <w:t>3.供应商</w:t>
            </w:r>
            <w:r>
              <w:rPr>
                <w:rFonts w:hint="eastAsia" w:ascii="宋体" w:hAnsi="宋体" w:cs="仿宋"/>
                <w:color w:val="000000"/>
                <w:kern w:val="0"/>
                <w:sz w:val="21"/>
                <w:szCs w:val="21"/>
                <w:highlight w:val="none"/>
              </w:rPr>
              <w:t>承诺一年内因维保不及时等原因，2次投诉成立后每再增一次扣5%服务费的得</w:t>
            </w:r>
            <w:r>
              <w:rPr>
                <w:rFonts w:hint="eastAsia" w:ascii="宋体" w:hAnsi="宋体" w:cs="仿宋"/>
                <w:color w:val="000000"/>
                <w:kern w:val="0"/>
                <w:sz w:val="21"/>
                <w:szCs w:val="21"/>
                <w:highlight w:val="none"/>
                <w:lang w:val="en-US" w:eastAsia="zh-CN"/>
              </w:rPr>
              <w:t>1</w:t>
            </w:r>
            <w:r>
              <w:rPr>
                <w:rFonts w:hint="eastAsia" w:ascii="宋体" w:hAnsi="宋体" w:cs="仿宋"/>
                <w:color w:val="000000"/>
                <w:kern w:val="0"/>
                <w:sz w:val="21"/>
                <w:szCs w:val="21"/>
                <w:highlight w:val="none"/>
              </w:rPr>
              <w:t>分。</w:t>
            </w:r>
            <w:r>
              <w:rPr>
                <w:rFonts w:hint="eastAsia" w:ascii="宋体" w:hAnsi="宋体" w:cs="仿宋"/>
                <w:color w:val="000000"/>
                <w:kern w:val="0"/>
                <w:sz w:val="21"/>
                <w:szCs w:val="21"/>
                <w:highlight w:val="none"/>
                <w:lang w:val="en-US" w:eastAsia="zh-CN"/>
              </w:rPr>
              <w:t xml:space="preserve"> </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Merge w:val="continue"/>
            <w:vAlign w:val="center"/>
          </w:tcPr>
          <w:p>
            <w:pPr>
              <w:tabs>
                <w:tab w:val="left" w:pos="322"/>
              </w:tabs>
              <w:spacing w:line="360" w:lineRule="auto"/>
              <w:ind w:left="-42" w:right="-42" w:rightChars="-20"/>
              <w:jc w:val="right"/>
              <w:rPr>
                <w:rFonts w:ascii="宋体" w:hAnsi="宋体" w:cs="Times New Roman"/>
                <w:b/>
                <w:color w:val="000000" w:themeColor="text1"/>
                <w:sz w:val="24"/>
                <w:highlight w:val="none"/>
              </w:rPr>
            </w:pPr>
          </w:p>
        </w:tc>
        <w:tc>
          <w:tcPr>
            <w:tcW w:w="1059" w:type="dxa"/>
            <w:shd w:val="clear" w:color="auto" w:fill="auto"/>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技术响应</w:t>
            </w:r>
          </w:p>
        </w:tc>
        <w:tc>
          <w:tcPr>
            <w:tcW w:w="767" w:type="dxa"/>
            <w:shd w:val="clear" w:color="auto" w:fill="auto"/>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1</w:t>
            </w:r>
            <w:r>
              <w:rPr>
                <w:rFonts w:hint="eastAsia" w:asciiTheme="minorEastAsia" w:hAnsiTheme="minorEastAsia"/>
                <w:szCs w:val="21"/>
                <w:highlight w:val="none"/>
                <w:lang w:val="en-US" w:eastAsia="zh-CN"/>
              </w:rPr>
              <w:t>2</w:t>
            </w:r>
          </w:p>
        </w:tc>
        <w:tc>
          <w:tcPr>
            <w:tcW w:w="6144" w:type="dxa"/>
            <w:shd w:val="clear" w:color="auto" w:fill="auto"/>
            <w:vAlign w:val="center"/>
          </w:tcPr>
          <w:p>
            <w:pPr>
              <w:spacing w:line="276" w:lineRule="auto"/>
              <w:rPr>
                <w:rFonts w:asciiTheme="minorEastAsia" w:hAnsiTheme="minorEastAsia"/>
                <w:kern w:val="0"/>
                <w:szCs w:val="21"/>
                <w:highlight w:val="none"/>
              </w:rPr>
            </w:pPr>
            <w:r>
              <w:rPr>
                <w:rFonts w:hint="eastAsia" w:asciiTheme="minorEastAsia" w:hAnsiTheme="minorEastAsia"/>
                <w:kern w:val="0"/>
                <w:szCs w:val="21"/>
                <w:highlight w:val="none"/>
              </w:rPr>
              <w:t>1.</w:t>
            </w:r>
            <w:r>
              <w:rPr>
                <w:rFonts w:asciiTheme="minorEastAsia" w:hAnsiTheme="minorEastAsia"/>
                <w:kern w:val="0"/>
                <w:szCs w:val="21"/>
                <w:highlight w:val="none"/>
              </w:rPr>
              <w:t>完全满足用户的要求，并有优于用户</w:t>
            </w:r>
            <w:r>
              <w:rPr>
                <w:rFonts w:hint="eastAsia" w:asciiTheme="minorEastAsia" w:hAnsiTheme="minorEastAsia"/>
                <w:kern w:val="0"/>
                <w:szCs w:val="21"/>
                <w:highlight w:val="none"/>
              </w:rPr>
              <w:t>的</w:t>
            </w:r>
            <w:r>
              <w:rPr>
                <w:rFonts w:asciiTheme="minorEastAsia" w:hAnsiTheme="minorEastAsia"/>
                <w:kern w:val="0"/>
                <w:szCs w:val="21"/>
                <w:highlight w:val="none"/>
              </w:rPr>
              <w:t>技术参数，且能详细描述</w:t>
            </w:r>
            <w:r>
              <w:rPr>
                <w:rFonts w:hint="eastAsia" w:asciiTheme="minorEastAsia" w:hAnsiTheme="minorEastAsia"/>
                <w:kern w:val="0"/>
                <w:szCs w:val="21"/>
                <w:highlight w:val="none"/>
              </w:rPr>
              <w:t>，</w:t>
            </w:r>
            <w:r>
              <w:rPr>
                <w:rFonts w:asciiTheme="minorEastAsia" w:hAnsiTheme="minorEastAsia"/>
                <w:kern w:val="0"/>
                <w:szCs w:val="21"/>
                <w:highlight w:val="none"/>
              </w:rPr>
              <w:t>综合评价最优</w:t>
            </w:r>
            <w:r>
              <w:rPr>
                <w:rFonts w:hint="eastAsia" w:asciiTheme="minorEastAsia" w:hAnsiTheme="minorEastAsia"/>
                <w:kern w:val="0"/>
                <w:szCs w:val="21"/>
                <w:highlight w:val="none"/>
              </w:rPr>
              <w:t>的得1</w:t>
            </w:r>
            <w:r>
              <w:rPr>
                <w:rFonts w:hint="eastAsia" w:asciiTheme="minorEastAsia" w:hAnsiTheme="minorEastAsia"/>
                <w:kern w:val="0"/>
                <w:szCs w:val="21"/>
                <w:highlight w:val="none"/>
                <w:lang w:val="en-US" w:eastAsia="zh-CN"/>
              </w:rPr>
              <w:t>2</w:t>
            </w:r>
            <w:r>
              <w:rPr>
                <w:rFonts w:hint="eastAsia" w:asciiTheme="minorEastAsia" w:hAnsiTheme="minorEastAsia"/>
                <w:kern w:val="0"/>
                <w:szCs w:val="21"/>
                <w:highlight w:val="none"/>
              </w:rPr>
              <w:t>分。</w:t>
            </w:r>
          </w:p>
          <w:p>
            <w:pPr>
              <w:spacing w:line="276" w:lineRule="auto"/>
              <w:rPr>
                <w:rFonts w:asciiTheme="minorEastAsia" w:hAnsiTheme="minorEastAsia"/>
                <w:b/>
                <w:szCs w:val="21"/>
                <w:highlight w:val="none"/>
              </w:rPr>
            </w:pPr>
            <w:r>
              <w:rPr>
                <w:rFonts w:hint="eastAsia" w:asciiTheme="minorEastAsia" w:hAnsiTheme="minorEastAsia"/>
                <w:kern w:val="0"/>
                <w:szCs w:val="21"/>
                <w:highlight w:val="none"/>
              </w:rPr>
              <w:t>2.对于磋商</w:t>
            </w:r>
            <w:r>
              <w:rPr>
                <w:rFonts w:asciiTheme="minorEastAsia" w:hAnsiTheme="minorEastAsia"/>
                <w:kern w:val="0"/>
                <w:szCs w:val="21"/>
                <w:highlight w:val="none"/>
              </w:rPr>
              <w:t>文件的</w:t>
            </w:r>
            <w:r>
              <w:rPr>
                <w:rFonts w:hint="eastAsia" w:asciiTheme="minorEastAsia" w:hAnsiTheme="minorEastAsia"/>
                <w:kern w:val="0"/>
                <w:szCs w:val="21"/>
                <w:highlight w:val="none"/>
              </w:rPr>
              <w:t>技术要求</w:t>
            </w:r>
            <w:r>
              <w:rPr>
                <w:rFonts w:asciiTheme="minorEastAsia" w:hAnsiTheme="minorEastAsia"/>
                <w:kern w:val="0"/>
                <w:szCs w:val="21"/>
                <w:highlight w:val="none"/>
              </w:rPr>
              <w:t>，全部满足的</w:t>
            </w:r>
            <w:r>
              <w:rPr>
                <w:rFonts w:hint="eastAsia" w:asciiTheme="minorEastAsia" w:hAnsiTheme="minorEastAsia"/>
                <w:kern w:val="0"/>
                <w:szCs w:val="21"/>
                <w:highlight w:val="none"/>
              </w:rPr>
              <w:t>得</w:t>
            </w:r>
            <w:r>
              <w:rPr>
                <w:rFonts w:asciiTheme="minorEastAsia" w:hAnsiTheme="minorEastAsia"/>
                <w:kern w:val="0"/>
                <w:szCs w:val="21"/>
                <w:highlight w:val="none"/>
              </w:rPr>
              <w:t>基本分</w:t>
            </w:r>
            <w:r>
              <w:rPr>
                <w:rFonts w:hint="eastAsia" w:asciiTheme="minorEastAsia" w:hAnsiTheme="minorEastAsia"/>
                <w:kern w:val="0"/>
                <w:szCs w:val="21"/>
                <w:highlight w:val="none"/>
              </w:rPr>
              <w:t>1</w:t>
            </w:r>
            <w:r>
              <w:rPr>
                <w:rFonts w:hint="eastAsia" w:asciiTheme="minorEastAsia" w:hAnsiTheme="minorEastAsia"/>
                <w:kern w:val="0"/>
                <w:szCs w:val="21"/>
                <w:highlight w:val="none"/>
                <w:lang w:val="en-US" w:eastAsia="zh-CN"/>
              </w:rPr>
              <w:t>2</w:t>
            </w:r>
            <w:r>
              <w:rPr>
                <w:rFonts w:hint="eastAsia" w:asciiTheme="minorEastAsia" w:hAnsiTheme="minorEastAsia"/>
                <w:kern w:val="0"/>
                <w:szCs w:val="21"/>
                <w:highlight w:val="none"/>
              </w:rPr>
              <w:t>分。一般条款</w:t>
            </w:r>
            <w:r>
              <w:rPr>
                <w:rFonts w:asciiTheme="minorEastAsia" w:hAnsiTheme="minorEastAsia"/>
                <w:kern w:val="0"/>
                <w:szCs w:val="21"/>
                <w:highlight w:val="none"/>
              </w:rPr>
              <w:t>不满足的每条扣</w:t>
            </w:r>
            <w:r>
              <w:rPr>
                <w:rFonts w:hint="eastAsia" w:asciiTheme="minorEastAsia" w:hAnsiTheme="minorEastAsia"/>
                <w:kern w:val="0"/>
                <w:szCs w:val="21"/>
                <w:highlight w:val="none"/>
              </w:rPr>
              <w:t>2分</w:t>
            </w:r>
            <w:r>
              <w:rPr>
                <w:rFonts w:asciiTheme="minorEastAsia" w:hAnsiTheme="minorEastAsia"/>
                <w:kern w:val="0"/>
                <w:szCs w:val="21"/>
                <w:highlight w:val="none"/>
              </w:rPr>
              <w:t>，</w:t>
            </w:r>
            <w:r>
              <w:rPr>
                <w:rFonts w:hint="eastAsia" w:asciiTheme="minorEastAsia" w:hAnsiTheme="minorEastAsia"/>
                <w:kern w:val="0"/>
                <w:szCs w:val="21"/>
                <w:highlight w:val="none"/>
              </w:rPr>
              <w:t>扣完为止。</w:t>
            </w:r>
          </w:p>
        </w:tc>
        <w:tc>
          <w:tcPr>
            <w:tcW w:w="885" w:type="dxa"/>
            <w:vAlign w:val="center"/>
          </w:tcPr>
          <w:p>
            <w:pPr>
              <w:spacing w:line="276" w:lineRule="auto"/>
              <w:ind w:left="-65" w:leftChars="-31" w:right="-36" w:rightChars="-17"/>
              <w:jc w:val="right"/>
              <w:rPr>
                <w:rFonts w:cs="Times New Roman" w:asciiTheme="minorEastAsia" w:hAnsiTheme="minorEastAsia"/>
                <w:b/>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3" w:type="dxa"/>
            <w:gridSpan w:val="3"/>
            <w:vAlign w:val="center"/>
          </w:tcPr>
          <w:p>
            <w:pPr>
              <w:spacing w:line="276" w:lineRule="auto"/>
              <w:ind w:left="-48" w:leftChars="-23" w:right="-36" w:rightChars="-17"/>
              <w:jc w:val="center"/>
              <w:rPr>
                <w:rFonts w:cs="Times New Roman" w:asciiTheme="minorEastAsia" w:hAnsiTheme="minorEastAsia"/>
                <w:b/>
                <w:color w:val="000000" w:themeColor="text1"/>
                <w:szCs w:val="21"/>
                <w:highlight w:val="none"/>
              </w:rPr>
            </w:pPr>
            <w:r>
              <w:rPr>
                <w:rFonts w:hint="eastAsia" w:cs="Times New Roman" w:asciiTheme="minorEastAsia" w:hAnsiTheme="minorEastAsia"/>
                <w:b/>
                <w:color w:val="FF0000"/>
                <w:szCs w:val="21"/>
                <w:highlight w:val="none"/>
              </w:rPr>
              <w:t>技术分合计</w:t>
            </w:r>
          </w:p>
        </w:tc>
        <w:tc>
          <w:tcPr>
            <w:tcW w:w="7029" w:type="dxa"/>
            <w:gridSpan w:val="2"/>
            <w:vAlign w:val="center"/>
          </w:tcPr>
          <w:p>
            <w:pPr>
              <w:tabs>
                <w:tab w:val="left" w:pos="2295"/>
              </w:tabs>
              <w:spacing w:line="276" w:lineRule="auto"/>
              <w:ind w:left="-65" w:leftChars="-31" w:right="-36" w:rightChars="-17"/>
              <w:jc w:val="left"/>
              <w:rPr>
                <w:rFonts w:cs="Times New Roman" w:asciiTheme="minorEastAsia" w:hAnsiTheme="minorEastAsia"/>
                <w:b/>
                <w:color w:val="000000" w:themeColor="text1"/>
                <w:szCs w:val="21"/>
                <w:highlight w:val="none"/>
              </w:rPr>
            </w:pPr>
            <w:r>
              <w:rPr>
                <w:rFonts w:hint="eastAsia" w:cs="Times New Roman" w:asciiTheme="minorEastAsia" w:hAnsiTheme="minorEastAsia"/>
                <w:b/>
                <w:color w:val="000000" w:themeColor="text1"/>
                <w:szCs w:val="21"/>
                <w:highlight w:val="none"/>
              </w:rPr>
              <w:tab/>
            </w:r>
            <w:r>
              <w:rPr>
                <w:rFonts w:hint="eastAsia" w:cs="Times New Roman" w:asciiTheme="minorEastAsia" w:hAnsiTheme="minorEastAsia"/>
                <w:b/>
                <w:color w:val="000000" w:themeColor="text1"/>
                <w:szCs w:val="21"/>
                <w:highlight w:val="none"/>
                <w:lang w:val="en-US" w:eastAsia="zh-CN"/>
              </w:rPr>
              <w:t>50</w:t>
            </w:r>
            <w:r>
              <w:rPr>
                <w:rFonts w:hint="eastAsia" w:cs="Times New Roman" w:asciiTheme="minorEastAsia" w:hAnsiTheme="minorEastAsia"/>
                <w:b/>
                <w:color w:val="000000" w:themeColor="text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6" w:type="dxa"/>
            <w:gridSpan w:val="2"/>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价格评议</w:t>
            </w:r>
          </w:p>
        </w:tc>
        <w:tc>
          <w:tcPr>
            <w:tcW w:w="767"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lang w:val="en-US" w:eastAsia="zh-CN"/>
              </w:rPr>
              <w:t>10</w:t>
            </w:r>
          </w:p>
        </w:tc>
        <w:tc>
          <w:tcPr>
            <w:tcW w:w="7029" w:type="dxa"/>
            <w:gridSpan w:val="2"/>
          </w:tcPr>
          <w:p>
            <w:pPr>
              <w:spacing w:line="276" w:lineRule="auto"/>
              <w:rPr>
                <w:rFonts w:asciiTheme="minorEastAsia" w:hAnsiTheme="minorEastAsia"/>
                <w:szCs w:val="21"/>
                <w:highlight w:val="none"/>
              </w:rPr>
            </w:pPr>
            <w:r>
              <w:rPr>
                <w:rFonts w:hint="eastAsia" w:asciiTheme="minorEastAsia" w:hAnsiTheme="minorEastAsia"/>
                <w:szCs w:val="21"/>
                <w:highlight w:val="none"/>
              </w:rPr>
              <w:t>满足磋商文件要求且投标价格最低的投标报价为评标基准价，价格分按照下列公式计算：投标报价得分=（评标基准价/投标报价）×价格权值。计算时按四舍五入后保留小数点后两位小数。为保证</w:t>
            </w:r>
            <w:r>
              <w:rPr>
                <w:rFonts w:hint="eastAsia" w:asciiTheme="minorEastAsia" w:hAnsiTheme="minorEastAsia"/>
                <w:szCs w:val="21"/>
                <w:highlight w:val="none"/>
                <w:lang w:val="en-US" w:eastAsia="zh-CN"/>
              </w:rPr>
              <w:t>服务</w:t>
            </w:r>
            <w:r>
              <w:rPr>
                <w:rFonts w:hint="eastAsia" w:asciiTheme="minorEastAsia" w:hAnsiTheme="minorEastAsia"/>
                <w:szCs w:val="21"/>
                <w:highlight w:val="none"/>
              </w:rPr>
              <w:t>质量</w:t>
            </w:r>
            <w:r>
              <w:rPr>
                <w:rFonts w:hint="eastAsia" w:asciiTheme="minorEastAsia" w:hAnsiTheme="minorEastAsia"/>
                <w:szCs w:val="21"/>
                <w:highlight w:val="none"/>
                <w:lang w:eastAsia="zh-CN"/>
              </w:rPr>
              <w:t>，</w:t>
            </w:r>
            <w:r>
              <w:rPr>
                <w:rFonts w:hint="eastAsia" w:asciiTheme="minorEastAsia" w:hAnsiTheme="minorEastAsia"/>
                <w:szCs w:val="21"/>
                <w:highlight w:val="none"/>
              </w:rPr>
              <w:t>评标委员会将对其进行成本分析，评标委员会认为报价低于成本价时将否决其投标。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3" w:type="dxa"/>
            <w:gridSpan w:val="3"/>
            <w:vAlign w:val="center"/>
          </w:tcPr>
          <w:p>
            <w:pPr>
              <w:spacing w:line="360" w:lineRule="auto"/>
              <w:ind w:left="-48" w:leftChars="-23" w:right="-36" w:rightChars="-17"/>
              <w:jc w:val="center"/>
              <w:rPr>
                <w:rFonts w:ascii="宋体" w:hAnsi="宋体" w:cs="Times New Roman"/>
                <w:b/>
                <w:color w:val="000000" w:themeColor="text1"/>
                <w:sz w:val="24"/>
                <w:highlight w:val="none"/>
              </w:rPr>
            </w:pPr>
            <w:r>
              <w:rPr>
                <w:rFonts w:hint="eastAsia" w:ascii="宋体" w:hAnsi="宋体" w:cs="Times New Roman"/>
                <w:b/>
                <w:color w:val="FF0000"/>
                <w:kern w:val="0"/>
                <w:sz w:val="24"/>
                <w:szCs w:val="24"/>
                <w:highlight w:val="none"/>
              </w:rPr>
              <w:t>报价分合计</w:t>
            </w:r>
          </w:p>
        </w:tc>
        <w:tc>
          <w:tcPr>
            <w:tcW w:w="7029" w:type="dxa"/>
            <w:gridSpan w:val="2"/>
            <w:vAlign w:val="center"/>
          </w:tcPr>
          <w:p>
            <w:pPr>
              <w:spacing w:line="360" w:lineRule="auto"/>
              <w:ind w:left="-65" w:leftChars="-31" w:right="-36" w:rightChars="-17"/>
              <w:jc w:val="center"/>
              <w:rPr>
                <w:rFonts w:ascii="宋体" w:hAnsi="宋体" w:cs="Times New Roman"/>
                <w:b/>
                <w:color w:val="000000" w:themeColor="text1"/>
                <w:szCs w:val="21"/>
                <w:highlight w:val="none"/>
              </w:rPr>
            </w:pPr>
            <w:r>
              <w:rPr>
                <w:rFonts w:hint="eastAsia" w:ascii="宋体" w:hAnsi="宋体" w:cs="Times New Roman"/>
                <w:b/>
                <w:color w:val="000000" w:themeColor="text1"/>
                <w:szCs w:val="21"/>
                <w:highlight w:val="none"/>
                <w:lang w:val="en-US" w:eastAsia="zh-CN"/>
              </w:rPr>
              <w:t>10</w:t>
            </w:r>
            <w:r>
              <w:rPr>
                <w:rFonts w:hint="eastAsia" w:ascii="宋体" w:hAnsi="宋体" w:cs="Times New Roman"/>
                <w:b/>
                <w:color w:val="000000" w:themeColor="text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3" w:type="dxa"/>
            <w:gridSpan w:val="3"/>
            <w:vAlign w:val="center"/>
          </w:tcPr>
          <w:p>
            <w:pPr>
              <w:spacing w:line="360" w:lineRule="auto"/>
              <w:ind w:left="-48" w:leftChars="-23" w:right="-36" w:rightChars="-17"/>
              <w:jc w:val="center"/>
              <w:rPr>
                <w:rFonts w:ascii="宋体" w:hAnsi="宋体" w:cs="Times New Roman"/>
                <w:b/>
                <w:color w:val="FF0000"/>
                <w:sz w:val="24"/>
                <w:highlight w:val="none"/>
              </w:rPr>
            </w:pPr>
            <w:r>
              <w:rPr>
                <w:rFonts w:hint="eastAsia" w:ascii="宋体" w:hAnsi="宋体" w:cs="Times New Roman"/>
                <w:b/>
                <w:color w:val="FF0000"/>
                <w:kern w:val="0"/>
                <w:sz w:val="24"/>
                <w:szCs w:val="24"/>
                <w:highlight w:val="none"/>
              </w:rPr>
              <w:t>得分总计</w:t>
            </w:r>
          </w:p>
        </w:tc>
        <w:tc>
          <w:tcPr>
            <w:tcW w:w="7029" w:type="dxa"/>
            <w:gridSpan w:val="2"/>
            <w:vAlign w:val="center"/>
          </w:tcPr>
          <w:p>
            <w:pPr>
              <w:tabs>
                <w:tab w:val="left" w:pos="6225"/>
              </w:tabs>
              <w:spacing w:line="360" w:lineRule="auto"/>
              <w:ind w:left="-65" w:leftChars="-31" w:right="-36" w:rightChars="-17"/>
              <w:jc w:val="center"/>
              <w:rPr>
                <w:rFonts w:ascii="宋体" w:hAnsi="宋体" w:cs="Times New Roman"/>
                <w:b/>
                <w:color w:val="000000" w:themeColor="text1"/>
                <w:szCs w:val="21"/>
                <w:highlight w:val="none"/>
              </w:rPr>
            </w:pPr>
            <w:r>
              <w:rPr>
                <w:rFonts w:hint="eastAsia" w:ascii="宋体" w:hAnsi="宋体" w:cs="Times New Roman"/>
                <w:b/>
                <w:color w:val="000000" w:themeColor="text1"/>
                <w:szCs w:val="21"/>
                <w:highlight w:val="none"/>
              </w:rPr>
              <w:t>100分</w:t>
            </w:r>
          </w:p>
        </w:tc>
      </w:tr>
    </w:tbl>
    <w:p>
      <w:pPr>
        <w:pStyle w:val="4"/>
        <w:rPr>
          <w:rFonts w:hint="eastAsia" w:hAnsi="宋体" w:cs="宋体"/>
          <w:sz w:val="24"/>
          <w:szCs w:val="24"/>
          <w:highlight w:val="none"/>
        </w:rPr>
      </w:pPr>
      <w:r>
        <w:rPr>
          <w:rFonts w:hint="eastAsia" w:hAnsi="宋体" w:cs="宋体"/>
          <w:sz w:val="24"/>
          <w:szCs w:val="24"/>
          <w:highlight w:val="none"/>
        </w:rPr>
        <w:t>备注：</w:t>
      </w:r>
      <w:r>
        <w:rPr>
          <w:rFonts w:hint="eastAsia" w:hAnsi="宋体" w:cs="宋体"/>
          <w:sz w:val="24"/>
          <w:szCs w:val="24"/>
          <w:highlight w:val="none"/>
          <w:lang w:val="en-US" w:eastAsia="zh-CN"/>
        </w:rPr>
        <w:t>1.</w:t>
      </w:r>
      <w:r>
        <w:rPr>
          <w:rFonts w:hint="eastAsia" w:hAnsi="宋体" w:cs="宋体"/>
          <w:sz w:val="24"/>
          <w:szCs w:val="24"/>
          <w:highlight w:val="none"/>
        </w:rPr>
        <w:t>以上所有须提供的证件、证书、有关资料等供应商都须提供原始资料的真彩扫描打印件供专家评委评审，否则不得分。供应商投标时须认真对待、如实应标。凡提供虚假材料谋取中标的，一经查实，根据《政府采购法》第七十七条之规定，将对供应商处以罚款、列入不良行为记录名单、依法追究刑事责任等。</w:t>
      </w:r>
    </w:p>
    <w:p>
      <w:pPr>
        <w:spacing w:line="360" w:lineRule="auto"/>
        <w:rPr>
          <w:sz w:val="24"/>
          <w:szCs w:val="24"/>
        </w:rPr>
      </w:pPr>
      <w:r>
        <w:rPr>
          <w:rFonts w:hint="eastAsia"/>
          <w:sz w:val="24"/>
          <w:szCs w:val="24"/>
        </w:rPr>
        <w:br w:type="page"/>
      </w:r>
    </w:p>
    <w:p>
      <w:pPr>
        <w:jc w:val="center"/>
        <w:rPr>
          <w:sz w:val="32"/>
          <w:szCs w:val="32"/>
        </w:rPr>
      </w:pPr>
      <w:r>
        <w:rPr>
          <w:rFonts w:hint="eastAsia"/>
          <w:sz w:val="32"/>
          <w:szCs w:val="32"/>
        </w:rPr>
        <w:t>供应商报名表</w:t>
      </w:r>
    </w:p>
    <w:p>
      <w:pPr>
        <w:rPr>
          <w:sz w:val="24"/>
          <w:szCs w:val="24"/>
        </w:rPr>
      </w:pPr>
      <w:r>
        <w:rPr>
          <w:rFonts w:hint="eastAsia"/>
          <w:sz w:val="24"/>
          <w:szCs w:val="24"/>
        </w:rPr>
        <w:t>项目编号：</w:t>
      </w:r>
      <w:r>
        <w:rPr>
          <w:sz w:val="24"/>
          <w:szCs w:val="24"/>
          <w:u w:val="single"/>
        </w:rPr>
        <w:t xml:space="preserve">                </w:t>
      </w:r>
    </w:p>
    <w:p>
      <w:pPr>
        <w:rPr>
          <w:sz w:val="24"/>
          <w:szCs w:val="24"/>
        </w:rPr>
      </w:pPr>
      <w:r>
        <w:rPr>
          <w:rFonts w:hint="eastAsia"/>
          <w:sz w:val="24"/>
          <w:szCs w:val="24"/>
        </w:rPr>
        <w:t>项目名称：</w:t>
      </w:r>
      <w:r>
        <w:rPr>
          <w:sz w:val="24"/>
          <w:szCs w:val="24"/>
        </w:rPr>
        <w:t xml:space="preserve">  </w:t>
      </w:r>
      <w:r>
        <w:rPr>
          <w:sz w:val="24"/>
          <w:szCs w:val="24"/>
          <w:u w:val="single"/>
        </w:rPr>
        <w:t xml:space="preserve">                </w:t>
      </w:r>
      <w:r>
        <w:rPr>
          <w:sz w:val="24"/>
          <w:szCs w:val="24"/>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Align w:val="center"/>
          </w:tcPr>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供应商名称（盖章）</w:t>
            </w:r>
          </w:p>
        </w:tc>
        <w:tc>
          <w:tcPr>
            <w:tcW w:w="6288" w:type="dxa"/>
            <w:vAlign w:val="center"/>
          </w:tcPr>
          <w:p>
            <w:pPr>
              <w:widowControl/>
              <w:spacing w:before="100" w:beforeAutospacing="1" w:after="100" w:afterAutospacing="1"/>
              <w:jc w:val="left"/>
              <w:rPr>
                <w:rFonts w:ascii="宋体" w:cs="宋体"/>
                <w:kern w:val="0"/>
                <w:sz w:val="24"/>
                <w:szCs w:val="24"/>
              </w:rPr>
            </w:pPr>
            <w:r>
              <w:rPr>
                <w:rFonts w:asci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Align w:val="center"/>
          </w:tcPr>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联系人姓名</w:t>
            </w:r>
          </w:p>
        </w:tc>
        <w:tc>
          <w:tcPr>
            <w:tcW w:w="6288" w:type="dxa"/>
            <w:vAlign w:val="center"/>
          </w:tcPr>
          <w:p>
            <w:pPr>
              <w:widowControl/>
              <w:spacing w:before="100" w:beforeAutospacing="1" w:after="100" w:afterAutospacing="1"/>
              <w:jc w:val="left"/>
              <w:rPr>
                <w:rFonts w:ascii="宋体" w:cs="宋体"/>
                <w:kern w:val="0"/>
                <w:sz w:val="24"/>
                <w:szCs w:val="24"/>
              </w:rPr>
            </w:pPr>
            <w:r>
              <w:rPr>
                <w:rFonts w:asci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Align w:val="center"/>
          </w:tcPr>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联系人电话（办公电话和手机）</w:t>
            </w:r>
          </w:p>
        </w:tc>
        <w:tc>
          <w:tcPr>
            <w:tcW w:w="6288" w:type="dxa"/>
            <w:vAlign w:val="center"/>
          </w:tcPr>
          <w:p>
            <w:pPr>
              <w:widowControl/>
              <w:spacing w:before="100" w:beforeAutospacing="1" w:after="100" w:afterAutospacing="1"/>
              <w:jc w:val="left"/>
              <w:rPr>
                <w:rFonts w:ascii="宋体" w:cs="宋体"/>
                <w:kern w:val="0"/>
                <w:sz w:val="24"/>
                <w:szCs w:val="24"/>
              </w:rPr>
            </w:pPr>
            <w:r>
              <w:rPr>
                <w:rFonts w:asci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Align w:val="center"/>
          </w:tcPr>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联系人邮箱</w:t>
            </w:r>
          </w:p>
        </w:tc>
        <w:tc>
          <w:tcPr>
            <w:tcW w:w="6288" w:type="dxa"/>
            <w:vAlign w:val="center"/>
          </w:tcPr>
          <w:p>
            <w:pPr>
              <w:widowControl/>
              <w:spacing w:before="100" w:beforeAutospacing="1" w:after="100" w:afterAutospacing="1"/>
              <w:jc w:val="left"/>
              <w:rPr>
                <w:rFonts w:ascii="宋体" w:cs="宋体"/>
                <w:kern w:val="0"/>
                <w:sz w:val="24"/>
                <w:szCs w:val="24"/>
              </w:rPr>
            </w:pPr>
            <w:r>
              <w:rPr>
                <w:rFonts w:asci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restart"/>
            <w:vAlign w:val="center"/>
          </w:tcPr>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供应商提供的</w:t>
            </w:r>
          </w:p>
          <w:p>
            <w:pPr>
              <w:widowControl/>
              <w:spacing w:before="100" w:beforeAutospacing="1" w:after="100" w:afterAutospacing="1"/>
              <w:jc w:val="left"/>
              <w:rPr>
                <w:rFonts w:ascii="宋体" w:cs="宋体"/>
                <w:kern w:val="0"/>
                <w:sz w:val="24"/>
                <w:szCs w:val="24"/>
              </w:rPr>
            </w:pPr>
            <w:r>
              <w:rPr>
                <w:rFonts w:hint="eastAsia" w:ascii="宋体" w:hAnsi="宋体" w:cs="宋体"/>
                <w:kern w:val="0"/>
                <w:sz w:val="24"/>
                <w:szCs w:val="24"/>
              </w:rPr>
              <w:t>报名资料</w:t>
            </w:r>
          </w:p>
        </w:tc>
        <w:tc>
          <w:tcPr>
            <w:tcW w:w="6288" w:type="dxa"/>
          </w:tcPr>
          <w:p>
            <w:pPr>
              <w:rPr>
                <w:sz w:val="24"/>
                <w:szCs w:val="24"/>
              </w:rPr>
            </w:pPr>
            <w:r>
              <w:rPr>
                <w:sz w:val="24"/>
                <w:szCs w:val="24"/>
              </w:rPr>
              <w:t>1.</w:t>
            </w:r>
            <w:r>
              <w:rPr>
                <w:rFonts w:hint="eastAsia"/>
                <w:sz w:val="24"/>
                <w:szCs w:val="24"/>
              </w:rPr>
              <w:t>法人或者其他组织的营业执照等证明文件，如供应商是自然人的提供身份证明材料。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sz w:val="24"/>
                <w:szCs w:val="24"/>
              </w:rPr>
              <w:t>2.</w:t>
            </w:r>
            <w:r>
              <w:rPr>
                <w:rFonts w:hint="eastAsia"/>
                <w:sz w:val="24"/>
                <w:szCs w:val="24"/>
              </w:rPr>
              <w:t>财务状况报告，依法缴纳税收和社会保障资金的相关材料。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sz w:val="24"/>
                <w:szCs w:val="24"/>
              </w:rPr>
              <w:t>3.</w:t>
            </w:r>
            <w:r>
              <w:rPr>
                <w:rFonts w:hint="eastAsia"/>
                <w:sz w:val="24"/>
                <w:szCs w:val="24"/>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sz w:val="24"/>
                <w:szCs w:val="24"/>
              </w:rPr>
              <w:t>4.</w:t>
            </w:r>
            <w:r>
              <w:rPr>
                <w:rFonts w:hint="eastAsia"/>
                <w:sz w:val="24"/>
                <w:szCs w:val="24"/>
              </w:rPr>
              <w:t>参加政府采购活动前</w:t>
            </w:r>
            <w:r>
              <w:rPr>
                <w:sz w:val="24"/>
                <w:szCs w:val="24"/>
              </w:rPr>
              <w:t>3</w:t>
            </w:r>
            <w:r>
              <w:rPr>
                <w:rFonts w:hint="eastAsia"/>
                <w:sz w:val="24"/>
                <w:szCs w:val="24"/>
              </w:rPr>
              <w:t>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sz w:val="24"/>
                <w:szCs w:val="24"/>
              </w:rPr>
              <w:t>5.</w:t>
            </w:r>
            <w:r>
              <w:rPr>
                <w:rFonts w:hint="eastAsia"/>
                <w:sz w:val="24"/>
                <w:szCs w:val="24"/>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sz w:val="24"/>
                <w:szCs w:val="24"/>
              </w:rPr>
              <w:t>6.</w:t>
            </w:r>
            <w:r>
              <w:rPr>
                <w:rFonts w:hint="eastAsia"/>
                <w:sz w:val="24"/>
                <w:szCs w:val="24"/>
              </w:rPr>
              <w:t>未被列入</w:t>
            </w:r>
            <w:r>
              <w:rPr>
                <w:sz w:val="24"/>
                <w:szCs w:val="24"/>
              </w:rPr>
              <w:t xml:space="preserve"> </w:t>
            </w:r>
            <w:r>
              <w:rPr>
                <w:rFonts w:hint="eastAsia"/>
                <w:sz w:val="24"/>
                <w:szCs w:val="24"/>
              </w:rPr>
              <w:t>“信用中国”网站（</w:t>
            </w:r>
            <w:r>
              <w:rPr>
                <w:sz w:val="24"/>
                <w:szCs w:val="24"/>
              </w:rPr>
              <w:t>www.creditchina.gov.cn</w:t>
            </w:r>
            <w:r>
              <w:rPr>
                <w:rFonts w:hint="eastAsia"/>
                <w:sz w:val="24"/>
                <w:szCs w:val="24"/>
              </w:rPr>
              <w:t>）失信被执行人、重大税收违法案件当事人名单</w:t>
            </w:r>
            <w:r>
              <w:rPr>
                <w:rFonts w:hint="eastAsia" w:ascii="宋体" w:hAnsi="宋体"/>
                <w:color w:val="000000" w:themeColor="text1"/>
                <w:sz w:val="24"/>
              </w:rPr>
              <w:t>和“中国政府采购”网站（</w:t>
            </w:r>
            <w:r>
              <w:rPr>
                <w:rFonts w:ascii="宋体" w:hAnsi="宋体"/>
                <w:color w:val="000000" w:themeColor="text1"/>
                <w:sz w:val="24"/>
              </w:rPr>
              <w:t>www.ccgp.gov.cn</w:t>
            </w:r>
            <w:r>
              <w:rPr>
                <w:rFonts w:hint="eastAsia" w:ascii="宋体" w:hAnsi="宋体"/>
                <w:color w:val="000000" w:themeColor="text1"/>
                <w:sz w:val="24"/>
              </w:rPr>
              <w:t>）政府采购严重违法失信行为记录名单</w:t>
            </w:r>
            <w:r>
              <w:rPr>
                <w:rFonts w:hint="eastAsia"/>
                <w:sz w:val="24"/>
                <w:szCs w:val="24"/>
              </w:rPr>
              <w:t>的网页打印件。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Merge w:val="continue"/>
            <w:vAlign w:val="center"/>
          </w:tcPr>
          <w:p>
            <w:pPr>
              <w:widowControl/>
              <w:jc w:val="left"/>
              <w:rPr>
                <w:rFonts w:ascii="宋体" w:cs="宋体"/>
                <w:kern w:val="0"/>
                <w:sz w:val="24"/>
                <w:szCs w:val="24"/>
              </w:rPr>
            </w:pPr>
          </w:p>
        </w:tc>
        <w:tc>
          <w:tcPr>
            <w:tcW w:w="6288" w:type="dxa"/>
          </w:tcPr>
          <w:p>
            <w:pPr>
              <w:rPr>
                <w:sz w:val="24"/>
                <w:szCs w:val="24"/>
              </w:rPr>
            </w:pPr>
            <w:r>
              <w:rPr>
                <w:rFonts w:hint="eastAsia"/>
                <w:sz w:val="24"/>
                <w:szCs w:val="24"/>
              </w:rPr>
              <w:t>7</w:t>
            </w:r>
            <w:r>
              <w:rPr>
                <w:sz w:val="24"/>
                <w:szCs w:val="24"/>
              </w:rPr>
              <w:t>.</w:t>
            </w:r>
            <w:r>
              <w:rPr>
                <w:rFonts w:hint="eastAsia"/>
                <w:sz w:val="24"/>
                <w:szCs w:val="24"/>
              </w:rPr>
              <w:t>特定条件：</w:t>
            </w:r>
          </w:p>
          <w:p>
            <w:pPr>
              <w:rPr>
                <w:rFonts w:hint="eastAsia"/>
                <w:sz w:val="24"/>
                <w:szCs w:val="24"/>
                <w:highlight w:val="none"/>
                <w:lang w:eastAsia="zh-CN"/>
              </w:rPr>
            </w:pPr>
            <w:r>
              <w:rPr>
                <w:rFonts w:hint="eastAsia"/>
                <w:sz w:val="24"/>
                <w:szCs w:val="24"/>
                <w:lang w:eastAsia="zh-CN"/>
              </w:rPr>
              <w:t>（</w:t>
            </w:r>
            <w:r>
              <w:rPr>
                <w:rFonts w:hint="eastAsia"/>
                <w:sz w:val="24"/>
                <w:szCs w:val="24"/>
                <w:lang w:val="en-US" w:eastAsia="zh-CN"/>
              </w:rPr>
              <w:t>1</w:t>
            </w:r>
            <w:r>
              <w:rPr>
                <w:rFonts w:hint="eastAsia"/>
                <w:sz w:val="24"/>
                <w:szCs w:val="24"/>
                <w:highlight w:val="none"/>
                <w:lang w:eastAsia="zh-CN"/>
              </w:rPr>
              <w:t>）</w:t>
            </w:r>
            <w:r>
              <w:rPr>
                <w:rFonts w:hint="eastAsia"/>
                <w:sz w:val="24"/>
                <w:highlight w:val="none"/>
                <w:lang w:val="zh-TW" w:eastAsia="zh-TW"/>
              </w:rPr>
              <w:t>医疗器械经营许可证或第二类医疗器械经营备案凭证</w:t>
            </w:r>
            <w:r>
              <w:rPr>
                <w:rFonts w:hint="eastAsia" w:ascii="宋体" w:hAnsi="宋体"/>
                <w:color w:val="000000" w:themeColor="text1"/>
                <w:sz w:val="24"/>
                <w:szCs w:val="24"/>
                <w:highlight w:val="none"/>
                <w:lang w:val="en-US" w:eastAsia="zh-CN"/>
              </w:rPr>
              <w:t xml:space="preserve"> </w:t>
            </w:r>
            <w:r>
              <w:rPr>
                <w:rFonts w:hint="eastAsia"/>
                <w:sz w:val="24"/>
                <w:szCs w:val="24"/>
                <w:highlight w:val="none"/>
                <w:lang w:eastAsia="zh-CN"/>
              </w:rPr>
              <w:t>；</w:t>
            </w:r>
          </w:p>
          <w:p>
            <w:pPr>
              <w:rPr>
                <w:rFonts w:hint="eastAsia" w:eastAsia="宋体"/>
                <w:sz w:val="24"/>
                <w:szCs w:val="24"/>
                <w:lang w:val="en-US" w:eastAsia="zh-CN"/>
              </w:rPr>
            </w:pPr>
            <w:r>
              <w:rPr>
                <w:rFonts w:hint="eastAsia" w:eastAsia="宋体"/>
                <w:sz w:val="24"/>
                <w:szCs w:val="24"/>
                <w:lang w:eastAsia="zh-CN"/>
              </w:rPr>
              <w:t>（</w:t>
            </w:r>
            <w:r>
              <w:rPr>
                <w:rFonts w:hint="eastAsia" w:eastAsia="宋体"/>
                <w:sz w:val="24"/>
                <w:szCs w:val="24"/>
                <w:lang w:val="en-US" w:eastAsia="zh-CN"/>
              </w:rPr>
              <w:t>3</w:t>
            </w:r>
            <w:r>
              <w:rPr>
                <w:rFonts w:hint="eastAsia" w:eastAsia="宋体"/>
                <w:sz w:val="24"/>
                <w:szCs w:val="24"/>
                <w:lang w:eastAsia="zh-CN"/>
              </w:rPr>
              <w:t>）</w:t>
            </w:r>
            <w:r>
              <w:rPr>
                <w:rFonts w:hint="eastAsia" w:eastAsia="宋体"/>
                <w:sz w:val="24"/>
                <w:highlight w:val="none"/>
                <w:lang w:val="zh-TW" w:eastAsia="zh-TW"/>
              </w:rPr>
              <w:t>医疗设备维修企业资格</w:t>
            </w:r>
            <w:r>
              <w:rPr>
                <w:rFonts w:hint="eastAsia" w:eastAsia="宋体"/>
                <w:sz w:val="24"/>
                <w:highlight w:val="none"/>
                <w:lang w:val="en-US" w:eastAsia="zh-CN"/>
              </w:rPr>
              <w:t>证明材料；</w:t>
            </w:r>
          </w:p>
          <w:p>
            <w:pPr>
              <w:rPr>
                <w:sz w:val="24"/>
              </w:rPr>
            </w:pPr>
            <w:r>
              <w:rPr>
                <w:rFonts w:hint="eastAsia"/>
                <w:sz w:val="24"/>
                <w:szCs w:val="24"/>
                <w:lang w:val="en-US" w:eastAsia="zh-CN"/>
              </w:rPr>
              <w:t>（2）</w:t>
            </w:r>
            <w:r>
              <w:rPr>
                <w:rFonts w:hint="eastAsia"/>
                <w:sz w:val="24"/>
                <w:szCs w:val="24"/>
              </w:rPr>
              <w:t>本项目不接受联合体</w:t>
            </w:r>
            <w:r>
              <w:rPr>
                <w:rFonts w:hint="eastAsia"/>
                <w:sz w:val="24"/>
                <w:szCs w:val="24"/>
                <w:lang w:val="en-US" w:eastAsia="zh-CN"/>
              </w:rPr>
              <w:t>形式的投标</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234" w:type="dxa"/>
            <w:vAlign w:val="center"/>
          </w:tcPr>
          <w:p>
            <w:pPr>
              <w:widowControl/>
              <w:jc w:val="left"/>
              <w:rPr>
                <w:rFonts w:ascii="宋体" w:cs="宋体"/>
                <w:b/>
                <w:kern w:val="0"/>
                <w:sz w:val="24"/>
                <w:szCs w:val="24"/>
              </w:rPr>
            </w:pPr>
            <w:r>
              <w:rPr>
                <w:rFonts w:hint="eastAsia" w:ascii="宋体" w:hAnsi="宋体" w:cs="宋体"/>
                <w:b/>
                <w:kern w:val="0"/>
                <w:sz w:val="24"/>
                <w:szCs w:val="24"/>
              </w:rPr>
              <w:t>供应商意见</w:t>
            </w:r>
          </w:p>
        </w:tc>
        <w:tc>
          <w:tcPr>
            <w:tcW w:w="6288" w:type="dxa"/>
          </w:tcPr>
          <w:p>
            <w:pPr>
              <w:rPr>
                <w:b/>
                <w:sz w:val="24"/>
                <w:szCs w:val="24"/>
              </w:rPr>
            </w:pPr>
            <w:r>
              <w:rPr>
                <w:rFonts w:hint="eastAsia"/>
                <w:b/>
                <w:sz w:val="24"/>
                <w:szCs w:val="24"/>
              </w:rPr>
              <w:t>供应商可对本项目采购需求的公正性、专业性、合理性等提出自己正确的意见、建议等（可另页详细表述）。</w:t>
            </w:r>
          </w:p>
        </w:tc>
      </w:tr>
    </w:tbl>
    <w:p>
      <w:pPr>
        <w:pStyle w:val="8"/>
        <w:shd w:val="clear" w:color="auto" w:fill="FFFFFF"/>
        <w:spacing w:before="150" w:beforeAutospacing="0" w:after="150" w:afterAutospacing="0" w:line="360" w:lineRule="atLeast"/>
        <w:ind w:left="150"/>
        <w:rPr>
          <w:rStyle w:val="12"/>
          <w:b w:val="0"/>
          <w:color w:val="000000"/>
        </w:rPr>
      </w:pPr>
      <w:r>
        <w:rPr>
          <w:rStyle w:val="12"/>
          <w:rFonts w:hint="eastAsia"/>
          <w:b w:val="0"/>
          <w:color w:val="000000"/>
        </w:rPr>
        <w:t>注意事项：</w:t>
      </w:r>
    </w:p>
    <w:p>
      <w:pPr>
        <w:pStyle w:val="8"/>
        <w:shd w:val="clear" w:color="auto" w:fill="FFFFFF"/>
        <w:spacing w:before="150" w:beforeAutospacing="0" w:after="150" w:afterAutospacing="0" w:line="360" w:lineRule="atLeast"/>
        <w:ind w:left="150" w:firstLine="480" w:firstLineChars="200"/>
        <w:rPr>
          <w:rStyle w:val="12"/>
          <w:b w:val="0"/>
          <w:color w:val="000000"/>
        </w:rPr>
      </w:pPr>
      <w:r>
        <w:rPr>
          <w:color w:val="000000"/>
        </w:rPr>
        <w:t>1.</w:t>
      </w:r>
      <w:r>
        <w:rPr>
          <w:rFonts w:hint="eastAsia"/>
          <w:color w:val="000000"/>
        </w:rPr>
        <w:t>供应商必须严格按照公告的内容和要求，完整递交有关资料，</w:t>
      </w:r>
      <w:r>
        <w:rPr>
          <w:rStyle w:val="12"/>
          <w:rFonts w:hint="eastAsia"/>
          <w:b w:val="0"/>
          <w:color w:val="000000"/>
        </w:rPr>
        <w:t>逾期递交的将予以拒收。</w:t>
      </w:r>
    </w:p>
    <w:p>
      <w:pPr>
        <w:pStyle w:val="8"/>
        <w:shd w:val="clear" w:color="auto" w:fill="FFFFFF"/>
        <w:spacing w:before="150" w:beforeAutospacing="0" w:after="150" w:afterAutospacing="0" w:line="360" w:lineRule="atLeast"/>
        <w:ind w:left="150" w:firstLine="480" w:firstLineChars="200"/>
        <w:rPr>
          <w:rFonts w:ascii="微软雅黑" w:hAnsi="微软雅黑" w:eastAsia="微软雅黑"/>
          <w:color w:val="000000"/>
          <w:sz w:val="18"/>
          <w:szCs w:val="18"/>
        </w:rPr>
      </w:pPr>
      <w:r>
        <w:rPr>
          <w:rFonts w:ascii="宋体" w:hAnsi="宋体" w:cs="宋体"/>
          <w:color w:val="000000"/>
          <w:szCs w:val="24"/>
        </w:rPr>
        <w:t>2.</w:t>
      </w:r>
      <w:r>
        <w:rPr>
          <w:rFonts w:hint="eastAsia" w:ascii="宋体" w:hAnsi="宋体" w:cs="宋体"/>
          <w:bCs/>
          <w:color w:val="000000"/>
          <w:szCs w:val="24"/>
        </w:rPr>
        <w:t>供应商所递交的资料（全部盖有单位公章）必须为一般常用电脑办公软件能够读取的清晰、易于辨识的彩色电子扫描件、照片（相关证书和证明材料的原件）</w:t>
      </w:r>
      <w:r>
        <w:rPr>
          <w:rFonts w:ascii="宋体" w:cs="宋体"/>
          <w:bCs/>
          <w:color w:val="000000"/>
          <w:szCs w:val="24"/>
        </w:rPr>
        <w:t>,</w:t>
      </w:r>
      <w:r>
        <w:rPr>
          <w:rFonts w:hint="eastAsia" w:ascii="宋体" w:hAnsi="宋体" w:cs="宋体"/>
          <w:bCs/>
          <w:color w:val="000000"/>
          <w:szCs w:val="24"/>
        </w:rPr>
        <w:t>并对其他递交资料内容的真实性、有效性及完整性负责，如提供文件资料有错漏、模糊不清、复印件的电子扫描件、照片、无法读取识别或弄虚作假等，一律属于无效文件。</w:t>
      </w:r>
      <w:r>
        <w:rPr>
          <w:rFonts w:ascii="宋体" w:hAnsi="宋体" w:cs="宋体"/>
          <w:bCs/>
          <w:color w:val="000000"/>
          <w:szCs w:val="24"/>
        </w:rPr>
        <w:t xml:space="preserve"> </w:t>
      </w:r>
    </w:p>
    <w:p>
      <w:pPr>
        <w:pStyle w:val="8"/>
        <w:shd w:val="clear" w:color="auto" w:fill="FFFFFF"/>
        <w:spacing w:before="150" w:beforeAutospacing="0" w:after="150" w:afterAutospacing="0" w:line="360" w:lineRule="atLeast"/>
        <w:ind w:left="150" w:firstLine="480" w:firstLineChars="200"/>
        <w:rPr>
          <w:sz w:val="24"/>
          <w:szCs w:val="24"/>
        </w:rPr>
      </w:pPr>
      <w:r>
        <w:rPr>
          <w:color w:val="000000"/>
        </w:rPr>
        <w:t>3.</w:t>
      </w:r>
      <w:r>
        <w:rPr>
          <w:rFonts w:hint="eastAsia"/>
          <w:color w:val="000000"/>
        </w:rPr>
        <w:t>须在邮件（附件文件名注明公司全称）注明公司全称、项目名称及项目编号（不注明我单位将拒收报名邮件）。</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B4AB"/>
    <w:multiLevelType w:val="singleLevel"/>
    <w:tmpl w:val="0EBDB4AB"/>
    <w:lvl w:ilvl="0" w:tentative="0">
      <w:start w:val="1"/>
      <w:numFmt w:val="chineseCounting"/>
      <w:suff w:val="nothing"/>
      <w:lvlText w:val="%1、"/>
      <w:lvlJc w:val="left"/>
      <w:rPr>
        <w:rFonts w:hint="eastAsia"/>
      </w:rPr>
    </w:lvl>
  </w:abstractNum>
  <w:abstractNum w:abstractNumId="1">
    <w:nsid w:val="378CA56D"/>
    <w:multiLevelType w:val="singleLevel"/>
    <w:tmpl w:val="378CA56D"/>
    <w:lvl w:ilvl="0" w:tentative="0">
      <w:start w:val="1"/>
      <w:numFmt w:val="decimal"/>
      <w:lvlText w:val="%1."/>
      <w:lvlJc w:val="left"/>
      <w:pPr>
        <w:ind w:left="425" w:hanging="425"/>
      </w:pPr>
      <w:rPr>
        <w:rFonts w:hint="default"/>
      </w:rPr>
    </w:lvl>
  </w:abstractNum>
  <w:abstractNum w:abstractNumId="2">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589C2C0F"/>
    <w:multiLevelType w:val="multilevel"/>
    <w:tmpl w:val="589C2C0F"/>
    <w:lvl w:ilvl="0" w:tentative="0">
      <w:start w:val="1"/>
      <w:numFmt w:val="decimal"/>
      <w:lvlText w:val="1.%1"/>
      <w:lvlJc w:val="left"/>
      <w:pPr>
        <w:ind w:left="372" w:hanging="420"/>
      </w:pPr>
      <w:rPr>
        <w:rFonts w:hint="default" w:ascii="宋体" w:hAnsi="宋体" w:eastAsia="宋体"/>
        <w:b/>
        <w:color w:val="auto"/>
      </w:rPr>
    </w:lvl>
    <w:lvl w:ilvl="1" w:tentative="0">
      <w:start w:val="1"/>
      <w:numFmt w:val="lowerLetter"/>
      <w:lvlText w:val="%2)"/>
      <w:lvlJc w:val="left"/>
      <w:pPr>
        <w:ind w:left="792" w:hanging="420"/>
      </w:p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4">
    <w:nsid w:val="7BB21FF4"/>
    <w:multiLevelType w:val="multilevel"/>
    <w:tmpl w:val="7BB21F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E9"/>
    <w:rsid w:val="00016BFD"/>
    <w:rsid w:val="00021D98"/>
    <w:rsid w:val="00026D00"/>
    <w:rsid w:val="000527BB"/>
    <w:rsid w:val="00056AED"/>
    <w:rsid w:val="0008654C"/>
    <w:rsid w:val="0009726D"/>
    <w:rsid w:val="000A6872"/>
    <w:rsid w:val="000D728B"/>
    <w:rsid w:val="00101CA6"/>
    <w:rsid w:val="00104393"/>
    <w:rsid w:val="00120CEA"/>
    <w:rsid w:val="00122B5C"/>
    <w:rsid w:val="00127B67"/>
    <w:rsid w:val="00162BF4"/>
    <w:rsid w:val="00174B5D"/>
    <w:rsid w:val="001B3DD1"/>
    <w:rsid w:val="00227C74"/>
    <w:rsid w:val="00241FC1"/>
    <w:rsid w:val="00247E29"/>
    <w:rsid w:val="00251305"/>
    <w:rsid w:val="00263FDD"/>
    <w:rsid w:val="0027306D"/>
    <w:rsid w:val="00286F91"/>
    <w:rsid w:val="002912E3"/>
    <w:rsid w:val="002C0DCE"/>
    <w:rsid w:val="002D3A86"/>
    <w:rsid w:val="002E6F83"/>
    <w:rsid w:val="002E70BC"/>
    <w:rsid w:val="00354132"/>
    <w:rsid w:val="00356FB9"/>
    <w:rsid w:val="0038354E"/>
    <w:rsid w:val="003A3307"/>
    <w:rsid w:val="003C173C"/>
    <w:rsid w:val="0042465C"/>
    <w:rsid w:val="00431D7E"/>
    <w:rsid w:val="004357AA"/>
    <w:rsid w:val="004451C8"/>
    <w:rsid w:val="00462B04"/>
    <w:rsid w:val="00465FFA"/>
    <w:rsid w:val="0048653B"/>
    <w:rsid w:val="004D26D1"/>
    <w:rsid w:val="0051396C"/>
    <w:rsid w:val="00526415"/>
    <w:rsid w:val="005517D8"/>
    <w:rsid w:val="00577CD8"/>
    <w:rsid w:val="00587588"/>
    <w:rsid w:val="006101C6"/>
    <w:rsid w:val="0067218F"/>
    <w:rsid w:val="006763BF"/>
    <w:rsid w:val="00680095"/>
    <w:rsid w:val="006A74A1"/>
    <w:rsid w:val="006B1667"/>
    <w:rsid w:val="006B566D"/>
    <w:rsid w:val="00710283"/>
    <w:rsid w:val="00714951"/>
    <w:rsid w:val="00731C4C"/>
    <w:rsid w:val="00770BDF"/>
    <w:rsid w:val="007E530D"/>
    <w:rsid w:val="0081133A"/>
    <w:rsid w:val="00841971"/>
    <w:rsid w:val="00843EA0"/>
    <w:rsid w:val="0085685E"/>
    <w:rsid w:val="00862199"/>
    <w:rsid w:val="008632F9"/>
    <w:rsid w:val="00877547"/>
    <w:rsid w:val="008D5B51"/>
    <w:rsid w:val="009111CF"/>
    <w:rsid w:val="00912E34"/>
    <w:rsid w:val="00917353"/>
    <w:rsid w:val="00965878"/>
    <w:rsid w:val="00973CEA"/>
    <w:rsid w:val="00984E78"/>
    <w:rsid w:val="009F57B7"/>
    <w:rsid w:val="00A06B58"/>
    <w:rsid w:val="00AC4743"/>
    <w:rsid w:val="00AC4FF6"/>
    <w:rsid w:val="00AC7064"/>
    <w:rsid w:val="00AD57E9"/>
    <w:rsid w:val="00AE0050"/>
    <w:rsid w:val="00B02FC2"/>
    <w:rsid w:val="00B37D97"/>
    <w:rsid w:val="00B422CC"/>
    <w:rsid w:val="00B87DB2"/>
    <w:rsid w:val="00BD15BE"/>
    <w:rsid w:val="00C045C9"/>
    <w:rsid w:val="00C04CDB"/>
    <w:rsid w:val="00C554DF"/>
    <w:rsid w:val="00C7441B"/>
    <w:rsid w:val="00C7583C"/>
    <w:rsid w:val="00C77263"/>
    <w:rsid w:val="00C8060B"/>
    <w:rsid w:val="00C81BC1"/>
    <w:rsid w:val="00C94576"/>
    <w:rsid w:val="00CA0AA0"/>
    <w:rsid w:val="00D049F5"/>
    <w:rsid w:val="00D239DE"/>
    <w:rsid w:val="00D34002"/>
    <w:rsid w:val="00D63126"/>
    <w:rsid w:val="00D64C90"/>
    <w:rsid w:val="00D665CD"/>
    <w:rsid w:val="00D9157E"/>
    <w:rsid w:val="00DA12FB"/>
    <w:rsid w:val="00DA3AC3"/>
    <w:rsid w:val="00DC47E0"/>
    <w:rsid w:val="00DD4640"/>
    <w:rsid w:val="00DE7188"/>
    <w:rsid w:val="00DE75E6"/>
    <w:rsid w:val="00E14B01"/>
    <w:rsid w:val="00E5330B"/>
    <w:rsid w:val="00E6320A"/>
    <w:rsid w:val="00E652DF"/>
    <w:rsid w:val="00E721AB"/>
    <w:rsid w:val="00E849D4"/>
    <w:rsid w:val="00E94B33"/>
    <w:rsid w:val="00EB4553"/>
    <w:rsid w:val="00EB5D3C"/>
    <w:rsid w:val="00EC51EB"/>
    <w:rsid w:val="00ED3F8E"/>
    <w:rsid w:val="00EF6F42"/>
    <w:rsid w:val="00F10D7E"/>
    <w:rsid w:val="00F27BC7"/>
    <w:rsid w:val="00F52DE9"/>
    <w:rsid w:val="00F67B38"/>
    <w:rsid w:val="00F76F50"/>
    <w:rsid w:val="00F83087"/>
    <w:rsid w:val="00FD4208"/>
    <w:rsid w:val="00FF19EE"/>
    <w:rsid w:val="036E1E2C"/>
    <w:rsid w:val="05357BDD"/>
    <w:rsid w:val="05EB380B"/>
    <w:rsid w:val="081669CA"/>
    <w:rsid w:val="0B706B75"/>
    <w:rsid w:val="0B74362C"/>
    <w:rsid w:val="0D662123"/>
    <w:rsid w:val="0DCB5D0A"/>
    <w:rsid w:val="10C3689A"/>
    <w:rsid w:val="13BB3CF4"/>
    <w:rsid w:val="17867FBC"/>
    <w:rsid w:val="1B2B3562"/>
    <w:rsid w:val="1D3A4920"/>
    <w:rsid w:val="202042A9"/>
    <w:rsid w:val="22584D7B"/>
    <w:rsid w:val="23E661CC"/>
    <w:rsid w:val="24AF6192"/>
    <w:rsid w:val="28A621D8"/>
    <w:rsid w:val="2A383FA1"/>
    <w:rsid w:val="2C721580"/>
    <w:rsid w:val="348827AB"/>
    <w:rsid w:val="357E4F48"/>
    <w:rsid w:val="38BD05F5"/>
    <w:rsid w:val="40574D92"/>
    <w:rsid w:val="40586677"/>
    <w:rsid w:val="41974E7F"/>
    <w:rsid w:val="426E2F53"/>
    <w:rsid w:val="435B614E"/>
    <w:rsid w:val="4631003F"/>
    <w:rsid w:val="4CB63DF3"/>
    <w:rsid w:val="4CBA5ECA"/>
    <w:rsid w:val="4F1E5C9D"/>
    <w:rsid w:val="5045265C"/>
    <w:rsid w:val="54117053"/>
    <w:rsid w:val="570C6CFC"/>
    <w:rsid w:val="5A0E7493"/>
    <w:rsid w:val="5A452253"/>
    <w:rsid w:val="5DB549BD"/>
    <w:rsid w:val="5E0C14F9"/>
    <w:rsid w:val="641512DC"/>
    <w:rsid w:val="670F367A"/>
    <w:rsid w:val="68D24476"/>
    <w:rsid w:val="68D9276B"/>
    <w:rsid w:val="6F00649B"/>
    <w:rsid w:val="6FBC0A3F"/>
    <w:rsid w:val="72C54810"/>
    <w:rsid w:val="7656616B"/>
    <w:rsid w:val="77471B72"/>
    <w:rsid w:val="79ED0686"/>
    <w:rsid w:val="7CDF2FCD"/>
    <w:rsid w:val="7DA42B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3"/>
    <w:qFormat/>
    <w:uiPriority w:val="99"/>
    <w:pPr>
      <w:keepNext/>
      <w:keepLines/>
      <w:spacing w:before="340" w:after="330" w:line="576" w:lineRule="auto"/>
      <w:outlineLvl w:val="0"/>
    </w:pPr>
    <w:rPr>
      <w:b/>
      <w:bCs/>
      <w:kern w:val="44"/>
      <w:sz w:val="44"/>
      <w:szCs w:val="44"/>
    </w:rPr>
  </w:style>
  <w:style w:type="paragraph" w:styleId="2">
    <w:name w:val="heading 2"/>
    <w:basedOn w:val="1"/>
    <w:next w:val="1"/>
    <w:qFormat/>
    <w:locked/>
    <w:uiPriority w:val="0"/>
    <w:pPr>
      <w:keepNext/>
      <w:keepLines/>
      <w:numPr>
        <w:ilvl w:val="1"/>
        <w:numId w:val="1"/>
      </w:numPr>
      <w:spacing w:before="260" w:after="260" w:line="416" w:lineRule="auto"/>
      <w:ind w:left="0" w:firstLine="0"/>
      <w:outlineLvl w:val="1"/>
    </w:pPr>
    <w:rPr>
      <w:rFonts w:ascii="Cambria" w:hAnsi="Cambria"/>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420" w:lineRule="auto"/>
    </w:pPr>
    <w:rPr>
      <w:sz w:val="24"/>
    </w:rPr>
  </w:style>
  <w:style w:type="paragraph" w:styleId="5">
    <w:name w:val="Balloon Text"/>
    <w:basedOn w:val="1"/>
    <w:link w:val="14"/>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bCs/>
    </w:rPr>
  </w:style>
  <w:style w:type="character" w:customStyle="1" w:styleId="13">
    <w:name w:val="标题 1 Char"/>
    <w:basedOn w:val="11"/>
    <w:link w:val="3"/>
    <w:qFormat/>
    <w:locked/>
    <w:uiPriority w:val="99"/>
    <w:rPr>
      <w:rFonts w:eastAsia="宋体" w:cs="Times New Roman"/>
      <w:b/>
      <w:bCs/>
      <w:kern w:val="44"/>
      <w:sz w:val="44"/>
      <w:szCs w:val="44"/>
    </w:rPr>
  </w:style>
  <w:style w:type="character" w:customStyle="1" w:styleId="14">
    <w:name w:val="批注框文本 Char"/>
    <w:basedOn w:val="11"/>
    <w:link w:val="5"/>
    <w:semiHidden/>
    <w:qFormat/>
    <w:locked/>
    <w:uiPriority w:val="99"/>
    <w:rPr>
      <w:rFonts w:cs="Times New Roman"/>
      <w:sz w:val="18"/>
      <w:szCs w:val="18"/>
    </w:rPr>
  </w:style>
  <w:style w:type="character" w:customStyle="1" w:styleId="15">
    <w:name w:val="页脚 Char"/>
    <w:basedOn w:val="11"/>
    <w:link w:val="6"/>
    <w:qFormat/>
    <w:locked/>
    <w:uiPriority w:val="99"/>
    <w:rPr>
      <w:rFonts w:cs="Times New Roman"/>
      <w:sz w:val="18"/>
      <w:szCs w:val="18"/>
    </w:rPr>
  </w:style>
  <w:style w:type="character" w:customStyle="1" w:styleId="16">
    <w:name w:val="页眉 Char"/>
    <w:basedOn w:val="11"/>
    <w:link w:val="7"/>
    <w:qFormat/>
    <w:locked/>
    <w:uiPriority w:val="99"/>
    <w:rPr>
      <w:rFonts w:cs="Times New Roman"/>
      <w:sz w:val="18"/>
      <w:szCs w:val="18"/>
    </w:rPr>
  </w:style>
  <w:style w:type="paragraph" w:styleId="17">
    <w:name w:val="List Paragraph"/>
    <w:basedOn w:val="1"/>
    <w:qFormat/>
    <w:uiPriority w:val="99"/>
    <w:pPr>
      <w:ind w:firstLine="420" w:firstLineChars="200"/>
    </w:pPr>
    <w:rPr>
      <w:rFonts w:ascii="Calibri" w:hAnsi="Calibri" w:eastAsia="宋体" w:cs="Times New Roman"/>
      <w:szCs w:val="21"/>
    </w:rPr>
  </w:style>
  <w:style w:type="paragraph" w:customStyle="1" w:styleId="18">
    <w:name w:val="正文无缩进"/>
    <w:basedOn w:val="1"/>
    <w:qFormat/>
    <w:uiPriority w:val="0"/>
    <w:pPr>
      <w:widowControl w:val="0"/>
      <w:snapToGrid w:val="0"/>
      <w:spacing w:before="120" w:line="300" w:lineRule="auto"/>
      <w:jc w:val="both"/>
    </w:pPr>
    <w:rPr>
      <w:rFonts w:hint="default" w:ascii="Times New Roman" w:hAnsi="Times New Roman" w:eastAsia="宋体" w:cs="Times New Roman"/>
      <w:color w:val="auto"/>
      <w:kern w:val="2"/>
      <w:szCs w:val="20"/>
      <w:lang w:eastAsia="zh-CN"/>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3364</Words>
  <Characters>519</Characters>
  <Lines>4</Lines>
  <Paragraphs>7</Paragraphs>
  <TotalTime>3</TotalTime>
  <ScaleCrop>false</ScaleCrop>
  <LinksUpToDate>false</LinksUpToDate>
  <CharactersWithSpaces>3876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2017-04-17T01:17:00Z</dcterms:created>
  <dc:creator>wangh</dc:creator>
  <cp:lastModifiedBy>Administrator</cp:lastModifiedBy>
  <cp:lastPrinted>2020-11-13T01:43:00Z</cp:lastPrinted>
  <dcterms:modified xsi:type="dcterms:W3CDTF">2020-11-13T06:33:57Z</dcterms:modified>
  <dc:title>湖北省省级政府采购需求公示</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