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color w:val="000000" w:themeColor="text1"/>
          <w:sz w:val="40"/>
          <w:szCs w:val="44"/>
          <w14:textFill>
            <w14:solidFill>
              <w14:schemeClr w14:val="tx1"/>
            </w14:solidFill>
          </w14:textFill>
        </w:rPr>
      </w:pPr>
      <w:bookmarkStart w:id="8" w:name="_GoBack"/>
      <w:bookmarkEnd w:id="8"/>
      <w:r>
        <w:rPr>
          <w:rFonts w:hint="eastAsia"/>
          <w:color w:val="000000" w:themeColor="text1"/>
          <w:sz w:val="40"/>
          <w:szCs w:val="44"/>
          <w14:textFill>
            <w14:solidFill>
              <w14:schemeClr w14:val="tx1"/>
            </w14:solidFill>
          </w14:textFill>
        </w:rPr>
        <w:t>阳新县城东新区新塘社区党员群众服务中心建设项目</w:t>
      </w:r>
    </w:p>
    <w:p>
      <w:pPr>
        <w:pStyle w:val="13"/>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shd w:val="clear" w:color="auto" w:fill="FFFFFF"/>
        <w:spacing w:after="321" w:afterLines="100"/>
        <w:ind w:left="1134" w:leftChars="540"/>
        <w:rPr>
          <w:rFonts w:ascii="黑体" w:eastAsia="黑体"/>
          <w:color w:val="000000" w:themeColor="text1"/>
          <w:szCs w:val="32"/>
          <w14:textFill>
            <w14:solidFill>
              <w14:schemeClr w14:val="tx1"/>
            </w14:solidFill>
          </w14:textFill>
        </w:rPr>
      </w:pPr>
    </w:p>
    <w:p>
      <w:pPr>
        <w:shd w:val="clear" w:color="auto" w:fill="FFFFFF"/>
        <w:spacing w:after="321" w:afterLines="100"/>
        <w:ind w:left="1134" w:leftChars="540"/>
        <w:rPr>
          <w:rFonts w:ascii="黑体" w:eastAsia="黑体"/>
          <w:color w:val="000000" w:themeColor="text1"/>
          <w:sz w:val="44"/>
          <w:szCs w:val="44"/>
          <w14:textFill>
            <w14:solidFill>
              <w14:schemeClr w14:val="tx1"/>
            </w14:solidFill>
          </w14:textFill>
        </w:rPr>
      </w:pP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招 标 人：阳新县综合管理区新塘社区居民委员会</w:t>
      </w: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 系 人：王亮</w:t>
      </w: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联系电话：18995799868</w:t>
      </w:r>
    </w:p>
    <w:p>
      <w:pPr>
        <w:shd w:val="clear" w:color="auto" w:fill="FFFFFF"/>
        <w:spacing w:line="560" w:lineRule="exact"/>
        <w:ind w:firstLine="1120" w:firstLineChars="40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w:t>
      </w:r>
      <w:r>
        <w:rPr>
          <w:rFonts w:ascii="黑体" w:eastAsia="黑体"/>
          <w:color w:val="000000" w:themeColor="text1"/>
          <w:sz w:val="28"/>
          <w:szCs w:val="28"/>
          <w14:textFill>
            <w14:solidFill>
              <w14:schemeClr w14:val="tx1"/>
            </w14:solidFill>
          </w14:textFill>
        </w:rPr>
        <w:t>方式：</w:t>
      </w:r>
      <w:r>
        <w:rPr>
          <w:rFonts w:hint="eastAsia" w:ascii="黑体" w:eastAsia="黑体"/>
          <w:color w:val="000000" w:themeColor="text1"/>
          <w:sz w:val="28"/>
          <w:szCs w:val="28"/>
          <w14:textFill>
            <w14:solidFill>
              <w14:schemeClr w14:val="tx1"/>
            </w14:solidFill>
          </w14:textFill>
        </w:rPr>
        <w:t>竞争性磋商</w:t>
      </w:r>
    </w:p>
    <w:p>
      <w:pPr>
        <w:keepNext/>
        <w:keepLines/>
        <w:adjustRightInd w:val="0"/>
        <w:snapToGrid w:val="0"/>
        <w:jc w:val="center"/>
        <w:outlineLvl w:val="1"/>
        <w:rPr>
          <w:rFonts w:ascii="宋体" w:hAnsi="宋体"/>
          <w:b/>
          <w:bCs/>
          <w:color w:val="0D0D0D"/>
          <w:sz w:val="32"/>
          <w:szCs w:val="32"/>
        </w:rPr>
        <w:sectPr>
          <w:footerReference r:id="rId3" w:type="default"/>
          <w:pgSz w:w="11906" w:h="16838"/>
          <w:pgMar w:top="1134" w:right="1134" w:bottom="1134" w:left="1134" w:header="851" w:footer="992" w:gutter="0"/>
          <w:cols w:space="0" w:num="1"/>
          <w:docGrid w:type="lines" w:linePitch="321" w:charSpace="0"/>
        </w:sectPr>
      </w:pPr>
    </w:p>
    <w:p>
      <w:pPr>
        <w:jc w:val="center"/>
        <w:rPr>
          <w:sz w:val="28"/>
        </w:rPr>
      </w:pPr>
      <w:r>
        <w:rPr>
          <w:rFonts w:hint="eastAsia"/>
          <w:b/>
          <w:bCs/>
          <w:sz w:val="28"/>
        </w:rPr>
        <w:t>采购需求</w:t>
      </w:r>
    </w:p>
    <w:p>
      <w:pPr>
        <w:rPr>
          <w:rFonts w:ascii="宋体" w:hAnsi="宋体"/>
          <w:sz w:val="24"/>
        </w:rPr>
      </w:pPr>
    </w:p>
    <w:p>
      <w:pPr>
        <w:pStyle w:val="5"/>
        <w:jc w:val="center"/>
      </w:pPr>
      <w:bookmarkStart w:id="0" w:name="_Toc480553174"/>
      <w:r>
        <w:rPr>
          <w:rFonts w:hint="eastAsia"/>
        </w:rPr>
        <w:t>一、采购项目技术规格、参数及要求</w:t>
      </w:r>
      <w:bookmarkEnd w:id="0"/>
    </w:p>
    <w:p>
      <w:pPr>
        <w:spacing w:line="360" w:lineRule="auto"/>
        <w:rPr>
          <w:rFonts w:ascii="宋体" w:hAnsi="宋体"/>
          <w:bCs/>
          <w:kern w:val="44"/>
          <w:sz w:val="24"/>
        </w:rPr>
      </w:pPr>
      <w:r>
        <w:rPr>
          <w:rFonts w:hint="eastAsia" w:ascii="宋体" w:hAnsi="宋体"/>
          <w:bCs/>
          <w:kern w:val="44"/>
          <w:sz w:val="24"/>
        </w:rPr>
        <w:t>1、采购内容：阳新县城东新区新塘社区党员群众服务中心建设项目</w:t>
      </w:r>
    </w:p>
    <w:p>
      <w:pPr>
        <w:spacing w:line="360" w:lineRule="auto"/>
        <w:rPr>
          <w:rFonts w:ascii="宋体" w:hAnsi="宋体"/>
          <w:bCs/>
          <w:kern w:val="44"/>
          <w:sz w:val="24"/>
        </w:rPr>
      </w:pPr>
      <w:r>
        <w:rPr>
          <w:rFonts w:hint="eastAsia" w:ascii="宋体" w:hAnsi="宋体"/>
          <w:bCs/>
          <w:kern w:val="44"/>
          <w:sz w:val="24"/>
        </w:rPr>
        <w:t>2、工期：</w:t>
      </w:r>
      <w:r>
        <w:rPr>
          <w:rFonts w:hint="eastAsia" w:ascii="宋体" w:hAnsi="宋体"/>
          <w:bCs/>
          <w:kern w:val="44"/>
          <w:sz w:val="24"/>
          <w:u w:val="single"/>
        </w:rPr>
        <w:t>120</w:t>
      </w:r>
      <w:r>
        <w:rPr>
          <w:rFonts w:hint="eastAsia" w:ascii="宋体" w:hAnsi="宋体"/>
          <w:bCs/>
          <w:kern w:val="44"/>
          <w:sz w:val="24"/>
        </w:rPr>
        <w:t>日历天。</w:t>
      </w:r>
    </w:p>
    <w:p>
      <w:pPr>
        <w:spacing w:line="360" w:lineRule="auto"/>
        <w:rPr>
          <w:rFonts w:ascii="宋体" w:hAnsi="宋体"/>
          <w:bCs/>
          <w:kern w:val="44"/>
          <w:sz w:val="24"/>
        </w:rPr>
      </w:pPr>
      <w:r>
        <w:rPr>
          <w:rFonts w:hint="eastAsia" w:ascii="宋体" w:hAnsi="宋体"/>
          <w:bCs/>
          <w:kern w:val="44"/>
          <w:sz w:val="24"/>
        </w:rPr>
        <w:t>3、交货地点：项目施工地点。</w:t>
      </w:r>
    </w:p>
    <w:p>
      <w:pPr>
        <w:spacing w:line="360" w:lineRule="auto"/>
        <w:rPr>
          <w:rStyle w:val="21"/>
          <w:rFonts w:ascii="宋体" w:hAnsi="宋体"/>
          <w:sz w:val="24"/>
          <w:szCs w:val="24"/>
        </w:rPr>
      </w:pPr>
      <w:r>
        <w:rPr>
          <w:rFonts w:hint="eastAsia" w:ascii="宋体" w:hAnsi="宋体"/>
          <w:bCs/>
          <w:kern w:val="44"/>
          <w:sz w:val="24"/>
        </w:rPr>
        <w:t>4、工程量清单见附件。</w:t>
      </w:r>
    </w:p>
    <w:p>
      <w:pPr>
        <w:widowControl/>
        <w:jc w:val="left"/>
        <w:rPr>
          <w:sz w:val="24"/>
          <w:szCs w:val="24"/>
        </w:rPr>
      </w:pPr>
      <w:r>
        <w:rPr>
          <w:rFonts w:hint="eastAsia"/>
          <w:sz w:val="24"/>
          <w:szCs w:val="24"/>
        </w:rPr>
        <w:t>5、该项目付款方式为：</w:t>
      </w:r>
      <w:r>
        <w:rPr>
          <w:rFonts w:hint="eastAsia"/>
          <w:sz w:val="24"/>
          <w:szCs w:val="24"/>
          <w:lang w:bidi="ar"/>
        </w:rPr>
        <w:t>按项目工程施工进度进行拨款。</w:t>
      </w:r>
    </w:p>
    <w:p>
      <w:pPr>
        <w:widowControl/>
        <w:jc w:val="left"/>
        <w:rPr>
          <w:sz w:val="24"/>
          <w:szCs w:val="24"/>
        </w:rPr>
      </w:pPr>
      <w:r>
        <w:rPr>
          <w:sz w:val="24"/>
          <w:szCs w:val="24"/>
        </w:rPr>
        <w:br w:type="page"/>
      </w:r>
    </w:p>
    <w:p>
      <w:pPr>
        <w:adjustRightInd w:val="0"/>
        <w:snapToGrid w:val="0"/>
        <w:spacing w:line="360" w:lineRule="auto"/>
        <w:jc w:val="left"/>
        <w:rPr>
          <w:rFonts w:hint="eastAsia"/>
          <w:sz w:val="24"/>
          <w:szCs w:val="24"/>
        </w:rPr>
      </w:pPr>
      <w:r>
        <w:rPr>
          <w:sz w:val="24"/>
          <w:szCs w:val="24"/>
        </w:rPr>
        <w:t>附件</w:t>
      </w:r>
      <w:r>
        <w:rPr>
          <w:rFonts w:hint="eastAsia"/>
          <w:sz w:val="24"/>
          <w:szCs w:val="24"/>
        </w:rPr>
        <w:t>一：工程量清单</w:t>
      </w:r>
    </w:p>
    <w:p>
      <w:pPr>
        <w:pStyle w:val="2"/>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Office12.Excel.Template" ShapeID="_x0000_i1025" DrawAspect="Icon" ObjectID="_1468075725" r:id="rId5">
            <o:LockedField>false</o:LockedField>
          </o:OLEObject>
        </w:objec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r>
        <w:rPr>
          <w:rFonts w:hint="eastAsia"/>
        </w:rPr>
        <w:t>施工设计图纸</w:t>
      </w:r>
    </w:p>
    <w:p>
      <w:r>
        <w:rPr>
          <w:rFonts w:hint="eastAsia"/>
          <w:lang w:val="en-US" w:eastAsia="zh-CN"/>
        </w:rPr>
        <w:t xml:space="preserve">     </w:t>
      </w:r>
      <w:r>
        <w:rPr>
          <w:rFonts w:hint="eastAsia"/>
          <w:lang w:val="en-US" w:eastAsia="zh-CN"/>
        </w:rPr>
        <w:object>
          <v:shape id="_x0000_i1026"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6" DrawAspect="Icon" ObjectID="_1468075726" r:id="rId7">
            <o:LockedField>false</o:LockedField>
          </o:OLEObject>
        </w:object>
      </w:r>
      <w:r>
        <w:br w:type="page"/>
      </w:r>
    </w:p>
    <w:p>
      <w:pPr>
        <w:adjustRightInd w:val="0"/>
        <w:snapToGrid w:val="0"/>
        <w:spacing w:line="360" w:lineRule="auto"/>
        <w:jc w:val="left"/>
        <w:rPr>
          <w:sz w:val="24"/>
          <w:szCs w:val="24"/>
        </w:rPr>
      </w:pPr>
      <w:r>
        <w:rPr>
          <w:sz w:val="24"/>
          <w:szCs w:val="24"/>
        </w:rPr>
        <w:t>附件</w:t>
      </w:r>
      <w:r>
        <w:rPr>
          <w:rFonts w:hint="eastAsia"/>
          <w:sz w:val="24"/>
          <w:szCs w:val="24"/>
        </w:rPr>
        <w:t>二</w:t>
      </w:r>
      <w:r>
        <w:rPr>
          <w:sz w:val="24"/>
          <w:szCs w:val="24"/>
        </w:rPr>
        <w:t>：供应商报名表：</w:t>
      </w:r>
    </w:p>
    <w:p>
      <w:pPr>
        <w:jc w:val="center"/>
        <w:rPr>
          <w:sz w:val="32"/>
          <w:szCs w:val="32"/>
        </w:rPr>
      </w:pPr>
      <w:r>
        <w:rPr>
          <w:rFonts w:hint="eastAsia"/>
          <w:sz w:val="32"/>
          <w:szCs w:val="32"/>
        </w:rPr>
        <w:t>供应商报名表</w:t>
      </w:r>
    </w:p>
    <w:p>
      <w:pPr>
        <w:rPr>
          <w:sz w:val="24"/>
        </w:rPr>
      </w:pPr>
      <w:r>
        <w:rPr>
          <w:rFonts w:hint="eastAsia"/>
          <w:sz w:val="24"/>
        </w:rPr>
        <w:t>项目编号：</w:t>
      </w:r>
      <w:r>
        <w:rPr>
          <w:rFonts w:hint="eastAsia"/>
          <w:sz w:val="24"/>
          <w:u w:val="single"/>
        </w:rPr>
        <w:t xml:space="preserve">                </w:t>
      </w:r>
    </w:p>
    <w:p>
      <w:pPr>
        <w:rPr>
          <w:sz w:val="24"/>
        </w:rPr>
      </w:pPr>
      <w:r>
        <w:rPr>
          <w:rFonts w:hint="eastAsia"/>
          <w:sz w:val="24"/>
        </w:rPr>
        <w:t xml:space="preserve">项目名称：  </w:t>
      </w:r>
      <w:r>
        <w:rPr>
          <w:rFonts w:hint="eastAsia"/>
          <w:sz w:val="24"/>
          <w:u w:val="single"/>
        </w:rPr>
        <w:t xml:space="preserve">                </w:t>
      </w:r>
      <w:r>
        <w:rPr>
          <w:rFonts w:hint="eastAsia"/>
          <w:sz w:val="24"/>
        </w:rPr>
        <w:t xml:space="preserve">                       </w:t>
      </w:r>
    </w:p>
    <w:tbl>
      <w:tblPr>
        <w:tblStyle w:val="14"/>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供应商名称（盖章）</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联系人姓名</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联系人电话（办公电话和手机）</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联系人邮箱</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kern w:val="0"/>
                <w:sz w:val="24"/>
              </w:rPr>
            </w:pPr>
            <w:r>
              <w:rPr>
                <w:rFonts w:hint="eastAsia" w:cs="宋体" w:asciiTheme="minorEastAsia" w:hAnsiTheme="minorEastAsia"/>
                <w:kern w:val="0"/>
                <w:sz w:val="24"/>
              </w:rPr>
              <w:t>供应商提供的</w:t>
            </w:r>
          </w:p>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报名资料</w:t>
            </w: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2.</w:t>
            </w:r>
            <w:r>
              <w:rPr>
                <w:rFonts w:hint="eastAsia"/>
                <w:color w:val="FF0000"/>
                <w:sz w:val="24"/>
              </w:rPr>
              <w:t>近三年财务状况报告</w:t>
            </w:r>
            <w:r>
              <w:rPr>
                <w:rFonts w:hint="eastAsia"/>
                <w:sz w:val="24"/>
              </w:rPr>
              <w:t>，依法缴纳税收和社会保障资金的相关材料。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6.未被列入"信用中国"网站(www.creditchina.gov.cn)"失信被执行人（须提供网站截图）和重大税收违法案件当事人</w:t>
            </w:r>
            <w:r>
              <w:rPr>
                <w:rFonts w:hint="eastAsia"/>
                <w:b/>
                <w:bCs/>
                <w:sz w:val="24"/>
              </w:rPr>
              <w:t>;</w:t>
            </w:r>
            <w:r>
              <w:rPr>
                <w:rFonts w:hint="eastAsia"/>
                <w:sz w:val="24"/>
              </w:rPr>
              <w:t>"中国政府采购网"（www.ccgp.gov.cn）中</w:t>
            </w:r>
            <w:r>
              <w:rPr>
                <w:rFonts w:hint="eastAsia"/>
                <w:color w:val="FF0000"/>
                <w:sz w:val="24"/>
              </w:rPr>
              <w:t>政府采购严重违法失信行为记录名单（截图有效期为征集截止日前）的网页打印件。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rPr>
              <w:t>7.特定条件：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996" w:type="dxa"/>
            <w:tcBorders>
              <w:top w:val="single" w:color="auto" w:sz="4" w:space="0"/>
              <w:left w:val="single" w:color="auto" w:sz="4" w:space="0"/>
              <w:bottom w:val="single" w:color="auto" w:sz="4" w:space="0"/>
              <w:right w:val="single" w:color="auto" w:sz="4" w:space="0"/>
            </w:tcBorders>
          </w:tcPr>
          <w:p>
            <w:pPr>
              <w:rPr>
                <w:b/>
                <w:sz w:val="24"/>
              </w:rPr>
            </w:pPr>
            <w:r>
              <w:rPr>
                <w:rFonts w:hint="eastAsia"/>
                <w:b/>
                <w:sz w:val="24"/>
              </w:rPr>
              <w:t>供应商可对本项目采购需求的公正性、专业性、合理性等提出自己正确的意见、建议等（可另页详细表述）。</w:t>
            </w:r>
          </w:p>
        </w:tc>
      </w:tr>
    </w:tbl>
    <w:p>
      <w:pPr>
        <w:pStyle w:val="12"/>
        <w:shd w:val="clear" w:color="auto" w:fill="FFFFFF"/>
        <w:spacing w:before="150" w:beforeAutospacing="0" w:after="150" w:afterAutospacing="0" w:line="360" w:lineRule="atLeast"/>
        <w:rPr>
          <w:rStyle w:val="17"/>
          <w:color w:val="000000"/>
        </w:rPr>
      </w:pPr>
    </w:p>
    <w:p>
      <w:pPr>
        <w:pStyle w:val="12"/>
        <w:shd w:val="clear" w:color="auto" w:fill="FFFFFF"/>
        <w:spacing w:before="150" w:beforeAutospacing="0" w:after="150" w:afterAutospacing="0" w:line="360" w:lineRule="atLeast"/>
        <w:rPr>
          <w:rStyle w:val="17"/>
          <w:color w:val="000000"/>
        </w:rPr>
      </w:pPr>
      <w:r>
        <w:rPr>
          <w:rStyle w:val="17"/>
          <w:rFonts w:hint="eastAsia"/>
          <w:color w:val="000000"/>
        </w:rPr>
        <w:t>注意事项：</w:t>
      </w:r>
    </w:p>
    <w:p>
      <w:pPr>
        <w:pStyle w:val="12"/>
        <w:shd w:val="clear" w:color="auto" w:fill="FFFFFF"/>
        <w:spacing w:before="150" w:after="150"/>
        <w:ind w:firstLine="480" w:firstLineChars="200"/>
        <w:rPr>
          <w:color w:val="000000"/>
        </w:rPr>
      </w:pPr>
      <w:r>
        <w:rPr>
          <w:rFonts w:hint="eastAsia"/>
          <w:color w:val="000000"/>
        </w:rPr>
        <w:t>1.供应商必须严格按照公告的内容和要求，完整递交有关资料，逾期递交的将予以拒收。</w:t>
      </w:r>
    </w:p>
    <w:p>
      <w:pPr>
        <w:pStyle w:val="12"/>
        <w:shd w:val="clear" w:color="auto" w:fill="FFFFFF"/>
        <w:spacing w:before="100" w:after="100"/>
        <w:ind w:firstLine="480" w:firstLineChars="200"/>
        <w:rPr>
          <w:color w:val="000000"/>
        </w:rPr>
      </w:pPr>
      <w:r>
        <w:rPr>
          <w:rFonts w:hint="eastAsia"/>
          <w:color w:val="000000"/>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pStyle w:val="12"/>
        <w:shd w:val="clear" w:color="auto" w:fill="FFFFFF"/>
        <w:spacing w:before="150" w:beforeAutospacing="0" w:after="150" w:afterAutospacing="0"/>
        <w:ind w:firstLine="480" w:firstLineChars="200"/>
        <w:rPr>
          <w:color w:val="000000"/>
        </w:rPr>
      </w:pPr>
      <w:r>
        <w:rPr>
          <w:rFonts w:hint="eastAsia"/>
          <w:color w:val="000000"/>
        </w:rPr>
        <w:t>3.★须在邮件（附件文件名注明公司全称）注明公司全称、项目名称及项目编号（不注明我单位将拒收报名邮件）。</w:t>
      </w:r>
    </w:p>
    <w:p>
      <w:pPr>
        <w:pStyle w:val="12"/>
        <w:shd w:val="clear" w:color="auto" w:fill="FFFFFF"/>
        <w:spacing w:before="150" w:beforeAutospacing="0" w:after="150" w:afterAutospacing="0"/>
        <w:ind w:firstLine="480" w:firstLineChars="200"/>
        <w:rPr>
          <w:color w:val="000000"/>
        </w:rPr>
      </w:pPr>
    </w:p>
    <w:p>
      <w:pPr>
        <w:pStyle w:val="12"/>
        <w:shd w:val="clear" w:color="auto" w:fill="FFFFFF"/>
        <w:spacing w:before="150" w:beforeAutospacing="0" w:after="150" w:afterAutospacing="0"/>
        <w:ind w:firstLine="480" w:firstLineChars="200"/>
        <w:rPr>
          <w:color w:val="000000"/>
        </w:rPr>
      </w:pPr>
    </w:p>
    <w:p>
      <w:pPr>
        <w:pStyle w:val="12"/>
        <w:shd w:val="clear" w:color="auto" w:fill="FFFFFF"/>
        <w:spacing w:before="150" w:beforeAutospacing="0" w:after="150" w:afterAutospacing="0"/>
        <w:ind w:firstLine="480" w:firstLineChars="200"/>
        <w:rPr>
          <w:color w:val="000000"/>
        </w:rPr>
      </w:pPr>
    </w:p>
    <w:p>
      <w:pPr>
        <w:pStyle w:val="3"/>
        <w:spacing w:before="0" w:after="0" w:line="360" w:lineRule="auto"/>
        <w:ind w:firstLine="2168" w:firstLineChars="600"/>
        <w:rPr>
          <w:rFonts w:ascii="仿宋_GB2312" w:hAnsi="新宋体" w:eastAsia="仿宋_GB2312"/>
        </w:rPr>
      </w:pPr>
      <w:r>
        <w:rPr>
          <w:rFonts w:hint="eastAsia" w:ascii="仿宋_GB2312" w:hAnsi="新宋体" w:eastAsia="仿宋_GB2312"/>
          <w:sz w:val="36"/>
          <w:szCs w:val="36"/>
        </w:rPr>
        <w:t>评审方法（综合评分法</w:t>
      </w:r>
      <w:r>
        <w:rPr>
          <w:rFonts w:hint="eastAsia" w:ascii="仿宋_GB2312" w:hAnsi="新宋体" w:eastAsia="仿宋_GB2312"/>
        </w:rPr>
        <w:t>）</w:t>
      </w:r>
      <w:bookmarkStart w:id="1" w:name="_Toc152042376"/>
      <w:bookmarkStart w:id="2" w:name="_Toc246996985"/>
      <w:bookmarkStart w:id="3" w:name="_Toc152045599"/>
      <w:bookmarkStart w:id="4" w:name="_Toc144974566"/>
      <w:bookmarkStart w:id="5" w:name="_Toc247085757"/>
      <w:bookmarkStart w:id="6" w:name="_Toc179632617"/>
      <w:bookmarkStart w:id="7" w:name="_Toc246996242"/>
    </w:p>
    <w:bookmarkEnd w:id="1"/>
    <w:bookmarkEnd w:id="2"/>
    <w:bookmarkEnd w:id="3"/>
    <w:bookmarkEnd w:id="4"/>
    <w:bookmarkEnd w:id="5"/>
    <w:bookmarkEnd w:id="6"/>
    <w:bookmarkEnd w:id="7"/>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评审办法及评分标准</w:t>
      </w:r>
    </w:p>
    <w:tbl>
      <w:tblPr>
        <w:tblStyle w:val="14"/>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分值构成</w:t>
            </w:r>
          </w:p>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u w:val="single"/>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60 </w:t>
            </w:r>
            <w:r>
              <w:rPr>
                <w:rFonts w:hint="eastAsia" w:ascii="仿宋_GB2312" w:hAnsi="新宋体" w:eastAsia="仿宋_GB2312"/>
                <w:color w:val="000000"/>
                <w:szCs w:val="21"/>
              </w:rPr>
              <w:t>分   商务综合部分</w:t>
            </w:r>
            <w:r>
              <w:rPr>
                <w:rFonts w:hint="eastAsia" w:ascii="仿宋_GB2312" w:hAnsi="新宋体" w:eastAsia="仿宋_GB2312"/>
                <w:color w:val="000000"/>
                <w:szCs w:val="21"/>
                <w:u w:val="single"/>
              </w:rPr>
              <w:t>10分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商务报价部分：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5657" w:type="dxa"/>
            <w:tcBorders>
              <w:top w:val="single" w:color="000000" w:sz="4" w:space="0"/>
              <w:left w:val="nil"/>
              <w:bottom w:val="single" w:color="000000" w:sz="4" w:space="0"/>
              <w:right w:val="nil"/>
            </w:tcBorders>
            <w:vAlign w:val="center"/>
          </w:tcPr>
          <w:p>
            <w:pPr>
              <w:pStyle w:val="4"/>
              <w:adjustRightInd w:val="0"/>
              <w:snapToGrid w:val="0"/>
              <w:spacing w:line="320" w:lineRule="exact"/>
              <w:rPr>
                <w:rFonts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技术部份</w:t>
            </w:r>
            <w:r>
              <w:rPr>
                <w:rFonts w:ascii="仿宋_GB2312" w:hAnsi="新宋体" w:eastAsia="仿宋_GB2312"/>
                <w:color w:val="000000"/>
                <w:szCs w:val="21"/>
              </w:rPr>
              <w:t>(</w:t>
            </w:r>
            <w:r>
              <w:rPr>
                <w:rFonts w:hint="eastAsia" w:ascii="仿宋_GB2312" w:hAnsi="新宋体" w:eastAsia="仿宋_GB2312"/>
                <w:color w:val="000000"/>
                <w:szCs w:val="21"/>
              </w:rPr>
              <w:t>60分）</w:t>
            </w: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rPr>
              <w:t>工程概况（6分）</w:t>
            </w:r>
          </w:p>
        </w:tc>
        <w:tc>
          <w:tcPr>
            <w:tcW w:w="5657" w:type="dxa"/>
            <w:tcBorders>
              <w:top w:val="single" w:color="000000" w:sz="4" w:space="0"/>
              <w:left w:val="single" w:color="auto" w:sz="4" w:space="0"/>
              <w:bottom w:val="single" w:color="auto" w:sz="4" w:space="0"/>
              <w:right w:val="single" w:color="auto" w:sz="4" w:space="0"/>
            </w:tcBorders>
            <w:vAlign w:val="center"/>
          </w:tcPr>
          <w:p>
            <w:pPr>
              <w:widowControl/>
              <w:jc w:val="left"/>
              <w:rPr>
                <w:rFonts w:ascii="仿宋_GB2312" w:hAnsi="新宋体" w:eastAsia="仿宋_GB2312"/>
                <w:color w:val="000000"/>
                <w:szCs w:val="21"/>
              </w:rPr>
            </w:pPr>
            <w:r>
              <w:rPr>
                <w:rFonts w:hint="eastAsia" w:ascii="仿宋_GB2312" w:hAnsi="新宋体" w:eastAsia="仿宋_GB2312"/>
                <w:color w:val="000000"/>
                <w:szCs w:val="21"/>
              </w:rPr>
              <w:t>描述准确、清晰6分；描述基本准确3分；否则不得分。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施工部署（5分）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科学、合理、针对性强5分；合理、基本可行2分；否则不得分。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施工进度计划（5分）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工程施工重点和难点描述准确，保证措施有力的得5分；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工程施工重点和难点描述准确性差，保证措施不强的得2分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施工方案与技术措施（8分）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施工方案与技术措施切实可行，分部分项工程的主要施工方法先进科学，合理满足施工质量和要求得8分，有提供方案和措施但内容不全的得4分，未提供者不得分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确保工程质量的措施（8分）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质量管理体系与各道手续有质量保证措施的得8分，内容不全的得4分，若此条缺项不得分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安全、文明管理体系与措施（7分）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施工安全、文明措施计划内容完整，合理，针对性强得7分；，内容不完备的，欠合理，可行性差的得3分；若此条缺项不得分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有施工环保措施计划、减少噪音、降低环境污染措施计划的并合理可行的得7分；基本合理的得3分，若此条缺项不得分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工程进度计划与措施（7分）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施工总进度计划及保证措施内容完备，合理，针对性强得7分；内容不完备的，欠合理，可行性差的得3分，若此条缺项不得分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施工准备与资源配备计划（7分）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拟参加本项目劳力安排保证措施、施工机械设备型号及数量配备、计划安排等内容完备的，合理，可行性强的得7分，内容不完备的，欠合理，可行性差的得3分，若此条缺项不得分。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0" w:hRule="atLeast"/>
          <w:jc w:val="center"/>
        </w:trPr>
        <w:tc>
          <w:tcPr>
            <w:tcW w:w="900"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2</w:t>
            </w:r>
          </w:p>
          <w:p>
            <w:pPr>
              <w:pStyle w:val="4"/>
              <w:adjustRightInd w:val="0"/>
              <w:snapToGrid w:val="0"/>
              <w:spacing w:line="320" w:lineRule="exact"/>
              <w:jc w:val="center"/>
              <w:rPr>
                <w:rFonts w:ascii="仿宋_GB2312" w:hAnsi="新宋体" w:eastAsia="仿宋_GB2312"/>
                <w:color w:val="000000"/>
                <w:szCs w:val="21"/>
              </w:rPr>
            </w:pPr>
          </w:p>
        </w:tc>
        <w:tc>
          <w:tcPr>
            <w:tcW w:w="746"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color w:val="000000"/>
                <w:szCs w:val="21"/>
              </w:rPr>
            </w:pPr>
            <w:r>
              <w:rPr>
                <w:rFonts w:hint="eastAsia" w:ascii="仿宋" w:hAnsi="仿宋" w:eastAsia="仿宋" w:cs="仿宋"/>
                <w:color w:val="000000"/>
                <w:szCs w:val="21"/>
              </w:rPr>
              <w:t>商务综合部份（10分）</w:t>
            </w:r>
          </w:p>
        </w:tc>
        <w:tc>
          <w:tcPr>
            <w:tcW w:w="2134" w:type="dxa"/>
            <w:tcBorders>
              <w:top w:val="single" w:color="auto" w:sz="4" w:space="0"/>
              <w:left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财务状况（</w:t>
            </w:r>
            <w:r>
              <w:rPr>
                <w:rFonts w:ascii="仿宋" w:hAnsi="仿宋" w:eastAsia="仿宋" w:cs="仿宋"/>
                <w:szCs w:val="21"/>
              </w:rPr>
              <w:t>3</w:t>
            </w:r>
            <w:r>
              <w:rPr>
                <w:rFonts w:hint="eastAsia" w:ascii="仿宋" w:hAnsi="仿宋" w:eastAsia="仿宋" w:cs="仿宋"/>
                <w:szCs w:val="21"/>
              </w:rPr>
              <w:t>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rPr>
            </w:pPr>
            <w:r>
              <w:rPr>
                <w:rFonts w:hint="eastAsia" w:ascii="仿宋" w:hAnsi="仿宋" w:eastAsia="仿宋" w:cs="仿宋"/>
              </w:rPr>
              <w:t>企业具有金融机构出具的资信等级AAA级的得3分，具有金融机构出具的资信等级AA级的得1分，其他情况得0分</w:t>
            </w:r>
          </w:p>
          <w:p>
            <w:r>
              <w:rPr>
                <w:rFonts w:hint="eastAsia" w:ascii="仿宋" w:hAnsi="仿宋" w:eastAsia="仿宋" w:cs="仿宋"/>
              </w:rPr>
              <w:t>（需提供有效证明材料，且证明材料须提供真彩扫描打印件并加盖公章）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项目经理业绩（4分）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近3年（以合同签订时间为准）担任过类似建筑工程项目经理的得4分，最高得4分。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900" w:type="dxa"/>
            <w:vMerge w:val="continue"/>
            <w:tcBorders>
              <w:bottom w:val="single" w:color="auto" w:sz="4" w:space="0"/>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bottom w:val="single" w:color="auto" w:sz="4" w:space="0"/>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技术负责人业绩（3分）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近3年（以合同签订时间为准）担任过类似建筑工程项目经理或技术负责人的得3分，最高得3分。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3</w:t>
            </w:r>
          </w:p>
        </w:tc>
        <w:tc>
          <w:tcPr>
            <w:tcW w:w="746"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szCs w:val="21"/>
              </w:rPr>
            </w:pPr>
            <w:r>
              <w:rPr>
                <w:rFonts w:hint="eastAsia" w:ascii="仿宋_GB2312" w:hAnsi="新宋体" w:eastAsia="仿宋_GB2312"/>
                <w:szCs w:val="21"/>
              </w:rPr>
              <w:t>商务报价部份）</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szCs w:val="21"/>
              </w:rPr>
            </w:pPr>
            <w:r>
              <w:rPr>
                <w:rFonts w:hint="eastAsia" w:ascii="仿宋_GB2312" w:hAnsi="新宋体" w:eastAsia="仿宋_GB2312"/>
                <w:color w:val="000000"/>
                <w:szCs w:val="21"/>
              </w:rPr>
              <w:t>投标总价（30分）</w:t>
            </w:r>
          </w:p>
        </w:tc>
        <w:tc>
          <w:tcPr>
            <w:tcW w:w="5657" w:type="dxa"/>
            <w:tcBorders>
              <w:top w:val="single" w:color="auto" w:sz="4" w:space="0"/>
              <w:left w:val="single" w:color="auto" w:sz="4" w:space="0"/>
              <w:bottom w:val="single" w:color="auto" w:sz="4" w:space="0"/>
              <w:right w:val="single" w:color="auto" w:sz="4" w:space="0"/>
            </w:tcBorders>
          </w:tcPr>
          <w:p>
            <w:pPr>
              <w:pStyle w:val="4"/>
              <w:adjustRightInd w:val="0"/>
              <w:snapToGrid w:val="0"/>
              <w:spacing w:line="320" w:lineRule="exact"/>
              <w:ind w:firstLine="420" w:firstLineChars="200"/>
              <w:rPr>
                <w:rFonts w:ascii="仿宋_GB2312" w:hAnsi="新宋体" w:eastAsia="仿宋_GB2312"/>
                <w:color w:val="000000"/>
                <w:szCs w:val="21"/>
              </w:rPr>
            </w:pPr>
            <w:r>
              <w:rPr>
                <w:rFonts w:hint="eastAsia" w:ascii="仿宋_GB2312" w:hAnsi="新宋体" w:eastAsia="仿宋_GB2312"/>
                <w:color w:val="000000"/>
                <w:szCs w:val="21"/>
              </w:rPr>
              <w:t>综合评分法中的价格分统一采用低价优先法计算，即满足磋商文件要求且最后报价最低的供应商的价格为磋商基准价，其价格分为满分。其他供应商的价格分统一按照下列公式计算：</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　　磋商报价得分=（磋商基准价/最后磋商报价）×价格权值×100</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　　项目评审过程中，不得去掉最后报价中的最高报价和最低报价。</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2"/>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pStyle w:val="12"/>
        <w:shd w:val="clear" w:color="auto" w:fill="FFFFFF"/>
        <w:spacing w:before="150" w:beforeAutospacing="0" w:after="150" w:afterAutospacing="0"/>
        <w:rPr>
          <w:color w:val="000000"/>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9"/>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z8oLYBAABWAwAADgAAAGRycy9lMm9Eb2MueG1srVPBbtswDL0P2D8I&#10;ui92U7TIjChFi6JFgaEb0O4DFFmKBUiiIKmx8wPrH+y0y+77rnzHKMVOh/VW9CKTIvnE90gvLwZr&#10;yFaGqMExejKrKZFOQKvdhtHvjzefFpTExF3LDTjJ6E5GerH6+GHZ+0bOoQPTykAQxMWm94x2Kfmm&#10;qqLopOVxBl46DCoIlid0w6ZqA+8R3ZpqXtfnVQ+h9QGEjBFvrw9Buir4SkmRvioVZSKGUewtlTOU&#10;c53ParXkzSZw32kxtsHf0IXl2uGjR6hrnjh5CvoVlNUiQASVZgJsBUppIQsHZHNS/8fmoeNeFi4o&#10;TvRHmeL7wYr77bdAdMvoOSWOWxzR/ufz/tef/e8f5DTL0/vYYNaDx7w0XMGAY57uI15m1oMKNn+R&#10;D8E4Cr07iiuHREQuWswXixpDAmOTg/jVS7kPMd1KsCQbjAacXhGVb7/EdEidUvJrDm60MWWCxpGe&#10;0c9n87NScIwguHE5V5ZdGGEypUPr2UrDehh5rqHdIc0e94FRhwtLiblzKHdenckIk7EejYwf/eVT&#10;wn5Kmxn1AIX0soPDK0THRcvb8a9fsl5+h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O3c&#10;/KC2AQAAVgMAAA4AAAAAAAAAAQAgAAAAHgEAAGRycy9lMm9Eb2MueG1sUEsFBgAAAAAGAAYAWQEA&#10;AEY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15F7"/>
    <w:rsid w:val="000128B8"/>
    <w:rsid w:val="00016BFD"/>
    <w:rsid w:val="000246F8"/>
    <w:rsid w:val="00033E96"/>
    <w:rsid w:val="000527BB"/>
    <w:rsid w:val="00056AED"/>
    <w:rsid w:val="0008654C"/>
    <w:rsid w:val="00095E05"/>
    <w:rsid w:val="0009726D"/>
    <w:rsid w:val="000A6872"/>
    <w:rsid w:val="000C6BBE"/>
    <w:rsid w:val="000C7A81"/>
    <w:rsid w:val="000D4CE5"/>
    <w:rsid w:val="000E23E4"/>
    <w:rsid w:val="000F6D6B"/>
    <w:rsid w:val="00101CA6"/>
    <w:rsid w:val="00104393"/>
    <w:rsid w:val="00120CEA"/>
    <w:rsid w:val="00122B5C"/>
    <w:rsid w:val="00127B67"/>
    <w:rsid w:val="00172B2F"/>
    <w:rsid w:val="001826F7"/>
    <w:rsid w:val="001A1BB8"/>
    <w:rsid w:val="001A3685"/>
    <w:rsid w:val="001F301E"/>
    <w:rsid w:val="001F5EBA"/>
    <w:rsid w:val="00223AA7"/>
    <w:rsid w:val="00227C74"/>
    <w:rsid w:val="0023592C"/>
    <w:rsid w:val="00241FC1"/>
    <w:rsid w:val="00247E29"/>
    <w:rsid w:val="00251305"/>
    <w:rsid w:val="00255A10"/>
    <w:rsid w:val="0027306D"/>
    <w:rsid w:val="00286F91"/>
    <w:rsid w:val="002912E3"/>
    <w:rsid w:val="002C0DCE"/>
    <w:rsid w:val="00354132"/>
    <w:rsid w:val="0038354E"/>
    <w:rsid w:val="00384F78"/>
    <w:rsid w:val="003A3307"/>
    <w:rsid w:val="003A3B64"/>
    <w:rsid w:val="003E4FBF"/>
    <w:rsid w:val="003E5C31"/>
    <w:rsid w:val="0042465C"/>
    <w:rsid w:val="00431872"/>
    <w:rsid w:val="004357AA"/>
    <w:rsid w:val="0044058D"/>
    <w:rsid w:val="004451C8"/>
    <w:rsid w:val="00462B04"/>
    <w:rsid w:val="00465FFA"/>
    <w:rsid w:val="0048653B"/>
    <w:rsid w:val="00494208"/>
    <w:rsid w:val="004B1CA9"/>
    <w:rsid w:val="004B5D9E"/>
    <w:rsid w:val="004C2FBC"/>
    <w:rsid w:val="004C6ADC"/>
    <w:rsid w:val="004D4796"/>
    <w:rsid w:val="00501094"/>
    <w:rsid w:val="00505A17"/>
    <w:rsid w:val="0051396C"/>
    <w:rsid w:val="00526415"/>
    <w:rsid w:val="0053126C"/>
    <w:rsid w:val="00532D66"/>
    <w:rsid w:val="005517D8"/>
    <w:rsid w:val="00554BD4"/>
    <w:rsid w:val="00557E5B"/>
    <w:rsid w:val="0056166C"/>
    <w:rsid w:val="00575251"/>
    <w:rsid w:val="00577CD8"/>
    <w:rsid w:val="00587588"/>
    <w:rsid w:val="005C7953"/>
    <w:rsid w:val="00604A95"/>
    <w:rsid w:val="006101C6"/>
    <w:rsid w:val="00617BED"/>
    <w:rsid w:val="006316CE"/>
    <w:rsid w:val="00634949"/>
    <w:rsid w:val="006508ED"/>
    <w:rsid w:val="00680095"/>
    <w:rsid w:val="006A2E4E"/>
    <w:rsid w:val="006B1667"/>
    <w:rsid w:val="006B566D"/>
    <w:rsid w:val="006B5F1F"/>
    <w:rsid w:val="006C22D5"/>
    <w:rsid w:val="006D5BF3"/>
    <w:rsid w:val="006D5ED3"/>
    <w:rsid w:val="006D6F43"/>
    <w:rsid w:val="006F0D3C"/>
    <w:rsid w:val="00710283"/>
    <w:rsid w:val="00714951"/>
    <w:rsid w:val="00731C4C"/>
    <w:rsid w:val="00744A59"/>
    <w:rsid w:val="00754B48"/>
    <w:rsid w:val="00763082"/>
    <w:rsid w:val="00766C6F"/>
    <w:rsid w:val="00770BDF"/>
    <w:rsid w:val="00775F2D"/>
    <w:rsid w:val="007A1F2A"/>
    <w:rsid w:val="008103F6"/>
    <w:rsid w:val="00841971"/>
    <w:rsid w:val="00842F5C"/>
    <w:rsid w:val="008436D6"/>
    <w:rsid w:val="00843EA0"/>
    <w:rsid w:val="0085685E"/>
    <w:rsid w:val="00862199"/>
    <w:rsid w:val="00877547"/>
    <w:rsid w:val="008D3473"/>
    <w:rsid w:val="008D4A74"/>
    <w:rsid w:val="008D5B51"/>
    <w:rsid w:val="00901DA9"/>
    <w:rsid w:val="009111CF"/>
    <w:rsid w:val="00912E34"/>
    <w:rsid w:val="00917353"/>
    <w:rsid w:val="0092386A"/>
    <w:rsid w:val="009333AC"/>
    <w:rsid w:val="0093613A"/>
    <w:rsid w:val="0093781A"/>
    <w:rsid w:val="00960937"/>
    <w:rsid w:val="0096305A"/>
    <w:rsid w:val="00965878"/>
    <w:rsid w:val="00966F82"/>
    <w:rsid w:val="00980BE9"/>
    <w:rsid w:val="00984E78"/>
    <w:rsid w:val="0098580B"/>
    <w:rsid w:val="009B05DF"/>
    <w:rsid w:val="009B48B8"/>
    <w:rsid w:val="009D546E"/>
    <w:rsid w:val="009F57B7"/>
    <w:rsid w:val="00A03FCC"/>
    <w:rsid w:val="00A12B23"/>
    <w:rsid w:val="00A22693"/>
    <w:rsid w:val="00A66E85"/>
    <w:rsid w:val="00AA16B1"/>
    <w:rsid w:val="00AC4743"/>
    <w:rsid w:val="00AC4FF6"/>
    <w:rsid w:val="00AC6171"/>
    <w:rsid w:val="00AC648A"/>
    <w:rsid w:val="00AC7064"/>
    <w:rsid w:val="00AD57E9"/>
    <w:rsid w:val="00AE0050"/>
    <w:rsid w:val="00AE2C55"/>
    <w:rsid w:val="00AE565A"/>
    <w:rsid w:val="00AE6B7D"/>
    <w:rsid w:val="00B37D97"/>
    <w:rsid w:val="00B422CC"/>
    <w:rsid w:val="00B61071"/>
    <w:rsid w:val="00B66142"/>
    <w:rsid w:val="00B87DB2"/>
    <w:rsid w:val="00BC0370"/>
    <w:rsid w:val="00BC669D"/>
    <w:rsid w:val="00BD15BE"/>
    <w:rsid w:val="00C045C9"/>
    <w:rsid w:val="00C41FC1"/>
    <w:rsid w:val="00C4672B"/>
    <w:rsid w:val="00C554DF"/>
    <w:rsid w:val="00C704DC"/>
    <w:rsid w:val="00C7583C"/>
    <w:rsid w:val="00C75C9C"/>
    <w:rsid w:val="00C77263"/>
    <w:rsid w:val="00C8060B"/>
    <w:rsid w:val="00C94576"/>
    <w:rsid w:val="00CA3747"/>
    <w:rsid w:val="00CE7685"/>
    <w:rsid w:val="00D049F5"/>
    <w:rsid w:val="00D204EA"/>
    <w:rsid w:val="00D209FD"/>
    <w:rsid w:val="00D239DE"/>
    <w:rsid w:val="00D34002"/>
    <w:rsid w:val="00D63126"/>
    <w:rsid w:val="00D64C90"/>
    <w:rsid w:val="00D665CD"/>
    <w:rsid w:val="00D76028"/>
    <w:rsid w:val="00D9157E"/>
    <w:rsid w:val="00DA12FB"/>
    <w:rsid w:val="00DA3AC3"/>
    <w:rsid w:val="00DA646A"/>
    <w:rsid w:val="00DB7FCC"/>
    <w:rsid w:val="00DC47E0"/>
    <w:rsid w:val="00DD1A10"/>
    <w:rsid w:val="00DE75E6"/>
    <w:rsid w:val="00E0405F"/>
    <w:rsid w:val="00E14B01"/>
    <w:rsid w:val="00E1767B"/>
    <w:rsid w:val="00E40ED1"/>
    <w:rsid w:val="00E6320A"/>
    <w:rsid w:val="00E643E2"/>
    <w:rsid w:val="00E652DF"/>
    <w:rsid w:val="00E7143F"/>
    <w:rsid w:val="00E721AB"/>
    <w:rsid w:val="00E85276"/>
    <w:rsid w:val="00E901E4"/>
    <w:rsid w:val="00E9314F"/>
    <w:rsid w:val="00E94B33"/>
    <w:rsid w:val="00EA5552"/>
    <w:rsid w:val="00EB5D3C"/>
    <w:rsid w:val="00ED3F8E"/>
    <w:rsid w:val="00ED6919"/>
    <w:rsid w:val="00EE770B"/>
    <w:rsid w:val="00EF37A8"/>
    <w:rsid w:val="00EF6F42"/>
    <w:rsid w:val="00F015B2"/>
    <w:rsid w:val="00F10D7E"/>
    <w:rsid w:val="00F27BC7"/>
    <w:rsid w:val="00F52DE9"/>
    <w:rsid w:val="00F67B38"/>
    <w:rsid w:val="00F83087"/>
    <w:rsid w:val="00F84889"/>
    <w:rsid w:val="00FB2A62"/>
    <w:rsid w:val="00FB3823"/>
    <w:rsid w:val="00FD4208"/>
    <w:rsid w:val="00FF1279"/>
    <w:rsid w:val="00FF19EE"/>
    <w:rsid w:val="014806D6"/>
    <w:rsid w:val="05A22ECE"/>
    <w:rsid w:val="0E1331EC"/>
    <w:rsid w:val="141B7793"/>
    <w:rsid w:val="1D3A4920"/>
    <w:rsid w:val="1E906504"/>
    <w:rsid w:val="202042A9"/>
    <w:rsid w:val="237453D2"/>
    <w:rsid w:val="25F93E7C"/>
    <w:rsid w:val="27C0451E"/>
    <w:rsid w:val="32726ABC"/>
    <w:rsid w:val="349E76E0"/>
    <w:rsid w:val="38381A97"/>
    <w:rsid w:val="3CEB2282"/>
    <w:rsid w:val="4021663B"/>
    <w:rsid w:val="570C6CFC"/>
    <w:rsid w:val="591E5E37"/>
    <w:rsid w:val="5A452253"/>
    <w:rsid w:val="5DB549BD"/>
    <w:rsid w:val="5F4B73FF"/>
    <w:rsid w:val="5F7033C6"/>
    <w:rsid w:val="64A37409"/>
    <w:rsid w:val="6B2E3BA7"/>
    <w:rsid w:val="6D315339"/>
    <w:rsid w:val="7128470F"/>
    <w:rsid w:val="744A4BBB"/>
    <w:rsid w:val="77471B72"/>
    <w:rsid w:val="7F89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21"/>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5"/>
    <w:basedOn w:val="1"/>
    <w:next w:val="1"/>
    <w:semiHidden/>
    <w:unhideWhenUsed/>
    <w:qFormat/>
    <w:uiPriority w:val="9"/>
    <w:pPr>
      <w:spacing w:beforeAutospacing="1" w:afterAutospacing="1"/>
      <w:jc w:val="left"/>
      <w:outlineLvl w:val="4"/>
    </w:pPr>
    <w:rPr>
      <w:rFonts w:hint="eastAsia" w:ascii="宋体" w:hAnsi="宋体" w:cs="Times New Roman"/>
      <w:b/>
      <w:kern w:val="0"/>
      <w:sz w:val="20"/>
      <w:szCs w:val="20"/>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Indent"/>
    <w:basedOn w:val="1"/>
    <w:link w:val="28"/>
    <w:unhideWhenUsed/>
    <w:qFormat/>
    <w:uiPriority w:val="0"/>
    <w:pPr>
      <w:ind w:firstLine="830" w:firstLineChars="352"/>
    </w:pPr>
    <w:rPr>
      <w:rFonts w:ascii="仿宋_GB2312" w:hAnsi="Times New Roman" w:eastAsia="仿宋_GB2312" w:cs="Times New Roman"/>
      <w:kern w:val="0"/>
      <w:sz w:val="32"/>
      <w:szCs w:val="20"/>
    </w:r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cs="Times New Roman"/>
      <w:kern w:val="0"/>
      <w:sz w:val="22"/>
    </w:rPr>
  </w:style>
  <w:style w:type="paragraph" w:styleId="12">
    <w:name w:val="Normal (Web)"/>
    <w:basedOn w:val="1"/>
    <w:unhideWhenUsed/>
    <w:qFormat/>
    <w:uiPriority w:val="0"/>
    <w:pPr>
      <w:spacing w:beforeAutospacing="1" w:afterAutospacing="1"/>
      <w:jc w:val="left"/>
    </w:pPr>
    <w:rPr>
      <w:rFonts w:cs="Times New Roman"/>
      <w:kern w:val="0"/>
      <w:sz w:val="24"/>
    </w:rPr>
  </w:style>
  <w:style w:type="paragraph" w:styleId="13">
    <w:name w:val="Title"/>
    <w:basedOn w:val="1"/>
    <w:next w:val="1"/>
    <w:link w:val="25"/>
    <w:qFormat/>
    <w:uiPriority w:val="0"/>
    <w:pPr>
      <w:spacing w:before="240" w:after="60"/>
      <w:jc w:val="center"/>
      <w:outlineLvl w:val="0"/>
    </w:pPr>
    <w:rPr>
      <w:rFonts w:ascii="Cambria" w:hAnsi="Cambria" w:eastAsia="方正小标宋简体" w:cs="Times New Roman"/>
      <w:b/>
      <w:bCs/>
      <w:sz w:val="32"/>
      <w:szCs w:val="3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FollowedHyperlink"/>
    <w:basedOn w:val="16"/>
    <w:semiHidden/>
    <w:unhideWhenUsed/>
    <w:qFormat/>
    <w:uiPriority w:val="0"/>
    <w:rPr>
      <w:color w:val="800080"/>
      <w:u w:val="single"/>
    </w:rPr>
  </w:style>
  <w:style w:type="character" w:styleId="19">
    <w:name w:val="Emphasis"/>
    <w:basedOn w:val="16"/>
    <w:qFormat/>
    <w:uiPriority w:val="20"/>
  </w:style>
  <w:style w:type="character" w:styleId="20">
    <w:name w:val="Hyperlink"/>
    <w:basedOn w:val="16"/>
    <w:semiHidden/>
    <w:unhideWhenUsed/>
    <w:qFormat/>
    <w:uiPriority w:val="0"/>
    <w:rPr>
      <w:color w:val="0000FF"/>
      <w:u w:val="single"/>
    </w:rPr>
  </w:style>
  <w:style w:type="character" w:customStyle="1" w:styleId="21">
    <w:name w:val="标题 1 Char"/>
    <w:basedOn w:val="16"/>
    <w:link w:val="3"/>
    <w:qFormat/>
    <w:uiPriority w:val="0"/>
    <w:rPr>
      <w:rFonts w:eastAsia="宋体"/>
      <w:b/>
      <w:bCs/>
      <w:kern w:val="44"/>
      <w:sz w:val="44"/>
      <w:szCs w:val="44"/>
    </w:rPr>
  </w:style>
  <w:style w:type="character" w:customStyle="1" w:styleId="22">
    <w:name w:val="页眉 Char"/>
    <w:basedOn w:val="16"/>
    <w:link w:val="10"/>
    <w:qFormat/>
    <w:uiPriority w:val="99"/>
    <w:rPr>
      <w:sz w:val="18"/>
      <w:szCs w:val="18"/>
    </w:rPr>
  </w:style>
  <w:style w:type="character" w:customStyle="1" w:styleId="23">
    <w:name w:val="页脚 Char"/>
    <w:basedOn w:val="16"/>
    <w:link w:val="9"/>
    <w:qFormat/>
    <w:uiPriority w:val="99"/>
    <w:rPr>
      <w:sz w:val="18"/>
      <w:szCs w:val="18"/>
    </w:rPr>
  </w:style>
  <w:style w:type="character" w:customStyle="1" w:styleId="24">
    <w:name w:val="批注框文本 Char"/>
    <w:basedOn w:val="16"/>
    <w:link w:val="8"/>
    <w:semiHidden/>
    <w:qFormat/>
    <w:uiPriority w:val="99"/>
    <w:rPr>
      <w:sz w:val="18"/>
      <w:szCs w:val="18"/>
    </w:rPr>
  </w:style>
  <w:style w:type="character" w:customStyle="1" w:styleId="25">
    <w:name w:val="标题 Char"/>
    <w:basedOn w:val="16"/>
    <w:link w:val="13"/>
    <w:qFormat/>
    <w:uiPriority w:val="0"/>
    <w:rPr>
      <w:rFonts w:ascii="Cambria" w:hAnsi="Cambria" w:eastAsia="方正小标宋简体"/>
      <w:b/>
      <w:bCs/>
      <w:kern w:val="2"/>
      <w:sz w:val="32"/>
      <w:szCs w:val="32"/>
    </w:rPr>
  </w:style>
  <w:style w:type="character" w:customStyle="1" w:styleId="26">
    <w:name w:val="标题 2 Char"/>
    <w:basedOn w:val="16"/>
    <w:link w:val="5"/>
    <w:semiHidden/>
    <w:qFormat/>
    <w:uiPriority w:val="9"/>
    <w:rPr>
      <w:rFonts w:asciiTheme="majorHAnsi" w:hAnsiTheme="majorHAnsi" w:eastAsiaTheme="majorEastAsia" w:cstheme="majorBidi"/>
      <w:b/>
      <w:bCs/>
      <w:kern w:val="2"/>
      <w:sz w:val="32"/>
      <w:szCs w:val="32"/>
    </w:rPr>
  </w:style>
  <w:style w:type="character" w:customStyle="1" w:styleId="27">
    <w:name w:val="正文文本缩进 Char"/>
    <w:qFormat/>
    <w:uiPriority w:val="0"/>
    <w:rPr>
      <w:rFonts w:ascii="仿宋_GB2312" w:eastAsia="仿宋_GB2312"/>
      <w:sz w:val="32"/>
    </w:rPr>
  </w:style>
  <w:style w:type="character" w:customStyle="1" w:styleId="28">
    <w:name w:val="正文文本缩进 Char1"/>
    <w:basedOn w:val="16"/>
    <w:link w:val="7"/>
    <w:semiHidden/>
    <w:qFormat/>
    <w:uiPriority w:val="0"/>
    <w:rPr>
      <w:rFonts w:ascii="Calibri" w:hAnsi="Calibri" w:cs="黑体"/>
      <w:kern w:val="2"/>
      <w:sz w:val="21"/>
      <w:szCs w:val="22"/>
    </w:rPr>
  </w:style>
  <w:style w:type="character" w:customStyle="1" w:styleId="29">
    <w:name w:val="last-child"/>
    <w:basedOn w:val="16"/>
    <w:qFormat/>
    <w:uiPriority w:val="0"/>
  </w:style>
  <w:style w:type="character" w:customStyle="1" w:styleId="30">
    <w:name w:val="is_active1"/>
    <w:basedOn w:val="16"/>
    <w:qFormat/>
    <w:uiPriority w:val="0"/>
    <w:rPr>
      <w:color w:val="FFFFFF"/>
      <w:shd w:val="clear" w:color="auto" w:fill="F07C17"/>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A70326-24AB-4048-9340-4065B24BB6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679</Words>
  <Characters>3874</Characters>
  <Lines>32</Lines>
  <Paragraphs>9</Paragraphs>
  <TotalTime>14</TotalTime>
  <ScaleCrop>false</ScaleCrop>
  <LinksUpToDate>false</LinksUpToDate>
  <CharactersWithSpaces>4544</CharactersWithSpaces>
  <Application>WPS Office_11.1.0.9198_F1E327BC-269C-435d-A152-05C5408002CA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2019-10-28T08:04:00Z</dcterms:created>
  <dc:creator>wangh</dc:creator>
  <cp:lastModifiedBy>yygy</cp:lastModifiedBy>
  <cp:lastPrinted>2019-12-19T07:34:00Z</cp:lastPrinted>
  <dcterms:modified xsi:type="dcterms:W3CDTF">2020-01-06T03:28:50Z</dcterms:modified>
  <dc:title>湖北省省级政府采购需求公示</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